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F9D57" w14:textId="77777777" w:rsidR="00DD372B" w:rsidRPr="00B8644F" w:rsidRDefault="00DD372B" w:rsidP="00B8644F">
      <w:pPr>
        <w:jc w:val="center"/>
        <w:rPr>
          <w:b/>
          <w:sz w:val="28"/>
          <w:szCs w:val="28"/>
        </w:rPr>
      </w:pPr>
      <w:bookmarkStart w:id="0" w:name="_Toc329341099"/>
      <w:bookmarkStart w:id="1" w:name="_Toc400377718"/>
      <w:bookmarkStart w:id="2" w:name="_Toc409090900"/>
      <w:bookmarkStart w:id="3" w:name="_Toc474235251"/>
      <w:bookmarkStart w:id="4" w:name="_Toc290021780"/>
      <w:bookmarkStart w:id="5" w:name="_Toc286158948"/>
      <w:bookmarkStart w:id="6" w:name="_Toc286160537"/>
      <w:bookmarkStart w:id="7" w:name="_Toc290021760"/>
      <w:bookmarkStart w:id="8" w:name="_Toc282506023"/>
      <w:bookmarkStart w:id="9" w:name="_Toc329675296"/>
      <w:bookmarkStart w:id="10" w:name="_Toc329675884"/>
      <w:bookmarkStart w:id="11" w:name="_GoBack"/>
      <w:bookmarkEnd w:id="11"/>
      <w:r w:rsidRPr="00B8644F">
        <w:rPr>
          <w:b/>
          <w:sz w:val="28"/>
          <w:szCs w:val="28"/>
        </w:rPr>
        <w:t>PART B. COLLECTIONS OF INFORMATION EMPLOYING STATISTICAL METHODS</w:t>
      </w:r>
    </w:p>
    <w:p w14:paraId="2E83B779" w14:textId="77777777" w:rsidR="00125F6D" w:rsidRPr="003A4D22" w:rsidRDefault="00125F6D" w:rsidP="003A4D22">
      <w:pPr>
        <w:pStyle w:val="Heading1"/>
      </w:pPr>
    </w:p>
    <w:p w14:paraId="0E225E86" w14:textId="77777777" w:rsidR="00471DC7" w:rsidRPr="00D5437E" w:rsidRDefault="00125F6D" w:rsidP="00D5437E">
      <w:pPr>
        <w:pStyle w:val="BodyText"/>
        <w:jc w:val="left"/>
        <w:rPr>
          <w:sz w:val="24"/>
          <w:szCs w:val="24"/>
        </w:rPr>
      </w:pPr>
      <w:r w:rsidRPr="00D5437E">
        <w:rPr>
          <w:sz w:val="24"/>
          <w:szCs w:val="24"/>
        </w:rPr>
        <w:t xml:space="preserve">In this document, we discuss the statistical methods to be used in the data collection activities for the </w:t>
      </w:r>
      <w:r w:rsidRPr="00D5437E">
        <w:rPr>
          <w:i/>
          <w:sz w:val="24"/>
          <w:szCs w:val="24"/>
        </w:rPr>
        <w:t>Evaluation of Strategies Used in the TechHire and Strengthening Working Families Initiative (SWFI) Grant Programs.</w:t>
      </w:r>
      <w:r w:rsidRPr="00D5437E">
        <w:rPr>
          <w:sz w:val="24"/>
          <w:szCs w:val="24"/>
        </w:rPr>
        <w:t xml:space="preserve"> This study is</w:t>
      </w:r>
      <w:r w:rsidRPr="00D5437E">
        <w:rPr>
          <w:i/>
          <w:sz w:val="24"/>
          <w:szCs w:val="24"/>
        </w:rPr>
        <w:t xml:space="preserve"> </w:t>
      </w:r>
      <w:r w:rsidRPr="00D5437E">
        <w:rPr>
          <w:sz w:val="24"/>
          <w:szCs w:val="24"/>
        </w:rPr>
        <w:t>sponsored by the Chief Evaluation Office (CEO) and Employment and Training Administration (ETA) in the U.S. Department of Labor.</w:t>
      </w:r>
      <w:r w:rsidR="00471DC7" w:rsidRPr="00D5437E">
        <w:rPr>
          <w:sz w:val="24"/>
          <w:szCs w:val="24"/>
        </w:rPr>
        <w:t xml:space="preserve"> The p</w:t>
      </w:r>
      <w:r w:rsidR="00326859">
        <w:rPr>
          <w:sz w:val="24"/>
          <w:szCs w:val="24"/>
        </w:rPr>
        <w:t>ur</w:t>
      </w:r>
      <w:r w:rsidR="00471DC7" w:rsidRPr="00D5437E">
        <w:rPr>
          <w:sz w:val="24"/>
          <w:szCs w:val="24"/>
        </w:rPr>
        <w:t xml:space="preserve">pose of the evaluation is to identify </w:t>
      </w:r>
      <w:r w:rsidR="00600A4E">
        <w:rPr>
          <w:sz w:val="24"/>
          <w:szCs w:val="24"/>
        </w:rPr>
        <w:t>w</w:t>
      </w:r>
      <w:r w:rsidR="00440C32">
        <w:rPr>
          <w:sz w:val="24"/>
          <w:szCs w:val="24"/>
        </w:rPr>
        <w:t>h</w:t>
      </w:r>
      <w:r w:rsidR="00600A4E">
        <w:rPr>
          <w:sz w:val="24"/>
          <w:szCs w:val="24"/>
        </w:rPr>
        <w:t>ether the grants help</w:t>
      </w:r>
      <w:r w:rsidR="00471DC7" w:rsidRPr="00D5437E">
        <w:rPr>
          <w:sz w:val="24"/>
          <w:szCs w:val="24"/>
        </w:rPr>
        <w:t xml:space="preserve"> low-wage workers obtain employment in and advance in H-1B industries and occupations</w:t>
      </w:r>
      <w:r w:rsidR="00600A4E">
        <w:rPr>
          <w:sz w:val="24"/>
          <w:szCs w:val="24"/>
        </w:rPr>
        <w:t xml:space="preserve"> and, if so, which strategies are most helpful</w:t>
      </w:r>
      <w:r w:rsidR="00471DC7" w:rsidRPr="00D5437E">
        <w:rPr>
          <w:sz w:val="24"/>
          <w:szCs w:val="24"/>
        </w:rPr>
        <w:t xml:space="preserve">. CEO has contracted with Westat and its subcontractor, MDRC, to conduct this evaluation.  The evaluation includes three components: an implementation study, a randomized controlled trial (RCT) study, and a quasi-experimental design (QED) study. </w:t>
      </w:r>
    </w:p>
    <w:p w14:paraId="5790EBAF" w14:textId="77777777" w:rsidR="00471DC7" w:rsidRPr="00D5437E" w:rsidRDefault="00471DC7" w:rsidP="00D5437E">
      <w:pPr>
        <w:pStyle w:val="BodyText"/>
        <w:jc w:val="left"/>
        <w:rPr>
          <w:sz w:val="24"/>
          <w:szCs w:val="24"/>
        </w:rPr>
      </w:pPr>
      <w:r w:rsidRPr="00D5437E">
        <w:rPr>
          <w:sz w:val="24"/>
          <w:szCs w:val="24"/>
        </w:rPr>
        <w:t>This request for clearance includes the following data collection activities:</w:t>
      </w:r>
    </w:p>
    <w:p w14:paraId="6DAE6A78" w14:textId="77777777" w:rsidR="00471DC7" w:rsidRPr="00D5437E" w:rsidRDefault="00471DC7" w:rsidP="00471DC7">
      <w:pPr>
        <w:pStyle w:val="ListParagraph"/>
        <w:numPr>
          <w:ilvl w:val="0"/>
          <w:numId w:val="38"/>
        </w:numPr>
        <w:jc w:val="left"/>
        <w:rPr>
          <w:sz w:val="24"/>
          <w:szCs w:val="24"/>
        </w:rPr>
      </w:pPr>
      <w:r w:rsidRPr="00D5437E">
        <w:rPr>
          <w:sz w:val="24"/>
          <w:szCs w:val="24"/>
        </w:rPr>
        <w:t>Baseline Information Form (BIF)</w:t>
      </w:r>
    </w:p>
    <w:p w14:paraId="57376BE3" w14:textId="77777777" w:rsidR="00471DC7" w:rsidRPr="00D5437E" w:rsidRDefault="00471DC7" w:rsidP="00471DC7">
      <w:pPr>
        <w:pStyle w:val="ListParagraph"/>
        <w:numPr>
          <w:ilvl w:val="0"/>
          <w:numId w:val="38"/>
        </w:numPr>
        <w:jc w:val="left"/>
        <w:rPr>
          <w:sz w:val="24"/>
          <w:szCs w:val="24"/>
        </w:rPr>
      </w:pPr>
      <w:r w:rsidRPr="00D5437E">
        <w:rPr>
          <w:sz w:val="24"/>
          <w:szCs w:val="24"/>
        </w:rPr>
        <w:t>6-month follow-up survey</w:t>
      </w:r>
    </w:p>
    <w:p w14:paraId="0432CBB2" w14:textId="77777777" w:rsidR="00471DC7" w:rsidRDefault="00471DC7" w:rsidP="00D5437E">
      <w:pPr>
        <w:pStyle w:val="ListParagraph"/>
        <w:numPr>
          <w:ilvl w:val="0"/>
          <w:numId w:val="38"/>
        </w:numPr>
        <w:jc w:val="left"/>
        <w:rPr>
          <w:sz w:val="24"/>
          <w:szCs w:val="24"/>
        </w:rPr>
      </w:pPr>
      <w:r w:rsidRPr="00D5437E">
        <w:rPr>
          <w:sz w:val="24"/>
          <w:szCs w:val="24"/>
        </w:rPr>
        <w:t xml:space="preserve">Site visit interviews with grantee </w:t>
      </w:r>
      <w:r w:rsidR="0000048D">
        <w:rPr>
          <w:sz w:val="24"/>
          <w:szCs w:val="24"/>
        </w:rPr>
        <w:t>staff</w:t>
      </w:r>
    </w:p>
    <w:p w14:paraId="2BBD122E" w14:textId="77777777" w:rsidR="0000048D" w:rsidRDefault="0000048D" w:rsidP="00D5437E">
      <w:pPr>
        <w:pStyle w:val="ListParagraph"/>
        <w:numPr>
          <w:ilvl w:val="0"/>
          <w:numId w:val="38"/>
        </w:numPr>
        <w:jc w:val="left"/>
        <w:rPr>
          <w:sz w:val="24"/>
          <w:szCs w:val="24"/>
        </w:rPr>
      </w:pPr>
      <w:r>
        <w:rPr>
          <w:sz w:val="24"/>
          <w:szCs w:val="24"/>
        </w:rPr>
        <w:t>Site visit interviews with grantee partners</w:t>
      </w:r>
    </w:p>
    <w:p w14:paraId="0F6F3020" w14:textId="77777777" w:rsidR="0000048D" w:rsidRPr="00D5437E" w:rsidRDefault="0000048D" w:rsidP="00D5437E">
      <w:pPr>
        <w:pStyle w:val="ListParagraph"/>
        <w:numPr>
          <w:ilvl w:val="0"/>
          <w:numId w:val="38"/>
        </w:numPr>
        <w:jc w:val="left"/>
        <w:rPr>
          <w:sz w:val="24"/>
          <w:szCs w:val="24"/>
        </w:rPr>
      </w:pPr>
      <w:r>
        <w:rPr>
          <w:sz w:val="24"/>
          <w:szCs w:val="24"/>
        </w:rPr>
        <w:t>Participant tracking form</w:t>
      </w:r>
    </w:p>
    <w:p w14:paraId="3796050E" w14:textId="77777777" w:rsidR="00471DC7" w:rsidRPr="00D5437E" w:rsidRDefault="00471DC7" w:rsidP="00D5437E">
      <w:pPr>
        <w:jc w:val="left"/>
        <w:rPr>
          <w:sz w:val="24"/>
          <w:szCs w:val="24"/>
        </w:rPr>
      </w:pPr>
    </w:p>
    <w:p w14:paraId="114CC43A" w14:textId="0BAFF5FB" w:rsidR="00471DC7" w:rsidRPr="00D5437E" w:rsidRDefault="00471DC7" w:rsidP="00D5437E">
      <w:pPr>
        <w:jc w:val="left"/>
        <w:rPr>
          <w:sz w:val="24"/>
          <w:szCs w:val="24"/>
        </w:rPr>
      </w:pPr>
      <w:r w:rsidRPr="00D5437E">
        <w:rPr>
          <w:sz w:val="24"/>
          <w:szCs w:val="24"/>
        </w:rPr>
        <w:t>Subsequent OMB submissions will seek clearance of additional data collection activities, including a grantee survey, grantee semi-structure interviews, a partner information template, a partner survey, partner semi-structure telephone interviews, a second round of site visits</w:t>
      </w:r>
      <w:r w:rsidR="005920D0">
        <w:rPr>
          <w:sz w:val="24"/>
          <w:szCs w:val="24"/>
        </w:rPr>
        <w:t>, and an 18-month follow-up participant survey</w:t>
      </w:r>
      <w:r w:rsidRPr="00D5437E">
        <w:rPr>
          <w:sz w:val="24"/>
          <w:szCs w:val="24"/>
        </w:rPr>
        <w:t>.</w:t>
      </w:r>
    </w:p>
    <w:p w14:paraId="4910AC41" w14:textId="77777777" w:rsidR="0045281F" w:rsidRPr="00D5437E" w:rsidRDefault="0045281F" w:rsidP="00D5437E">
      <w:pPr>
        <w:jc w:val="left"/>
        <w:rPr>
          <w:sz w:val="24"/>
          <w:szCs w:val="24"/>
        </w:rPr>
      </w:pPr>
    </w:p>
    <w:p w14:paraId="1FAD0285" w14:textId="77777777" w:rsidR="008A6A7C" w:rsidRPr="00D5437E" w:rsidRDefault="008A6A7C" w:rsidP="00D5437E">
      <w:pPr>
        <w:pStyle w:val="Heading1"/>
        <w:spacing w:line="276" w:lineRule="auto"/>
        <w:jc w:val="left"/>
        <w:rPr>
          <w:sz w:val="24"/>
          <w:szCs w:val="24"/>
        </w:rPr>
      </w:pPr>
      <w:r w:rsidRPr="00D5437E">
        <w:rPr>
          <w:sz w:val="24"/>
          <w:szCs w:val="24"/>
        </w:rPr>
        <w:t>B.1</w:t>
      </w:r>
      <w:r w:rsidR="00125F6D" w:rsidRPr="00D5437E">
        <w:rPr>
          <w:sz w:val="24"/>
          <w:szCs w:val="24"/>
        </w:rPr>
        <w:tab/>
      </w:r>
      <w:r w:rsidRPr="00D5437E">
        <w:rPr>
          <w:sz w:val="24"/>
          <w:szCs w:val="24"/>
        </w:rPr>
        <w:t>Respondent Universe and Sampling Methods</w:t>
      </w:r>
      <w:bookmarkEnd w:id="0"/>
      <w:bookmarkEnd w:id="1"/>
      <w:bookmarkEnd w:id="2"/>
      <w:bookmarkEnd w:id="3"/>
    </w:p>
    <w:p w14:paraId="4B46780A" w14:textId="77777777" w:rsidR="00E73A85" w:rsidRPr="00D5437E" w:rsidRDefault="00E73A85" w:rsidP="00D5437E">
      <w:pPr>
        <w:pStyle w:val="L1-FlLSp12"/>
        <w:spacing w:line="276" w:lineRule="auto"/>
        <w:jc w:val="left"/>
        <w:rPr>
          <w:sz w:val="24"/>
          <w:szCs w:val="24"/>
        </w:rPr>
      </w:pPr>
      <w:bookmarkStart w:id="12" w:name="_Toc290021779"/>
    </w:p>
    <w:p w14:paraId="6977FBA9" w14:textId="77777777" w:rsidR="008A6A7C" w:rsidRPr="00D5437E" w:rsidRDefault="004B3BBF" w:rsidP="00D5437E">
      <w:pPr>
        <w:pStyle w:val="Heading1"/>
        <w:spacing w:line="276" w:lineRule="auto"/>
        <w:ind w:left="0" w:firstLine="0"/>
        <w:jc w:val="left"/>
        <w:rPr>
          <w:sz w:val="24"/>
          <w:szCs w:val="24"/>
        </w:rPr>
      </w:pPr>
      <w:bookmarkStart w:id="13" w:name="_Toc400377720"/>
      <w:bookmarkStart w:id="14" w:name="_Toc474235252"/>
      <w:bookmarkEnd w:id="12"/>
      <w:r w:rsidRPr="00D5437E">
        <w:rPr>
          <w:sz w:val="24"/>
          <w:szCs w:val="24"/>
        </w:rPr>
        <w:t xml:space="preserve">B.1.1 </w:t>
      </w:r>
      <w:r w:rsidR="008A6A7C" w:rsidRPr="00D5437E">
        <w:rPr>
          <w:sz w:val="24"/>
          <w:szCs w:val="24"/>
        </w:rPr>
        <w:t>Respondent Universe</w:t>
      </w:r>
      <w:bookmarkEnd w:id="13"/>
      <w:bookmarkEnd w:id="14"/>
    </w:p>
    <w:p w14:paraId="3AFE6F0B" w14:textId="77777777" w:rsidR="004B3BBF" w:rsidRPr="00D5437E" w:rsidRDefault="004B3BBF" w:rsidP="00186D36">
      <w:pPr>
        <w:jc w:val="left"/>
        <w:rPr>
          <w:sz w:val="24"/>
          <w:szCs w:val="24"/>
        </w:rPr>
      </w:pPr>
    </w:p>
    <w:p w14:paraId="4DF6BB02" w14:textId="77777777" w:rsidR="004B3BBF" w:rsidRPr="00D5437E" w:rsidRDefault="00BC4AA4" w:rsidP="00186D36">
      <w:pPr>
        <w:jc w:val="left"/>
        <w:rPr>
          <w:sz w:val="24"/>
          <w:szCs w:val="24"/>
        </w:rPr>
      </w:pPr>
      <w:r w:rsidRPr="00D5437E">
        <w:rPr>
          <w:b/>
          <w:sz w:val="24"/>
          <w:szCs w:val="24"/>
        </w:rPr>
        <w:t>Baseline Information Form</w:t>
      </w:r>
    </w:p>
    <w:p w14:paraId="0D71168B" w14:textId="77777777" w:rsidR="003941E5" w:rsidRPr="00D5437E" w:rsidRDefault="007A7045" w:rsidP="00186D36">
      <w:pPr>
        <w:jc w:val="left"/>
        <w:rPr>
          <w:sz w:val="24"/>
          <w:szCs w:val="24"/>
        </w:rPr>
      </w:pPr>
      <w:r w:rsidRPr="00D5437E">
        <w:rPr>
          <w:sz w:val="24"/>
          <w:szCs w:val="24"/>
        </w:rPr>
        <w:t xml:space="preserve">DOL is selecting the six grantees to participate in the RCT based on several criteria including their ability to generate needed sample sizes, innovative training models, capacity, and other factors. Sites will use their existing eligibility criteria to identify people who are eligible for the program. </w:t>
      </w:r>
      <w:r w:rsidR="004B3BBF" w:rsidRPr="00D5437E">
        <w:rPr>
          <w:sz w:val="24"/>
          <w:szCs w:val="24"/>
        </w:rPr>
        <w:t xml:space="preserve">The respondent universe consists of all individuals who are randomized to participate in the </w:t>
      </w:r>
      <w:r w:rsidR="00A974FC" w:rsidRPr="00D5437E">
        <w:rPr>
          <w:sz w:val="24"/>
          <w:szCs w:val="24"/>
        </w:rPr>
        <w:t>TechHire or SWFI</w:t>
      </w:r>
      <w:r w:rsidR="004B3BBF" w:rsidRPr="00D5437E">
        <w:rPr>
          <w:sz w:val="24"/>
          <w:szCs w:val="24"/>
        </w:rPr>
        <w:t xml:space="preserve"> </w:t>
      </w:r>
      <w:r w:rsidR="00ED223D" w:rsidRPr="00D5437E">
        <w:rPr>
          <w:sz w:val="24"/>
          <w:szCs w:val="24"/>
        </w:rPr>
        <w:t xml:space="preserve">treatment </w:t>
      </w:r>
      <w:r w:rsidR="004B3BBF" w:rsidRPr="00D5437E">
        <w:rPr>
          <w:sz w:val="24"/>
          <w:szCs w:val="24"/>
        </w:rPr>
        <w:t xml:space="preserve">or the control group during the study intake period (between </w:t>
      </w:r>
      <w:r w:rsidR="00A974FC" w:rsidRPr="00D5437E">
        <w:rPr>
          <w:sz w:val="24"/>
          <w:szCs w:val="24"/>
        </w:rPr>
        <w:t>January 2018</w:t>
      </w:r>
      <w:r w:rsidR="004B3BBF" w:rsidRPr="00D5437E">
        <w:rPr>
          <w:sz w:val="24"/>
          <w:szCs w:val="24"/>
        </w:rPr>
        <w:t xml:space="preserve"> and </w:t>
      </w:r>
      <w:r w:rsidR="00C24722" w:rsidRPr="00D5437E">
        <w:rPr>
          <w:sz w:val="24"/>
          <w:szCs w:val="24"/>
        </w:rPr>
        <w:t>December</w:t>
      </w:r>
      <w:r w:rsidR="00ED223D" w:rsidRPr="00D5437E">
        <w:rPr>
          <w:sz w:val="24"/>
          <w:szCs w:val="24"/>
        </w:rPr>
        <w:t xml:space="preserve"> </w:t>
      </w:r>
      <w:r w:rsidR="00A974FC" w:rsidRPr="00D5437E">
        <w:rPr>
          <w:sz w:val="24"/>
          <w:szCs w:val="24"/>
        </w:rPr>
        <w:t>2019</w:t>
      </w:r>
      <w:r w:rsidR="004B3BBF" w:rsidRPr="00D5437E">
        <w:rPr>
          <w:sz w:val="24"/>
          <w:szCs w:val="24"/>
        </w:rPr>
        <w:t xml:space="preserve">).  To be randomly assigned for the chance of participating in </w:t>
      </w:r>
      <w:r w:rsidR="00A974FC" w:rsidRPr="00D5437E">
        <w:rPr>
          <w:sz w:val="24"/>
          <w:szCs w:val="24"/>
        </w:rPr>
        <w:t>TechHire or SWFI</w:t>
      </w:r>
      <w:r w:rsidR="004B3BBF" w:rsidRPr="00D5437E">
        <w:rPr>
          <w:sz w:val="24"/>
          <w:szCs w:val="24"/>
        </w:rPr>
        <w:t xml:space="preserve">, an individual must apply to </w:t>
      </w:r>
      <w:r w:rsidR="00A974FC" w:rsidRPr="00D5437E">
        <w:rPr>
          <w:sz w:val="24"/>
          <w:szCs w:val="24"/>
        </w:rPr>
        <w:t>and be accepted at one of the 6</w:t>
      </w:r>
      <w:r w:rsidR="004B3BBF" w:rsidRPr="00D5437E">
        <w:rPr>
          <w:sz w:val="24"/>
          <w:szCs w:val="24"/>
        </w:rPr>
        <w:t xml:space="preserve"> </w:t>
      </w:r>
      <w:r w:rsidR="00A974FC" w:rsidRPr="00D5437E">
        <w:rPr>
          <w:sz w:val="24"/>
          <w:szCs w:val="24"/>
        </w:rPr>
        <w:t>TechHire or SWFI</w:t>
      </w:r>
      <w:r w:rsidR="004B3BBF" w:rsidRPr="00D5437E">
        <w:rPr>
          <w:sz w:val="24"/>
          <w:szCs w:val="24"/>
        </w:rPr>
        <w:t xml:space="preserve"> </w:t>
      </w:r>
      <w:r w:rsidR="00A974FC" w:rsidRPr="00D5437E">
        <w:rPr>
          <w:sz w:val="24"/>
          <w:szCs w:val="24"/>
        </w:rPr>
        <w:t xml:space="preserve">programs and provide </w:t>
      </w:r>
      <w:r w:rsidR="004B3BBF" w:rsidRPr="00D5437E">
        <w:rPr>
          <w:sz w:val="24"/>
          <w:szCs w:val="24"/>
        </w:rPr>
        <w:t xml:space="preserve">consent to participate in the study.  Therefore, the respondent universe is the subset of eligible individuals who apply to the </w:t>
      </w:r>
      <w:r w:rsidR="00A974FC" w:rsidRPr="00D5437E">
        <w:rPr>
          <w:sz w:val="24"/>
          <w:szCs w:val="24"/>
        </w:rPr>
        <w:t>6 TechHire or SWFI</w:t>
      </w:r>
      <w:r w:rsidR="004B3BBF" w:rsidRPr="00D5437E">
        <w:rPr>
          <w:sz w:val="24"/>
          <w:szCs w:val="24"/>
        </w:rPr>
        <w:t xml:space="preserve"> programs and </w:t>
      </w:r>
      <w:r w:rsidR="004B3BBF" w:rsidRPr="00D5437E">
        <w:rPr>
          <w:sz w:val="24"/>
          <w:szCs w:val="24"/>
        </w:rPr>
        <w:lastRenderedPageBreak/>
        <w:t xml:space="preserve">agree to participate in the study.  These individuals will be asked to complete the </w:t>
      </w:r>
      <w:r w:rsidR="00A974FC" w:rsidRPr="00D5437E">
        <w:rPr>
          <w:sz w:val="24"/>
          <w:szCs w:val="24"/>
        </w:rPr>
        <w:t>Baseline Information Form (BIF)</w:t>
      </w:r>
      <w:r w:rsidR="00ED223D" w:rsidRPr="00D5437E">
        <w:rPr>
          <w:sz w:val="24"/>
          <w:szCs w:val="24"/>
        </w:rPr>
        <w:t xml:space="preserve"> and Informed Consent Form (I</w:t>
      </w:r>
      <w:r w:rsidR="00211AC6">
        <w:rPr>
          <w:sz w:val="24"/>
          <w:szCs w:val="24"/>
        </w:rPr>
        <w:t>C</w:t>
      </w:r>
      <w:r w:rsidR="00ED223D" w:rsidRPr="00D5437E">
        <w:rPr>
          <w:sz w:val="24"/>
          <w:szCs w:val="24"/>
        </w:rPr>
        <w:t>F)</w:t>
      </w:r>
      <w:r w:rsidR="00A974FC" w:rsidRPr="00D5437E">
        <w:rPr>
          <w:sz w:val="24"/>
          <w:szCs w:val="24"/>
        </w:rPr>
        <w:t>.</w:t>
      </w:r>
      <w:r w:rsidR="003941E5" w:rsidRPr="00D5437E">
        <w:rPr>
          <w:sz w:val="24"/>
          <w:szCs w:val="24"/>
        </w:rPr>
        <w:t xml:space="preserve"> </w:t>
      </w:r>
    </w:p>
    <w:p w14:paraId="467A8BAB" w14:textId="77777777" w:rsidR="003941E5" w:rsidRPr="00D5437E" w:rsidRDefault="003941E5" w:rsidP="00186D36">
      <w:pPr>
        <w:jc w:val="left"/>
        <w:rPr>
          <w:sz w:val="24"/>
          <w:szCs w:val="24"/>
        </w:rPr>
      </w:pPr>
    </w:p>
    <w:p w14:paraId="664CE94C" w14:textId="77777777" w:rsidR="003941E5" w:rsidRPr="00D5437E" w:rsidRDefault="003941E5" w:rsidP="00186D36">
      <w:pPr>
        <w:jc w:val="left"/>
        <w:rPr>
          <w:sz w:val="24"/>
          <w:szCs w:val="24"/>
        </w:rPr>
      </w:pPr>
      <w:r w:rsidRPr="00D5437E">
        <w:rPr>
          <w:sz w:val="24"/>
          <w:szCs w:val="24"/>
        </w:rPr>
        <w:t xml:space="preserve">Each RCT site </w:t>
      </w:r>
      <w:r w:rsidR="00A34036" w:rsidRPr="00D5437E">
        <w:rPr>
          <w:sz w:val="24"/>
          <w:szCs w:val="24"/>
        </w:rPr>
        <w:t>is</w:t>
      </w:r>
      <w:r w:rsidRPr="00D5437E">
        <w:rPr>
          <w:sz w:val="24"/>
          <w:szCs w:val="24"/>
        </w:rPr>
        <w:t xml:space="preserve"> expected to enroll 600 individuals, 300 in the treatment group and 300 in the control group</w:t>
      </w:r>
      <w:r w:rsidR="00253B2C" w:rsidRPr="00D5437E">
        <w:rPr>
          <w:sz w:val="24"/>
          <w:szCs w:val="24"/>
        </w:rPr>
        <w:t xml:space="preserve">, for a total of </w:t>
      </w:r>
      <w:r w:rsidR="006567DA" w:rsidRPr="00D5437E">
        <w:rPr>
          <w:sz w:val="24"/>
          <w:szCs w:val="24"/>
        </w:rPr>
        <w:t>3</w:t>
      </w:r>
      <w:r w:rsidR="00253B2C" w:rsidRPr="00D5437E">
        <w:rPr>
          <w:sz w:val="24"/>
          <w:szCs w:val="24"/>
        </w:rPr>
        <w:t>,</w:t>
      </w:r>
      <w:r w:rsidR="006567DA" w:rsidRPr="00D5437E">
        <w:rPr>
          <w:sz w:val="24"/>
          <w:szCs w:val="24"/>
        </w:rPr>
        <w:t>6</w:t>
      </w:r>
      <w:r w:rsidR="00253B2C" w:rsidRPr="00D5437E">
        <w:rPr>
          <w:sz w:val="24"/>
          <w:szCs w:val="24"/>
        </w:rPr>
        <w:t>00 participants overall</w:t>
      </w:r>
      <w:r w:rsidR="00B824FD" w:rsidRPr="00D5437E">
        <w:rPr>
          <w:sz w:val="24"/>
          <w:szCs w:val="24"/>
        </w:rPr>
        <w:t xml:space="preserve"> (see table B</w:t>
      </w:r>
      <w:r w:rsidR="0045281F" w:rsidRPr="00D5437E">
        <w:rPr>
          <w:sz w:val="24"/>
          <w:szCs w:val="24"/>
        </w:rPr>
        <w:t>.1.1</w:t>
      </w:r>
      <w:r w:rsidR="00B824FD" w:rsidRPr="00D5437E">
        <w:rPr>
          <w:sz w:val="24"/>
          <w:szCs w:val="24"/>
        </w:rPr>
        <w:t>)</w:t>
      </w:r>
      <w:r w:rsidR="00253B2C" w:rsidRPr="00D5437E">
        <w:rPr>
          <w:sz w:val="24"/>
          <w:szCs w:val="24"/>
        </w:rPr>
        <w:t>.</w:t>
      </w:r>
    </w:p>
    <w:p w14:paraId="2F9F0212" w14:textId="77777777" w:rsidR="00A974FC" w:rsidRPr="00D5437E" w:rsidRDefault="00A974FC" w:rsidP="00186D36">
      <w:pPr>
        <w:jc w:val="left"/>
        <w:rPr>
          <w:sz w:val="24"/>
          <w:szCs w:val="24"/>
        </w:rPr>
      </w:pPr>
    </w:p>
    <w:p w14:paraId="021F30E1" w14:textId="77777777" w:rsidR="00A974FC" w:rsidRPr="00D5437E" w:rsidRDefault="00A974FC" w:rsidP="00186D36">
      <w:pPr>
        <w:jc w:val="left"/>
        <w:rPr>
          <w:b/>
          <w:sz w:val="24"/>
          <w:szCs w:val="24"/>
        </w:rPr>
      </w:pPr>
      <w:r w:rsidRPr="00D5437E">
        <w:rPr>
          <w:b/>
          <w:sz w:val="24"/>
          <w:szCs w:val="24"/>
        </w:rPr>
        <w:t>6-Month Follow-Up Survey</w:t>
      </w:r>
    </w:p>
    <w:p w14:paraId="01A2CE08" w14:textId="77777777" w:rsidR="00A974FC" w:rsidRPr="00D5437E" w:rsidRDefault="00A974FC" w:rsidP="00186D36">
      <w:pPr>
        <w:jc w:val="left"/>
        <w:rPr>
          <w:sz w:val="24"/>
          <w:szCs w:val="24"/>
        </w:rPr>
      </w:pPr>
      <w:r w:rsidRPr="00D5437E">
        <w:rPr>
          <w:sz w:val="24"/>
          <w:szCs w:val="24"/>
        </w:rPr>
        <w:t>The universe of respondents for the 6-month follow up survey is all individuals who are in the treatment and control groups. We do not plan to select a sample.</w:t>
      </w:r>
    </w:p>
    <w:p w14:paraId="5DC6B56A" w14:textId="77777777" w:rsidR="00A974FC" w:rsidRPr="00D5437E" w:rsidRDefault="00A974FC" w:rsidP="00186D36">
      <w:pPr>
        <w:jc w:val="left"/>
        <w:rPr>
          <w:sz w:val="24"/>
          <w:szCs w:val="24"/>
        </w:rPr>
      </w:pPr>
    </w:p>
    <w:p w14:paraId="2B2A904D" w14:textId="77777777" w:rsidR="00DD372B" w:rsidRPr="00D5437E" w:rsidRDefault="000C6E09" w:rsidP="00186D36">
      <w:pPr>
        <w:jc w:val="left"/>
        <w:rPr>
          <w:sz w:val="24"/>
          <w:szCs w:val="24"/>
        </w:rPr>
      </w:pPr>
      <w:r w:rsidRPr="00D5437E">
        <w:rPr>
          <w:sz w:val="24"/>
          <w:szCs w:val="24"/>
        </w:rPr>
        <w:t>We expect an 80 percent response rate to both the 6-month follow-up survey.</w:t>
      </w:r>
    </w:p>
    <w:p w14:paraId="1AEE96D1" w14:textId="77777777" w:rsidR="000C6E09" w:rsidRDefault="000C6E09" w:rsidP="00186D36">
      <w:pPr>
        <w:jc w:val="left"/>
      </w:pPr>
    </w:p>
    <w:p w14:paraId="4E1C9648" w14:textId="77777777" w:rsidR="000C6E09" w:rsidRPr="00B8644F" w:rsidRDefault="000C6E09" w:rsidP="00186D36">
      <w:pPr>
        <w:jc w:val="left"/>
        <w:rPr>
          <w:b/>
        </w:rPr>
      </w:pPr>
      <w:r w:rsidRPr="00B8644F">
        <w:rPr>
          <w:b/>
        </w:rPr>
        <w:t>Table B</w:t>
      </w:r>
      <w:r w:rsidR="0045281F">
        <w:rPr>
          <w:b/>
        </w:rPr>
        <w:t>.</w:t>
      </w:r>
      <w:r w:rsidRPr="00B8644F">
        <w:rPr>
          <w:b/>
        </w:rPr>
        <w:t>1</w:t>
      </w:r>
      <w:r w:rsidR="000A2B18" w:rsidRPr="00B8644F">
        <w:rPr>
          <w:b/>
        </w:rPr>
        <w:t>.</w:t>
      </w:r>
      <w:r w:rsidR="0045281F">
        <w:rPr>
          <w:b/>
        </w:rPr>
        <w:t>1</w:t>
      </w:r>
      <w:r w:rsidRPr="00B8644F">
        <w:rPr>
          <w:b/>
        </w:rPr>
        <w:t xml:space="preserve"> </w:t>
      </w:r>
      <w:r w:rsidR="00A51A6B">
        <w:rPr>
          <w:b/>
        </w:rPr>
        <w:tab/>
      </w:r>
      <w:r w:rsidRPr="00B8644F">
        <w:rPr>
          <w:b/>
        </w:rPr>
        <w:t xml:space="preserve">Expected </w:t>
      </w:r>
      <w:r w:rsidR="000A2B18" w:rsidRPr="00B8644F">
        <w:rPr>
          <w:b/>
        </w:rPr>
        <w:t>Number of Treatment and Control Group Members and Survey Respondents</w:t>
      </w:r>
    </w:p>
    <w:tbl>
      <w:tblPr>
        <w:tblStyle w:val="TableGrid"/>
        <w:tblW w:w="0" w:type="auto"/>
        <w:tblLook w:val="04A0" w:firstRow="1" w:lastRow="0" w:firstColumn="1" w:lastColumn="0" w:noHBand="0" w:noVBand="1"/>
      </w:tblPr>
      <w:tblGrid>
        <w:gridCol w:w="1998"/>
        <w:gridCol w:w="1832"/>
        <w:gridCol w:w="1915"/>
        <w:gridCol w:w="1915"/>
        <w:gridCol w:w="1916"/>
      </w:tblGrid>
      <w:tr w:rsidR="00B824FD" w14:paraId="784FB439" w14:textId="77777777" w:rsidTr="003A4D22">
        <w:tc>
          <w:tcPr>
            <w:tcW w:w="1998" w:type="dxa"/>
          </w:tcPr>
          <w:p w14:paraId="39BE3780" w14:textId="77777777" w:rsidR="00B824FD" w:rsidRPr="00D5437E" w:rsidRDefault="00B824FD">
            <w:pPr>
              <w:rPr>
                <w:rFonts w:ascii="Times New Roman" w:hAnsi="Times New Roman" w:cs="Times New Roman"/>
              </w:rPr>
            </w:pPr>
          </w:p>
        </w:tc>
        <w:tc>
          <w:tcPr>
            <w:tcW w:w="1832" w:type="dxa"/>
          </w:tcPr>
          <w:p w14:paraId="51640031" w14:textId="77777777" w:rsidR="00B824FD" w:rsidRPr="00D5437E" w:rsidRDefault="00B824FD" w:rsidP="00B8644F">
            <w:pPr>
              <w:jc w:val="center"/>
              <w:rPr>
                <w:rFonts w:ascii="Times New Roman" w:hAnsi="Times New Roman" w:cs="Times New Roman"/>
              </w:rPr>
            </w:pPr>
          </w:p>
        </w:tc>
        <w:tc>
          <w:tcPr>
            <w:tcW w:w="1915" w:type="dxa"/>
          </w:tcPr>
          <w:p w14:paraId="046837B7" w14:textId="77777777" w:rsidR="00B824FD" w:rsidRPr="00D5437E" w:rsidRDefault="00B824FD" w:rsidP="00B8644F">
            <w:pPr>
              <w:jc w:val="center"/>
              <w:rPr>
                <w:rFonts w:ascii="Times New Roman" w:hAnsi="Times New Roman" w:cs="Times New Roman"/>
                <w:b/>
              </w:rPr>
            </w:pPr>
            <w:r w:rsidRPr="00D5437E">
              <w:rPr>
                <w:rFonts w:ascii="Times New Roman" w:hAnsi="Times New Roman" w:cs="Times New Roman"/>
                <w:b/>
              </w:rPr>
              <w:t>Treatment</w:t>
            </w:r>
          </w:p>
        </w:tc>
        <w:tc>
          <w:tcPr>
            <w:tcW w:w="1915" w:type="dxa"/>
          </w:tcPr>
          <w:p w14:paraId="2D2E07C7" w14:textId="77777777" w:rsidR="00B824FD" w:rsidRPr="00D5437E" w:rsidRDefault="00B824FD" w:rsidP="00B8644F">
            <w:pPr>
              <w:jc w:val="center"/>
              <w:rPr>
                <w:rFonts w:ascii="Times New Roman" w:hAnsi="Times New Roman" w:cs="Times New Roman"/>
                <w:b/>
              </w:rPr>
            </w:pPr>
            <w:r w:rsidRPr="00D5437E">
              <w:rPr>
                <w:rFonts w:ascii="Times New Roman" w:hAnsi="Times New Roman" w:cs="Times New Roman"/>
                <w:b/>
              </w:rPr>
              <w:t>Control</w:t>
            </w:r>
          </w:p>
        </w:tc>
        <w:tc>
          <w:tcPr>
            <w:tcW w:w="1916" w:type="dxa"/>
          </w:tcPr>
          <w:p w14:paraId="59ED1BC8" w14:textId="77777777" w:rsidR="00B824FD" w:rsidRPr="00D5437E" w:rsidRDefault="00B824FD" w:rsidP="00B8644F">
            <w:pPr>
              <w:jc w:val="center"/>
              <w:rPr>
                <w:rFonts w:ascii="Times New Roman" w:hAnsi="Times New Roman" w:cs="Times New Roman"/>
                <w:b/>
              </w:rPr>
            </w:pPr>
            <w:r w:rsidRPr="00D5437E">
              <w:rPr>
                <w:rFonts w:ascii="Times New Roman" w:hAnsi="Times New Roman" w:cs="Times New Roman"/>
                <w:b/>
              </w:rPr>
              <w:t>Total</w:t>
            </w:r>
          </w:p>
        </w:tc>
      </w:tr>
      <w:tr w:rsidR="00DD372B" w14:paraId="6C0FA443" w14:textId="77777777" w:rsidTr="003A4D22">
        <w:tc>
          <w:tcPr>
            <w:tcW w:w="1998" w:type="dxa"/>
            <w:vMerge w:val="restart"/>
            <w:vAlign w:val="center"/>
          </w:tcPr>
          <w:p w14:paraId="24C1F67B" w14:textId="77777777" w:rsidR="00DD372B" w:rsidRPr="00D5437E" w:rsidRDefault="00DD372B" w:rsidP="00B8644F">
            <w:pPr>
              <w:jc w:val="left"/>
              <w:rPr>
                <w:rFonts w:ascii="Times New Roman" w:hAnsi="Times New Roman" w:cs="Times New Roman"/>
              </w:rPr>
            </w:pPr>
            <w:r w:rsidRPr="00D5437E">
              <w:rPr>
                <w:rFonts w:ascii="Times New Roman" w:hAnsi="Times New Roman" w:cs="Times New Roman"/>
              </w:rPr>
              <w:t>Expected Number of Respondents to Baseline Information Form</w:t>
            </w:r>
          </w:p>
        </w:tc>
        <w:tc>
          <w:tcPr>
            <w:tcW w:w="1832" w:type="dxa"/>
          </w:tcPr>
          <w:p w14:paraId="40198541"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1</w:t>
            </w:r>
          </w:p>
        </w:tc>
        <w:tc>
          <w:tcPr>
            <w:tcW w:w="1915" w:type="dxa"/>
          </w:tcPr>
          <w:p w14:paraId="2E19EDC6"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33C392A2"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70DD1230"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7BC56537" w14:textId="77777777" w:rsidTr="003A4D22">
        <w:tc>
          <w:tcPr>
            <w:tcW w:w="1998" w:type="dxa"/>
            <w:vMerge/>
            <w:vAlign w:val="center"/>
          </w:tcPr>
          <w:p w14:paraId="2F1D7CAD" w14:textId="77777777" w:rsidR="00DD372B" w:rsidRPr="00D5437E" w:rsidRDefault="00DD372B" w:rsidP="00B8644F">
            <w:pPr>
              <w:jc w:val="left"/>
              <w:rPr>
                <w:rFonts w:ascii="Times New Roman" w:hAnsi="Times New Roman" w:cs="Times New Roman"/>
              </w:rPr>
            </w:pPr>
          </w:p>
        </w:tc>
        <w:tc>
          <w:tcPr>
            <w:tcW w:w="1832" w:type="dxa"/>
          </w:tcPr>
          <w:p w14:paraId="1944C6B3"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2</w:t>
            </w:r>
          </w:p>
        </w:tc>
        <w:tc>
          <w:tcPr>
            <w:tcW w:w="1915" w:type="dxa"/>
          </w:tcPr>
          <w:p w14:paraId="7E87904C"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31B7BA8E"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707CB8A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47F3A855" w14:textId="77777777" w:rsidTr="003A4D22">
        <w:tc>
          <w:tcPr>
            <w:tcW w:w="1998" w:type="dxa"/>
            <w:vMerge/>
            <w:vAlign w:val="center"/>
          </w:tcPr>
          <w:p w14:paraId="5EC8DACD" w14:textId="77777777" w:rsidR="00DD372B" w:rsidRPr="00D5437E" w:rsidRDefault="00DD372B" w:rsidP="00B8644F">
            <w:pPr>
              <w:jc w:val="left"/>
              <w:rPr>
                <w:rFonts w:ascii="Times New Roman" w:hAnsi="Times New Roman" w:cs="Times New Roman"/>
              </w:rPr>
            </w:pPr>
          </w:p>
        </w:tc>
        <w:tc>
          <w:tcPr>
            <w:tcW w:w="1832" w:type="dxa"/>
          </w:tcPr>
          <w:p w14:paraId="5A7ED2FF"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3</w:t>
            </w:r>
          </w:p>
        </w:tc>
        <w:tc>
          <w:tcPr>
            <w:tcW w:w="1915" w:type="dxa"/>
          </w:tcPr>
          <w:p w14:paraId="4E716963"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6FE4D241"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3862F8E8"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11C9E4DB" w14:textId="77777777" w:rsidTr="003A4D22">
        <w:tc>
          <w:tcPr>
            <w:tcW w:w="1998" w:type="dxa"/>
            <w:vMerge/>
            <w:vAlign w:val="center"/>
          </w:tcPr>
          <w:p w14:paraId="698DACBA" w14:textId="77777777" w:rsidR="00DD372B" w:rsidRPr="00D5437E" w:rsidRDefault="00DD372B" w:rsidP="00B8644F">
            <w:pPr>
              <w:jc w:val="left"/>
              <w:rPr>
                <w:rFonts w:ascii="Times New Roman" w:hAnsi="Times New Roman" w:cs="Times New Roman"/>
              </w:rPr>
            </w:pPr>
          </w:p>
        </w:tc>
        <w:tc>
          <w:tcPr>
            <w:tcW w:w="1832" w:type="dxa"/>
          </w:tcPr>
          <w:p w14:paraId="7B285254"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4</w:t>
            </w:r>
          </w:p>
        </w:tc>
        <w:tc>
          <w:tcPr>
            <w:tcW w:w="1915" w:type="dxa"/>
          </w:tcPr>
          <w:p w14:paraId="54EB5CE5"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6457AB1C"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124C3CEC"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6B981245" w14:textId="77777777" w:rsidTr="003A4D22">
        <w:tc>
          <w:tcPr>
            <w:tcW w:w="1998" w:type="dxa"/>
            <w:vMerge/>
            <w:vAlign w:val="center"/>
          </w:tcPr>
          <w:p w14:paraId="095D651A" w14:textId="77777777" w:rsidR="00DD372B" w:rsidRPr="00D5437E" w:rsidRDefault="00DD372B" w:rsidP="00B8644F">
            <w:pPr>
              <w:jc w:val="left"/>
              <w:rPr>
                <w:rFonts w:ascii="Times New Roman" w:hAnsi="Times New Roman" w:cs="Times New Roman"/>
              </w:rPr>
            </w:pPr>
          </w:p>
        </w:tc>
        <w:tc>
          <w:tcPr>
            <w:tcW w:w="1832" w:type="dxa"/>
          </w:tcPr>
          <w:p w14:paraId="5EFC4B1E"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5</w:t>
            </w:r>
          </w:p>
        </w:tc>
        <w:tc>
          <w:tcPr>
            <w:tcW w:w="1915" w:type="dxa"/>
          </w:tcPr>
          <w:p w14:paraId="0FDAB25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53F8716C"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7D241073"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26A54B02" w14:textId="77777777" w:rsidTr="003A4D22">
        <w:tc>
          <w:tcPr>
            <w:tcW w:w="1998" w:type="dxa"/>
            <w:vMerge/>
            <w:vAlign w:val="center"/>
          </w:tcPr>
          <w:p w14:paraId="4401E311" w14:textId="77777777" w:rsidR="00DD372B" w:rsidRPr="00D5437E" w:rsidRDefault="00DD372B" w:rsidP="00B8644F">
            <w:pPr>
              <w:jc w:val="left"/>
              <w:rPr>
                <w:rFonts w:ascii="Times New Roman" w:hAnsi="Times New Roman" w:cs="Times New Roman"/>
              </w:rPr>
            </w:pPr>
          </w:p>
        </w:tc>
        <w:tc>
          <w:tcPr>
            <w:tcW w:w="1832" w:type="dxa"/>
          </w:tcPr>
          <w:p w14:paraId="1770E2B6"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6</w:t>
            </w:r>
          </w:p>
        </w:tc>
        <w:tc>
          <w:tcPr>
            <w:tcW w:w="1915" w:type="dxa"/>
          </w:tcPr>
          <w:p w14:paraId="60B62A4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5" w:type="dxa"/>
          </w:tcPr>
          <w:p w14:paraId="478178B4"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300</w:t>
            </w:r>
          </w:p>
        </w:tc>
        <w:tc>
          <w:tcPr>
            <w:tcW w:w="1916" w:type="dxa"/>
          </w:tcPr>
          <w:p w14:paraId="4D007C1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600</w:t>
            </w:r>
          </w:p>
        </w:tc>
      </w:tr>
      <w:tr w:rsidR="00DD372B" w14:paraId="55572A18" w14:textId="77777777" w:rsidTr="003A4D22">
        <w:tc>
          <w:tcPr>
            <w:tcW w:w="1998" w:type="dxa"/>
            <w:vMerge/>
            <w:vAlign w:val="center"/>
          </w:tcPr>
          <w:p w14:paraId="2E3B5E99" w14:textId="77777777" w:rsidR="00DD372B" w:rsidRPr="00D5437E" w:rsidRDefault="00DD372B" w:rsidP="00B8644F">
            <w:pPr>
              <w:jc w:val="left"/>
              <w:rPr>
                <w:rFonts w:ascii="Times New Roman" w:hAnsi="Times New Roman" w:cs="Times New Roman"/>
              </w:rPr>
            </w:pPr>
          </w:p>
        </w:tc>
        <w:tc>
          <w:tcPr>
            <w:tcW w:w="1832" w:type="dxa"/>
          </w:tcPr>
          <w:p w14:paraId="36A8E960"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All Sites</w:t>
            </w:r>
          </w:p>
        </w:tc>
        <w:tc>
          <w:tcPr>
            <w:tcW w:w="1915" w:type="dxa"/>
          </w:tcPr>
          <w:p w14:paraId="090DE0E5"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1,800</w:t>
            </w:r>
          </w:p>
        </w:tc>
        <w:tc>
          <w:tcPr>
            <w:tcW w:w="1915" w:type="dxa"/>
          </w:tcPr>
          <w:p w14:paraId="74795C92"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1,800</w:t>
            </w:r>
          </w:p>
        </w:tc>
        <w:tc>
          <w:tcPr>
            <w:tcW w:w="1916" w:type="dxa"/>
          </w:tcPr>
          <w:p w14:paraId="6EE153C2"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3,600</w:t>
            </w:r>
          </w:p>
        </w:tc>
      </w:tr>
      <w:tr w:rsidR="00DD372B" w14:paraId="47252D04" w14:textId="77777777" w:rsidTr="003A4D22">
        <w:tc>
          <w:tcPr>
            <w:tcW w:w="1998" w:type="dxa"/>
            <w:vMerge w:val="restart"/>
            <w:vAlign w:val="center"/>
          </w:tcPr>
          <w:p w14:paraId="0BF6B4DC" w14:textId="77777777" w:rsidR="00DD372B" w:rsidRPr="00D5437E" w:rsidRDefault="00DD372B" w:rsidP="008F3181">
            <w:pPr>
              <w:jc w:val="left"/>
              <w:rPr>
                <w:rFonts w:ascii="Times New Roman" w:hAnsi="Times New Roman" w:cs="Times New Roman"/>
              </w:rPr>
            </w:pPr>
            <w:r w:rsidRPr="00D5437E">
              <w:rPr>
                <w:rFonts w:ascii="Times New Roman" w:hAnsi="Times New Roman" w:cs="Times New Roman"/>
              </w:rPr>
              <w:t>Expect Number of Respondents to 6</w:t>
            </w:r>
            <w:r w:rsidR="008F3181" w:rsidRPr="00D5437E" w:rsidDel="008F3181">
              <w:rPr>
                <w:rFonts w:ascii="Times New Roman" w:hAnsi="Times New Roman" w:cs="Times New Roman"/>
              </w:rPr>
              <w:t xml:space="preserve"> </w:t>
            </w:r>
            <w:r w:rsidRPr="00D5437E">
              <w:rPr>
                <w:rFonts w:ascii="Times New Roman" w:hAnsi="Times New Roman" w:cs="Times New Roman"/>
              </w:rPr>
              <w:t>-Month Survey</w:t>
            </w:r>
          </w:p>
        </w:tc>
        <w:tc>
          <w:tcPr>
            <w:tcW w:w="1832" w:type="dxa"/>
          </w:tcPr>
          <w:p w14:paraId="1285231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1</w:t>
            </w:r>
          </w:p>
        </w:tc>
        <w:tc>
          <w:tcPr>
            <w:tcW w:w="1915" w:type="dxa"/>
          </w:tcPr>
          <w:p w14:paraId="18A08BB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621CBB34"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03469DED"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0D5374C7" w14:textId="77777777" w:rsidTr="003A4D22">
        <w:tc>
          <w:tcPr>
            <w:tcW w:w="1998" w:type="dxa"/>
            <w:vMerge/>
          </w:tcPr>
          <w:p w14:paraId="783CDAD4" w14:textId="77777777" w:rsidR="00DD372B" w:rsidRPr="00D5437E" w:rsidRDefault="00DD372B">
            <w:pPr>
              <w:rPr>
                <w:rFonts w:ascii="Times New Roman" w:hAnsi="Times New Roman" w:cs="Times New Roman"/>
              </w:rPr>
            </w:pPr>
          </w:p>
        </w:tc>
        <w:tc>
          <w:tcPr>
            <w:tcW w:w="1832" w:type="dxa"/>
          </w:tcPr>
          <w:p w14:paraId="51A3E8D5"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2</w:t>
            </w:r>
          </w:p>
        </w:tc>
        <w:tc>
          <w:tcPr>
            <w:tcW w:w="1915" w:type="dxa"/>
          </w:tcPr>
          <w:p w14:paraId="182809ED"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531174B5"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5FB712A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0B26E41B" w14:textId="77777777" w:rsidTr="003A4D22">
        <w:tc>
          <w:tcPr>
            <w:tcW w:w="1998" w:type="dxa"/>
            <w:vMerge/>
          </w:tcPr>
          <w:p w14:paraId="55B39D2E" w14:textId="77777777" w:rsidR="00DD372B" w:rsidRPr="00D5437E" w:rsidRDefault="00DD372B">
            <w:pPr>
              <w:rPr>
                <w:rFonts w:ascii="Times New Roman" w:hAnsi="Times New Roman" w:cs="Times New Roman"/>
              </w:rPr>
            </w:pPr>
          </w:p>
        </w:tc>
        <w:tc>
          <w:tcPr>
            <w:tcW w:w="1832" w:type="dxa"/>
          </w:tcPr>
          <w:p w14:paraId="66A1D1F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3</w:t>
            </w:r>
          </w:p>
        </w:tc>
        <w:tc>
          <w:tcPr>
            <w:tcW w:w="1915" w:type="dxa"/>
          </w:tcPr>
          <w:p w14:paraId="6900CBE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5E9BD262"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1AE2D58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172A35B2" w14:textId="77777777" w:rsidTr="003A4D22">
        <w:tc>
          <w:tcPr>
            <w:tcW w:w="1998" w:type="dxa"/>
            <w:vMerge/>
          </w:tcPr>
          <w:p w14:paraId="6E099288" w14:textId="77777777" w:rsidR="00DD372B" w:rsidRPr="00D5437E" w:rsidRDefault="00DD372B">
            <w:pPr>
              <w:rPr>
                <w:rFonts w:ascii="Times New Roman" w:hAnsi="Times New Roman" w:cs="Times New Roman"/>
              </w:rPr>
            </w:pPr>
          </w:p>
        </w:tc>
        <w:tc>
          <w:tcPr>
            <w:tcW w:w="1832" w:type="dxa"/>
          </w:tcPr>
          <w:p w14:paraId="00476A7D"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4</w:t>
            </w:r>
          </w:p>
        </w:tc>
        <w:tc>
          <w:tcPr>
            <w:tcW w:w="1915" w:type="dxa"/>
          </w:tcPr>
          <w:p w14:paraId="4ECCF348"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279E0200"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73BF90FD"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2D72FBF7" w14:textId="77777777" w:rsidTr="003A4D22">
        <w:tc>
          <w:tcPr>
            <w:tcW w:w="1998" w:type="dxa"/>
            <w:vMerge/>
          </w:tcPr>
          <w:p w14:paraId="495AA3D6" w14:textId="77777777" w:rsidR="00DD372B" w:rsidRPr="00D5437E" w:rsidRDefault="00DD372B">
            <w:pPr>
              <w:rPr>
                <w:rFonts w:ascii="Times New Roman" w:hAnsi="Times New Roman" w:cs="Times New Roman"/>
              </w:rPr>
            </w:pPr>
          </w:p>
        </w:tc>
        <w:tc>
          <w:tcPr>
            <w:tcW w:w="1832" w:type="dxa"/>
          </w:tcPr>
          <w:p w14:paraId="354C2F18"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5</w:t>
            </w:r>
          </w:p>
        </w:tc>
        <w:tc>
          <w:tcPr>
            <w:tcW w:w="1915" w:type="dxa"/>
          </w:tcPr>
          <w:p w14:paraId="46B78A34"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0A3DC89B"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7F45A25E"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2C747ECA" w14:textId="77777777" w:rsidTr="003A4D22">
        <w:tc>
          <w:tcPr>
            <w:tcW w:w="1998" w:type="dxa"/>
            <w:vMerge/>
          </w:tcPr>
          <w:p w14:paraId="2F390A79" w14:textId="77777777" w:rsidR="00DD372B" w:rsidRPr="00D5437E" w:rsidRDefault="00DD372B">
            <w:pPr>
              <w:rPr>
                <w:rFonts w:ascii="Times New Roman" w:hAnsi="Times New Roman" w:cs="Times New Roman"/>
              </w:rPr>
            </w:pPr>
          </w:p>
        </w:tc>
        <w:tc>
          <w:tcPr>
            <w:tcW w:w="1832" w:type="dxa"/>
          </w:tcPr>
          <w:p w14:paraId="3A539255"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Site 6</w:t>
            </w:r>
          </w:p>
        </w:tc>
        <w:tc>
          <w:tcPr>
            <w:tcW w:w="1915" w:type="dxa"/>
          </w:tcPr>
          <w:p w14:paraId="3321A092"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5" w:type="dxa"/>
          </w:tcPr>
          <w:p w14:paraId="2C19C4C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240</w:t>
            </w:r>
          </w:p>
        </w:tc>
        <w:tc>
          <w:tcPr>
            <w:tcW w:w="1916" w:type="dxa"/>
          </w:tcPr>
          <w:p w14:paraId="739EC18F"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480</w:t>
            </w:r>
          </w:p>
        </w:tc>
      </w:tr>
      <w:tr w:rsidR="00DD372B" w14:paraId="4FF41262" w14:textId="77777777" w:rsidTr="003A4D22">
        <w:tc>
          <w:tcPr>
            <w:tcW w:w="1998" w:type="dxa"/>
            <w:vMerge/>
          </w:tcPr>
          <w:p w14:paraId="0C30DE55" w14:textId="77777777" w:rsidR="00DD372B" w:rsidRPr="00D5437E" w:rsidRDefault="00DD372B">
            <w:pPr>
              <w:rPr>
                <w:rFonts w:ascii="Times New Roman" w:hAnsi="Times New Roman" w:cs="Times New Roman"/>
              </w:rPr>
            </w:pPr>
          </w:p>
        </w:tc>
        <w:tc>
          <w:tcPr>
            <w:tcW w:w="1832" w:type="dxa"/>
          </w:tcPr>
          <w:p w14:paraId="49CE1947"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All Sites</w:t>
            </w:r>
          </w:p>
        </w:tc>
        <w:tc>
          <w:tcPr>
            <w:tcW w:w="1915" w:type="dxa"/>
          </w:tcPr>
          <w:p w14:paraId="02AC8DB1"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1,440</w:t>
            </w:r>
          </w:p>
        </w:tc>
        <w:tc>
          <w:tcPr>
            <w:tcW w:w="1915" w:type="dxa"/>
          </w:tcPr>
          <w:p w14:paraId="30C46B0F"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1,440</w:t>
            </w:r>
          </w:p>
        </w:tc>
        <w:tc>
          <w:tcPr>
            <w:tcW w:w="1916" w:type="dxa"/>
          </w:tcPr>
          <w:p w14:paraId="7A4BFB49" w14:textId="77777777" w:rsidR="00DD372B" w:rsidRPr="00D5437E" w:rsidRDefault="00DD372B" w:rsidP="00B8644F">
            <w:pPr>
              <w:jc w:val="center"/>
              <w:rPr>
                <w:rFonts w:ascii="Times New Roman" w:hAnsi="Times New Roman" w:cs="Times New Roman"/>
              </w:rPr>
            </w:pPr>
            <w:r w:rsidRPr="00D5437E">
              <w:rPr>
                <w:rFonts w:ascii="Times New Roman" w:hAnsi="Times New Roman" w:cs="Times New Roman"/>
              </w:rPr>
              <w:t>2,880</w:t>
            </w:r>
          </w:p>
        </w:tc>
      </w:tr>
    </w:tbl>
    <w:p w14:paraId="617224F9" w14:textId="77777777" w:rsidR="00B824FD" w:rsidRDefault="00B824FD" w:rsidP="00DD372B"/>
    <w:p w14:paraId="73014975" w14:textId="77777777" w:rsidR="000C6E09" w:rsidRDefault="000C6E09" w:rsidP="00DD372B"/>
    <w:p w14:paraId="136C0804" w14:textId="77777777" w:rsidR="00205CCE" w:rsidRPr="00D5437E" w:rsidRDefault="00205CCE" w:rsidP="00186D36">
      <w:pPr>
        <w:jc w:val="left"/>
        <w:rPr>
          <w:b/>
          <w:sz w:val="24"/>
          <w:szCs w:val="24"/>
        </w:rPr>
      </w:pPr>
      <w:r w:rsidRPr="00D5437E">
        <w:rPr>
          <w:b/>
          <w:sz w:val="24"/>
          <w:szCs w:val="24"/>
        </w:rPr>
        <w:t>Site Visit</w:t>
      </w:r>
      <w:r w:rsidR="00DD372B" w:rsidRPr="00D5437E">
        <w:rPr>
          <w:b/>
          <w:sz w:val="24"/>
          <w:szCs w:val="24"/>
        </w:rPr>
        <w:t>s</w:t>
      </w:r>
    </w:p>
    <w:p w14:paraId="327C3455" w14:textId="77777777" w:rsidR="0022221F" w:rsidRDefault="00DD372B" w:rsidP="00186D36">
      <w:pPr>
        <w:jc w:val="left"/>
        <w:rPr>
          <w:sz w:val="24"/>
          <w:szCs w:val="24"/>
        </w:rPr>
      </w:pPr>
      <w:r w:rsidRPr="00D5437E">
        <w:rPr>
          <w:sz w:val="24"/>
          <w:szCs w:val="24"/>
        </w:rPr>
        <w:t xml:space="preserve">The study team will conduct sites visits to the six RCT sites. Each visit will be 2-3 days in length, and will include hour interviews with </w:t>
      </w:r>
      <w:r w:rsidR="00A34036" w:rsidRPr="00D5437E">
        <w:rPr>
          <w:sz w:val="24"/>
          <w:szCs w:val="24"/>
        </w:rPr>
        <w:t xml:space="preserve">each </w:t>
      </w:r>
      <w:r w:rsidRPr="00D5437E">
        <w:rPr>
          <w:sz w:val="24"/>
          <w:szCs w:val="24"/>
        </w:rPr>
        <w:t xml:space="preserve">staff and observations of program operations. The study team will interview grantee program staff, such as the Program Director, Program Manager/Coordinator, Data Analysts, and other support staff at each grantee site. The study team will also interview grantee partners, including training partners and employer partners. </w:t>
      </w:r>
      <w:r w:rsidR="007E6372" w:rsidRPr="00D5437E">
        <w:rPr>
          <w:sz w:val="24"/>
          <w:szCs w:val="24"/>
        </w:rPr>
        <w:t>Interviews wills be conducted with 10 grantee program staff and 8 partners during each site visit, for a total of 60 grantee staff and 48 partners. Each interview will take one hour.</w:t>
      </w:r>
      <w:r w:rsidR="005D4F72" w:rsidRPr="00D5437E">
        <w:rPr>
          <w:sz w:val="24"/>
          <w:szCs w:val="24"/>
        </w:rPr>
        <w:t xml:space="preserve"> We will not use any statistical methods in the selection of grantee staff or partners.</w:t>
      </w:r>
      <w:bookmarkEnd w:id="4"/>
    </w:p>
    <w:p w14:paraId="61F0612A" w14:textId="77777777" w:rsidR="00D42AF5" w:rsidRDefault="00D42AF5" w:rsidP="00186D36">
      <w:pPr>
        <w:jc w:val="left"/>
        <w:rPr>
          <w:sz w:val="24"/>
          <w:szCs w:val="24"/>
        </w:rPr>
      </w:pPr>
    </w:p>
    <w:p w14:paraId="5DCC829D" w14:textId="77777777" w:rsidR="00D42AF5" w:rsidRPr="00D5437E" w:rsidRDefault="00343C94" w:rsidP="00D42AF5">
      <w:pPr>
        <w:jc w:val="left"/>
        <w:rPr>
          <w:b/>
          <w:sz w:val="24"/>
          <w:szCs w:val="24"/>
        </w:rPr>
      </w:pPr>
      <w:r>
        <w:rPr>
          <w:b/>
          <w:sz w:val="24"/>
          <w:szCs w:val="24"/>
        </w:rPr>
        <w:t>Participant Tracking Form</w:t>
      </w:r>
    </w:p>
    <w:p w14:paraId="09BBB2A1" w14:textId="77777777" w:rsidR="00D42AF5" w:rsidRPr="00D5437E" w:rsidRDefault="00D42AF5" w:rsidP="00D42AF5">
      <w:pPr>
        <w:jc w:val="left"/>
        <w:rPr>
          <w:sz w:val="24"/>
          <w:szCs w:val="24"/>
        </w:rPr>
      </w:pPr>
      <w:r w:rsidRPr="00D5437E">
        <w:rPr>
          <w:sz w:val="24"/>
          <w:szCs w:val="24"/>
        </w:rPr>
        <w:lastRenderedPageBreak/>
        <w:t>The universe of respondents for the 6-month follow up survey is all individuals who are in the treatment and control groups. We do not plan to select a sample.</w:t>
      </w:r>
    </w:p>
    <w:p w14:paraId="00C08C0E" w14:textId="77777777" w:rsidR="00415164" w:rsidRPr="00D95F56" w:rsidRDefault="00415164" w:rsidP="00186D36">
      <w:pPr>
        <w:jc w:val="left"/>
        <w:rPr>
          <w:highlight w:val="yellow"/>
        </w:rPr>
      </w:pPr>
    </w:p>
    <w:p w14:paraId="75C9A616" w14:textId="77777777" w:rsidR="006A2EDE" w:rsidRPr="00D5437E" w:rsidRDefault="008A6A7C" w:rsidP="00186D36">
      <w:pPr>
        <w:pStyle w:val="Heading1"/>
        <w:spacing w:line="276" w:lineRule="auto"/>
        <w:jc w:val="left"/>
        <w:rPr>
          <w:sz w:val="24"/>
          <w:szCs w:val="24"/>
        </w:rPr>
      </w:pPr>
      <w:bookmarkStart w:id="15" w:name="_Toc329341117"/>
      <w:bookmarkStart w:id="16" w:name="_Toc290021782"/>
      <w:bookmarkStart w:id="17" w:name="_Toc287257090"/>
      <w:bookmarkStart w:id="18" w:name="_Toc287257036"/>
      <w:bookmarkStart w:id="19" w:name="_Toc400377724"/>
      <w:bookmarkStart w:id="20" w:name="_Toc409090901"/>
      <w:bookmarkStart w:id="21" w:name="_Toc474235253"/>
      <w:r w:rsidRPr="00D5437E">
        <w:rPr>
          <w:sz w:val="24"/>
          <w:szCs w:val="24"/>
        </w:rPr>
        <w:t>B.2</w:t>
      </w:r>
      <w:r w:rsidRPr="00D5437E">
        <w:rPr>
          <w:sz w:val="24"/>
          <w:szCs w:val="24"/>
        </w:rPr>
        <w:tab/>
        <w:t>Procedures for the Collection of Information</w:t>
      </w:r>
      <w:bookmarkEnd w:id="15"/>
      <w:bookmarkEnd w:id="16"/>
      <w:bookmarkEnd w:id="17"/>
      <w:bookmarkEnd w:id="18"/>
      <w:bookmarkEnd w:id="19"/>
      <w:bookmarkEnd w:id="20"/>
      <w:bookmarkEnd w:id="21"/>
    </w:p>
    <w:p w14:paraId="53F59241" w14:textId="77777777" w:rsidR="006A5E5C" w:rsidRPr="00D5437E" w:rsidRDefault="006A5E5C" w:rsidP="00186D36">
      <w:pPr>
        <w:pStyle w:val="Heading1"/>
        <w:spacing w:line="276" w:lineRule="auto"/>
        <w:jc w:val="left"/>
        <w:rPr>
          <w:sz w:val="24"/>
          <w:szCs w:val="24"/>
        </w:rPr>
      </w:pPr>
      <w:bookmarkStart w:id="22" w:name="_Toc409090902"/>
    </w:p>
    <w:p w14:paraId="0EF89B29" w14:textId="77777777" w:rsidR="008731C6" w:rsidRPr="00D5437E" w:rsidRDefault="00063D33" w:rsidP="00186D36">
      <w:pPr>
        <w:pStyle w:val="Heading1"/>
        <w:spacing w:line="276" w:lineRule="auto"/>
        <w:jc w:val="left"/>
        <w:rPr>
          <w:sz w:val="24"/>
          <w:szCs w:val="24"/>
        </w:rPr>
      </w:pPr>
      <w:bookmarkStart w:id="23" w:name="_Toc474235254"/>
      <w:r w:rsidRPr="00D5437E">
        <w:rPr>
          <w:sz w:val="24"/>
          <w:szCs w:val="24"/>
        </w:rPr>
        <w:t>B.2.1</w:t>
      </w:r>
      <w:r w:rsidRPr="00D5437E">
        <w:rPr>
          <w:sz w:val="24"/>
          <w:szCs w:val="24"/>
        </w:rPr>
        <w:tab/>
      </w:r>
      <w:r w:rsidR="008731C6" w:rsidRPr="00D5437E">
        <w:rPr>
          <w:sz w:val="24"/>
          <w:szCs w:val="24"/>
        </w:rPr>
        <w:t>Statistical Me</w:t>
      </w:r>
      <w:r w:rsidR="00D30242" w:rsidRPr="00D5437E">
        <w:rPr>
          <w:sz w:val="24"/>
          <w:szCs w:val="24"/>
        </w:rPr>
        <w:t>t</w:t>
      </w:r>
      <w:r w:rsidR="008731C6" w:rsidRPr="00D5437E">
        <w:rPr>
          <w:sz w:val="24"/>
          <w:szCs w:val="24"/>
        </w:rPr>
        <w:t>hodology</w:t>
      </w:r>
      <w:r w:rsidR="008721BF" w:rsidRPr="00D5437E">
        <w:rPr>
          <w:sz w:val="24"/>
          <w:szCs w:val="24"/>
        </w:rPr>
        <w:t xml:space="preserve"> </w:t>
      </w:r>
      <w:r w:rsidR="00F3587E" w:rsidRPr="00D5437E">
        <w:rPr>
          <w:sz w:val="24"/>
          <w:szCs w:val="24"/>
        </w:rPr>
        <w:t>for Stratification and Sample Selection</w:t>
      </w:r>
      <w:bookmarkEnd w:id="23"/>
    </w:p>
    <w:p w14:paraId="72653BAC" w14:textId="77777777" w:rsidR="002A52B9" w:rsidRPr="00D5437E" w:rsidRDefault="002A52B9" w:rsidP="00186D36">
      <w:pPr>
        <w:pStyle w:val="NormalSS"/>
        <w:spacing w:line="276" w:lineRule="auto"/>
        <w:jc w:val="left"/>
        <w:rPr>
          <w:sz w:val="24"/>
        </w:rPr>
      </w:pPr>
    </w:p>
    <w:p w14:paraId="30AF3623" w14:textId="77777777" w:rsidR="00063D33" w:rsidRPr="00D5437E" w:rsidRDefault="00C352AE" w:rsidP="00186D36">
      <w:pPr>
        <w:jc w:val="left"/>
        <w:rPr>
          <w:sz w:val="24"/>
          <w:szCs w:val="24"/>
        </w:rPr>
      </w:pPr>
      <w:r w:rsidRPr="00D5437E">
        <w:rPr>
          <w:sz w:val="24"/>
          <w:szCs w:val="24"/>
        </w:rPr>
        <w:t xml:space="preserve">Of the 53 grantees, 6 will be part of the RCT study. Grantees </w:t>
      </w:r>
      <w:r w:rsidR="007611E2" w:rsidRPr="00D5437E">
        <w:rPr>
          <w:sz w:val="24"/>
          <w:szCs w:val="24"/>
        </w:rPr>
        <w:t>are being selected purposively. This selection process considers  three general criteria:  (1) the strength of the proposed program intervention and the demonstrated capability of the grantee to carry it out; (2) the readiness of the grantee to implement the research procedures, including the grantee’s ability to reach specific sample size goals, to maintain a clear contrast between the program and control groups, and to maintain a strong adherence to collecting high-quality data; and (3) cross-site research considerations relating to the mix of strategies, population targets, implementing institutions, and industry and occupational targets.</w:t>
      </w:r>
      <w:r w:rsidR="00063D33" w:rsidRPr="00D5437E">
        <w:rPr>
          <w:sz w:val="24"/>
          <w:szCs w:val="24"/>
        </w:rPr>
        <w:t xml:space="preserve"> </w:t>
      </w:r>
      <w:r w:rsidR="007611E2" w:rsidRPr="00D5437E">
        <w:rPr>
          <w:sz w:val="24"/>
          <w:szCs w:val="24"/>
        </w:rPr>
        <w:t>Some of these cross-site considerations include:</w:t>
      </w:r>
    </w:p>
    <w:p w14:paraId="4CBCB1E8" w14:textId="77777777" w:rsidR="007611E2" w:rsidRPr="00D5437E" w:rsidRDefault="00063D33" w:rsidP="00186D36">
      <w:pPr>
        <w:pStyle w:val="ListParagraph"/>
        <w:numPr>
          <w:ilvl w:val="0"/>
          <w:numId w:val="46"/>
        </w:numPr>
        <w:jc w:val="left"/>
        <w:rPr>
          <w:sz w:val="24"/>
          <w:szCs w:val="24"/>
        </w:rPr>
      </w:pPr>
      <w:r w:rsidRPr="00D5437E">
        <w:rPr>
          <w:sz w:val="24"/>
          <w:szCs w:val="24"/>
        </w:rPr>
        <w:t>T</w:t>
      </w:r>
      <w:r w:rsidR="007611E2" w:rsidRPr="00D5437E">
        <w:rPr>
          <w:sz w:val="24"/>
          <w:szCs w:val="24"/>
        </w:rPr>
        <w:t xml:space="preserve">he relative importance of other features such as grantees that are undertaking different programs so that the RCTs cover a spectrum of, for example, training approaches and populations, have a range of locations within a grantee, use different types of providers, or are located in different </w:t>
      </w:r>
      <w:r w:rsidRPr="00D5437E">
        <w:rPr>
          <w:sz w:val="24"/>
          <w:szCs w:val="24"/>
        </w:rPr>
        <w:t>regions of the country; and</w:t>
      </w:r>
    </w:p>
    <w:p w14:paraId="7E01FF46" w14:textId="77777777" w:rsidR="007611E2" w:rsidRPr="00D5437E" w:rsidRDefault="00063D33" w:rsidP="00186D36">
      <w:pPr>
        <w:pStyle w:val="ListParagraph"/>
        <w:numPr>
          <w:ilvl w:val="0"/>
          <w:numId w:val="46"/>
        </w:numPr>
        <w:jc w:val="left"/>
        <w:rPr>
          <w:sz w:val="24"/>
          <w:szCs w:val="24"/>
        </w:rPr>
      </w:pPr>
      <w:r w:rsidRPr="00D5437E">
        <w:rPr>
          <w:sz w:val="24"/>
          <w:szCs w:val="24"/>
        </w:rPr>
        <w:t>T</w:t>
      </w:r>
      <w:r w:rsidR="007611E2" w:rsidRPr="00D5437E">
        <w:rPr>
          <w:sz w:val="24"/>
          <w:szCs w:val="24"/>
        </w:rPr>
        <w:t>he value of identifying grantee sites with similar interventions (e.g., coding boot camps or work-based learning) to pool the samples across sites, in the event sites are not able to meet agreed-upon sample targets.</w:t>
      </w:r>
    </w:p>
    <w:p w14:paraId="2DAB1325" w14:textId="77777777" w:rsidR="006A2EDE" w:rsidRPr="00D5437E" w:rsidRDefault="006A2EDE" w:rsidP="00186D36">
      <w:pPr>
        <w:pStyle w:val="ListParagraph"/>
        <w:ind w:left="720"/>
        <w:jc w:val="left"/>
        <w:rPr>
          <w:sz w:val="24"/>
          <w:szCs w:val="24"/>
        </w:rPr>
      </w:pPr>
    </w:p>
    <w:p w14:paraId="170A4FE1" w14:textId="77777777" w:rsidR="00C352AE" w:rsidRPr="00D5437E" w:rsidRDefault="00C352AE" w:rsidP="00186D36">
      <w:pPr>
        <w:jc w:val="left"/>
        <w:rPr>
          <w:sz w:val="24"/>
          <w:szCs w:val="24"/>
        </w:rPr>
      </w:pPr>
      <w:r w:rsidRPr="00D5437E">
        <w:rPr>
          <w:sz w:val="24"/>
          <w:szCs w:val="24"/>
        </w:rPr>
        <w:t>All participants who are eligible, complete the BIF, and consent will be randomly assigned to a treatment or control group. The study intake period will be from January 2018 to December 2019. We anticipate tha</w:t>
      </w:r>
      <w:r w:rsidR="007B01A1" w:rsidRPr="00D5437E">
        <w:rPr>
          <w:sz w:val="24"/>
          <w:szCs w:val="24"/>
        </w:rPr>
        <w:t>t 3,600</w:t>
      </w:r>
      <w:r w:rsidRPr="00D5437E">
        <w:rPr>
          <w:sz w:val="24"/>
          <w:szCs w:val="24"/>
        </w:rPr>
        <w:t xml:space="preserve"> individuals will be randomally assigned. All individuals will be included in the follow-up data collection effort.</w:t>
      </w:r>
    </w:p>
    <w:p w14:paraId="01A731A0" w14:textId="77777777" w:rsidR="00F71A18" w:rsidRPr="00D5437E" w:rsidRDefault="00F71A18" w:rsidP="00186D36">
      <w:pPr>
        <w:jc w:val="left"/>
        <w:rPr>
          <w:sz w:val="24"/>
          <w:szCs w:val="24"/>
        </w:rPr>
      </w:pPr>
    </w:p>
    <w:p w14:paraId="06277429" w14:textId="77777777" w:rsidR="008731C6" w:rsidRPr="00D5437E" w:rsidRDefault="00063D33" w:rsidP="00186D36">
      <w:pPr>
        <w:pStyle w:val="Heading2"/>
        <w:spacing w:after="0" w:line="276" w:lineRule="auto"/>
        <w:rPr>
          <w:sz w:val="24"/>
          <w:szCs w:val="24"/>
        </w:rPr>
      </w:pPr>
      <w:bookmarkStart w:id="24" w:name="_Toc400377747"/>
      <w:bookmarkStart w:id="25" w:name="_Toc474235255"/>
      <w:r w:rsidRPr="00D5437E">
        <w:rPr>
          <w:sz w:val="24"/>
          <w:szCs w:val="24"/>
        </w:rPr>
        <w:t>B.2.2</w:t>
      </w:r>
      <w:r w:rsidRPr="00D5437E">
        <w:rPr>
          <w:sz w:val="24"/>
          <w:szCs w:val="24"/>
        </w:rPr>
        <w:tab/>
      </w:r>
      <w:r w:rsidR="008731C6" w:rsidRPr="00D5437E">
        <w:rPr>
          <w:sz w:val="24"/>
          <w:szCs w:val="24"/>
        </w:rPr>
        <w:t>Estimation Procedures</w:t>
      </w:r>
      <w:bookmarkEnd w:id="24"/>
      <w:bookmarkEnd w:id="25"/>
      <w:r w:rsidR="008731C6" w:rsidRPr="00D5437E">
        <w:rPr>
          <w:sz w:val="24"/>
          <w:szCs w:val="24"/>
        </w:rPr>
        <w:t xml:space="preserve"> </w:t>
      </w:r>
    </w:p>
    <w:p w14:paraId="32A002BE" w14:textId="77777777" w:rsidR="00F01DAB" w:rsidRPr="00D5437E" w:rsidRDefault="00F01DAB" w:rsidP="00186D36">
      <w:pPr>
        <w:pStyle w:val="L1-FlLSp12"/>
        <w:spacing w:line="276" w:lineRule="auto"/>
        <w:jc w:val="left"/>
        <w:rPr>
          <w:sz w:val="24"/>
          <w:szCs w:val="24"/>
        </w:rPr>
      </w:pPr>
    </w:p>
    <w:p w14:paraId="3F95FAB0" w14:textId="77777777" w:rsidR="00E73A85" w:rsidRPr="00D5437E" w:rsidRDefault="00E73A85" w:rsidP="00186D36">
      <w:pPr>
        <w:pStyle w:val="NormalSS"/>
        <w:spacing w:line="276" w:lineRule="auto"/>
        <w:ind w:firstLine="0"/>
        <w:jc w:val="left"/>
        <w:rPr>
          <w:b/>
          <w:sz w:val="24"/>
        </w:rPr>
      </w:pPr>
      <w:r w:rsidRPr="00D5437E">
        <w:rPr>
          <w:b/>
          <w:sz w:val="24"/>
        </w:rPr>
        <w:t>Baseline Information Form</w:t>
      </w:r>
    </w:p>
    <w:p w14:paraId="77BF0D4F" w14:textId="77777777" w:rsidR="00E73A85" w:rsidRPr="00D5437E" w:rsidRDefault="00E73A85" w:rsidP="00186D36">
      <w:pPr>
        <w:pStyle w:val="NormalSS"/>
        <w:spacing w:line="276" w:lineRule="auto"/>
        <w:ind w:firstLine="0"/>
        <w:jc w:val="left"/>
        <w:rPr>
          <w:sz w:val="24"/>
        </w:rPr>
      </w:pPr>
      <w:r w:rsidRPr="00D5437E">
        <w:rPr>
          <w:sz w:val="24"/>
        </w:rPr>
        <w:t xml:space="preserve">Analysis of data from the BIF will be purely descriptive and designed to document characteristics of participants in the programs. </w:t>
      </w:r>
      <w:r w:rsidR="00766555" w:rsidRPr="00D5437E">
        <w:rPr>
          <w:sz w:val="24"/>
        </w:rPr>
        <w:t>Because there is no sampling, the data analysis will not be estimates.</w:t>
      </w:r>
    </w:p>
    <w:p w14:paraId="776E9046" w14:textId="77777777" w:rsidR="00766555" w:rsidRPr="00D5437E" w:rsidRDefault="00766555" w:rsidP="00186D36">
      <w:pPr>
        <w:pStyle w:val="NormalSS"/>
        <w:spacing w:line="276" w:lineRule="auto"/>
        <w:ind w:firstLine="0"/>
        <w:jc w:val="left"/>
        <w:rPr>
          <w:sz w:val="24"/>
        </w:rPr>
      </w:pPr>
    </w:p>
    <w:p w14:paraId="67A1C1F1" w14:textId="77777777" w:rsidR="00AA54A9" w:rsidRPr="00D5437E" w:rsidRDefault="00766555" w:rsidP="00186D36">
      <w:pPr>
        <w:pStyle w:val="NormalSS"/>
        <w:spacing w:line="276" w:lineRule="auto"/>
        <w:ind w:firstLine="0"/>
        <w:jc w:val="left"/>
        <w:rPr>
          <w:b/>
          <w:sz w:val="24"/>
        </w:rPr>
      </w:pPr>
      <w:r w:rsidRPr="00D5437E">
        <w:rPr>
          <w:b/>
          <w:sz w:val="24"/>
        </w:rPr>
        <w:t>6-Month Follow-Up Survey</w:t>
      </w:r>
    </w:p>
    <w:p w14:paraId="439A25C6" w14:textId="77777777" w:rsidR="009A40D7" w:rsidRPr="00D5437E" w:rsidRDefault="00302485" w:rsidP="00186D36">
      <w:pPr>
        <w:pStyle w:val="NormalSS"/>
        <w:spacing w:line="276" w:lineRule="auto"/>
        <w:ind w:firstLine="0"/>
        <w:jc w:val="left"/>
        <w:rPr>
          <w:sz w:val="24"/>
        </w:rPr>
      </w:pPr>
      <w:r w:rsidRPr="00D5437E">
        <w:rPr>
          <w:sz w:val="24"/>
        </w:rPr>
        <w:t>The objective of the RCT is to</w:t>
      </w:r>
      <w:r w:rsidR="00DF4FB9" w:rsidRPr="00D5437E">
        <w:rPr>
          <w:sz w:val="24"/>
        </w:rPr>
        <w:t xml:space="preserve"> estimate program impacts—that is, observed outcomes for the treatment group relative to what those outcomes would have been  in the absence of the program—in each of the </w:t>
      </w:r>
      <w:r w:rsidR="00F14715" w:rsidRPr="00D5437E">
        <w:rPr>
          <w:sz w:val="24"/>
        </w:rPr>
        <w:t xml:space="preserve">six </w:t>
      </w:r>
      <w:r w:rsidRPr="00D5437E">
        <w:rPr>
          <w:sz w:val="24"/>
        </w:rPr>
        <w:t xml:space="preserve">RCT </w:t>
      </w:r>
      <w:r w:rsidR="00F14715" w:rsidRPr="00D5437E">
        <w:rPr>
          <w:sz w:val="24"/>
        </w:rPr>
        <w:t>study sites</w:t>
      </w:r>
      <w:r w:rsidR="00DF4FB9" w:rsidRPr="00D5437E">
        <w:rPr>
          <w:sz w:val="24"/>
        </w:rPr>
        <w:t xml:space="preserve">.  Specifically, the </w:t>
      </w:r>
      <w:r w:rsidRPr="00D5437E">
        <w:rPr>
          <w:sz w:val="24"/>
        </w:rPr>
        <w:t>RCT</w:t>
      </w:r>
      <w:r w:rsidR="00DF4FB9" w:rsidRPr="00D5437E">
        <w:rPr>
          <w:sz w:val="24"/>
        </w:rPr>
        <w:t xml:space="preserve"> will identify the extent to which training and </w:t>
      </w:r>
      <w:r w:rsidRPr="00D5437E">
        <w:rPr>
          <w:sz w:val="24"/>
        </w:rPr>
        <w:t xml:space="preserve">supportive </w:t>
      </w:r>
      <w:r w:rsidR="00DF4FB9" w:rsidRPr="00D5437E">
        <w:rPr>
          <w:sz w:val="24"/>
        </w:rPr>
        <w:t xml:space="preserve">services in </w:t>
      </w:r>
      <w:r w:rsidRPr="00D5437E">
        <w:rPr>
          <w:sz w:val="24"/>
        </w:rPr>
        <w:t>each</w:t>
      </w:r>
      <w:r w:rsidR="00DF4FB9" w:rsidRPr="00D5437E">
        <w:rPr>
          <w:sz w:val="24"/>
        </w:rPr>
        <w:t xml:space="preserve"> site improve participant employment</w:t>
      </w:r>
      <w:r w:rsidRPr="00D5437E">
        <w:rPr>
          <w:sz w:val="24"/>
        </w:rPr>
        <w:t xml:space="preserve"> and</w:t>
      </w:r>
      <w:r w:rsidR="00DF4FB9" w:rsidRPr="00D5437E">
        <w:rPr>
          <w:sz w:val="24"/>
        </w:rPr>
        <w:t xml:space="preserve"> earnings.  </w:t>
      </w:r>
    </w:p>
    <w:p w14:paraId="0BA7F400" w14:textId="77777777" w:rsidR="009A40D7" w:rsidRPr="00D5437E" w:rsidRDefault="009A40D7" w:rsidP="00186D36">
      <w:pPr>
        <w:pStyle w:val="NormalSS"/>
        <w:spacing w:line="276" w:lineRule="auto"/>
        <w:jc w:val="left"/>
        <w:rPr>
          <w:sz w:val="24"/>
        </w:rPr>
      </w:pPr>
    </w:p>
    <w:p w14:paraId="45485A06" w14:textId="77777777" w:rsidR="00DF4FB9" w:rsidRPr="00D5437E" w:rsidRDefault="00DF4FB9" w:rsidP="00186D36">
      <w:pPr>
        <w:pStyle w:val="NormalSS"/>
        <w:spacing w:line="276" w:lineRule="auto"/>
        <w:ind w:firstLine="0"/>
        <w:jc w:val="left"/>
        <w:rPr>
          <w:sz w:val="24"/>
        </w:rPr>
      </w:pPr>
      <w:r w:rsidRPr="00D5437E">
        <w:rPr>
          <w:sz w:val="24"/>
        </w:rPr>
        <w:t xml:space="preserve">This section </w:t>
      </w:r>
      <w:r w:rsidR="009A40D7" w:rsidRPr="00D5437E">
        <w:rPr>
          <w:sz w:val="24"/>
        </w:rPr>
        <w:t xml:space="preserve">describes </w:t>
      </w:r>
      <w:r w:rsidRPr="00D5437E">
        <w:rPr>
          <w:sz w:val="24"/>
        </w:rPr>
        <w:t>our analytic approach to estimate program impacts using the</w:t>
      </w:r>
      <w:r w:rsidR="00F14715" w:rsidRPr="00D5437E">
        <w:rPr>
          <w:sz w:val="24"/>
        </w:rPr>
        <w:t xml:space="preserve"> 6-</w:t>
      </w:r>
      <w:r w:rsidR="00CA1DD2" w:rsidRPr="00D5437E">
        <w:rPr>
          <w:sz w:val="24"/>
        </w:rPr>
        <w:t xml:space="preserve">month </w:t>
      </w:r>
      <w:r w:rsidRPr="00D5437E">
        <w:rPr>
          <w:sz w:val="24"/>
        </w:rPr>
        <w:t>survey data that are included in this request for clearance</w:t>
      </w:r>
      <w:r w:rsidR="0052352E" w:rsidRPr="00D5437E">
        <w:rPr>
          <w:sz w:val="24"/>
        </w:rPr>
        <w:t>, as well as the National Directory of New Hires (NDHD) data</w:t>
      </w:r>
      <w:r w:rsidR="009A40D7" w:rsidRPr="00D5437E">
        <w:rPr>
          <w:sz w:val="24"/>
        </w:rPr>
        <w:t>.</w:t>
      </w:r>
      <w:r w:rsidRPr="00D5437E">
        <w:rPr>
          <w:sz w:val="24"/>
        </w:rPr>
        <w:t xml:space="preserve"> </w:t>
      </w:r>
      <w:r w:rsidR="00766555" w:rsidRPr="00D5437E">
        <w:rPr>
          <w:sz w:val="24"/>
        </w:rPr>
        <w:t xml:space="preserve">The 6-month survey is intended to capture impacts on intermediate outcomes of educational and training </w:t>
      </w:r>
      <w:r w:rsidR="0045281F" w:rsidRPr="00D5437E">
        <w:rPr>
          <w:sz w:val="24"/>
        </w:rPr>
        <w:t>completion and removal of work-related barriers, including transportation and childcare.</w:t>
      </w:r>
      <w:r w:rsidR="00194FDC" w:rsidRPr="00D5437E">
        <w:rPr>
          <w:sz w:val="24"/>
        </w:rPr>
        <w:t xml:space="preserve"> </w:t>
      </w:r>
      <w:r w:rsidR="00326859">
        <w:rPr>
          <w:sz w:val="24"/>
        </w:rPr>
        <w:t>Key outcome variables include training completion, industry of training, credential attainment, has regular child care arrangement, receives child care subsidy, ever worked, currently working, and current/most recent job industry, hours worked, and hourly wage.</w:t>
      </w:r>
    </w:p>
    <w:p w14:paraId="03B27099" w14:textId="77777777" w:rsidR="00DF4FB9" w:rsidRPr="00D5437E" w:rsidRDefault="00DF4FB9" w:rsidP="00186D36">
      <w:pPr>
        <w:pStyle w:val="NormalSS"/>
        <w:spacing w:line="276" w:lineRule="auto"/>
        <w:jc w:val="left"/>
        <w:rPr>
          <w:sz w:val="24"/>
        </w:rPr>
      </w:pPr>
    </w:p>
    <w:p w14:paraId="6F965DF1" w14:textId="508965D4" w:rsidR="00EC3382" w:rsidRDefault="00930796" w:rsidP="00186D36">
      <w:pPr>
        <w:pStyle w:val="NormalSS"/>
        <w:spacing w:line="276" w:lineRule="auto"/>
        <w:ind w:firstLine="0"/>
        <w:jc w:val="left"/>
        <w:rPr>
          <w:sz w:val="24"/>
        </w:rPr>
      </w:pPr>
      <w:r w:rsidRPr="00D5437E">
        <w:rPr>
          <w:sz w:val="24"/>
        </w:rPr>
        <w:t>Given that random assignment produces balance in expectation, t</w:t>
      </w:r>
      <w:r w:rsidR="00DF4FB9" w:rsidRPr="00D5437E">
        <w:rPr>
          <w:sz w:val="24"/>
        </w:rPr>
        <w:t xml:space="preserve">he basic impact estimates can be computed using the difference in </w:t>
      </w:r>
      <w:r w:rsidRPr="00D5437E">
        <w:rPr>
          <w:sz w:val="24"/>
        </w:rPr>
        <w:t xml:space="preserve">mean </w:t>
      </w:r>
      <w:r w:rsidR="00DF4FB9" w:rsidRPr="00D5437E">
        <w:rPr>
          <w:sz w:val="24"/>
        </w:rPr>
        <w:t xml:space="preserve">outcomes between the treatment group members and control group members in </w:t>
      </w:r>
      <w:r w:rsidR="004C56A6" w:rsidRPr="00D5437E">
        <w:rPr>
          <w:sz w:val="24"/>
        </w:rPr>
        <w:t>each of the 6 RCT</w:t>
      </w:r>
      <w:r w:rsidR="00DF4FB9" w:rsidRPr="00D5437E">
        <w:rPr>
          <w:sz w:val="24"/>
        </w:rPr>
        <w:t xml:space="preserve"> site</w:t>
      </w:r>
      <w:r w:rsidR="004C56A6" w:rsidRPr="00D5437E">
        <w:rPr>
          <w:sz w:val="24"/>
        </w:rPr>
        <w:t>s</w:t>
      </w:r>
      <w:r w:rsidRPr="00D5437E">
        <w:rPr>
          <w:sz w:val="24"/>
        </w:rPr>
        <w:t>.</w:t>
      </w:r>
      <w:r w:rsidR="00DF4FB9" w:rsidRPr="00D5437E">
        <w:rPr>
          <w:sz w:val="24"/>
        </w:rPr>
        <w:t xml:space="preserve"> Each of the resulting estimates for each outcome is unbiased because the individuals who comprise the treatment and control groups in the site were </w:t>
      </w:r>
      <w:r w:rsidR="004C56A6" w:rsidRPr="00D5437E">
        <w:rPr>
          <w:sz w:val="24"/>
        </w:rPr>
        <w:t xml:space="preserve">assigned </w:t>
      </w:r>
      <w:r w:rsidR="00DF4FB9" w:rsidRPr="00D5437E">
        <w:rPr>
          <w:sz w:val="24"/>
        </w:rPr>
        <w:t xml:space="preserve">at random </w:t>
      </w:r>
      <w:r w:rsidR="004C56A6" w:rsidRPr="00D5437E">
        <w:rPr>
          <w:sz w:val="24"/>
        </w:rPr>
        <w:t xml:space="preserve">to either the treatment or control </w:t>
      </w:r>
      <w:r w:rsidR="00DF4FB9" w:rsidRPr="00D5437E">
        <w:rPr>
          <w:sz w:val="24"/>
        </w:rPr>
        <w:t>from a common pool and hence are</w:t>
      </w:r>
      <w:r w:rsidR="004C56A6" w:rsidRPr="00D5437E">
        <w:rPr>
          <w:sz w:val="24"/>
        </w:rPr>
        <w:t xml:space="preserve"> expected to be</w:t>
      </w:r>
      <w:r w:rsidR="00DF4FB9" w:rsidRPr="00D5437E">
        <w:rPr>
          <w:sz w:val="24"/>
        </w:rPr>
        <w:t xml:space="preserve"> statistically equivalent on all factors at baseline</w:t>
      </w:r>
      <w:r w:rsidR="004C56A6" w:rsidRPr="00D5437E">
        <w:rPr>
          <w:sz w:val="24"/>
        </w:rPr>
        <w:t>.</w:t>
      </w:r>
      <w:r w:rsidR="00DF4FB9" w:rsidRPr="00D5437E">
        <w:rPr>
          <w:sz w:val="24"/>
        </w:rPr>
        <w:t xml:space="preserve">  As a result, any statistically significant differences in outcomes between the groups can be attributed to the effects of the intervention.  Regression analysis that controls for </w:t>
      </w:r>
      <w:r w:rsidR="000975AF" w:rsidRPr="00D5437E">
        <w:rPr>
          <w:sz w:val="24"/>
        </w:rPr>
        <w:t>background characterist</w:t>
      </w:r>
      <w:r w:rsidR="000E0143">
        <w:rPr>
          <w:sz w:val="24"/>
        </w:rPr>
        <w:t>i</w:t>
      </w:r>
      <w:r w:rsidR="000975AF" w:rsidRPr="00D5437E">
        <w:rPr>
          <w:sz w:val="24"/>
        </w:rPr>
        <w:t>cs</w:t>
      </w:r>
      <w:r w:rsidR="000E0143">
        <w:rPr>
          <w:sz w:val="24"/>
        </w:rPr>
        <w:t>, including prior earnings and employment, education, and demographics,</w:t>
      </w:r>
      <w:r w:rsidR="00DF4FB9" w:rsidRPr="00D5437E">
        <w:rPr>
          <w:sz w:val="24"/>
        </w:rPr>
        <w:t xml:space="preserve"> will be used to improve the precision of the impact estimates.  A standard linear regression will be used </w:t>
      </w:r>
      <w:r w:rsidR="00C12ED2" w:rsidRPr="00D5437E">
        <w:rPr>
          <w:sz w:val="24"/>
        </w:rPr>
        <w:t>to estimate impacts.</w:t>
      </w:r>
      <w:r w:rsidR="0065258A">
        <w:rPr>
          <w:sz w:val="24"/>
        </w:rPr>
        <w:t xml:space="preserve"> This approach is used in all impact analyses that we are aware of over the past 40 years. The rationale for</w:t>
      </w:r>
      <w:r w:rsidR="00E152C6">
        <w:rPr>
          <w:sz w:val="24"/>
        </w:rPr>
        <w:t xml:space="preserve"> this standard approach, of</w:t>
      </w:r>
      <w:r w:rsidR="0065258A">
        <w:rPr>
          <w:sz w:val="24"/>
        </w:rPr>
        <w:t xml:space="preserve"> using inferential (rather than descriptive) statistics</w:t>
      </w:r>
      <w:r w:rsidR="00E152C6">
        <w:rPr>
          <w:sz w:val="24"/>
        </w:rPr>
        <w:t>,</w:t>
      </w:r>
      <w:r w:rsidR="0065258A">
        <w:rPr>
          <w:sz w:val="24"/>
        </w:rPr>
        <w:t xml:space="preserve"> rests</w:t>
      </w:r>
      <w:r w:rsidR="00E152C6">
        <w:rPr>
          <w:sz w:val="24"/>
        </w:rPr>
        <w:t xml:space="preserve"> on</w:t>
      </w:r>
      <w:r w:rsidR="0065258A">
        <w:rPr>
          <w:sz w:val="24"/>
        </w:rPr>
        <w:t xml:space="preserve"> the goal to generalize the results to a super population of TechHire and SWFI grantees. As discussed in the site selection section, even though probability sampling </w:t>
      </w:r>
      <w:r w:rsidR="00242263">
        <w:rPr>
          <w:sz w:val="24"/>
        </w:rPr>
        <w:t xml:space="preserve">will </w:t>
      </w:r>
      <w:r w:rsidR="0065258A">
        <w:rPr>
          <w:sz w:val="24"/>
        </w:rPr>
        <w:t xml:space="preserve">not </w:t>
      </w:r>
      <w:r w:rsidR="00242263">
        <w:rPr>
          <w:sz w:val="24"/>
        </w:rPr>
        <w:t xml:space="preserve">be </w:t>
      </w:r>
      <w:r w:rsidR="0065258A">
        <w:rPr>
          <w:sz w:val="24"/>
        </w:rPr>
        <w:t>used to select the sites, an effort was made to ensure that the grantees chosen for the impact analysis cover a range of program features, geographic regions, and populations. The Department of Labor hopes to learn not only about these specific six grantees, but to generalize these findings to the dozens of TechHire grantees throughout the nation.</w:t>
      </w:r>
      <w:r w:rsidR="0065258A">
        <w:rPr>
          <w:rStyle w:val="FootnoteReference"/>
          <w:sz w:val="24"/>
        </w:rPr>
        <w:footnoteReference w:id="1"/>
      </w:r>
    </w:p>
    <w:p w14:paraId="769EE7E0" w14:textId="77777777" w:rsidR="0065258A" w:rsidRDefault="0065258A" w:rsidP="00186D36">
      <w:pPr>
        <w:pStyle w:val="NormalSS"/>
        <w:spacing w:line="276" w:lineRule="auto"/>
        <w:ind w:firstLine="0"/>
        <w:jc w:val="left"/>
        <w:rPr>
          <w:sz w:val="24"/>
        </w:rPr>
      </w:pPr>
    </w:p>
    <w:p w14:paraId="493269FF" w14:textId="77777777" w:rsidR="00C53273" w:rsidRPr="00D5437E" w:rsidRDefault="00C53273" w:rsidP="00186D36">
      <w:pPr>
        <w:pStyle w:val="L1-FlLSp12"/>
        <w:spacing w:line="276" w:lineRule="auto"/>
        <w:jc w:val="left"/>
        <w:rPr>
          <w:rFonts w:eastAsiaTheme="minorHAnsi"/>
          <w:sz w:val="24"/>
          <w:szCs w:val="24"/>
        </w:rPr>
      </w:pPr>
      <w:r w:rsidRPr="00D5437E">
        <w:rPr>
          <w:sz w:val="24"/>
          <w:szCs w:val="24"/>
        </w:rPr>
        <w:t xml:space="preserve">A key question to address is whether impact estimates will be at the site level, or whether sites will be pooled. </w:t>
      </w:r>
      <w:r w:rsidR="009E121A" w:rsidRPr="00D5437E">
        <w:rPr>
          <w:sz w:val="24"/>
          <w:szCs w:val="24"/>
        </w:rPr>
        <w:t>Some of the</w:t>
      </w:r>
      <w:r w:rsidRPr="00D5437E">
        <w:rPr>
          <w:sz w:val="24"/>
          <w:szCs w:val="24"/>
        </w:rPr>
        <w:t xml:space="preserve"> grantees </w:t>
      </w:r>
      <w:r w:rsidR="009E121A" w:rsidRPr="00D5437E">
        <w:rPr>
          <w:sz w:val="24"/>
          <w:szCs w:val="24"/>
        </w:rPr>
        <w:t xml:space="preserve">may not be able </w:t>
      </w:r>
      <w:r w:rsidRPr="00D5437E">
        <w:rPr>
          <w:sz w:val="24"/>
          <w:szCs w:val="24"/>
        </w:rPr>
        <w:t xml:space="preserve">to obtain adequate sample sizes within the currently planned intake period. </w:t>
      </w:r>
      <w:r w:rsidRPr="00D5437E">
        <w:rPr>
          <w:rFonts w:eastAsiaTheme="minorHAnsi"/>
          <w:sz w:val="24"/>
          <w:szCs w:val="24"/>
        </w:rPr>
        <w:t>If viable and necessary (due to small sample sizes)</w:t>
      </w:r>
      <w:r w:rsidRPr="00D5437E">
        <w:rPr>
          <w:rFonts w:eastAsiaTheme="minorHAnsi"/>
          <w:b/>
          <w:bCs/>
          <w:sz w:val="24"/>
          <w:szCs w:val="24"/>
        </w:rPr>
        <w:t xml:space="preserve">, </w:t>
      </w:r>
      <w:r w:rsidR="008B0474" w:rsidRPr="00D5437E">
        <w:rPr>
          <w:rFonts w:eastAsiaTheme="minorHAnsi"/>
          <w:sz w:val="24"/>
          <w:szCs w:val="24"/>
        </w:rPr>
        <w:t>the data will be</w:t>
      </w:r>
      <w:r w:rsidRPr="00D5437E">
        <w:rPr>
          <w:rFonts w:eastAsiaTheme="minorHAnsi"/>
          <w:sz w:val="24"/>
          <w:szCs w:val="24"/>
        </w:rPr>
        <w:t xml:space="preserve"> pool</w:t>
      </w:r>
      <w:r w:rsidR="008B0474" w:rsidRPr="00D5437E">
        <w:rPr>
          <w:rFonts w:eastAsiaTheme="minorHAnsi"/>
          <w:sz w:val="24"/>
          <w:szCs w:val="24"/>
        </w:rPr>
        <w:t xml:space="preserve">ed </w:t>
      </w:r>
      <w:r w:rsidRPr="00D5437E">
        <w:rPr>
          <w:rFonts w:eastAsiaTheme="minorHAnsi"/>
          <w:sz w:val="24"/>
          <w:szCs w:val="24"/>
        </w:rPr>
        <w:t xml:space="preserve">across sites. The extent </w:t>
      </w:r>
      <w:r w:rsidR="00A34036" w:rsidRPr="00D5437E">
        <w:rPr>
          <w:rFonts w:eastAsiaTheme="minorHAnsi"/>
          <w:sz w:val="24"/>
          <w:szCs w:val="24"/>
        </w:rPr>
        <w:t xml:space="preserve">of </w:t>
      </w:r>
      <w:r w:rsidRPr="00D5437E">
        <w:rPr>
          <w:rFonts w:eastAsiaTheme="minorHAnsi"/>
          <w:sz w:val="24"/>
          <w:szCs w:val="24"/>
        </w:rPr>
        <w:t>pool</w:t>
      </w:r>
      <w:r w:rsidR="00A34036" w:rsidRPr="00D5437E">
        <w:rPr>
          <w:rFonts w:eastAsiaTheme="minorHAnsi"/>
          <w:sz w:val="24"/>
          <w:szCs w:val="24"/>
        </w:rPr>
        <w:t>ing</w:t>
      </w:r>
      <w:r w:rsidRPr="00D5437E">
        <w:rPr>
          <w:rFonts w:eastAsiaTheme="minorHAnsi"/>
          <w:sz w:val="24"/>
          <w:szCs w:val="24"/>
        </w:rPr>
        <w:t xml:space="preserve"> across programs/grantees will depend on their equivalency. While it would be ideal to have site specific estimates, pooling sites may be necessary. In fact, in many studies that show site-specific impact estimates, the pooled estimate is typically included because it provides a bottom-line indicator across a range of </w:t>
      </w:r>
      <w:r w:rsidR="004C56A6" w:rsidRPr="00D5437E">
        <w:rPr>
          <w:rFonts w:eastAsiaTheme="minorHAnsi"/>
          <w:sz w:val="24"/>
          <w:szCs w:val="24"/>
        </w:rPr>
        <w:t>sites</w:t>
      </w:r>
      <w:r w:rsidRPr="00D5437E">
        <w:rPr>
          <w:rFonts w:eastAsiaTheme="minorHAnsi"/>
          <w:sz w:val="24"/>
          <w:szCs w:val="24"/>
        </w:rPr>
        <w:t xml:space="preserve">. Depending on the policy question, the pooled estimate can be quite useful. Ultimately, </w:t>
      </w:r>
      <w:r w:rsidR="008B0474" w:rsidRPr="00D5437E">
        <w:rPr>
          <w:rFonts w:eastAsiaTheme="minorHAnsi"/>
          <w:sz w:val="24"/>
          <w:szCs w:val="24"/>
        </w:rPr>
        <w:t xml:space="preserve">DOL </w:t>
      </w:r>
      <w:r w:rsidRPr="00D5437E">
        <w:rPr>
          <w:rFonts w:eastAsiaTheme="minorHAnsi"/>
          <w:sz w:val="24"/>
          <w:szCs w:val="24"/>
        </w:rPr>
        <w:t>will make the decision to show site specific or pooled estimates (or both) after assess</w:t>
      </w:r>
      <w:r w:rsidR="00A34036" w:rsidRPr="00D5437E">
        <w:rPr>
          <w:rFonts w:eastAsiaTheme="minorHAnsi"/>
          <w:sz w:val="24"/>
          <w:szCs w:val="24"/>
        </w:rPr>
        <w:t>ing</w:t>
      </w:r>
      <w:r w:rsidRPr="00D5437E">
        <w:rPr>
          <w:rFonts w:eastAsiaTheme="minorHAnsi"/>
          <w:sz w:val="24"/>
          <w:szCs w:val="24"/>
        </w:rPr>
        <w:t xml:space="preserve"> the RCT grantees’ available sample sizes, target populations, and programmatic approaches</w:t>
      </w:r>
      <w:r w:rsidR="00893337" w:rsidRPr="00D5437E">
        <w:rPr>
          <w:rFonts w:eastAsiaTheme="minorHAnsi"/>
          <w:sz w:val="24"/>
          <w:szCs w:val="24"/>
        </w:rPr>
        <w:t xml:space="preserve"> but before we estimate impacts</w:t>
      </w:r>
      <w:r w:rsidRPr="00D5437E">
        <w:rPr>
          <w:rFonts w:eastAsiaTheme="minorHAnsi"/>
          <w:sz w:val="24"/>
          <w:szCs w:val="24"/>
        </w:rPr>
        <w:t>. A middle option is to cluster some of the sites—for example, to group by T</w:t>
      </w:r>
      <w:r w:rsidR="00063D33" w:rsidRPr="00D5437E">
        <w:rPr>
          <w:rFonts w:eastAsiaTheme="minorHAnsi"/>
          <w:sz w:val="24"/>
          <w:szCs w:val="24"/>
        </w:rPr>
        <w:t>echHire</w:t>
      </w:r>
      <w:r w:rsidRPr="00D5437E">
        <w:rPr>
          <w:rFonts w:eastAsiaTheme="minorHAnsi"/>
          <w:sz w:val="24"/>
          <w:szCs w:val="24"/>
        </w:rPr>
        <w:t xml:space="preserve"> and SWFI grantees. Finally, we note that it is very common for evaluations to “lead” with a pooled estimate as the primary estimator and then show impacts by sites for sites that can stand on their own. Such an approach was used in the P/PV </w:t>
      </w:r>
      <w:r w:rsidR="000A5C0C" w:rsidRPr="00D5437E">
        <w:rPr>
          <w:rFonts w:eastAsiaTheme="minorHAnsi"/>
          <w:sz w:val="24"/>
          <w:szCs w:val="24"/>
        </w:rPr>
        <w:t>Sector</w:t>
      </w:r>
      <w:r w:rsidR="00F8605A" w:rsidRPr="00D5437E">
        <w:rPr>
          <w:rFonts w:eastAsiaTheme="minorHAnsi"/>
          <w:sz w:val="24"/>
          <w:szCs w:val="24"/>
        </w:rPr>
        <w:t>al Employment Impact S</w:t>
      </w:r>
      <w:r w:rsidRPr="00D5437E">
        <w:rPr>
          <w:rFonts w:eastAsiaTheme="minorHAnsi"/>
          <w:sz w:val="24"/>
          <w:szCs w:val="24"/>
        </w:rPr>
        <w:t xml:space="preserve">tudy </w:t>
      </w:r>
      <w:r w:rsidR="00F8605A" w:rsidRPr="00D5437E">
        <w:rPr>
          <w:rFonts w:eastAsiaTheme="minorHAnsi"/>
          <w:sz w:val="24"/>
          <w:szCs w:val="24"/>
        </w:rPr>
        <w:t>(McGuire et al, 2010).</w:t>
      </w:r>
      <w:r w:rsidR="00C24445">
        <w:rPr>
          <w:rFonts w:eastAsiaTheme="minorHAnsi"/>
          <w:sz w:val="24"/>
          <w:szCs w:val="24"/>
        </w:rPr>
        <w:t xml:space="preserve"> If we do end up estimating impacts for the pooled sample, we w</w:t>
      </w:r>
      <w:r w:rsidR="00550794">
        <w:rPr>
          <w:rFonts w:eastAsiaTheme="minorHAnsi"/>
          <w:sz w:val="24"/>
          <w:szCs w:val="24"/>
        </w:rPr>
        <w:t xml:space="preserve">ill add site indicator dummies </w:t>
      </w:r>
      <w:r w:rsidR="00C24445">
        <w:rPr>
          <w:rFonts w:eastAsiaTheme="minorHAnsi"/>
          <w:sz w:val="24"/>
          <w:szCs w:val="24"/>
        </w:rPr>
        <w:t xml:space="preserve">to the linear regression models in order to account for </w:t>
      </w:r>
      <w:r w:rsidR="00E152C6">
        <w:rPr>
          <w:rFonts w:eastAsiaTheme="minorHAnsi"/>
          <w:sz w:val="24"/>
          <w:szCs w:val="24"/>
        </w:rPr>
        <w:t>site fixed effects</w:t>
      </w:r>
      <w:r w:rsidR="00C24445">
        <w:rPr>
          <w:rFonts w:eastAsiaTheme="minorHAnsi"/>
          <w:sz w:val="24"/>
          <w:szCs w:val="24"/>
        </w:rPr>
        <w:t>.</w:t>
      </w:r>
    </w:p>
    <w:p w14:paraId="2E192B96" w14:textId="77777777" w:rsidR="00C53273" w:rsidRPr="00D5437E" w:rsidRDefault="00C53273" w:rsidP="00186D36">
      <w:pPr>
        <w:pStyle w:val="L1-FlLSp12"/>
        <w:spacing w:line="276" w:lineRule="auto"/>
        <w:jc w:val="left"/>
        <w:rPr>
          <w:rFonts w:eastAsiaTheme="minorHAnsi"/>
          <w:sz w:val="24"/>
          <w:szCs w:val="24"/>
        </w:rPr>
      </w:pPr>
    </w:p>
    <w:p w14:paraId="16A9EC11" w14:textId="77777777" w:rsidR="00C53273" w:rsidRPr="00D5437E" w:rsidRDefault="00C53273" w:rsidP="00186D36">
      <w:pPr>
        <w:pStyle w:val="L1-FlLSp12"/>
        <w:spacing w:line="276" w:lineRule="auto"/>
        <w:jc w:val="left"/>
        <w:rPr>
          <w:sz w:val="24"/>
          <w:szCs w:val="24"/>
        </w:rPr>
      </w:pPr>
      <w:r w:rsidRPr="00D5437E">
        <w:rPr>
          <w:sz w:val="24"/>
          <w:szCs w:val="24"/>
        </w:rPr>
        <w:t xml:space="preserve">Impacts will be calculated for key subgroups to better understand what works best for whom. In impact studies, subgroup impacts have been estimated several different ways. In “split-sample” subgroup analyses, the full sample is divided into two or more mutually exclusive and exhaustive groups (for example, by gender or for those with more severe barriers and less work experience). In this approach, impacts are estimated for each group separately. In addition to determining whether the intervention had statistically significant effects for each subgroup, Q-statistics are used to determine whether impacts differ significantly across subgroups (Hedges &amp; Olkin, 1985). Regardless of the exact subgroup estimation strategy, it is clear that subgroups would have to be computed on the pooled sample rather than with sites. </w:t>
      </w:r>
    </w:p>
    <w:p w14:paraId="0FD20219" w14:textId="77777777" w:rsidR="00C53273" w:rsidRPr="00D5437E" w:rsidRDefault="00C53273" w:rsidP="00186D36">
      <w:pPr>
        <w:pStyle w:val="L1-FlLSp12"/>
        <w:spacing w:line="276" w:lineRule="auto"/>
        <w:jc w:val="left"/>
        <w:rPr>
          <w:sz w:val="24"/>
          <w:szCs w:val="24"/>
        </w:rPr>
      </w:pPr>
    </w:p>
    <w:p w14:paraId="06A73C39" w14:textId="77777777" w:rsidR="00C53273" w:rsidRPr="00D5437E" w:rsidRDefault="00205FB5" w:rsidP="00186D36">
      <w:pPr>
        <w:pStyle w:val="L1-FlLSp12"/>
        <w:spacing w:line="276" w:lineRule="auto"/>
        <w:jc w:val="left"/>
        <w:rPr>
          <w:sz w:val="24"/>
          <w:szCs w:val="24"/>
        </w:rPr>
      </w:pPr>
      <w:r w:rsidRPr="00D5437E">
        <w:rPr>
          <w:sz w:val="24"/>
          <w:szCs w:val="24"/>
        </w:rPr>
        <w:t>W</w:t>
      </w:r>
      <w:r w:rsidR="00C53273" w:rsidRPr="00D5437E">
        <w:rPr>
          <w:sz w:val="24"/>
          <w:szCs w:val="24"/>
        </w:rPr>
        <w:t xml:space="preserve">e will strive to </w:t>
      </w:r>
      <w:r w:rsidR="00C06763" w:rsidRPr="00D5437E">
        <w:rPr>
          <w:sz w:val="24"/>
          <w:szCs w:val="24"/>
        </w:rPr>
        <w:t>limit</w:t>
      </w:r>
      <w:r w:rsidR="00C53273" w:rsidRPr="00D5437E">
        <w:rPr>
          <w:sz w:val="24"/>
          <w:szCs w:val="24"/>
        </w:rPr>
        <w:t xml:space="preserve"> subgroup comparisons to </w:t>
      </w:r>
      <w:r w:rsidR="00C06763" w:rsidRPr="00D5437E">
        <w:rPr>
          <w:sz w:val="24"/>
          <w:szCs w:val="24"/>
        </w:rPr>
        <w:t xml:space="preserve">those </w:t>
      </w:r>
      <w:r w:rsidR="00C53273" w:rsidRPr="00D5437E">
        <w:rPr>
          <w:sz w:val="24"/>
          <w:szCs w:val="24"/>
        </w:rPr>
        <w:t>for which theory and prior studies provide good reasons for expecting subgroup differences on advancement outcomes. This is to guard against the chance of a “false positive,” which stems from the fact that the more subgroups that are examined, the greater the chance of finding one with a large effect, even when there are no real differences in impacts across subgroups. We will also consider the use of corrections for multiple</w:t>
      </w:r>
      <w:r w:rsidR="00C06763" w:rsidRPr="00D5437E">
        <w:rPr>
          <w:sz w:val="24"/>
          <w:szCs w:val="24"/>
        </w:rPr>
        <w:t xml:space="preserve"> comparisons</w:t>
      </w:r>
      <w:r w:rsidR="00C53273" w:rsidRPr="00D5437E">
        <w:rPr>
          <w:sz w:val="24"/>
          <w:szCs w:val="24"/>
        </w:rPr>
        <w:t xml:space="preserve">, such as the Bonferroni or Benjamini-Hochberg corrections. </w:t>
      </w:r>
    </w:p>
    <w:p w14:paraId="58BE0097" w14:textId="77777777" w:rsidR="00C53273" w:rsidRPr="00D5437E" w:rsidRDefault="00C53273" w:rsidP="00186D36">
      <w:pPr>
        <w:pStyle w:val="L1-FlLSp12"/>
        <w:spacing w:line="276" w:lineRule="auto"/>
        <w:jc w:val="left"/>
        <w:rPr>
          <w:sz w:val="24"/>
          <w:szCs w:val="24"/>
        </w:rPr>
      </w:pPr>
    </w:p>
    <w:p w14:paraId="0C298F4E" w14:textId="77777777" w:rsidR="00AA54A9" w:rsidRPr="00D5437E" w:rsidRDefault="00C53273" w:rsidP="00186D36">
      <w:pPr>
        <w:pStyle w:val="L1-FlLSp12"/>
        <w:spacing w:line="276" w:lineRule="auto"/>
        <w:jc w:val="left"/>
        <w:rPr>
          <w:sz w:val="24"/>
          <w:szCs w:val="24"/>
        </w:rPr>
      </w:pPr>
      <w:r w:rsidRPr="00D5437E">
        <w:rPr>
          <w:sz w:val="24"/>
          <w:szCs w:val="24"/>
        </w:rPr>
        <w:t>In addition to traditional subgroups based on background characteristics, nonexperimental subgroup approaches such as examining the effects of different treatment elements</w:t>
      </w:r>
      <w:r w:rsidR="00B32AF4" w:rsidRPr="00D5437E">
        <w:rPr>
          <w:sz w:val="24"/>
          <w:szCs w:val="24"/>
        </w:rPr>
        <w:t xml:space="preserve"> will be explored</w:t>
      </w:r>
      <w:r w:rsidRPr="00D5437E">
        <w:rPr>
          <w:sz w:val="24"/>
          <w:szCs w:val="24"/>
        </w:rPr>
        <w:t xml:space="preserve">. </w:t>
      </w:r>
      <w:r w:rsidR="008B0474" w:rsidRPr="00D5437E">
        <w:rPr>
          <w:sz w:val="24"/>
          <w:szCs w:val="24"/>
        </w:rPr>
        <w:t>M</w:t>
      </w:r>
      <w:r w:rsidRPr="00D5437E">
        <w:rPr>
          <w:sz w:val="24"/>
          <w:szCs w:val="24"/>
        </w:rPr>
        <w:t>ethods such as instrumental variables or regression-based subgroups as done by Peck (2013) or Kemple and Snipes (200</w:t>
      </w:r>
      <w:r w:rsidR="00063D33" w:rsidRPr="00D5437E">
        <w:rPr>
          <w:sz w:val="24"/>
          <w:szCs w:val="24"/>
        </w:rPr>
        <w:t>0</w:t>
      </w:r>
      <w:r w:rsidRPr="00D5437E">
        <w:rPr>
          <w:sz w:val="24"/>
          <w:szCs w:val="24"/>
        </w:rPr>
        <w:t>)</w:t>
      </w:r>
      <w:r w:rsidR="008B0474" w:rsidRPr="00D5437E">
        <w:rPr>
          <w:sz w:val="24"/>
          <w:szCs w:val="24"/>
        </w:rPr>
        <w:t xml:space="preserve"> will be used</w:t>
      </w:r>
      <w:r w:rsidRPr="00D5437E">
        <w:rPr>
          <w:sz w:val="24"/>
          <w:szCs w:val="24"/>
        </w:rPr>
        <w:t>, but this would be a secondary, exploratory analysis given that the effect estimates will be less reliable.</w:t>
      </w:r>
    </w:p>
    <w:p w14:paraId="316B4CC6" w14:textId="77777777" w:rsidR="00E73A85" w:rsidRPr="00D5437E" w:rsidRDefault="00E73A85" w:rsidP="00186D36">
      <w:pPr>
        <w:pStyle w:val="L1-FlLSp12"/>
        <w:spacing w:line="276" w:lineRule="auto"/>
        <w:jc w:val="left"/>
        <w:rPr>
          <w:color w:val="000000"/>
          <w:spacing w:val="-4"/>
          <w:sz w:val="24"/>
          <w:szCs w:val="24"/>
        </w:rPr>
      </w:pPr>
    </w:p>
    <w:p w14:paraId="7C6D0C90" w14:textId="77777777" w:rsidR="00E73A85" w:rsidRPr="00D5437E" w:rsidRDefault="00E73A85" w:rsidP="00E73A85">
      <w:pPr>
        <w:pStyle w:val="NormalSS"/>
        <w:spacing w:line="276" w:lineRule="auto"/>
        <w:ind w:firstLine="0"/>
        <w:jc w:val="left"/>
        <w:rPr>
          <w:sz w:val="24"/>
        </w:rPr>
      </w:pPr>
      <w:r w:rsidRPr="00D5437E">
        <w:rPr>
          <w:b/>
          <w:sz w:val="24"/>
        </w:rPr>
        <w:t>Site Visits</w:t>
      </w:r>
    </w:p>
    <w:p w14:paraId="7E87D8D5" w14:textId="421456F9" w:rsidR="00E73A85" w:rsidRDefault="00E73A85" w:rsidP="00E73A85">
      <w:pPr>
        <w:pStyle w:val="L1-FlLSp12"/>
        <w:spacing w:line="276" w:lineRule="auto"/>
        <w:jc w:val="left"/>
        <w:rPr>
          <w:sz w:val="24"/>
          <w:szCs w:val="24"/>
        </w:rPr>
      </w:pPr>
      <w:r w:rsidRPr="00D5437E">
        <w:rPr>
          <w:sz w:val="24"/>
          <w:szCs w:val="24"/>
        </w:rPr>
        <w:t>Data collected from the site visits will provide in-depth qu</w:t>
      </w:r>
      <w:r w:rsidR="006A216C">
        <w:rPr>
          <w:sz w:val="24"/>
          <w:szCs w:val="24"/>
        </w:rPr>
        <w:t>a</w:t>
      </w:r>
      <w:r w:rsidRPr="00D5437E">
        <w:rPr>
          <w:sz w:val="24"/>
          <w:szCs w:val="24"/>
        </w:rPr>
        <w:t>litative information about implementation at the 6 RCT sites; no estimate procedures will be used. Analysis will be purely descriptive.</w:t>
      </w:r>
    </w:p>
    <w:p w14:paraId="3C967291" w14:textId="77777777" w:rsidR="00A261B7" w:rsidRDefault="00A261B7" w:rsidP="00E73A85">
      <w:pPr>
        <w:pStyle w:val="L1-FlLSp12"/>
        <w:spacing w:line="276" w:lineRule="auto"/>
        <w:jc w:val="left"/>
        <w:rPr>
          <w:sz w:val="24"/>
          <w:szCs w:val="24"/>
        </w:rPr>
      </w:pPr>
    </w:p>
    <w:p w14:paraId="72B60302" w14:textId="77777777" w:rsidR="00A261B7" w:rsidRPr="004D5DE5" w:rsidRDefault="00A261B7" w:rsidP="00E73A85">
      <w:pPr>
        <w:pStyle w:val="L1-FlLSp12"/>
        <w:spacing w:line="276" w:lineRule="auto"/>
        <w:jc w:val="left"/>
        <w:rPr>
          <w:b/>
          <w:sz w:val="24"/>
          <w:szCs w:val="24"/>
        </w:rPr>
      </w:pPr>
      <w:r w:rsidRPr="004D5DE5">
        <w:rPr>
          <w:b/>
          <w:sz w:val="24"/>
          <w:szCs w:val="24"/>
        </w:rPr>
        <w:t>Participant Tracking Form</w:t>
      </w:r>
    </w:p>
    <w:p w14:paraId="4B9E57DD" w14:textId="77777777" w:rsidR="00A261B7" w:rsidRPr="00D5437E" w:rsidRDefault="00A261B7" w:rsidP="00E73A85">
      <w:pPr>
        <w:pStyle w:val="L1-FlLSp12"/>
        <w:spacing w:line="276" w:lineRule="auto"/>
        <w:jc w:val="left"/>
        <w:rPr>
          <w:sz w:val="24"/>
          <w:szCs w:val="24"/>
        </w:rPr>
      </w:pPr>
      <w:r>
        <w:rPr>
          <w:sz w:val="24"/>
          <w:szCs w:val="24"/>
        </w:rPr>
        <w:t>The participant tracking form will be used to obtain updated contact information for participants. There will be no analysis or estimation.</w:t>
      </w:r>
    </w:p>
    <w:p w14:paraId="149DA81B" w14:textId="77777777" w:rsidR="00E273F9" w:rsidRPr="00D5437E" w:rsidRDefault="00E273F9" w:rsidP="00186D36">
      <w:pPr>
        <w:jc w:val="left"/>
        <w:rPr>
          <w:sz w:val="24"/>
          <w:szCs w:val="24"/>
        </w:rPr>
      </w:pPr>
    </w:p>
    <w:p w14:paraId="7F46E015" w14:textId="77777777" w:rsidR="00357ED8" w:rsidRPr="00D5437E" w:rsidRDefault="002E7BF7" w:rsidP="00186D36">
      <w:pPr>
        <w:pStyle w:val="Heading2"/>
        <w:rPr>
          <w:sz w:val="24"/>
          <w:szCs w:val="24"/>
        </w:rPr>
      </w:pPr>
      <w:r w:rsidRPr="00D5437E">
        <w:rPr>
          <w:sz w:val="24"/>
          <w:szCs w:val="24"/>
        </w:rPr>
        <w:t>B.2.3</w:t>
      </w:r>
      <w:r w:rsidR="00357ED8" w:rsidRPr="00D5437E">
        <w:rPr>
          <w:sz w:val="24"/>
          <w:szCs w:val="24"/>
        </w:rPr>
        <w:tab/>
        <w:t xml:space="preserve">Degree of Accuracy Needed </w:t>
      </w:r>
    </w:p>
    <w:p w14:paraId="5D0F8262" w14:textId="18F7FB6A" w:rsidR="008E37B9" w:rsidRPr="00D5437E" w:rsidRDefault="008E37B9" w:rsidP="00186D36">
      <w:pPr>
        <w:jc w:val="left"/>
        <w:rPr>
          <w:sz w:val="24"/>
          <w:szCs w:val="24"/>
        </w:rPr>
      </w:pPr>
      <w:r w:rsidRPr="00D5437E">
        <w:rPr>
          <w:sz w:val="24"/>
          <w:szCs w:val="24"/>
        </w:rPr>
        <w:t xml:space="preserve">Based on </w:t>
      </w:r>
      <w:r w:rsidR="00301467" w:rsidRPr="00D5437E">
        <w:rPr>
          <w:sz w:val="24"/>
          <w:szCs w:val="24"/>
        </w:rPr>
        <w:t>the</w:t>
      </w:r>
      <w:r w:rsidRPr="00D5437E">
        <w:rPr>
          <w:sz w:val="24"/>
          <w:szCs w:val="24"/>
        </w:rPr>
        <w:t xml:space="preserve"> </w:t>
      </w:r>
      <w:r w:rsidR="007A79FF" w:rsidRPr="00D5437E">
        <w:rPr>
          <w:sz w:val="24"/>
          <w:szCs w:val="24"/>
        </w:rPr>
        <w:t xml:space="preserve">selection of </w:t>
      </w:r>
      <w:r w:rsidR="00FD17E3" w:rsidRPr="00D5437E">
        <w:rPr>
          <w:sz w:val="24"/>
          <w:szCs w:val="24"/>
        </w:rPr>
        <w:t>6</w:t>
      </w:r>
      <w:r w:rsidR="007A79FF" w:rsidRPr="00D5437E">
        <w:rPr>
          <w:sz w:val="24"/>
          <w:szCs w:val="24"/>
        </w:rPr>
        <w:t xml:space="preserve"> grantees</w:t>
      </w:r>
      <w:r w:rsidR="00301467" w:rsidRPr="00D5437E">
        <w:rPr>
          <w:sz w:val="24"/>
          <w:szCs w:val="24"/>
        </w:rPr>
        <w:t xml:space="preserve"> for the RCT</w:t>
      </w:r>
      <w:r w:rsidRPr="00D5437E">
        <w:rPr>
          <w:sz w:val="24"/>
          <w:szCs w:val="24"/>
        </w:rPr>
        <w:t xml:space="preserve">, we </w:t>
      </w:r>
      <w:r w:rsidR="00242263">
        <w:rPr>
          <w:sz w:val="24"/>
          <w:szCs w:val="24"/>
        </w:rPr>
        <w:t>assume</w:t>
      </w:r>
      <w:r w:rsidR="00FD17E3" w:rsidRPr="00D5437E">
        <w:rPr>
          <w:sz w:val="24"/>
          <w:szCs w:val="24"/>
        </w:rPr>
        <w:t xml:space="preserve"> a total of</w:t>
      </w:r>
      <w:r w:rsidRPr="00D5437E">
        <w:rPr>
          <w:sz w:val="24"/>
          <w:szCs w:val="24"/>
        </w:rPr>
        <w:t xml:space="preserve"> 6</w:t>
      </w:r>
      <w:r w:rsidR="007A79FF" w:rsidRPr="00D5437E">
        <w:rPr>
          <w:sz w:val="24"/>
          <w:szCs w:val="24"/>
        </w:rPr>
        <w:t xml:space="preserve">00 </w:t>
      </w:r>
      <w:r w:rsidR="00FD17E3" w:rsidRPr="00D5437E">
        <w:rPr>
          <w:sz w:val="24"/>
          <w:szCs w:val="24"/>
        </w:rPr>
        <w:t xml:space="preserve">participants (300 </w:t>
      </w:r>
      <w:r w:rsidR="007A79FF" w:rsidRPr="00D5437E">
        <w:rPr>
          <w:sz w:val="24"/>
          <w:szCs w:val="24"/>
        </w:rPr>
        <w:t xml:space="preserve">treatment and </w:t>
      </w:r>
      <w:r w:rsidR="00FD17E3" w:rsidRPr="00D5437E">
        <w:rPr>
          <w:sz w:val="24"/>
          <w:szCs w:val="24"/>
        </w:rPr>
        <w:t xml:space="preserve">300 </w:t>
      </w:r>
      <w:r w:rsidR="007A79FF" w:rsidRPr="00D5437E">
        <w:rPr>
          <w:sz w:val="24"/>
          <w:szCs w:val="24"/>
        </w:rPr>
        <w:t>control</w:t>
      </w:r>
      <w:r w:rsidR="00FD17E3" w:rsidRPr="00D5437E">
        <w:rPr>
          <w:sz w:val="24"/>
          <w:szCs w:val="24"/>
        </w:rPr>
        <w:t>)</w:t>
      </w:r>
      <w:r w:rsidR="003E21EB">
        <w:rPr>
          <w:sz w:val="24"/>
          <w:szCs w:val="24"/>
        </w:rPr>
        <w:t xml:space="preserve"> for estimating burden</w:t>
      </w:r>
      <w:r w:rsidR="00FD17E3" w:rsidRPr="00D5437E">
        <w:rPr>
          <w:sz w:val="24"/>
          <w:szCs w:val="24"/>
        </w:rPr>
        <w:t>.</w:t>
      </w:r>
      <w:r w:rsidRPr="00D5437E">
        <w:rPr>
          <w:sz w:val="24"/>
          <w:szCs w:val="24"/>
        </w:rPr>
        <w:t xml:space="preserve"> Table B</w:t>
      </w:r>
      <w:r w:rsidR="00194FDC" w:rsidRPr="00D5437E">
        <w:rPr>
          <w:sz w:val="24"/>
          <w:szCs w:val="24"/>
        </w:rPr>
        <w:t>.2.</w:t>
      </w:r>
      <w:r w:rsidR="00A51A6B" w:rsidRPr="00D5437E">
        <w:rPr>
          <w:sz w:val="24"/>
          <w:szCs w:val="24"/>
        </w:rPr>
        <w:t>1</w:t>
      </w:r>
      <w:r w:rsidRPr="00D5437E">
        <w:rPr>
          <w:sz w:val="24"/>
          <w:szCs w:val="24"/>
        </w:rPr>
        <w:t xml:space="preserve"> shows the </w:t>
      </w:r>
      <w:r w:rsidR="00301467" w:rsidRPr="00D5437E">
        <w:rPr>
          <w:sz w:val="24"/>
          <w:szCs w:val="24"/>
        </w:rPr>
        <w:t>Minimum Detectable Effects (MDEs)</w:t>
      </w:r>
      <w:r w:rsidRPr="00D5437E">
        <w:rPr>
          <w:sz w:val="24"/>
          <w:szCs w:val="24"/>
        </w:rPr>
        <w:t xml:space="preserve"> for a few different sample sizes:</w:t>
      </w:r>
      <w:r w:rsidR="00EC3382">
        <w:rPr>
          <w:rStyle w:val="FootnoteReference"/>
          <w:sz w:val="24"/>
          <w:szCs w:val="24"/>
        </w:rPr>
        <w:footnoteReference w:id="2"/>
      </w:r>
      <w:r w:rsidRPr="00D5437E">
        <w:rPr>
          <w:sz w:val="24"/>
          <w:szCs w:val="24"/>
        </w:rPr>
        <w:t xml:space="preserve"> </w:t>
      </w:r>
    </w:p>
    <w:p w14:paraId="3709D413" w14:textId="68DCCB44" w:rsidR="008E37B9" w:rsidRPr="00D5437E" w:rsidRDefault="008E37B9" w:rsidP="00186D36">
      <w:pPr>
        <w:pStyle w:val="ListParagraph"/>
        <w:numPr>
          <w:ilvl w:val="0"/>
          <w:numId w:val="30"/>
        </w:numPr>
        <w:jc w:val="left"/>
        <w:rPr>
          <w:sz w:val="24"/>
          <w:szCs w:val="24"/>
        </w:rPr>
      </w:pPr>
      <w:r w:rsidRPr="00D5437E">
        <w:rPr>
          <w:sz w:val="24"/>
          <w:szCs w:val="24"/>
        </w:rPr>
        <w:t>A grantee level sample size of 600</w:t>
      </w:r>
      <w:r w:rsidR="00FD17E3" w:rsidRPr="00D5437E">
        <w:rPr>
          <w:sz w:val="24"/>
          <w:szCs w:val="24"/>
        </w:rPr>
        <w:t xml:space="preserve"> total</w:t>
      </w:r>
    </w:p>
    <w:p w14:paraId="0F19BB04" w14:textId="3CEFB48D" w:rsidR="00D914BC" w:rsidRPr="00D5437E" w:rsidRDefault="00D914BC" w:rsidP="00186D36">
      <w:pPr>
        <w:pStyle w:val="ListParagraph"/>
        <w:numPr>
          <w:ilvl w:val="0"/>
          <w:numId w:val="30"/>
        </w:numPr>
        <w:jc w:val="left"/>
        <w:rPr>
          <w:sz w:val="24"/>
          <w:szCs w:val="24"/>
        </w:rPr>
      </w:pPr>
      <w:r w:rsidRPr="00D5437E">
        <w:rPr>
          <w:sz w:val="24"/>
          <w:szCs w:val="24"/>
        </w:rPr>
        <w:t xml:space="preserve">A grantee level sample size of 400 </w:t>
      </w:r>
      <w:r w:rsidR="00FD17E3" w:rsidRPr="00D5437E">
        <w:rPr>
          <w:sz w:val="24"/>
          <w:szCs w:val="24"/>
        </w:rPr>
        <w:t>total</w:t>
      </w:r>
    </w:p>
    <w:p w14:paraId="69284152" w14:textId="77777777" w:rsidR="008E37B9" w:rsidRPr="00D5437E" w:rsidRDefault="008E37B9" w:rsidP="00186D36">
      <w:pPr>
        <w:pStyle w:val="ListParagraph"/>
        <w:numPr>
          <w:ilvl w:val="0"/>
          <w:numId w:val="30"/>
        </w:numPr>
        <w:jc w:val="left"/>
        <w:rPr>
          <w:sz w:val="24"/>
          <w:szCs w:val="24"/>
        </w:rPr>
      </w:pPr>
      <w:r w:rsidRPr="00D5437E">
        <w:rPr>
          <w:sz w:val="24"/>
          <w:szCs w:val="24"/>
        </w:rPr>
        <w:t>A scenario in which we pool 2 sites with 400</w:t>
      </w:r>
      <w:r w:rsidR="00FD17E3" w:rsidRPr="00D5437E">
        <w:rPr>
          <w:sz w:val="24"/>
          <w:szCs w:val="24"/>
        </w:rPr>
        <w:t xml:space="preserve"> total</w:t>
      </w:r>
      <w:r w:rsidRPr="00D5437E">
        <w:rPr>
          <w:sz w:val="24"/>
          <w:szCs w:val="24"/>
        </w:rPr>
        <w:t xml:space="preserve"> each</w:t>
      </w:r>
    </w:p>
    <w:p w14:paraId="485EE1D2" w14:textId="4448249D" w:rsidR="00477A9F" w:rsidRDefault="00242263" w:rsidP="00186D36">
      <w:pPr>
        <w:jc w:val="left"/>
        <w:rPr>
          <w:sz w:val="24"/>
          <w:szCs w:val="24"/>
        </w:rPr>
      </w:pPr>
      <w:r>
        <w:rPr>
          <w:sz w:val="24"/>
          <w:szCs w:val="24"/>
        </w:rPr>
        <w:t xml:space="preserve">In addition to the sample size of 600 total for burden purposes, we calculated MDEs for a sample size of 400 total in the event that one or more grantees are unable to meet the sample size target of 600. </w:t>
      </w:r>
      <w:r w:rsidR="008E37B9" w:rsidRPr="00D5437E">
        <w:rPr>
          <w:sz w:val="24"/>
          <w:szCs w:val="24"/>
        </w:rPr>
        <w:t xml:space="preserve">Within each of these </w:t>
      </w:r>
      <w:r w:rsidR="00D914BC" w:rsidRPr="00D5437E">
        <w:rPr>
          <w:sz w:val="24"/>
          <w:szCs w:val="24"/>
        </w:rPr>
        <w:t xml:space="preserve">three </w:t>
      </w:r>
      <w:r w:rsidR="008E37B9" w:rsidRPr="00D5437E">
        <w:rPr>
          <w:sz w:val="24"/>
          <w:szCs w:val="24"/>
        </w:rPr>
        <w:t>sample</w:t>
      </w:r>
      <w:r w:rsidR="00301467" w:rsidRPr="00D5437E">
        <w:rPr>
          <w:sz w:val="24"/>
          <w:szCs w:val="24"/>
        </w:rPr>
        <w:t xml:space="preserve"> size</w:t>
      </w:r>
      <w:r w:rsidR="008E37B9" w:rsidRPr="00D5437E">
        <w:rPr>
          <w:sz w:val="24"/>
          <w:szCs w:val="24"/>
        </w:rPr>
        <w:t xml:space="preserve">s, MDEs are shown based on the expected sample sizes for both the administrative records data (which </w:t>
      </w:r>
      <w:r w:rsidR="00901F09" w:rsidRPr="00D5437E">
        <w:rPr>
          <w:sz w:val="24"/>
          <w:szCs w:val="24"/>
        </w:rPr>
        <w:t>are</w:t>
      </w:r>
      <w:r w:rsidR="008E37B9" w:rsidRPr="00D5437E">
        <w:rPr>
          <w:sz w:val="24"/>
          <w:szCs w:val="24"/>
        </w:rPr>
        <w:t xml:space="preserve"> assumed to cover all sample members) and the survey data (which </w:t>
      </w:r>
      <w:r w:rsidR="00901F09" w:rsidRPr="00D5437E">
        <w:rPr>
          <w:sz w:val="24"/>
          <w:szCs w:val="24"/>
        </w:rPr>
        <w:t>are</w:t>
      </w:r>
      <w:r w:rsidR="008E37B9" w:rsidRPr="00D5437E">
        <w:rPr>
          <w:sz w:val="24"/>
          <w:szCs w:val="24"/>
        </w:rPr>
        <w:t xml:space="preserve"> assumed to cover 80 percent of sample members).</w:t>
      </w:r>
      <w:r w:rsidR="008E37B9" w:rsidRPr="00D5437E">
        <w:rPr>
          <w:sz w:val="24"/>
          <w:szCs w:val="24"/>
          <w:vertAlign w:val="superscript"/>
        </w:rPr>
        <w:footnoteReference w:id="3"/>
      </w:r>
      <w:r w:rsidR="008E37B9" w:rsidRPr="00D5437E">
        <w:rPr>
          <w:sz w:val="24"/>
          <w:szCs w:val="24"/>
        </w:rPr>
        <w:t xml:space="preserve"> The four rightmost columns of the table show the MDEs for impacts on percentage measures, such as employment, assuming two different standard deviations (0.4 and 0.5)</w:t>
      </w:r>
      <w:r w:rsidR="008E37B9" w:rsidRPr="00D5437E">
        <w:rPr>
          <w:sz w:val="24"/>
          <w:szCs w:val="24"/>
          <w:vertAlign w:val="superscript"/>
        </w:rPr>
        <w:footnoteReference w:id="4"/>
      </w:r>
      <w:r w:rsidR="008E37B9" w:rsidRPr="00D5437E">
        <w:rPr>
          <w:sz w:val="24"/>
          <w:szCs w:val="24"/>
        </w:rPr>
        <w:t xml:space="preserve"> and continuous measures, such as  earnings, assuming two different standard deviations ($2,000 and $3,500).</w:t>
      </w:r>
      <w:r w:rsidR="008E37B9" w:rsidRPr="00D5437E">
        <w:rPr>
          <w:sz w:val="24"/>
          <w:szCs w:val="24"/>
          <w:vertAlign w:val="superscript"/>
        </w:rPr>
        <w:footnoteReference w:id="5"/>
      </w:r>
      <w:r w:rsidR="008E37B9" w:rsidRPr="00D5437E">
        <w:rPr>
          <w:sz w:val="24"/>
          <w:szCs w:val="24"/>
        </w:rPr>
        <w:t xml:space="preserve"> </w:t>
      </w:r>
    </w:p>
    <w:p w14:paraId="61829114" w14:textId="5154F003" w:rsidR="00242263" w:rsidRDefault="00242263" w:rsidP="00186D36">
      <w:pPr>
        <w:jc w:val="left"/>
        <w:rPr>
          <w:sz w:val="24"/>
          <w:szCs w:val="24"/>
        </w:rPr>
      </w:pPr>
    </w:p>
    <w:p w14:paraId="7B0A18DE" w14:textId="77777777" w:rsidR="00477A9F" w:rsidRDefault="00477A9F">
      <w:pPr>
        <w:tabs>
          <w:tab w:val="clear" w:pos="1152"/>
        </w:tabs>
        <w:spacing w:line="240" w:lineRule="auto"/>
        <w:jc w:val="left"/>
        <w:rPr>
          <w:sz w:val="24"/>
          <w:szCs w:val="24"/>
        </w:rPr>
      </w:pPr>
      <w:r>
        <w:rPr>
          <w:sz w:val="24"/>
          <w:szCs w:val="24"/>
        </w:rPr>
        <w:br w:type="page"/>
      </w:r>
    </w:p>
    <w:p w14:paraId="4D68E5D9" w14:textId="77777777" w:rsidR="00C24445" w:rsidRPr="00D5437E" w:rsidRDefault="00C24445" w:rsidP="00186D36">
      <w:pPr>
        <w:jc w:val="left"/>
        <w:rPr>
          <w:sz w:val="24"/>
          <w:szCs w:val="24"/>
        </w:rPr>
      </w:pPr>
    </w:p>
    <w:p w14:paraId="4C469092" w14:textId="77777777" w:rsidR="008E37B9" w:rsidRPr="00620F40" w:rsidRDefault="008E37B9" w:rsidP="00B8644F">
      <w:pPr>
        <w:tabs>
          <w:tab w:val="clear" w:pos="1152"/>
        </w:tabs>
        <w:spacing w:line="240" w:lineRule="auto"/>
        <w:jc w:val="left"/>
        <w:rPr>
          <w:highlight w:val="yellow"/>
        </w:rPr>
      </w:pPr>
    </w:p>
    <w:tbl>
      <w:tblPr>
        <w:tblW w:w="9540" w:type="dxa"/>
        <w:tblInd w:w="-180" w:type="dxa"/>
        <w:tblLayout w:type="fixed"/>
        <w:tblCellMar>
          <w:left w:w="0" w:type="dxa"/>
          <w:right w:w="0" w:type="dxa"/>
        </w:tblCellMar>
        <w:tblLook w:val="04A0" w:firstRow="1" w:lastRow="0" w:firstColumn="1" w:lastColumn="0" w:noHBand="0" w:noVBand="1"/>
      </w:tblPr>
      <w:tblGrid>
        <w:gridCol w:w="637"/>
        <w:gridCol w:w="452"/>
        <w:gridCol w:w="452"/>
        <w:gridCol w:w="452"/>
        <w:gridCol w:w="1641"/>
        <w:gridCol w:w="934"/>
        <w:gridCol w:w="77"/>
        <w:gridCol w:w="1010"/>
        <w:gridCol w:w="1010"/>
        <w:gridCol w:w="30"/>
        <w:gridCol w:w="1371"/>
        <w:gridCol w:w="1474"/>
      </w:tblGrid>
      <w:tr w:rsidR="008E37B9" w:rsidRPr="004E4535" w14:paraId="09EE4D9D" w14:textId="77777777" w:rsidTr="00B879B3">
        <w:trPr>
          <w:trHeight w:val="270"/>
          <w:tblHeader/>
        </w:trPr>
        <w:tc>
          <w:tcPr>
            <w:tcW w:w="9540" w:type="dxa"/>
            <w:gridSpan w:val="12"/>
            <w:tcBorders>
              <w:top w:val="nil"/>
              <w:left w:val="nil"/>
              <w:bottom w:val="single" w:sz="4" w:space="0" w:color="auto"/>
              <w:right w:val="nil"/>
            </w:tcBorders>
            <w:shd w:val="clear" w:color="auto" w:fill="auto"/>
            <w:noWrap/>
            <w:vAlign w:val="bottom"/>
            <w:hideMark/>
          </w:tcPr>
          <w:p w14:paraId="4A25099B" w14:textId="77777777" w:rsidR="008E37B9" w:rsidRPr="003A4D22" w:rsidRDefault="008E37B9" w:rsidP="00A51A6B">
            <w:pPr>
              <w:rPr>
                <w:b/>
              </w:rPr>
            </w:pPr>
            <w:r w:rsidRPr="003A4D22">
              <w:rPr>
                <w:b/>
              </w:rPr>
              <w:t>Table B</w:t>
            </w:r>
            <w:r w:rsidR="00194FDC">
              <w:rPr>
                <w:b/>
              </w:rPr>
              <w:t>.2</w:t>
            </w:r>
            <w:r w:rsidR="002E7BF7" w:rsidRPr="003A4D22">
              <w:rPr>
                <w:b/>
              </w:rPr>
              <w:t>.</w:t>
            </w:r>
            <w:r w:rsidR="00A51A6B">
              <w:rPr>
                <w:b/>
              </w:rPr>
              <w:t>1</w:t>
            </w:r>
            <w:r w:rsidR="00194FDC">
              <w:rPr>
                <w:b/>
              </w:rPr>
              <w:t>.</w:t>
            </w:r>
            <w:r w:rsidR="002E7BF7" w:rsidRPr="003A4D22">
              <w:rPr>
                <w:b/>
              </w:rPr>
              <w:t xml:space="preserve"> Minimum Detectable Effects for Key Outcomes, by Sample</w:t>
            </w:r>
          </w:p>
        </w:tc>
      </w:tr>
      <w:tr w:rsidR="008E37B9" w:rsidRPr="00620F40" w14:paraId="21576B05" w14:textId="77777777" w:rsidTr="00B879B3">
        <w:trPr>
          <w:trHeight w:val="255"/>
          <w:tblHeader/>
        </w:trPr>
        <w:tc>
          <w:tcPr>
            <w:tcW w:w="637" w:type="dxa"/>
            <w:tcBorders>
              <w:top w:val="single" w:sz="4" w:space="0" w:color="auto"/>
              <w:left w:val="nil"/>
              <w:bottom w:val="nil"/>
              <w:right w:val="nil"/>
            </w:tcBorders>
            <w:shd w:val="clear" w:color="auto" w:fill="auto"/>
            <w:noWrap/>
            <w:vAlign w:val="bottom"/>
            <w:hideMark/>
          </w:tcPr>
          <w:p w14:paraId="16242C65" w14:textId="77777777" w:rsidR="008E37B9" w:rsidRPr="001F2D06" w:rsidRDefault="008E37B9">
            <w:pPr>
              <w:rPr>
                <w:sz w:val="20"/>
                <w:szCs w:val="20"/>
              </w:rPr>
            </w:pPr>
          </w:p>
        </w:tc>
        <w:tc>
          <w:tcPr>
            <w:tcW w:w="452" w:type="dxa"/>
            <w:tcBorders>
              <w:top w:val="single" w:sz="4" w:space="0" w:color="auto"/>
              <w:left w:val="nil"/>
              <w:bottom w:val="nil"/>
              <w:right w:val="nil"/>
            </w:tcBorders>
            <w:shd w:val="clear" w:color="auto" w:fill="auto"/>
            <w:noWrap/>
            <w:vAlign w:val="bottom"/>
            <w:hideMark/>
          </w:tcPr>
          <w:p w14:paraId="04C7E68D" w14:textId="77777777" w:rsidR="008E37B9" w:rsidRPr="001F2D06" w:rsidRDefault="008E37B9">
            <w:pPr>
              <w:rPr>
                <w:sz w:val="20"/>
                <w:szCs w:val="20"/>
              </w:rPr>
            </w:pPr>
          </w:p>
        </w:tc>
        <w:tc>
          <w:tcPr>
            <w:tcW w:w="452" w:type="dxa"/>
            <w:tcBorders>
              <w:top w:val="single" w:sz="4" w:space="0" w:color="auto"/>
              <w:left w:val="nil"/>
              <w:bottom w:val="nil"/>
              <w:right w:val="nil"/>
            </w:tcBorders>
            <w:shd w:val="clear" w:color="auto" w:fill="auto"/>
            <w:noWrap/>
            <w:vAlign w:val="bottom"/>
            <w:hideMark/>
          </w:tcPr>
          <w:p w14:paraId="03E46A1F" w14:textId="77777777" w:rsidR="008E37B9" w:rsidRPr="001F2D06" w:rsidRDefault="008E37B9">
            <w:pPr>
              <w:rPr>
                <w:sz w:val="20"/>
                <w:szCs w:val="20"/>
              </w:rPr>
            </w:pPr>
          </w:p>
        </w:tc>
        <w:tc>
          <w:tcPr>
            <w:tcW w:w="452" w:type="dxa"/>
            <w:tcBorders>
              <w:top w:val="single" w:sz="4" w:space="0" w:color="auto"/>
              <w:left w:val="nil"/>
              <w:bottom w:val="nil"/>
              <w:right w:val="nil"/>
            </w:tcBorders>
            <w:shd w:val="clear" w:color="auto" w:fill="auto"/>
            <w:noWrap/>
            <w:vAlign w:val="bottom"/>
            <w:hideMark/>
          </w:tcPr>
          <w:p w14:paraId="6CC7D1E5" w14:textId="77777777" w:rsidR="008E37B9" w:rsidRPr="001F2D06" w:rsidRDefault="008E37B9">
            <w:pPr>
              <w:rPr>
                <w:sz w:val="20"/>
                <w:szCs w:val="20"/>
              </w:rPr>
            </w:pPr>
          </w:p>
        </w:tc>
        <w:tc>
          <w:tcPr>
            <w:tcW w:w="1641" w:type="dxa"/>
            <w:tcBorders>
              <w:top w:val="single" w:sz="4" w:space="0" w:color="auto"/>
              <w:left w:val="nil"/>
              <w:bottom w:val="nil"/>
              <w:right w:val="nil"/>
            </w:tcBorders>
            <w:shd w:val="clear" w:color="auto" w:fill="auto"/>
            <w:noWrap/>
            <w:vAlign w:val="bottom"/>
            <w:hideMark/>
          </w:tcPr>
          <w:p w14:paraId="48CC2598" w14:textId="77777777" w:rsidR="008E37B9" w:rsidRPr="001F2D06" w:rsidRDefault="008E37B9">
            <w:pPr>
              <w:rPr>
                <w:sz w:val="20"/>
                <w:szCs w:val="20"/>
              </w:rPr>
            </w:pPr>
          </w:p>
        </w:tc>
        <w:tc>
          <w:tcPr>
            <w:tcW w:w="934" w:type="dxa"/>
            <w:tcBorders>
              <w:top w:val="single" w:sz="4" w:space="0" w:color="auto"/>
              <w:left w:val="nil"/>
              <w:bottom w:val="nil"/>
              <w:right w:val="nil"/>
            </w:tcBorders>
            <w:shd w:val="clear" w:color="auto" w:fill="auto"/>
            <w:noWrap/>
            <w:vAlign w:val="bottom"/>
            <w:hideMark/>
          </w:tcPr>
          <w:p w14:paraId="5ACB052B" w14:textId="77777777" w:rsidR="008E37B9" w:rsidRPr="001F2D06" w:rsidRDefault="008E37B9">
            <w:pPr>
              <w:rPr>
                <w:sz w:val="20"/>
                <w:szCs w:val="20"/>
              </w:rPr>
            </w:pPr>
          </w:p>
        </w:tc>
        <w:tc>
          <w:tcPr>
            <w:tcW w:w="77" w:type="dxa"/>
            <w:tcBorders>
              <w:top w:val="single" w:sz="4" w:space="0" w:color="auto"/>
              <w:left w:val="nil"/>
              <w:bottom w:val="nil"/>
              <w:right w:val="nil"/>
            </w:tcBorders>
            <w:shd w:val="clear" w:color="auto" w:fill="auto"/>
            <w:noWrap/>
            <w:vAlign w:val="bottom"/>
            <w:hideMark/>
          </w:tcPr>
          <w:p w14:paraId="3992315E" w14:textId="77777777" w:rsidR="008E37B9" w:rsidRPr="001F2D06" w:rsidRDefault="008E37B9">
            <w:pPr>
              <w:rPr>
                <w:sz w:val="20"/>
                <w:szCs w:val="20"/>
              </w:rPr>
            </w:pPr>
          </w:p>
        </w:tc>
        <w:tc>
          <w:tcPr>
            <w:tcW w:w="4895" w:type="dxa"/>
            <w:gridSpan w:val="5"/>
            <w:tcBorders>
              <w:top w:val="single" w:sz="4" w:space="0" w:color="auto"/>
              <w:left w:val="nil"/>
              <w:bottom w:val="single" w:sz="4" w:space="0" w:color="auto"/>
              <w:right w:val="nil"/>
            </w:tcBorders>
            <w:shd w:val="clear" w:color="auto" w:fill="auto"/>
            <w:noWrap/>
            <w:vAlign w:val="bottom"/>
            <w:hideMark/>
          </w:tcPr>
          <w:p w14:paraId="387CA875" w14:textId="77777777" w:rsidR="008E37B9" w:rsidRPr="001F2D06" w:rsidRDefault="008E37B9" w:rsidP="001F2D06">
            <w:pPr>
              <w:jc w:val="center"/>
              <w:rPr>
                <w:sz w:val="20"/>
                <w:szCs w:val="20"/>
              </w:rPr>
            </w:pPr>
            <w:r w:rsidRPr="001F2D06">
              <w:rPr>
                <w:sz w:val="20"/>
                <w:szCs w:val="20"/>
              </w:rPr>
              <w:t>MDE</w:t>
            </w:r>
            <w:r w:rsidR="00125F6D" w:rsidRPr="001F2D06">
              <w:rPr>
                <w:sz w:val="20"/>
                <w:szCs w:val="20"/>
                <w:vertAlign w:val="superscript"/>
              </w:rPr>
              <w:t>a</w:t>
            </w:r>
          </w:p>
        </w:tc>
      </w:tr>
      <w:tr w:rsidR="008E37B9" w:rsidRPr="00620F40" w14:paraId="55AC6CBD" w14:textId="77777777" w:rsidTr="00B879B3">
        <w:trPr>
          <w:trHeight w:val="255"/>
          <w:tblHeader/>
        </w:trPr>
        <w:tc>
          <w:tcPr>
            <w:tcW w:w="637" w:type="dxa"/>
            <w:tcBorders>
              <w:top w:val="nil"/>
              <w:left w:val="nil"/>
              <w:bottom w:val="nil"/>
              <w:right w:val="nil"/>
            </w:tcBorders>
            <w:shd w:val="clear" w:color="auto" w:fill="auto"/>
            <w:noWrap/>
            <w:vAlign w:val="bottom"/>
            <w:hideMark/>
          </w:tcPr>
          <w:p w14:paraId="31B1627A" w14:textId="77777777" w:rsidR="008E37B9" w:rsidRPr="001F2D06" w:rsidRDefault="008E37B9">
            <w:pPr>
              <w:rPr>
                <w:sz w:val="20"/>
                <w:szCs w:val="20"/>
              </w:rPr>
            </w:pPr>
          </w:p>
        </w:tc>
        <w:tc>
          <w:tcPr>
            <w:tcW w:w="452" w:type="dxa"/>
            <w:tcBorders>
              <w:top w:val="nil"/>
              <w:left w:val="nil"/>
              <w:bottom w:val="nil"/>
              <w:right w:val="nil"/>
            </w:tcBorders>
            <w:shd w:val="clear" w:color="auto" w:fill="auto"/>
            <w:noWrap/>
            <w:vAlign w:val="bottom"/>
            <w:hideMark/>
          </w:tcPr>
          <w:p w14:paraId="7D1BBCFB" w14:textId="77777777" w:rsidR="008E37B9" w:rsidRPr="001F2D06" w:rsidRDefault="008E37B9">
            <w:pPr>
              <w:rPr>
                <w:sz w:val="20"/>
                <w:szCs w:val="20"/>
              </w:rPr>
            </w:pPr>
          </w:p>
        </w:tc>
        <w:tc>
          <w:tcPr>
            <w:tcW w:w="452" w:type="dxa"/>
            <w:tcBorders>
              <w:top w:val="nil"/>
              <w:left w:val="nil"/>
              <w:bottom w:val="nil"/>
              <w:right w:val="nil"/>
            </w:tcBorders>
            <w:shd w:val="clear" w:color="auto" w:fill="auto"/>
            <w:noWrap/>
            <w:vAlign w:val="bottom"/>
            <w:hideMark/>
          </w:tcPr>
          <w:p w14:paraId="2C2DE125" w14:textId="77777777" w:rsidR="008E37B9" w:rsidRPr="001F2D06" w:rsidRDefault="008E37B9">
            <w:pPr>
              <w:rPr>
                <w:sz w:val="20"/>
                <w:szCs w:val="20"/>
              </w:rPr>
            </w:pPr>
          </w:p>
        </w:tc>
        <w:tc>
          <w:tcPr>
            <w:tcW w:w="452" w:type="dxa"/>
            <w:tcBorders>
              <w:top w:val="nil"/>
              <w:left w:val="nil"/>
              <w:bottom w:val="nil"/>
              <w:right w:val="nil"/>
            </w:tcBorders>
            <w:shd w:val="clear" w:color="auto" w:fill="auto"/>
            <w:noWrap/>
            <w:vAlign w:val="bottom"/>
            <w:hideMark/>
          </w:tcPr>
          <w:p w14:paraId="77231AEF" w14:textId="77777777" w:rsidR="008E37B9" w:rsidRPr="001F2D06" w:rsidRDefault="008E37B9">
            <w:pPr>
              <w:rPr>
                <w:sz w:val="20"/>
                <w:szCs w:val="20"/>
              </w:rPr>
            </w:pPr>
          </w:p>
        </w:tc>
        <w:tc>
          <w:tcPr>
            <w:tcW w:w="1641" w:type="dxa"/>
            <w:tcBorders>
              <w:top w:val="nil"/>
              <w:left w:val="nil"/>
              <w:bottom w:val="nil"/>
              <w:right w:val="nil"/>
            </w:tcBorders>
            <w:shd w:val="clear" w:color="auto" w:fill="auto"/>
            <w:noWrap/>
            <w:vAlign w:val="bottom"/>
            <w:hideMark/>
          </w:tcPr>
          <w:p w14:paraId="18CD4281" w14:textId="77777777" w:rsidR="008E37B9" w:rsidRPr="001F2D06" w:rsidRDefault="008E37B9">
            <w:pPr>
              <w:rPr>
                <w:sz w:val="20"/>
                <w:szCs w:val="20"/>
              </w:rPr>
            </w:pPr>
          </w:p>
        </w:tc>
        <w:tc>
          <w:tcPr>
            <w:tcW w:w="934" w:type="dxa"/>
            <w:tcBorders>
              <w:top w:val="nil"/>
              <w:left w:val="nil"/>
              <w:bottom w:val="nil"/>
              <w:right w:val="nil"/>
            </w:tcBorders>
            <w:shd w:val="clear" w:color="auto" w:fill="auto"/>
            <w:noWrap/>
            <w:vAlign w:val="bottom"/>
            <w:hideMark/>
          </w:tcPr>
          <w:p w14:paraId="157D161F" w14:textId="77777777" w:rsidR="008E37B9" w:rsidRPr="001F2D06" w:rsidRDefault="008E37B9">
            <w:pPr>
              <w:rPr>
                <w:sz w:val="20"/>
                <w:szCs w:val="20"/>
              </w:rPr>
            </w:pPr>
          </w:p>
        </w:tc>
        <w:tc>
          <w:tcPr>
            <w:tcW w:w="77" w:type="dxa"/>
            <w:tcBorders>
              <w:top w:val="nil"/>
              <w:left w:val="nil"/>
              <w:bottom w:val="nil"/>
              <w:right w:val="nil"/>
            </w:tcBorders>
            <w:shd w:val="clear" w:color="auto" w:fill="auto"/>
            <w:noWrap/>
            <w:vAlign w:val="bottom"/>
            <w:hideMark/>
          </w:tcPr>
          <w:p w14:paraId="7AC67322" w14:textId="77777777" w:rsidR="008E37B9" w:rsidRPr="001F2D06" w:rsidRDefault="008E37B9">
            <w:pPr>
              <w:rPr>
                <w:sz w:val="20"/>
                <w:szCs w:val="20"/>
              </w:rPr>
            </w:pPr>
          </w:p>
        </w:tc>
        <w:tc>
          <w:tcPr>
            <w:tcW w:w="2020" w:type="dxa"/>
            <w:gridSpan w:val="2"/>
            <w:tcBorders>
              <w:top w:val="nil"/>
              <w:left w:val="nil"/>
              <w:bottom w:val="single" w:sz="4" w:space="0" w:color="auto"/>
              <w:right w:val="nil"/>
            </w:tcBorders>
            <w:shd w:val="clear" w:color="auto" w:fill="auto"/>
            <w:noWrap/>
            <w:vAlign w:val="bottom"/>
            <w:hideMark/>
          </w:tcPr>
          <w:p w14:paraId="2A3BD152" w14:textId="77777777" w:rsidR="008E37B9" w:rsidRPr="001F2D06" w:rsidRDefault="008E37B9">
            <w:pPr>
              <w:rPr>
                <w:sz w:val="20"/>
                <w:szCs w:val="20"/>
              </w:rPr>
            </w:pPr>
            <w:r w:rsidRPr="001F2D06">
              <w:rPr>
                <w:sz w:val="20"/>
                <w:szCs w:val="20"/>
              </w:rPr>
              <w:t>Employment</w:t>
            </w:r>
          </w:p>
        </w:tc>
        <w:tc>
          <w:tcPr>
            <w:tcW w:w="30" w:type="dxa"/>
            <w:tcBorders>
              <w:top w:val="nil"/>
              <w:left w:val="nil"/>
              <w:bottom w:val="nil"/>
              <w:right w:val="nil"/>
            </w:tcBorders>
            <w:shd w:val="clear" w:color="auto" w:fill="auto"/>
            <w:noWrap/>
            <w:vAlign w:val="bottom"/>
            <w:hideMark/>
          </w:tcPr>
          <w:p w14:paraId="53D9F4E7" w14:textId="77777777" w:rsidR="008E37B9" w:rsidRPr="001F2D06" w:rsidRDefault="008E37B9">
            <w:pPr>
              <w:rPr>
                <w:sz w:val="20"/>
                <w:szCs w:val="20"/>
              </w:rPr>
            </w:pPr>
          </w:p>
        </w:tc>
        <w:tc>
          <w:tcPr>
            <w:tcW w:w="2845" w:type="dxa"/>
            <w:gridSpan w:val="2"/>
            <w:tcBorders>
              <w:top w:val="nil"/>
              <w:left w:val="nil"/>
              <w:bottom w:val="single" w:sz="4" w:space="0" w:color="auto"/>
              <w:right w:val="nil"/>
            </w:tcBorders>
            <w:shd w:val="clear" w:color="auto" w:fill="auto"/>
            <w:noWrap/>
            <w:vAlign w:val="bottom"/>
            <w:hideMark/>
          </w:tcPr>
          <w:p w14:paraId="6B953202" w14:textId="77777777" w:rsidR="008E37B9" w:rsidRPr="001F2D06" w:rsidRDefault="008E37B9">
            <w:pPr>
              <w:rPr>
                <w:sz w:val="20"/>
                <w:szCs w:val="20"/>
              </w:rPr>
            </w:pPr>
            <w:r w:rsidRPr="001F2D06">
              <w:rPr>
                <w:sz w:val="20"/>
                <w:szCs w:val="20"/>
              </w:rPr>
              <w:t>Annual Earnings</w:t>
            </w:r>
          </w:p>
        </w:tc>
      </w:tr>
      <w:tr w:rsidR="008E37B9" w:rsidRPr="00620F40" w14:paraId="46E04C4F" w14:textId="77777777" w:rsidTr="00B879B3">
        <w:trPr>
          <w:trHeight w:val="285"/>
          <w:tblHeader/>
        </w:trPr>
        <w:tc>
          <w:tcPr>
            <w:tcW w:w="1993" w:type="dxa"/>
            <w:gridSpan w:val="4"/>
            <w:tcBorders>
              <w:top w:val="nil"/>
              <w:left w:val="nil"/>
              <w:bottom w:val="single" w:sz="4" w:space="0" w:color="auto"/>
              <w:right w:val="nil"/>
            </w:tcBorders>
            <w:shd w:val="clear" w:color="auto" w:fill="auto"/>
            <w:noWrap/>
            <w:vAlign w:val="bottom"/>
            <w:hideMark/>
          </w:tcPr>
          <w:p w14:paraId="52D46BCC" w14:textId="77777777" w:rsidR="008E37B9" w:rsidRPr="001F2D06" w:rsidRDefault="008E37B9">
            <w:pPr>
              <w:rPr>
                <w:sz w:val="20"/>
                <w:szCs w:val="20"/>
              </w:rPr>
            </w:pPr>
            <w:r w:rsidRPr="001F2D06">
              <w:rPr>
                <w:sz w:val="20"/>
                <w:szCs w:val="20"/>
              </w:rPr>
              <w:t>Sample</w:t>
            </w:r>
          </w:p>
        </w:tc>
        <w:tc>
          <w:tcPr>
            <w:tcW w:w="1641" w:type="dxa"/>
            <w:tcBorders>
              <w:top w:val="nil"/>
              <w:left w:val="nil"/>
              <w:bottom w:val="single" w:sz="4" w:space="0" w:color="auto"/>
              <w:right w:val="nil"/>
            </w:tcBorders>
            <w:shd w:val="clear" w:color="auto" w:fill="auto"/>
            <w:noWrap/>
            <w:vAlign w:val="bottom"/>
            <w:hideMark/>
          </w:tcPr>
          <w:p w14:paraId="3A38427B" w14:textId="77777777" w:rsidR="008E37B9" w:rsidRPr="001F2D06" w:rsidRDefault="008E37B9">
            <w:pPr>
              <w:rPr>
                <w:sz w:val="20"/>
                <w:szCs w:val="20"/>
              </w:rPr>
            </w:pPr>
            <w:r w:rsidRPr="001F2D06">
              <w:rPr>
                <w:sz w:val="20"/>
                <w:szCs w:val="20"/>
              </w:rPr>
              <w:t>Sample Size</w:t>
            </w:r>
          </w:p>
        </w:tc>
        <w:tc>
          <w:tcPr>
            <w:tcW w:w="934" w:type="dxa"/>
            <w:tcBorders>
              <w:top w:val="nil"/>
              <w:left w:val="nil"/>
              <w:bottom w:val="single" w:sz="4" w:space="0" w:color="auto"/>
              <w:right w:val="nil"/>
            </w:tcBorders>
            <w:shd w:val="clear" w:color="auto" w:fill="auto"/>
            <w:noWrap/>
            <w:vAlign w:val="bottom"/>
            <w:hideMark/>
          </w:tcPr>
          <w:p w14:paraId="1B5B4C91" w14:textId="77777777" w:rsidR="008E37B9" w:rsidRPr="001F2D06" w:rsidRDefault="008E37B9">
            <w:pPr>
              <w:rPr>
                <w:sz w:val="20"/>
                <w:szCs w:val="20"/>
              </w:rPr>
            </w:pPr>
            <w:r w:rsidRPr="001F2D06">
              <w:rPr>
                <w:sz w:val="20"/>
                <w:szCs w:val="20"/>
              </w:rPr>
              <w:t>MDE</w:t>
            </w:r>
            <w:r w:rsidRPr="001F2D06">
              <w:rPr>
                <w:sz w:val="20"/>
                <w:szCs w:val="20"/>
                <w:vertAlign w:val="superscript"/>
              </w:rPr>
              <w:t>a</w:t>
            </w:r>
          </w:p>
        </w:tc>
        <w:tc>
          <w:tcPr>
            <w:tcW w:w="77" w:type="dxa"/>
            <w:tcBorders>
              <w:top w:val="nil"/>
              <w:left w:val="nil"/>
              <w:bottom w:val="single" w:sz="4" w:space="0" w:color="auto"/>
              <w:right w:val="nil"/>
            </w:tcBorders>
            <w:shd w:val="clear" w:color="auto" w:fill="auto"/>
            <w:noWrap/>
            <w:vAlign w:val="bottom"/>
            <w:hideMark/>
          </w:tcPr>
          <w:p w14:paraId="18950F06" w14:textId="77777777" w:rsidR="008E37B9" w:rsidRPr="001F2D06" w:rsidRDefault="008E37B9">
            <w:pPr>
              <w:rPr>
                <w:sz w:val="20"/>
                <w:szCs w:val="20"/>
              </w:rPr>
            </w:pPr>
            <w:r w:rsidRPr="001F2D06">
              <w:rPr>
                <w:sz w:val="20"/>
                <w:szCs w:val="20"/>
              </w:rPr>
              <w:t> </w:t>
            </w:r>
          </w:p>
        </w:tc>
        <w:tc>
          <w:tcPr>
            <w:tcW w:w="1010" w:type="dxa"/>
            <w:tcBorders>
              <w:top w:val="nil"/>
              <w:left w:val="nil"/>
              <w:bottom w:val="single" w:sz="4" w:space="0" w:color="auto"/>
              <w:right w:val="nil"/>
            </w:tcBorders>
            <w:shd w:val="clear" w:color="auto" w:fill="auto"/>
            <w:noWrap/>
            <w:vAlign w:val="bottom"/>
            <w:hideMark/>
          </w:tcPr>
          <w:p w14:paraId="296E236F" w14:textId="77777777" w:rsidR="008E37B9" w:rsidRPr="001F2D06" w:rsidRDefault="008E37B9">
            <w:pPr>
              <w:rPr>
                <w:sz w:val="20"/>
                <w:szCs w:val="20"/>
              </w:rPr>
            </w:pPr>
            <w:r w:rsidRPr="001F2D06">
              <w:rPr>
                <w:sz w:val="20"/>
                <w:szCs w:val="20"/>
              </w:rPr>
              <w:t>SD = 0.4</w:t>
            </w:r>
          </w:p>
        </w:tc>
        <w:tc>
          <w:tcPr>
            <w:tcW w:w="1010" w:type="dxa"/>
            <w:tcBorders>
              <w:top w:val="nil"/>
              <w:left w:val="nil"/>
              <w:bottom w:val="single" w:sz="4" w:space="0" w:color="auto"/>
              <w:right w:val="nil"/>
            </w:tcBorders>
            <w:shd w:val="clear" w:color="auto" w:fill="auto"/>
            <w:noWrap/>
            <w:vAlign w:val="bottom"/>
            <w:hideMark/>
          </w:tcPr>
          <w:p w14:paraId="01523364" w14:textId="77777777" w:rsidR="008E37B9" w:rsidRPr="001F2D06" w:rsidRDefault="008E37B9">
            <w:pPr>
              <w:rPr>
                <w:sz w:val="20"/>
                <w:szCs w:val="20"/>
              </w:rPr>
            </w:pPr>
            <w:r w:rsidRPr="001F2D06">
              <w:rPr>
                <w:sz w:val="20"/>
                <w:szCs w:val="20"/>
              </w:rPr>
              <w:t>SD = 0.5</w:t>
            </w:r>
          </w:p>
        </w:tc>
        <w:tc>
          <w:tcPr>
            <w:tcW w:w="30" w:type="dxa"/>
            <w:tcBorders>
              <w:top w:val="nil"/>
              <w:left w:val="nil"/>
              <w:bottom w:val="single" w:sz="4" w:space="0" w:color="auto"/>
              <w:right w:val="nil"/>
            </w:tcBorders>
            <w:shd w:val="clear" w:color="auto" w:fill="auto"/>
            <w:noWrap/>
            <w:vAlign w:val="bottom"/>
            <w:hideMark/>
          </w:tcPr>
          <w:p w14:paraId="498A438B" w14:textId="77777777" w:rsidR="008E37B9" w:rsidRPr="001F2D06" w:rsidRDefault="008E37B9">
            <w:pPr>
              <w:rPr>
                <w:sz w:val="20"/>
                <w:szCs w:val="20"/>
              </w:rPr>
            </w:pPr>
            <w:r w:rsidRPr="001F2D06">
              <w:rPr>
                <w:sz w:val="20"/>
                <w:szCs w:val="20"/>
              </w:rPr>
              <w:t> </w:t>
            </w:r>
          </w:p>
        </w:tc>
        <w:tc>
          <w:tcPr>
            <w:tcW w:w="1371" w:type="dxa"/>
            <w:tcBorders>
              <w:top w:val="nil"/>
              <w:left w:val="nil"/>
              <w:bottom w:val="single" w:sz="4" w:space="0" w:color="auto"/>
              <w:right w:val="nil"/>
            </w:tcBorders>
            <w:shd w:val="clear" w:color="auto" w:fill="auto"/>
            <w:noWrap/>
            <w:vAlign w:val="bottom"/>
            <w:hideMark/>
          </w:tcPr>
          <w:p w14:paraId="584DF886" w14:textId="77777777" w:rsidR="008E37B9" w:rsidRPr="001F2D06" w:rsidRDefault="008E37B9">
            <w:pPr>
              <w:rPr>
                <w:sz w:val="20"/>
                <w:szCs w:val="20"/>
              </w:rPr>
            </w:pPr>
            <w:r w:rsidRPr="001F2D06">
              <w:rPr>
                <w:sz w:val="20"/>
                <w:szCs w:val="20"/>
              </w:rPr>
              <w:t>SD = 8,000</w:t>
            </w:r>
          </w:p>
        </w:tc>
        <w:tc>
          <w:tcPr>
            <w:tcW w:w="1474" w:type="dxa"/>
            <w:tcBorders>
              <w:top w:val="nil"/>
              <w:left w:val="nil"/>
              <w:bottom w:val="single" w:sz="4" w:space="0" w:color="auto"/>
              <w:right w:val="nil"/>
            </w:tcBorders>
            <w:shd w:val="clear" w:color="auto" w:fill="auto"/>
            <w:noWrap/>
            <w:vAlign w:val="bottom"/>
            <w:hideMark/>
          </w:tcPr>
          <w:p w14:paraId="4244077E" w14:textId="77777777" w:rsidR="008E37B9" w:rsidRPr="001F2D06" w:rsidRDefault="008E37B9">
            <w:pPr>
              <w:rPr>
                <w:sz w:val="20"/>
                <w:szCs w:val="20"/>
              </w:rPr>
            </w:pPr>
            <w:r w:rsidRPr="001F2D06">
              <w:rPr>
                <w:sz w:val="20"/>
                <w:szCs w:val="20"/>
              </w:rPr>
              <w:t>SD = 14,000</w:t>
            </w:r>
          </w:p>
        </w:tc>
      </w:tr>
      <w:tr w:rsidR="008E37B9" w:rsidRPr="00620F40" w14:paraId="2878E4FD" w14:textId="77777777" w:rsidTr="00B879B3">
        <w:trPr>
          <w:trHeight w:val="150"/>
        </w:trPr>
        <w:tc>
          <w:tcPr>
            <w:tcW w:w="637" w:type="dxa"/>
            <w:tcBorders>
              <w:top w:val="nil"/>
              <w:left w:val="nil"/>
              <w:right w:val="nil"/>
            </w:tcBorders>
            <w:shd w:val="clear" w:color="auto" w:fill="auto"/>
            <w:noWrap/>
            <w:vAlign w:val="bottom"/>
            <w:hideMark/>
          </w:tcPr>
          <w:p w14:paraId="25DC3CE1" w14:textId="77777777" w:rsidR="008E37B9" w:rsidRPr="001F2D06" w:rsidRDefault="008E37B9">
            <w:pPr>
              <w:rPr>
                <w:sz w:val="20"/>
                <w:szCs w:val="20"/>
              </w:rPr>
            </w:pPr>
          </w:p>
        </w:tc>
        <w:tc>
          <w:tcPr>
            <w:tcW w:w="452" w:type="dxa"/>
            <w:tcBorders>
              <w:top w:val="nil"/>
              <w:left w:val="nil"/>
              <w:right w:val="nil"/>
            </w:tcBorders>
            <w:shd w:val="clear" w:color="auto" w:fill="auto"/>
            <w:noWrap/>
            <w:vAlign w:val="bottom"/>
            <w:hideMark/>
          </w:tcPr>
          <w:p w14:paraId="0D1856D6" w14:textId="77777777" w:rsidR="008E37B9" w:rsidRPr="001F2D06" w:rsidRDefault="008E37B9">
            <w:pPr>
              <w:rPr>
                <w:sz w:val="20"/>
                <w:szCs w:val="20"/>
              </w:rPr>
            </w:pPr>
          </w:p>
        </w:tc>
        <w:tc>
          <w:tcPr>
            <w:tcW w:w="452" w:type="dxa"/>
            <w:tcBorders>
              <w:top w:val="nil"/>
              <w:left w:val="nil"/>
              <w:right w:val="nil"/>
            </w:tcBorders>
            <w:shd w:val="clear" w:color="auto" w:fill="auto"/>
            <w:noWrap/>
            <w:vAlign w:val="bottom"/>
            <w:hideMark/>
          </w:tcPr>
          <w:p w14:paraId="79C81413" w14:textId="77777777" w:rsidR="008E37B9" w:rsidRPr="001F2D06" w:rsidRDefault="008E37B9">
            <w:pPr>
              <w:rPr>
                <w:sz w:val="20"/>
                <w:szCs w:val="20"/>
              </w:rPr>
            </w:pPr>
          </w:p>
        </w:tc>
        <w:tc>
          <w:tcPr>
            <w:tcW w:w="452" w:type="dxa"/>
            <w:tcBorders>
              <w:top w:val="nil"/>
              <w:left w:val="nil"/>
              <w:right w:val="nil"/>
            </w:tcBorders>
            <w:shd w:val="clear" w:color="auto" w:fill="auto"/>
            <w:noWrap/>
            <w:vAlign w:val="bottom"/>
            <w:hideMark/>
          </w:tcPr>
          <w:p w14:paraId="0BB70FEC" w14:textId="77777777" w:rsidR="008E37B9" w:rsidRPr="001F2D06" w:rsidRDefault="008E37B9">
            <w:pPr>
              <w:rPr>
                <w:sz w:val="20"/>
                <w:szCs w:val="20"/>
              </w:rPr>
            </w:pPr>
          </w:p>
        </w:tc>
        <w:tc>
          <w:tcPr>
            <w:tcW w:w="1641" w:type="dxa"/>
            <w:tcBorders>
              <w:top w:val="nil"/>
              <w:left w:val="nil"/>
              <w:right w:val="nil"/>
            </w:tcBorders>
            <w:shd w:val="clear" w:color="auto" w:fill="auto"/>
            <w:noWrap/>
            <w:vAlign w:val="bottom"/>
            <w:hideMark/>
          </w:tcPr>
          <w:p w14:paraId="08EA7D52" w14:textId="77777777" w:rsidR="008E37B9" w:rsidRPr="001F2D06" w:rsidRDefault="008E37B9">
            <w:pPr>
              <w:rPr>
                <w:sz w:val="20"/>
                <w:szCs w:val="20"/>
              </w:rPr>
            </w:pPr>
          </w:p>
        </w:tc>
        <w:tc>
          <w:tcPr>
            <w:tcW w:w="934" w:type="dxa"/>
            <w:tcBorders>
              <w:top w:val="nil"/>
              <w:left w:val="nil"/>
              <w:right w:val="nil"/>
            </w:tcBorders>
            <w:shd w:val="clear" w:color="auto" w:fill="auto"/>
            <w:noWrap/>
            <w:vAlign w:val="bottom"/>
            <w:hideMark/>
          </w:tcPr>
          <w:p w14:paraId="26D66930" w14:textId="77777777" w:rsidR="008E37B9" w:rsidRPr="001F2D06" w:rsidRDefault="008E37B9">
            <w:pPr>
              <w:rPr>
                <w:sz w:val="20"/>
                <w:szCs w:val="20"/>
              </w:rPr>
            </w:pPr>
          </w:p>
        </w:tc>
        <w:tc>
          <w:tcPr>
            <w:tcW w:w="77" w:type="dxa"/>
            <w:tcBorders>
              <w:top w:val="nil"/>
              <w:left w:val="nil"/>
              <w:right w:val="nil"/>
            </w:tcBorders>
            <w:shd w:val="clear" w:color="auto" w:fill="auto"/>
            <w:noWrap/>
            <w:vAlign w:val="bottom"/>
            <w:hideMark/>
          </w:tcPr>
          <w:p w14:paraId="0A8E2B56" w14:textId="77777777" w:rsidR="008E37B9" w:rsidRPr="001F2D06" w:rsidRDefault="008E37B9">
            <w:pPr>
              <w:rPr>
                <w:sz w:val="20"/>
                <w:szCs w:val="20"/>
              </w:rPr>
            </w:pPr>
          </w:p>
        </w:tc>
        <w:tc>
          <w:tcPr>
            <w:tcW w:w="1010" w:type="dxa"/>
            <w:tcBorders>
              <w:top w:val="nil"/>
              <w:left w:val="nil"/>
              <w:right w:val="nil"/>
            </w:tcBorders>
            <w:shd w:val="clear" w:color="auto" w:fill="auto"/>
            <w:noWrap/>
            <w:vAlign w:val="bottom"/>
            <w:hideMark/>
          </w:tcPr>
          <w:p w14:paraId="0B212E01" w14:textId="77777777" w:rsidR="008E37B9" w:rsidRPr="001F2D06" w:rsidRDefault="008E37B9">
            <w:pPr>
              <w:rPr>
                <w:sz w:val="20"/>
                <w:szCs w:val="20"/>
              </w:rPr>
            </w:pPr>
          </w:p>
        </w:tc>
        <w:tc>
          <w:tcPr>
            <w:tcW w:w="1010" w:type="dxa"/>
            <w:tcBorders>
              <w:top w:val="nil"/>
              <w:left w:val="nil"/>
              <w:right w:val="nil"/>
            </w:tcBorders>
            <w:shd w:val="clear" w:color="auto" w:fill="auto"/>
            <w:noWrap/>
            <w:vAlign w:val="bottom"/>
            <w:hideMark/>
          </w:tcPr>
          <w:p w14:paraId="12EE92D7" w14:textId="77777777" w:rsidR="008E37B9" w:rsidRPr="001F2D06" w:rsidRDefault="008E37B9">
            <w:pPr>
              <w:rPr>
                <w:sz w:val="20"/>
                <w:szCs w:val="20"/>
              </w:rPr>
            </w:pPr>
          </w:p>
        </w:tc>
        <w:tc>
          <w:tcPr>
            <w:tcW w:w="30" w:type="dxa"/>
            <w:tcBorders>
              <w:top w:val="nil"/>
              <w:left w:val="nil"/>
              <w:right w:val="nil"/>
            </w:tcBorders>
            <w:shd w:val="clear" w:color="auto" w:fill="auto"/>
            <w:noWrap/>
            <w:vAlign w:val="bottom"/>
            <w:hideMark/>
          </w:tcPr>
          <w:p w14:paraId="6583F79A" w14:textId="77777777" w:rsidR="008E37B9" w:rsidRPr="001F2D06" w:rsidRDefault="008E37B9">
            <w:pPr>
              <w:rPr>
                <w:sz w:val="20"/>
                <w:szCs w:val="20"/>
              </w:rPr>
            </w:pPr>
          </w:p>
        </w:tc>
        <w:tc>
          <w:tcPr>
            <w:tcW w:w="1371" w:type="dxa"/>
            <w:tcBorders>
              <w:top w:val="nil"/>
              <w:left w:val="nil"/>
              <w:right w:val="nil"/>
            </w:tcBorders>
            <w:shd w:val="clear" w:color="auto" w:fill="auto"/>
            <w:noWrap/>
            <w:vAlign w:val="bottom"/>
            <w:hideMark/>
          </w:tcPr>
          <w:p w14:paraId="12BEC350" w14:textId="77777777" w:rsidR="008E37B9" w:rsidRPr="001F2D06" w:rsidRDefault="008E37B9">
            <w:pPr>
              <w:rPr>
                <w:sz w:val="20"/>
                <w:szCs w:val="20"/>
              </w:rPr>
            </w:pPr>
          </w:p>
        </w:tc>
        <w:tc>
          <w:tcPr>
            <w:tcW w:w="1474" w:type="dxa"/>
            <w:tcBorders>
              <w:top w:val="nil"/>
              <w:left w:val="nil"/>
              <w:right w:val="nil"/>
            </w:tcBorders>
            <w:shd w:val="clear" w:color="auto" w:fill="auto"/>
            <w:noWrap/>
            <w:vAlign w:val="bottom"/>
            <w:hideMark/>
          </w:tcPr>
          <w:p w14:paraId="3B578AE9" w14:textId="77777777" w:rsidR="008E37B9" w:rsidRPr="001F2D06" w:rsidRDefault="008E37B9">
            <w:pPr>
              <w:rPr>
                <w:sz w:val="20"/>
                <w:szCs w:val="20"/>
              </w:rPr>
            </w:pPr>
          </w:p>
        </w:tc>
      </w:tr>
      <w:tr w:rsidR="008E37B9" w:rsidRPr="00620F40" w14:paraId="0F9E2AE2" w14:textId="77777777" w:rsidTr="00B879B3">
        <w:trPr>
          <w:trHeight w:val="240"/>
        </w:trPr>
        <w:tc>
          <w:tcPr>
            <w:tcW w:w="4568" w:type="dxa"/>
            <w:gridSpan w:val="6"/>
            <w:shd w:val="clear" w:color="auto" w:fill="auto"/>
            <w:noWrap/>
            <w:vAlign w:val="bottom"/>
            <w:hideMark/>
          </w:tcPr>
          <w:p w14:paraId="59FEFFA7" w14:textId="77777777" w:rsidR="008E37B9" w:rsidRPr="001F2D06" w:rsidRDefault="008E37B9">
            <w:pPr>
              <w:rPr>
                <w:sz w:val="20"/>
                <w:szCs w:val="20"/>
              </w:rPr>
            </w:pPr>
            <w:r w:rsidRPr="001F2D06">
              <w:rPr>
                <w:sz w:val="20"/>
                <w:szCs w:val="20"/>
              </w:rPr>
              <w:t>Assuming 600 sample members per site</w:t>
            </w:r>
          </w:p>
        </w:tc>
        <w:tc>
          <w:tcPr>
            <w:tcW w:w="77" w:type="dxa"/>
            <w:shd w:val="clear" w:color="auto" w:fill="auto"/>
            <w:noWrap/>
            <w:vAlign w:val="bottom"/>
            <w:hideMark/>
          </w:tcPr>
          <w:p w14:paraId="26A29857" w14:textId="77777777" w:rsidR="008E37B9" w:rsidRPr="001F2D06" w:rsidRDefault="008E37B9">
            <w:pPr>
              <w:rPr>
                <w:sz w:val="20"/>
                <w:szCs w:val="20"/>
              </w:rPr>
            </w:pPr>
          </w:p>
        </w:tc>
        <w:tc>
          <w:tcPr>
            <w:tcW w:w="1010" w:type="dxa"/>
            <w:shd w:val="clear" w:color="auto" w:fill="auto"/>
            <w:noWrap/>
            <w:vAlign w:val="bottom"/>
            <w:hideMark/>
          </w:tcPr>
          <w:p w14:paraId="46BAFFF2" w14:textId="77777777" w:rsidR="008E37B9" w:rsidRPr="001F2D06" w:rsidRDefault="008E37B9">
            <w:pPr>
              <w:rPr>
                <w:sz w:val="20"/>
                <w:szCs w:val="20"/>
              </w:rPr>
            </w:pPr>
          </w:p>
        </w:tc>
        <w:tc>
          <w:tcPr>
            <w:tcW w:w="1010" w:type="dxa"/>
            <w:shd w:val="clear" w:color="auto" w:fill="auto"/>
            <w:noWrap/>
            <w:vAlign w:val="bottom"/>
            <w:hideMark/>
          </w:tcPr>
          <w:p w14:paraId="0EF9C58D" w14:textId="77777777" w:rsidR="008E37B9" w:rsidRPr="001F2D06" w:rsidRDefault="008E37B9">
            <w:pPr>
              <w:rPr>
                <w:sz w:val="20"/>
                <w:szCs w:val="20"/>
              </w:rPr>
            </w:pPr>
          </w:p>
        </w:tc>
        <w:tc>
          <w:tcPr>
            <w:tcW w:w="30" w:type="dxa"/>
            <w:shd w:val="clear" w:color="auto" w:fill="auto"/>
            <w:noWrap/>
            <w:vAlign w:val="bottom"/>
            <w:hideMark/>
          </w:tcPr>
          <w:p w14:paraId="1F1C7583" w14:textId="77777777" w:rsidR="008E37B9" w:rsidRPr="001F2D06" w:rsidRDefault="008E37B9">
            <w:pPr>
              <w:rPr>
                <w:sz w:val="20"/>
                <w:szCs w:val="20"/>
              </w:rPr>
            </w:pPr>
          </w:p>
        </w:tc>
        <w:tc>
          <w:tcPr>
            <w:tcW w:w="1371" w:type="dxa"/>
            <w:shd w:val="clear" w:color="auto" w:fill="auto"/>
            <w:noWrap/>
            <w:vAlign w:val="bottom"/>
            <w:hideMark/>
          </w:tcPr>
          <w:p w14:paraId="21D4DA6A" w14:textId="77777777" w:rsidR="008E37B9" w:rsidRPr="001F2D06" w:rsidRDefault="008E37B9">
            <w:pPr>
              <w:rPr>
                <w:sz w:val="20"/>
                <w:szCs w:val="20"/>
              </w:rPr>
            </w:pPr>
          </w:p>
        </w:tc>
        <w:tc>
          <w:tcPr>
            <w:tcW w:w="1474" w:type="dxa"/>
            <w:shd w:val="clear" w:color="auto" w:fill="auto"/>
            <w:noWrap/>
            <w:vAlign w:val="bottom"/>
            <w:hideMark/>
          </w:tcPr>
          <w:p w14:paraId="7DCBD458" w14:textId="77777777" w:rsidR="008E37B9" w:rsidRPr="001F2D06" w:rsidRDefault="008E37B9">
            <w:pPr>
              <w:rPr>
                <w:sz w:val="20"/>
                <w:szCs w:val="20"/>
              </w:rPr>
            </w:pPr>
          </w:p>
        </w:tc>
      </w:tr>
      <w:tr w:rsidR="008E37B9" w:rsidRPr="00620F40" w14:paraId="0529249A" w14:textId="77777777" w:rsidTr="00B879B3">
        <w:trPr>
          <w:trHeight w:val="240"/>
        </w:trPr>
        <w:tc>
          <w:tcPr>
            <w:tcW w:w="1993" w:type="dxa"/>
            <w:gridSpan w:val="4"/>
            <w:shd w:val="clear" w:color="auto" w:fill="auto"/>
            <w:noWrap/>
            <w:vAlign w:val="bottom"/>
            <w:hideMark/>
          </w:tcPr>
          <w:p w14:paraId="41DFDDC5" w14:textId="77777777" w:rsidR="008E37B9" w:rsidRPr="001F2D06" w:rsidRDefault="008E37B9">
            <w:pPr>
              <w:rPr>
                <w:sz w:val="20"/>
                <w:szCs w:val="20"/>
              </w:rPr>
            </w:pPr>
            <w:r w:rsidRPr="001F2D06">
              <w:rPr>
                <w:sz w:val="20"/>
                <w:szCs w:val="20"/>
              </w:rPr>
              <w:t>Administrative records</w:t>
            </w:r>
          </w:p>
        </w:tc>
        <w:tc>
          <w:tcPr>
            <w:tcW w:w="1641" w:type="dxa"/>
            <w:shd w:val="clear" w:color="auto" w:fill="auto"/>
            <w:noWrap/>
            <w:vAlign w:val="bottom"/>
            <w:hideMark/>
          </w:tcPr>
          <w:p w14:paraId="444B94D9" w14:textId="77777777" w:rsidR="008E37B9" w:rsidRPr="001F2D06" w:rsidRDefault="008E37B9">
            <w:pPr>
              <w:rPr>
                <w:sz w:val="20"/>
                <w:szCs w:val="20"/>
              </w:rPr>
            </w:pPr>
            <w:r w:rsidRPr="001F2D06">
              <w:rPr>
                <w:sz w:val="20"/>
                <w:szCs w:val="20"/>
              </w:rPr>
              <w:t>600</w:t>
            </w:r>
          </w:p>
        </w:tc>
        <w:tc>
          <w:tcPr>
            <w:tcW w:w="934" w:type="dxa"/>
            <w:shd w:val="clear" w:color="auto" w:fill="auto"/>
            <w:noWrap/>
            <w:vAlign w:val="bottom"/>
            <w:hideMark/>
          </w:tcPr>
          <w:p w14:paraId="229A3136" w14:textId="77777777" w:rsidR="008E37B9" w:rsidRPr="001F2D06" w:rsidRDefault="008E37B9">
            <w:pPr>
              <w:rPr>
                <w:sz w:val="20"/>
                <w:szCs w:val="20"/>
              </w:rPr>
            </w:pPr>
            <w:r w:rsidRPr="001F2D06">
              <w:rPr>
                <w:sz w:val="20"/>
                <w:szCs w:val="20"/>
              </w:rPr>
              <w:t>0.187</w:t>
            </w:r>
          </w:p>
        </w:tc>
        <w:tc>
          <w:tcPr>
            <w:tcW w:w="77" w:type="dxa"/>
            <w:shd w:val="clear" w:color="auto" w:fill="auto"/>
            <w:noWrap/>
            <w:vAlign w:val="bottom"/>
            <w:hideMark/>
          </w:tcPr>
          <w:p w14:paraId="105E9912" w14:textId="77777777" w:rsidR="008E37B9" w:rsidRPr="001F2D06" w:rsidRDefault="008E37B9">
            <w:pPr>
              <w:rPr>
                <w:sz w:val="20"/>
                <w:szCs w:val="20"/>
              </w:rPr>
            </w:pPr>
          </w:p>
        </w:tc>
        <w:tc>
          <w:tcPr>
            <w:tcW w:w="1010" w:type="dxa"/>
            <w:shd w:val="clear" w:color="auto" w:fill="auto"/>
            <w:noWrap/>
            <w:vAlign w:val="bottom"/>
            <w:hideMark/>
          </w:tcPr>
          <w:p w14:paraId="182300B6" w14:textId="77777777" w:rsidR="008E37B9" w:rsidRPr="001F2D06" w:rsidRDefault="008E37B9">
            <w:pPr>
              <w:rPr>
                <w:sz w:val="20"/>
                <w:szCs w:val="20"/>
              </w:rPr>
            </w:pPr>
            <w:r w:rsidRPr="001F2D06">
              <w:rPr>
                <w:sz w:val="20"/>
                <w:szCs w:val="20"/>
              </w:rPr>
              <w:t>7.5</w:t>
            </w:r>
          </w:p>
        </w:tc>
        <w:tc>
          <w:tcPr>
            <w:tcW w:w="1010" w:type="dxa"/>
            <w:shd w:val="clear" w:color="auto" w:fill="auto"/>
            <w:noWrap/>
            <w:vAlign w:val="bottom"/>
            <w:hideMark/>
          </w:tcPr>
          <w:p w14:paraId="11DF104D" w14:textId="77777777" w:rsidR="008E37B9" w:rsidRPr="001F2D06" w:rsidRDefault="008E37B9">
            <w:pPr>
              <w:rPr>
                <w:sz w:val="20"/>
                <w:szCs w:val="20"/>
              </w:rPr>
            </w:pPr>
            <w:r w:rsidRPr="001F2D06">
              <w:rPr>
                <w:sz w:val="20"/>
                <w:szCs w:val="20"/>
              </w:rPr>
              <w:t>9.4</w:t>
            </w:r>
          </w:p>
        </w:tc>
        <w:tc>
          <w:tcPr>
            <w:tcW w:w="30" w:type="dxa"/>
            <w:shd w:val="clear" w:color="auto" w:fill="auto"/>
            <w:noWrap/>
            <w:vAlign w:val="bottom"/>
            <w:hideMark/>
          </w:tcPr>
          <w:p w14:paraId="358106B5" w14:textId="77777777" w:rsidR="008E37B9" w:rsidRPr="001F2D06" w:rsidRDefault="008E37B9">
            <w:pPr>
              <w:rPr>
                <w:sz w:val="20"/>
                <w:szCs w:val="20"/>
              </w:rPr>
            </w:pPr>
          </w:p>
        </w:tc>
        <w:tc>
          <w:tcPr>
            <w:tcW w:w="1371" w:type="dxa"/>
            <w:shd w:val="clear" w:color="auto" w:fill="auto"/>
            <w:noWrap/>
            <w:vAlign w:val="bottom"/>
            <w:hideMark/>
          </w:tcPr>
          <w:p w14:paraId="31EB1217" w14:textId="77777777" w:rsidR="008E37B9" w:rsidRPr="001F2D06" w:rsidRDefault="008E37B9">
            <w:pPr>
              <w:rPr>
                <w:sz w:val="20"/>
                <w:szCs w:val="20"/>
              </w:rPr>
            </w:pPr>
            <w:r w:rsidRPr="001F2D06">
              <w:rPr>
                <w:sz w:val="20"/>
                <w:szCs w:val="20"/>
              </w:rPr>
              <w:t>1,496</w:t>
            </w:r>
          </w:p>
        </w:tc>
        <w:tc>
          <w:tcPr>
            <w:tcW w:w="1474" w:type="dxa"/>
            <w:shd w:val="clear" w:color="auto" w:fill="auto"/>
            <w:noWrap/>
            <w:vAlign w:val="bottom"/>
            <w:hideMark/>
          </w:tcPr>
          <w:p w14:paraId="2221C902" w14:textId="77777777" w:rsidR="008E37B9" w:rsidRPr="001F2D06" w:rsidRDefault="008E37B9">
            <w:pPr>
              <w:rPr>
                <w:sz w:val="20"/>
                <w:szCs w:val="20"/>
              </w:rPr>
            </w:pPr>
            <w:r w:rsidRPr="001F2D06">
              <w:rPr>
                <w:sz w:val="20"/>
                <w:szCs w:val="20"/>
              </w:rPr>
              <w:t>2,618</w:t>
            </w:r>
          </w:p>
        </w:tc>
      </w:tr>
      <w:tr w:rsidR="008E37B9" w:rsidRPr="00620F40" w14:paraId="75888504" w14:textId="77777777" w:rsidTr="00B879B3">
        <w:trPr>
          <w:trHeight w:val="240"/>
        </w:trPr>
        <w:tc>
          <w:tcPr>
            <w:tcW w:w="1993" w:type="dxa"/>
            <w:gridSpan w:val="4"/>
            <w:shd w:val="clear" w:color="auto" w:fill="auto"/>
            <w:noWrap/>
            <w:vAlign w:val="bottom"/>
            <w:hideMark/>
          </w:tcPr>
          <w:p w14:paraId="166DD761" w14:textId="77777777" w:rsidR="008E37B9" w:rsidRPr="001F2D06" w:rsidRDefault="008E37B9">
            <w:pPr>
              <w:rPr>
                <w:sz w:val="20"/>
                <w:szCs w:val="20"/>
              </w:rPr>
            </w:pPr>
            <w:r w:rsidRPr="001F2D06">
              <w:rPr>
                <w:sz w:val="20"/>
                <w:szCs w:val="20"/>
              </w:rPr>
              <w:t>Survey</w:t>
            </w:r>
          </w:p>
        </w:tc>
        <w:tc>
          <w:tcPr>
            <w:tcW w:w="1641" w:type="dxa"/>
            <w:shd w:val="clear" w:color="auto" w:fill="auto"/>
            <w:noWrap/>
            <w:vAlign w:val="bottom"/>
            <w:hideMark/>
          </w:tcPr>
          <w:p w14:paraId="0EEC56E5" w14:textId="77777777" w:rsidR="008E37B9" w:rsidRPr="001F2D06" w:rsidRDefault="008E37B9">
            <w:pPr>
              <w:rPr>
                <w:sz w:val="20"/>
                <w:szCs w:val="20"/>
              </w:rPr>
            </w:pPr>
            <w:r w:rsidRPr="001F2D06">
              <w:rPr>
                <w:sz w:val="20"/>
                <w:szCs w:val="20"/>
              </w:rPr>
              <w:t>480</w:t>
            </w:r>
          </w:p>
        </w:tc>
        <w:tc>
          <w:tcPr>
            <w:tcW w:w="934" w:type="dxa"/>
            <w:shd w:val="clear" w:color="auto" w:fill="auto"/>
            <w:noWrap/>
            <w:vAlign w:val="bottom"/>
            <w:hideMark/>
          </w:tcPr>
          <w:p w14:paraId="1BCE3A94" w14:textId="77777777" w:rsidR="008E37B9" w:rsidRPr="001F2D06" w:rsidRDefault="008E37B9">
            <w:pPr>
              <w:rPr>
                <w:sz w:val="20"/>
                <w:szCs w:val="20"/>
              </w:rPr>
            </w:pPr>
            <w:r w:rsidRPr="001F2D06">
              <w:rPr>
                <w:sz w:val="20"/>
                <w:szCs w:val="20"/>
              </w:rPr>
              <w:t>0.210</w:t>
            </w:r>
          </w:p>
        </w:tc>
        <w:tc>
          <w:tcPr>
            <w:tcW w:w="77" w:type="dxa"/>
            <w:shd w:val="clear" w:color="auto" w:fill="auto"/>
            <w:noWrap/>
            <w:vAlign w:val="bottom"/>
            <w:hideMark/>
          </w:tcPr>
          <w:p w14:paraId="51A9F9C2" w14:textId="77777777" w:rsidR="008E37B9" w:rsidRPr="001F2D06" w:rsidRDefault="008E37B9">
            <w:pPr>
              <w:rPr>
                <w:sz w:val="20"/>
                <w:szCs w:val="20"/>
              </w:rPr>
            </w:pPr>
          </w:p>
        </w:tc>
        <w:tc>
          <w:tcPr>
            <w:tcW w:w="1010" w:type="dxa"/>
            <w:shd w:val="clear" w:color="auto" w:fill="auto"/>
            <w:noWrap/>
            <w:vAlign w:val="bottom"/>
            <w:hideMark/>
          </w:tcPr>
          <w:p w14:paraId="00DF77F3" w14:textId="77777777" w:rsidR="008E37B9" w:rsidRPr="001F2D06" w:rsidRDefault="008E37B9">
            <w:pPr>
              <w:rPr>
                <w:sz w:val="20"/>
                <w:szCs w:val="20"/>
              </w:rPr>
            </w:pPr>
            <w:r w:rsidRPr="001F2D06">
              <w:rPr>
                <w:sz w:val="20"/>
                <w:szCs w:val="20"/>
              </w:rPr>
              <w:t>8.4</w:t>
            </w:r>
          </w:p>
        </w:tc>
        <w:tc>
          <w:tcPr>
            <w:tcW w:w="1010" w:type="dxa"/>
            <w:shd w:val="clear" w:color="auto" w:fill="auto"/>
            <w:noWrap/>
            <w:vAlign w:val="bottom"/>
            <w:hideMark/>
          </w:tcPr>
          <w:p w14:paraId="18094B0B" w14:textId="77777777" w:rsidR="008E37B9" w:rsidRPr="001F2D06" w:rsidRDefault="008E37B9">
            <w:pPr>
              <w:rPr>
                <w:sz w:val="20"/>
                <w:szCs w:val="20"/>
              </w:rPr>
            </w:pPr>
            <w:r w:rsidRPr="001F2D06">
              <w:rPr>
                <w:sz w:val="20"/>
                <w:szCs w:val="20"/>
              </w:rPr>
              <w:t>10.5</w:t>
            </w:r>
          </w:p>
        </w:tc>
        <w:tc>
          <w:tcPr>
            <w:tcW w:w="30" w:type="dxa"/>
            <w:shd w:val="clear" w:color="auto" w:fill="auto"/>
            <w:noWrap/>
            <w:vAlign w:val="bottom"/>
            <w:hideMark/>
          </w:tcPr>
          <w:p w14:paraId="3790AD74" w14:textId="77777777" w:rsidR="008E37B9" w:rsidRPr="001F2D06" w:rsidRDefault="008E37B9">
            <w:pPr>
              <w:rPr>
                <w:sz w:val="20"/>
                <w:szCs w:val="20"/>
              </w:rPr>
            </w:pPr>
          </w:p>
        </w:tc>
        <w:tc>
          <w:tcPr>
            <w:tcW w:w="1371" w:type="dxa"/>
            <w:shd w:val="clear" w:color="auto" w:fill="auto"/>
            <w:noWrap/>
            <w:vAlign w:val="bottom"/>
            <w:hideMark/>
          </w:tcPr>
          <w:p w14:paraId="445B12EB" w14:textId="77777777" w:rsidR="008E37B9" w:rsidRPr="001F2D06" w:rsidRDefault="008E37B9">
            <w:pPr>
              <w:rPr>
                <w:sz w:val="20"/>
                <w:szCs w:val="20"/>
              </w:rPr>
            </w:pPr>
            <w:r w:rsidRPr="001F2D06">
              <w:rPr>
                <w:sz w:val="20"/>
                <w:szCs w:val="20"/>
              </w:rPr>
              <w:t>1,680</w:t>
            </w:r>
          </w:p>
        </w:tc>
        <w:tc>
          <w:tcPr>
            <w:tcW w:w="1474" w:type="dxa"/>
            <w:shd w:val="clear" w:color="auto" w:fill="auto"/>
            <w:noWrap/>
            <w:vAlign w:val="bottom"/>
            <w:hideMark/>
          </w:tcPr>
          <w:p w14:paraId="74F1A65F" w14:textId="77777777" w:rsidR="008E37B9" w:rsidRPr="001F2D06" w:rsidRDefault="008E37B9">
            <w:pPr>
              <w:rPr>
                <w:sz w:val="20"/>
                <w:szCs w:val="20"/>
              </w:rPr>
            </w:pPr>
            <w:r w:rsidRPr="001F2D06">
              <w:rPr>
                <w:sz w:val="20"/>
                <w:szCs w:val="20"/>
              </w:rPr>
              <w:t>2,940</w:t>
            </w:r>
          </w:p>
        </w:tc>
      </w:tr>
      <w:tr w:rsidR="008E37B9" w:rsidRPr="00620F40" w14:paraId="4C5862EA" w14:textId="77777777" w:rsidTr="00B879B3">
        <w:trPr>
          <w:trHeight w:val="150"/>
        </w:trPr>
        <w:tc>
          <w:tcPr>
            <w:tcW w:w="637" w:type="dxa"/>
            <w:shd w:val="clear" w:color="auto" w:fill="auto"/>
            <w:noWrap/>
            <w:vAlign w:val="bottom"/>
            <w:hideMark/>
          </w:tcPr>
          <w:p w14:paraId="1163EA0F" w14:textId="77777777" w:rsidR="008E37B9" w:rsidRPr="001F2D06" w:rsidRDefault="008E37B9">
            <w:pPr>
              <w:rPr>
                <w:sz w:val="20"/>
                <w:szCs w:val="20"/>
              </w:rPr>
            </w:pPr>
          </w:p>
        </w:tc>
        <w:tc>
          <w:tcPr>
            <w:tcW w:w="452" w:type="dxa"/>
            <w:shd w:val="clear" w:color="auto" w:fill="auto"/>
            <w:noWrap/>
            <w:vAlign w:val="bottom"/>
            <w:hideMark/>
          </w:tcPr>
          <w:p w14:paraId="411701D0" w14:textId="77777777" w:rsidR="008E37B9" w:rsidRPr="001F2D06" w:rsidRDefault="008E37B9">
            <w:pPr>
              <w:rPr>
                <w:sz w:val="20"/>
                <w:szCs w:val="20"/>
              </w:rPr>
            </w:pPr>
          </w:p>
        </w:tc>
        <w:tc>
          <w:tcPr>
            <w:tcW w:w="452" w:type="dxa"/>
            <w:shd w:val="clear" w:color="auto" w:fill="auto"/>
            <w:noWrap/>
            <w:vAlign w:val="bottom"/>
            <w:hideMark/>
          </w:tcPr>
          <w:p w14:paraId="2AAD6387" w14:textId="77777777" w:rsidR="008E37B9" w:rsidRPr="001F2D06" w:rsidRDefault="008E37B9">
            <w:pPr>
              <w:rPr>
                <w:sz w:val="20"/>
                <w:szCs w:val="20"/>
              </w:rPr>
            </w:pPr>
          </w:p>
        </w:tc>
        <w:tc>
          <w:tcPr>
            <w:tcW w:w="452" w:type="dxa"/>
            <w:shd w:val="clear" w:color="auto" w:fill="auto"/>
            <w:noWrap/>
            <w:vAlign w:val="bottom"/>
            <w:hideMark/>
          </w:tcPr>
          <w:p w14:paraId="58CFF926" w14:textId="77777777" w:rsidR="008E37B9" w:rsidRPr="001F2D06" w:rsidRDefault="008E37B9">
            <w:pPr>
              <w:rPr>
                <w:sz w:val="20"/>
                <w:szCs w:val="20"/>
              </w:rPr>
            </w:pPr>
          </w:p>
        </w:tc>
        <w:tc>
          <w:tcPr>
            <w:tcW w:w="1641" w:type="dxa"/>
            <w:shd w:val="clear" w:color="auto" w:fill="auto"/>
            <w:noWrap/>
            <w:vAlign w:val="bottom"/>
            <w:hideMark/>
          </w:tcPr>
          <w:p w14:paraId="3D960F1B" w14:textId="77777777" w:rsidR="008E37B9" w:rsidRPr="001F2D06" w:rsidRDefault="008E37B9">
            <w:pPr>
              <w:rPr>
                <w:sz w:val="20"/>
                <w:szCs w:val="20"/>
              </w:rPr>
            </w:pPr>
          </w:p>
        </w:tc>
        <w:tc>
          <w:tcPr>
            <w:tcW w:w="934" w:type="dxa"/>
            <w:shd w:val="clear" w:color="auto" w:fill="auto"/>
            <w:noWrap/>
            <w:vAlign w:val="bottom"/>
            <w:hideMark/>
          </w:tcPr>
          <w:p w14:paraId="40CE52A7" w14:textId="77777777" w:rsidR="008E37B9" w:rsidRPr="001F2D06" w:rsidRDefault="008E37B9">
            <w:pPr>
              <w:rPr>
                <w:sz w:val="20"/>
                <w:szCs w:val="20"/>
              </w:rPr>
            </w:pPr>
          </w:p>
        </w:tc>
        <w:tc>
          <w:tcPr>
            <w:tcW w:w="77" w:type="dxa"/>
            <w:shd w:val="clear" w:color="auto" w:fill="auto"/>
            <w:noWrap/>
            <w:vAlign w:val="bottom"/>
            <w:hideMark/>
          </w:tcPr>
          <w:p w14:paraId="4645B453" w14:textId="77777777" w:rsidR="008E37B9" w:rsidRPr="001F2D06" w:rsidRDefault="008E37B9">
            <w:pPr>
              <w:rPr>
                <w:sz w:val="20"/>
                <w:szCs w:val="20"/>
              </w:rPr>
            </w:pPr>
          </w:p>
        </w:tc>
        <w:tc>
          <w:tcPr>
            <w:tcW w:w="1010" w:type="dxa"/>
            <w:shd w:val="clear" w:color="auto" w:fill="auto"/>
            <w:noWrap/>
            <w:vAlign w:val="bottom"/>
            <w:hideMark/>
          </w:tcPr>
          <w:p w14:paraId="7B239DF4" w14:textId="77777777" w:rsidR="008E37B9" w:rsidRPr="001F2D06" w:rsidRDefault="008E37B9">
            <w:pPr>
              <w:rPr>
                <w:sz w:val="20"/>
                <w:szCs w:val="20"/>
              </w:rPr>
            </w:pPr>
          </w:p>
        </w:tc>
        <w:tc>
          <w:tcPr>
            <w:tcW w:w="1010" w:type="dxa"/>
            <w:shd w:val="clear" w:color="auto" w:fill="auto"/>
            <w:noWrap/>
            <w:vAlign w:val="bottom"/>
            <w:hideMark/>
          </w:tcPr>
          <w:p w14:paraId="206F96A0" w14:textId="77777777" w:rsidR="008E37B9" w:rsidRPr="001F2D06" w:rsidRDefault="008E37B9">
            <w:pPr>
              <w:rPr>
                <w:sz w:val="20"/>
                <w:szCs w:val="20"/>
              </w:rPr>
            </w:pPr>
          </w:p>
        </w:tc>
        <w:tc>
          <w:tcPr>
            <w:tcW w:w="30" w:type="dxa"/>
            <w:shd w:val="clear" w:color="auto" w:fill="auto"/>
            <w:noWrap/>
            <w:vAlign w:val="bottom"/>
            <w:hideMark/>
          </w:tcPr>
          <w:p w14:paraId="73F22AB3" w14:textId="77777777" w:rsidR="008E37B9" w:rsidRPr="001F2D06" w:rsidRDefault="008E37B9">
            <w:pPr>
              <w:rPr>
                <w:sz w:val="20"/>
                <w:szCs w:val="20"/>
              </w:rPr>
            </w:pPr>
          </w:p>
        </w:tc>
        <w:tc>
          <w:tcPr>
            <w:tcW w:w="1371" w:type="dxa"/>
            <w:shd w:val="clear" w:color="auto" w:fill="auto"/>
            <w:noWrap/>
            <w:vAlign w:val="bottom"/>
            <w:hideMark/>
          </w:tcPr>
          <w:p w14:paraId="2C5D062C" w14:textId="77777777" w:rsidR="008E37B9" w:rsidRPr="001F2D06" w:rsidRDefault="008E37B9">
            <w:pPr>
              <w:rPr>
                <w:sz w:val="20"/>
                <w:szCs w:val="20"/>
              </w:rPr>
            </w:pPr>
          </w:p>
        </w:tc>
        <w:tc>
          <w:tcPr>
            <w:tcW w:w="1474" w:type="dxa"/>
            <w:shd w:val="clear" w:color="auto" w:fill="auto"/>
            <w:noWrap/>
            <w:vAlign w:val="bottom"/>
            <w:hideMark/>
          </w:tcPr>
          <w:p w14:paraId="07C28441" w14:textId="77777777" w:rsidR="008E37B9" w:rsidRPr="001F2D06" w:rsidRDefault="008E37B9">
            <w:pPr>
              <w:rPr>
                <w:sz w:val="20"/>
                <w:szCs w:val="20"/>
              </w:rPr>
            </w:pPr>
          </w:p>
        </w:tc>
      </w:tr>
      <w:tr w:rsidR="00C82E87" w:rsidRPr="00620F40" w14:paraId="268BB0DF" w14:textId="77777777" w:rsidTr="00B879B3">
        <w:trPr>
          <w:trHeight w:val="150"/>
        </w:trPr>
        <w:tc>
          <w:tcPr>
            <w:tcW w:w="9540" w:type="dxa"/>
            <w:gridSpan w:val="12"/>
            <w:shd w:val="clear" w:color="auto" w:fill="auto"/>
            <w:noWrap/>
            <w:vAlign w:val="bottom"/>
          </w:tcPr>
          <w:p w14:paraId="394EFEA4" w14:textId="363B342B" w:rsidR="00C82E87" w:rsidRPr="001F2D06" w:rsidRDefault="00C82E87">
            <w:pPr>
              <w:rPr>
                <w:sz w:val="20"/>
                <w:szCs w:val="20"/>
              </w:rPr>
            </w:pPr>
            <w:r>
              <w:rPr>
                <w:sz w:val="20"/>
                <w:szCs w:val="20"/>
              </w:rPr>
              <w:t>Assuming 4</w:t>
            </w:r>
            <w:r w:rsidRPr="001F2D06">
              <w:rPr>
                <w:sz w:val="20"/>
                <w:szCs w:val="20"/>
              </w:rPr>
              <w:t>00 sample members per site</w:t>
            </w:r>
          </w:p>
        </w:tc>
      </w:tr>
      <w:tr w:rsidR="00C82E87" w:rsidRPr="00620F40" w14:paraId="0814D9F2" w14:textId="77777777" w:rsidTr="00B879B3">
        <w:trPr>
          <w:trHeight w:val="150"/>
        </w:trPr>
        <w:tc>
          <w:tcPr>
            <w:tcW w:w="1993" w:type="dxa"/>
            <w:gridSpan w:val="4"/>
            <w:shd w:val="clear" w:color="auto" w:fill="auto"/>
            <w:noWrap/>
            <w:vAlign w:val="bottom"/>
          </w:tcPr>
          <w:p w14:paraId="454E3C24" w14:textId="647A2C44" w:rsidR="00C82E87" w:rsidRPr="001F2D06" w:rsidRDefault="00C82E87" w:rsidP="00C82E87">
            <w:pPr>
              <w:rPr>
                <w:sz w:val="20"/>
                <w:szCs w:val="20"/>
              </w:rPr>
            </w:pPr>
            <w:r w:rsidRPr="001F2D06">
              <w:rPr>
                <w:sz w:val="20"/>
                <w:szCs w:val="20"/>
              </w:rPr>
              <w:t>Administrative records</w:t>
            </w:r>
          </w:p>
        </w:tc>
        <w:tc>
          <w:tcPr>
            <w:tcW w:w="1641" w:type="dxa"/>
            <w:shd w:val="clear" w:color="auto" w:fill="auto"/>
            <w:noWrap/>
            <w:vAlign w:val="bottom"/>
          </w:tcPr>
          <w:p w14:paraId="65660692" w14:textId="3E011959" w:rsidR="00C82E87" w:rsidRPr="001F2D06" w:rsidRDefault="00C82E87" w:rsidP="00C82E87">
            <w:pPr>
              <w:rPr>
                <w:sz w:val="20"/>
                <w:szCs w:val="20"/>
              </w:rPr>
            </w:pPr>
            <w:r w:rsidRPr="001F2D06">
              <w:rPr>
                <w:sz w:val="20"/>
                <w:szCs w:val="20"/>
              </w:rPr>
              <w:t>400</w:t>
            </w:r>
          </w:p>
        </w:tc>
        <w:tc>
          <w:tcPr>
            <w:tcW w:w="934" w:type="dxa"/>
            <w:shd w:val="clear" w:color="auto" w:fill="auto"/>
            <w:noWrap/>
            <w:vAlign w:val="bottom"/>
          </w:tcPr>
          <w:p w14:paraId="1616F28C" w14:textId="4B3653B5" w:rsidR="00C82E87" w:rsidRPr="001F2D06" w:rsidRDefault="00C82E87" w:rsidP="00C82E87">
            <w:pPr>
              <w:rPr>
                <w:sz w:val="20"/>
                <w:szCs w:val="20"/>
              </w:rPr>
            </w:pPr>
            <w:r w:rsidRPr="001F2D06">
              <w:rPr>
                <w:sz w:val="20"/>
                <w:szCs w:val="20"/>
              </w:rPr>
              <w:t>0.230</w:t>
            </w:r>
          </w:p>
        </w:tc>
        <w:tc>
          <w:tcPr>
            <w:tcW w:w="77" w:type="dxa"/>
            <w:shd w:val="clear" w:color="auto" w:fill="auto"/>
            <w:noWrap/>
            <w:vAlign w:val="bottom"/>
          </w:tcPr>
          <w:p w14:paraId="0963A0BB" w14:textId="77777777" w:rsidR="00C82E87" w:rsidRPr="001F2D06" w:rsidRDefault="00C82E87" w:rsidP="00C82E87">
            <w:pPr>
              <w:rPr>
                <w:sz w:val="20"/>
                <w:szCs w:val="20"/>
              </w:rPr>
            </w:pPr>
          </w:p>
        </w:tc>
        <w:tc>
          <w:tcPr>
            <w:tcW w:w="1010" w:type="dxa"/>
            <w:shd w:val="clear" w:color="auto" w:fill="auto"/>
            <w:noWrap/>
            <w:vAlign w:val="bottom"/>
          </w:tcPr>
          <w:p w14:paraId="4E19DE6E" w14:textId="7E362190" w:rsidR="00C82E87" w:rsidRPr="001F2D06" w:rsidRDefault="00C82E87" w:rsidP="00C82E87">
            <w:pPr>
              <w:rPr>
                <w:sz w:val="20"/>
                <w:szCs w:val="20"/>
              </w:rPr>
            </w:pPr>
            <w:r w:rsidRPr="001F2D06">
              <w:rPr>
                <w:sz w:val="20"/>
                <w:szCs w:val="20"/>
              </w:rPr>
              <w:t>9.2</w:t>
            </w:r>
          </w:p>
        </w:tc>
        <w:tc>
          <w:tcPr>
            <w:tcW w:w="1010" w:type="dxa"/>
            <w:shd w:val="clear" w:color="auto" w:fill="auto"/>
            <w:noWrap/>
            <w:vAlign w:val="bottom"/>
          </w:tcPr>
          <w:p w14:paraId="5176FA27" w14:textId="7DB29735" w:rsidR="00C82E87" w:rsidRPr="001F2D06" w:rsidRDefault="00C82E87" w:rsidP="00C82E87">
            <w:pPr>
              <w:rPr>
                <w:sz w:val="20"/>
                <w:szCs w:val="20"/>
              </w:rPr>
            </w:pPr>
            <w:r w:rsidRPr="001F2D06">
              <w:rPr>
                <w:sz w:val="20"/>
                <w:szCs w:val="20"/>
              </w:rPr>
              <w:t>11.5</w:t>
            </w:r>
          </w:p>
        </w:tc>
        <w:tc>
          <w:tcPr>
            <w:tcW w:w="30" w:type="dxa"/>
            <w:shd w:val="clear" w:color="auto" w:fill="auto"/>
            <w:noWrap/>
            <w:vAlign w:val="bottom"/>
          </w:tcPr>
          <w:p w14:paraId="5C677BFD" w14:textId="77777777" w:rsidR="00C82E87" w:rsidRPr="001F2D06" w:rsidRDefault="00C82E87" w:rsidP="00C82E87">
            <w:pPr>
              <w:rPr>
                <w:sz w:val="20"/>
                <w:szCs w:val="20"/>
              </w:rPr>
            </w:pPr>
          </w:p>
        </w:tc>
        <w:tc>
          <w:tcPr>
            <w:tcW w:w="1371" w:type="dxa"/>
            <w:shd w:val="clear" w:color="auto" w:fill="auto"/>
            <w:noWrap/>
            <w:vAlign w:val="bottom"/>
          </w:tcPr>
          <w:p w14:paraId="090C803D" w14:textId="475FBCDF" w:rsidR="00C82E87" w:rsidRPr="001F2D06" w:rsidRDefault="00C82E87" w:rsidP="00C82E87">
            <w:pPr>
              <w:rPr>
                <w:sz w:val="20"/>
                <w:szCs w:val="20"/>
              </w:rPr>
            </w:pPr>
            <w:r w:rsidRPr="001F2D06">
              <w:rPr>
                <w:sz w:val="20"/>
                <w:szCs w:val="20"/>
              </w:rPr>
              <w:t>1,840</w:t>
            </w:r>
          </w:p>
        </w:tc>
        <w:tc>
          <w:tcPr>
            <w:tcW w:w="1474" w:type="dxa"/>
            <w:shd w:val="clear" w:color="auto" w:fill="auto"/>
            <w:noWrap/>
            <w:vAlign w:val="bottom"/>
          </w:tcPr>
          <w:p w14:paraId="3FA06A25" w14:textId="3EDD9127" w:rsidR="00C82E87" w:rsidRPr="001F2D06" w:rsidRDefault="00C82E87" w:rsidP="00C82E87">
            <w:pPr>
              <w:rPr>
                <w:sz w:val="20"/>
                <w:szCs w:val="20"/>
              </w:rPr>
            </w:pPr>
            <w:r w:rsidRPr="001F2D06">
              <w:rPr>
                <w:sz w:val="20"/>
                <w:szCs w:val="20"/>
              </w:rPr>
              <w:t>3,220</w:t>
            </w:r>
          </w:p>
        </w:tc>
      </w:tr>
      <w:tr w:rsidR="00C82E87" w:rsidRPr="00620F40" w14:paraId="0FFAB459" w14:textId="77777777" w:rsidTr="00B879B3">
        <w:trPr>
          <w:trHeight w:val="150"/>
        </w:trPr>
        <w:tc>
          <w:tcPr>
            <w:tcW w:w="1993" w:type="dxa"/>
            <w:gridSpan w:val="4"/>
            <w:shd w:val="clear" w:color="auto" w:fill="auto"/>
            <w:noWrap/>
            <w:vAlign w:val="bottom"/>
          </w:tcPr>
          <w:p w14:paraId="539D58CC" w14:textId="55164C59" w:rsidR="00C82E87" w:rsidRPr="001F2D06" w:rsidRDefault="00C82E87" w:rsidP="00C82E87">
            <w:pPr>
              <w:rPr>
                <w:sz w:val="20"/>
                <w:szCs w:val="20"/>
              </w:rPr>
            </w:pPr>
            <w:r w:rsidRPr="001F2D06">
              <w:rPr>
                <w:sz w:val="20"/>
                <w:szCs w:val="20"/>
              </w:rPr>
              <w:t>Survey</w:t>
            </w:r>
          </w:p>
        </w:tc>
        <w:tc>
          <w:tcPr>
            <w:tcW w:w="1641" w:type="dxa"/>
            <w:shd w:val="clear" w:color="auto" w:fill="auto"/>
            <w:noWrap/>
            <w:vAlign w:val="bottom"/>
          </w:tcPr>
          <w:p w14:paraId="56646D50" w14:textId="537BE19A" w:rsidR="00C82E87" w:rsidRPr="001F2D06" w:rsidRDefault="00C82E87" w:rsidP="00C82E87">
            <w:pPr>
              <w:rPr>
                <w:sz w:val="20"/>
                <w:szCs w:val="20"/>
              </w:rPr>
            </w:pPr>
            <w:r w:rsidRPr="001F2D06">
              <w:rPr>
                <w:sz w:val="20"/>
                <w:szCs w:val="20"/>
              </w:rPr>
              <w:t>320</w:t>
            </w:r>
          </w:p>
        </w:tc>
        <w:tc>
          <w:tcPr>
            <w:tcW w:w="934" w:type="dxa"/>
            <w:shd w:val="clear" w:color="auto" w:fill="auto"/>
            <w:noWrap/>
            <w:vAlign w:val="bottom"/>
          </w:tcPr>
          <w:p w14:paraId="65C282C8" w14:textId="528AA0AB" w:rsidR="00C82E87" w:rsidRPr="001F2D06" w:rsidRDefault="00C82E87" w:rsidP="00C82E87">
            <w:pPr>
              <w:rPr>
                <w:sz w:val="20"/>
                <w:szCs w:val="20"/>
              </w:rPr>
            </w:pPr>
            <w:r w:rsidRPr="001F2D06">
              <w:rPr>
                <w:sz w:val="20"/>
                <w:szCs w:val="20"/>
              </w:rPr>
              <w:t>0.257</w:t>
            </w:r>
          </w:p>
        </w:tc>
        <w:tc>
          <w:tcPr>
            <w:tcW w:w="77" w:type="dxa"/>
            <w:shd w:val="clear" w:color="auto" w:fill="auto"/>
            <w:noWrap/>
            <w:vAlign w:val="bottom"/>
          </w:tcPr>
          <w:p w14:paraId="722021FF" w14:textId="77777777" w:rsidR="00C82E87" w:rsidRPr="001F2D06" w:rsidRDefault="00C82E87" w:rsidP="00C82E87">
            <w:pPr>
              <w:rPr>
                <w:sz w:val="20"/>
                <w:szCs w:val="20"/>
              </w:rPr>
            </w:pPr>
          </w:p>
        </w:tc>
        <w:tc>
          <w:tcPr>
            <w:tcW w:w="1010" w:type="dxa"/>
            <w:shd w:val="clear" w:color="auto" w:fill="auto"/>
            <w:noWrap/>
            <w:vAlign w:val="bottom"/>
          </w:tcPr>
          <w:p w14:paraId="55C530B1" w14:textId="2B42A427" w:rsidR="00C82E87" w:rsidRPr="001F2D06" w:rsidRDefault="00C82E87" w:rsidP="00C82E87">
            <w:pPr>
              <w:rPr>
                <w:sz w:val="20"/>
                <w:szCs w:val="20"/>
              </w:rPr>
            </w:pPr>
            <w:r w:rsidRPr="001F2D06">
              <w:rPr>
                <w:sz w:val="20"/>
                <w:szCs w:val="20"/>
              </w:rPr>
              <w:t>10.3</w:t>
            </w:r>
          </w:p>
        </w:tc>
        <w:tc>
          <w:tcPr>
            <w:tcW w:w="1010" w:type="dxa"/>
            <w:shd w:val="clear" w:color="auto" w:fill="auto"/>
            <w:noWrap/>
            <w:vAlign w:val="bottom"/>
          </w:tcPr>
          <w:p w14:paraId="08E9D64A" w14:textId="36A03274" w:rsidR="00C82E87" w:rsidRPr="001F2D06" w:rsidRDefault="00C82E87" w:rsidP="00C82E87">
            <w:pPr>
              <w:rPr>
                <w:sz w:val="20"/>
                <w:szCs w:val="20"/>
              </w:rPr>
            </w:pPr>
            <w:r w:rsidRPr="001F2D06">
              <w:rPr>
                <w:sz w:val="20"/>
                <w:szCs w:val="20"/>
              </w:rPr>
              <w:t>12.9</w:t>
            </w:r>
          </w:p>
        </w:tc>
        <w:tc>
          <w:tcPr>
            <w:tcW w:w="30" w:type="dxa"/>
            <w:shd w:val="clear" w:color="auto" w:fill="auto"/>
            <w:noWrap/>
            <w:vAlign w:val="bottom"/>
          </w:tcPr>
          <w:p w14:paraId="0DCE7C26" w14:textId="77777777" w:rsidR="00C82E87" w:rsidRPr="001F2D06" w:rsidRDefault="00C82E87" w:rsidP="00C82E87">
            <w:pPr>
              <w:rPr>
                <w:sz w:val="20"/>
                <w:szCs w:val="20"/>
              </w:rPr>
            </w:pPr>
          </w:p>
        </w:tc>
        <w:tc>
          <w:tcPr>
            <w:tcW w:w="1371" w:type="dxa"/>
            <w:shd w:val="clear" w:color="auto" w:fill="auto"/>
            <w:noWrap/>
            <w:vAlign w:val="bottom"/>
          </w:tcPr>
          <w:p w14:paraId="457D782C" w14:textId="3ABC4E27" w:rsidR="00C82E87" w:rsidRPr="001F2D06" w:rsidRDefault="00C82E87" w:rsidP="00C82E87">
            <w:pPr>
              <w:rPr>
                <w:sz w:val="20"/>
                <w:szCs w:val="20"/>
              </w:rPr>
            </w:pPr>
            <w:r w:rsidRPr="001F2D06">
              <w:rPr>
                <w:sz w:val="20"/>
                <w:szCs w:val="20"/>
              </w:rPr>
              <w:t>2,056</w:t>
            </w:r>
          </w:p>
        </w:tc>
        <w:tc>
          <w:tcPr>
            <w:tcW w:w="1474" w:type="dxa"/>
            <w:shd w:val="clear" w:color="auto" w:fill="auto"/>
            <w:noWrap/>
            <w:vAlign w:val="bottom"/>
          </w:tcPr>
          <w:p w14:paraId="79781CED" w14:textId="650F08FB" w:rsidR="00C82E87" w:rsidRPr="001F2D06" w:rsidRDefault="00C82E87" w:rsidP="00C82E87">
            <w:pPr>
              <w:rPr>
                <w:sz w:val="20"/>
                <w:szCs w:val="20"/>
              </w:rPr>
            </w:pPr>
            <w:r w:rsidRPr="001F2D06">
              <w:rPr>
                <w:sz w:val="20"/>
                <w:szCs w:val="20"/>
              </w:rPr>
              <w:t>3,598</w:t>
            </w:r>
          </w:p>
        </w:tc>
      </w:tr>
      <w:tr w:rsidR="00C82E87" w:rsidRPr="00620F40" w14:paraId="43DB1492" w14:textId="77777777" w:rsidTr="00C82E87">
        <w:trPr>
          <w:trHeight w:val="150"/>
        </w:trPr>
        <w:tc>
          <w:tcPr>
            <w:tcW w:w="1993" w:type="dxa"/>
            <w:gridSpan w:val="4"/>
            <w:shd w:val="clear" w:color="auto" w:fill="auto"/>
            <w:noWrap/>
            <w:vAlign w:val="bottom"/>
          </w:tcPr>
          <w:p w14:paraId="2C5643F6" w14:textId="77777777" w:rsidR="00C82E87" w:rsidRPr="001F2D06" w:rsidRDefault="00C82E87" w:rsidP="00C82E87">
            <w:pPr>
              <w:rPr>
                <w:sz w:val="20"/>
                <w:szCs w:val="20"/>
              </w:rPr>
            </w:pPr>
          </w:p>
        </w:tc>
        <w:tc>
          <w:tcPr>
            <w:tcW w:w="1641" w:type="dxa"/>
            <w:shd w:val="clear" w:color="auto" w:fill="auto"/>
            <w:noWrap/>
            <w:vAlign w:val="bottom"/>
          </w:tcPr>
          <w:p w14:paraId="047A0418" w14:textId="77777777" w:rsidR="00C82E87" w:rsidRPr="001F2D06" w:rsidRDefault="00C82E87" w:rsidP="00C82E87">
            <w:pPr>
              <w:rPr>
                <w:sz w:val="20"/>
                <w:szCs w:val="20"/>
              </w:rPr>
            </w:pPr>
          </w:p>
        </w:tc>
        <w:tc>
          <w:tcPr>
            <w:tcW w:w="934" w:type="dxa"/>
            <w:shd w:val="clear" w:color="auto" w:fill="auto"/>
            <w:noWrap/>
            <w:vAlign w:val="bottom"/>
          </w:tcPr>
          <w:p w14:paraId="57FBCA62" w14:textId="77777777" w:rsidR="00C82E87" w:rsidRPr="001F2D06" w:rsidRDefault="00C82E87" w:rsidP="00C82E87">
            <w:pPr>
              <w:rPr>
                <w:sz w:val="20"/>
                <w:szCs w:val="20"/>
              </w:rPr>
            </w:pPr>
          </w:p>
        </w:tc>
        <w:tc>
          <w:tcPr>
            <w:tcW w:w="77" w:type="dxa"/>
            <w:shd w:val="clear" w:color="auto" w:fill="auto"/>
            <w:noWrap/>
            <w:vAlign w:val="bottom"/>
          </w:tcPr>
          <w:p w14:paraId="718FFE3F" w14:textId="77777777" w:rsidR="00C82E87" w:rsidRPr="001F2D06" w:rsidRDefault="00C82E87" w:rsidP="00C82E87">
            <w:pPr>
              <w:rPr>
                <w:sz w:val="20"/>
                <w:szCs w:val="20"/>
              </w:rPr>
            </w:pPr>
          </w:p>
        </w:tc>
        <w:tc>
          <w:tcPr>
            <w:tcW w:w="1010" w:type="dxa"/>
            <w:shd w:val="clear" w:color="auto" w:fill="auto"/>
            <w:noWrap/>
            <w:vAlign w:val="bottom"/>
          </w:tcPr>
          <w:p w14:paraId="3C199F43" w14:textId="77777777" w:rsidR="00C82E87" w:rsidRPr="001F2D06" w:rsidRDefault="00C82E87" w:rsidP="00C82E87">
            <w:pPr>
              <w:rPr>
                <w:sz w:val="20"/>
                <w:szCs w:val="20"/>
              </w:rPr>
            </w:pPr>
          </w:p>
        </w:tc>
        <w:tc>
          <w:tcPr>
            <w:tcW w:w="1010" w:type="dxa"/>
            <w:shd w:val="clear" w:color="auto" w:fill="auto"/>
            <w:noWrap/>
            <w:vAlign w:val="bottom"/>
          </w:tcPr>
          <w:p w14:paraId="3DFFA83A" w14:textId="77777777" w:rsidR="00C82E87" w:rsidRPr="001F2D06" w:rsidRDefault="00C82E87" w:rsidP="00C82E87">
            <w:pPr>
              <w:rPr>
                <w:sz w:val="20"/>
                <w:szCs w:val="20"/>
              </w:rPr>
            </w:pPr>
          </w:p>
        </w:tc>
        <w:tc>
          <w:tcPr>
            <w:tcW w:w="30" w:type="dxa"/>
            <w:shd w:val="clear" w:color="auto" w:fill="auto"/>
            <w:noWrap/>
            <w:vAlign w:val="bottom"/>
          </w:tcPr>
          <w:p w14:paraId="13E59F93" w14:textId="77777777" w:rsidR="00C82E87" w:rsidRPr="001F2D06" w:rsidRDefault="00C82E87" w:rsidP="00C82E87">
            <w:pPr>
              <w:rPr>
                <w:sz w:val="20"/>
                <w:szCs w:val="20"/>
              </w:rPr>
            </w:pPr>
          </w:p>
        </w:tc>
        <w:tc>
          <w:tcPr>
            <w:tcW w:w="1371" w:type="dxa"/>
            <w:shd w:val="clear" w:color="auto" w:fill="auto"/>
            <w:noWrap/>
            <w:vAlign w:val="bottom"/>
          </w:tcPr>
          <w:p w14:paraId="6B279075" w14:textId="77777777" w:rsidR="00C82E87" w:rsidRPr="001F2D06" w:rsidRDefault="00C82E87" w:rsidP="00C82E87">
            <w:pPr>
              <w:rPr>
                <w:sz w:val="20"/>
                <w:szCs w:val="20"/>
              </w:rPr>
            </w:pPr>
          </w:p>
        </w:tc>
        <w:tc>
          <w:tcPr>
            <w:tcW w:w="1474" w:type="dxa"/>
            <w:shd w:val="clear" w:color="auto" w:fill="auto"/>
            <w:noWrap/>
            <w:vAlign w:val="bottom"/>
          </w:tcPr>
          <w:p w14:paraId="67DDD256" w14:textId="77777777" w:rsidR="00C82E87" w:rsidRPr="001F2D06" w:rsidRDefault="00C82E87" w:rsidP="00C82E87">
            <w:pPr>
              <w:rPr>
                <w:sz w:val="20"/>
                <w:szCs w:val="20"/>
              </w:rPr>
            </w:pPr>
          </w:p>
        </w:tc>
      </w:tr>
      <w:tr w:rsidR="008E37B9" w:rsidRPr="00620F40" w14:paraId="4E7DBAE2" w14:textId="77777777" w:rsidTr="00B879B3">
        <w:trPr>
          <w:trHeight w:val="240"/>
        </w:trPr>
        <w:tc>
          <w:tcPr>
            <w:tcW w:w="6665" w:type="dxa"/>
            <w:gridSpan w:val="9"/>
            <w:shd w:val="clear" w:color="auto" w:fill="auto"/>
            <w:noWrap/>
            <w:vAlign w:val="bottom"/>
            <w:hideMark/>
          </w:tcPr>
          <w:p w14:paraId="75D798C6" w14:textId="77777777" w:rsidR="008E37B9" w:rsidRPr="001F2D06" w:rsidRDefault="008E37B9">
            <w:pPr>
              <w:rPr>
                <w:sz w:val="20"/>
                <w:szCs w:val="20"/>
              </w:rPr>
            </w:pPr>
            <w:r w:rsidRPr="001F2D06">
              <w:rPr>
                <w:sz w:val="20"/>
                <w:szCs w:val="20"/>
              </w:rPr>
              <w:t>Assuming pooling 2 sites with 400 sample members per site</w:t>
            </w:r>
          </w:p>
        </w:tc>
        <w:tc>
          <w:tcPr>
            <w:tcW w:w="30" w:type="dxa"/>
            <w:shd w:val="clear" w:color="auto" w:fill="auto"/>
            <w:noWrap/>
            <w:vAlign w:val="bottom"/>
            <w:hideMark/>
          </w:tcPr>
          <w:p w14:paraId="6B0CE81A" w14:textId="77777777" w:rsidR="008E37B9" w:rsidRPr="001F2D06" w:rsidRDefault="008E37B9">
            <w:pPr>
              <w:rPr>
                <w:sz w:val="20"/>
                <w:szCs w:val="20"/>
              </w:rPr>
            </w:pPr>
          </w:p>
        </w:tc>
        <w:tc>
          <w:tcPr>
            <w:tcW w:w="1371" w:type="dxa"/>
            <w:shd w:val="clear" w:color="auto" w:fill="auto"/>
            <w:noWrap/>
            <w:vAlign w:val="bottom"/>
            <w:hideMark/>
          </w:tcPr>
          <w:p w14:paraId="6931172B" w14:textId="77777777" w:rsidR="008E37B9" w:rsidRPr="001F2D06" w:rsidRDefault="008E37B9">
            <w:pPr>
              <w:rPr>
                <w:sz w:val="20"/>
                <w:szCs w:val="20"/>
              </w:rPr>
            </w:pPr>
          </w:p>
        </w:tc>
        <w:tc>
          <w:tcPr>
            <w:tcW w:w="1474" w:type="dxa"/>
            <w:shd w:val="clear" w:color="auto" w:fill="auto"/>
            <w:noWrap/>
            <w:vAlign w:val="bottom"/>
            <w:hideMark/>
          </w:tcPr>
          <w:p w14:paraId="1B52B1DA" w14:textId="77777777" w:rsidR="008E37B9" w:rsidRPr="001F2D06" w:rsidRDefault="008E37B9">
            <w:pPr>
              <w:rPr>
                <w:sz w:val="20"/>
                <w:szCs w:val="20"/>
              </w:rPr>
            </w:pPr>
          </w:p>
        </w:tc>
      </w:tr>
      <w:tr w:rsidR="008E37B9" w:rsidRPr="00620F40" w14:paraId="569E43DE" w14:textId="77777777" w:rsidTr="00B879B3">
        <w:trPr>
          <w:trHeight w:val="240"/>
        </w:trPr>
        <w:tc>
          <w:tcPr>
            <w:tcW w:w="1993" w:type="dxa"/>
            <w:gridSpan w:val="4"/>
            <w:shd w:val="clear" w:color="auto" w:fill="auto"/>
            <w:noWrap/>
            <w:vAlign w:val="bottom"/>
            <w:hideMark/>
          </w:tcPr>
          <w:p w14:paraId="48773CE7" w14:textId="77777777" w:rsidR="008E37B9" w:rsidRPr="001F2D06" w:rsidRDefault="008E37B9">
            <w:pPr>
              <w:rPr>
                <w:sz w:val="20"/>
                <w:szCs w:val="20"/>
              </w:rPr>
            </w:pPr>
            <w:r w:rsidRPr="001F2D06">
              <w:rPr>
                <w:sz w:val="20"/>
                <w:szCs w:val="20"/>
              </w:rPr>
              <w:t>Administrative records</w:t>
            </w:r>
          </w:p>
        </w:tc>
        <w:tc>
          <w:tcPr>
            <w:tcW w:w="1641" w:type="dxa"/>
            <w:shd w:val="clear" w:color="auto" w:fill="auto"/>
            <w:noWrap/>
            <w:vAlign w:val="bottom"/>
            <w:hideMark/>
          </w:tcPr>
          <w:p w14:paraId="21684ABA" w14:textId="77777777" w:rsidR="008E37B9" w:rsidRPr="001F2D06" w:rsidRDefault="008E37B9">
            <w:pPr>
              <w:rPr>
                <w:sz w:val="20"/>
                <w:szCs w:val="20"/>
              </w:rPr>
            </w:pPr>
            <w:r w:rsidRPr="001F2D06">
              <w:rPr>
                <w:sz w:val="20"/>
                <w:szCs w:val="20"/>
              </w:rPr>
              <w:t>800</w:t>
            </w:r>
          </w:p>
        </w:tc>
        <w:tc>
          <w:tcPr>
            <w:tcW w:w="934" w:type="dxa"/>
            <w:shd w:val="clear" w:color="auto" w:fill="auto"/>
            <w:noWrap/>
            <w:vAlign w:val="bottom"/>
            <w:hideMark/>
          </w:tcPr>
          <w:p w14:paraId="39078F1F" w14:textId="77777777" w:rsidR="008E37B9" w:rsidRPr="001F2D06" w:rsidRDefault="008E37B9">
            <w:pPr>
              <w:rPr>
                <w:sz w:val="20"/>
                <w:szCs w:val="20"/>
              </w:rPr>
            </w:pPr>
            <w:r w:rsidRPr="001F2D06">
              <w:rPr>
                <w:sz w:val="20"/>
                <w:szCs w:val="20"/>
              </w:rPr>
              <w:t>0.162</w:t>
            </w:r>
          </w:p>
        </w:tc>
        <w:tc>
          <w:tcPr>
            <w:tcW w:w="77" w:type="dxa"/>
            <w:shd w:val="clear" w:color="auto" w:fill="auto"/>
            <w:noWrap/>
            <w:vAlign w:val="bottom"/>
            <w:hideMark/>
          </w:tcPr>
          <w:p w14:paraId="720A7206" w14:textId="77777777" w:rsidR="008E37B9" w:rsidRPr="001F2D06" w:rsidRDefault="008E37B9">
            <w:pPr>
              <w:rPr>
                <w:sz w:val="20"/>
                <w:szCs w:val="20"/>
              </w:rPr>
            </w:pPr>
          </w:p>
        </w:tc>
        <w:tc>
          <w:tcPr>
            <w:tcW w:w="1010" w:type="dxa"/>
            <w:shd w:val="clear" w:color="auto" w:fill="auto"/>
            <w:noWrap/>
            <w:vAlign w:val="bottom"/>
            <w:hideMark/>
          </w:tcPr>
          <w:p w14:paraId="15C54140" w14:textId="77777777" w:rsidR="008E37B9" w:rsidRPr="001F2D06" w:rsidRDefault="008E37B9">
            <w:pPr>
              <w:rPr>
                <w:sz w:val="20"/>
                <w:szCs w:val="20"/>
              </w:rPr>
            </w:pPr>
            <w:r w:rsidRPr="001F2D06">
              <w:rPr>
                <w:sz w:val="20"/>
                <w:szCs w:val="20"/>
              </w:rPr>
              <w:t>6.5</w:t>
            </w:r>
          </w:p>
        </w:tc>
        <w:tc>
          <w:tcPr>
            <w:tcW w:w="1010" w:type="dxa"/>
            <w:shd w:val="clear" w:color="auto" w:fill="auto"/>
            <w:noWrap/>
            <w:vAlign w:val="bottom"/>
            <w:hideMark/>
          </w:tcPr>
          <w:p w14:paraId="4B64EB79" w14:textId="77777777" w:rsidR="008E37B9" w:rsidRPr="001F2D06" w:rsidRDefault="008E37B9">
            <w:pPr>
              <w:rPr>
                <w:sz w:val="20"/>
                <w:szCs w:val="20"/>
              </w:rPr>
            </w:pPr>
            <w:r w:rsidRPr="001F2D06">
              <w:rPr>
                <w:sz w:val="20"/>
                <w:szCs w:val="20"/>
              </w:rPr>
              <w:t>8.1</w:t>
            </w:r>
          </w:p>
        </w:tc>
        <w:tc>
          <w:tcPr>
            <w:tcW w:w="30" w:type="dxa"/>
            <w:shd w:val="clear" w:color="auto" w:fill="auto"/>
            <w:noWrap/>
            <w:vAlign w:val="bottom"/>
            <w:hideMark/>
          </w:tcPr>
          <w:p w14:paraId="79AA55C6" w14:textId="77777777" w:rsidR="008E37B9" w:rsidRPr="001F2D06" w:rsidRDefault="008E37B9">
            <w:pPr>
              <w:rPr>
                <w:sz w:val="20"/>
                <w:szCs w:val="20"/>
              </w:rPr>
            </w:pPr>
          </w:p>
        </w:tc>
        <w:tc>
          <w:tcPr>
            <w:tcW w:w="1371" w:type="dxa"/>
            <w:shd w:val="clear" w:color="auto" w:fill="auto"/>
            <w:noWrap/>
            <w:vAlign w:val="bottom"/>
            <w:hideMark/>
          </w:tcPr>
          <w:p w14:paraId="16A97E73" w14:textId="77777777" w:rsidR="008E37B9" w:rsidRPr="001F2D06" w:rsidRDefault="008E37B9">
            <w:pPr>
              <w:rPr>
                <w:sz w:val="20"/>
                <w:szCs w:val="20"/>
              </w:rPr>
            </w:pPr>
            <w:r w:rsidRPr="001F2D06">
              <w:rPr>
                <w:sz w:val="20"/>
                <w:szCs w:val="20"/>
              </w:rPr>
              <w:t>1,296</w:t>
            </w:r>
          </w:p>
        </w:tc>
        <w:tc>
          <w:tcPr>
            <w:tcW w:w="1474" w:type="dxa"/>
            <w:shd w:val="clear" w:color="auto" w:fill="auto"/>
            <w:noWrap/>
            <w:vAlign w:val="bottom"/>
            <w:hideMark/>
          </w:tcPr>
          <w:p w14:paraId="7F64BC71" w14:textId="77777777" w:rsidR="008E37B9" w:rsidRPr="001F2D06" w:rsidRDefault="008E37B9">
            <w:pPr>
              <w:rPr>
                <w:sz w:val="20"/>
                <w:szCs w:val="20"/>
              </w:rPr>
            </w:pPr>
            <w:r w:rsidRPr="001F2D06">
              <w:rPr>
                <w:sz w:val="20"/>
                <w:szCs w:val="20"/>
              </w:rPr>
              <w:t>2,268</w:t>
            </w:r>
          </w:p>
        </w:tc>
      </w:tr>
      <w:tr w:rsidR="008E37B9" w:rsidRPr="00620F40" w14:paraId="1F28EB9F" w14:textId="77777777" w:rsidTr="00B879B3">
        <w:trPr>
          <w:trHeight w:val="240"/>
        </w:trPr>
        <w:tc>
          <w:tcPr>
            <w:tcW w:w="1993" w:type="dxa"/>
            <w:gridSpan w:val="4"/>
            <w:shd w:val="clear" w:color="auto" w:fill="auto"/>
            <w:noWrap/>
            <w:vAlign w:val="bottom"/>
            <w:hideMark/>
          </w:tcPr>
          <w:p w14:paraId="109E8F91" w14:textId="77777777" w:rsidR="008E37B9" w:rsidRPr="001F2D06" w:rsidRDefault="008E37B9">
            <w:pPr>
              <w:rPr>
                <w:sz w:val="20"/>
                <w:szCs w:val="20"/>
              </w:rPr>
            </w:pPr>
            <w:r w:rsidRPr="001F2D06">
              <w:rPr>
                <w:sz w:val="20"/>
                <w:szCs w:val="20"/>
              </w:rPr>
              <w:t>Survey</w:t>
            </w:r>
          </w:p>
        </w:tc>
        <w:tc>
          <w:tcPr>
            <w:tcW w:w="1641" w:type="dxa"/>
            <w:shd w:val="clear" w:color="auto" w:fill="auto"/>
            <w:noWrap/>
            <w:vAlign w:val="bottom"/>
            <w:hideMark/>
          </w:tcPr>
          <w:p w14:paraId="2DF66114" w14:textId="77777777" w:rsidR="008E37B9" w:rsidRPr="001F2D06" w:rsidRDefault="008E37B9">
            <w:pPr>
              <w:rPr>
                <w:sz w:val="20"/>
                <w:szCs w:val="20"/>
              </w:rPr>
            </w:pPr>
            <w:r w:rsidRPr="001F2D06">
              <w:rPr>
                <w:sz w:val="20"/>
                <w:szCs w:val="20"/>
              </w:rPr>
              <w:t>640</w:t>
            </w:r>
          </w:p>
        </w:tc>
        <w:tc>
          <w:tcPr>
            <w:tcW w:w="934" w:type="dxa"/>
            <w:shd w:val="clear" w:color="auto" w:fill="auto"/>
            <w:noWrap/>
            <w:vAlign w:val="bottom"/>
            <w:hideMark/>
          </w:tcPr>
          <w:p w14:paraId="5FF706F8" w14:textId="77777777" w:rsidR="008E37B9" w:rsidRPr="001F2D06" w:rsidRDefault="008E37B9">
            <w:pPr>
              <w:rPr>
                <w:sz w:val="20"/>
                <w:szCs w:val="20"/>
              </w:rPr>
            </w:pPr>
            <w:r w:rsidRPr="001F2D06">
              <w:rPr>
                <w:sz w:val="20"/>
                <w:szCs w:val="20"/>
              </w:rPr>
              <w:t>0.181</w:t>
            </w:r>
          </w:p>
        </w:tc>
        <w:tc>
          <w:tcPr>
            <w:tcW w:w="77" w:type="dxa"/>
            <w:shd w:val="clear" w:color="auto" w:fill="auto"/>
            <w:noWrap/>
            <w:vAlign w:val="bottom"/>
            <w:hideMark/>
          </w:tcPr>
          <w:p w14:paraId="22D3359B" w14:textId="77777777" w:rsidR="008E37B9" w:rsidRPr="001F2D06" w:rsidRDefault="008E37B9">
            <w:pPr>
              <w:rPr>
                <w:sz w:val="20"/>
                <w:szCs w:val="20"/>
              </w:rPr>
            </w:pPr>
          </w:p>
        </w:tc>
        <w:tc>
          <w:tcPr>
            <w:tcW w:w="1010" w:type="dxa"/>
            <w:shd w:val="clear" w:color="auto" w:fill="auto"/>
            <w:noWrap/>
            <w:vAlign w:val="bottom"/>
            <w:hideMark/>
          </w:tcPr>
          <w:p w14:paraId="1BBC4929" w14:textId="77777777" w:rsidR="008E37B9" w:rsidRPr="001F2D06" w:rsidRDefault="008E37B9">
            <w:pPr>
              <w:rPr>
                <w:sz w:val="20"/>
                <w:szCs w:val="20"/>
              </w:rPr>
            </w:pPr>
            <w:r w:rsidRPr="001F2D06">
              <w:rPr>
                <w:sz w:val="20"/>
                <w:szCs w:val="20"/>
              </w:rPr>
              <w:t>7.2</w:t>
            </w:r>
          </w:p>
        </w:tc>
        <w:tc>
          <w:tcPr>
            <w:tcW w:w="1010" w:type="dxa"/>
            <w:shd w:val="clear" w:color="auto" w:fill="auto"/>
            <w:noWrap/>
            <w:vAlign w:val="bottom"/>
            <w:hideMark/>
          </w:tcPr>
          <w:p w14:paraId="214F792C" w14:textId="77777777" w:rsidR="008E37B9" w:rsidRPr="001F2D06" w:rsidRDefault="008E37B9">
            <w:pPr>
              <w:rPr>
                <w:sz w:val="20"/>
                <w:szCs w:val="20"/>
              </w:rPr>
            </w:pPr>
            <w:r w:rsidRPr="001F2D06">
              <w:rPr>
                <w:sz w:val="20"/>
                <w:szCs w:val="20"/>
              </w:rPr>
              <w:t>9.1</w:t>
            </w:r>
          </w:p>
        </w:tc>
        <w:tc>
          <w:tcPr>
            <w:tcW w:w="30" w:type="dxa"/>
            <w:shd w:val="clear" w:color="auto" w:fill="auto"/>
            <w:noWrap/>
            <w:vAlign w:val="bottom"/>
            <w:hideMark/>
          </w:tcPr>
          <w:p w14:paraId="00E84735" w14:textId="77777777" w:rsidR="008E37B9" w:rsidRPr="001F2D06" w:rsidRDefault="008E37B9">
            <w:pPr>
              <w:rPr>
                <w:sz w:val="20"/>
                <w:szCs w:val="20"/>
              </w:rPr>
            </w:pPr>
          </w:p>
        </w:tc>
        <w:tc>
          <w:tcPr>
            <w:tcW w:w="1371" w:type="dxa"/>
            <w:shd w:val="clear" w:color="auto" w:fill="auto"/>
            <w:noWrap/>
            <w:vAlign w:val="bottom"/>
            <w:hideMark/>
          </w:tcPr>
          <w:p w14:paraId="6A0074E6" w14:textId="77777777" w:rsidR="008E37B9" w:rsidRPr="001F2D06" w:rsidRDefault="008E37B9">
            <w:pPr>
              <w:rPr>
                <w:sz w:val="20"/>
                <w:szCs w:val="20"/>
              </w:rPr>
            </w:pPr>
            <w:r w:rsidRPr="001F2D06">
              <w:rPr>
                <w:sz w:val="20"/>
                <w:szCs w:val="20"/>
              </w:rPr>
              <w:t>1,448</w:t>
            </w:r>
          </w:p>
        </w:tc>
        <w:tc>
          <w:tcPr>
            <w:tcW w:w="1474" w:type="dxa"/>
            <w:shd w:val="clear" w:color="auto" w:fill="auto"/>
            <w:noWrap/>
            <w:vAlign w:val="bottom"/>
            <w:hideMark/>
          </w:tcPr>
          <w:p w14:paraId="2E9181AF" w14:textId="77777777" w:rsidR="008E37B9" w:rsidRPr="001F2D06" w:rsidRDefault="008E37B9">
            <w:pPr>
              <w:rPr>
                <w:sz w:val="20"/>
                <w:szCs w:val="20"/>
              </w:rPr>
            </w:pPr>
            <w:r w:rsidRPr="001F2D06">
              <w:rPr>
                <w:sz w:val="20"/>
                <w:szCs w:val="20"/>
              </w:rPr>
              <w:t>2,534</w:t>
            </w:r>
          </w:p>
        </w:tc>
      </w:tr>
      <w:tr w:rsidR="008E37B9" w:rsidRPr="00620F40" w14:paraId="043209EB" w14:textId="77777777" w:rsidTr="00B879B3">
        <w:trPr>
          <w:trHeight w:val="150"/>
        </w:trPr>
        <w:tc>
          <w:tcPr>
            <w:tcW w:w="637" w:type="dxa"/>
            <w:shd w:val="clear" w:color="auto" w:fill="auto"/>
            <w:noWrap/>
            <w:vAlign w:val="bottom"/>
            <w:hideMark/>
          </w:tcPr>
          <w:p w14:paraId="7FE3EC74" w14:textId="77777777" w:rsidR="008E37B9" w:rsidRPr="001F2D06" w:rsidRDefault="008E37B9">
            <w:pPr>
              <w:rPr>
                <w:sz w:val="20"/>
                <w:szCs w:val="20"/>
              </w:rPr>
            </w:pPr>
          </w:p>
        </w:tc>
        <w:tc>
          <w:tcPr>
            <w:tcW w:w="452" w:type="dxa"/>
            <w:shd w:val="clear" w:color="auto" w:fill="auto"/>
            <w:noWrap/>
            <w:vAlign w:val="bottom"/>
            <w:hideMark/>
          </w:tcPr>
          <w:p w14:paraId="65F31919" w14:textId="77777777" w:rsidR="008E37B9" w:rsidRPr="001F2D06" w:rsidRDefault="008E37B9">
            <w:pPr>
              <w:rPr>
                <w:sz w:val="20"/>
                <w:szCs w:val="20"/>
              </w:rPr>
            </w:pPr>
          </w:p>
        </w:tc>
        <w:tc>
          <w:tcPr>
            <w:tcW w:w="452" w:type="dxa"/>
            <w:shd w:val="clear" w:color="auto" w:fill="auto"/>
            <w:noWrap/>
            <w:vAlign w:val="bottom"/>
            <w:hideMark/>
          </w:tcPr>
          <w:p w14:paraId="3A16B0C5" w14:textId="77777777" w:rsidR="008E37B9" w:rsidRPr="001F2D06" w:rsidRDefault="008E37B9">
            <w:pPr>
              <w:rPr>
                <w:sz w:val="20"/>
                <w:szCs w:val="20"/>
              </w:rPr>
            </w:pPr>
          </w:p>
        </w:tc>
        <w:tc>
          <w:tcPr>
            <w:tcW w:w="452" w:type="dxa"/>
            <w:shd w:val="clear" w:color="auto" w:fill="auto"/>
            <w:noWrap/>
            <w:vAlign w:val="bottom"/>
            <w:hideMark/>
          </w:tcPr>
          <w:p w14:paraId="1388437F" w14:textId="77777777" w:rsidR="008E37B9" w:rsidRPr="001F2D06" w:rsidRDefault="008E37B9">
            <w:pPr>
              <w:rPr>
                <w:sz w:val="20"/>
                <w:szCs w:val="20"/>
              </w:rPr>
            </w:pPr>
          </w:p>
        </w:tc>
        <w:tc>
          <w:tcPr>
            <w:tcW w:w="1641" w:type="dxa"/>
            <w:shd w:val="clear" w:color="auto" w:fill="auto"/>
            <w:noWrap/>
            <w:vAlign w:val="bottom"/>
            <w:hideMark/>
          </w:tcPr>
          <w:p w14:paraId="6D920F03" w14:textId="77777777" w:rsidR="008E37B9" w:rsidRPr="001F2D06" w:rsidRDefault="008E37B9">
            <w:pPr>
              <w:rPr>
                <w:sz w:val="20"/>
                <w:szCs w:val="20"/>
              </w:rPr>
            </w:pPr>
          </w:p>
        </w:tc>
        <w:tc>
          <w:tcPr>
            <w:tcW w:w="934" w:type="dxa"/>
            <w:shd w:val="clear" w:color="auto" w:fill="auto"/>
            <w:noWrap/>
            <w:vAlign w:val="bottom"/>
            <w:hideMark/>
          </w:tcPr>
          <w:p w14:paraId="1756E8EB" w14:textId="77777777" w:rsidR="008E37B9" w:rsidRPr="001F2D06" w:rsidRDefault="008E37B9">
            <w:pPr>
              <w:rPr>
                <w:sz w:val="20"/>
                <w:szCs w:val="20"/>
              </w:rPr>
            </w:pPr>
          </w:p>
        </w:tc>
        <w:tc>
          <w:tcPr>
            <w:tcW w:w="77" w:type="dxa"/>
            <w:shd w:val="clear" w:color="auto" w:fill="auto"/>
            <w:noWrap/>
            <w:vAlign w:val="bottom"/>
            <w:hideMark/>
          </w:tcPr>
          <w:p w14:paraId="7C32388A" w14:textId="77777777" w:rsidR="008E37B9" w:rsidRPr="001F2D06" w:rsidRDefault="008E37B9">
            <w:pPr>
              <w:rPr>
                <w:sz w:val="20"/>
                <w:szCs w:val="20"/>
              </w:rPr>
            </w:pPr>
          </w:p>
        </w:tc>
        <w:tc>
          <w:tcPr>
            <w:tcW w:w="1010" w:type="dxa"/>
            <w:shd w:val="clear" w:color="auto" w:fill="auto"/>
            <w:noWrap/>
            <w:vAlign w:val="bottom"/>
            <w:hideMark/>
          </w:tcPr>
          <w:p w14:paraId="2DAFF6AD" w14:textId="77777777" w:rsidR="008E37B9" w:rsidRPr="001F2D06" w:rsidRDefault="008E37B9">
            <w:pPr>
              <w:rPr>
                <w:sz w:val="20"/>
                <w:szCs w:val="20"/>
              </w:rPr>
            </w:pPr>
          </w:p>
        </w:tc>
        <w:tc>
          <w:tcPr>
            <w:tcW w:w="1010" w:type="dxa"/>
            <w:shd w:val="clear" w:color="auto" w:fill="auto"/>
            <w:noWrap/>
            <w:vAlign w:val="bottom"/>
            <w:hideMark/>
          </w:tcPr>
          <w:p w14:paraId="52971E18" w14:textId="77777777" w:rsidR="008E37B9" w:rsidRPr="001F2D06" w:rsidRDefault="008E37B9">
            <w:pPr>
              <w:rPr>
                <w:sz w:val="20"/>
                <w:szCs w:val="20"/>
              </w:rPr>
            </w:pPr>
          </w:p>
        </w:tc>
        <w:tc>
          <w:tcPr>
            <w:tcW w:w="30" w:type="dxa"/>
            <w:shd w:val="clear" w:color="auto" w:fill="auto"/>
            <w:noWrap/>
            <w:vAlign w:val="bottom"/>
            <w:hideMark/>
          </w:tcPr>
          <w:p w14:paraId="0A6A50FE" w14:textId="77777777" w:rsidR="008E37B9" w:rsidRPr="001F2D06" w:rsidRDefault="008E37B9">
            <w:pPr>
              <w:rPr>
                <w:sz w:val="20"/>
                <w:szCs w:val="20"/>
              </w:rPr>
            </w:pPr>
          </w:p>
        </w:tc>
        <w:tc>
          <w:tcPr>
            <w:tcW w:w="1371" w:type="dxa"/>
            <w:shd w:val="clear" w:color="auto" w:fill="auto"/>
            <w:noWrap/>
            <w:vAlign w:val="bottom"/>
            <w:hideMark/>
          </w:tcPr>
          <w:p w14:paraId="2BB1E4AF" w14:textId="77777777" w:rsidR="008E37B9" w:rsidRPr="001F2D06" w:rsidRDefault="008E37B9">
            <w:pPr>
              <w:rPr>
                <w:sz w:val="20"/>
                <w:szCs w:val="20"/>
              </w:rPr>
            </w:pPr>
          </w:p>
        </w:tc>
        <w:tc>
          <w:tcPr>
            <w:tcW w:w="1474" w:type="dxa"/>
            <w:shd w:val="clear" w:color="auto" w:fill="auto"/>
            <w:noWrap/>
            <w:vAlign w:val="bottom"/>
            <w:hideMark/>
          </w:tcPr>
          <w:p w14:paraId="629EE131" w14:textId="77777777" w:rsidR="008E37B9" w:rsidRPr="001F2D06" w:rsidRDefault="008E37B9">
            <w:pPr>
              <w:rPr>
                <w:sz w:val="20"/>
                <w:szCs w:val="20"/>
              </w:rPr>
            </w:pPr>
          </w:p>
        </w:tc>
      </w:tr>
      <w:tr w:rsidR="008E37B9" w:rsidRPr="00620F40" w14:paraId="33B574DA" w14:textId="77777777" w:rsidTr="00B879B3">
        <w:trPr>
          <w:trHeight w:val="240"/>
        </w:trPr>
        <w:tc>
          <w:tcPr>
            <w:tcW w:w="6665" w:type="dxa"/>
            <w:gridSpan w:val="9"/>
            <w:shd w:val="clear" w:color="auto" w:fill="auto"/>
            <w:noWrap/>
            <w:vAlign w:val="bottom"/>
            <w:hideMark/>
          </w:tcPr>
          <w:p w14:paraId="0EB32C2E" w14:textId="77777777" w:rsidR="008E37B9" w:rsidRPr="001F2D06" w:rsidRDefault="008E37B9">
            <w:pPr>
              <w:rPr>
                <w:sz w:val="20"/>
                <w:szCs w:val="20"/>
              </w:rPr>
            </w:pPr>
            <w:r w:rsidRPr="001F2D06">
              <w:rPr>
                <w:sz w:val="20"/>
                <w:szCs w:val="20"/>
              </w:rPr>
              <w:t>Assuming pooling 2 sites with 600 sample members per site</w:t>
            </w:r>
          </w:p>
        </w:tc>
        <w:tc>
          <w:tcPr>
            <w:tcW w:w="30" w:type="dxa"/>
            <w:shd w:val="clear" w:color="auto" w:fill="auto"/>
            <w:noWrap/>
            <w:vAlign w:val="bottom"/>
            <w:hideMark/>
          </w:tcPr>
          <w:p w14:paraId="0AB28FD8" w14:textId="77777777" w:rsidR="008E37B9" w:rsidRPr="001F2D06" w:rsidRDefault="008E37B9">
            <w:pPr>
              <w:rPr>
                <w:sz w:val="20"/>
                <w:szCs w:val="20"/>
              </w:rPr>
            </w:pPr>
          </w:p>
        </w:tc>
        <w:tc>
          <w:tcPr>
            <w:tcW w:w="1371" w:type="dxa"/>
            <w:shd w:val="clear" w:color="auto" w:fill="auto"/>
            <w:noWrap/>
            <w:vAlign w:val="bottom"/>
            <w:hideMark/>
          </w:tcPr>
          <w:p w14:paraId="7F450E9B" w14:textId="77777777" w:rsidR="008E37B9" w:rsidRPr="001F2D06" w:rsidRDefault="008E37B9">
            <w:pPr>
              <w:rPr>
                <w:sz w:val="20"/>
                <w:szCs w:val="20"/>
              </w:rPr>
            </w:pPr>
          </w:p>
        </w:tc>
        <w:tc>
          <w:tcPr>
            <w:tcW w:w="1474" w:type="dxa"/>
            <w:shd w:val="clear" w:color="auto" w:fill="auto"/>
            <w:noWrap/>
            <w:vAlign w:val="bottom"/>
            <w:hideMark/>
          </w:tcPr>
          <w:p w14:paraId="174E58E8" w14:textId="77777777" w:rsidR="008E37B9" w:rsidRPr="001F2D06" w:rsidRDefault="008E37B9">
            <w:pPr>
              <w:rPr>
                <w:sz w:val="20"/>
                <w:szCs w:val="20"/>
              </w:rPr>
            </w:pPr>
          </w:p>
        </w:tc>
      </w:tr>
      <w:tr w:rsidR="008E37B9" w:rsidRPr="00620F40" w14:paraId="2F8C85CA" w14:textId="77777777" w:rsidTr="00B879B3">
        <w:trPr>
          <w:trHeight w:val="240"/>
        </w:trPr>
        <w:tc>
          <w:tcPr>
            <w:tcW w:w="1993" w:type="dxa"/>
            <w:gridSpan w:val="4"/>
            <w:shd w:val="clear" w:color="auto" w:fill="auto"/>
            <w:noWrap/>
            <w:vAlign w:val="bottom"/>
            <w:hideMark/>
          </w:tcPr>
          <w:p w14:paraId="5350AE5A" w14:textId="77777777" w:rsidR="008E37B9" w:rsidRPr="001F2D06" w:rsidRDefault="008E37B9">
            <w:pPr>
              <w:rPr>
                <w:sz w:val="20"/>
                <w:szCs w:val="20"/>
              </w:rPr>
            </w:pPr>
            <w:r w:rsidRPr="001F2D06">
              <w:rPr>
                <w:sz w:val="20"/>
                <w:szCs w:val="20"/>
              </w:rPr>
              <w:t>Administrative records</w:t>
            </w:r>
          </w:p>
        </w:tc>
        <w:tc>
          <w:tcPr>
            <w:tcW w:w="1641" w:type="dxa"/>
            <w:shd w:val="clear" w:color="auto" w:fill="auto"/>
            <w:noWrap/>
            <w:vAlign w:val="bottom"/>
            <w:hideMark/>
          </w:tcPr>
          <w:p w14:paraId="593DA6C2" w14:textId="77777777" w:rsidR="008E37B9" w:rsidRPr="001F2D06" w:rsidRDefault="008E37B9">
            <w:pPr>
              <w:rPr>
                <w:sz w:val="20"/>
                <w:szCs w:val="20"/>
              </w:rPr>
            </w:pPr>
            <w:r w:rsidRPr="001F2D06">
              <w:rPr>
                <w:sz w:val="20"/>
                <w:szCs w:val="20"/>
              </w:rPr>
              <w:t>1,200</w:t>
            </w:r>
          </w:p>
        </w:tc>
        <w:tc>
          <w:tcPr>
            <w:tcW w:w="934" w:type="dxa"/>
            <w:shd w:val="clear" w:color="auto" w:fill="auto"/>
            <w:noWrap/>
            <w:vAlign w:val="bottom"/>
            <w:hideMark/>
          </w:tcPr>
          <w:p w14:paraId="2D33482E" w14:textId="77777777" w:rsidR="008E37B9" w:rsidRPr="001F2D06" w:rsidRDefault="008E37B9">
            <w:pPr>
              <w:rPr>
                <w:sz w:val="20"/>
                <w:szCs w:val="20"/>
              </w:rPr>
            </w:pPr>
            <w:r w:rsidRPr="001F2D06">
              <w:rPr>
                <w:sz w:val="20"/>
                <w:szCs w:val="20"/>
              </w:rPr>
              <w:t>0.132</w:t>
            </w:r>
          </w:p>
        </w:tc>
        <w:tc>
          <w:tcPr>
            <w:tcW w:w="77" w:type="dxa"/>
            <w:shd w:val="clear" w:color="auto" w:fill="auto"/>
            <w:noWrap/>
            <w:vAlign w:val="bottom"/>
            <w:hideMark/>
          </w:tcPr>
          <w:p w14:paraId="2364CF2D" w14:textId="77777777" w:rsidR="008E37B9" w:rsidRPr="001F2D06" w:rsidRDefault="008E37B9">
            <w:pPr>
              <w:rPr>
                <w:sz w:val="20"/>
                <w:szCs w:val="20"/>
              </w:rPr>
            </w:pPr>
          </w:p>
        </w:tc>
        <w:tc>
          <w:tcPr>
            <w:tcW w:w="1010" w:type="dxa"/>
            <w:shd w:val="clear" w:color="auto" w:fill="auto"/>
            <w:noWrap/>
            <w:vAlign w:val="bottom"/>
            <w:hideMark/>
          </w:tcPr>
          <w:p w14:paraId="6D6CA93E" w14:textId="77777777" w:rsidR="008E37B9" w:rsidRPr="001F2D06" w:rsidRDefault="008E37B9">
            <w:pPr>
              <w:rPr>
                <w:sz w:val="20"/>
                <w:szCs w:val="20"/>
              </w:rPr>
            </w:pPr>
            <w:r w:rsidRPr="001F2D06">
              <w:rPr>
                <w:sz w:val="20"/>
                <w:szCs w:val="20"/>
              </w:rPr>
              <w:t>5.3</w:t>
            </w:r>
          </w:p>
        </w:tc>
        <w:tc>
          <w:tcPr>
            <w:tcW w:w="1010" w:type="dxa"/>
            <w:shd w:val="clear" w:color="auto" w:fill="auto"/>
            <w:noWrap/>
            <w:vAlign w:val="bottom"/>
            <w:hideMark/>
          </w:tcPr>
          <w:p w14:paraId="7CA59CB1" w14:textId="77777777" w:rsidR="008E37B9" w:rsidRPr="001F2D06" w:rsidRDefault="008E37B9">
            <w:pPr>
              <w:rPr>
                <w:sz w:val="20"/>
                <w:szCs w:val="20"/>
              </w:rPr>
            </w:pPr>
            <w:r w:rsidRPr="001F2D06">
              <w:rPr>
                <w:sz w:val="20"/>
                <w:szCs w:val="20"/>
              </w:rPr>
              <w:t>6.6</w:t>
            </w:r>
          </w:p>
        </w:tc>
        <w:tc>
          <w:tcPr>
            <w:tcW w:w="30" w:type="dxa"/>
            <w:shd w:val="clear" w:color="auto" w:fill="auto"/>
            <w:noWrap/>
            <w:vAlign w:val="bottom"/>
            <w:hideMark/>
          </w:tcPr>
          <w:p w14:paraId="7879252A" w14:textId="77777777" w:rsidR="008E37B9" w:rsidRPr="001F2D06" w:rsidRDefault="008E37B9">
            <w:pPr>
              <w:rPr>
                <w:sz w:val="20"/>
                <w:szCs w:val="20"/>
              </w:rPr>
            </w:pPr>
          </w:p>
        </w:tc>
        <w:tc>
          <w:tcPr>
            <w:tcW w:w="1371" w:type="dxa"/>
            <w:shd w:val="clear" w:color="auto" w:fill="auto"/>
            <w:noWrap/>
            <w:vAlign w:val="bottom"/>
            <w:hideMark/>
          </w:tcPr>
          <w:p w14:paraId="5A93A7A1" w14:textId="77777777" w:rsidR="008E37B9" w:rsidRPr="001F2D06" w:rsidRDefault="008E37B9">
            <w:pPr>
              <w:rPr>
                <w:sz w:val="20"/>
                <w:szCs w:val="20"/>
              </w:rPr>
            </w:pPr>
            <w:r w:rsidRPr="001F2D06">
              <w:rPr>
                <w:sz w:val="20"/>
                <w:szCs w:val="20"/>
              </w:rPr>
              <w:t>1,056</w:t>
            </w:r>
          </w:p>
        </w:tc>
        <w:tc>
          <w:tcPr>
            <w:tcW w:w="1474" w:type="dxa"/>
            <w:shd w:val="clear" w:color="auto" w:fill="auto"/>
            <w:noWrap/>
            <w:vAlign w:val="bottom"/>
            <w:hideMark/>
          </w:tcPr>
          <w:p w14:paraId="6D92B090" w14:textId="77777777" w:rsidR="008E37B9" w:rsidRPr="001F2D06" w:rsidRDefault="008E37B9">
            <w:pPr>
              <w:rPr>
                <w:sz w:val="20"/>
                <w:szCs w:val="20"/>
              </w:rPr>
            </w:pPr>
            <w:r w:rsidRPr="001F2D06">
              <w:rPr>
                <w:sz w:val="20"/>
                <w:szCs w:val="20"/>
              </w:rPr>
              <w:t>1,848</w:t>
            </w:r>
          </w:p>
        </w:tc>
      </w:tr>
      <w:tr w:rsidR="008E37B9" w:rsidRPr="00620F40" w14:paraId="6A763A3A" w14:textId="77777777" w:rsidTr="00B879B3">
        <w:trPr>
          <w:trHeight w:val="240"/>
        </w:trPr>
        <w:tc>
          <w:tcPr>
            <w:tcW w:w="1993" w:type="dxa"/>
            <w:gridSpan w:val="4"/>
            <w:shd w:val="clear" w:color="auto" w:fill="auto"/>
            <w:noWrap/>
            <w:vAlign w:val="bottom"/>
            <w:hideMark/>
          </w:tcPr>
          <w:p w14:paraId="3CF56B6D" w14:textId="77777777" w:rsidR="008E37B9" w:rsidRPr="001F2D06" w:rsidRDefault="008E37B9">
            <w:pPr>
              <w:rPr>
                <w:sz w:val="20"/>
                <w:szCs w:val="20"/>
              </w:rPr>
            </w:pPr>
            <w:r w:rsidRPr="001F2D06">
              <w:rPr>
                <w:sz w:val="20"/>
                <w:szCs w:val="20"/>
              </w:rPr>
              <w:t>Survey</w:t>
            </w:r>
          </w:p>
        </w:tc>
        <w:tc>
          <w:tcPr>
            <w:tcW w:w="1641" w:type="dxa"/>
            <w:shd w:val="clear" w:color="auto" w:fill="auto"/>
            <w:noWrap/>
            <w:vAlign w:val="bottom"/>
            <w:hideMark/>
          </w:tcPr>
          <w:p w14:paraId="2E2714A8" w14:textId="77777777" w:rsidR="008E37B9" w:rsidRPr="001F2D06" w:rsidRDefault="008E37B9">
            <w:pPr>
              <w:rPr>
                <w:sz w:val="20"/>
                <w:szCs w:val="20"/>
              </w:rPr>
            </w:pPr>
            <w:r w:rsidRPr="001F2D06">
              <w:rPr>
                <w:sz w:val="20"/>
                <w:szCs w:val="20"/>
              </w:rPr>
              <w:t>960</w:t>
            </w:r>
          </w:p>
        </w:tc>
        <w:tc>
          <w:tcPr>
            <w:tcW w:w="934" w:type="dxa"/>
            <w:shd w:val="clear" w:color="auto" w:fill="auto"/>
            <w:noWrap/>
            <w:vAlign w:val="bottom"/>
            <w:hideMark/>
          </w:tcPr>
          <w:p w14:paraId="2C5045A0" w14:textId="77777777" w:rsidR="008E37B9" w:rsidRPr="001F2D06" w:rsidRDefault="008E37B9">
            <w:pPr>
              <w:rPr>
                <w:sz w:val="20"/>
                <w:szCs w:val="20"/>
              </w:rPr>
            </w:pPr>
            <w:r w:rsidRPr="001F2D06">
              <w:rPr>
                <w:sz w:val="20"/>
                <w:szCs w:val="20"/>
              </w:rPr>
              <w:t>0.148</w:t>
            </w:r>
          </w:p>
        </w:tc>
        <w:tc>
          <w:tcPr>
            <w:tcW w:w="77" w:type="dxa"/>
            <w:shd w:val="clear" w:color="auto" w:fill="auto"/>
            <w:noWrap/>
            <w:vAlign w:val="bottom"/>
            <w:hideMark/>
          </w:tcPr>
          <w:p w14:paraId="1E8BE7BD" w14:textId="77777777" w:rsidR="008E37B9" w:rsidRPr="001F2D06" w:rsidRDefault="008E37B9">
            <w:pPr>
              <w:rPr>
                <w:sz w:val="20"/>
                <w:szCs w:val="20"/>
              </w:rPr>
            </w:pPr>
          </w:p>
        </w:tc>
        <w:tc>
          <w:tcPr>
            <w:tcW w:w="1010" w:type="dxa"/>
            <w:shd w:val="clear" w:color="auto" w:fill="auto"/>
            <w:noWrap/>
            <w:vAlign w:val="bottom"/>
            <w:hideMark/>
          </w:tcPr>
          <w:p w14:paraId="7846049D" w14:textId="77777777" w:rsidR="008E37B9" w:rsidRPr="001F2D06" w:rsidRDefault="008E37B9">
            <w:pPr>
              <w:rPr>
                <w:sz w:val="20"/>
                <w:szCs w:val="20"/>
              </w:rPr>
            </w:pPr>
            <w:r w:rsidRPr="001F2D06">
              <w:rPr>
                <w:sz w:val="20"/>
                <w:szCs w:val="20"/>
              </w:rPr>
              <w:t>5.9</w:t>
            </w:r>
          </w:p>
        </w:tc>
        <w:tc>
          <w:tcPr>
            <w:tcW w:w="1010" w:type="dxa"/>
            <w:shd w:val="clear" w:color="auto" w:fill="auto"/>
            <w:noWrap/>
            <w:vAlign w:val="bottom"/>
            <w:hideMark/>
          </w:tcPr>
          <w:p w14:paraId="312BFBC3" w14:textId="77777777" w:rsidR="008E37B9" w:rsidRPr="001F2D06" w:rsidRDefault="008E37B9">
            <w:pPr>
              <w:rPr>
                <w:sz w:val="20"/>
                <w:szCs w:val="20"/>
              </w:rPr>
            </w:pPr>
            <w:r w:rsidRPr="001F2D06">
              <w:rPr>
                <w:sz w:val="20"/>
                <w:szCs w:val="20"/>
              </w:rPr>
              <w:t>7.4</w:t>
            </w:r>
          </w:p>
        </w:tc>
        <w:tc>
          <w:tcPr>
            <w:tcW w:w="30" w:type="dxa"/>
            <w:shd w:val="clear" w:color="auto" w:fill="auto"/>
            <w:noWrap/>
            <w:vAlign w:val="bottom"/>
            <w:hideMark/>
          </w:tcPr>
          <w:p w14:paraId="7F664413" w14:textId="77777777" w:rsidR="008E37B9" w:rsidRPr="001F2D06" w:rsidRDefault="008E37B9">
            <w:pPr>
              <w:rPr>
                <w:sz w:val="20"/>
                <w:szCs w:val="20"/>
              </w:rPr>
            </w:pPr>
          </w:p>
        </w:tc>
        <w:tc>
          <w:tcPr>
            <w:tcW w:w="1371" w:type="dxa"/>
            <w:shd w:val="clear" w:color="auto" w:fill="auto"/>
            <w:noWrap/>
            <w:vAlign w:val="bottom"/>
            <w:hideMark/>
          </w:tcPr>
          <w:p w14:paraId="114E7DBF" w14:textId="77777777" w:rsidR="008E37B9" w:rsidRPr="001F2D06" w:rsidRDefault="008E37B9">
            <w:pPr>
              <w:rPr>
                <w:sz w:val="20"/>
                <w:szCs w:val="20"/>
              </w:rPr>
            </w:pPr>
            <w:r w:rsidRPr="001F2D06">
              <w:rPr>
                <w:sz w:val="20"/>
                <w:szCs w:val="20"/>
              </w:rPr>
              <w:t>1,184</w:t>
            </w:r>
          </w:p>
        </w:tc>
        <w:tc>
          <w:tcPr>
            <w:tcW w:w="1474" w:type="dxa"/>
            <w:shd w:val="clear" w:color="auto" w:fill="auto"/>
            <w:noWrap/>
            <w:vAlign w:val="bottom"/>
            <w:hideMark/>
          </w:tcPr>
          <w:p w14:paraId="0B3AD125" w14:textId="77777777" w:rsidR="008E37B9" w:rsidRPr="001F2D06" w:rsidRDefault="008E37B9">
            <w:pPr>
              <w:rPr>
                <w:sz w:val="20"/>
                <w:szCs w:val="20"/>
              </w:rPr>
            </w:pPr>
            <w:r w:rsidRPr="001F2D06">
              <w:rPr>
                <w:sz w:val="20"/>
                <w:szCs w:val="20"/>
              </w:rPr>
              <w:t>2,072</w:t>
            </w:r>
          </w:p>
        </w:tc>
      </w:tr>
      <w:tr w:rsidR="008E37B9" w:rsidRPr="00620F40" w14:paraId="5630B857" w14:textId="77777777" w:rsidTr="00B879B3">
        <w:trPr>
          <w:trHeight w:val="143"/>
        </w:trPr>
        <w:tc>
          <w:tcPr>
            <w:tcW w:w="637" w:type="dxa"/>
            <w:tcBorders>
              <w:left w:val="nil"/>
              <w:bottom w:val="single" w:sz="4" w:space="0" w:color="auto"/>
              <w:right w:val="nil"/>
            </w:tcBorders>
            <w:shd w:val="clear" w:color="auto" w:fill="auto"/>
            <w:noWrap/>
            <w:vAlign w:val="bottom"/>
            <w:hideMark/>
          </w:tcPr>
          <w:p w14:paraId="54A4AF57" w14:textId="77777777" w:rsidR="008E37B9" w:rsidRPr="00620F40" w:rsidRDefault="008E37B9"/>
        </w:tc>
        <w:tc>
          <w:tcPr>
            <w:tcW w:w="452" w:type="dxa"/>
            <w:tcBorders>
              <w:left w:val="nil"/>
              <w:bottom w:val="single" w:sz="4" w:space="0" w:color="auto"/>
              <w:right w:val="nil"/>
            </w:tcBorders>
            <w:shd w:val="clear" w:color="auto" w:fill="auto"/>
            <w:noWrap/>
            <w:vAlign w:val="bottom"/>
            <w:hideMark/>
          </w:tcPr>
          <w:p w14:paraId="4CE78880" w14:textId="77777777" w:rsidR="008E37B9" w:rsidRPr="00620F40" w:rsidRDefault="008E37B9"/>
        </w:tc>
        <w:tc>
          <w:tcPr>
            <w:tcW w:w="452" w:type="dxa"/>
            <w:tcBorders>
              <w:left w:val="nil"/>
              <w:bottom w:val="single" w:sz="4" w:space="0" w:color="auto"/>
              <w:right w:val="nil"/>
            </w:tcBorders>
            <w:shd w:val="clear" w:color="auto" w:fill="auto"/>
            <w:noWrap/>
            <w:vAlign w:val="bottom"/>
            <w:hideMark/>
          </w:tcPr>
          <w:p w14:paraId="696C85EB" w14:textId="77777777" w:rsidR="008E37B9" w:rsidRPr="00620F40" w:rsidRDefault="008E37B9"/>
        </w:tc>
        <w:tc>
          <w:tcPr>
            <w:tcW w:w="452" w:type="dxa"/>
            <w:tcBorders>
              <w:left w:val="nil"/>
              <w:bottom w:val="single" w:sz="4" w:space="0" w:color="auto"/>
              <w:right w:val="nil"/>
            </w:tcBorders>
            <w:shd w:val="clear" w:color="auto" w:fill="auto"/>
            <w:noWrap/>
            <w:vAlign w:val="bottom"/>
            <w:hideMark/>
          </w:tcPr>
          <w:p w14:paraId="035A6609" w14:textId="77777777" w:rsidR="008E37B9" w:rsidRPr="00620F40" w:rsidRDefault="008E37B9"/>
        </w:tc>
        <w:tc>
          <w:tcPr>
            <w:tcW w:w="1641" w:type="dxa"/>
            <w:tcBorders>
              <w:left w:val="nil"/>
              <w:bottom w:val="single" w:sz="4" w:space="0" w:color="auto"/>
              <w:right w:val="nil"/>
            </w:tcBorders>
            <w:shd w:val="clear" w:color="auto" w:fill="auto"/>
            <w:noWrap/>
            <w:vAlign w:val="bottom"/>
            <w:hideMark/>
          </w:tcPr>
          <w:p w14:paraId="3E091CB2" w14:textId="77777777" w:rsidR="008E37B9" w:rsidRPr="00620F40" w:rsidRDefault="008E37B9"/>
        </w:tc>
        <w:tc>
          <w:tcPr>
            <w:tcW w:w="934" w:type="dxa"/>
            <w:tcBorders>
              <w:left w:val="nil"/>
              <w:bottom w:val="single" w:sz="4" w:space="0" w:color="auto"/>
              <w:right w:val="nil"/>
            </w:tcBorders>
            <w:shd w:val="clear" w:color="auto" w:fill="auto"/>
            <w:noWrap/>
            <w:vAlign w:val="bottom"/>
            <w:hideMark/>
          </w:tcPr>
          <w:p w14:paraId="7E9E9FB1" w14:textId="77777777" w:rsidR="008E37B9" w:rsidRPr="00620F40" w:rsidRDefault="008E37B9"/>
        </w:tc>
        <w:tc>
          <w:tcPr>
            <w:tcW w:w="77" w:type="dxa"/>
            <w:tcBorders>
              <w:left w:val="nil"/>
              <w:bottom w:val="single" w:sz="4" w:space="0" w:color="auto"/>
              <w:right w:val="nil"/>
            </w:tcBorders>
            <w:shd w:val="clear" w:color="auto" w:fill="auto"/>
            <w:noWrap/>
            <w:vAlign w:val="bottom"/>
            <w:hideMark/>
          </w:tcPr>
          <w:p w14:paraId="266150FF" w14:textId="77777777" w:rsidR="008E37B9" w:rsidRPr="00620F40" w:rsidRDefault="008E37B9"/>
        </w:tc>
        <w:tc>
          <w:tcPr>
            <w:tcW w:w="1010" w:type="dxa"/>
            <w:tcBorders>
              <w:left w:val="nil"/>
              <w:bottom w:val="single" w:sz="4" w:space="0" w:color="auto"/>
              <w:right w:val="nil"/>
            </w:tcBorders>
            <w:shd w:val="clear" w:color="auto" w:fill="auto"/>
            <w:noWrap/>
            <w:vAlign w:val="bottom"/>
            <w:hideMark/>
          </w:tcPr>
          <w:p w14:paraId="7E6D1EAD" w14:textId="77777777" w:rsidR="008E37B9" w:rsidRPr="00620F40" w:rsidRDefault="008E37B9"/>
        </w:tc>
        <w:tc>
          <w:tcPr>
            <w:tcW w:w="1010" w:type="dxa"/>
            <w:tcBorders>
              <w:left w:val="nil"/>
              <w:bottom w:val="single" w:sz="4" w:space="0" w:color="auto"/>
              <w:right w:val="nil"/>
            </w:tcBorders>
            <w:shd w:val="clear" w:color="auto" w:fill="auto"/>
            <w:noWrap/>
            <w:vAlign w:val="bottom"/>
            <w:hideMark/>
          </w:tcPr>
          <w:p w14:paraId="3B3EBD19" w14:textId="77777777" w:rsidR="008E37B9" w:rsidRPr="00620F40" w:rsidRDefault="008E37B9"/>
        </w:tc>
        <w:tc>
          <w:tcPr>
            <w:tcW w:w="30" w:type="dxa"/>
            <w:tcBorders>
              <w:left w:val="nil"/>
              <w:bottom w:val="single" w:sz="4" w:space="0" w:color="auto"/>
              <w:right w:val="nil"/>
            </w:tcBorders>
            <w:shd w:val="clear" w:color="auto" w:fill="auto"/>
            <w:noWrap/>
            <w:vAlign w:val="bottom"/>
            <w:hideMark/>
          </w:tcPr>
          <w:p w14:paraId="70E9316F" w14:textId="77777777" w:rsidR="008E37B9" w:rsidRPr="00620F40" w:rsidRDefault="008E37B9"/>
        </w:tc>
        <w:tc>
          <w:tcPr>
            <w:tcW w:w="1371" w:type="dxa"/>
            <w:tcBorders>
              <w:left w:val="nil"/>
              <w:bottom w:val="single" w:sz="4" w:space="0" w:color="auto"/>
              <w:right w:val="nil"/>
            </w:tcBorders>
            <w:shd w:val="clear" w:color="auto" w:fill="auto"/>
            <w:noWrap/>
            <w:vAlign w:val="bottom"/>
            <w:hideMark/>
          </w:tcPr>
          <w:p w14:paraId="3D1A68DC" w14:textId="77777777" w:rsidR="008E37B9" w:rsidRPr="00620F40" w:rsidRDefault="008E37B9"/>
        </w:tc>
        <w:tc>
          <w:tcPr>
            <w:tcW w:w="1474" w:type="dxa"/>
            <w:tcBorders>
              <w:left w:val="nil"/>
              <w:bottom w:val="single" w:sz="4" w:space="0" w:color="auto"/>
              <w:right w:val="nil"/>
            </w:tcBorders>
            <w:shd w:val="clear" w:color="auto" w:fill="auto"/>
            <w:noWrap/>
            <w:vAlign w:val="bottom"/>
            <w:hideMark/>
          </w:tcPr>
          <w:p w14:paraId="39358B60" w14:textId="77777777" w:rsidR="008E37B9" w:rsidRPr="00620F40" w:rsidRDefault="008E37B9"/>
        </w:tc>
      </w:tr>
    </w:tbl>
    <w:p w14:paraId="261CD2F9" w14:textId="77777777" w:rsidR="00FF602F" w:rsidRPr="001F2D06" w:rsidRDefault="00FF602F" w:rsidP="00DD372B">
      <w:pPr>
        <w:rPr>
          <w:sz w:val="20"/>
          <w:szCs w:val="20"/>
        </w:rPr>
      </w:pPr>
      <w:r w:rsidRPr="001F2D06">
        <w:rPr>
          <w:sz w:val="20"/>
          <w:szCs w:val="20"/>
          <w:vertAlign w:val="superscript"/>
        </w:rPr>
        <w:t xml:space="preserve">a </w:t>
      </w:r>
      <w:r w:rsidRPr="001F2D06">
        <w:rPr>
          <w:sz w:val="20"/>
          <w:szCs w:val="20"/>
        </w:rPr>
        <w:t>Minimum Detectable Effect</w:t>
      </w:r>
    </w:p>
    <w:p w14:paraId="3AD66D7A" w14:textId="77777777" w:rsidR="00FF602F" w:rsidRPr="00FF602F" w:rsidRDefault="00FF602F" w:rsidP="00DD372B"/>
    <w:p w14:paraId="38A61842" w14:textId="22FF92C2" w:rsidR="008662BD" w:rsidRPr="00CC7328" w:rsidRDefault="008662BD" w:rsidP="008662BD">
      <w:pPr>
        <w:jc w:val="left"/>
        <w:rPr>
          <w:sz w:val="24"/>
          <w:szCs w:val="24"/>
        </w:rPr>
      </w:pPr>
      <w:r w:rsidRPr="00CC7328">
        <w:rPr>
          <w:sz w:val="24"/>
          <w:szCs w:val="24"/>
        </w:rPr>
        <w:t xml:space="preserve">MDES for grantee’s </w:t>
      </w:r>
      <w:r w:rsidR="00CE3FC9">
        <w:rPr>
          <w:sz w:val="24"/>
          <w:szCs w:val="24"/>
        </w:rPr>
        <w:t>with a sample size of 600 total</w:t>
      </w:r>
      <w:r w:rsidRPr="00CC7328">
        <w:rPr>
          <w:sz w:val="24"/>
          <w:szCs w:val="24"/>
        </w:rPr>
        <w:t xml:space="preserve"> are acceptable for inclusion in a site specific analysis. As discussed above, a common threshold for a well powered estimate is that MDEs should be able to detect impacts which are smaller than 0.210 standard deviations different from the control group level. At a sample of 600, impacts measured from administrative records (such as earnings or employment measures) would have to be at least 0.187 standard deviations which is within the threshold. Given the intensity of some of the proposed treatments, the 600 sample size is acceptable for site based analysis. </w:t>
      </w:r>
    </w:p>
    <w:p w14:paraId="31A3D465" w14:textId="77777777" w:rsidR="008662BD" w:rsidRDefault="008662BD" w:rsidP="00186D36">
      <w:pPr>
        <w:jc w:val="left"/>
        <w:rPr>
          <w:sz w:val="24"/>
          <w:szCs w:val="24"/>
        </w:rPr>
      </w:pPr>
    </w:p>
    <w:p w14:paraId="4F32C50D" w14:textId="1AAAE906" w:rsidR="008E37B9" w:rsidRPr="00CC7328" w:rsidRDefault="00C82E87" w:rsidP="00186D36">
      <w:pPr>
        <w:jc w:val="left"/>
        <w:rPr>
          <w:sz w:val="24"/>
          <w:szCs w:val="24"/>
        </w:rPr>
      </w:pPr>
      <w:r>
        <w:rPr>
          <w:sz w:val="24"/>
          <w:szCs w:val="24"/>
        </w:rPr>
        <w:t>With a sample size of 400 and</w:t>
      </w:r>
      <w:r w:rsidR="008E37B9" w:rsidRPr="00CC7328">
        <w:rPr>
          <w:sz w:val="24"/>
          <w:szCs w:val="24"/>
        </w:rPr>
        <w:t xml:space="preserve"> 320 </w:t>
      </w:r>
      <w:r>
        <w:rPr>
          <w:sz w:val="24"/>
          <w:szCs w:val="24"/>
        </w:rPr>
        <w:t>for the survey (assuming an 80 percent response rate</w:t>
      </w:r>
      <w:r w:rsidR="003E21EB">
        <w:rPr>
          <w:sz w:val="24"/>
          <w:szCs w:val="24"/>
        </w:rPr>
        <w:t>)</w:t>
      </w:r>
      <w:r>
        <w:rPr>
          <w:sz w:val="24"/>
          <w:szCs w:val="24"/>
        </w:rPr>
        <w:t>, t</w:t>
      </w:r>
      <w:r w:rsidR="008E37B9" w:rsidRPr="00CC7328">
        <w:rPr>
          <w:sz w:val="24"/>
          <w:szCs w:val="24"/>
        </w:rPr>
        <w:t xml:space="preserve">he MDESs are 0.23 and .257, respectively. Assuming 50 percent of the control group was employed (that is, the standard deviation is 0.5), these MDESs translate into MDEs of between 11.5 and 12.9 for percentage measures. MDES for earnings measures are also shown. Depending on the control group levels, earnings impacts would have to be in the $2,000-$3,000 range to have a reasonable chance of being statistically significant. These MDEs are </w:t>
      </w:r>
      <w:r w:rsidR="008E37B9" w:rsidRPr="00CC7328">
        <w:rPr>
          <w:i/>
          <w:sz w:val="24"/>
          <w:szCs w:val="24"/>
        </w:rPr>
        <w:t>quite high</w:t>
      </w:r>
      <w:r w:rsidR="008E37B9" w:rsidRPr="00CC7328">
        <w:rPr>
          <w:sz w:val="24"/>
          <w:szCs w:val="24"/>
        </w:rPr>
        <w:t xml:space="preserve"> and based on past studies it would be unreasonable (though certainly not impossible) to expect impacts this large except for a few outlier sites. For this reason, if sites have sample sizes in the 400 range they’d have to be pooled with other sites in order to be included in the RCT</w:t>
      </w:r>
      <w:r w:rsidR="00901F09" w:rsidRPr="00CC7328">
        <w:rPr>
          <w:sz w:val="24"/>
          <w:szCs w:val="24"/>
        </w:rPr>
        <w:t xml:space="preserve"> analysis of earnings</w:t>
      </w:r>
      <w:r w:rsidR="008E37B9" w:rsidRPr="00CC7328">
        <w:rPr>
          <w:sz w:val="24"/>
          <w:szCs w:val="24"/>
        </w:rPr>
        <w:t xml:space="preserve">. </w:t>
      </w:r>
    </w:p>
    <w:p w14:paraId="6687462A" w14:textId="77777777" w:rsidR="008E37B9" w:rsidRPr="00CC7328" w:rsidRDefault="008E37B9" w:rsidP="00186D36">
      <w:pPr>
        <w:jc w:val="left"/>
        <w:rPr>
          <w:sz w:val="24"/>
          <w:szCs w:val="24"/>
        </w:rPr>
      </w:pPr>
    </w:p>
    <w:p w14:paraId="6E9BA6E0" w14:textId="77777777" w:rsidR="008E37B9" w:rsidRPr="00CC7328" w:rsidRDefault="008E37B9" w:rsidP="00186D36">
      <w:pPr>
        <w:jc w:val="left"/>
        <w:rPr>
          <w:sz w:val="24"/>
          <w:szCs w:val="24"/>
        </w:rPr>
      </w:pPr>
      <w:r w:rsidRPr="00CC7328">
        <w:rPr>
          <w:sz w:val="24"/>
          <w:szCs w:val="24"/>
        </w:rPr>
        <w:t>Table B</w:t>
      </w:r>
      <w:r w:rsidR="00A51A6B" w:rsidRPr="00CC7328">
        <w:rPr>
          <w:sz w:val="24"/>
          <w:szCs w:val="24"/>
        </w:rPr>
        <w:t>.</w:t>
      </w:r>
      <w:r w:rsidRPr="00CC7328">
        <w:rPr>
          <w:sz w:val="24"/>
          <w:szCs w:val="24"/>
        </w:rPr>
        <w:t>2</w:t>
      </w:r>
      <w:r w:rsidR="00A51A6B" w:rsidRPr="00CC7328">
        <w:rPr>
          <w:sz w:val="24"/>
          <w:szCs w:val="24"/>
        </w:rPr>
        <w:t>.1</w:t>
      </w:r>
      <w:r w:rsidRPr="00CC7328">
        <w:rPr>
          <w:sz w:val="24"/>
          <w:szCs w:val="24"/>
        </w:rPr>
        <w:t xml:space="preserve"> also shows sample sizes for two pooled samples. Under the first scenario we would pool 2 sites with four hundred sample members each. The resulting analysis would be powered to detect impacts on employment in the 8 or 9 percentage point or $1500-$2000 range. </w:t>
      </w:r>
    </w:p>
    <w:p w14:paraId="645DD59C" w14:textId="77777777" w:rsidR="008E37B9" w:rsidRPr="00CC7328" w:rsidRDefault="008E37B9" w:rsidP="00186D36">
      <w:pPr>
        <w:jc w:val="left"/>
        <w:rPr>
          <w:sz w:val="24"/>
          <w:szCs w:val="24"/>
        </w:rPr>
      </w:pPr>
    </w:p>
    <w:p w14:paraId="7ED8B3C9" w14:textId="77777777" w:rsidR="008E37B9" w:rsidRPr="00CC7328" w:rsidRDefault="008E37B9" w:rsidP="00186D36">
      <w:pPr>
        <w:jc w:val="left"/>
        <w:rPr>
          <w:sz w:val="24"/>
          <w:szCs w:val="24"/>
        </w:rPr>
      </w:pPr>
      <w:r w:rsidRPr="00CC7328">
        <w:rPr>
          <w:sz w:val="24"/>
          <w:szCs w:val="24"/>
        </w:rPr>
        <w:t xml:space="preserve">Power would be more than adequate in a scenario in which we pool 3 sites of 400 each (or 2 sites of 600 each). Under that scenario MDEs are in the more standard range of </w:t>
      </w:r>
      <w:r w:rsidR="00C602D8" w:rsidRPr="00CC7328">
        <w:rPr>
          <w:sz w:val="24"/>
          <w:szCs w:val="24"/>
        </w:rPr>
        <w:t>0</w:t>
      </w:r>
      <w:r w:rsidRPr="00CC7328">
        <w:rPr>
          <w:sz w:val="24"/>
          <w:szCs w:val="24"/>
        </w:rPr>
        <w:t xml:space="preserve">.132 (for administrative records) which translates into employment effects in the 6 or 7 point range and earnings effects between $1000-$2000. </w:t>
      </w:r>
    </w:p>
    <w:p w14:paraId="5A76185C" w14:textId="77777777" w:rsidR="003A4D22" w:rsidRPr="00CC7328" w:rsidRDefault="003A4D22" w:rsidP="00186D36">
      <w:pPr>
        <w:pStyle w:val="L1-FlLSp12"/>
        <w:spacing w:line="276" w:lineRule="auto"/>
        <w:jc w:val="left"/>
        <w:rPr>
          <w:sz w:val="24"/>
          <w:szCs w:val="24"/>
          <w:highlight w:val="yellow"/>
        </w:rPr>
      </w:pPr>
    </w:p>
    <w:p w14:paraId="7F916273" w14:textId="77777777" w:rsidR="008731C6" w:rsidRPr="00CC7328" w:rsidRDefault="003A4D22" w:rsidP="00186D36">
      <w:pPr>
        <w:pStyle w:val="Heading2"/>
        <w:spacing w:line="276" w:lineRule="auto"/>
        <w:rPr>
          <w:sz w:val="24"/>
          <w:szCs w:val="24"/>
        </w:rPr>
      </w:pPr>
      <w:bookmarkStart w:id="26" w:name="_Toc400377748"/>
      <w:bookmarkStart w:id="27" w:name="_Toc474235256"/>
      <w:r w:rsidRPr="00CC7328">
        <w:rPr>
          <w:sz w:val="24"/>
          <w:szCs w:val="24"/>
        </w:rPr>
        <w:t>B.2.4</w:t>
      </w:r>
      <w:r w:rsidRPr="00CC7328">
        <w:rPr>
          <w:sz w:val="24"/>
          <w:szCs w:val="24"/>
        </w:rPr>
        <w:tab/>
      </w:r>
      <w:r w:rsidR="008731C6" w:rsidRPr="00CC7328">
        <w:rPr>
          <w:sz w:val="24"/>
          <w:szCs w:val="24"/>
        </w:rPr>
        <w:t>Unusual Problems Requiring Specialized Sampling Procedures</w:t>
      </w:r>
      <w:bookmarkEnd w:id="26"/>
      <w:bookmarkEnd w:id="27"/>
    </w:p>
    <w:p w14:paraId="077ADE9A" w14:textId="77777777" w:rsidR="00D914BC" w:rsidRPr="00CC7328" w:rsidRDefault="00D914BC" w:rsidP="00186D36">
      <w:pPr>
        <w:pStyle w:val="L1-FlLSp12"/>
        <w:spacing w:line="276" w:lineRule="auto"/>
        <w:jc w:val="left"/>
        <w:rPr>
          <w:sz w:val="24"/>
          <w:szCs w:val="24"/>
        </w:rPr>
      </w:pPr>
      <w:r w:rsidRPr="00CC7328">
        <w:rPr>
          <w:sz w:val="24"/>
          <w:szCs w:val="24"/>
        </w:rPr>
        <w:t>None.</w:t>
      </w:r>
    </w:p>
    <w:p w14:paraId="0FBA6123" w14:textId="77777777" w:rsidR="00C82F4E" w:rsidRPr="00CC7328" w:rsidRDefault="00C82F4E" w:rsidP="00186D36">
      <w:pPr>
        <w:pStyle w:val="L1-FlLSp12"/>
        <w:spacing w:line="276" w:lineRule="auto"/>
        <w:jc w:val="left"/>
        <w:rPr>
          <w:sz w:val="24"/>
          <w:szCs w:val="24"/>
          <w:highlight w:val="yellow"/>
        </w:rPr>
      </w:pPr>
    </w:p>
    <w:p w14:paraId="7C2D2F1D" w14:textId="77777777" w:rsidR="008731C6" w:rsidRPr="00CC7328" w:rsidRDefault="003A4D22" w:rsidP="00186D36">
      <w:pPr>
        <w:pStyle w:val="Heading2"/>
        <w:spacing w:line="276" w:lineRule="auto"/>
        <w:rPr>
          <w:sz w:val="24"/>
          <w:szCs w:val="24"/>
        </w:rPr>
      </w:pPr>
      <w:bookmarkStart w:id="28" w:name="_Toc474235257"/>
      <w:r w:rsidRPr="00CC7328">
        <w:rPr>
          <w:sz w:val="24"/>
          <w:szCs w:val="24"/>
        </w:rPr>
        <w:t>B.2.5</w:t>
      </w:r>
      <w:r w:rsidRPr="00CC7328">
        <w:rPr>
          <w:sz w:val="24"/>
          <w:szCs w:val="24"/>
        </w:rPr>
        <w:tab/>
      </w:r>
      <w:r w:rsidR="008731C6" w:rsidRPr="00CC7328">
        <w:rPr>
          <w:sz w:val="24"/>
          <w:szCs w:val="24"/>
        </w:rPr>
        <w:t>Any use of periodic (less frequent than annual) data collection cycles to reduce burden.</w:t>
      </w:r>
      <w:bookmarkEnd w:id="28"/>
    </w:p>
    <w:p w14:paraId="6C755C99" w14:textId="77777777" w:rsidR="00D3075B" w:rsidRPr="00CC7328" w:rsidRDefault="00D914BC" w:rsidP="00186D36">
      <w:pPr>
        <w:jc w:val="left"/>
        <w:rPr>
          <w:sz w:val="24"/>
          <w:szCs w:val="24"/>
          <w:highlight w:val="yellow"/>
        </w:rPr>
      </w:pPr>
      <w:r w:rsidRPr="00CC7328">
        <w:rPr>
          <w:sz w:val="24"/>
          <w:szCs w:val="24"/>
        </w:rPr>
        <w:t>There is no use of less than annual data collection cycles because of the relatively short duration of the grant program</w:t>
      </w:r>
      <w:r w:rsidR="00516AF1" w:rsidRPr="00CC7328">
        <w:rPr>
          <w:sz w:val="24"/>
          <w:szCs w:val="24"/>
        </w:rPr>
        <w:t>s</w:t>
      </w:r>
      <w:r w:rsidRPr="00CC7328">
        <w:rPr>
          <w:sz w:val="24"/>
          <w:szCs w:val="24"/>
        </w:rPr>
        <w:t xml:space="preserve"> being evaluated.</w:t>
      </w:r>
      <w:bookmarkEnd w:id="22"/>
    </w:p>
    <w:p w14:paraId="6D6E5D87" w14:textId="77777777" w:rsidR="00D3075B" w:rsidRPr="00CC7328" w:rsidRDefault="00D3075B" w:rsidP="00186D36">
      <w:pPr>
        <w:pStyle w:val="L1-FlLSp12"/>
        <w:spacing w:line="276" w:lineRule="auto"/>
        <w:jc w:val="left"/>
        <w:rPr>
          <w:sz w:val="24"/>
          <w:szCs w:val="24"/>
          <w:highlight w:val="yellow"/>
        </w:rPr>
      </w:pPr>
    </w:p>
    <w:p w14:paraId="3E06FF4D" w14:textId="77777777" w:rsidR="008A6A7C" w:rsidRPr="00CC7328" w:rsidRDefault="008A6A7C" w:rsidP="00186D36">
      <w:pPr>
        <w:pStyle w:val="Heading1"/>
        <w:spacing w:line="276" w:lineRule="auto"/>
        <w:jc w:val="left"/>
        <w:rPr>
          <w:sz w:val="24"/>
          <w:szCs w:val="24"/>
        </w:rPr>
      </w:pPr>
      <w:bookmarkStart w:id="29" w:name="_Toc400377751"/>
      <w:bookmarkStart w:id="30" w:name="_Toc409090905"/>
      <w:bookmarkStart w:id="31" w:name="_Toc474235258"/>
      <w:r w:rsidRPr="00CC7328">
        <w:rPr>
          <w:sz w:val="24"/>
          <w:szCs w:val="24"/>
        </w:rPr>
        <w:t>B.3</w:t>
      </w:r>
      <w:r w:rsidRPr="00CC7328">
        <w:rPr>
          <w:sz w:val="24"/>
          <w:szCs w:val="24"/>
        </w:rPr>
        <w:tab/>
        <w:t>Methods to Maximize Response Rates and to Deal With Issues of Nonresponse</w:t>
      </w:r>
      <w:bookmarkEnd w:id="29"/>
      <w:bookmarkEnd w:id="30"/>
      <w:bookmarkEnd w:id="31"/>
    </w:p>
    <w:p w14:paraId="2D7CFF2C" w14:textId="77777777" w:rsidR="008A6A7C" w:rsidRPr="00CC7328" w:rsidRDefault="008A6A7C" w:rsidP="00186D36">
      <w:pPr>
        <w:pStyle w:val="L1-FlLSp12"/>
        <w:spacing w:line="276" w:lineRule="auto"/>
        <w:jc w:val="left"/>
        <w:rPr>
          <w:sz w:val="24"/>
          <w:szCs w:val="24"/>
          <w:highlight w:val="yellow"/>
        </w:rPr>
      </w:pPr>
    </w:p>
    <w:p w14:paraId="2F55F86D" w14:textId="77777777" w:rsidR="003A4D22" w:rsidRPr="00CC7328" w:rsidRDefault="003A4D22" w:rsidP="00186D36">
      <w:pPr>
        <w:pStyle w:val="L1-FlLSp12"/>
        <w:spacing w:line="276" w:lineRule="auto"/>
        <w:jc w:val="left"/>
        <w:rPr>
          <w:b/>
          <w:sz w:val="24"/>
          <w:szCs w:val="24"/>
        </w:rPr>
      </w:pPr>
      <w:r w:rsidRPr="00CC7328">
        <w:rPr>
          <w:b/>
          <w:sz w:val="24"/>
          <w:szCs w:val="24"/>
        </w:rPr>
        <w:t>B.3.1</w:t>
      </w:r>
      <w:r w:rsidRPr="00CC7328">
        <w:rPr>
          <w:b/>
          <w:sz w:val="24"/>
          <w:szCs w:val="24"/>
        </w:rPr>
        <w:tab/>
        <w:t>Methods to Maximize Response Rates</w:t>
      </w:r>
    </w:p>
    <w:p w14:paraId="10284558" w14:textId="77777777" w:rsidR="00904B22" w:rsidRPr="00CC7328" w:rsidRDefault="00F158AE" w:rsidP="00186D36">
      <w:pPr>
        <w:keepNext/>
        <w:spacing w:after="120" w:line="360" w:lineRule="atLeast"/>
        <w:jc w:val="left"/>
        <w:outlineLvl w:val="2"/>
        <w:rPr>
          <w:b/>
          <w:sz w:val="24"/>
          <w:szCs w:val="24"/>
        </w:rPr>
      </w:pPr>
      <w:r w:rsidRPr="00CC7328">
        <w:rPr>
          <w:b/>
          <w:sz w:val="24"/>
          <w:szCs w:val="24"/>
        </w:rPr>
        <w:t>Baseline Information and Consent Forms</w:t>
      </w:r>
    </w:p>
    <w:p w14:paraId="73F8E8FA" w14:textId="77777777" w:rsidR="003B1C13" w:rsidRPr="00CC7328" w:rsidRDefault="003B1C13" w:rsidP="00186D36">
      <w:pPr>
        <w:pStyle w:val="ParagraphLAST"/>
        <w:spacing w:after="120" w:line="276" w:lineRule="auto"/>
        <w:ind w:firstLine="0"/>
        <w:jc w:val="left"/>
        <w:rPr>
          <w:rFonts w:ascii="Times New Roman" w:hAnsi="Times New Roman"/>
          <w:lang w:val="yo-NG"/>
        </w:rPr>
      </w:pPr>
      <w:r w:rsidRPr="00CC7328">
        <w:rPr>
          <w:rFonts w:ascii="Times New Roman" w:hAnsi="Times New Roman"/>
        </w:rPr>
        <w:t xml:space="preserve">Baseline information and informed consent will be collected from all study participants at the six RCT sites following determination of program eligibility, but prior to random assignment. These data will provide general information about participants that will ensure the comparability of the program and control groups, obtain data needed for subgroup analyses, and facilitate contact for subsequent follow-up surveys. Baseline data (including contact information) and informed consent will be collected via MDRC’s web-based random assignment system. </w:t>
      </w:r>
    </w:p>
    <w:p w14:paraId="2F0EBEE0" w14:textId="77777777" w:rsidR="003B1C13" w:rsidRPr="00CC7328" w:rsidRDefault="003B1C13" w:rsidP="00186D36">
      <w:pPr>
        <w:pStyle w:val="ParagraphLAST"/>
        <w:spacing w:after="0" w:line="276" w:lineRule="auto"/>
        <w:ind w:firstLine="0"/>
        <w:jc w:val="left"/>
        <w:rPr>
          <w:rFonts w:ascii="Times New Roman" w:hAnsi="Times New Roman"/>
        </w:rPr>
      </w:pPr>
    </w:p>
    <w:p w14:paraId="63BD5B2F" w14:textId="77777777" w:rsidR="003B1C13" w:rsidRPr="00CC7328" w:rsidRDefault="003B1C13" w:rsidP="00186D36">
      <w:pPr>
        <w:jc w:val="left"/>
        <w:rPr>
          <w:sz w:val="24"/>
          <w:szCs w:val="24"/>
        </w:rPr>
      </w:pPr>
      <w:r w:rsidRPr="00CC7328">
        <w:rPr>
          <w:sz w:val="24"/>
          <w:szCs w:val="24"/>
        </w:rPr>
        <w:t>The Informed Consent Form will be used</w:t>
      </w:r>
      <w:r w:rsidRPr="00CC7328">
        <w:rPr>
          <w:sz w:val="24"/>
          <w:szCs w:val="24"/>
          <w:lang w:val="yo-NG"/>
        </w:rPr>
        <w:t xml:space="preserve"> in the </w:t>
      </w:r>
      <w:r w:rsidRPr="00CC7328">
        <w:rPr>
          <w:sz w:val="24"/>
          <w:szCs w:val="24"/>
        </w:rPr>
        <w:t>six RCT</w:t>
      </w:r>
      <w:r w:rsidRPr="00CC7328">
        <w:rPr>
          <w:sz w:val="24"/>
          <w:szCs w:val="24"/>
          <w:lang w:val="yo-NG"/>
        </w:rPr>
        <w:t xml:space="preserve"> sites. It will </w:t>
      </w:r>
      <w:r w:rsidRPr="00CC7328">
        <w:rPr>
          <w:sz w:val="24"/>
          <w:szCs w:val="24"/>
        </w:rPr>
        <w:t>ensure that participants: 1) understand the TechHire/SWFI evaluation, as well as their role and rights within the study; and 2) provide their consent to participate. As mentioned, informed consent will be collected via MDRC’s online random assignment system. Individuals will check a box indicating whether they consent to participate in the evaluation. This will serve as an “electronic signature.”</w:t>
      </w:r>
    </w:p>
    <w:p w14:paraId="726002AC" w14:textId="77777777" w:rsidR="00904B22" w:rsidRPr="00CC7328" w:rsidRDefault="00904B22" w:rsidP="00186D36">
      <w:pPr>
        <w:keepNext/>
        <w:spacing w:line="240" w:lineRule="atLeast"/>
        <w:jc w:val="left"/>
        <w:outlineLvl w:val="0"/>
        <w:rPr>
          <w:b/>
          <w:sz w:val="24"/>
          <w:szCs w:val="24"/>
        </w:rPr>
      </w:pPr>
    </w:p>
    <w:p w14:paraId="68537033" w14:textId="43912EB1" w:rsidR="003B1C13" w:rsidRPr="00CC7328" w:rsidRDefault="003B1C13" w:rsidP="003724DF">
      <w:pPr>
        <w:jc w:val="left"/>
        <w:rPr>
          <w:sz w:val="24"/>
          <w:szCs w:val="24"/>
        </w:rPr>
      </w:pPr>
      <w:r w:rsidRPr="00CC7328">
        <w:rPr>
          <w:sz w:val="24"/>
          <w:szCs w:val="24"/>
        </w:rPr>
        <w:t xml:space="preserve">The Informed Consent Form has a eighth-grade readability level and draws on consent forms </w:t>
      </w:r>
      <w:r w:rsidRPr="00CC7328">
        <w:rPr>
          <w:sz w:val="24"/>
          <w:szCs w:val="24"/>
          <w:lang w:val="yo-NG"/>
        </w:rPr>
        <w:t>currently in use in other studies.</w:t>
      </w:r>
      <w:r w:rsidRPr="00CC7328">
        <w:rPr>
          <w:sz w:val="24"/>
          <w:szCs w:val="24"/>
        </w:rPr>
        <w:t xml:space="preserve"> It meets all human subjects requirements. To ensure that all study participants receive a clear, consistent explanation of the project, the evaluation team will provide program staff with a script and talking points to summarize and address questions that may come up from reading the consent form. Staff will be trained on how to introduce and discuss the goals and design of the project, the random assignment process and data collection efforts; all staff will emphasize: 1) that participation in the study is voluntary; 2) the benefits and risks of participating in the study, and 3) that strict rules are in place to protect sample members’ privacy.</w:t>
      </w:r>
      <w:r w:rsidR="00C82E87">
        <w:rPr>
          <w:sz w:val="24"/>
          <w:szCs w:val="24"/>
        </w:rPr>
        <w:t xml:space="preserve"> The informed consent form indicates that participants cannot access TechHire or SWFI services if they do not consent to participate in the study or if they withdraw from the study.</w:t>
      </w:r>
    </w:p>
    <w:p w14:paraId="64044E22" w14:textId="77777777" w:rsidR="00904B22" w:rsidRPr="00CC7328" w:rsidRDefault="00904B22" w:rsidP="003724DF">
      <w:pPr>
        <w:jc w:val="left"/>
        <w:rPr>
          <w:b/>
          <w:sz w:val="24"/>
          <w:szCs w:val="24"/>
        </w:rPr>
      </w:pPr>
    </w:p>
    <w:p w14:paraId="143666FD" w14:textId="77777777" w:rsidR="003B1C13" w:rsidRPr="00CC7328" w:rsidRDefault="003B1C13" w:rsidP="003724DF">
      <w:pPr>
        <w:jc w:val="left"/>
        <w:rPr>
          <w:sz w:val="24"/>
          <w:szCs w:val="24"/>
        </w:rPr>
      </w:pPr>
      <w:r w:rsidRPr="00CC7328">
        <w:rPr>
          <w:sz w:val="24"/>
          <w:szCs w:val="24"/>
        </w:rPr>
        <w:t>Th</w:t>
      </w:r>
      <w:r w:rsidRPr="00CC7328">
        <w:rPr>
          <w:sz w:val="24"/>
          <w:szCs w:val="24"/>
          <w:lang w:val="yo-NG"/>
        </w:rPr>
        <w:t>e baseline</w:t>
      </w:r>
      <w:r w:rsidRPr="00CC7328">
        <w:rPr>
          <w:sz w:val="24"/>
          <w:szCs w:val="24"/>
        </w:rPr>
        <w:t xml:space="preserve"> form will collect basic</w:t>
      </w:r>
      <w:r w:rsidRPr="00CC7328">
        <w:rPr>
          <w:sz w:val="24"/>
          <w:szCs w:val="24"/>
          <w:lang w:val="yo-NG"/>
        </w:rPr>
        <w:t xml:space="preserve"> identifying</w:t>
      </w:r>
      <w:r w:rsidRPr="00CC7328">
        <w:rPr>
          <w:sz w:val="24"/>
          <w:szCs w:val="24"/>
        </w:rPr>
        <w:t xml:space="preserve"> information about sample members in the six RCT sites, including social security number and date of birth. It also includes demographic </w:t>
      </w:r>
      <w:r w:rsidRPr="00CC7328">
        <w:rPr>
          <w:sz w:val="24"/>
          <w:szCs w:val="24"/>
          <w:lang w:val="yo-NG"/>
        </w:rPr>
        <w:t>items</w:t>
      </w:r>
      <w:r w:rsidRPr="00CC7328">
        <w:rPr>
          <w:sz w:val="24"/>
          <w:szCs w:val="24"/>
        </w:rPr>
        <w:t xml:space="preserve"> such as race and ethnicity, language spoken, and housing and marital statuses. Finally, the form also includes questions about participants’ education and employment history, use of public assistance, need for child care services, and any involvement with the criminal justice system. These data will be used by the evaluation team to ensure the comparability of program and control groups, to facilitate contact for follow-up surveys, and to inform subgroup analyses in the impact study.</w:t>
      </w:r>
    </w:p>
    <w:p w14:paraId="0619BC53" w14:textId="77777777" w:rsidR="003B1C13" w:rsidRPr="00CC7328" w:rsidRDefault="003B1C13" w:rsidP="00186D36">
      <w:pPr>
        <w:jc w:val="left"/>
        <w:rPr>
          <w:sz w:val="24"/>
          <w:szCs w:val="24"/>
          <w:u w:val="single"/>
        </w:rPr>
      </w:pPr>
    </w:p>
    <w:p w14:paraId="245A6969" w14:textId="77777777" w:rsidR="003B1C13" w:rsidRPr="00CC7328" w:rsidRDefault="003B1C13" w:rsidP="00186D36">
      <w:pPr>
        <w:jc w:val="left"/>
        <w:rPr>
          <w:sz w:val="24"/>
          <w:szCs w:val="24"/>
        </w:rPr>
      </w:pPr>
      <w:r w:rsidRPr="00CC7328">
        <w:rPr>
          <w:sz w:val="24"/>
          <w:szCs w:val="24"/>
          <w:lang w:val="yo-NG"/>
        </w:rPr>
        <w:t xml:space="preserve">As noted earlier, baseline data </w:t>
      </w:r>
      <w:r w:rsidRPr="00CC7328">
        <w:rPr>
          <w:sz w:val="24"/>
          <w:szCs w:val="24"/>
        </w:rPr>
        <w:t xml:space="preserve">will </w:t>
      </w:r>
      <w:r w:rsidRPr="00CC7328">
        <w:rPr>
          <w:sz w:val="24"/>
          <w:szCs w:val="24"/>
          <w:lang w:val="yo-NG"/>
        </w:rPr>
        <w:t xml:space="preserve">be collected via </w:t>
      </w:r>
      <w:r w:rsidRPr="00CC7328">
        <w:rPr>
          <w:sz w:val="24"/>
          <w:szCs w:val="24"/>
        </w:rPr>
        <w:t>MDRC’s web-based random assignment system</w:t>
      </w:r>
      <w:r w:rsidRPr="00CC7328">
        <w:rPr>
          <w:sz w:val="24"/>
          <w:szCs w:val="24"/>
          <w:lang w:val="yo-NG"/>
        </w:rPr>
        <w:t xml:space="preserve">. </w:t>
      </w:r>
      <w:r w:rsidRPr="00CC7328">
        <w:rPr>
          <w:sz w:val="24"/>
          <w:szCs w:val="24"/>
        </w:rPr>
        <w:t xml:space="preserve">To help ensure quality responses, the system will be set up to impose certain rules for accepted values, control skips, and prompt users with various messages if they report potential errors or do not answer all of the questions. As an example, the system will require that a key identifier—Social Security number—be entered twice, and it will return an error message that must be addressed before proceeding if the entries are not identical or do not meet The Social Security Administation’s validation rules. Site staff will also be trained on how to offer guidance to individuals on how they should answer some key baseline questions. </w:t>
      </w:r>
    </w:p>
    <w:p w14:paraId="3B8AAFE5" w14:textId="77777777" w:rsidR="003B1C13" w:rsidRPr="00CC7328" w:rsidRDefault="003B1C13" w:rsidP="00186D36">
      <w:pPr>
        <w:jc w:val="left"/>
        <w:rPr>
          <w:sz w:val="24"/>
          <w:szCs w:val="24"/>
          <w:u w:val="single"/>
        </w:rPr>
      </w:pPr>
    </w:p>
    <w:p w14:paraId="528ABA5C" w14:textId="77777777" w:rsidR="003B1C13" w:rsidRDefault="003B1C13" w:rsidP="00186D36">
      <w:pPr>
        <w:jc w:val="left"/>
        <w:rPr>
          <w:sz w:val="24"/>
          <w:szCs w:val="24"/>
        </w:rPr>
      </w:pPr>
      <w:r w:rsidRPr="00CC7328">
        <w:rPr>
          <w:sz w:val="24"/>
          <w:szCs w:val="24"/>
        </w:rPr>
        <w:t xml:space="preserve">Contact information will </w:t>
      </w:r>
      <w:r w:rsidRPr="00CC7328">
        <w:rPr>
          <w:sz w:val="24"/>
          <w:szCs w:val="24"/>
          <w:lang w:val="yo-NG"/>
        </w:rPr>
        <w:t xml:space="preserve">also </w:t>
      </w:r>
      <w:r w:rsidRPr="00CC7328">
        <w:rPr>
          <w:sz w:val="24"/>
          <w:szCs w:val="24"/>
        </w:rPr>
        <w:t xml:space="preserve">be </w:t>
      </w:r>
      <w:r w:rsidRPr="00CC7328">
        <w:rPr>
          <w:sz w:val="24"/>
          <w:szCs w:val="24"/>
          <w:lang w:val="yo-NG"/>
        </w:rPr>
        <w:t>collected</w:t>
      </w:r>
      <w:r w:rsidRPr="00CC7328">
        <w:rPr>
          <w:sz w:val="24"/>
          <w:szCs w:val="24"/>
        </w:rPr>
        <w:t xml:space="preserve"> prior to random assignment. </w:t>
      </w:r>
      <w:r w:rsidRPr="00CC7328">
        <w:rPr>
          <w:sz w:val="24"/>
          <w:szCs w:val="24"/>
          <w:lang w:val="yo-NG"/>
        </w:rPr>
        <w:t xml:space="preserve">In addition to their own name, address, and phone numbers, </w:t>
      </w:r>
      <w:r w:rsidRPr="00CC7328">
        <w:rPr>
          <w:sz w:val="24"/>
          <w:szCs w:val="24"/>
        </w:rPr>
        <w:t xml:space="preserve">participants will be asked to provide information about three additional individuals who are likely to be in future contact with them and can assist the research team to locate them for follow-up surveys. While individuals are not required to report this information, staff will be instructed on how to explain the importance of collecting this information to individuals. </w:t>
      </w:r>
    </w:p>
    <w:p w14:paraId="2F1C30EB" w14:textId="77777777" w:rsidR="007926A0" w:rsidRDefault="007926A0" w:rsidP="00186D36">
      <w:pPr>
        <w:jc w:val="left"/>
        <w:rPr>
          <w:sz w:val="24"/>
          <w:szCs w:val="24"/>
        </w:rPr>
      </w:pPr>
    </w:p>
    <w:p w14:paraId="678D6483" w14:textId="77777777" w:rsidR="003724DF" w:rsidRDefault="003724DF" w:rsidP="003724DF">
      <w:pPr>
        <w:jc w:val="left"/>
        <w:rPr>
          <w:sz w:val="24"/>
          <w:szCs w:val="24"/>
        </w:rPr>
      </w:pPr>
      <w:r>
        <w:rPr>
          <w:sz w:val="24"/>
          <w:szCs w:val="24"/>
        </w:rPr>
        <w:t>We expect to achieve a 100 percent response rate to the BIF. Westat has achieved a 100 percent or higher response rates for similar studies. For example, Westat’s Mental Health Treatment Study (MHTS), a randomized controlled trial of supported employment services for people with serious mental illness funded by Social Security Administration (SSA), achieve</w:t>
      </w:r>
      <w:r w:rsidR="007926A0">
        <w:rPr>
          <w:sz w:val="24"/>
          <w:szCs w:val="24"/>
        </w:rPr>
        <w:t>d</w:t>
      </w:r>
      <w:r>
        <w:rPr>
          <w:sz w:val="24"/>
          <w:szCs w:val="24"/>
        </w:rPr>
        <w:t xml:space="preserve"> a 100 percent response rate to the BIF.</w:t>
      </w:r>
    </w:p>
    <w:p w14:paraId="3655D7D2" w14:textId="77777777" w:rsidR="00037F0A" w:rsidRDefault="00037F0A" w:rsidP="003724DF">
      <w:pPr>
        <w:jc w:val="left"/>
        <w:rPr>
          <w:sz w:val="24"/>
          <w:szCs w:val="24"/>
        </w:rPr>
      </w:pPr>
    </w:p>
    <w:p w14:paraId="16457227" w14:textId="77777777" w:rsidR="00037F0A" w:rsidRDefault="00037F0A" w:rsidP="003724DF">
      <w:pPr>
        <w:jc w:val="left"/>
        <w:rPr>
          <w:sz w:val="24"/>
          <w:szCs w:val="24"/>
        </w:rPr>
      </w:pPr>
      <w:r>
        <w:rPr>
          <w:sz w:val="24"/>
          <w:szCs w:val="24"/>
        </w:rPr>
        <w:t>Missing values for baseline variables that are used as covariates will be imputed using the full sample’s mean. Dummy variables will also be added to the regression models to indicate missing status for each of the covariates with missing values.</w:t>
      </w:r>
    </w:p>
    <w:p w14:paraId="0138F400" w14:textId="77777777" w:rsidR="00477A9F" w:rsidRDefault="00477A9F" w:rsidP="003724DF">
      <w:pPr>
        <w:jc w:val="left"/>
        <w:rPr>
          <w:sz w:val="24"/>
          <w:szCs w:val="24"/>
        </w:rPr>
      </w:pPr>
    </w:p>
    <w:p w14:paraId="00F54F76" w14:textId="77777777" w:rsidR="00477A9F" w:rsidRPr="004D5DE5" w:rsidRDefault="00477A9F" w:rsidP="004D5DE5">
      <w:pPr>
        <w:shd w:val="clear" w:color="auto" w:fill="F4F4F4"/>
        <w:jc w:val="left"/>
        <w:textAlignment w:val="center"/>
        <w:rPr>
          <w:sz w:val="24"/>
          <w:szCs w:val="24"/>
        </w:rPr>
      </w:pPr>
      <w:r w:rsidRPr="004D5DE5">
        <w:rPr>
          <w:sz w:val="24"/>
          <w:szCs w:val="24"/>
        </w:rPr>
        <w:t xml:space="preserve">Sample members assigned to the control group will receive $50.00 as a token of appreciation for the comprehensive intake and screening process that could require several return visits to the grantee’s offices.   </w:t>
      </w:r>
      <w:r>
        <w:rPr>
          <w:sz w:val="24"/>
          <w:szCs w:val="24"/>
        </w:rPr>
        <w:t>This will not increase the response rate to the BIF because the universe for the BIF is individuals who are randomly assigned.</w:t>
      </w:r>
    </w:p>
    <w:p w14:paraId="5DF622D4" w14:textId="77777777" w:rsidR="003B1C13" w:rsidRPr="007926A0" w:rsidRDefault="003B1C13" w:rsidP="00186D36">
      <w:pPr>
        <w:jc w:val="left"/>
        <w:rPr>
          <w:sz w:val="24"/>
          <w:szCs w:val="24"/>
        </w:rPr>
      </w:pPr>
    </w:p>
    <w:p w14:paraId="46A316DC" w14:textId="77777777" w:rsidR="007D0E0F" w:rsidRPr="00CC7328" w:rsidRDefault="00CA1DD2" w:rsidP="00186D36">
      <w:pPr>
        <w:keepNext/>
        <w:spacing w:line="360" w:lineRule="atLeast"/>
        <w:jc w:val="left"/>
        <w:outlineLvl w:val="2"/>
        <w:rPr>
          <w:b/>
          <w:sz w:val="24"/>
          <w:szCs w:val="24"/>
        </w:rPr>
      </w:pPr>
      <w:r w:rsidRPr="00CC7328">
        <w:rPr>
          <w:b/>
          <w:sz w:val="24"/>
          <w:szCs w:val="24"/>
        </w:rPr>
        <w:t xml:space="preserve">6-Month </w:t>
      </w:r>
      <w:r w:rsidR="00F158AE" w:rsidRPr="00CC7328">
        <w:rPr>
          <w:b/>
          <w:sz w:val="24"/>
          <w:szCs w:val="24"/>
        </w:rPr>
        <w:t xml:space="preserve">Follow-Up </w:t>
      </w:r>
      <w:r w:rsidR="007D0E0F" w:rsidRPr="00CC7328">
        <w:rPr>
          <w:b/>
          <w:sz w:val="24"/>
          <w:szCs w:val="24"/>
        </w:rPr>
        <w:t>Survey</w:t>
      </w:r>
    </w:p>
    <w:p w14:paraId="79B0E077" w14:textId="77777777" w:rsidR="00663E26" w:rsidRPr="00CC7328" w:rsidRDefault="00663E26" w:rsidP="00186D36">
      <w:pPr>
        <w:pStyle w:val="L1-FlLSp12"/>
        <w:spacing w:line="276" w:lineRule="auto"/>
        <w:jc w:val="left"/>
        <w:rPr>
          <w:sz w:val="24"/>
          <w:szCs w:val="24"/>
        </w:rPr>
      </w:pPr>
      <w:r w:rsidRPr="00CC7328">
        <w:rPr>
          <w:sz w:val="24"/>
          <w:szCs w:val="24"/>
        </w:rPr>
        <w:t xml:space="preserve">As discussed in Part A, we propose to implement an “early bird” incentive model for </w:t>
      </w:r>
      <w:r w:rsidR="00CA1DD2" w:rsidRPr="00CC7328">
        <w:rPr>
          <w:sz w:val="24"/>
          <w:szCs w:val="24"/>
        </w:rPr>
        <w:t xml:space="preserve">the 6-month </w:t>
      </w:r>
      <w:r w:rsidRPr="00CC7328">
        <w:rPr>
          <w:sz w:val="24"/>
          <w:szCs w:val="24"/>
        </w:rPr>
        <w:t>follow-up survey.</w:t>
      </w:r>
      <w:r w:rsidR="00CA1DD2" w:rsidRPr="00CC7328">
        <w:rPr>
          <w:sz w:val="24"/>
          <w:szCs w:val="24"/>
        </w:rPr>
        <w:t xml:space="preserve"> P</w:t>
      </w:r>
      <w:r w:rsidRPr="00CC7328">
        <w:rPr>
          <w:sz w:val="24"/>
          <w:szCs w:val="24"/>
        </w:rPr>
        <w:t>articipants will be offered $</w:t>
      </w:r>
      <w:r w:rsidR="00667B27">
        <w:rPr>
          <w:sz w:val="24"/>
          <w:szCs w:val="24"/>
        </w:rPr>
        <w:t>30</w:t>
      </w:r>
      <w:r w:rsidRPr="00CC7328">
        <w:rPr>
          <w:sz w:val="24"/>
          <w:szCs w:val="24"/>
        </w:rPr>
        <w:t xml:space="preserve"> for completing the survey within the first four weeks and $</w:t>
      </w:r>
      <w:r w:rsidR="00667B27">
        <w:rPr>
          <w:sz w:val="24"/>
          <w:szCs w:val="24"/>
        </w:rPr>
        <w:t>20</w:t>
      </w:r>
      <w:r w:rsidR="00967C55" w:rsidRPr="00CC7328">
        <w:rPr>
          <w:sz w:val="24"/>
          <w:szCs w:val="24"/>
        </w:rPr>
        <w:t xml:space="preserve"> </w:t>
      </w:r>
      <w:r w:rsidRPr="00CC7328">
        <w:rPr>
          <w:sz w:val="24"/>
          <w:szCs w:val="24"/>
        </w:rPr>
        <w:t xml:space="preserve">for completing it after that time.  </w:t>
      </w:r>
    </w:p>
    <w:p w14:paraId="11A040AD" w14:textId="77777777" w:rsidR="0026080B" w:rsidRPr="00CC7328" w:rsidRDefault="0026080B" w:rsidP="00186D36">
      <w:pPr>
        <w:jc w:val="left"/>
        <w:rPr>
          <w:sz w:val="24"/>
          <w:szCs w:val="24"/>
        </w:rPr>
      </w:pPr>
    </w:p>
    <w:p w14:paraId="4BDDE1AC" w14:textId="77777777" w:rsidR="007D0E0F" w:rsidRDefault="007D0E0F" w:rsidP="00186D36">
      <w:pPr>
        <w:jc w:val="left"/>
        <w:rPr>
          <w:sz w:val="24"/>
          <w:szCs w:val="24"/>
        </w:rPr>
      </w:pPr>
      <w:r w:rsidRPr="00CC7328">
        <w:rPr>
          <w:sz w:val="24"/>
          <w:szCs w:val="24"/>
        </w:rPr>
        <w:t xml:space="preserve">The </w:t>
      </w:r>
      <w:r w:rsidR="0026080B" w:rsidRPr="00CC7328">
        <w:rPr>
          <w:sz w:val="24"/>
          <w:szCs w:val="24"/>
        </w:rPr>
        <w:t xml:space="preserve">sequential </w:t>
      </w:r>
      <w:r w:rsidRPr="00CC7328">
        <w:rPr>
          <w:sz w:val="24"/>
          <w:szCs w:val="24"/>
        </w:rPr>
        <w:t xml:space="preserve">multi-mode data collection approach includes the administration of a web survey to </w:t>
      </w:r>
      <w:r w:rsidR="00F158AE" w:rsidRPr="00CC7328">
        <w:rPr>
          <w:sz w:val="24"/>
          <w:szCs w:val="24"/>
        </w:rPr>
        <w:t>study</w:t>
      </w:r>
      <w:r w:rsidRPr="00CC7328">
        <w:rPr>
          <w:sz w:val="24"/>
          <w:szCs w:val="24"/>
        </w:rPr>
        <w:t xml:space="preserve"> participants (</w:t>
      </w:r>
      <w:r w:rsidR="00F158AE" w:rsidRPr="00CC7328">
        <w:rPr>
          <w:sz w:val="24"/>
          <w:szCs w:val="24"/>
        </w:rPr>
        <w:t xml:space="preserve">treatment </w:t>
      </w:r>
      <w:r w:rsidRPr="00CC7328">
        <w:rPr>
          <w:sz w:val="24"/>
          <w:szCs w:val="24"/>
        </w:rPr>
        <w:t xml:space="preserve">and control groups) </w:t>
      </w:r>
      <w:r w:rsidR="00F158AE" w:rsidRPr="00CC7328">
        <w:rPr>
          <w:sz w:val="24"/>
          <w:szCs w:val="24"/>
        </w:rPr>
        <w:t xml:space="preserve">in the six RCT sites </w:t>
      </w:r>
      <w:r w:rsidRPr="00CC7328">
        <w:rPr>
          <w:sz w:val="24"/>
          <w:szCs w:val="24"/>
        </w:rPr>
        <w:t xml:space="preserve">followed by telephone calls to nonrespondents to complete a </w:t>
      </w:r>
      <w:r w:rsidRPr="00CC7328">
        <w:rPr>
          <w:spacing w:val="-4"/>
          <w:sz w:val="24"/>
          <w:szCs w:val="24"/>
        </w:rPr>
        <w:t>computer-assisted telephone interview</w:t>
      </w:r>
      <w:r w:rsidRPr="00CC7328">
        <w:rPr>
          <w:sz w:val="24"/>
          <w:szCs w:val="24"/>
        </w:rPr>
        <w:t xml:space="preserve"> (CATI). Our goal for the </w:t>
      </w:r>
      <w:r w:rsidR="001F7BCA" w:rsidRPr="00CC7328">
        <w:rPr>
          <w:sz w:val="24"/>
          <w:szCs w:val="24"/>
        </w:rPr>
        <w:t xml:space="preserve">6-month </w:t>
      </w:r>
      <w:r w:rsidR="00F158AE" w:rsidRPr="00CC7328">
        <w:rPr>
          <w:sz w:val="24"/>
          <w:szCs w:val="24"/>
        </w:rPr>
        <w:t xml:space="preserve">follow-up </w:t>
      </w:r>
      <w:r w:rsidRPr="00CC7328">
        <w:rPr>
          <w:sz w:val="24"/>
          <w:szCs w:val="24"/>
        </w:rPr>
        <w:t xml:space="preserve">survey </w:t>
      </w:r>
      <w:r w:rsidR="001F7BCA" w:rsidRPr="00CC7328">
        <w:rPr>
          <w:sz w:val="24"/>
          <w:szCs w:val="24"/>
        </w:rPr>
        <w:t>is</w:t>
      </w:r>
      <w:r w:rsidR="00F158AE" w:rsidRPr="00CC7328">
        <w:rPr>
          <w:sz w:val="24"/>
          <w:szCs w:val="24"/>
        </w:rPr>
        <w:t xml:space="preserve"> </w:t>
      </w:r>
      <w:r w:rsidRPr="00CC7328">
        <w:rPr>
          <w:sz w:val="24"/>
          <w:szCs w:val="24"/>
        </w:rPr>
        <w:t>an 80</w:t>
      </w:r>
      <w:r w:rsidR="00F158AE" w:rsidRPr="00CC7328">
        <w:rPr>
          <w:sz w:val="24"/>
          <w:szCs w:val="24"/>
        </w:rPr>
        <w:t xml:space="preserve"> percent</w:t>
      </w:r>
      <w:r w:rsidRPr="00CC7328">
        <w:rPr>
          <w:sz w:val="24"/>
          <w:szCs w:val="24"/>
        </w:rPr>
        <w:t xml:space="preserve"> response rate. We are assuming that we will obtain 25</w:t>
      </w:r>
      <w:r w:rsidR="00F158AE" w:rsidRPr="00CC7328">
        <w:rPr>
          <w:sz w:val="24"/>
          <w:szCs w:val="24"/>
        </w:rPr>
        <w:t xml:space="preserve"> percent</w:t>
      </w:r>
      <w:r w:rsidRPr="00CC7328">
        <w:rPr>
          <w:sz w:val="24"/>
          <w:szCs w:val="24"/>
        </w:rPr>
        <w:t xml:space="preserve"> of these completes from the web survey and the remaining 75</w:t>
      </w:r>
      <w:r w:rsidR="00F158AE" w:rsidRPr="00CC7328">
        <w:rPr>
          <w:sz w:val="24"/>
          <w:szCs w:val="24"/>
        </w:rPr>
        <w:t xml:space="preserve"> percent</w:t>
      </w:r>
      <w:r w:rsidRPr="00CC7328">
        <w:rPr>
          <w:sz w:val="24"/>
          <w:szCs w:val="24"/>
        </w:rPr>
        <w:t xml:space="preserve"> from the CATI data collection. </w:t>
      </w:r>
      <w:r w:rsidR="00A752CC" w:rsidRPr="00CC7328">
        <w:rPr>
          <w:sz w:val="24"/>
          <w:szCs w:val="24"/>
        </w:rPr>
        <w:t xml:space="preserve"> Alternatively, the 80 percent response rate is composed of 20% by web and 60% by CATI.</w:t>
      </w:r>
    </w:p>
    <w:p w14:paraId="1A275F80" w14:textId="77777777" w:rsidR="003724DF" w:rsidRDefault="003724DF" w:rsidP="00186D36">
      <w:pPr>
        <w:jc w:val="left"/>
        <w:rPr>
          <w:sz w:val="24"/>
          <w:szCs w:val="24"/>
        </w:rPr>
      </w:pPr>
    </w:p>
    <w:p w14:paraId="73876712" w14:textId="77777777" w:rsidR="003724DF" w:rsidRPr="00CC7328" w:rsidRDefault="003724DF" w:rsidP="00186D36">
      <w:pPr>
        <w:jc w:val="left"/>
        <w:rPr>
          <w:sz w:val="24"/>
          <w:szCs w:val="24"/>
        </w:rPr>
      </w:pPr>
      <w:r>
        <w:rPr>
          <w:sz w:val="24"/>
          <w:szCs w:val="24"/>
        </w:rPr>
        <w:t xml:space="preserve">Westat has achieved 80 percent or higher response rates for similar studies. For example, </w:t>
      </w:r>
      <w:r w:rsidR="00C43857">
        <w:rPr>
          <w:sz w:val="24"/>
          <w:szCs w:val="24"/>
        </w:rPr>
        <w:t>the MHTS</w:t>
      </w:r>
      <w:r>
        <w:rPr>
          <w:sz w:val="24"/>
          <w:szCs w:val="24"/>
        </w:rPr>
        <w:t xml:space="preserve"> included seven quarterly follow-up surveys with</w:t>
      </w:r>
      <w:r w:rsidR="00C24445">
        <w:rPr>
          <w:sz w:val="24"/>
          <w:szCs w:val="24"/>
        </w:rPr>
        <w:t xml:space="preserve"> </w:t>
      </w:r>
      <w:r w:rsidR="00C43857">
        <w:rPr>
          <w:sz w:val="24"/>
          <w:szCs w:val="24"/>
        </w:rPr>
        <w:t xml:space="preserve">RCT </w:t>
      </w:r>
      <w:r>
        <w:rPr>
          <w:sz w:val="24"/>
          <w:szCs w:val="24"/>
        </w:rPr>
        <w:t xml:space="preserve"> study participants </w:t>
      </w:r>
      <w:r w:rsidR="00C43857">
        <w:rPr>
          <w:sz w:val="24"/>
          <w:szCs w:val="24"/>
        </w:rPr>
        <w:t xml:space="preserve">in the treatment and control groups </w:t>
      </w:r>
      <w:r>
        <w:rPr>
          <w:sz w:val="24"/>
          <w:szCs w:val="24"/>
        </w:rPr>
        <w:t>after random assignment. Westat achieved over 80 percent response rates in all seven quarters</w:t>
      </w:r>
      <w:r w:rsidR="00C43857">
        <w:rPr>
          <w:sz w:val="24"/>
          <w:szCs w:val="24"/>
        </w:rPr>
        <w:t>, including over 80 percent response rates for both the treatment and control groups for each quarterly survey prior to quarter 6.</w:t>
      </w:r>
    </w:p>
    <w:p w14:paraId="2C8A18DF" w14:textId="77777777" w:rsidR="007D0E0F" w:rsidRPr="00CC7328" w:rsidRDefault="007D0E0F" w:rsidP="00186D36">
      <w:pPr>
        <w:jc w:val="left"/>
        <w:rPr>
          <w:sz w:val="24"/>
          <w:szCs w:val="24"/>
        </w:rPr>
      </w:pPr>
    </w:p>
    <w:p w14:paraId="48E8FC40" w14:textId="77777777" w:rsidR="007D0E0F" w:rsidRPr="00CC7328" w:rsidRDefault="007D0E0F" w:rsidP="00186D36">
      <w:pPr>
        <w:jc w:val="left"/>
        <w:rPr>
          <w:spacing w:val="-4"/>
          <w:sz w:val="24"/>
          <w:szCs w:val="24"/>
        </w:rPr>
      </w:pPr>
      <w:r w:rsidRPr="00CC7328">
        <w:rPr>
          <w:sz w:val="24"/>
          <w:szCs w:val="24"/>
        </w:rPr>
        <w:t xml:space="preserve">Figure </w:t>
      </w:r>
      <w:r w:rsidR="00305217" w:rsidRPr="00CC7328">
        <w:rPr>
          <w:sz w:val="24"/>
          <w:szCs w:val="24"/>
        </w:rPr>
        <w:t>B</w:t>
      </w:r>
      <w:r w:rsidR="00A51A6B" w:rsidRPr="00CC7328">
        <w:rPr>
          <w:sz w:val="24"/>
          <w:szCs w:val="24"/>
        </w:rPr>
        <w:t>.3.1</w:t>
      </w:r>
      <w:r w:rsidRPr="00CC7328">
        <w:rPr>
          <w:sz w:val="24"/>
          <w:szCs w:val="24"/>
        </w:rPr>
        <w:t xml:space="preserve"> provides a flowchart of the data collection methodology to be used for both the 6-month follow-up survey. </w:t>
      </w:r>
      <w:r w:rsidR="006567DA" w:rsidRPr="00CC7328">
        <w:rPr>
          <w:sz w:val="24"/>
          <w:szCs w:val="24"/>
        </w:rPr>
        <w:t xml:space="preserve">Cohorts will be released for survey fielding each month. </w:t>
      </w:r>
      <w:r w:rsidRPr="00CC7328">
        <w:rPr>
          <w:spacing w:val="-4"/>
          <w:sz w:val="24"/>
          <w:szCs w:val="24"/>
        </w:rPr>
        <w:t xml:space="preserve">Participants will be mailed an invitation letter via first class postal mail with study information that contains the web survey URL and a unique PIN to access the survey. A set of frequently asked questions (FAQs) will also be included on the back of the invitation letter along with a sponsorship letter from </w:t>
      </w:r>
      <w:r w:rsidR="008E4E27" w:rsidRPr="00CC7328">
        <w:rPr>
          <w:spacing w:val="-4"/>
          <w:sz w:val="24"/>
          <w:szCs w:val="24"/>
        </w:rPr>
        <w:t>DOL</w:t>
      </w:r>
      <w:r w:rsidRPr="00CC7328">
        <w:rPr>
          <w:spacing w:val="-4"/>
          <w:sz w:val="24"/>
          <w:szCs w:val="24"/>
        </w:rPr>
        <w:t xml:space="preserve"> to help add credibility to the study, and to encourage participation. The invitation will also provide a phone number and email address for participants to contact Westat for technical assistance. We will also send an invitation email to those cases where we have their email address from the baseline intake phase. Our experience shows that response rates are slightly higher on web surveys when sampled members can click on a personalized web survey link within an email compared to entering a URL from a postal letter. </w:t>
      </w:r>
      <w:r w:rsidR="007C4EBF" w:rsidRPr="00CC7328">
        <w:rPr>
          <w:rFonts w:eastAsia="Calibri"/>
          <w:sz w:val="24"/>
          <w:szCs w:val="24"/>
        </w:rPr>
        <w:t xml:space="preserve">In order to decrease respondent burden and to improve response rates, the web survey will be accessible across a wide array of computer configurations and mobile devices. </w:t>
      </w:r>
      <w:r w:rsidRPr="00CC7328">
        <w:rPr>
          <w:spacing w:val="-4"/>
          <w:sz w:val="24"/>
          <w:szCs w:val="24"/>
        </w:rPr>
        <w:t>We are assuming</w:t>
      </w:r>
      <w:r w:rsidR="00B011D9" w:rsidRPr="00CC7328">
        <w:rPr>
          <w:spacing w:val="-4"/>
          <w:sz w:val="24"/>
          <w:szCs w:val="24"/>
        </w:rPr>
        <w:t>, based on our experience with prior studies,</w:t>
      </w:r>
      <w:r w:rsidRPr="00CC7328">
        <w:rPr>
          <w:spacing w:val="-4"/>
          <w:sz w:val="24"/>
          <w:szCs w:val="24"/>
        </w:rPr>
        <w:t xml:space="preserve"> that 75% of our participant survey sample will have email addresses.</w:t>
      </w:r>
    </w:p>
    <w:p w14:paraId="2D2209E7" w14:textId="77777777" w:rsidR="007D0E0F" w:rsidRPr="00CC7328" w:rsidRDefault="007D0E0F" w:rsidP="00186D36">
      <w:pPr>
        <w:jc w:val="left"/>
        <w:rPr>
          <w:spacing w:val="-4"/>
          <w:sz w:val="24"/>
          <w:szCs w:val="24"/>
        </w:rPr>
      </w:pPr>
    </w:p>
    <w:p w14:paraId="0DE2B6EA" w14:textId="1251F474" w:rsidR="00D5437E" w:rsidRDefault="007D0E0F" w:rsidP="00186D36">
      <w:pPr>
        <w:jc w:val="left"/>
        <w:rPr>
          <w:spacing w:val="-4"/>
          <w:sz w:val="24"/>
          <w:szCs w:val="24"/>
        </w:rPr>
      </w:pPr>
      <w:r w:rsidRPr="00CC7328">
        <w:rPr>
          <w:spacing w:val="-4"/>
          <w:sz w:val="24"/>
          <w:szCs w:val="24"/>
        </w:rPr>
        <w:t xml:space="preserve">One week following the initial invitation mailing, participants will receive the first of </w:t>
      </w:r>
      <w:r w:rsidR="00305217" w:rsidRPr="00CC7328">
        <w:rPr>
          <w:spacing w:val="-4"/>
          <w:sz w:val="24"/>
          <w:szCs w:val="24"/>
        </w:rPr>
        <w:t xml:space="preserve">three </w:t>
      </w:r>
      <w:r w:rsidRPr="00CC7328">
        <w:rPr>
          <w:spacing w:val="-4"/>
          <w:sz w:val="24"/>
          <w:szCs w:val="24"/>
        </w:rPr>
        <w:t xml:space="preserve">weekly reminders. Participants with email addresses will receive an email reminder, and those without an email address will receive the reminder letter via postal mail encouraging their participation in the survey. The second and final weekly reminder will be sent out to nonrespondents similarly to the first weekly reminder. The final reminder will encourage sample members to complete the web survey and inform them that we will contact those who have not completed the web survey by telephone. Additionally, SMS text </w:t>
      </w:r>
      <w:r w:rsidR="00305217" w:rsidRPr="00CC7328">
        <w:rPr>
          <w:spacing w:val="-4"/>
          <w:sz w:val="24"/>
          <w:szCs w:val="24"/>
        </w:rPr>
        <w:t xml:space="preserve">messages </w:t>
      </w:r>
      <w:r w:rsidRPr="00CC7328">
        <w:rPr>
          <w:spacing w:val="-4"/>
          <w:sz w:val="24"/>
          <w:szCs w:val="24"/>
        </w:rPr>
        <w:t>will also be sent</w:t>
      </w:r>
      <w:r w:rsidR="00305217" w:rsidRPr="00CC7328">
        <w:rPr>
          <w:spacing w:val="-4"/>
          <w:sz w:val="24"/>
          <w:szCs w:val="24"/>
        </w:rPr>
        <w:t xml:space="preserve"> at the same time as the weekly email reminders</w:t>
      </w:r>
      <w:r w:rsidRPr="00CC7328">
        <w:rPr>
          <w:spacing w:val="-4"/>
          <w:sz w:val="24"/>
          <w:szCs w:val="24"/>
        </w:rPr>
        <w:t xml:space="preserve"> to those </w:t>
      </w:r>
      <w:r w:rsidR="00305217" w:rsidRPr="00CC7328">
        <w:rPr>
          <w:spacing w:val="-4"/>
          <w:sz w:val="24"/>
          <w:szCs w:val="24"/>
        </w:rPr>
        <w:t xml:space="preserve">participants who provide permission to text them. </w:t>
      </w:r>
      <w:r w:rsidR="00A752CC" w:rsidRPr="00CC7328">
        <w:rPr>
          <w:spacing w:val="-4"/>
          <w:sz w:val="24"/>
          <w:szCs w:val="24"/>
        </w:rPr>
        <w:t xml:space="preserve"> </w:t>
      </w:r>
      <w:r w:rsidR="00563156" w:rsidRPr="00CC7328">
        <w:rPr>
          <w:spacing w:val="-4"/>
          <w:sz w:val="24"/>
          <w:szCs w:val="24"/>
        </w:rPr>
        <w:t>Cell phone number and p</w:t>
      </w:r>
      <w:r w:rsidR="00A752CC" w:rsidRPr="00CC7328">
        <w:rPr>
          <w:spacing w:val="-4"/>
          <w:sz w:val="24"/>
          <w:szCs w:val="24"/>
        </w:rPr>
        <w:t>ermission to text will be asked in the BIF a</w:t>
      </w:r>
      <w:r w:rsidR="00AE1744">
        <w:rPr>
          <w:spacing w:val="-4"/>
          <w:sz w:val="24"/>
          <w:szCs w:val="24"/>
        </w:rPr>
        <w:t>nd</w:t>
      </w:r>
      <w:r w:rsidR="00A752CC" w:rsidRPr="00CC7328">
        <w:rPr>
          <w:spacing w:val="-4"/>
          <w:sz w:val="24"/>
          <w:szCs w:val="24"/>
        </w:rPr>
        <w:t xml:space="preserve"> 6-month follow-up survey.</w:t>
      </w:r>
    </w:p>
    <w:p w14:paraId="4D8FFA3C" w14:textId="77777777" w:rsidR="00477A9F" w:rsidRDefault="00477A9F" w:rsidP="00186D36">
      <w:pPr>
        <w:jc w:val="left"/>
        <w:rPr>
          <w:spacing w:val="-4"/>
          <w:sz w:val="24"/>
          <w:szCs w:val="24"/>
        </w:rPr>
      </w:pPr>
    </w:p>
    <w:p w14:paraId="277FB7B9" w14:textId="77777777" w:rsidR="00477A9F" w:rsidRPr="00CC7328" w:rsidRDefault="00477A9F" w:rsidP="00477A9F">
      <w:pPr>
        <w:keepNext/>
        <w:spacing w:line="360" w:lineRule="atLeast"/>
        <w:jc w:val="left"/>
        <w:outlineLvl w:val="2"/>
        <w:rPr>
          <w:b/>
          <w:sz w:val="24"/>
          <w:szCs w:val="24"/>
        </w:rPr>
      </w:pPr>
      <w:r>
        <w:rPr>
          <w:b/>
          <w:sz w:val="24"/>
          <w:szCs w:val="24"/>
        </w:rPr>
        <w:t>Participant Tracking Form</w:t>
      </w:r>
    </w:p>
    <w:p w14:paraId="69B80B92" w14:textId="77777777" w:rsidR="00477A9F" w:rsidRPr="00CC7328" w:rsidRDefault="00477A9F" w:rsidP="00477A9F">
      <w:pPr>
        <w:jc w:val="left"/>
        <w:rPr>
          <w:spacing w:val="-4"/>
          <w:sz w:val="24"/>
          <w:szCs w:val="24"/>
        </w:rPr>
      </w:pPr>
      <w:r>
        <w:rPr>
          <w:sz w:val="24"/>
          <w:szCs w:val="24"/>
        </w:rPr>
        <w:t>Participants will be provided with a pre-pa</w:t>
      </w:r>
      <w:r w:rsidR="004D5DE5">
        <w:rPr>
          <w:sz w:val="24"/>
          <w:szCs w:val="24"/>
        </w:rPr>
        <w:t>i</w:t>
      </w:r>
      <w:r>
        <w:rPr>
          <w:sz w:val="24"/>
          <w:szCs w:val="24"/>
        </w:rPr>
        <w:t>d $2 incentive for completing and returning the contact information postcard (or emailing or calling with the information) to the evaluation team.</w:t>
      </w:r>
    </w:p>
    <w:p w14:paraId="54A0D84C" w14:textId="77777777" w:rsidR="00D5437E" w:rsidRDefault="00D5437E">
      <w:pPr>
        <w:tabs>
          <w:tab w:val="clear" w:pos="1152"/>
        </w:tabs>
        <w:spacing w:line="240" w:lineRule="auto"/>
        <w:jc w:val="left"/>
        <w:rPr>
          <w:spacing w:val="-4"/>
        </w:rPr>
      </w:pPr>
      <w:r>
        <w:rPr>
          <w:spacing w:val="-4"/>
        </w:rPr>
        <w:br w:type="page"/>
      </w:r>
    </w:p>
    <w:p w14:paraId="3996C9E8" w14:textId="77777777" w:rsidR="007D0E0F" w:rsidRPr="00B43661" w:rsidRDefault="007D0E0F" w:rsidP="007D0E0F">
      <w:pPr>
        <w:spacing w:line="360" w:lineRule="atLeast"/>
        <w:rPr>
          <w:rFonts w:ascii="Garamond" w:hAnsi="Garamond"/>
          <w:sz w:val="24"/>
          <w:szCs w:val="20"/>
        </w:rPr>
      </w:pPr>
    </w:p>
    <w:p w14:paraId="68CC8B24" w14:textId="77777777" w:rsidR="007D0E0F" w:rsidRPr="00663E26" w:rsidRDefault="008E5ED4" w:rsidP="00186D36">
      <w:pPr>
        <w:jc w:val="left"/>
        <w:rPr>
          <w:b/>
          <w:szCs w:val="20"/>
        </w:rPr>
      </w:pPr>
      <w:r w:rsidRPr="00663E26">
        <w:rPr>
          <w:b/>
          <w:szCs w:val="20"/>
        </w:rPr>
        <w:t>Figure B</w:t>
      </w:r>
      <w:r w:rsidR="001F7BCA">
        <w:rPr>
          <w:b/>
          <w:szCs w:val="20"/>
        </w:rPr>
        <w:t>.3.1</w:t>
      </w:r>
      <w:r w:rsidR="007D0E0F" w:rsidRPr="00663E26">
        <w:rPr>
          <w:b/>
          <w:szCs w:val="20"/>
        </w:rPr>
        <w:tab/>
        <w:t xml:space="preserve">Proposed data collection flow for the </w:t>
      </w:r>
      <w:r w:rsidR="00A37D29">
        <w:rPr>
          <w:b/>
          <w:szCs w:val="20"/>
        </w:rPr>
        <w:t xml:space="preserve">6-Month Follow-Up </w:t>
      </w:r>
      <w:r w:rsidR="007D0E0F" w:rsidRPr="00663E26">
        <w:rPr>
          <w:b/>
          <w:szCs w:val="20"/>
        </w:rPr>
        <w:t>Survey</w:t>
      </w:r>
    </w:p>
    <w:p w14:paraId="0A02D752" w14:textId="77777777" w:rsidR="007D0E0F" w:rsidRPr="00B43661" w:rsidRDefault="007D0E0F" w:rsidP="007D0E0F">
      <w:pPr>
        <w:keepNext/>
        <w:tabs>
          <w:tab w:val="left" w:pos="1440"/>
        </w:tabs>
        <w:spacing w:line="240" w:lineRule="atLeast"/>
        <w:ind w:left="1440" w:hanging="1440"/>
        <w:outlineLvl w:val="0"/>
        <w:rPr>
          <w:rFonts w:ascii="Franklin Gothic Medium" w:hAnsi="Franklin Gothic Medium"/>
          <w:szCs w:val="20"/>
        </w:rPr>
      </w:pPr>
    </w:p>
    <w:p w14:paraId="2A0B2634" w14:textId="77777777" w:rsidR="007D0E0F" w:rsidRDefault="00CE14E8" w:rsidP="007D0E0F">
      <w:pPr>
        <w:keepLines/>
        <w:spacing w:line="240" w:lineRule="atLeast"/>
        <w:jc w:val="center"/>
        <w:rPr>
          <w:rFonts w:ascii="Garamond" w:hAnsi="Garamond"/>
          <w:sz w:val="24"/>
          <w:szCs w:val="20"/>
        </w:rPr>
      </w:pPr>
      <w:r>
        <w:rPr>
          <w:noProof/>
        </w:rPr>
        <w:drawing>
          <wp:inline distT="0" distB="0" distL="0" distR="0" wp14:anchorId="1258B330" wp14:editId="6FDEE192">
            <wp:extent cx="4762500" cy="53625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5362575"/>
                    </a:xfrm>
                    <a:prstGeom prst="rect">
                      <a:avLst/>
                    </a:prstGeom>
                    <a:ln w="15875">
                      <a:solidFill>
                        <a:schemeClr val="accent1"/>
                      </a:solidFill>
                    </a:ln>
                  </pic:spPr>
                </pic:pic>
              </a:graphicData>
            </a:graphic>
          </wp:inline>
        </w:drawing>
      </w:r>
      <w:r w:rsidR="00A37D29" w:rsidRPr="00A37D29">
        <w:t xml:space="preserve"> </w:t>
      </w:r>
    </w:p>
    <w:p w14:paraId="08C56253" w14:textId="77777777" w:rsidR="007D0E0F" w:rsidRDefault="007D0E0F" w:rsidP="007D0E0F">
      <w:pPr>
        <w:spacing w:line="360" w:lineRule="atLeast"/>
        <w:rPr>
          <w:rFonts w:ascii="Garamond" w:eastAsia="Calibri" w:hAnsi="Garamond"/>
          <w:sz w:val="24"/>
          <w:szCs w:val="20"/>
        </w:rPr>
      </w:pPr>
    </w:p>
    <w:p w14:paraId="1759BDEE" w14:textId="77777777" w:rsidR="00D5437E" w:rsidRPr="00CC7328" w:rsidRDefault="00D5437E" w:rsidP="00D5437E">
      <w:pPr>
        <w:jc w:val="left"/>
        <w:rPr>
          <w:spacing w:val="-4"/>
          <w:sz w:val="24"/>
          <w:szCs w:val="24"/>
        </w:rPr>
      </w:pPr>
      <w:r w:rsidRPr="00CC7328">
        <w:rPr>
          <w:spacing w:val="-4"/>
          <w:sz w:val="24"/>
          <w:szCs w:val="24"/>
        </w:rPr>
        <w:t>Beginning the 5</w:t>
      </w:r>
      <w:r w:rsidRPr="00CC7328">
        <w:rPr>
          <w:spacing w:val="-4"/>
          <w:sz w:val="24"/>
          <w:szCs w:val="24"/>
          <w:vertAlign w:val="superscript"/>
        </w:rPr>
        <w:t>th</w:t>
      </w:r>
      <w:r w:rsidRPr="00CC7328">
        <w:rPr>
          <w:spacing w:val="-4"/>
          <w:sz w:val="24"/>
          <w:szCs w:val="24"/>
        </w:rPr>
        <w:t xml:space="preserve"> week of the data collection field period for each monthly cohort, nonrespondents to the web survey will move on to the telephone phase of the study where participants will be contacted using our CATI method to complete the participant survey. For efficiency purposes and to minimize any mode effects, the web survey will undergo minimal revision for telephone administration by trained interviewers. </w:t>
      </w:r>
      <w:r w:rsidRPr="00CC7328">
        <w:rPr>
          <w:rFonts w:eastAsia="Calibri"/>
          <w:sz w:val="24"/>
          <w:szCs w:val="24"/>
        </w:rPr>
        <w:t xml:space="preserve">The telephone instrument version of the survey will be identical to the web version, with some format adaptations appropriate for interviewer administration such as transitions between survey sections when content changes. </w:t>
      </w:r>
      <w:r w:rsidRPr="00CC7328">
        <w:rPr>
          <w:spacing w:val="-4"/>
          <w:sz w:val="24"/>
          <w:szCs w:val="24"/>
        </w:rPr>
        <w:t xml:space="preserve">The web survey will remain open to respondents during the CATI phase, although no additional reminders will be sent out. We expect the CATI interviews to be in the field approximately 4 weeks for each monthly cohort in order for all assigned cases to get through the CATI calling algorithm and for us to reach our completion goal. We expect to get about 2,160 completed CATI surveys, yielding approximately 2,880 total completed surveys (web + CATI). </w:t>
      </w:r>
      <w:r w:rsidRPr="00CC7328">
        <w:rPr>
          <w:rFonts w:eastAsia="Calibri"/>
          <w:sz w:val="24"/>
          <w:szCs w:val="24"/>
        </w:rPr>
        <w:t>The data management system for this multi-mode study will include automated systems for managing and tracking respondent information and survey completions.</w:t>
      </w:r>
    </w:p>
    <w:p w14:paraId="68D81AA4" w14:textId="77777777" w:rsidR="00D5437E" w:rsidRPr="00CC7328" w:rsidRDefault="00D5437E" w:rsidP="00D5437E">
      <w:pPr>
        <w:jc w:val="left"/>
        <w:rPr>
          <w:spacing w:val="-4"/>
          <w:sz w:val="24"/>
          <w:szCs w:val="24"/>
        </w:rPr>
      </w:pPr>
    </w:p>
    <w:p w14:paraId="4582F4D9" w14:textId="6D1BAEE6" w:rsidR="00D5437E" w:rsidRPr="00CC7328" w:rsidRDefault="00D5437E" w:rsidP="00D5437E">
      <w:pPr>
        <w:jc w:val="left"/>
        <w:rPr>
          <w:rFonts w:eastAsia="Calibri"/>
          <w:sz w:val="24"/>
          <w:szCs w:val="24"/>
        </w:rPr>
      </w:pPr>
      <w:r w:rsidRPr="00CC7328">
        <w:rPr>
          <w:sz w:val="24"/>
          <w:szCs w:val="24"/>
        </w:rPr>
        <w:t>Westat will use established procedures for tracing study participants. All postal non-deliverables (PNDs) received from the survey mailings will receive individual-level tracing using LexisNexis and the National Change of Address database maintained by the U.S. Postal Service. Contact information for three people who know the respondent well, which will be collected in the BIF and 6-month follow-up survey, will be used to trace participants. Finally, if participants cannot be located via telephone</w:t>
      </w:r>
      <w:r w:rsidR="007927BB">
        <w:rPr>
          <w:sz w:val="24"/>
          <w:szCs w:val="24"/>
        </w:rPr>
        <w:t xml:space="preserve"> during the 4-week CATI period</w:t>
      </w:r>
      <w:r w:rsidRPr="00CC7328">
        <w:rPr>
          <w:sz w:val="24"/>
          <w:szCs w:val="24"/>
        </w:rPr>
        <w:t xml:space="preserve">, field data collectors will be deployed to the last known address and use field tracing techniques to attempt to locate the participant.. If the participant can be located, </w:t>
      </w:r>
      <w:r w:rsidR="00E11084">
        <w:rPr>
          <w:sz w:val="24"/>
          <w:szCs w:val="24"/>
        </w:rPr>
        <w:t>field locators will administer the survey in-person.</w:t>
      </w:r>
    </w:p>
    <w:p w14:paraId="4BF7F88E" w14:textId="77777777" w:rsidR="004A7048" w:rsidRPr="00CC7328" w:rsidRDefault="004A7048" w:rsidP="00B8644F">
      <w:pPr>
        <w:pStyle w:val="L1-FlLSp12"/>
        <w:spacing w:line="276" w:lineRule="auto"/>
        <w:rPr>
          <w:sz w:val="24"/>
          <w:szCs w:val="24"/>
        </w:rPr>
      </w:pPr>
    </w:p>
    <w:p w14:paraId="0307439F" w14:textId="77777777" w:rsidR="008A6A7C" w:rsidRPr="00CC7328" w:rsidRDefault="003A4D22" w:rsidP="00186D36">
      <w:pPr>
        <w:pStyle w:val="Heading2"/>
        <w:spacing w:line="276" w:lineRule="auto"/>
        <w:rPr>
          <w:sz w:val="24"/>
          <w:szCs w:val="24"/>
        </w:rPr>
      </w:pPr>
      <w:bookmarkStart w:id="32" w:name="_Toc474235259"/>
      <w:r w:rsidRPr="00CC7328">
        <w:rPr>
          <w:sz w:val="24"/>
          <w:szCs w:val="24"/>
        </w:rPr>
        <w:t>B.3.2</w:t>
      </w:r>
      <w:r w:rsidRPr="00CC7328">
        <w:rPr>
          <w:sz w:val="24"/>
          <w:szCs w:val="24"/>
        </w:rPr>
        <w:tab/>
      </w:r>
      <w:r w:rsidR="008A6A7C" w:rsidRPr="00CC7328">
        <w:rPr>
          <w:sz w:val="24"/>
          <w:szCs w:val="24"/>
        </w:rPr>
        <w:t>Nonresponse Bias Analysis</w:t>
      </w:r>
      <w:bookmarkEnd w:id="32"/>
    </w:p>
    <w:p w14:paraId="48B9CAAE" w14:textId="77777777" w:rsidR="000468CC" w:rsidRPr="00CC7328" w:rsidRDefault="00FB6460" w:rsidP="00186D36">
      <w:pPr>
        <w:jc w:val="left"/>
        <w:rPr>
          <w:sz w:val="24"/>
          <w:szCs w:val="24"/>
        </w:rPr>
      </w:pPr>
      <w:r w:rsidRPr="00CC7328">
        <w:rPr>
          <w:sz w:val="24"/>
          <w:szCs w:val="24"/>
        </w:rPr>
        <w:t>Even though intensive methods will be used to increase response rates and convert non-responders</w:t>
      </w:r>
      <w:r w:rsidR="00357ED8" w:rsidRPr="00CC7328">
        <w:rPr>
          <w:sz w:val="24"/>
          <w:szCs w:val="24"/>
        </w:rPr>
        <w:t xml:space="preserve"> to the survey</w:t>
      </w:r>
      <w:r w:rsidRPr="00CC7328">
        <w:rPr>
          <w:sz w:val="24"/>
          <w:szCs w:val="24"/>
        </w:rPr>
        <w:t xml:space="preserve">, non-response bias is still a concern. </w:t>
      </w:r>
      <w:r w:rsidR="000468CC" w:rsidRPr="00CC7328">
        <w:rPr>
          <w:sz w:val="24"/>
          <w:szCs w:val="24"/>
        </w:rPr>
        <w:t xml:space="preserve">Survey nonresponse can bias the impact estimates if the outcomes of survey respondents and nonrespondents differ, or if the types of individuals who respond to the survey differ across the program and control groups. We will use several methods to assess the effects of survey nonresponse during data collection and using data collected for the study.  </w:t>
      </w:r>
    </w:p>
    <w:p w14:paraId="1AA15D97" w14:textId="77777777" w:rsidR="000468CC" w:rsidRPr="00CC7328" w:rsidRDefault="000468CC" w:rsidP="00186D36">
      <w:pPr>
        <w:autoSpaceDE w:val="0"/>
        <w:autoSpaceDN w:val="0"/>
        <w:adjustRightInd w:val="0"/>
        <w:spacing w:line="240" w:lineRule="auto"/>
        <w:jc w:val="left"/>
        <w:rPr>
          <w:sz w:val="24"/>
          <w:szCs w:val="24"/>
        </w:rPr>
      </w:pPr>
    </w:p>
    <w:p w14:paraId="3B90354F" w14:textId="77777777" w:rsidR="000468CC" w:rsidRPr="00CC7328" w:rsidRDefault="000468CC" w:rsidP="00D5437E">
      <w:pPr>
        <w:autoSpaceDE w:val="0"/>
        <w:autoSpaceDN w:val="0"/>
        <w:adjustRightInd w:val="0"/>
        <w:jc w:val="left"/>
        <w:rPr>
          <w:sz w:val="24"/>
          <w:szCs w:val="24"/>
        </w:rPr>
      </w:pPr>
      <w:r w:rsidRPr="00CC7328">
        <w:rPr>
          <w:sz w:val="24"/>
          <w:szCs w:val="24"/>
        </w:rPr>
        <w:t>During data collection, we will take steps to understand, monitor, manage and address potential sources of non-response bias. During the survey fielding period, we will review contact attempts and disposition status which will enable us to monitor response rates by cohort (defined by time of random assignment), research group, and site. Should significant gaps in response rates among these groups occur, we will intensify recruitment efforts for the affected group.  These intensified efforts will include prioritizing the efforts of the most experienced survey interviewers towards the affected group.</w:t>
      </w:r>
    </w:p>
    <w:p w14:paraId="2659EE2B" w14:textId="77777777" w:rsidR="000468CC" w:rsidRPr="00CC7328" w:rsidRDefault="000468CC" w:rsidP="00D5437E">
      <w:pPr>
        <w:autoSpaceDE w:val="0"/>
        <w:autoSpaceDN w:val="0"/>
        <w:adjustRightInd w:val="0"/>
        <w:jc w:val="left"/>
        <w:rPr>
          <w:sz w:val="24"/>
          <w:szCs w:val="24"/>
        </w:rPr>
      </w:pPr>
    </w:p>
    <w:p w14:paraId="6312B29F" w14:textId="77777777" w:rsidR="000468CC" w:rsidRPr="00CC7328" w:rsidRDefault="000468CC" w:rsidP="00D5437E">
      <w:pPr>
        <w:jc w:val="left"/>
        <w:rPr>
          <w:sz w:val="24"/>
          <w:szCs w:val="24"/>
        </w:rPr>
      </w:pPr>
      <w:r w:rsidRPr="00CC7328">
        <w:rPr>
          <w:sz w:val="24"/>
          <w:szCs w:val="24"/>
        </w:rPr>
        <w:t xml:space="preserve">We will also examine nonresponse using data collected for the study. First, we will use baseline data (which will be available for the </w:t>
      </w:r>
      <w:r w:rsidRPr="00CC7328">
        <w:rPr>
          <w:i/>
          <w:iCs/>
          <w:sz w:val="24"/>
          <w:szCs w:val="24"/>
        </w:rPr>
        <w:t>full</w:t>
      </w:r>
      <w:r w:rsidRPr="00CC7328">
        <w:rPr>
          <w:sz w:val="24"/>
          <w:szCs w:val="24"/>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nonrespondents could suggest the presence of nonresponse bias. Furthermore, we will test whether the baseline characteristics of </w:t>
      </w:r>
      <w:r w:rsidRPr="00CC7328">
        <w:rPr>
          <w:i/>
          <w:sz w:val="24"/>
          <w:szCs w:val="24"/>
        </w:rPr>
        <w:t xml:space="preserve">respondents </w:t>
      </w:r>
      <w:r w:rsidRPr="00CC7328">
        <w:rPr>
          <w:sz w:val="24"/>
          <w:szCs w:val="24"/>
        </w:rPr>
        <w:t xml:space="preserve">in the two research groups differ from each other. Although baseline characteristics for the full sample should not differ much between the program and control groups, significant differences between program and control group respondents could mean that impacts estimated from surveys will confound program impacts with pre-existing differences between the groups. </w:t>
      </w:r>
    </w:p>
    <w:p w14:paraId="5F5B7725" w14:textId="77777777" w:rsidR="000468CC" w:rsidRPr="00CC7328" w:rsidRDefault="000468CC" w:rsidP="00D5437E">
      <w:pPr>
        <w:jc w:val="left"/>
        <w:rPr>
          <w:sz w:val="24"/>
          <w:szCs w:val="24"/>
        </w:rPr>
      </w:pPr>
    </w:p>
    <w:p w14:paraId="52F6AA2C" w14:textId="77777777" w:rsidR="000468CC" w:rsidRPr="00CC7328" w:rsidRDefault="000468CC" w:rsidP="00D5437E">
      <w:pPr>
        <w:jc w:val="left"/>
        <w:rPr>
          <w:sz w:val="24"/>
          <w:szCs w:val="24"/>
        </w:rPr>
      </w:pPr>
      <w:r w:rsidRPr="00CC7328">
        <w:rPr>
          <w:sz w:val="24"/>
          <w:szCs w:val="24"/>
        </w:rPr>
        <w:t xml:space="preserve">Second, we will assess nonresponse bias using administrative records data. For example, we will examine whether </w:t>
      </w:r>
      <w:r w:rsidRPr="00CC7328">
        <w:rPr>
          <w:i/>
          <w:iCs/>
          <w:sz w:val="24"/>
          <w:szCs w:val="24"/>
        </w:rPr>
        <w:t>impacts</w:t>
      </w:r>
      <w:r w:rsidRPr="00CC7328">
        <w:rPr>
          <w:sz w:val="24"/>
          <w:szCs w:val="24"/>
        </w:rPr>
        <w:t xml:space="preserve"> on employment rates differ for survey respondents and survey nonrespondents. If program impacts are substantially different for respondents and nonrespondents, that would make us more cautious about drawing conclusions from the survey. </w:t>
      </w:r>
    </w:p>
    <w:p w14:paraId="5BEB2AC1" w14:textId="77777777" w:rsidR="000468CC" w:rsidRPr="00CC7328" w:rsidRDefault="000468CC" w:rsidP="00D5437E">
      <w:pPr>
        <w:jc w:val="left"/>
        <w:rPr>
          <w:sz w:val="24"/>
          <w:szCs w:val="24"/>
        </w:rPr>
      </w:pPr>
    </w:p>
    <w:p w14:paraId="67D426F8" w14:textId="77777777" w:rsidR="000468CC" w:rsidRPr="00CC7328" w:rsidRDefault="000468CC" w:rsidP="00D5437E">
      <w:pPr>
        <w:jc w:val="left"/>
        <w:rPr>
          <w:sz w:val="24"/>
          <w:szCs w:val="24"/>
        </w:rPr>
      </w:pPr>
      <w:r w:rsidRPr="00CC7328">
        <w:rPr>
          <w:sz w:val="24"/>
          <w:szCs w:val="24"/>
        </w:rPr>
        <w:t>We will use several approaches to correct for potential nonresponse bias in the estimation of program impacts. First, we will adjust for observed differences between treatment and control group respondents using regression models. Second, because this regression procedure will not correct for differences between respondents and nonrespondents in each research group, we will construct sample weights so that the weighted observable baseline characteristics of respondents are similar to the baseline characteristics of the full sample of respondents and nonrespondents. We will construct weights for treatment and control group members using the following three steps:</w:t>
      </w:r>
    </w:p>
    <w:p w14:paraId="50E7F7C5" w14:textId="77777777" w:rsidR="000468CC" w:rsidRPr="00CC7328" w:rsidRDefault="000468CC" w:rsidP="00D5437E">
      <w:pPr>
        <w:ind w:firstLine="360"/>
        <w:jc w:val="left"/>
        <w:rPr>
          <w:sz w:val="24"/>
          <w:szCs w:val="24"/>
        </w:rPr>
      </w:pPr>
    </w:p>
    <w:p w14:paraId="6E192E2F" w14:textId="77777777" w:rsidR="000468CC" w:rsidRPr="00CC7328" w:rsidRDefault="000468CC" w:rsidP="00D5437E">
      <w:pPr>
        <w:pStyle w:val="bulletnumbered1"/>
        <w:tabs>
          <w:tab w:val="clear" w:pos="360"/>
          <w:tab w:val="num" w:pos="720"/>
        </w:tabs>
        <w:spacing w:after="0" w:line="276" w:lineRule="auto"/>
        <w:ind w:firstLine="360"/>
        <w:rPr>
          <w:szCs w:val="24"/>
        </w:rPr>
      </w:pPr>
      <w:r w:rsidRPr="00CC7328">
        <w:rPr>
          <w:szCs w:val="24"/>
        </w:rPr>
        <w:t xml:space="preserve">Estimate a logit model predicting interview response. The binary variable indicating whether or not a sample member is a respondent to the instrument will be regressed on baseline measures. </w:t>
      </w:r>
    </w:p>
    <w:p w14:paraId="570DB74F" w14:textId="77777777" w:rsidR="000468CC" w:rsidRPr="00CC7328" w:rsidRDefault="000468CC" w:rsidP="00D5437E">
      <w:pPr>
        <w:pStyle w:val="bulletnumbered1"/>
        <w:tabs>
          <w:tab w:val="clear" w:pos="360"/>
          <w:tab w:val="num" w:pos="720"/>
        </w:tabs>
        <w:spacing w:after="0" w:line="276" w:lineRule="auto"/>
        <w:ind w:firstLine="360"/>
        <w:rPr>
          <w:szCs w:val="24"/>
        </w:rPr>
      </w:pPr>
      <w:r w:rsidRPr="00CC7328">
        <w:rPr>
          <w:szCs w:val="24"/>
        </w:rPr>
        <w:t>Calculate a propensity score for each individual in the full sample. This score is the predicted probability that a sample member is a respondent, and will be constructed using the parameter estimates from the logit regression model and the person’s baseline characteristics. Individuals with large propensity scores are likely to be respondents, whereas those with small propensity scores are likely to be nonrespondents.</w:t>
      </w:r>
    </w:p>
    <w:p w14:paraId="443E43D1" w14:textId="77777777" w:rsidR="000468CC" w:rsidRPr="00CC7328" w:rsidRDefault="000468CC" w:rsidP="00D5437E">
      <w:pPr>
        <w:pStyle w:val="bulletnumbered1"/>
        <w:tabs>
          <w:tab w:val="clear" w:pos="360"/>
          <w:tab w:val="num" w:pos="720"/>
        </w:tabs>
        <w:spacing w:after="0" w:line="276" w:lineRule="auto"/>
        <w:ind w:right="900" w:firstLine="360"/>
        <w:rPr>
          <w:szCs w:val="24"/>
        </w:rPr>
      </w:pPr>
      <w:r w:rsidRPr="00CC7328">
        <w:rPr>
          <w:szCs w:val="24"/>
        </w:rPr>
        <w:t xml:space="preserve">Construct nonresponse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14:paraId="23BC74E8" w14:textId="77777777" w:rsidR="00F50FD2" w:rsidRPr="00CC7328" w:rsidRDefault="00F50FD2" w:rsidP="00D5437E">
      <w:pPr>
        <w:pStyle w:val="bulletnumbered1"/>
        <w:numPr>
          <w:ilvl w:val="0"/>
          <w:numId w:val="0"/>
        </w:numPr>
        <w:spacing w:after="0" w:line="276" w:lineRule="auto"/>
        <w:ind w:left="1080" w:right="900"/>
        <w:rPr>
          <w:szCs w:val="24"/>
        </w:rPr>
      </w:pPr>
    </w:p>
    <w:p w14:paraId="0FDDA2CE" w14:textId="77777777" w:rsidR="000468CC" w:rsidRPr="00CC7328" w:rsidRDefault="000468CC" w:rsidP="00D5437E">
      <w:pPr>
        <w:jc w:val="left"/>
        <w:rPr>
          <w:sz w:val="24"/>
          <w:szCs w:val="24"/>
        </w:rPr>
      </w:pPr>
      <w:r w:rsidRPr="00CC7328">
        <w:rPr>
          <w:sz w:val="24"/>
          <w:szCs w:val="24"/>
        </w:rPr>
        <w:t>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response rates. Thus, the weighted characteristics of respondents should be similar, on average, to the characteristics of the entire research sample.</w:t>
      </w:r>
    </w:p>
    <w:p w14:paraId="44BB66FE" w14:textId="77777777" w:rsidR="000468CC" w:rsidRPr="00CC7328" w:rsidRDefault="000468CC" w:rsidP="00D5437E">
      <w:pPr>
        <w:ind w:firstLine="360"/>
        <w:jc w:val="left"/>
        <w:rPr>
          <w:sz w:val="24"/>
          <w:szCs w:val="24"/>
        </w:rPr>
      </w:pPr>
    </w:p>
    <w:p w14:paraId="646AF3EA" w14:textId="77777777" w:rsidR="000468CC" w:rsidRDefault="000468CC" w:rsidP="00D5437E">
      <w:pPr>
        <w:jc w:val="left"/>
        <w:rPr>
          <w:sz w:val="24"/>
          <w:szCs w:val="24"/>
        </w:rPr>
      </w:pPr>
      <w:r w:rsidRPr="00CC7328">
        <w:rPr>
          <w:sz w:val="24"/>
          <w:szCs w:val="24"/>
        </w:rPr>
        <w:t xml:space="preserve">It is important to note that the use of weights and regression models adjusts only for </w:t>
      </w:r>
      <w:r w:rsidRPr="00CC7328">
        <w:rPr>
          <w:i/>
          <w:sz w:val="24"/>
          <w:szCs w:val="24"/>
        </w:rPr>
        <w:t>observable</w:t>
      </w:r>
      <w:r w:rsidRPr="00CC7328">
        <w:rPr>
          <w:sz w:val="24"/>
          <w:szCs w:val="24"/>
        </w:rPr>
        <w:t xml:space="preserve"> differences between survey respondents and nonrespondents in the two research groups. The procedure does not adjust for potential unobservable differences between the groups. Thus, our procedures will only partially adjust for potential nonresponse bias. We will use administrative data to assess whether such bias is present in our data, as discussed above.</w:t>
      </w:r>
    </w:p>
    <w:p w14:paraId="761C4972" w14:textId="77777777" w:rsidR="00211AC6" w:rsidRDefault="00211AC6" w:rsidP="00D5437E">
      <w:pPr>
        <w:jc w:val="left"/>
        <w:rPr>
          <w:sz w:val="24"/>
          <w:szCs w:val="24"/>
        </w:rPr>
      </w:pPr>
    </w:p>
    <w:p w14:paraId="363A9AC4" w14:textId="77777777" w:rsidR="00211AC6" w:rsidRPr="00CC7328" w:rsidRDefault="00037F0A" w:rsidP="00D5437E">
      <w:pPr>
        <w:jc w:val="left"/>
        <w:rPr>
          <w:sz w:val="24"/>
          <w:szCs w:val="24"/>
        </w:rPr>
      </w:pPr>
      <w:r>
        <w:rPr>
          <w:sz w:val="24"/>
          <w:szCs w:val="24"/>
        </w:rPr>
        <w:t>R</w:t>
      </w:r>
      <w:r w:rsidR="00FC4574">
        <w:rPr>
          <w:sz w:val="24"/>
          <w:szCs w:val="24"/>
        </w:rPr>
        <w:t>ecords with missing values on dependent (or outcome) variables will be excluded</w:t>
      </w:r>
      <w:r>
        <w:rPr>
          <w:sz w:val="24"/>
          <w:szCs w:val="24"/>
        </w:rPr>
        <w:t xml:space="preserve"> from the impact estimates for those variables</w:t>
      </w:r>
      <w:r w:rsidR="00FC4574">
        <w:rPr>
          <w:sz w:val="24"/>
          <w:szCs w:val="24"/>
        </w:rPr>
        <w:t>. This includes records for participants who do not respond to the entire survey, as well as records for participants who do not answer individual questions.</w:t>
      </w:r>
      <w:r w:rsidR="006B5921">
        <w:rPr>
          <w:sz w:val="24"/>
          <w:szCs w:val="24"/>
        </w:rPr>
        <w:t xml:space="preserve"> As a sensi</w:t>
      </w:r>
      <w:r w:rsidR="00326859">
        <w:rPr>
          <w:sz w:val="24"/>
          <w:szCs w:val="24"/>
        </w:rPr>
        <w:t>ti</w:t>
      </w:r>
      <w:r w:rsidR="006B5921">
        <w:rPr>
          <w:sz w:val="24"/>
          <w:szCs w:val="24"/>
        </w:rPr>
        <w:t>vity check, we will use multiple imputation of survey outcomes as suggested by Puma et al, 2009.</w:t>
      </w:r>
    </w:p>
    <w:p w14:paraId="015030E4" w14:textId="77777777" w:rsidR="008A6A7C" w:rsidRPr="00CC7328" w:rsidRDefault="008A6A7C" w:rsidP="00186D36">
      <w:pPr>
        <w:pStyle w:val="L1-FlLSp12"/>
        <w:spacing w:line="276" w:lineRule="auto"/>
        <w:jc w:val="left"/>
        <w:rPr>
          <w:sz w:val="24"/>
          <w:szCs w:val="24"/>
          <w:highlight w:val="yellow"/>
        </w:rPr>
      </w:pPr>
    </w:p>
    <w:p w14:paraId="7C704C94" w14:textId="77777777" w:rsidR="008A6A7C" w:rsidRPr="00CC7328" w:rsidRDefault="008A6A7C" w:rsidP="00186D36">
      <w:pPr>
        <w:pStyle w:val="Heading1"/>
        <w:spacing w:line="276" w:lineRule="auto"/>
        <w:jc w:val="left"/>
        <w:rPr>
          <w:sz w:val="24"/>
          <w:szCs w:val="24"/>
        </w:rPr>
      </w:pPr>
      <w:bookmarkStart w:id="33" w:name="_Toc329341130"/>
      <w:bookmarkStart w:id="34" w:name="_Toc400377755"/>
      <w:bookmarkStart w:id="35" w:name="_Toc409090906"/>
      <w:bookmarkStart w:id="36" w:name="_Toc474235260"/>
      <w:r w:rsidRPr="00CC7328">
        <w:rPr>
          <w:sz w:val="24"/>
          <w:szCs w:val="24"/>
        </w:rPr>
        <w:t>B.4</w:t>
      </w:r>
      <w:r w:rsidRPr="00CC7328">
        <w:rPr>
          <w:sz w:val="24"/>
          <w:szCs w:val="24"/>
        </w:rPr>
        <w:tab/>
        <w:t>Test of Procedures or Methods to be Undertaken</w:t>
      </w:r>
      <w:bookmarkEnd w:id="33"/>
      <w:bookmarkEnd w:id="34"/>
      <w:bookmarkEnd w:id="35"/>
      <w:bookmarkEnd w:id="36"/>
    </w:p>
    <w:p w14:paraId="7B36BAFB" w14:textId="77777777" w:rsidR="008A6A7C" w:rsidRPr="00CC7328" w:rsidRDefault="008A6A7C" w:rsidP="00186D36">
      <w:pPr>
        <w:pStyle w:val="L1-FlLSp12"/>
        <w:spacing w:line="276" w:lineRule="auto"/>
        <w:jc w:val="left"/>
        <w:rPr>
          <w:sz w:val="24"/>
          <w:szCs w:val="24"/>
        </w:rPr>
      </w:pPr>
    </w:p>
    <w:p w14:paraId="7DB0263E" w14:textId="7C6EC595" w:rsidR="004A7048" w:rsidRPr="00CC7328" w:rsidRDefault="00C73E61" w:rsidP="00D5437E">
      <w:pPr>
        <w:tabs>
          <w:tab w:val="left" w:pos="2970"/>
        </w:tabs>
        <w:spacing w:after="240" w:line="240" w:lineRule="auto"/>
        <w:jc w:val="left"/>
        <w:rPr>
          <w:sz w:val="24"/>
          <w:szCs w:val="24"/>
          <w:highlight w:val="yellow"/>
        </w:rPr>
      </w:pPr>
      <w:r>
        <w:rPr>
          <w:sz w:val="24"/>
          <w:szCs w:val="24"/>
        </w:rPr>
        <w:t>The 6-month follow-up survey was pretested</w:t>
      </w:r>
      <w:r w:rsidR="00BF76E0" w:rsidRPr="00CC7328">
        <w:rPr>
          <w:sz w:val="24"/>
          <w:szCs w:val="24"/>
        </w:rPr>
        <w:t xml:space="preserve"> in April 2017</w:t>
      </w:r>
      <w:r w:rsidR="00987706">
        <w:rPr>
          <w:sz w:val="24"/>
          <w:szCs w:val="24"/>
        </w:rPr>
        <w:t>, before submission to OMB</w:t>
      </w:r>
      <w:r w:rsidR="00BF76E0" w:rsidRPr="00CC7328">
        <w:rPr>
          <w:sz w:val="24"/>
          <w:szCs w:val="24"/>
        </w:rPr>
        <w:t xml:space="preserve">. </w:t>
      </w:r>
      <w:r w:rsidR="008F3181" w:rsidRPr="00CC7328">
        <w:rPr>
          <w:sz w:val="24"/>
          <w:szCs w:val="24"/>
        </w:rPr>
        <w:t>For t</w:t>
      </w:r>
      <w:r w:rsidR="00C178DD" w:rsidRPr="00CC7328">
        <w:rPr>
          <w:sz w:val="24"/>
          <w:szCs w:val="24"/>
        </w:rPr>
        <w:t xml:space="preserve">he </w:t>
      </w:r>
      <w:r>
        <w:rPr>
          <w:sz w:val="24"/>
          <w:szCs w:val="24"/>
        </w:rPr>
        <w:t xml:space="preserve">pretest, 7 </w:t>
      </w:r>
      <w:r w:rsidR="004D7C4C" w:rsidRPr="00CC7328">
        <w:rPr>
          <w:sz w:val="24"/>
          <w:szCs w:val="24"/>
        </w:rPr>
        <w:t xml:space="preserve">individuals </w:t>
      </w:r>
      <w:r>
        <w:rPr>
          <w:sz w:val="24"/>
          <w:szCs w:val="24"/>
        </w:rPr>
        <w:t xml:space="preserve">were </w:t>
      </w:r>
      <w:r w:rsidR="004D7C4C" w:rsidRPr="00CC7328">
        <w:rPr>
          <w:sz w:val="24"/>
          <w:szCs w:val="24"/>
        </w:rPr>
        <w:t>recruited from</w:t>
      </w:r>
      <w:r w:rsidR="00C178DD" w:rsidRPr="00CC7328">
        <w:rPr>
          <w:sz w:val="24"/>
          <w:szCs w:val="24"/>
        </w:rPr>
        <w:t xml:space="preserve"> </w:t>
      </w:r>
      <w:r>
        <w:rPr>
          <w:sz w:val="24"/>
          <w:szCs w:val="24"/>
        </w:rPr>
        <w:t>the TechHire program at Montgomery College in Rockville, MD</w:t>
      </w:r>
      <w:r w:rsidRPr="00CC7328">
        <w:rPr>
          <w:sz w:val="24"/>
          <w:szCs w:val="24"/>
        </w:rPr>
        <w:t xml:space="preserve"> </w:t>
      </w:r>
      <w:r w:rsidR="00C178DD" w:rsidRPr="00CC7328">
        <w:rPr>
          <w:sz w:val="24"/>
          <w:szCs w:val="24"/>
        </w:rPr>
        <w:t>and</w:t>
      </w:r>
      <w:r w:rsidR="004D7C4C" w:rsidRPr="00CC7328">
        <w:rPr>
          <w:sz w:val="24"/>
          <w:szCs w:val="24"/>
        </w:rPr>
        <w:t xml:space="preserve"> </w:t>
      </w:r>
      <w:r>
        <w:rPr>
          <w:sz w:val="24"/>
          <w:szCs w:val="24"/>
        </w:rPr>
        <w:t xml:space="preserve">a </w:t>
      </w:r>
      <w:r w:rsidR="004D7C4C" w:rsidRPr="00CC7328">
        <w:rPr>
          <w:sz w:val="24"/>
          <w:szCs w:val="24"/>
        </w:rPr>
        <w:t xml:space="preserve">One-Stop Center in </w:t>
      </w:r>
      <w:r>
        <w:rPr>
          <w:sz w:val="24"/>
          <w:szCs w:val="24"/>
        </w:rPr>
        <w:t>New York City</w:t>
      </w:r>
      <w:r w:rsidR="004D7C4C" w:rsidRPr="00CC7328">
        <w:rPr>
          <w:sz w:val="24"/>
          <w:szCs w:val="24"/>
        </w:rPr>
        <w:t xml:space="preserve">. </w:t>
      </w:r>
      <w:r w:rsidR="00E94E42">
        <w:rPr>
          <w:sz w:val="24"/>
          <w:szCs w:val="24"/>
        </w:rPr>
        <w:t xml:space="preserve">Pretests were conducted over the phone. </w:t>
      </w:r>
      <w:r w:rsidR="004D7C4C" w:rsidRPr="00CC7328">
        <w:rPr>
          <w:sz w:val="24"/>
          <w:szCs w:val="24"/>
        </w:rPr>
        <w:t xml:space="preserve">Individuals </w:t>
      </w:r>
      <w:r w:rsidR="00E94E42">
        <w:rPr>
          <w:sz w:val="24"/>
          <w:szCs w:val="24"/>
        </w:rPr>
        <w:t>were</w:t>
      </w:r>
      <w:r w:rsidR="004D7C4C" w:rsidRPr="00CC7328">
        <w:rPr>
          <w:sz w:val="24"/>
          <w:szCs w:val="24"/>
        </w:rPr>
        <w:t xml:space="preserve"> paid $</w:t>
      </w:r>
      <w:r w:rsidR="00C178DD" w:rsidRPr="00CC7328">
        <w:rPr>
          <w:sz w:val="24"/>
          <w:szCs w:val="24"/>
        </w:rPr>
        <w:t xml:space="preserve">50 </w:t>
      </w:r>
      <w:r w:rsidR="004D7C4C" w:rsidRPr="00CC7328">
        <w:rPr>
          <w:sz w:val="24"/>
          <w:szCs w:val="24"/>
        </w:rPr>
        <w:t xml:space="preserve">for their participation in the </w:t>
      </w:r>
      <w:r w:rsidR="00563156" w:rsidRPr="00CC7328">
        <w:rPr>
          <w:sz w:val="24"/>
          <w:szCs w:val="24"/>
        </w:rPr>
        <w:t>pretest</w:t>
      </w:r>
      <w:r w:rsidR="004D7C4C" w:rsidRPr="00CC7328">
        <w:rPr>
          <w:sz w:val="24"/>
          <w:szCs w:val="24"/>
        </w:rPr>
        <w:t xml:space="preserve">. </w:t>
      </w:r>
      <w:r w:rsidR="00D61699">
        <w:rPr>
          <w:sz w:val="24"/>
          <w:szCs w:val="24"/>
        </w:rPr>
        <w:t xml:space="preserve">The pretest used retrospective probing in which respondents completed the full survey and were then </w:t>
      </w:r>
      <w:r w:rsidR="00657F38">
        <w:rPr>
          <w:sz w:val="24"/>
          <w:szCs w:val="24"/>
        </w:rPr>
        <w:t>probed about the</w:t>
      </w:r>
      <w:r w:rsidR="00BF76E0" w:rsidRPr="00CC7328">
        <w:rPr>
          <w:sz w:val="24"/>
          <w:szCs w:val="24"/>
        </w:rPr>
        <w:t xml:space="preserve"> </w:t>
      </w:r>
      <w:r w:rsidR="00657F38" w:rsidRPr="00CC7328">
        <w:rPr>
          <w:sz w:val="24"/>
          <w:szCs w:val="24"/>
        </w:rPr>
        <w:t>clarity of the questions and any potential problems with the instrument</w:t>
      </w:r>
      <w:r w:rsidR="00BF76E0" w:rsidRPr="00CC7328">
        <w:rPr>
          <w:sz w:val="24"/>
          <w:szCs w:val="24"/>
        </w:rPr>
        <w:t xml:space="preserve">. </w:t>
      </w:r>
      <w:r w:rsidR="00D61699">
        <w:rPr>
          <w:sz w:val="24"/>
          <w:szCs w:val="24"/>
        </w:rPr>
        <w:t>The benefit of retrospective probing is that it allow</w:t>
      </w:r>
      <w:r w:rsidR="001E1D09">
        <w:rPr>
          <w:sz w:val="24"/>
          <w:szCs w:val="24"/>
        </w:rPr>
        <w:t>ed</w:t>
      </w:r>
      <w:r w:rsidR="00D61699">
        <w:rPr>
          <w:sz w:val="24"/>
          <w:szCs w:val="24"/>
        </w:rPr>
        <w:t xml:space="preserve"> us to </w:t>
      </w:r>
      <w:r w:rsidR="001E1D09">
        <w:rPr>
          <w:sz w:val="24"/>
          <w:szCs w:val="24"/>
        </w:rPr>
        <w:t>estimate the</w:t>
      </w:r>
      <w:r w:rsidR="00D61699">
        <w:rPr>
          <w:sz w:val="24"/>
          <w:szCs w:val="24"/>
        </w:rPr>
        <w:t xml:space="preserve"> burden. </w:t>
      </w:r>
      <w:r w:rsidR="00E922BC">
        <w:rPr>
          <w:sz w:val="24"/>
          <w:szCs w:val="24"/>
        </w:rPr>
        <w:t xml:space="preserve">The version of the instrument submitted to OMB incorporates the pretest results and no changes are anticipated. </w:t>
      </w:r>
      <w:r w:rsidR="00497A00">
        <w:rPr>
          <w:sz w:val="24"/>
          <w:szCs w:val="24"/>
        </w:rPr>
        <w:t>In terms of burden, the averate time to complete the survey was 18 minutes, although the time varied based on whether the respondent was employed, participated in job training, or were parents, as these determined major skip patterns.</w:t>
      </w:r>
      <w:r w:rsidR="00507BCB" w:rsidRPr="00CC7328">
        <w:rPr>
          <w:sz w:val="24"/>
          <w:szCs w:val="24"/>
        </w:rPr>
        <w:t xml:space="preserve"> </w:t>
      </w:r>
      <w:r w:rsidR="004B5FCA" w:rsidRPr="00CC7328">
        <w:rPr>
          <w:sz w:val="24"/>
          <w:szCs w:val="24"/>
        </w:rPr>
        <w:t>No testing of the site visit protocols</w:t>
      </w:r>
      <w:r w:rsidR="00C178DD" w:rsidRPr="00CC7328">
        <w:rPr>
          <w:sz w:val="24"/>
          <w:szCs w:val="24"/>
        </w:rPr>
        <w:t xml:space="preserve"> </w:t>
      </w:r>
      <w:r w:rsidR="004B5FCA" w:rsidRPr="00CC7328">
        <w:rPr>
          <w:sz w:val="24"/>
          <w:szCs w:val="24"/>
        </w:rPr>
        <w:t>will be conducted but they will be refined based on responses to questions obtained during the initial site visit interviews.</w:t>
      </w:r>
    </w:p>
    <w:p w14:paraId="69B80A7D" w14:textId="77777777" w:rsidR="008A6A7C" w:rsidRPr="00CC7328" w:rsidRDefault="008A6A7C" w:rsidP="00186D36">
      <w:pPr>
        <w:pStyle w:val="Heading1"/>
        <w:spacing w:line="276" w:lineRule="auto"/>
        <w:jc w:val="left"/>
        <w:rPr>
          <w:sz w:val="24"/>
          <w:szCs w:val="24"/>
        </w:rPr>
      </w:pPr>
      <w:bookmarkStart w:id="37" w:name="_Toc400377756"/>
      <w:bookmarkStart w:id="38" w:name="_Toc409090907"/>
      <w:bookmarkStart w:id="39" w:name="_Toc474235261"/>
      <w:r w:rsidRPr="00CC7328">
        <w:rPr>
          <w:sz w:val="24"/>
          <w:szCs w:val="24"/>
        </w:rPr>
        <w:t>B.5</w:t>
      </w:r>
      <w:r w:rsidRPr="00CC7328">
        <w:rPr>
          <w:sz w:val="24"/>
          <w:szCs w:val="24"/>
        </w:rPr>
        <w:tab/>
        <w:t xml:space="preserve">Individuals Consulted on Statistical </w:t>
      </w:r>
      <w:bookmarkEnd w:id="37"/>
      <w:bookmarkEnd w:id="38"/>
      <w:bookmarkEnd w:id="39"/>
      <w:r w:rsidR="00F03200" w:rsidRPr="00CC7328">
        <w:rPr>
          <w:sz w:val="24"/>
          <w:szCs w:val="24"/>
        </w:rPr>
        <w:t>Methods</w:t>
      </w:r>
      <w:r w:rsidR="00797A82">
        <w:rPr>
          <w:sz w:val="24"/>
          <w:szCs w:val="24"/>
        </w:rPr>
        <w:t xml:space="preserve"> and Individuals Responsible for Collecting and/or Analyzing the Data</w:t>
      </w:r>
    </w:p>
    <w:p w14:paraId="547741E3" w14:textId="77777777" w:rsidR="008A6A7C" w:rsidRPr="00CC7328" w:rsidRDefault="008A6A7C" w:rsidP="00186D36">
      <w:pPr>
        <w:pStyle w:val="L1-FlLSp12"/>
        <w:spacing w:line="276" w:lineRule="auto"/>
        <w:jc w:val="left"/>
        <w:rPr>
          <w:sz w:val="24"/>
          <w:szCs w:val="24"/>
        </w:rPr>
      </w:pPr>
    </w:p>
    <w:p w14:paraId="7E27918E" w14:textId="77777777" w:rsidR="00425B31" w:rsidRDefault="00425B31" w:rsidP="00425B31">
      <w:pPr>
        <w:tabs>
          <w:tab w:val="clear" w:pos="1152"/>
        </w:tabs>
        <w:spacing w:line="240" w:lineRule="auto"/>
        <w:jc w:val="left"/>
        <w:rPr>
          <w:b/>
          <w:sz w:val="24"/>
          <w:szCs w:val="24"/>
        </w:rPr>
      </w:pPr>
      <w:r w:rsidRPr="00032858">
        <w:rPr>
          <w:b/>
          <w:sz w:val="24"/>
          <w:szCs w:val="24"/>
        </w:rPr>
        <w:t>B.5.</w:t>
      </w:r>
      <w:r>
        <w:rPr>
          <w:b/>
          <w:sz w:val="24"/>
          <w:szCs w:val="24"/>
        </w:rPr>
        <w:t>1</w:t>
      </w:r>
      <w:r w:rsidRPr="00032858">
        <w:rPr>
          <w:b/>
          <w:sz w:val="24"/>
          <w:szCs w:val="24"/>
        </w:rPr>
        <w:tab/>
        <w:t xml:space="preserve">Individuals </w:t>
      </w:r>
      <w:r>
        <w:rPr>
          <w:b/>
          <w:sz w:val="24"/>
          <w:szCs w:val="24"/>
        </w:rPr>
        <w:t>Consulted on Statistical Methods</w:t>
      </w:r>
    </w:p>
    <w:p w14:paraId="4F07EA99" w14:textId="77777777" w:rsidR="00425B31" w:rsidRDefault="00425B31" w:rsidP="00186D36">
      <w:pPr>
        <w:pStyle w:val="NormalSS"/>
        <w:spacing w:line="276" w:lineRule="auto"/>
        <w:ind w:firstLine="0"/>
        <w:jc w:val="left"/>
        <w:rPr>
          <w:sz w:val="24"/>
        </w:rPr>
      </w:pPr>
    </w:p>
    <w:p w14:paraId="7DBFCCB7" w14:textId="77777777" w:rsidR="00250813" w:rsidRPr="00CC7328" w:rsidRDefault="00250813" w:rsidP="00186D36">
      <w:pPr>
        <w:pStyle w:val="NormalSS"/>
        <w:spacing w:line="276" w:lineRule="auto"/>
        <w:ind w:firstLine="0"/>
        <w:jc w:val="left"/>
        <w:rPr>
          <w:sz w:val="24"/>
        </w:rPr>
      </w:pPr>
      <w:r w:rsidRPr="00CC7328">
        <w:rPr>
          <w:sz w:val="24"/>
        </w:rPr>
        <w:t>The following people were consulted</w:t>
      </w:r>
      <w:r w:rsidR="009201FA" w:rsidRPr="00CC7328">
        <w:rPr>
          <w:sz w:val="24"/>
        </w:rPr>
        <w:t xml:space="preserve"> on statistical methods</w:t>
      </w:r>
      <w:r w:rsidRPr="00CC7328">
        <w:rPr>
          <w:sz w:val="24"/>
        </w:rPr>
        <w:t xml:space="preserve"> in preparing this submission to OMB:</w:t>
      </w:r>
    </w:p>
    <w:p w14:paraId="421D8037" w14:textId="77777777" w:rsidR="00250813" w:rsidRPr="00CC7328" w:rsidRDefault="00250813" w:rsidP="00186D36">
      <w:pPr>
        <w:pStyle w:val="NormalSS"/>
        <w:spacing w:line="276" w:lineRule="auto"/>
        <w:jc w:val="left"/>
        <w:rPr>
          <w:sz w:val="24"/>
        </w:rPr>
      </w:pPr>
    </w:p>
    <w:p w14:paraId="00CCA204" w14:textId="77777777" w:rsidR="00250813" w:rsidRPr="00CC7328" w:rsidRDefault="00250813" w:rsidP="00186D36">
      <w:pPr>
        <w:pStyle w:val="NormalSS"/>
        <w:spacing w:line="276" w:lineRule="auto"/>
        <w:ind w:firstLine="0"/>
        <w:jc w:val="left"/>
        <w:rPr>
          <w:b/>
          <w:i/>
          <w:sz w:val="24"/>
        </w:rPr>
      </w:pPr>
      <w:r w:rsidRPr="00CC7328">
        <w:rPr>
          <w:b/>
          <w:i/>
          <w:sz w:val="24"/>
        </w:rPr>
        <w:t>Westat</w:t>
      </w:r>
    </w:p>
    <w:p w14:paraId="4570135F" w14:textId="77777777" w:rsidR="00250813" w:rsidRPr="00CC7328" w:rsidRDefault="00250813" w:rsidP="00186D36">
      <w:pPr>
        <w:pStyle w:val="NormalSS"/>
        <w:spacing w:line="276" w:lineRule="auto"/>
        <w:jc w:val="left"/>
        <w:rPr>
          <w:sz w:val="24"/>
        </w:rPr>
      </w:pPr>
    </w:p>
    <w:p w14:paraId="77A40BE3" w14:textId="77777777" w:rsidR="00250813" w:rsidRPr="00CC7328" w:rsidRDefault="00250813" w:rsidP="00186D36">
      <w:pPr>
        <w:pStyle w:val="NormalSS"/>
        <w:spacing w:line="276" w:lineRule="auto"/>
        <w:ind w:firstLine="0"/>
        <w:jc w:val="left"/>
        <w:rPr>
          <w:sz w:val="24"/>
        </w:rPr>
      </w:pPr>
      <w:r w:rsidRPr="00CC7328">
        <w:rPr>
          <w:sz w:val="24"/>
        </w:rPr>
        <w:t>Dr. Joseph Gasper</w:t>
      </w:r>
      <w:r w:rsidRPr="00CC7328">
        <w:rPr>
          <w:sz w:val="24"/>
        </w:rPr>
        <w:tab/>
        <w:t>(240) 314-2470</w:t>
      </w:r>
    </w:p>
    <w:p w14:paraId="6B68E9BD" w14:textId="77777777" w:rsidR="0028599A" w:rsidRPr="00CC7328" w:rsidRDefault="0028599A" w:rsidP="00186D36">
      <w:pPr>
        <w:pStyle w:val="NormalSS"/>
        <w:spacing w:line="276" w:lineRule="auto"/>
        <w:ind w:firstLine="0"/>
        <w:jc w:val="left"/>
        <w:rPr>
          <w:sz w:val="24"/>
        </w:rPr>
      </w:pPr>
      <w:r w:rsidRPr="00CC7328">
        <w:rPr>
          <w:sz w:val="24"/>
        </w:rPr>
        <w:t>Dr. Frank Jenkins</w:t>
      </w:r>
      <w:r w:rsidRPr="00CC7328">
        <w:rPr>
          <w:sz w:val="24"/>
        </w:rPr>
        <w:tab/>
      </w:r>
      <w:r w:rsidR="00955C5C" w:rsidRPr="00CC7328">
        <w:rPr>
          <w:sz w:val="24"/>
        </w:rPr>
        <w:t>(301</w:t>
      </w:r>
      <w:r w:rsidRPr="00CC7328">
        <w:rPr>
          <w:sz w:val="24"/>
        </w:rPr>
        <w:t xml:space="preserve">) </w:t>
      </w:r>
      <w:r w:rsidR="00955C5C" w:rsidRPr="00CC7328">
        <w:rPr>
          <w:sz w:val="24"/>
        </w:rPr>
        <w:t>279-4502</w:t>
      </w:r>
    </w:p>
    <w:p w14:paraId="32DBF59E" w14:textId="77777777" w:rsidR="0028599A" w:rsidRPr="00CC7328" w:rsidRDefault="0076699A" w:rsidP="00186D36">
      <w:pPr>
        <w:pStyle w:val="NormalSS"/>
        <w:spacing w:line="276" w:lineRule="auto"/>
        <w:ind w:firstLine="0"/>
        <w:jc w:val="left"/>
        <w:rPr>
          <w:sz w:val="24"/>
        </w:rPr>
      </w:pPr>
      <w:r w:rsidRPr="00CC7328">
        <w:rPr>
          <w:sz w:val="24"/>
        </w:rPr>
        <w:t>Dr. Frank Bennici</w:t>
      </w:r>
      <w:r w:rsidRPr="00CC7328">
        <w:rPr>
          <w:sz w:val="24"/>
        </w:rPr>
        <w:tab/>
        <w:t>(301) 738-3608</w:t>
      </w:r>
    </w:p>
    <w:p w14:paraId="3B6A6EEA" w14:textId="77777777" w:rsidR="0028599A" w:rsidRPr="00CC7328" w:rsidRDefault="0028599A" w:rsidP="00186D36">
      <w:pPr>
        <w:pStyle w:val="NormalSS"/>
        <w:spacing w:line="276" w:lineRule="auto"/>
        <w:jc w:val="left"/>
        <w:rPr>
          <w:sz w:val="24"/>
        </w:rPr>
      </w:pPr>
    </w:p>
    <w:p w14:paraId="7D2DC98A" w14:textId="77777777" w:rsidR="0028599A" w:rsidRPr="00CC7328" w:rsidRDefault="0028599A" w:rsidP="00186D36">
      <w:pPr>
        <w:pStyle w:val="NormalSS"/>
        <w:spacing w:line="276" w:lineRule="auto"/>
        <w:ind w:firstLine="0"/>
        <w:jc w:val="left"/>
        <w:rPr>
          <w:b/>
          <w:i/>
          <w:sz w:val="24"/>
        </w:rPr>
      </w:pPr>
      <w:r w:rsidRPr="00CC7328">
        <w:rPr>
          <w:b/>
          <w:i/>
          <w:sz w:val="24"/>
        </w:rPr>
        <w:t>MDRC</w:t>
      </w:r>
    </w:p>
    <w:p w14:paraId="6099BEB9" w14:textId="77777777" w:rsidR="0028599A" w:rsidRPr="00CC7328" w:rsidRDefault="0028599A" w:rsidP="00186D36">
      <w:pPr>
        <w:pStyle w:val="NormalSS"/>
        <w:spacing w:line="276" w:lineRule="auto"/>
        <w:ind w:firstLine="0"/>
        <w:jc w:val="left"/>
        <w:rPr>
          <w:sz w:val="24"/>
        </w:rPr>
      </w:pPr>
      <w:r w:rsidRPr="00CC7328">
        <w:rPr>
          <w:sz w:val="24"/>
        </w:rPr>
        <w:t>Dr. Richard Hendra</w:t>
      </w:r>
      <w:r w:rsidR="00883F11" w:rsidRPr="00CC7328">
        <w:rPr>
          <w:sz w:val="24"/>
        </w:rPr>
        <w:tab/>
        <w:t>(212) 340-8623</w:t>
      </w:r>
    </w:p>
    <w:p w14:paraId="0536A856" w14:textId="77777777" w:rsidR="0028599A" w:rsidRPr="00CC7328" w:rsidRDefault="0028599A" w:rsidP="00186D36">
      <w:pPr>
        <w:pStyle w:val="NormalSS"/>
        <w:spacing w:line="276" w:lineRule="auto"/>
        <w:ind w:firstLine="0"/>
        <w:jc w:val="left"/>
        <w:rPr>
          <w:sz w:val="24"/>
        </w:rPr>
      </w:pPr>
      <w:r w:rsidRPr="00CC7328">
        <w:rPr>
          <w:sz w:val="24"/>
        </w:rPr>
        <w:t>Dr. Barbara Goldman</w:t>
      </w:r>
      <w:r w:rsidR="00422AC6" w:rsidRPr="00CC7328">
        <w:rPr>
          <w:sz w:val="24"/>
        </w:rPr>
        <w:tab/>
        <w:t>(212) 340-86</w:t>
      </w:r>
      <w:r w:rsidR="006567DA" w:rsidRPr="00CC7328">
        <w:rPr>
          <w:sz w:val="24"/>
        </w:rPr>
        <w:t>54</w:t>
      </w:r>
    </w:p>
    <w:p w14:paraId="1CE498A7" w14:textId="77777777" w:rsidR="0028599A" w:rsidRPr="00CC7328" w:rsidRDefault="0028599A" w:rsidP="00186D36">
      <w:pPr>
        <w:pStyle w:val="NormalSS"/>
        <w:spacing w:line="276" w:lineRule="auto"/>
        <w:jc w:val="left"/>
        <w:rPr>
          <w:sz w:val="24"/>
        </w:rPr>
      </w:pPr>
    </w:p>
    <w:bookmarkEnd w:id="5"/>
    <w:bookmarkEnd w:id="6"/>
    <w:bookmarkEnd w:id="7"/>
    <w:bookmarkEnd w:id="8"/>
    <w:bookmarkEnd w:id="9"/>
    <w:bookmarkEnd w:id="10"/>
    <w:p w14:paraId="08C0F4FF" w14:textId="77777777" w:rsidR="00883F11" w:rsidRPr="00CC7328" w:rsidRDefault="00C178DD" w:rsidP="00186D36">
      <w:pPr>
        <w:pStyle w:val="NormalSS"/>
        <w:spacing w:line="276" w:lineRule="auto"/>
        <w:ind w:firstLine="0"/>
        <w:jc w:val="left"/>
        <w:rPr>
          <w:sz w:val="24"/>
        </w:rPr>
      </w:pPr>
      <w:r w:rsidRPr="00CC7328">
        <w:rPr>
          <w:sz w:val="24"/>
        </w:rPr>
        <w:t>We have also assembled a Technical Working Group (TWG) consisting of five experts in the following areas: (1) training low-skill/low-income people; (2) experimental design; and (3) quasi-experimental design. The TWG will be consulted on the evaluation design, site selection, instruments, and analysis.</w:t>
      </w:r>
    </w:p>
    <w:p w14:paraId="6D838232" w14:textId="77777777" w:rsidR="00883F11" w:rsidRPr="00CC7328" w:rsidRDefault="00883F11" w:rsidP="00186D36">
      <w:pPr>
        <w:pStyle w:val="NormalSS"/>
        <w:spacing w:line="276" w:lineRule="auto"/>
        <w:jc w:val="left"/>
        <w:rPr>
          <w:sz w:val="24"/>
        </w:rPr>
      </w:pPr>
    </w:p>
    <w:p w14:paraId="6926B4C5" w14:textId="77777777" w:rsidR="00C178DD" w:rsidRPr="00CC7328" w:rsidRDefault="00883F11" w:rsidP="00186D36">
      <w:pPr>
        <w:pStyle w:val="NormalSS"/>
        <w:spacing w:line="276" w:lineRule="auto"/>
        <w:jc w:val="left"/>
        <w:rPr>
          <w:sz w:val="24"/>
        </w:rPr>
      </w:pPr>
      <w:r w:rsidRPr="00CC7328">
        <w:rPr>
          <w:sz w:val="24"/>
        </w:rPr>
        <w:t>Technical Working Group Members</w:t>
      </w:r>
      <w:r w:rsidR="00C178DD" w:rsidRPr="00CC7328">
        <w:rPr>
          <w:sz w:val="24"/>
        </w:rPr>
        <w:t xml:space="preserve"> </w:t>
      </w:r>
    </w:p>
    <w:p w14:paraId="0CF1C61B" w14:textId="77777777" w:rsidR="00C178DD" w:rsidRPr="00CC7328" w:rsidRDefault="00C178DD" w:rsidP="00186D36">
      <w:pPr>
        <w:pStyle w:val="L1-FlLSp12"/>
        <w:numPr>
          <w:ilvl w:val="0"/>
          <w:numId w:val="45"/>
        </w:numPr>
        <w:spacing w:line="276" w:lineRule="auto"/>
        <w:jc w:val="left"/>
        <w:rPr>
          <w:sz w:val="24"/>
          <w:szCs w:val="24"/>
        </w:rPr>
      </w:pPr>
      <w:r w:rsidRPr="00CC7328">
        <w:rPr>
          <w:sz w:val="24"/>
          <w:szCs w:val="24"/>
        </w:rPr>
        <w:t>Kevin M. Hollenbeck, Ph.D., Vice President, Senior Economist, W.E. Upjohn Institute</w:t>
      </w:r>
    </w:p>
    <w:p w14:paraId="3249B9CC" w14:textId="77777777" w:rsidR="00C178DD" w:rsidRPr="00CC7328" w:rsidRDefault="00C178DD" w:rsidP="00186D36">
      <w:pPr>
        <w:pStyle w:val="L1-FlLSp12"/>
        <w:numPr>
          <w:ilvl w:val="0"/>
          <w:numId w:val="45"/>
        </w:numPr>
        <w:spacing w:line="276" w:lineRule="auto"/>
        <w:jc w:val="left"/>
        <w:rPr>
          <w:sz w:val="24"/>
          <w:szCs w:val="24"/>
        </w:rPr>
      </w:pPr>
      <w:r w:rsidRPr="00CC7328">
        <w:rPr>
          <w:sz w:val="24"/>
          <w:szCs w:val="24"/>
        </w:rPr>
        <w:t xml:space="preserve">Jeffrey Smith, </w:t>
      </w:r>
      <w:r w:rsidR="00883F11" w:rsidRPr="00CC7328">
        <w:rPr>
          <w:sz w:val="24"/>
          <w:szCs w:val="24"/>
        </w:rPr>
        <w:t xml:space="preserve">Ph.D., </w:t>
      </w:r>
      <w:r w:rsidRPr="00CC7328">
        <w:rPr>
          <w:sz w:val="24"/>
          <w:szCs w:val="24"/>
        </w:rPr>
        <w:t>Professor of Economics, University of Michigan</w:t>
      </w:r>
    </w:p>
    <w:p w14:paraId="5169A598" w14:textId="77777777" w:rsidR="00C178DD" w:rsidRPr="00CC7328" w:rsidRDefault="00C178DD" w:rsidP="00186D36">
      <w:pPr>
        <w:pStyle w:val="L1-FlLSp12"/>
        <w:numPr>
          <w:ilvl w:val="0"/>
          <w:numId w:val="45"/>
        </w:numPr>
        <w:spacing w:line="276" w:lineRule="auto"/>
        <w:jc w:val="left"/>
        <w:rPr>
          <w:sz w:val="24"/>
          <w:szCs w:val="24"/>
        </w:rPr>
      </w:pPr>
      <w:r w:rsidRPr="00CC7328">
        <w:rPr>
          <w:sz w:val="24"/>
          <w:szCs w:val="24"/>
        </w:rPr>
        <w:t>Gina Adams, Senior Fellow, Center on Labor, Human Services, and Population at The Urban Institute</w:t>
      </w:r>
    </w:p>
    <w:p w14:paraId="5D0293EE" w14:textId="77777777" w:rsidR="00C178DD" w:rsidRPr="00CC7328" w:rsidRDefault="00C178DD" w:rsidP="00186D36">
      <w:pPr>
        <w:pStyle w:val="L1-FlLSp12"/>
        <w:numPr>
          <w:ilvl w:val="0"/>
          <w:numId w:val="45"/>
        </w:numPr>
        <w:spacing w:line="276" w:lineRule="auto"/>
        <w:jc w:val="left"/>
        <w:rPr>
          <w:sz w:val="24"/>
          <w:szCs w:val="24"/>
        </w:rPr>
      </w:pPr>
      <w:r w:rsidRPr="00CC7328">
        <w:rPr>
          <w:sz w:val="24"/>
          <w:szCs w:val="24"/>
        </w:rPr>
        <w:t>David S. Berman, MPA, MPH, Director of Programs and Evaluation for the NYC Center for Economic Opportunity, in the Office of the Mayor</w:t>
      </w:r>
    </w:p>
    <w:p w14:paraId="46F1F7E3" w14:textId="77777777" w:rsidR="00C178DD" w:rsidRPr="00CC7328" w:rsidRDefault="00C178DD" w:rsidP="00186D36">
      <w:pPr>
        <w:pStyle w:val="L1-FlLSp12"/>
        <w:numPr>
          <w:ilvl w:val="0"/>
          <w:numId w:val="45"/>
        </w:numPr>
        <w:spacing w:line="276" w:lineRule="auto"/>
        <w:jc w:val="left"/>
        <w:rPr>
          <w:sz w:val="24"/>
          <w:szCs w:val="24"/>
        </w:rPr>
      </w:pPr>
      <w:r w:rsidRPr="00CC7328">
        <w:rPr>
          <w:sz w:val="24"/>
          <w:szCs w:val="24"/>
        </w:rPr>
        <w:t>Mindy Feldbaum, Principal at the Collaboratory</w:t>
      </w:r>
    </w:p>
    <w:p w14:paraId="4BBFA4EB" w14:textId="77777777" w:rsidR="008004E8" w:rsidRDefault="008004E8">
      <w:pPr>
        <w:tabs>
          <w:tab w:val="clear" w:pos="1152"/>
        </w:tabs>
        <w:spacing w:line="240" w:lineRule="auto"/>
        <w:jc w:val="left"/>
        <w:rPr>
          <w:highlight w:val="yellow"/>
        </w:rPr>
      </w:pPr>
    </w:p>
    <w:p w14:paraId="1226A2F7" w14:textId="77777777" w:rsidR="008004E8" w:rsidRDefault="008004E8">
      <w:pPr>
        <w:tabs>
          <w:tab w:val="clear" w:pos="1152"/>
        </w:tabs>
        <w:spacing w:line="240" w:lineRule="auto"/>
        <w:jc w:val="left"/>
        <w:rPr>
          <w:b/>
          <w:sz w:val="24"/>
          <w:szCs w:val="24"/>
        </w:rPr>
      </w:pPr>
      <w:r w:rsidRPr="007926A0">
        <w:rPr>
          <w:b/>
          <w:sz w:val="24"/>
          <w:szCs w:val="24"/>
        </w:rPr>
        <w:t>B.5.</w:t>
      </w:r>
      <w:r w:rsidR="00425B31">
        <w:rPr>
          <w:b/>
          <w:sz w:val="24"/>
          <w:szCs w:val="24"/>
        </w:rPr>
        <w:t>2</w:t>
      </w:r>
      <w:r w:rsidRPr="007926A0">
        <w:rPr>
          <w:b/>
          <w:sz w:val="24"/>
          <w:szCs w:val="24"/>
        </w:rPr>
        <w:tab/>
        <w:t>Individuals Responsible for Collecting/Analyzing the Data</w:t>
      </w:r>
    </w:p>
    <w:p w14:paraId="6F469E2B" w14:textId="77777777" w:rsidR="008004E8" w:rsidRDefault="008004E8">
      <w:pPr>
        <w:tabs>
          <w:tab w:val="clear" w:pos="1152"/>
        </w:tabs>
        <w:spacing w:line="240" w:lineRule="auto"/>
        <w:jc w:val="left"/>
        <w:rPr>
          <w:b/>
          <w:sz w:val="24"/>
          <w:szCs w:val="24"/>
        </w:rPr>
      </w:pPr>
    </w:p>
    <w:p w14:paraId="032EB98E" w14:textId="77777777" w:rsidR="008004E8" w:rsidRPr="00CC7328" w:rsidRDefault="008004E8" w:rsidP="008004E8">
      <w:pPr>
        <w:pStyle w:val="NormalSS"/>
        <w:spacing w:line="276" w:lineRule="auto"/>
        <w:ind w:firstLine="0"/>
        <w:jc w:val="left"/>
        <w:rPr>
          <w:b/>
          <w:i/>
          <w:sz w:val="24"/>
        </w:rPr>
      </w:pPr>
      <w:r w:rsidRPr="00CC7328">
        <w:rPr>
          <w:b/>
          <w:i/>
          <w:sz w:val="24"/>
        </w:rPr>
        <w:t>Westat</w:t>
      </w:r>
    </w:p>
    <w:p w14:paraId="32913FA6" w14:textId="77777777" w:rsidR="008004E8" w:rsidRPr="00CC7328" w:rsidRDefault="008004E8" w:rsidP="008004E8">
      <w:pPr>
        <w:pStyle w:val="NormalSS"/>
        <w:spacing w:line="276" w:lineRule="auto"/>
        <w:jc w:val="left"/>
        <w:rPr>
          <w:sz w:val="24"/>
        </w:rPr>
      </w:pPr>
    </w:p>
    <w:p w14:paraId="09438C97" w14:textId="77777777" w:rsidR="008004E8" w:rsidRPr="00CC7328" w:rsidRDefault="008004E8" w:rsidP="008004E8">
      <w:pPr>
        <w:pStyle w:val="NormalSS"/>
        <w:spacing w:line="276" w:lineRule="auto"/>
        <w:ind w:firstLine="0"/>
        <w:jc w:val="left"/>
        <w:rPr>
          <w:sz w:val="24"/>
        </w:rPr>
      </w:pPr>
      <w:r w:rsidRPr="00CC7328">
        <w:rPr>
          <w:sz w:val="24"/>
        </w:rPr>
        <w:t>Dr. Joseph Gasper</w:t>
      </w:r>
      <w:r w:rsidRPr="00CC7328">
        <w:rPr>
          <w:sz w:val="24"/>
        </w:rPr>
        <w:tab/>
        <w:t>(240) 314-2470</w:t>
      </w:r>
    </w:p>
    <w:p w14:paraId="7F7539B2" w14:textId="77777777" w:rsidR="008004E8" w:rsidRPr="00CC7328" w:rsidRDefault="008004E8" w:rsidP="008004E8">
      <w:pPr>
        <w:pStyle w:val="NormalSS"/>
        <w:spacing w:line="276" w:lineRule="auto"/>
        <w:ind w:firstLine="0"/>
        <w:jc w:val="left"/>
        <w:rPr>
          <w:sz w:val="24"/>
        </w:rPr>
      </w:pPr>
      <w:r>
        <w:rPr>
          <w:sz w:val="24"/>
        </w:rPr>
        <w:t>Mr. Wayne Hintze</w:t>
      </w:r>
      <w:r w:rsidRPr="00CC7328">
        <w:rPr>
          <w:sz w:val="24"/>
        </w:rPr>
        <w:tab/>
        <w:t xml:space="preserve">(301) </w:t>
      </w:r>
      <w:r w:rsidR="005E6452">
        <w:rPr>
          <w:sz w:val="24"/>
        </w:rPr>
        <w:t>517-4022</w:t>
      </w:r>
    </w:p>
    <w:p w14:paraId="4F334E62" w14:textId="77777777" w:rsidR="008004E8" w:rsidRPr="00CC7328" w:rsidRDefault="008004E8" w:rsidP="008004E8">
      <w:pPr>
        <w:pStyle w:val="NormalSS"/>
        <w:spacing w:line="276" w:lineRule="auto"/>
        <w:jc w:val="left"/>
        <w:rPr>
          <w:sz w:val="24"/>
        </w:rPr>
      </w:pPr>
    </w:p>
    <w:p w14:paraId="7E52F504" w14:textId="77777777" w:rsidR="008004E8" w:rsidRPr="00CC7328" w:rsidRDefault="008004E8" w:rsidP="008004E8">
      <w:pPr>
        <w:pStyle w:val="NormalSS"/>
        <w:spacing w:line="276" w:lineRule="auto"/>
        <w:ind w:firstLine="0"/>
        <w:jc w:val="left"/>
        <w:rPr>
          <w:b/>
          <w:i/>
          <w:sz w:val="24"/>
        </w:rPr>
      </w:pPr>
      <w:r w:rsidRPr="00CC7328">
        <w:rPr>
          <w:b/>
          <w:i/>
          <w:sz w:val="24"/>
        </w:rPr>
        <w:t>MDRC</w:t>
      </w:r>
    </w:p>
    <w:p w14:paraId="4F8E9E7A" w14:textId="77777777" w:rsidR="008004E8" w:rsidRDefault="008004E8" w:rsidP="008004E8">
      <w:pPr>
        <w:pStyle w:val="NormalSS"/>
        <w:spacing w:line="276" w:lineRule="auto"/>
        <w:ind w:firstLine="0"/>
        <w:jc w:val="left"/>
        <w:rPr>
          <w:sz w:val="24"/>
        </w:rPr>
      </w:pPr>
      <w:r w:rsidRPr="00CC7328">
        <w:rPr>
          <w:sz w:val="24"/>
        </w:rPr>
        <w:t>Dr. Richard Hendra</w:t>
      </w:r>
      <w:r w:rsidRPr="00CC7328">
        <w:rPr>
          <w:sz w:val="24"/>
        </w:rPr>
        <w:tab/>
      </w:r>
      <w:r w:rsidR="00EC3382">
        <w:rPr>
          <w:sz w:val="24"/>
        </w:rPr>
        <w:t xml:space="preserve">        </w:t>
      </w:r>
      <w:r w:rsidRPr="00CC7328">
        <w:rPr>
          <w:sz w:val="24"/>
        </w:rPr>
        <w:t>(212) 340-8623</w:t>
      </w:r>
    </w:p>
    <w:p w14:paraId="2D628A42" w14:textId="77777777" w:rsidR="00885333" w:rsidRDefault="00885333" w:rsidP="008004E8">
      <w:pPr>
        <w:pStyle w:val="NormalSS"/>
        <w:spacing w:line="276" w:lineRule="auto"/>
        <w:ind w:firstLine="0"/>
        <w:jc w:val="left"/>
        <w:rPr>
          <w:sz w:val="24"/>
        </w:rPr>
      </w:pPr>
      <w:r>
        <w:rPr>
          <w:sz w:val="24"/>
        </w:rPr>
        <w:t xml:space="preserve">Ms. Alexandra Pennington </w:t>
      </w:r>
      <w:r w:rsidR="00EC3382">
        <w:rPr>
          <w:sz w:val="24"/>
        </w:rPr>
        <w:t>(</w:t>
      </w:r>
      <w:r>
        <w:rPr>
          <w:sz w:val="24"/>
        </w:rPr>
        <w:t>212</w:t>
      </w:r>
      <w:r w:rsidR="00EC3382">
        <w:rPr>
          <w:sz w:val="24"/>
        </w:rPr>
        <w:t xml:space="preserve">) </w:t>
      </w:r>
      <w:r>
        <w:rPr>
          <w:sz w:val="24"/>
        </w:rPr>
        <w:t>340-8847</w:t>
      </w:r>
    </w:p>
    <w:p w14:paraId="385EDAF2" w14:textId="77777777" w:rsidR="00885333" w:rsidRPr="00CC7328" w:rsidRDefault="00885333" w:rsidP="008004E8">
      <w:pPr>
        <w:pStyle w:val="NormalSS"/>
        <w:spacing w:line="276" w:lineRule="auto"/>
        <w:ind w:firstLine="0"/>
        <w:jc w:val="left"/>
        <w:rPr>
          <w:sz w:val="24"/>
        </w:rPr>
      </w:pPr>
      <w:r>
        <w:rPr>
          <w:sz w:val="24"/>
        </w:rPr>
        <w:t>Ms. Kelsey Schaberg</w:t>
      </w:r>
      <w:r w:rsidR="00EC3382">
        <w:rPr>
          <w:sz w:val="24"/>
        </w:rPr>
        <w:t xml:space="preserve">         </w:t>
      </w:r>
      <w:r>
        <w:rPr>
          <w:sz w:val="24"/>
        </w:rPr>
        <w:t xml:space="preserve"> </w:t>
      </w:r>
      <w:r w:rsidR="00EC3382">
        <w:rPr>
          <w:sz w:val="24"/>
        </w:rPr>
        <w:t>(</w:t>
      </w:r>
      <w:r>
        <w:rPr>
          <w:sz w:val="24"/>
        </w:rPr>
        <w:t>212</w:t>
      </w:r>
      <w:r w:rsidR="00EC3382">
        <w:rPr>
          <w:sz w:val="24"/>
        </w:rPr>
        <w:t xml:space="preserve">) </w:t>
      </w:r>
      <w:r>
        <w:rPr>
          <w:sz w:val="24"/>
        </w:rPr>
        <w:t>340-7581</w:t>
      </w:r>
    </w:p>
    <w:p w14:paraId="2A024F01" w14:textId="77777777" w:rsidR="00407C2F" w:rsidRDefault="00FE0EA7">
      <w:pPr>
        <w:tabs>
          <w:tab w:val="clear" w:pos="1152"/>
        </w:tabs>
        <w:spacing w:line="240" w:lineRule="auto"/>
        <w:jc w:val="left"/>
        <w:rPr>
          <w:b/>
          <w:sz w:val="24"/>
          <w:szCs w:val="24"/>
          <w:highlight w:val="yellow"/>
        </w:rPr>
      </w:pPr>
      <w:r w:rsidRPr="007926A0">
        <w:rPr>
          <w:b/>
          <w:sz w:val="24"/>
          <w:szCs w:val="24"/>
          <w:highlight w:val="yellow"/>
        </w:rPr>
        <w:br w:type="page"/>
      </w:r>
    </w:p>
    <w:p w14:paraId="359DB214" w14:textId="77777777" w:rsidR="002E4AEA" w:rsidRDefault="00F01DAB">
      <w:pPr>
        <w:pStyle w:val="L1-FlLSp12"/>
        <w:rPr>
          <w:b/>
        </w:rPr>
      </w:pPr>
      <w:r w:rsidRPr="00B8644F">
        <w:rPr>
          <w:b/>
        </w:rPr>
        <w:t>References</w:t>
      </w:r>
    </w:p>
    <w:p w14:paraId="7DC58580" w14:textId="77777777" w:rsidR="00D429E1" w:rsidRDefault="00D429E1">
      <w:pPr>
        <w:pStyle w:val="L1-FlLSp12"/>
        <w:rPr>
          <w:b/>
        </w:rPr>
      </w:pPr>
    </w:p>
    <w:p w14:paraId="1D9F7058" w14:textId="77777777" w:rsidR="00764B52" w:rsidRDefault="00764B52" w:rsidP="007926A0">
      <w:pPr>
        <w:tabs>
          <w:tab w:val="clear" w:pos="1152"/>
          <w:tab w:val="left" w:pos="720"/>
        </w:tabs>
        <w:ind w:left="1170" w:hanging="1170"/>
        <w:jc w:val="left"/>
        <w:rPr>
          <w:color w:val="222222"/>
          <w:sz w:val="24"/>
          <w:szCs w:val="24"/>
          <w:shd w:val="clear" w:color="auto" w:fill="FFFFFF"/>
        </w:rPr>
      </w:pPr>
      <w:r>
        <w:rPr>
          <w:color w:val="222222"/>
          <w:sz w:val="24"/>
          <w:szCs w:val="24"/>
          <w:shd w:val="clear" w:color="auto" w:fill="FFFFFF"/>
        </w:rPr>
        <w:t xml:space="preserve">Bloom, H. S. (2006). The Core Analytics of Randomized Experiments for Social Research. New York, NY: MDRC. </w:t>
      </w:r>
    </w:p>
    <w:p w14:paraId="08A5A8BA" w14:textId="77777777" w:rsidR="000E0143" w:rsidRPr="000E0143" w:rsidRDefault="000E0143" w:rsidP="000E0143">
      <w:pPr>
        <w:tabs>
          <w:tab w:val="clear" w:pos="1152"/>
          <w:tab w:val="left" w:pos="720"/>
        </w:tabs>
        <w:ind w:left="1170" w:hanging="1170"/>
        <w:jc w:val="left"/>
        <w:rPr>
          <w:color w:val="222222"/>
          <w:sz w:val="24"/>
          <w:szCs w:val="24"/>
          <w:shd w:val="clear" w:color="auto" w:fill="FFFFFF"/>
        </w:rPr>
      </w:pPr>
      <w:r w:rsidRPr="000E0143">
        <w:rPr>
          <w:color w:val="222222"/>
          <w:sz w:val="24"/>
          <w:szCs w:val="24"/>
          <w:shd w:val="clear" w:color="auto" w:fill="FFFFFF"/>
        </w:rPr>
        <w:t>Bloom, H</w:t>
      </w:r>
      <w:r>
        <w:rPr>
          <w:color w:val="222222"/>
          <w:sz w:val="24"/>
          <w:szCs w:val="24"/>
          <w:shd w:val="clear" w:color="auto" w:fill="FFFFFF"/>
        </w:rPr>
        <w:t xml:space="preserve">. </w:t>
      </w:r>
      <w:r w:rsidRPr="000E0143">
        <w:rPr>
          <w:color w:val="222222"/>
          <w:sz w:val="24"/>
          <w:szCs w:val="24"/>
          <w:shd w:val="clear" w:color="auto" w:fill="FFFFFF"/>
        </w:rPr>
        <w:t xml:space="preserve">S., </w:t>
      </w:r>
      <w:r w:rsidRPr="00B74BB6">
        <w:rPr>
          <w:color w:val="222222"/>
          <w:sz w:val="24"/>
          <w:szCs w:val="24"/>
          <w:shd w:val="clear" w:color="auto" w:fill="FFFFFF"/>
        </w:rPr>
        <w:t>Raudenbush</w:t>
      </w:r>
      <w:r>
        <w:rPr>
          <w:color w:val="222222"/>
          <w:sz w:val="24"/>
          <w:szCs w:val="24"/>
          <w:shd w:val="clear" w:color="auto" w:fill="FFFFFF"/>
        </w:rPr>
        <w:t xml:space="preserve">, </w:t>
      </w:r>
      <w:r w:rsidRPr="000E0143">
        <w:rPr>
          <w:color w:val="222222"/>
          <w:sz w:val="24"/>
          <w:szCs w:val="24"/>
          <w:shd w:val="clear" w:color="auto" w:fill="FFFFFF"/>
        </w:rPr>
        <w:t>S</w:t>
      </w:r>
      <w:r>
        <w:rPr>
          <w:color w:val="222222"/>
          <w:sz w:val="24"/>
          <w:szCs w:val="24"/>
          <w:shd w:val="clear" w:color="auto" w:fill="FFFFFF"/>
        </w:rPr>
        <w:t xml:space="preserve">. </w:t>
      </w:r>
      <w:r w:rsidRPr="000E0143">
        <w:rPr>
          <w:color w:val="222222"/>
          <w:sz w:val="24"/>
          <w:szCs w:val="24"/>
          <w:shd w:val="clear" w:color="auto" w:fill="FFFFFF"/>
        </w:rPr>
        <w:t xml:space="preserve">W., </w:t>
      </w:r>
      <w:r>
        <w:rPr>
          <w:color w:val="222222"/>
          <w:sz w:val="24"/>
          <w:szCs w:val="24"/>
          <w:shd w:val="clear" w:color="auto" w:fill="FFFFFF"/>
        </w:rPr>
        <w:t xml:space="preserve">Weiss, </w:t>
      </w:r>
      <w:r w:rsidRPr="000E0143">
        <w:rPr>
          <w:color w:val="222222"/>
          <w:sz w:val="24"/>
          <w:szCs w:val="24"/>
          <w:shd w:val="clear" w:color="auto" w:fill="FFFFFF"/>
        </w:rPr>
        <w:t>M. J.</w:t>
      </w:r>
      <w:r>
        <w:rPr>
          <w:color w:val="222222"/>
          <w:sz w:val="24"/>
          <w:szCs w:val="24"/>
          <w:shd w:val="clear" w:color="auto" w:fill="FFFFFF"/>
        </w:rPr>
        <w:t>, and Porter, K. (</w:t>
      </w:r>
      <w:r w:rsidRPr="000E0143">
        <w:rPr>
          <w:color w:val="222222"/>
          <w:sz w:val="24"/>
          <w:szCs w:val="24"/>
          <w:shd w:val="clear" w:color="auto" w:fill="FFFFFF"/>
        </w:rPr>
        <w:t>2017</w:t>
      </w:r>
      <w:r>
        <w:rPr>
          <w:color w:val="222222"/>
          <w:sz w:val="24"/>
          <w:szCs w:val="24"/>
          <w:shd w:val="clear" w:color="auto" w:fill="FFFFFF"/>
        </w:rPr>
        <w:t>)</w:t>
      </w:r>
      <w:r w:rsidRPr="000E0143">
        <w:rPr>
          <w:color w:val="222222"/>
          <w:sz w:val="24"/>
          <w:szCs w:val="24"/>
          <w:shd w:val="clear" w:color="auto" w:fill="FFFFFF"/>
        </w:rPr>
        <w:t xml:space="preserve">. Using Multi-Site Experiments to Study Cross-Site Variation in Effects of Program Assignment. </w:t>
      </w:r>
      <w:r w:rsidRPr="000E0143">
        <w:rPr>
          <w:i/>
          <w:color w:val="222222"/>
          <w:sz w:val="24"/>
          <w:szCs w:val="24"/>
          <w:shd w:val="clear" w:color="auto" w:fill="FFFFFF"/>
        </w:rPr>
        <w:t>Journal of Research on Educational Effectiveness</w:t>
      </w:r>
      <w:r>
        <w:rPr>
          <w:color w:val="222222"/>
          <w:sz w:val="24"/>
          <w:szCs w:val="24"/>
          <w:shd w:val="clear" w:color="auto" w:fill="FFFFFF"/>
        </w:rPr>
        <w:t>, 1-26.</w:t>
      </w:r>
    </w:p>
    <w:p w14:paraId="5646A95B"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Dorsett, R., &amp; Robins, P. K. (2013). A multilevel analysis of the impacts of services </w:t>
      </w:r>
      <w:r>
        <w:rPr>
          <w:color w:val="222222"/>
          <w:sz w:val="24"/>
          <w:szCs w:val="24"/>
          <w:shd w:val="clear" w:color="auto" w:fill="FFFFFF"/>
        </w:rPr>
        <w:t xml:space="preserve">provided by </w:t>
      </w:r>
    </w:p>
    <w:p w14:paraId="6FDBF454" w14:textId="77777777" w:rsidR="00A8303E" w:rsidRDefault="00BA7ACB" w:rsidP="00A8303E">
      <w:pPr>
        <w:tabs>
          <w:tab w:val="clear" w:pos="1152"/>
          <w:tab w:val="left" w:pos="720"/>
        </w:tabs>
        <w:ind w:left="1152"/>
        <w:jc w:val="left"/>
        <w:rPr>
          <w:color w:val="222222"/>
          <w:sz w:val="24"/>
          <w:szCs w:val="24"/>
          <w:shd w:val="clear" w:color="auto" w:fill="FFFFFF"/>
        </w:rPr>
      </w:pPr>
      <w:r w:rsidRPr="00D712EA">
        <w:rPr>
          <w:color w:val="222222"/>
          <w:sz w:val="24"/>
          <w:szCs w:val="24"/>
          <w:shd w:val="clear" w:color="auto" w:fill="FFFFFF"/>
        </w:rPr>
        <w:t>the UK employment retention and advancement demonstration.</w:t>
      </w:r>
      <w:r w:rsidRPr="00D712EA">
        <w:rPr>
          <w:rStyle w:val="apple-converted-space"/>
          <w:color w:val="222222"/>
          <w:sz w:val="24"/>
          <w:szCs w:val="24"/>
          <w:shd w:val="clear" w:color="auto" w:fill="FFFFFF"/>
        </w:rPr>
        <w:t> </w:t>
      </w:r>
      <w:r w:rsidRPr="00D712EA">
        <w:rPr>
          <w:i/>
          <w:iCs/>
          <w:color w:val="222222"/>
          <w:sz w:val="24"/>
          <w:szCs w:val="24"/>
          <w:shd w:val="clear" w:color="auto" w:fill="FFFFFF"/>
        </w:rPr>
        <w:t>Evaluation review</w:t>
      </w:r>
      <w:r w:rsidRPr="00D712EA">
        <w:rPr>
          <w:color w:val="222222"/>
          <w:sz w:val="24"/>
          <w:szCs w:val="24"/>
          <w:shd w:val="clear" w:color="auto" w:fill="FFFFFF"/>
        </w:rPr>
        <w:t>,</w:t>
      </w:r>
      <w:r w:rsidRPr="00D712EA">
        <w:rPr>
          <w:rStyle w:val="apple-converted-space"/>
          <w:color w:val="222222"/>
          <w:sz w:val="24"/>
          <w:szCs w:val="24"/>
          <w:shd w:val="clear" w:color="auto" w:fill="FFFFFF"/>
        </w:rPr>
        <w:t> </w:t>
      </w:r>
      <w:r w:rsidRPr="00D712EA">
        <w:rPr>
          <w:i/>
          <w:iCs/>
          <w:color w:val="222222"/>
          <w:sz w:val="24"/>
          <w:szCs w:val="24"/>
          <w:shd w:val="clear" w:color="auto" w:fill="FFFFFF"/>
        </w:rPr>
        <w:t>37</w:t>
      </w:r>
      <w:r w:rsidRPr="00D712EA">
        <w:rPr>
          <w:color w:val="222222"/>
          <w:sz w:val="24"/>
          <w:szCs w:val="24"/>
          <w:shd w:val="clear" w:color="auto" w:fill="FFFFFF"/>
        </w:rPr>
        <w:t>(2), 63-108.</w:t>
      </w:r>
    </w:p>
    <w:p w14:paraId="64392669"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Heinrich, C. J., Mueser, P., Troske, K. R., &amp; Benus, J. M. (2008). Workforce Investment Act </w:t>
      </w:r>
    </w:p>
    <w:p w14:paraId="7F83798F" w14:textId="77777777" w:rsidR="00A8303E" w:rsidRDefault="00BA7ACB" w:rsidP="00A8303E">
      <w:pPr>
        <w:tabs>
          <w:tab w:val="clear" w:pos="1152"/>
          <w:tab w:val="left" w:pos="720"/>
        </w:tabs>
        <w:ind w:left="1152"/>
        <w:jc w:val="left"/>
        <w:rPr>
          <w:color w:val="222222"/>
          <w:sz w:val="24"/>
          <w:szCs w:val="24"/>
          <w:shd w:val="clear" w:color="auto" w:fill="FFFFFF"/>
        </w:rPr>
      </w:pPr>
      <w:r w:rsidRPr="00D712EA">
        <w:rPr>
          <w:color w:val="222222"/>
          <w:sz w:val="24"/>
          <w:szCs w:val="24"/>
          <w:shd w:val="clear" w:color="auto" w:fill="FFFFFF"/>
        </w:rPr>
        <w:t>non-experimental net impact evaluation.</w:t>
      </w:r>
      <w:r w:rsidRPr="00D712EA">
        <w:rPr>
          <w:rStyle w:val="apple-converted-space"/>
          <w:color w:val="222222"/>
          <w:sz w:val="24"/>
          <w:szCs w:val="24"/>
          <w:shd w:val="clear" w:color="auto" w:fill="FFFFFF"/>
        </w:rPr>
        <w:t> </w:t>
      </w:r>
      <w:r w:rsidRPr="00D712EA">
        <w:rPr>
          <w:i/>
          <w:iCs/>
          <w:color w:val="222222"/>
          <w:sz w:val="24"/>
          <w:szCs w:val="24"/>
          <w:shd w:val="clear" w:color="auto" w:fill="FFFFFF"/>
        </w:rPr>
        <w:t>Report to US Department of Labor. Columbia, MD: IMPAQ International</w:t>
      </w:r>
      <w:r w:rsidRPr="00D712EA">
        <w:rPr>
          <w:color w:val="222222"/>
          <w:sz w:val="24"/>
          <w:szCs w:val="24"/>
          <w:shd w:val="clear" w:color="auto" w:fill="FFFFFF"/>
        </w:rPr>
        <w:t>.</w:t>
      </w:r>
    </w:p>
    <w:p w14:paraId="71DB66F8" w14:textId="77777777" w:rsidR="00A8606D" w:rsidRDefault="00A8606D" w:rsidP="00A8303E">
      <w:pPr>
        <w:pStyle w:val="L1-FlLSp12"/>
        <w:tabs>
          <w:tab w:val="clear" w:pos="1152"/>
          <w:tab w:val="left" w:pos="720"/>
        </w:tabs>
        <w:spacing w:line="276" w:lineRule="auto"/>
        <w:jc w:val="left"/>
        <w:rPr>
          <w:color w:val="222222"/>
          <w:sz w:val="24"/>
          <w:szCs w:val="24"/>
          <w:shd w:val="clear" w:color="auto" w:fill="FFFFFF"/>
        </w:rPr>
      </w:pPr>
      <w:r>
        <w:rPr>
          <w:color w:val="222222"/>
          <w:sz w:val="24"/>
          <w:szCs w:val="24"/>
          <w:shd w:val="clear" w:color="auto" w:fill="FFFFFF"/>
        </w:rPr>
        <w:t xml:space="preserve">Hedges, L. V., &amp; Olkin, I. (1985). Statistical Methods for Meta-Analysis. Orlando, FL: </w:t>
      </w:r>
    </w:p>
    <w:p w14:paraId="090A3A66" w14:textId="77777777" w:rsidR="00A8606D" w:rsidRDefault="00A8606D" w:rsidP="00A8303E">
      <w:pPr>
        <w:pStyle w:val="L1-FlLSp12"/>
        <w:tabs>
          <w:tab w:val="clear" w:pos="1152"/>
          <w:tab w:val="left" w:pos="720"/>
        </w:tabs>
        <w:spacing w:line="276" w:lineRule="auto"/>
        <w:jc w:val="left"/>
        <w:rPr>
          <w:color w:val="222222"/>
          <w:sz w:val="24"/>
          <w:szCs w:val="24"/>
          <w:shd w:val="clear" w:color="auto" w:fill="FFFFFF"/>
        </w:rPr>
      </w:pPr>
      <w:r>
        <w:rPr>
          <w:color w:val="222222"/>
          <w:sz w:val="24"/>
          <w:szCs w:val="24"/>
          <w:shd w:val="clear" w:color="auto" w:fill="FFFFFF"/>
        </w:rPr>
        <w:tab/>
        <w:t>Academic Press</w:t>
      </w:r>
    </w:p>
    <w:p w14:paraId="686F09BC" w14:textId="77777777" w:rsidR="00D429E1" w:rsidRDefault="00D429E1" w:rsidP="00A8303E">
      <w:pPr>
        <w:pStyle w:val="L1-FlLSp12"/>
        <w:tabs>
          <w:tab w:val="clear" w:pos="1152"/>
          <w:tab w:val="left" w:pos="720"/>
        </w:tabs>
        <w:spacing w:line="276" w:lineRule="auto"/>
        <w:jc w:val="left"/>
        <w:rPr>
          <w:color w:val="222222"/>
          <w:sz w:val="24"/>
          <w:szCs w:val="24"/>
          <w:shd w:val="clear" w:color="auto" w:fill="FFFFFF"/>
        </w:rPr>
      </w:pPr>
      <w:r w:rsidRPr="00D429E1">
        <w:rPr>
          <w:color w:val="222222"/>
          <w:sz w:val="24"/>
          <w:szCs w:val="24"/>
          <w:shd w:val="clear" w:color="auto" w:fill="FFFFFF"/>
        </w:rPr>
        <w:t xml:space="preserve">Hendra, R., Greenberg, D. H., Hamilton, G., Oppenheim, A., Pennington, A., Schaberg, K., &amp; </w:t>
      </w:r>
    </w:p>
    <w:p w14:paraId="06D5515C" w14:textId="77777777" w:rsidR="00D429E1" w:rsidRDefault="00D429E1" w:rsidP="00A8303E">
      <w:pPr>
        <w:pStyle w:val="L1-FlLSp12"/>
        <w:tabs>
          <w:tab w:val="clear" w:pos="1152"/>
          <w:tab w:val="left" w:pos="720"/>
        </w:tabs>
        <w:spacing w:line="276" w:lineRule="auto"/>
        <w:ind w:left="1152"/>
        <w:jc w:val="left"/>
        <w:rPr>
          <w:color w:val="222222"/>
          <w:sz w:val="24"/>
          <w:szCs w:val="24"/>
          <w:shd w:val="clear" w:color="auto" w:fill="FFFFFF"/>
        </w:rPr>
      </w:pPr>
      <w:r w:rsidRPr="00D429E1">
        <w:rPr>
          <w:color w:val="222222"/>
          <w:sz w:val="24"/>
          <w:szCs w:val="24"/>
          <w:shd w:val="clear" w:color="auto" w:fill="FFFFFF"/>
        </w:rPr>
        <w:t>Tessler, B. L. (2016). Encouraging Evidence on a Sector-Focused Advancement Strategy: Two-Year Impacts from the WorkAdvance Demonstration.</w:t>
      </w:r>
    </w:p>
    <w:p w14:paraId="409EE4A7"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Hollenbeck, K., &amp; Huang, W. J. (2008). Workforce program performance indicators for the </w:t>
      </w:r>
    </w:p>
    <w:p w14:paraId="2AB6B748" w14:textId="77777777" w:rsidR="00BA7ACB" w:rsidRDefault="00BA7ACB" w:rsidP="00A8303E">
      <w:pPr>
        <w:tabs>
          <w:tab w:val="clear" w:pos="1152"/>
          <w:tab w:val="left" w:pos="720"/>
        </w:tabs>
        <w:jc w:val="left"/>
        <w:rPr>
          <w:color w:val="222222"/>
          <w:sz w:val="24"/>
          <w:szCs w:val="24"/>
          <w:shd w:val="clear" w:color="auto" w:fill="FFFFFF"/>
        </w:rPr>
      </w:pPr>
      <w:r>
        <w:rPr>
          <w:color w:val="222222"/>
          <w:sz w:val="24"/>
          <w:szCs w:val="24"/>
          <w:shd w:val="clear" w:color="auto" w:fill="FFFFFF"/>
        </w:rPr>
        <w:tab/>
      </w:r>
      <w:r w:rsidRPr="00D712EA">
        <w:rPr>
          <w:color w:val="222222"/>
          <w:sz w:val="24"/>
          <w:szCs w:val="24"/>
          <w:shd w:val="clear" w:color="auto" w:fill="FFFFFF"/>
        </w:rPr>
        <w:t>commonwealth of Virginia.</w:t>
      </w:r>
    </w:p>
    <w:p w14:paraId="3EA20C1D"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Kemple, J. J., &amp; Snipes, J. C. (2000). Career Academies: Impacts on Students' Engagement and </w:t>
      </w:r>
    </w:p>
    <w:p w14:paraId="69B78EE5" w14:textId="77777777" w:rsidR="00BA7ACB" w:rsidRDefault="00BA7ACB" w:rsidP="00A8303E">
      <w:pPr>
        <w:tabs>
          <w:tab w:val="clear" w:pos="1152"/>
          <w:tab w:val="left" w:pos="720"/>
        </w:tabs>
        <w:jc w:val="left"/>
        <w:rPr>
          <w:color w:val="222222"/>
          <w:sz w:val="24"/>
          <w:szCs w:val="24"/>
          <w:shd w:val="clear" w:color="auto" w:fill="FFFFFF"/>
        </w:rPr>
      </w:pPr>
      <w:r>
        <w:rPr>
          <w:color w:val="222222"/>
          <w:sz w:val="24"/>
          <w:szCs w:val="24"/>
          <w:shd w:val="clear" w:color="auto" w:fill="FFFFFF"/>
        </w:rPr>
        <w:tab/>
      </w:r>
      <w:r w:rsidRPr="00D712EA">
        <w:rPr>
          <w:color w:val="222222"/>
          <w:sz w:val="24"/>
          <w:szCs w:val="24"/>
          <w:shd w:val="clear" w:color="auto" w:fill="FFFFFF"/>
        </w:rPr>
        <w:t>Performance in High School.</w:t>
      </w:r>
    </w:p>
    <w:p w14:paraId="41F1E9A4" w14:textId="77777777" w:rsidR="00E741B4" w:rsidRDefault="00E741B4" w:rsidP="00A8303E">
      <w:pPr>
        <w:pStyle w:val="L1-FlLSp12"/>
        <w:tabs>
          <w:tab w:val="clear" w:pos="1152"/>
          <w:tab w:val="left" w:pos="720"/>
        </w:tabs>
        <w:spacing w:line="276" w:lineRule="auto"/>
        <w:jc w:val="left"/>
        <w:rPr>
          <w:color w:val="222222"/>
          <w:sz w:val="24"/>
          <w:szCs w:val="24"/>
          <w:shd w:val="clear" w:color="auto" w:fill="FFFFFF"/>
        </w:rPr>
      </w:pPr>
      <w:r w:rsidRPr="00E741B4">
        <w:rPr>
          <w:color w:val="222222"/>
          <w:sz w:val="24"/>
          <w:szCs w:val="24"/>
          <w:shd w:val="clear" w:color="auto" w:fill="FFFFFF"/>
        </w:rPr>
        <w:t xml:space="preserve">Maguire, S., Freely, J., Clymer, C., Conway, M., &amp; Schwartz, D. (2010). Tuning in to Local </w:t>
      </w:r>
    </w:p>
    <w:p w14:paraId="789D1B7B" w14:textId="77777777" w:rsidR="00E741B4" w:rsidRDefault="00E741B4" w:rsidP="00A8303E">
      <w:pPr>
        <w:pStyle w:val="L1-FlLSp12"/>
        <w:tabs>
          <w:tab w:val="clear" w:pos="1152"/>
          <w:tab w:val="left" w:pos="720"/>
        </w:tabs>
        <w:spacing w:line="276" w:lineRule="auto"/>
        <w:ind w:left="1152"/>
        <w:jc w:val="left"/>
        <w:rPr>
          <w:color w:val="222222"/>
          <w:sz w:val="24"/>
          <w:szCs w:val="24"/>
          <w:shd w:val="clear" w:color="auto" w:fill="FFFFFF"/>
        </w:rPr>
      </w:pPr>
      <w:r w:rsidRPr="00E741B4">
        <w:rPr>
          <w:color w:val="222222"/>
          <w:sz w:val="24"/>
          <w:szCs w:val="24"/>
          <w:shd w:val="clear" w:color="auto" w:fill="FFFFFF"/>
        </w:rPr>
        <w:t>Labor Markets: Findings from</w:t>
      </w:r>
      <w:r w:rsidR="00BA7ACB">
        <w:rPr>
          <w:color w:val="222222"/>
          <w:sz w:val="24"/>
          <w:szCs w:val="24"/>
          <w:shd w:val="clear" w:color="auto" w:fill="FFFFFF"/>
        </w:rPr>
        <w:t xml:space="preserve"> the Sectoral Employment Impact Study</w:t>
      </w:r>
      <w:r w:rsidRPr="00E741B4">
        <w:rPr>
          <w:color w:val="222222"/>
          <w:sz w:val="24"/>
          <w:szCs w:val="24"/>
          <w:shd w:val="clear" w:color="auto" w:fill="FFFFFF"/>
        </w:rPr>
        <w:t>.</w:t>
      </w:r>
      <w:r w:rsidR="00BA7ACB">
        <w:rPr>
          <w:color w:val="222222"/>
          <w:sz w:val="24"/>
          <w:szCs w:val="24"/>
          <w:shd w:val="clear" w:color="auto" w:fill="FFFFFF"/>
        </w:rPr>
        <w:t xml:space="preserve"> </w:t>
      </w:r>
      <w:r w:rsidRPr="00E741B4">
        <w:rPr>
          <w:i/>
          <w:iCs/>
          <w:color w:val="222222"/>
          <w:sz w:val="24"/>
          <w:szCs w:val="24"/>
          <w:shd w:val="clear" w:color="auto" w:fill="FFFFFF"/>
        </w:rPr>
        <w:t>Public/Private Ventures</w:t>
      </w:r>
      <w:r w:rsidRPr="00E741B4">
        <w:rPr>
          <w:color w:val="222222"/>
          <w:sz w:val="24"/>
          <w:szCs w:val="24"/>
          <w:shd w:val="clear" w:color="auto" w:fill="FFFFFF"/>
        </w:rPr>
        <w:t>.</w:t>
      </w:r>
    </w:p>
    <w:p w14:paraId="3E3434E5"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Peck, L. R. (2013). On analysis of symmetrically predicted endogenous subgroups part one of a </w:t>
      </w:r>
    </w:p>
    <w:p w14:paraId="73DE0EBA" w14:textId="77777777" w:rsidR="00BA7ACB" w:rsidRDefault="00BA7ACB" w:rsidP="00A8303E">
      <w:pPr>
        <w:tabs>
          <w:tab w:val="clear" w:pos="1152"/>
          <w:tab w:val="left" w:pos="720"/>
        </w:tabs>
        <w:jc w:val="left"/>
        <w:rPr>
          <w:color w:val="222222"/>
          <w:sz w:val="24"/>
          <w:szCs w:val="24"/>
          <w:shd w:val="clear" w:color="auto" w:fill="FFFFFF"/>
        </w:rPr>
      </w:pPr>
      <w:r>
        <w:rPr>
          <w:color w:val="222222"/>
          <w:sz w:val="24"/>
          <w:szCs w:val="24"/>
          <w:shd w:val="clear" w:color="auto" w:fill="FFFFFF"/>
        </w:rPr>
        <w:tab/>
      </w:r>
      <w:r w:rsidRPr="00D712EA">
        <w:rPr>
          <w:color w:val="222222"/>
          <w:sz w:val="24"/>
          <w:szCs w:val="24"/>
          <w:shd w:val="clear" w:color="auto" w:fill="FFFFFF"/>
        </w:rPr>
        <w:t>method note in three parts.</w:t>
      </w:r>
      <w:r w:rsidRPr="00D712EA">
        <w:rPr>
          <w:rStyle w:val="apple-converted-space"/>
          <w:color w:val="222222"/>
          <w:sz w:val="24"/>
          <w:szCs w:val="24"/>
          <w:shd w:val="clear" w:color="auto" w:fill="FFFFFF"/>
        </w:rPr>
        <w:t> </w:t>
      </w:r>
      <w:r w:rsidRPr="00D712EA">
        <w:rPr>
          <w:i/>
          <w:iCs/>
          <w:color w:val="222222"/>
          <w:sz w:val="24"/>
          <w:szCs w:val="24"/>
          <w:shd w:val="clear" w:color="auto" w:fill="FFFFFF"/>
        </w:rPr>
        <w:t>American Journal of Evaluation</w:t>
      </w:r>
      <w:r w:rsidRPr="00D712EA">
        <w:rPr>
          <w:color w:val="222222"/>
          <w:sz w:val="24"/>
          <w:szCs w:val="24"/>
          <w:shd w:val="clear" w:color="auto" w:fill="FFFFFF"/>
        </w:rPr>
        <w:t>,</w:t>
      </w:r>
      <w:r w:rsidRPr="00D712EA">
        <w:rPr>
          <w:rStyle w:val="apple-converted-space"/>
          <w:color w:val="222222"/>
          <w:sz w:val="24"/>
          <w:szCs w:val="24"/>
          <w:shd w:val="clear" w:color="auto" w:fill="FFFFFF"/>
        </w:rPr>
        <w:t> </w:t>
      </w:r>
      <w:r w:rsidRPr="00D712EA">
        <w:rPr>
          <w:i/>
          <w:iCs/>
          <w:color w:val="222222"/>
          <w:sz w:val="24"/>
          <w:szCs w:val="24"/>
          <w:shd w:val="clear" w:color="auto" w:fill="FFFFFF"/>
        </w:rPr>
        <w:t>34</w:t>
      </w:r>
      <w:r w:rsidRPr="00D712EA">
        <w:rPr>
          <w:color w:val="222222"/>
          <w:sz w:val="24"/>
          <w:szCs w:val="24"/>
          <w:shd w:val="clear" w:color="auto" w:fill="FFFFFF"/>
        </w:rPr>
        <w:t>(2), 225-236.</w:t>
      </w:r>
    </w:p>
    <w:p w14:paraId="28E7F819" w14:textId="77777777" w:rsidR="00764B52" w:rsidRPr="00764B52" w:rsidRDefault="00764B52" w:rsidP="007926A0">
      <w:pPr>
        <w:tabs>
          <w:tab w:val="clear" w:pos="1152"/>
          <w:tab w:val="left" w:pos="720"/>
        </w:tabs>
        <w:ind w:left="720" w:hanging="720"/>
        <w:jc w:val="left"/>
        <w:rPr>
          <w:color w:val="222222"/>
          <w:sz w:val="24"/>
          <w:szCs w:val="24"/>
          <w:shd w:val="clear" w:color="auto" w:fill="FFFFFF"/>
        </w:rPr>
      </w:pPr>
      <w:r>
        <w:rPr>
          <w:color w:val="222222"/>
          <w:sz w:val="24"/>
          <w:szCs w:val="24"/>
          <w:shd w:val="clear" w:color="auto" w:fill="FFFFFF"/>
        </w:rPr>
        <w:t xml:space="preserve">Puma, M. J., Olsen, B., Bell, S. H., &amp; Price, C. (2009). </w:t>
      </w:r>
      <w:r>
        <w:rPr>
          <w:i/>
          <w:color w:val="222222"/>
          <w:sz w:val="24"/>
          <w:szCs w:val="24"/>
          <w:shd w:val="clear" w:color="auto" w:fill="FFFFFF"/>
        </w:rPr>
        <w:t xml:space="preserve">What to Do When Data Are Missing in Group Randomized Controlled Trials </w:t>
      </w:r>
      <w:r>
        <w:rPr>
          <w:color w:val="222222"/>
          <w:sz w:val="24"/>
          <w:szCs w:val="24"/>
          <w:shd w:val="clear" w:color="auto" w:fill="FFFFFF"/>
        </w:rPr>
        <w:t>(NCEE 2009-0049). Washington, DC: National Center for Education Evaluation and Regional Assistance, Institute for Education Sciences, U.S. Department of Education.</w:t>
      </w:r>
    </w:p>
    <w:p w14:paraId="66259ABE"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Rosenbaum, P. R., &amp; Rubin, D. B. (1984). Reducing bias in observational studies using </w:t>
      </w:r>
    </w:p>
    <w:p w14:paraId="4BAE45B0" w14:textId="77777777" w:rsidR="00BA7ACB" w:rsidRPr="00D712EA" w:rsidRDefault="00BA7ACB" w:rsidP="00A8303E">
      <w:pPr>
        <w:tabs>
          <w:tab w:val="clear" w:pos="1152"/>
          <w:tab w:val="left" w:pos="720"/>
        </w:tabs>
        <w:ind w:left="1152"/>
        <w:jc w:val="left"/>
        <w:rPr>
          <w:color w:val="222222"/>
          <w:sz w:val="24"/>
          <w:szCs w:val="24"/>
          <w:shd w:val="clear" w:color="auto" w:fill="FFFFFF"/>
        </w:rPr>
      </w:pPr>
      <w:r w:rsidRPr="00D712EA">
        <w:rPr>
          <w:color w:val="222222"/>
          <w:sz w:val="24"/>
          <w:szCs w:val="24"/>
          <w:shd w:val="clear" w:color="auto" w:fill="FFFFFF"/>
        </w:rPr>
        <w:t>subclassification on the propensity score.</w:t>
      </w:r>
      <w:r w:rsidRPr="00D712EA">
        <w:rPr>
          <w:rStyle w:val="apple-converted-space"/>
          <w:color w:val="222222"/>
          <w:sz w:val="24"/>
          <w:szCs w:val="24"/>
          <w:shd w:val="clear" w:color="auto" w:fill="FFFFFF"/>
        </w:rPr>
        <w:t> </w:t>
      </w:r>
      <w:r w:rsidRPr="00D712EA">
        <w:rPr>
          <w:i/>
          <w:iCs/>
          <w:color w:val="222222"/>
          <w:sz w:val="24"/>
          <w:szCs w:val="24"/>
          <w:shd w:val="clear" w:color="auto" w:fill="FFFFFF"/>
        </w:rPr>
        <w:t>Journal of the American statistical Association</w:t>
      </w:r>
      <w:r w:rsidRPr="00D712EA">
        <w:rPr>
          <w:color w:val="222222"/>
          <w:sz w:val="24"/>
          <w:szCs w:val="24"/>
          <w:shd w:val="clear" w:color="auto" w:fill="FFFFFF"/>
        </w:rPr>
        <w:t>,</w:t>
      </w:r>
      <w:r w:rsidRPr="00D712EA">
        <w:rPr>
          <w:rStyle w:val="apple-converted-space"/>
          <w:color w:val="222222"/>
          <w:sz w:val="24"/>
          <w:szCs w:val="24"/>
          <w:shd w:val="clear" w:color="auto" w:fill="FFFFFF"/>
        </w:rPr>
        <w:t> </w:t>
      </w:r>
      <w:r w:rsidRPr="00D712EA">
        <w:rPr>
          <w:i/>
          <w:iCs/>
          <w:color w:val="222222"/>
          <w:sz w:val="24"/>
          <w:szCs w:val="24"/>
          <w:shd w:val="clear" w:color="auto" w:fill="FFFFFF"/>
        </w:rPr>
        <w:t>79</w:t>
      </w:r>
      <w:r w:rsidRPr="00D712EA">
        <w:rPr>
          <w:color w:val="222222"/>
          <w:sz w:val="24"/>
          <w:szCs w:val="24"/>
          <w:shd w:val="clear" w:color="auto" w:fill="FFFFFF"/>
        </w:rPr>
        <w:t>(387), 516-524.</w:t>
      </w:r>
    </w:p>
    <w:p w14:paraId="77B44288" w14:textId="77777777" w:rsidR="00BA7ACB" w:rsidRDefault="00BA7ACB" w:rsidP="00A8303E">
      <w:pPr>
        <w:tabs>
          <w:tab w:val="clear" w:pos="1152"/>
          <w:tab w:val="left" w:pos="720"/>
        </w:tabs>
        <w:jc w:val="left"/>
        <w:rPr>
          <w:color w:val="222222"/>
          <w:sz w:val="24"/>
          <w:szCs w:val="24"/>
          <w:shd w:val="clear" w:color="auto" w:fill="FFFFFF"/>
        </w:rPr>
      </w:pPr>
      <w:r w:rsidRPr="00D712EA">
        <w:rPr>
          <w:color w:val="222222"/>
          <w:sz w:val="24"/>
          <w:szCs w:val="24"/>
          <w:shd w:val="clear" w:color="auto" w:fill="FFFFFF"/>
        </w:rPr>
        <w:t xml:space="preserve">Stuart, E. A., Huskamp, H. A., Duckworth, K., Simmons, J., Song, Z., Chernew, M. E., &amp; Barry, </w:t>
      </w:r>
    </w:p>
    <w:p w14:paraId="59695430" w14:textId="77777777" w:rsidR="00BA7ACB" w:rsidRPr="00D712EA" w:rsidRDefault="00BA7ACB" w:rsidP="00A8303E">
      <w:pPr>
        <w:tabs>
          <w:tab w:val="clear" w:pos="1152"/>
          <w:tab w:val="left" w:pos="720"/>
        </w:tabs>
        <w:ind w:left="1152"/>
        <w:jc w:val="left"/>
        <w:rPr>
          <w:color w:val="222222"/>
          <w:sz w:val="24"/>
          <w:szCs w:val="24"/>
          <w:shd w:val="clear" w:color="auto" w:fill="FFFFFF"/>
        </w:rPr>
      </w:pPr>
      <w:r w:rsidRPr="00D712EA">
        <w:rPr>
          <w:color w:val="222222"/>
          <w:sz w:val="24"/>
          <w:szCs w:val="24"/>
          <w:shd w:val="clear" w:color="auto" w:fill="FFFFFF"/>
        </w:rPr>
        <w:t>C. L. (2014). Using propensity scores in difference-in-differences models to estimate the effects of a policy change.</w:t>
      </w:r>
      <w:r w:rsidRPr="00D712EA">
        <w:rPr>
          <w:rStyle w:val="apple-converted-space"/>
          <w:color w:val="222222"/>
          <w:sz w:val="24"/>
          <w:szCs w:val="24"/>
          <w:shd w:val="clear" w:color="auto" w:fill="FFFFFF"/>
        </w:rPr>
        <w:t> </w:t>
      </w:r>
      <w:r w:rsidRPr="00D712EA">
        <w:rPr>
          <w:i/>
          <w:iCs/>
          <w:color w:val="222222"/>
          <w:sz w:val="24"/>
          <w:szCs w:val="24"/>
          <w:shd w:val="clear" w:color="auto" w:fill="FFFFFF"/>
        </w:rPr>
        <w:t>Health Services and Outcomes Research Methodology</w:t>
      </w:r>
      <w:r w:rsidRPr="00D712EA">
        <w:rPr>
          <w:color w:val="222222"/>
          <w:sz w:val="24"/>
          <w:szCs w:val="24"/>
          <w:shd w:val="clear" w:color="auto" w:fill="FFFFFF"/>
        </w:rPr>
        <w:t>,</w:t>
      </w:r>
      <w:r w:rsidRPr="00D712EA">
        <w:rPr>
          <w:rStyle w:val="apple-converted-space"/>
          <w:color w:val="222222"/>
          <w:sz w:val="24"/>
          <w:szCs w:val="24"/>
          <w:shd w:val="clear" w:color="auto" w:fill="FFFFFF"/>
        </w:rPr>
        <w:t> </w:t>
      </w:r>
      <w:r w:rsidRPr="00D712EA">
        <w:rPr>
          <w:i/>
          <w:iCs/>
          <w:color w:val="222222"/>
          <w:sz w:val="24"/>
          <w:szCs w:val="24"/>
          <w:shd w:val="clear" w:color="auto" w:fill="FFFFFF"/>
        </w:rPr>
        <w:t>14</w:t>
      </w:r>
      <w:r w:rsidRPr="00D712EA">
        <w:rPr>
          <w:color w:val="222222"/>
          <w:sz w:val="24"/>
          <w:szCs w:val="24"/>
          <w:shd w:val="clear" w:color="auto" w:fill="FFFFFF"/>
        </w:rPr>
        <w:t>(4), 166-182.</w:t>
      </w:r>
    </w:p>
    <w:p w14:paraId="38CFAE26" w14:textId="77777777" w:rsidR="00BA7ACB" w:rsidRPr="00E741B4" w:rsidRDefault="00BA7ACB" w:rsidP="00BA7ACB">
      <w:pPr>
        <w:pStyle w:val="L1-FlLSp12"/>
        <w:spacing w:line="276" w:lineRule="auto"/>
        <w:jc w:val="left"/>
        <w:rPr>
          <w:b/>
          <w:sz w:val="24"/>
          <w:szCs w:val="24"/>
        </w:rPr>
      </w:pPr>
    </w:p>
    <w:sectPr w:rsidR="00BA7ACB" w:rsidRPr="00E741B4" w:rsidSect="008A6A7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FE2D" w14:textId="77777777" w:rsidR="00D96E75" w:rsidRDefault="00D96E75" w:rsidP="00DD372B">
      <w:r>
        <w:separator/>
      </w:r>
    </w:p>
  </w:endnote>
  <w:endnote w:type="continuationSeparator" w:id="0">
    <w:p w14:paraId="64DBD27E" w14:textId="77777777" w:rsidR="00D96E75" w:rsidRDefault="00D96E75" w:rsidP="00DD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5042" w14:textId="77777777" w:rsidR="00AE15EE" w:rsidRDefault="00AE1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9E7E7" w14:textId="787C0594" w:rsidR="00967C55" w:rsidRPr="00E60620" w:rsidRDefault="00967C55" w:rsidP="003A4D22">
    <w:pPr>
      <w:pStyle w:val="Footer"/>
    </w:pPr>
    <w:r>
      <w:fldChar w:fldCharType="begin"/>
    </w:r>
    <w:r>
      <w:instrText xml:space="preserve"> PAGE   \* MERGEFORMAT </w:instrText>
    </w:r>
    <w:r>
      <w:fldChar w:fldCharType="separate"/>
    </w:r>
    <w:r w:rsidR="001A507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0F3F" w14:textId="6CD7D27C" w:rsidR="00967C55" w:rsidRPr="00D6415D" w:rsidRDefault="00967C55" w:rsidP="003A4D22">
    <w:pPr>
      <w:pStyle w:val="Footer"/>
    </w:pPr>
    <w:r w:rsidRPr="00D6415D">
      <w:rPr>
        <w:noProof/>
      </w:rPr>
      <w:fldChar w:fldCharType="begin"/>
    </w:r>
    <w:r w:rsidRPr="00D6415D">
      <w:rPr>
        <w:noProof/>
      </w:rPr>
      <w:instrText xml:space="preserve"> PAGE   \* MERGEFORMAT </w:instrText>
    </w:r>
    <w:r w:rsidRPr="00D6415D">
      <w:rPr>
        <w:noProof/>
      </w:rPr>
      <w:fldChar w:fldCharType="separate"/>
    </w:r>
    <w:r w:rsidR="001A5072">
      <w:rPr>
        <w:noProof/>
      </w:rPr>
      <w:t>1</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0D071" w14:textId="77777777" w:rsidR="00D96E75" w:rsidRDefault="00D96E75" w:rsidP="00DD372B">
      <w:r>
        <w:separator/>
      </w:r>
    </w:p>
  </w:footnote>
  <w:footnote w:type="continuationSeparator" w:id="0">
    <w:p w14:paraId="13405C31" w14:textId="77777777" w:rsidR="00D96E75" w:rsidRDefault="00D96E75" w:rsidP="00DD372B">
      <w:r>
        <w:continuationSeparator/>
      </w:r>
    </w:p>
  </w:footnote>
  <w:footnote w:id="1">
    <w:p w14:paraId="18CBA557" w14:textId="77777777" w:rsidR="00967C55" w:rsidRDefault="00967C55">
      <w:pPr>
        <w:pStyle w:val="FootnoteText"/>
      </w:pPr>
      <w:r>
        <w:rPr>
          <w:rStyle w:val="FootnoteReference"/>
        </w:rPr>
        <w:footnoteRef/>
      </w:r>
      <w:r>
        <w:t xml:space="preserve"> Bloom et al, 2017 assert that these types of inferences to a super population are appropriate even in the case of convenience sampling: “Even in a convenience sample, sites are usually chosen not because they comprise a population of interest but rather because they represent a broader population of sites that might have participated in the study or might consider adopting the program being tested. Hence, the ultimate goal of such studies is usually to generalize findings beyond the sites observed, even though the target of generalization is not well-defined.” </w:t>
      </w:r>
    </w:p>
  </w:footnote>
  <w:footnote w:id="2">
    <w:p w14:paraId="5792C90E" w14:textId="77777777" w:rsidR="00967C55" w:rsidRDefault="00967C55" w:rsidP="00EC3382">
      <w:pPr>
        <w:pStyle w:val="FootnoteText"/>
      </w:pPr>
      <w:r>
        <w:rPr>
          <w:rStyle w:val="FootnoteReference"/>
        </w:rPr>
        <w:footnoteRef/>
      </w:r>
      <w:r>
        <w:t xml:space="preserve"> The minimal detectable effects were estimated using the following formula from Bloom et al. 2006:</w:t>
      </w:r>
      <w:r>
        <w:rPr>
          <w:noProof/>
        </w:rPr>
        <w:drawing>
          <wp:inline distT="0" distB="0" distL="0" distR="0" wp14:anchorId="0EAF025C" wp14:editId="6AFA32B3">
            <wp:extent cx="1717481" cy="3882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10944"/>
                    <a:stretch/>
                  </pic:blipFill>
                  <pic:spPr bwMode="auto">
                    <a:xfrm>
                      <a:off x="0" y="0"/>
                      <a:ext cx="1711343" cy="38684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5380A3F" w14:textId="77777777" w:rsidR="00967C55" w:rsidRDefault="00967C55" w:rsidP="007926A0">
      <w:pPr>
        <w:pStyle w:val="FootnoteText"/>
        <w:tabs>
          <w:tab w:val="clear" w:pos="120"/>
          <w:tab w:val="left" w:pos="90"/>
        </w:tabs>
        <w:ind w:left="90" w:firstLine="0"/>
      </w:pPr>
      <w:r>
        <w:t>Here the Y terms refer to the means for treatment and control group members (subscripted by T and C). M is the multiplier, which is a constant that factors in the statistical power (here 0.8), the statistical significance (here 0.1), and the number of degrees of freedom in the impact analysis equation. In the two tailed test scenario that we have used here, M = 2.49. The term on the right is the standard error which is computed by dividing the variance (</w:t>
      </w:r>
      <w:r w:rsidRPr="00475D47">
        <w:t>σ</w:t>
      </w:r>
      <w:r>
        <w:rPr>
          <w:vertAlign w:val="superscript"/>
        </w:rPr>
        <w:t>2</w:t>
      </w:r>
      <w:r w:rsidRPr="00764B52">
        <w:t>)</w:t>
      </w:r>
      <w:r>
        <w:t xml:space="preserve"> </w:t>
      </w:r>
      <w:r w:rsidRPr="00475D47">
        <w:t>by</w:t>
      </w:r>
      <w:r>
        <w:t xml:space="preserve"> the random assignment ratio (P). </w:t>
      </w:r>
    </w:p>
  </w:footnote>
  <w:footnote w:id="3">
    <w:p w14:paraId="41EDE11D" w14:textId="77777777" w:rsidR="00967C55" w:rsidRDefault="00967C55" w:rsidP="00186D36">
      <w:pPr>
        <w:pStyle w:val="FootnoteText"/>
      </w:pPr>
      <w:r>
        <w:rPr>
          <w:rStyle w:val="FootnoteReference"/>
        </w:rPr>
        <w:footnoteRef/>
      </w:r>
      <w:r>
        <w:t xml:space="preserve"> </w:t>
      </w:r>
      <w:r w:rsidRPr="00FE4968">
        <w:rPr>
          <w:color w:val="000000"/>
          <w:spacing w:val="-4"/>
        </w:rPr>
        <w:t>The MDESs presented are for a two-tailed test at 0.10 significance level with 80 percent power. These MDES assume 50 percent of the sample is assigned to the treatment group and 50 percent is assigned to the control group, that 10 covariates will be used, and that the covariates will have a weak relationship with the outcomes (R-squared=0.15). This R-squared value is somewhat low compared to what’s been observed in other training and employment studies, and is intentionally a fairly conservative estimate.</w:t>
      </w:r>
      <w:r>
        <w:rPr>
          <w:color w:val="000000"/>
          <w:spacing w:val="-4"/>
        </w:rPr>
        <w:t xml:space="preserve"> </w:t>
      </w:r>
      <w:r w:rsidRPr="00FE4968">
        <w:rPr>
          <w:color w:val="000000"/>
          <w:spacing w:val="-4"/>
        </w:rPr>
        <w:t>If the covariates actually explain more of the variation in outcomes, this will only increase the power of the study.</w:t>
      </w:r>
    </w:p>
  </w:footnote>
  <w:footnote w:id="4">
    <w:p w14:paraId="5DE1E149" w14:textId="77777777" w:rsidR="00967C55" w:rsidRDefault="00967C55" w:rsidP="00186D36">
      <w:pPr>
        <w:pStyle w:val="FootnoteText"/>
        <w:spacing w:line="240" w:lineRule="auto"/>
      </w:pPr>
      <w:r>
        <w:rPr>
          <w:rStyle w:val="FootnoteReference"/>
        </w:rPr>
        <w:footnoteRef/>
      </w:r>
      <w:r>
        <w:t>A standard deviation of 0.5 assumes the worst case scenario. The point of maximum variance for a percentage measure is 0.5 (a control group level of 50 percent). At that point, an MDES of 0.2 translates into an MDE of 10 percentage points. The further the variance is from 0.5, the smaller the MDE. For example, if the control group level for a measure is 20 percent, the MDE for a study powered at 80 percent would be 8 percentage points.</w:t>
      </w:r>
    </w:p>
  </w:footnote>
  <w:footnote w:id="5">
    <w:p w14:paraId="3D8C9FDC" w14:textId="77777777" w:rsidR="00967C55" w:rsidRDefault="00967C55" w:rsidP="00186D36">
      <w:pPr>
        <w:pStyle w:val="FootnoteText"/>
        <w:spacing w:line="240" w:lineRule="auto"/>
      </w:pPr>
      <w:r>
        <w:rPr>
          <w:rStyle w:val="FootnoteReference"/>
        </w:rPr>
        <w:footnoteRef/>
      </w:r>
      <w:r>
        <w:t>These standard deviations are based on standard deviations from MDRC’s evaluation of the WorkAdvance program (Hendra et al.,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FC26" w14:textId="77777777" w:rsidR="00AE15EE" w:rsidRDefault="00AE1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D7FCF" w14:textId="77777777" w:rsidR="00967C55" w:rsidRDefault="00967C55" w:rsidP="003A4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C49D" w14:textId="77777777" w:rsidR="00967C55" w:rsidRPr="007C2CD6" w:rsidRDefault="00967C55" w:rsidP="003A4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767"/>
    <w:multiLevelType w:val="hybridMultilevel"/>
    <w:tmpl w:val="410C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52E9"/>
    <w:multiLevelType w:val="hybridMultilevel"/>
    <w:tmpl w:val="4340395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7">
    <w:nsid w:val="0BE221DC"/>
    <w:multiLevelType w:val="hybridMultilevel"/>
    <w:tmpl w:val="487E6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FE3BB8"/>
    <w:multiLevelType w:val="hybridMultilevel"/>
    <w:tmpl w:val="0EE00A4A"/>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A15896"/>
    <w:multiLevelType w:val="hybridMultilevel"/>
    <w:tmpl w:val="EAA8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13D4"/>
    <w:multiLevelType w:val="hybridMultilevel"/>
    <w:tmpl w:val="E0280BAC"/>
    <w:lvl w:ilvl="0" w:tplc="4B241D8A">
      <w:start w:val="1"/>
      <w:numFmt w:val="bullet"/>
      <w:pStyle w:val="BulletBlack"/>
      <w:lvlText w:val=""/>
      <w:lvlJc w:val="left"/>
      <w:pPr>
        <w:ind w:left="1152" w:hanging="360"/>
      </w:pPr>
      <w:rPr>
        <w:rFonts w:ascii="Symbol" w:hAnsi="Symbol" w:hint="default"/>
      </w:rPr>
    </w:lvl>
    <w:lvl w:ilvl="1" w:tplc="977AB9C4">
      <w:start w:val="1"/>
      <w:numFmt w:val="bullet"/>
      <w:lvlText w:val="o"/>
      <w:lvlJc w:val="left"/>
      <w:pPr>
        <w:ind w:left="1872" w:hanging="360"/>
      </w:pPr>
      <w:rPr>
        <w:rFonts w:ascii="Courier New" w:hAnsi="Courier New" w:cs="Courier New" w:hint="default"/>
      </w:rPr>
    </w:lvl>
    <w:lvl w:ilvl="2" w:tplc="295867E2" w:tentative="1">
      <w:start w:val="1"/>
      <w:numFmt w:val="bullet"/>
      <w:lvlText w:val=""/>
      <w:lvlJc w:val="left"/>
      <w:pPr>
        <w:ind w:left="2592" w:hanging="360"/>
      </w:pPr>
      <w:rPr>
        <w:rFonts w:ascii="Wingdings" w:hAnsi="Wingdings" w:hint="default"/>
      </w:rPr>
    </w:lvl>
    <w:lvl w:ilvl="3" w:tplc="DDAE1044" w:tentative="1">
      <w:start w:val="1"/>
      <w:numFmt w:val="bullet"/>
      <w:lvlText w:val=""/>
      <w:lvlJc w:val="left"/>
      <w:pPr>
        <w:ind w:left="3312" w:hanging="360"/>
      </w:pPr>
      <w:rPr>
        <w:rFonts w:ascii="Symbol" w:hAnsi="Symbol" w:hint="default"/>
      </w:rPr>
    </w:lvl>
    <w:lvl w:ilvl="4" w:tplc="3C0851AE" w:tentative="1">
      <w:start w:val="1"/>
      <w:numFmt w:val="bullet"/>
      <w:lvlText w:val="o"/>
      <w:lvlJc w:val="left"/>
      <w:pPr>
        <w:ind w:left="4032" w:hanging="360"/>
      </w:pPr>
      <w:rPr>
        <w:rFonts w:ascii="Courier New" w:hAnsi="Courier New" w:cs="Courier New" w:hint="default"/>
      </w:rPr>
    </w:lvl>
    <w:lvl w:ilvl="5" w:tplc="F1EA2062" w:tentative="1">
      <w:start w:val="1"/>
      <w:numFmt w:val="bullet"/>
      <w:lvlText w:val=""/>
      <w:lvlJc w:val="left"/>
      <w:pPr>
        <w:ind w:left="4752" w:hanging="360"/>
      </w:pPr>
      <w:rPr>
        <w:rFonts w:ascii="Wingdings" w:hAnsi="Wingdings" w:hint="default"/>
      </w:rPr>
    </w:lvl>
    <w:lvl w:ilvl="6" w:tplc="AE44D134" w:tentative="1">
      <w:start w:val="1"/>
      <w:numFmt w:val="bullet"/>
      <w:lvlText w:val=""/>
      <w:lvlJc w:val="left"/>
      <w:pPr>
        <w:ind w:left="5472" w:hanging="360"/>
      </w:pPr>
      <w:rPr>
        <w:rFonts w:ascii="Symbol" w:hAnsi="Symbol" w:hint="default"/>
      </w:rPr>
    </w:lvl>
    <w:lvl w:ilvl="7" w:tplc="3FCC0334" w:tentative="1">
      <w:start w:val="1"/>
      <w:numFmt w:val="bullet"/>
      <w:lvlText w:val="o"/>
      <w:lvlJc w:val="left"/>
      <w:pPr>
        <w:ind w:left="6192" w:hanging="360"/>
      </w:pPr>
      <w:rPr>
        <w:rFonts w:ascii="Courier New" w:hAnsi="Courier New" w:cs="Courier New" w:hint="default"/>
      </w:rPr>
    </w:lvl>
    <w:lvl w:ilvl="8" w:tplc="3D507058" w:tentative="1">
      <w:start w:val="1"/>
      <w:numFmt w:val="bullet"/>
      <w:lvlText w:val=""/>
      <w:lvlJc w:val="left"/>
      <w:pPr>
        <w:ind w:left="6912" w:hanging="360"/>
      </w:pPr>
      <w:rPr>
        <w:rFonts w:ascii="Wingdings" w:hAnsi="Wingdings" w:hint="default"/>
      </w:rPr>
    </w:lvl>
  </w:abstractNum>
  <w:abstractNum w:abstractNumId="14">
    <w:nsid w:val="1FB769BE"/>
    <w:multiLevelType w:val="hybridMultilevel"/>
    <w:tmpl w:val="B0FE84F6"/>
    <w:lvl w:ilvl="0" w:tplc="3D4A9B9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5D52B0"/>
    <w:multiLevelType w:val="hybridMultilevel"/>
    <w:tmpl w:val="CAC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3965185"/>
    <w:multiLevelType w:val="hybridMultilevel"/>
    <w:tmpl w:val="10F2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22">
    <w:nsid w:val="3C2D5ABE"/>
    <w:multiLevelType w:val="hybridMultilevel"/>
    <w:tmpl w:val="0EE00A4A"/>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5">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9320AC"/>
    <w:multiLevelType w:val="hybridMultilevel"/>
    <w:tmpl w:val="4E128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0C6109"/>
    <w:multiLevelType w:val="hybridMultilevel"/>
    <w:tmpl w:val="5848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B47C8"/>
    <w:multiLevelType w:val="hybridMultilevel"/>
    <w:tmpl w:val="1B8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2540B"/>
    <w:multiLevelType w:val="hybridMultilevel"/>
    <w:tmpl w:val="924E31A6"/>
    <w:lvl w:ilvl="0" w:tplc="D8048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EE3A96"/>
    <w:multiLevelType w:val="hybridMultilevel"/>
    <w:tmpl w:val="3EE43CC4"/>
    <w:lvl w:ilvl="0" w:tplc="85EAD99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0419F"/>
    <w:multiLevelType w:val="hybridMultilevel"/>
    <w:tmpl w:val="C026EFE2"/>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EC1760"/>
    <w:multiLevelType w:val="hybridMultilevel"/>
    <w:tmpl w:val="F90ABD26"/>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6D477E9D"/>
    <w:multiLevelType w:val="hybridMultilevel"/>
    <w:tmpl w:val="65F0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D27B92"/>
    <w:multiLevelType w:val="hybridMultilevel"/>
    <w:tmpl w:val="D17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3822442"/>
    <w:multiLevelType w:val="hybridMultilevel"/>
    <w:tmpl w:val="BC00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50317F"/>
    <w:multiLevelType w:val="hybridMultilevel"/>
    <w:tmpl w:val="10A6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5">
    <w:nsid w:val="7D632457"/>
    <w:multiLevelType w:val="hybridMultilevel"/>
    <w:tmpl w:val="B81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6644A"/>
    <w:multiLevelType w:val="hybridMultilevel"/>
    <w:tmpl w:val="8B18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3"/>
    <w:lvlOverride w:ilvl="0">
      <w:startOverride w:val="1"/>
    </w:lvlOverride>
  </w:num>
  <w:num w:numId="5">
    <w:abstractNumId w:val="39"/>
  </w:num>
  <w:num w:numId="6">
    <w:abstractNumId w:val="16"/>
  </w:num>
  <w:num w:numId="7">
    <w:abstractNumId w:val="24"/>
  </w:num>
  <w:num w:numId="8">
    <w:abstractNumId w:val="29"/>
  </w:num>
  <w:num w:numId="9">
    <w:abstractNumId w:val="35"/>
  </w:num>
  <w:num w:numId="10">
    <w:abstractNumId w:val="44"/>
  </w:num>
  <w:num w:numId="11">
    <w:abstractNumId w:val="20"/>
  </w:num>
  <w:num w:numId="12">
    <w:abstractNumId w:val="25"/>
  </w:num>
  <w:num w:numId="13">
    <w:abstractNumId w:val="37"/>
  </w:num>
  <w:num w:numId="14">
    <w:abstractNumId w:val="5"/>
  </w:num>
  <w:num w:numId="15">
    <w:abstractNumId w:val="32"/>
  </w:num>
  <w:num w:numId="16">
    <w:abstractNumId w:val="4"/>
  </w:num>
  <w:num w:numId="17">
    <w:abstractNumId w:val="43"/>
  </w:num>
  <w:num w:numId="18">
    <w:abstractNumId w:val="41"/>
  </w:num>
  <w:num w:numId="19">
    <w:abstractNumId w:val="14"/>
  </w:num>
  <w:num w:numId="20">
    <w:abstractNumId w:val="9"/>
  </w:num>
  <w:num w:numId="21">
    <w:abstractNumId w:val="34"/>
  </w:num>
  <w:num w:numId="22">
    <w:abstractNumId w:val="11"/>
  </w:num>
  <w:num w:numId="23">
    <w:abstractNumId w:val="33"/>
  </w:num>
  <w:num w:numId="24">
    <w:abstractNumId w:val="9"/>
  </w:num>
  <w:num w:numId="25">
    <w:abstractNumId w:val="22"/>
  </w:num>
  <w:num w:numId="26">
    <w:abstractNumId w:val="21"/>
  </w:num>
  <w:num w:numId="27">
    <w:abstractNumId w:val="15"/>
  </w:num>
  <w:num w:numId="28">
    <w:abstractNumId w:val="46"/>
  </w:num>
  <w:num w:numId="29">
    <w:abstractNumId w:val="38"/>
  </w:num>
  <w:num w:numId="30">
    <w:abstractNumId w:val="30"/>
  </w:num>
  <w:num w:numId="31">
    <w:abstractNumId w:val="28"/>
  </w:num>
  <w:num w:numId="32">
    <w:abstractNumId w:val="45"/>
  </w:num>
  <w:num w:numId="33">
    <w:abstractNumId w:val="26"/>
  </w:num>
  <w:num w:numId="34">
    <w:abstractNumId w:val="0"/>
  </w:num>
  <w:num w:numId="35">
    <w:abstractNumId w:val="17"/>
  </w:num>
  <w:num w:numId="36">
    <w:abstractNumId w:val="8"/>
  </w:num>
  <w:num w:numId="37">
    <w:abstractNumId w:val="19"/>
  </w:num>
  <w:num w:numId="38">
    <w:abstractNumId w:val="42"/>
  </w:num>
  <w:num w:numId="39">
    <w:abstractNumId w:val="31"/>
  </w:num>
  <w:num w:numId="40">
    <w:abstractNumId w:val="27"/>
  </w:num>
  <w:num w:numId="41">
    <w:abstractNumId w:val="13"/>
  </w:num>
  <w:num w:numId="42">
    <w:abstractNumId w:val="1"/>
  </w:num>
  <w:num w:numId="43">
    <w:abstractNumId w:val="7"/>
  </w:num>
  <w:num w:numId="44">
    <w:abstractNumId w:val="36"/>
  </w:num>
  <w:num w:numId="45">
    <w:abstractNumId w:val="3"/>
  </w:num>
  <w:num w:numId="46">
    <w:abstractNumId w:val="12"/>
  </w:num>
  <w:num w:numId="47">
    <w:abstractNumId w:val="2"/>
  </w:num>
  <w:num w:numId="48">
    <w:abstractNumId w:val="40"/>
  </w:num>
  <w:num w:numId="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048D"/>
    <w:rsid w:val="00022342"/>
    <w:rsid w:val="00025350"/>
    <w:rsid w:val="00031051"/>
    <w:rsid w:val="000350E9"/>
    <w:rsid w:val="00036AF4"/>
    <w:rsid w:val="00037F0A"/>
    <w:rsid w:val="00043871"/>
    <w:rsid w:val="00044705"/>
    <w:rsid w:val="000447C2"/>
    <w:rsid w:val="000468CC"/>
    <w:rsid w:val="00047085"/>
    <w:rsid w:val="00047434"/>
    <w:rsid w:val="00051FAB"/>
    <w:rsid w:val="000527C5"/>
    <w:rsid w:val="00057925"/>
    <w:rsid w:val="00063D33"/>
    <w:rsid w:val="0006498E"/>
    <w:rsid w:val="00066207"/>
    <w:rsid w:val="00067184"/>
    <w:rsid w:val="000709DF"/>
    <w:rsid w:val="0007338F"/>
    <w:rsid w:val="00073632"/>
    <w:rsid w:val="00073F2D"/>
    <w:rsid w:val="00073FEE"/>
    <w:rsid w:val="000757B8"/>
    <w:rsid w:val="00076495"/>
    <w:rsid w:val="000770CB"/>
    <w:rsid w:val="00085BB2"/>
    <w:rsid w:val="00090941"/>
    <w:rsid w:val="00091A23"/>
    <w:rsid w:val="00092F4F"/>
    <w:rsid w:val="000944C1"/>
    <w:rsid w:val="000975AF"/>
    <w:rsid w:val="000A2B18"/>
    <w:rsid w:val="000A4805"/>
    <w:rsid w:val="000A5C0C"/>
    <w:rsid w:val="000A7543"/>
    <w:rsid w:val="000C33DB"/>
    <w:rsid w:val="000C6E09"/>
    <w:rsid w:val="000D02CD"/>
    <w:rsid w:val="000D4141"/>
    <w:rsid w:val="000D51B5"/>
    <w:rsid w:val="000E0143"/>
    <w:rsid w:val="000E07BE"/>
    <w:rsid w:val="000E2904"/>
    <w:rsid w:val="000E3226"/>
    <w:rsid w:val="000E47DE"/>
    <w:rsid w:val="000E5EF2"/>
    <w:rsid w:val="000F4CFB"/>
    <w:rsid w:val="000F5C49"/>
    <w:rsid w:val="000F65F3"/>
    <w:rsid w:val="000F6F46"/>
    <w:rsid w:val="00101C84"/>
    <w:rsid w:val="00114C6E"/>
    <w:rsid w:val="001160BD"/>
    <w:rsid w:val="00116584"/>
    <w:rsid w:val="001201F4"/>
    <w:rsid w:val="00120A6B"/>
    <w:rsid w:val="00121A4A"/>
    <w:rsid w:val="00125F6D"/>
    <w:rsid w:val="00127EE4"/>
    <w:rsid w:val="00134ECD"/>
    <w:rsid w:val="00134EFB"/>
    <w:rsid w:val="001377A3"/>
    <w:rsid w:val="001402EE"/>
    <w:rsid w:val="0014354C"/>
    <w:rsid w:val="00145F5D"/>
    <w:rsid w:val="00147D20"/>
    <w:rsid w:val="00150369"/>
    <w:rsid w:val="00152B01"/>
    <w:rsid w:val="00156208"/>
    <w:rsid w:val="001622C8"/>
    <w:rsid w:val="00162E28"/>
    <w:rsid w:val="001659AC"/>
    <w:rsid w:val="001768BA"/>
    <w:rsid w:val="00184A10"/>
    <w:rsid w:val="00184FB4"/>
    <w:rsid w:val="00186D36"/>
    <w:rsid w:val="001912C1"/>
    <w:rsid w:val="00194FDC"/>
    <w:rsid w:val="001A05FD"/>
    <w:rsid w:val="001A10A2"/>
    <w:rsid w:val="001A1114"/>
    <w:rsid w:val="001A5072"/>
    <w:rsid w:val="001B097C"/>
    <w:rsid w:val="001B265D"/>
    <w:rsid w:val="001B48CD"/>
    <w:rsid w:val="001B6AA1"/>
    <w:rsid w:val="001C4A08"/>
    <w:rsid w:val="001C555E"/>
    <w:rsid w:val="001C69DD"/>
    <w:rsid w:val="001C6D8F"/>
    <w:rsid w:val="001D0187"/>
    <w:rsid w:val="001D1F70"/>
    <w:rsid w:val="001D549D"/>
    <w:rsid w:val="001E00CA"/>
    <w:rsid w:val="001E1D09"/>
    <w:rsid w:val="001E1D72"/>
    <w:rsid w:val="001E22E8"/>
    <w:rsid w:val="001E3800"/>
    <w:rsid w:val="001E396C"/>
    <w:rsid w:val="001E5F24"/>
    <w:rsid w:val="001E6079"/>
    <w:rsid w:val="001F2D06"/>
    <w:rsid w:val="001F7159"/>
    <w:rsid w:val="001F7BCA"/>
    <w:rsid w:val="00203CA4"/>
    <w:rsid w:val="00203E75"/>
    <w:rsid w:val="00203EFB"/>
    <w:rsid w:val="0020415E"/>
    <w:rsid w:val="0020526D"/>
    <w:rsid w:val="00205C31"/>
    <w:rsid w:val="00205CCE"/>
    <w:rsid w:val="00205FB5"/>
    <w:rsid w:val="00206D6D"/>
    <w:rsid w:val="0021119F"/>
    <w:rsid w:val="00211AC6"/>
    <w:rsid w:val="002120F1"/>
    <w:rsid w:val="00212FFB"/>
    <w:rsid w:val="002143C2"/>
    <w:rsid w:val="00214B46"/>
    <w:rsid w:val="0022221F"/>
    <w:rsid w:val="002232F7"/>
    <w:rsid w:val="002263E0"/>
    <w:rsid w:val="00241635"/>
    <w:rsid w:val="00242263"/>
    <w:rsid w:val="00250813"/>
    <w:rsid w:val="00253B2C"/>
    <w:rsid w:val="00255CED"/>
    <w:rsid w:val="0026080B"/>
    <w:rsid w:val="00263D25"/>
    <w:rsid w:val="00266495"/>
    <w:rsid w:val="00267642"/>
    <w:rsid w:val="00267F75"/>
    <w:rsid w:val="00271489"/>
    <w:rsid w:val="00272C38"/>
    <w:rsid w:val="00272EBC"/>
    <w:rsid w:val="002747D9"/>
    <w:rsid w:val="0027493A"/>
    <w:rsid w:val="00277BDF"/>
    <w:rsid w:val="00277D01"/>
    <w:rsid w:val="00282312"/>
    <w:rsid w:val="002851B1"/>
    <w:rsid w:val="0028599A"/>
    <w:rsid w:val="002A4D1F"/>
    <w:rsid w:val="002A52B9"/>
    <w:rsid w:val="002A6821"/>
    <w:rsid w:val="002B1CC6"/>
    <w:rsid w:val="002D1420"/>
    <w:rsid w:val="002D3E8C"/>
    <w:rsid w:val="002D408E"/>
    <w:rsid w:val="002D7917"/>
    <w:rsid w:val="002E4AEA"/>
    <w:rsid w:val="002E7811"/>
    <w:rsid w:val="002E7BF7"/>
    <w:rsid w:val="002F0F19"/>
    <w:rsid w:val="002F126A"/>
    <w:rsid w:val="002F5259"/>
    <w:rsid w:val="00300297"/>
    <w:rsid w:val="00300AB5"/>
    <w:rsid w:val="00301467"/>
    <w:rsid w:val="00302485"/>
    <w:rsid w:val="00302E5C"/>
    <w:rsid w:val="00304009"/>
    <w:rsid w:val="00305217"/>
    <w:rsid w:val="00306197"/>
    <w:rsid w:val="0030691F"/>
    <w:rsid w:val="00307E07"/>
    <w:rsid w:val="00313586"/>
    <w:rsid w:val="00313902"/>
    <w:rsid w:val="00315646"/>
    <w:rsid w:val="00320BD9"/>
    <w:rsid w:val="00322842"/>
    <w:rsid w:val="00323FC9"/>
    <w:rsid w:val="003254F9"/>
    <w:rsid w:val="00326859"/>
    <w:rsid w:val="00343C94"/>
    <w:rsid w:val="00350EE1"/>
    <w:rsid w:val="00350F94"/>
    <w:rsid w:val="003575FA"/>
    <w:rsid w:val="00357ED8"/>
    <w:rsid w:val="00360484"/>
    <w:rsid w:val="003724DF"/>
    <w:rsid w:val="003741B5"/>
    <w:rsid w:val="00383C29"/>
    <w:rsid w:val="00392857"/>
    <w:rsid w:val="003941E5"/>
    <w:rsid w:val="00396CF5"/>
    <w:rsid w:val="00397B0B"/>
    <w:rsid w:val="003A33F2"/>
    <w:rsid w:val="003A4615"/>
    <w:rsid w:val="003A4D22"/>
    <w:rsid w:val="003A522C"/>
    <w:rsid w:val="003A5B7B"/>
    <w:rsid w:val="003A5CA6"/>
    <w:rsid w:val="003A6AB6"/>
    <w:rsid w:val="003B1A43"/>
    <w:rsid w:val="003B1C13"/>
    <w:rsid w:val="003B5D27"/>
    <w:rsid w:val="003C3199"/>
    <w:rsid w:val="003C6AA0"/>
    <w:rsid w:val="003C7936"/>
    <w:rsid w:val="003C7B0F"/>
    <w:rsid w:val="003E21EB"/>
    <w:rsid w:val="003E5FC5"/>
    <w:rsid w:val="003F13C4"/>
    <w:rsid w:val="003F2419"/>
    <w:rsid w:val="003F3309"/>
    <w:rsid w:val="00404935"/>
    <w:rsid w:val="00407C2F"/>
    <w:rsid w:val="00411C90"/>
    <w:rsid w:val="00412C16"/>
    <w:rsid w:val="004144E2"/>
    <w:rsid w:val="00414B36"/>
    <w:rsid w:val="00415164"/>
    <w:rsid w:val="004153AF"/>
    <w:rsid w:val="00417366"/>
    <w:rsid w:val="00417779"/>
    <w:rsid w:val="00420971"/>
    <w:rsid w:val="00421E98"/>
    <w:rsid w:val="00422AC6"/>
    <w:rsid w:val="00425B31"/>
    <w:rsid w:val="004273F4"/>
    <w:rsid w:val="00431452"/>
    <w:rsid w:val="00440C32"/>
    <w:rsid w:val="00451B86"/>
    <w:rsid w:val="0045281F"/>
    <w:rsid w:val="00455CAF"/>
    <w:rsid w:val="0047041E"/>
    <w:rsid w:val="00471DC7"/>
    <w:rsid w:val="00475B6F"/>
    <w:rsid w:val="00475D47"/>
    <w:rsid w:val="004762B0"/>
    <w:rsid w:val="0047782E"/>
    <w:rsid w:val="00477A9F"/>
    <w:rsid w:val="00481D46"/>
    <w:rsid w:val="00481DB2"/>
    <w:rsid w:val="00483653"/>
    <w:rsid w:val="00490145"/>
    <w:rsid w:val="00493E51"/>
    <w:rsid w:val="00496821"/>
    <w:rsid w:val="00497A00"/>
    <w:rsid w:val="004A0B66"/>
    <w:rsid w:val="004A7048"/>
    <w:rsid w:val="004B3AEF"/>
    <w:rsid w:val="004B3BBF"/>
    <w:rsid w:val="004B5FCA"/>
    <w:rsid w:val="004C06C2"/>
    <w:rsid w:val="004C2846"/>
    <w:rsid w:val="004C56A6"/>
    <w:rsid w:val="004D0D4C"/>
    <w:rsid w:val="004D3719"/>
    <w:rsid w:val="004D5DE5"/>
    <w:rsid w:val="004D7C4C"/>
    <w:rsid w:val="004E2BB3"/>
    <w:rsid w:val="004E4535"/>
    <w:rsid w:val="004E7AC1"/>
    <w:rsid w:val="00501EE6"/>
    <w:rsid w:val="005042B3"/>
    <w:rsid w:val="00507BCB"/>
    <w:rsid w:val="0051381C"/>
    <w:rsid w:val="00516AF1"/>
    <w:rsid w:val="00517BD9"/>
    <w:rsid w:val="0052352E"/>
    <w:rsid w:val="00523BA6"/>
    <w:rsid w:val="00530EBF"/>
    <w:rsid w:val="00531538"/>
    <w:rsid w:val="00531E1C"/>
    <w:rsid w:val="00541C40"/>
    <w:rsid w:val="005427A0"/>
    <w:rsid w:val="005444F4"/>
    <w:rsid w:val="00550794"/>
    <w:rsid w:val="005547B9"/>
    <w:rsid w:val="00563156"/>
    <w:rsid w:val="00575C11"/>
    <w:rsid w:val="00580B23"/>
    <w:rsid w:val="0058738E"/>
    <w:rsid w:val="005905D6"/>
    <w:rsid w:val="0059137A"/>
    <w:rsid w:val="00591429"/>
    <w:rsid w:val="005920D0"/>
    <w:rsid w:val="00593313"/>
    <w:rsid w:val="00596C37"/>
    <w:rsid w:val="005A1A3F"/>
    <w:rsid w:val="005A31EE"/>
    <w:rsid w:val="005A52C6"/>
    <w:rsid w:val="005A7798"/>
    <w:rsid w:val="005B1DD6"/>
    <w:rsid w:val="005B7031"/>
    <w:rsid w:val="005C7EF5"/>
    <w:rsid w:val="005D1174"/>
    <w:rsid w:val="005D4670"/>
    <w:rsid w:val="005D46D8"/>
    <w:rsid w:val="005D4F72"/>
    <w:rsid w:val="005D5BBC"/>
    <w:rsid w:val="005E169F"/>
    <w:rsid w:val="005E2020"/>
    <w:rsid w:val="005E3AA1"/>
    <w:rsid w:val="005E53FF"/>
    <w:rsid w:val="005E6452"/>
    <w:rsid w:val="005F33C9"/>
    <w:rsid w:val="005F5509"/>
    <w:rsid w:val="005F6A7A"/>
    <w:rsid w:val="005F7D5D"/>
    <w:rsid w:val="00600A4E"/>
    <w:rsid w:val="00602999"/>
    <w:rsid w:val="006106FC"/>
    <w:rsid w:val="00614494"/>
    <w:rsid w:val="0061495F"/>
    <w:rsid w:val="00614D1C"/>
    <w:rsid w:val="00616257"/>
    <w:rsid w:val="00620F40"/>
    <w:rsid w:val="00625119"/>
    <w:rsid w:val="00627604"/>
    <w:rsid w:val="006313A0"/>
    <w:rsid w:val="0064309E"/>
    <w:rsid w:val="00644471"/>
    <w:rsid w:val="00647D6A"/>
    <w:rsid w:val="00650AFB"/>
    <w:rsid w:val="00651022"/>
    <w:rsid w:val="0065258A"/>
    <w:rsid w:val="006567DA"/>
    <w:rsid w:val="00657599"/>
    <w:rsid w:val="00657F38"/>
    <w:rsid w:val="006631E7"/>
    <w:rsid w:val="00663E26"/>
    <w:rsid w:val="0066643F"/>
    <w:rsid w:val="00667B27"/>
    <w:rsid w:val="00672E8F"/>
    <w:rsid w:val="006756A3"/>
    <w:rsid w:val="0068253C"/>
    <w:rsid w:val="00683296"/>
    <w:rsid w:val="0068381B"/>
    <w:rsid w:val="00683820"/>
    <w:rsid w:val="006849A8"/>
    <w:rsid w:val="006901D7"/>
    <w:rsid w:val="00693986"/>
    <w:rsid w:val="0069462D"/>
    <w:rsid w:val="006A0637"/>
    <w:rsid w:val="006A216C"/>
    <w:rsid w:val="006A238C"/>
    <w:rsid w:val="006A2EDE"/>
    <w:rsid w:val="006A46F6"/>
    <w:rsid w:val="006A5E5C"/>
    <w:rsid w:val="006A778D"/>
    <w:rsid w:val="006B1396"/>
    <w:rsid w:val="006B33B5"/>
    <w:rsid w:val="006B4BA7"/>
    <w:rsid w:val="006B5921"/>
    <w:rsid w:val="006C5972"/>
    <w:rsid w:val="006D735C"/>
    <w:rsid w:val="006D77EA"/>
    <w:rsid w:val="006E0383"/>
    <w:rsid w:val="006E775D"/>
    <w:rsid w:val="006F0E7E"/>
    <w:rsid w:val="006F6234"/>
    <w:rsid w:val="0070039E"/>
    <w:rsid w:val="00702301"/>
    <w:rsid w:val="007035CD"/>
    <w:rsid w:val="00705A09"/>
    <w:rsid w:val="00707A44"/>
    <w:rsid w:val="007100C9"/>
    <w:rsid w:val="007150D3"/>
    <w:rsid w:val="007165CC"/>
    <w:rsid w:val="00720E9B"/>
    <w:rsid w:val="00721588"/>
    <w:rsid w:val="007223AE"/>
    <w:rsid w:val="0072337A"/>
    <w:rsid w:val="007304BD"/>
    <w:rsid w:val="00731A44"/>
    <w:rsid w:val="0073534D"/>
    <w:rsid w:val="00736184"/>
    <w:rsid w:val="00737920"/>
    <w:rsid w:val="00741FAB"/>
    <w:rsid w:val="00742248"/>
    <w:rsid w:val="007437FE"/>
    <w:rsid w:val="0074389B"/>
    <w:rsid w:val="00744F53"/>
    <w:rsid w:val="00754B85"/>
    <w:rsid w:val="007611E2"/>
    <w:rsid w:val="0076468D"/>
    <w:rsid w:val="00764B52"/>
    <w:rsid w:val="00766555"/>
    <w:rsid w:val="0076699A"/>
    <w:rsid w:val="00770E81"/>
    <w:rsid w:val="00772EF6"/>
    <w:rsid w:val="00774268"/>
    <w:rsid w:val="0077775D"/>
    <w:rsid w:val="007926A0"/>
    <w:rsid w:val="007927BB"/>
    <w:rsid w:val="00795760"/>
    <w:rsid w:val="00797A82"/>
    <w:rsid w:val="007A4BF5"/>
    <w:rsid w:val="007A7045"/>
    <w:rsid w:val="007A76FF"/>
    <w:rsid w:val="007A79FF"/>
    <w:rsid w:val="007A7CB3"/>
    <w:rsid w:val="007B01A1"/>
    <w:rsid w:val="007B0BD5"/>
    <w:rsid w:val="007B6349"/>
    <w:rsid w:val="007C0946"/>
    <w:rsid w:val="007C2CD6"/>
    <w:rsid w:val="007C2D80"/>
    <w:rsid w:val="007C4EBF"/>
    <w:rsid w:val="007C76ED"/>
    <w:rsid w:val="007D0E0F"/>
    <w:rsid w:val="007D0F3A"/>
    <w:rsid w:val="007E4FD5"/>
    <w:rsid w:val="007E6372"/>
    <w:rsid w:val="008004E8"/>
    <w:rsid w:val="008021F7"/>
    <w:rsid w:val="00811445"/>
    <w:rsid w:val="00820C97"/>
    <w:rsid w:val="00823929"/>
    <w:rsid w:val="00826A21"/>
    <w:rsid w:val="00826E14"/>
    <w:rsid w:val="00835AFB"/>
    <w:rsid w:val="008407D0"/>
    <w:rsid w:val="0084109A"/>
    <w:rsid w:val="0084323E"/>
    <w:rsid w:val="00846250"/>
    <w:rsid w:val="008478CF"/>
    <w:rsid w:val="00850A8B"/>
    <w:rsid w:val="00853851"/>
    <w:rsid w:val="008562F2"/>
    <w:rsid w:val="0086324B"/>
    <w:rsid w:val="008662BD"/>
    <w:rsid w:val="008721BF"/>
    <w:rsid w:val="008731C6"/>
    <w:rsid w:val="008750B5"/>
    <w:rsid w:val="0088021E"/>
    <w:rsid w:val="00882D43"/>
    <w:rsid w:val="00883F11"/>
    <w:rsid w:val="00885333"/>
    <w:rsid w:val="008874B0"/>
    <w:rsid w:val="00887EC8"/>
    <w:rsid w:val="008926D8"/>
    <w:rsid w:val="00892F3F"/>
    <w:rsid w:val="00893337"/>
    <w:rsid w:val="00894610"/>
    <w:rsid w:val="0089488C"/>
    <w:rsid w:val="00895E95"/>
    <w:rsid w:val="008971C0"/>
    <w:rsid w:val="008A08DE"/>
    <w:rsid w:val="008A6A7C"/>
    <w:rsid w:val="008A7554"/>
    <w:rsid w:val="008B0474"/>
    <w:rsid w:val="008B577C"/>
    <w:rsid w:val="008B782C"/>
    <w:rsid w:val="008D0890"/>
    <w:rsid w:val="008D1607"/>
    <w:rsid w:val="008D45A5"/>
    <w:rsid w:val="008E37B9"/>
    <w:rsid w:val="008E4E27"/>
    <w:rsid w:val="008E5ED4"/>
    <w:rsid w:val="008E6CDD"/>
    <w:rsid w:val="008E6CF0"/>
    <w:rsid w:val="008F3181"/>
    <w:rsid w:val="008F6388"/>
    <w:rsid w:val="00901F09"/>
    <w:rsid w:val="00904B22"/>
    <w:rsid w:val="00916E55"/>
    <w:rsid w:val="009201FA"/>
    <w:rsid w:val="00922361"/>
    <w:rsid w:val="00922CCE"/>
    <w:rsid w:val="00923737"/>
    <w:rsid w:val="00923C66"/>
    <w:rsid w:val="0092551B"/>
    <w:rsid w:val="00930796"/>
    <w:rsid w:val="009355F7"/>
    <w:rsid w:val="00940319"/>
    <w:rsid w:val="00950A60"/>
    <w:rsid w:val="0095362B"/>
    <w:rsid w:val="00955C5C"/>
    <w:rsid w:val="00960083"/>
    <w:rsid w:val="00962AF2"/>
    <w:rsid w:val="00967C55"/>
    <w:rsid w:val="00967F34"/>
    <w:rsid w:val="0097142D"/>
    <w:rsid w:val="00971FDA"/>
    <w:rsid w:val="00974E38"/>
    <w:rsid w:val="009844EA"/>
    <w:rsid w:val="0098577F"/>
    <w:rsid w:val="009871D3"/>
    <w:rsid w:val="00987706"/>
    <w:rsid w:val="00987821"/>
    <w:rsid w:val="0098785D"/>
    <w:rsid w:val="009900C2"/>
    <w:rsid w:val="00992616"/>
    <w:rsid w:val="00992641"/>
    <w:rsid w:val="009926F1"/>
    <w:rsid w:val="00993672"/>
    <w:rsid w:val="009943A4"/>
    <w:rsid w:val="009A1071"/>
    <w:rsid w:val="009A23F9"/>
    <w:rsid w:val="009A37B4"/>
    <w:rsid w:val="009A40D7"/>
    <w:rsid w:val="009B1DC5"/>
    <w:rsid w:val="009B3F63"/>
    <w:rsid w:val="009C4246"/>
    <w:rsid w:val="009C6691"/>
    <w:rsid w:val="009C675E"/>
    <w:rsid w:val="009D254B"/>
    <w:rsid w:val="009D2B6D"/>
    <w:rsid w:val="009E121A"/>
    <w:rsid w:val="009E6B00"/>
    <w:rsid w:val="009F6771"/>
    <w:rsid w:val="009F6EDC"/>
    <w:rsid w:val="00A0089F"/>
    <w:rsid w:val="00A15A6F"/>
    <w:rsid w:val="00A20174"/>
    <w:rsid w:val="00A22FFF"/>
    <w:rsid w:val="00A23CFA"/>
    <w:rsid w:val="00A24702"/>
    <w:rsid w:val="00A24A50"/>
    <w:rsid w:val="00A257BE"/>
    <w:rsid w:val="00A261B7"/>
    <w:rsid w:val="00A26E08"/>
    <w:rsid w:val="00A34036"/>
    <w:rsid w:val="00A37D29"/>
    <w:rsid w:val="00A44935"/>
    <w:rsid w:val="00A5064E"/>
    <w:rsid w:val="00A51A6B"/>
    <w:rsid w:val="00A53A03"/>
    <w:rsid w:val="00A653B4"/>
    <w:rsid w:val="00A668DB"/>
    <w:rsid w:val="00A70CC3"/>
    <w:rsid w:val="00A752CC"/>
    <w:rsid w:val="00A755BD"/>
    <w:rsid w:val="00A75648"/>
    <w:rsid w:val="00A767D7"/>
    <w:rsid w:val="00A77D80"/>
    <w:rsid w:val="00A80085"/>
    <w:rsid w:val="00A80C12"/>
    <w:rsid w:val="00A8303E"/>
    <w:rsid w:val="00A8332B"/>
    <w:rsid w:val="00A8606D"/>
    <w:rsid w:val="00A877F4"/>
    <w:rsid w:val="00A9104B"/>
    <w:rsid w:val="00A95ACF"/>
    <w:rsid w:val="00A974FC"/>
    <w:rsid w:val="00A97830"/>
    <w:rsid w:val="00AA54A9"/>
    <w:rsid w:val="00AC2447"/>
    <w:rsid w:val="00AC314D"/>
    <w:rsid w:val="00AC3FA8"/>
    <w:rsid w:val="00AC64BC"/>
    <w:rsid w:val="00AD0971"/>
    <w:rsid w:val="00AD12C8"/>
    <w:rsid w:val="00AD5980"/>
    <w:rsid w:val="00AD6A02"/>
    <w:rsid w:val="00AE15EE"/>
    <w:rsid w:val="00AE1744"/>
    <w:rsid w:val="00AE3C51"/>
    <w:rsid w:val="00AF002E"/>
    <w:rsid w:val="00AF1251"/>
    <w:rsid w:val="00AF3094"/>
    <w:rsid w:val="00AF43A7"/>
    <w:rsid w:val="00B011D9"/>
    <w:rsid w:val="00B06CAC"/>
    <w:rsid w:val="00B118D4"/>
    <w:rsid w:val="00B11E90"/>
    <w:rsid w:val="00B17395"/>
    <w:rsid w:val="00B2164F"/>
    <w:rsid w:val="00B231D1"/>
    <w:rsid w:val="00B32AF4"/>
    <w:rsid w:val="00B43AD0"/>
    <w:rsid w:val="00B54406"/>
    <w:rsid w:val="00B55900"/>
    <w:rsid w:val="00B55B95"/>
    <w:rsid w:val="00B55BAD"/>
    <w:rsid w:val="00B57F6F"/>
    <w:rsid w:val="00B6595E"/>
    <w:rsid w:val="00B67F68"/>
    <w:rsid w:val="00B70876"/>
    <w:rsid w:val="00B7225C"/>
    <w:rsid w:val="00B755EB"/>
    <w:rsid w:val="00B824FD"/>
    <w:rsid w:val="00B84D69"/>
    <w:rsid w:val="00B84F01"/>
    <w:rsid w:val="00B8644F"/>
    <w:rsid w:val="00B879B3"/>
    <w:rsid w:val="00B9677F"/>
    <w:rsid w:val="00BA48D5"/>
    <w:rsid w:val="00BA4999"/>
    <w:rsid w:val="00BA623E"/>
    <w:rsid w:val="00BA7ACB"/>
    <w:rsid w:val="00BB06E9"/>
    <w:rsid w:val="00BB3850"/>
    <w:rsid w:val="00BB46EA"/>
    <w:rsid w:val="00BC10FC"/>
    <w:rsid w:val="00BC4AA4"/>
    <w:rsid w:val="00BC5862"/>
    <w:rsid w:val="00BC677B"/>
    <w:rsid w:val="00BC6E81"/>
    <w:rsid w:val="00BD1970"/>
    <w:rsid w:val="00BD2066"/>
    <w:rsid w:val="00BD4AB9"/>
    <w:rsid w:val="00BE3B60"/>
    <w:rsid w:val="00BE4CF0"/>
    <w:rsid w:val="00BE6197"/>
    <w:rsid w:val="00BF2625"/>
    <w:rsid w:val="00BF76E0"/>
    <w:rsid w:val="00C02332"/>
    <w:rsid w:val="00C045FA"/>
    <w:rsid w:val="00C06140"/>
    <w:rsid w:val="00C06763"/>
    <w:rsid w:val="00C07120"/>
    <w:rsid w:val="00C10FED"/>
    <w:rsid w:val="00C113B8"/>
    <w:rsid w:val="00C12ED2"/>
    <w:rsid w:val="00C14B4C"/>
    <w:rsid w:val="00C15446"/>
    <w:rsid w:val="00C16990"/>
    <w:rsid w:val="00C178DD"/>
    <w:rsid w:val="00C23317"/>
    <w:rsid w:val="00C24445"/>
    <w:rsid w:val="00C24722"/>
    <w:rsid w:val="00C24A72"/>
    <w:rsid w:val="00C274BD"/>
    <w:rsid w:val="00C31396"/>
    <w:rsid w:val="00C352AE"/>
    <w:rsid w:val="00C41ADD"/>
    <w:rsid w:val="00C433B4"/>
    <w:rsid w:val="00C43857"/>
    <w:rsid w:val="00C44186"/>
    <w:rsid w:val="00C45EEF"/>
    <w:rsid w:val="00C467A9"/>
    <w:rsid w:val="00C50612"/>
    <w:rsid w:val="00C518C9"/>
    <w:rsid w:val="00C53273"/>
    <w:rsid w:val="00C602D8"/>
    <w:rsid w:val="00C61ED2"/>
    <w:rsid w:val="00C73E61"/>
    <w:rsid w:val="00C75432"/>
    <w:rsid w:val="00C7573B"/>
    <w:rsid w:val="00C8014C"/>
    <w:rsid w:val="00C81152"/>
    <w:rsid w:val="00C82821"/>
    <w:rsid w:val="00C82E87"/>
    <w:rsid w:val="00C82F4E"/>
    <w:rsid w:val="00C8368A"/>
    <w:rsid w:val="00C90B03"/>
    <w:rsid w:val="00C90BF4"/>
    <w:rsid w:val="00C912B6"/>
    <w:rsid w:val="00C9296E"/>
    <w:rsid w:val="00C9473F"/>
    <w:rsid w:val="00CA053D"/>
    <w:rsid w:val="00CA1DD2"/>
    <w:rsid w:val="00CA6D46"/>
    <w:rsid w:val="00CB0402"/>
    <w:rsid w:val="00CB386A"/>
    <w:rsid w:val="00CB6421"/>
    <w:rsid w:val="00CC0CA5"/>
    <w:rsid w:val="00CC145B"/>
    <w:rsid w:val="00CC7328"/>
    <w:rsid w:val="00CD6003"/>
    <w:rsid w:val="00CD70C0"/>
    <w:rsid w:val="00CE14E8"/>
    <w:rsid w:val="00CE3BBC"/>
    <w:rsid w:val="00CE3FC9"/>
    <w:rsid w:val="00CE5EB2"/>
    <w:rsid w:val="00CE6820"/>
    <w:rsid w:val="00CF10E3"/>
    <w:rsid w:val="00CF2F50"/>
    <w:rsid w:val="00CF6044"/>
    <w:rsid w:val="00CF63C0"/>
    <w:rsid w:val="00D026CE"/>
    <w:rsid w:val="00D105BF"/>
    <w:rsid w:val="00D17136"/>
    <w:rsid w:val="00D256B0"/>
    <w:rsid w:val="00D30242"/>
    <w:rsid w:val="00D302BC"/>
    <w:rsid w:val="00D3075B"/>
    <w:rsid w:val="00D40CE8"/>
    <w:rsid w:val="00D419E5"/>
    <w:rsid w:val="00D429E1"/>
    <w:rsid w:val="00D42AF5"/>
    <w:rsid w:val="00D44321"/>
    <w:rsid w:val="00D528BE"/>
    <w:rsid w:val="00D5437E"/>
    <w:rsid w:val="00D564BE"/>
    <w:rsid w:val="00D61699"/>
    <w:rsid w:val="00D6308A"/>
    <w:rsid w:val="00D63563"/>
    <w:rsid w:val="00D6415D"/>
    <w:rsid w:val="00D737EE"/>
    <w:rsid w:val="00D77616"/>
    <w:rsid w:val="00D829E1"/>
    <w:rsid w:val="00D83325"/>
    <w:rsid w:val="00D914BC"/>
    <w:rsid w:val="00D95F56"/>
    <w:rsid w:val="00D96E75"/>
    <w:rsid w:val="00DA1F21"/>
    <w:rsid w:val="00DA40F0"/>
    <w:rsid w:val="00DA654C"/>
    <w:rsid w:val="00DB05F4"/>
    <w:rsid w:val="00DB12F1"/>
    <w:rsid w:val="00DB4B6E"/>
    <w:rsid w:val="00DB55C5"/>
    <w:rsid w:val="00DC3131"/>
    <w:rsid w:val="00DD372B"/>
    <w:rsid w:val="00DD3BFD"/>
    <w:rsid w:val="00DD4E06"/>
    <w:rsid w:val="00DE14B0"/>
    <w:rsid w:val="00DE658E"/>
    <w:rsid w:val="00DF435E"/>
    <w:rsid w:val="00DF4FB9"/>
    <w:rsid w:val="00E00624"/>
    <w:rsid w:val="00E03F54"/>
    <w:rsid w:val="00E03F9B"/>
    <w:rsid w:val="00E05D0E"/>
    <w:rsid w:val="00E106C9"/>
    <w:rsid w:val="00E11011"/>
    <w:rsid w:val="00E11084"/>
    <w:rsid w:val="00E11D52"/>
    <w:rsid w:val="00E1521A"/>
    <w:rsid w:val="00E152C6"/>
    <w:rsid w:val="00E2245F"/>
    <w:rsid w:val="00E2353A"/>
    <w:rsid w:val="00E265CF"/>
    <w:rsid w:val="00E273F9"/>
    <w:rsid w:val="00E3012C"/>
    <w:rsid w:val="00E30E6D"/>
    <w:rsid w:val="00E314C7"/>
    <w:rsid w:val="00E3212A"/>
    <w:rsid w:val="00E329A7"/>
    <w:rsid w:val="00E33761"/>
    <w:rsid w:val="00E364EE"/>
    <w:rsid w:val="00E47194"/>
    <w:rsid w:val="00E50E06"/>
    <w:rsid w:val="00E53469"/>
    <w:rsid w:val="00E57E9B"/>
    <w:rsid w:val="00E60620"/>
    <w:rsid w:val="00E60871"/>
    <w:rsid w:val="00E6096F"/>
    <w:rsid w:val="00E62BCD"/>
    <w:rsid w:val="00E65595"/>
    <w:rsid w:val="00E70DFB"/>
    <w:rsid w:val="00E73A85"/>
    <w:rsid w:val="00E741B4"/>
    <w:rsid w:val="00E82BC4"/>
    <w:rsid w:val="00E83124"/>
    <w:rsid w:val="00E90931"/>
    <w:rsid w:val="00E922BC"/>
    <w:rsid w:val="00E94E42"/>
    <w:rsid w:val="00E976F7"/>
    <w:rsid w:val="00EA3B95"/>
    <w:rsid w:val="00EA6750"/>
    <w:rsid w:val="00EA67DA"/>
    <w:rsid w:val="00EB2438"/>
    <w:rsid w:val="00EC17B6"/>
    <w:rsid w:val="00EC3382"/>
    <w:rsid w:val="00EC5256"/>
    <w:rsid w:val="00ED223D"/>
    <w:rsid w:val="00ED3B35"/>
    <w:rsid w:val="00ED4216"/>
    <w:rsid w:val="00EE1D8C"/>
    <w:rsid w:val="00EE4835"/>
    <w:rsid w:val="00EE593E"/>
    <w:rsid w:val="00EF3040"/>
    <w:rsid w:val="00EF4608"/>
    <w:rsid w:val="00EF5D89"/>
    <w:rsid w:val="00EF6A3E"/>
    <w:rsid w:val="00EF7B98"/>
    <w:rsid w:val="00F00CF5"/>
    <w:rsid w:val="00F01DAB"/>
    <w:rsid w:val="00F03200"/>
    <w:rsid w:val="00F14715"/>
    <w:rsid w:val="00F158AE"/>
    <w:rsid w:val="00F2607C"/>
    <w:rsid w:val="00F31716"/>
    <w:rsid w:val="00F3340F"/>
    <w:rsid w:val="00F3587E"/>
    <w:rsid w:val="00F4155D"/>
    <w:rsid w:val="00F44347"/>
    <w:rsid w:val="00F50FD2"/>
    <w:rsid w:val="00F54A25"/>
    <w:rsid w:val="00F7150B"/>
    <w:rsid w:val="00F71A18"/>
    <w:rsid w:val="00F72113"/>
    <w:rsid w:val="00F80E0D"/>
    <w:rsid w:val="00F856BE"/>
    <w:rsid w:val="00F8605A"/>
    <w:rsid w:val="00F94EDD"/>
    <w:rsid w:val="00F957CC"/>
    <w:rsid w:val="00FA5AAF"/>
    <w:rsid w:val="00FA7C74"/>
    <w:rsid w:val="00FB2FBC"/>
    <w:rsid w:val="00FB3BCE"/>
    <w:rsid w:val="00FB6460"/>
    <w:rsid w:val="00FC4574"/>
    <w:rsid w:val="00FC73E2"/>
    <w:rsid w:val="00FD17E3"/>
    <w:rsid w:val="00FD55C2"/>
    <w:rsid w:val="00FE0EA7"/>
    <w:rsid w:val="00FE4559"/>
    <w:rsid w:val="00FF1233"/>
    <w:rsid w:val="00FF1595"/>
    <w:rsid w:val="00FF3CD7"/>
    <w:rsid w:val="00FF5F7A"/>
    <w:rsid w:val="00FF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CF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2B"/>
    <w:pPr>
      <w:tabs>
        <w:tab w:val="left" w:pos="1152"/>
      </w:tabs>
      <w:spacing w:line="276" w:lineRule="auto"/>
      <w:jc w:val="both"/>
    </w:pPr>
    <w:rPr>
      <w:sz w:val="22"/>
      <w:szCs w:val="22"/>
    </w:rPr>
  </w:style>
  <w:style w:type="paragraph" w:styleId="Heading1">
    <w:name w:val="heading 1"/>
    <w:aliases w:val="H1-Chap. Head,H1-Sec.Head"/>
    <w:basedOn w:val="Normal"/>
    <w:link w:val="Heading1Char"/>
    <w:qFormat/>
    <w:rsid w:val="00DD372B"/>
    <w:pPr>
      <w:keepNext/>
      <w:spacing w:line="360" w:lineRule="atLeast"/>
      <w:ind w:left="720" w:hanging="720"/>
      <w:outlineLvl w:val="0"/>
    </w:pPr>
    <w:rPr>
      <w:b/>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DD372B"/>
    <w:rPr>
      <w:b/>
      <w:sz w:val="22"/>
      <w:szCs w:val="22"/>
    </w:rPr>
  </w:style>
  <w:style w:type="paragraph" w:customStyle="1" w:styleId="L1-FlLSp12">
    <w:name w:val="L1-FlL Sp&amp;1/2"/>
    <w:basedOn w:val="Normal"/>
    <w:link w:val="L1-FlLSp12Char"/>
    <w:rsid w:val="00271489"/>
    <w:pPr>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uiPriority w:val="99"/>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link w:val="FootnoteText"/>
    <w:uiPriority w:val="99"/>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ind w:left="1152" w:right="1152"/>
    </w:pPr>
  </w:style>
  <w:style w:type="paragraph" w:customStyle="1" w:styleId="N8-QxQBlock">
    <w:name w:val="N8-QxQ Block"/>
    <w:basedOn w:val="Normal"/>
    <w:rsid w:val="00271489"/>
    <w:pPr>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aliases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eastAsia="Calibri"/>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pPr>
    <w:rPr>
      <w:szCs w:val="24"/>
    </w:rPr>
  </w:style>
  <w:style w:type="character" w:customStyle="1" w:styleId="TT-TableTitleChar">
    <w:name w:val="TT-Table Title Char"/>
    <w:basedOn w:val="DefaultParagraphFont"/>
    <w:link w:val="TT-TableTitle"/>
    <w:locked/>
    <w:rsid w:val="00490145"/>
    <w:rPr>
      <w:rFonts w:ascii="Franklin Gothic Medium" w:hAnsi="Franklin Gothic Medium"/>
      <w:sz w:val="22"/>
    </w:rPr>
  </w:style>
  <w:style w:type="table" w:customStyle="1" w:styleId="16-531">
    <w:name w:val="16-531"/>
    <w:basedOn w:val="TableNormal"/>
    <w:uiPriority w:val="99"/>
    <w:rsid w:val="00490145"/>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color w:val="auto"/>
      </w:rPr>
      <w:tblPr/>
      <w:tcPr>
        <w:tcBorders>
          <w:top w:val="single" w:sz="12" w:space="0" w:color="auto"/>
          <w:left w:val="single" w:sz="6" w:space="0" w:color="auto"/>
          <w:bottom w:val="single" w:sz="6" w:space="0" w:color="auto"/>
          <w:right w:val="single" w:sz="6" w:space="0" w:color="auto"/>
          <w:insideH w:val="single" w:sz="6" w:space="0" w:color="auto"/>
          <w:insideV w:val="single" w:sz="18" w:space="0" w:color="FFFFFF" w:themeColor="background1"/>
          <w:tl2br w:val="nil"/>
          <w:tr2bl w:val="nil"/>
        </w:tcBorders>
        <w:shd w:val="clear" w:color="auto" w:fill="E39B30"/>
      </w:tcPr>
    </w:tblStylePr>
  </w:style>
  <w:style w:type="paragraph" w:customStyle="1" w:styleId="Bullet3">
    <w:name w:val="Bullet 3"/>
    <w:basedOn w:val="Normal"/>
    <w:rsid w:val="001160BD"/>
    <w:pPr>
      <w:numPr>
        <w:ilvl w:val="2"/>
        <w:numId w:val="26"/>
      </w:numPr>
      <w:spacing w:after="120" w:line="240" w:lineRule="auto"/>
      <w:ind w:right="1440"/>
    </w:pPr>
    <w:rPr>
      <w:position w:val="2"/>
      <w:szCs w:val="24"/>
    </w:rPr>
  </w:style>
  <w:style w:type="paragraph" w:customStyle="1" w:styleId="Bullet4">
    <w:name w:val="Bullet 4"/>
    <w:basedOn w:val="Normal"/>
    <w:rsid w:val="001160BD"/>
    <w:pPr>
      <w:numPr>
        <w:ilvl w:val="3"/>
        <w:numId w:val="26"/>
      </w:numPr>
      <w:spacing w:after="120" w:line="240" w:lineRule="auto"/>
      <w:ind w:right="1440"/>
    </w:pPr>
    <w:rPr>
      <w:position w:val="8"/>
      <w:szCs w:val="24"/>
    </w:rPr>
  </w:style>
  <w:style w:type="paragraph" w:customStyle="1" w:styleId="bullet2">
    <w:name w:val="bullet 2"/>
    <w:basedOn w:val="Normal"/>
    <w:rsid w:val="001160BD"/>
    <w:pPr>
      <w:numPr>
        <w:ilvl w:val="1"/>
        <w:numId w:val="26"/>
      </w:numPr>
      <w:spacing w:after="120" w:line="240" w:lineRule="auto"/>
      <w:ind w:right="1440"/>
    </w:pPr>
    <w:rPr>
      <w:position w:val="6"/>
      <w:szCs w:val="24"/>
    </w:rPr>
  </w:style>
  <w:style w:type="paragraph" w:customStyle="1" w:styleId="bullet1">
    <w:name w:val="bullet 1"/>
    <w:link w:val="bullet1Char"/>
    <w:rsid w:val="001160BD"/>
    <w:pPr>
      <w:numPr>
        <w:numId w:val="26"/>
      </w:numPr>
      <w:spacing w:after="120"/>
      <w:ind w:right="720"/>
    </w:pPr>
    <w:rPr>
      <w:sz w:val="24"/>
    </w:rPr>
  </w:style>
  <w:style w:type="character" w:customStyle="1" w:styleId="bullet1Char">
    <w:name w:val="bullet 1 Char"/>
    <w:basedOn w:val="DefaultParagraphFont"/>
    <w:link w:val="bullet1"/>
    <w:locked/>
    <w:rsid w:val="001160BD"/>
    <w:rPr>
      <w:sz w:val="24"/>
    </w:rPr>
  </w:style>
  <w:style w:type="character" w:customStyle="1" w:styleId="ListParagraphChar">
    <w:name w:val="List Paragraph Char"/>
    <w:link w:val="ListParagraph"/>
    <w:uiPriority w:val="34"/>
    <w:locked/>
    <w:rsid w:val="000E47DE"/>
    <w:rPr>
      <w:rFonts w:ascii="Garamond" w:hAnsi="Garamond"/>
      <w:sz w:val="24"/>
    </w:rPr>
  </w:style>
  <w:style w:type="table" w:customStyle="1" w:styleId="TableGrid1">
    <w:name w:val="Table Grid1"/>
    <w:basedOn w:val="TableNormal"/>
    <w:next w:val="TableGrid"/>
    <w:uiPriority w:val="59"/>
    <w:rsid w:val="000E47DE"/>
    <w:pPr>
      <w:spacing w:line="36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E273F9"/>
    <w:pPr>
      <w:tabs>
        <w:tab w:val="right" w:pos="8914"/>
      </w:tabs>
      <w:spacing w:after="230" w:line="240" w:lineRule="auto"/>
      <w:ind w:firstLine="720"/>
    </w:pPr>
    <w:rPr>
      <w:sz w:val="23"/>
      <w:szCs w:val="24"/>
    </w:rPr>
  </w:style>
  <w:style w:type="character" w:customStyle="1" w:styleId="NormalSSChar">
    <w:name w:val="NormalSS Char"/>
    <w:link w:val="NormalSS"/>
    <w:locked/>
    <w:rsid w:val="00F00CF5"/>
    <w:rPr>
      <w:sz w:val="24"/>
      <w:szCs w:val="24"/>
    </w:rPr>
  </w:style>
  <w:style w:type="paragraph" w:customStyle="1" w:styleId="BulletBlue">
    <w:name w:val="Bullet_Blue"/>
    <w:basedOn w:val="Normal"/>
    <w:rsid w:val="00DF4FB9"/>
    <w:pPr>
      <w:numPr>
        <w:numId w:val="35"/>
      </w:numPr>
      <w:tabs>
        <w:tab w:val="left" w:pos="360"/>
      </w:tabs>
      <w:spacing w:after="120" w:line="240" w:lineRule="auto"/>
      <w:ind w:right="360"/>
    </w:pPr>
    <w:rPr>
      <w:szCs w:val="24"/>
    </w:rPr>
  </w:style>
  <w:style w:type="paragraph" w:customStyle="1" w:styleId="BulletBlueLastSS">
    <w:name w:val="Bullet_Blue (Last SS)"/>
    <w:basedOn w:val="Normal"/>
    <w:next w:val="NormalSS"/>
    <w:rsid w:val="00DF4FB9"/>
    <w:pPr>
      <w:numPr>
        <w:numId w:val="36"/>
      </w:numPr>
      <w:tabs>
        <w:tab w:val="left" w:pos="360"/>
      </w:tabs>
      <w:spacing w:after="240" w:line="240" w:lineRule="auto"/>
      <w:ind w:right="360"/>
    </w:pPr>
    <w:rPr>
      <w:szCs w:val="24"/>
    </w:rPr>
  </w:style>
  <w:style w:type="paragraph" w:customStyle="1" w:styleId="BulletBlack">
    <w:name w:val="Bullet_Black"/>
    <w:basedOn w:val="Normal"/>
    <w:qFormat/>
    <w:rsid w:val="00C8368A"/>
    <w:pPr>
      <w:numPr>
        <w:numId w:val="41"/>
      </w:numPr>
      <w:tabs>
        <w:tab w:val="left" w:pos="360"/>
      </w:tabs>
      <w:spacing w:after="120" w:line="240" w:lineRule="auto"/>
      <w:ind w:left="720" w:right="360" w:hanging="288"/>
    </w:pPr>
    <w:rPr>
      <w:szCs w:val="24"/>
    </w:rPr>
  </w:style>
  <w:style w:type="paragraph" w:customStyle="1" w:styleId="ParagraphLAST">
    <w:name w:val="Paragraph (LAST)"/>
    <w:basedOn w:val="Normal"/>
    <w:next w:val="Normal"/>
    <w:uiPriority w:val="99"/>
    <w:qFormat/>
    <w:rsid w:val="003B1C13"/>
    <w:pPr>
      <w:tabs>
        <w:tab w:val="clear" w:pos="1152"/>
        <w:tab w:val="left" w:pos="432"/>
      </w:tabs>
      <w:spacing w:after="240" w:line="480" w:lineRule="auto"/>
      <w:ind w:firstLine="432"/>
    </w:pPr>
    <w:rPr>
      <w:rFonts w:ascii="Garamond" w:hAnsi="Garamond"/>
      <w:sz w:val="24"/>
      <w:szCs w:val="24"/>
    </w:rPr>
  </w:style>
  <w:style w:type="paragraph" w:customStyle="1" w:styleId="bulletnumbered1">
    <w:name w:val="bullet numbered 1"/>
    <w:basedOn w:val="Normal"/>
    <w:rsid w:val="000468CC"/>
    <w:pPr>
      <w:numPr>
        <w:numId w:val="49"/>
      </w:numPr>
      <w:tabs>
        <w:tab w:val="clear" w:pos="720"/>
        <w:tab w:val="clear" w:pos="1152"/>
        <w:tab w:val="num" w:pos="360"/>
      </w:tabs>
      <w:spacing w:after="120" w:line="240" w:lineRule="auto"/>
      <w:ind w:right="720" w:hanging="360"/>
      <w:jc w:val="left"/>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2B"/>
    <w:pPr>
      <w:tabs>
        <w:tab w:val="left" w:pos="1152"/>
      </w:tabs>
      <w:spacing w:line="276" w:lineRule="auto"/>
      <w:jc w:val="both"/>
    </w:pPr>
    <w:rPr>
      <w:sz w:val="22"/>
      <w:szCs w:val="22"/>
    </w:rPr>
  </w:style>
  <w:style w:type="paragraph" w:styleId="Heading1">
    <w:name w:val="heading 1"/>
    <w:aliases w:val="H1-Chap. Head,H1-Sec.Head"/>
    <w:basedOn w:val="Normal"/>
    <w:link w:val="Heading1Char"/>
    <w:qFormat/>
    <w:rsid w:val="00DD372B"/>
    <w:pPr>
      <w:keepNext/>
      <w:spacing w:line="360" w:lineRule="atLeast"/>
      <w:ind w:left="720" w:hanging="720"/>
      <w:outlineLvl w:val="0"/>
    </w:pPr>
    <w:rPr>
      <w:b/>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DD372B"/>
    <w:rPr>
      <w:b/>
      <w:sz w:val="22"/>
      <w:szCs w:val="22"/>
    </w:rPr>
  </w:style>
  <w:style w:type="paragraph" w:customStyle="1" w:styleId="L1-FlLSp12">
    <w:name w:val="L1-FlL Sp&amp;1/2"/>
    <w:basedOn w:val="Normal"/>
    <w:link w:val="L1-FlLSp12Char"/>
    <w:rsid w:val="00271489"/>
    <w:pPr>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uiPriority w:val="99"/>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link w:val="FootnoteText"/>
    <w:uiPriority w:val="99"/>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ind w:left="1152" w:right="1152"/>
    </w:pPr>
  </w:style>
  <w:style w:type="paragraph" w:customStyle="1" w:styleId="N8-QxQBlock">
    <w:name w:val="N8-QxQ Block"/>
    <w:basedOn w:val="Normal"/>
    <w:rsid w:val="00271489"/>
    <w:pPr>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aliases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eastAsia="Calibri"/>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pPr>
    <w:rPr>
      <w:szCs w:val="24"/>
    </w:rPr>
  </w:style>
  <w:style w:type="character" w:customStyle="1" w:styleId="TT-TableTitleChar">
    <w:name w:val="TT-Table Title Char"/>
    <w:basedOn w:val="DefaultParagraphFont"/>
    <w:link w:val="TT-TableTitle"/>
    <w:locked/>
    <w:rsid w:val="00490145"/>
    <w:rPr>
      <w:rFonts w:ascii="Franklin Gothic Medium" w:hAnsi="Franklin Gothic Medium"/>
      <w:sz w:val="22"/>
    </w:rPr>
  </w:style>
  <w:style w:type="table" w:customStyle="1" w:styleId="16-531">
    <w:name w:val="16-531"/>
    <w:basedOn w:val="TableNormal"/>
    <w:uiPriority w:val="99"/>
    <w:rsid w:val="00490145"/>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color w:val="auto"/>
      </w:rPr>
      <w:tblPr/>
      <w:tcPr>
        <w:tcBorders>
          <w:top w:val="single" w:sz="12" w:space="0" w:color="auto"/>
          <w:left w:val="single" w:sz="6" w:space="0" w:color="auto"/>
          <w:bottom w:val="single" w:sz="6" w:space="0" w:color="auto"/>
          <w:right w:val="single" w:sz="6" w:space="0" w:color="auto"/>
          <w:insideH w:val="single" w:sz="6" w:space="0" w:color="auto"/>
          <w:insideV w:val="single" w:sz="18" w:space="0" w:color="FFFFFF" w:themeColor="background1"/>
          <w:tl2br w:val="nil"/>
          <w:tr2bl w:val="nil"/>
        </w:tcBorders>
        <w:shd w:val="clear" w:color="auto" w:fill="E39B30"/>
      </w:tcPr>
    </w:tblStylePr>
  </w:style>
  <w:style w:type="paragraph" w:customStyle="1" w:styleId="Bullet3">
    <w:name w:val="Bullet 3"/>
    <w:basedOn w:val="Normal"/>
    <w:rsid w:val="001160BD"/>
    <w:pPr>
      <w:numPr>
        <w:ilvl w:val="2"/>
        <w:numId w:val="26"/>
      </w:numPr>
      <w:spacing w:after="120" w:line="240" w:lineRule="auto"/>
      <w:ind w:right="1440"/>
    </w:pPr>
    <w:rPr>
      <w:position w:val="2"/>
      <w:szCs w:val="24"/>
    </w:rPr>
  </w:style>
  <w:style w:type="paragraph" w:customStyle="1" w:styleId="Bullet4">
    <w:name w:val="Bullet 4"/>
    <w:basedOn w:val="Normal"/>
    <w:rsid w:val="001160BD"/>
    <w:pPr>
      <w:numPr>
        <w:ilvl w:val="3"/>
        <w:numId w:val="26"/>
      </w:numPr>
      <w:spacing w:after="120" w:line="240" w:lineRule="auto"/>
      <w:ind w:right="1440"/>
    </w:pPr>
    <w:rPr>
      <w:position w:val="8"/>
      <w:szCs w:val="24"/>
    </w:rPr>
  </w:style>
  <w:style w:type="paragraph" w:customStyle="1" w:styleId="bullet2">
    <w:name w:val="bullet 2"/>
    <w:basedOn w:val="Normal"/>
    <w:rsid w:val="001160BD"/>
    <w:pPr>
      <w:numPr>
        <w:ilvl w:val="1"/>
        <w:numId w:val="26"/>
      </w:numPr>
      <w:spacing w:after="120" w:line="240" w:lineRule="auto"/>
      <w:ind w:right="1440"/>
    </w:pPr>
    <w:rPr>
      <w:position w:val="6"/>
      <w:szCs w:val="24"/>
    </w:rPr>
  </w:style>
  <w:style w:type="paragraph" w:customStyle="1" w:styleId="bullet1">
    <w:name w:val="bullet 1"/>
    <w:link w:val="bullet1Char"/>
    <w:rsid w:val="001160BD"/>
    <w:pPr>
      <w:numPr>
        <w:numId w:val="26"/>
      </w:numPr>
      <w:spacing w:after="120"/>
      <w:ind w:right="720"/>
    </w:pPr>
    <w:rPr>
      <w:sz w:val="24"/>
    </w:rPr>
  </w:style>
  <w:style w:type="character" w:customStyle="1" w:styleId="bullet1Char">
    <w:name w:val="bullet 1 Char"/>
    <w:basedOn w:val="DefaultParagraphFont"/>
    <w:link w:val="bullet1"/>
    <w:locked/>
    <w:rsid w:val="001160BD"/>
    <w:rPr>
      <w:sz w:val="24"/>
    </w:rPr>
  </w:style>
  <w:style w:type="character" w:customStyle="1" w:styleId="ListParagraphChar">
    <w:name w:val="List Paragraph Char"/>
    <w:link w:val="ListParagraph"/>
    <w:uiPriority w:val="34"/>
    <w:locked/>
    <w:rsid w:val="000E47DE"/>
    <w:rPr>
      <w:rFonts w:ascii="Garamond" w:hAnsi="Garamond"/>
      <w:sz w:val="24"/>
    </w:rPr>
  </w:style>
  <w:style w:type="table" w:customStyle="1" w:styleId="TableGrid1">
    <w:name w:val="Table Grid1"/>
    <w:basedOn w:val="TableNormal"/>
    <w:next w:val="TableGrid"/>
    <w:uiPriority w:val="59"/>
    <w:rsid w:val="000E47DE"/>
    <w:pPr>
      <w:spacing w:line="36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E273F9"/>
    <w:pPr>
      <w:tabs>
        <w:tab w:val="right" w:pos="8914"/>
      </w:tabs>
      <w:spacing w:after="230" w:line="240" w:lineRule="auto"/>
      <w:ind w:firstLine="720"/>
    </w:pPr>
    <w:rPr>
      <w:sz w:val="23"/>
      <w:szCs w:val="24"/>
    </w:rPr>
  </w:style>
  <w:style w:type="character" w:customStyle="1" w:styleId="NormalSSChar">
    <w:name w:val="NormalSS Char"/>
    <w:link w:val="NormalSS"/>
    <w:locked/>
    <w:rsid w:val="00F00CF5"/>
    <w:rPr>
      <w:sz w:val="24"/>
      <w:szCs w:val="24"/>
    </w:rPr>
  </w:style>
  <w:style w:type="paragraph" w:customStyle="1" w:styleId="BulletBlue">
    <w:name w:val="Bullet_Blue"/>
    <w:basedOn w:val="Normal"/>
    <w:rsid w:val="00DF4FB9"/>
    <w:pPr>
      <w:numPr>
        <w:numId w:val="35"/>
      </w:numPr>
      <w:tabs>
        <w:tab w:val="left" w:pos="360"/>
      </w:tabs>
      <w:spacing w:after="120" w:line="240" w:lineRule="auto"/>
      <w:ind w:right="360"/>
    </w:pPr>
    <w:rPr>
      <w:szCs w:val="24"/>
    </w:rPr>
  </w:style>
  <w:style w:type="paragraph" w:customStyle="1" w:styleId="BulletBlueLastSS">
    <w:name w:val="Bullet_Blue (Last SS)"/>
    <w:basedOn w:val="Normal"/>
    <w:next w:val="NormalSS"/>
    <w:rsid w:val="00DF4FB9"/>
    <w:pPr>
      <w:numPr>
        <w:numId w:val="36"/>
      </w:numPr>
      <w:tabs>
        <w:tab w:val="left" w:pos="360"/>
      </w:tabs>
      <w:spacing w:after="240" w:line="240" w:lineRule="auto"/>
      <w:ind w:right="360"/>
    </w:pPr>
    <w:rPr>
      <w:szCs w:val="24"/>
    </w:rPr>
  </w:style>
  <w:style w:type="paragraph" w:customStyle="1" w:styleId="BulletBlack">
    <w:name w:val="Bullet_Black"/>
    <w:basedOn w:val="Normal"/>
    <w:qFormat/>
    <w:rsid w:val="00C8368A"/>
    <w:pPr>
      <w:numPr>
        <w:numId w:val="41"/>
      </w:numPr>
      <w:tabs>
        <w:tab w:val="left" w:pos="360"/>
      </w:tabs>
      <w:spacing w:after="120" w:line="240" w:lineRule="auto"/>
      <w:ind w:left="720" w:right="360" w:hanging="288"/>
    </w:pPr>
    <w:rPr>
      <w:szCs w:val="24"/>
    </w:rPr>
  </w:style>
  <w:style w:type="paragraph" w:customStyle="1" w:styleId="ParagraphLAST">
    <w:name w:val="Paragraph (LAST)"/>
    <w:basedOn w:val="Normal"/>
    <w:next w:val="Normal"/>
    <w:uiPriority w:val="99"/>
    <w:qFormat/>
    <w:rsid w:val="003B1C13"/>
    <w:pPr>
      <w:tabs>
        <w:tab w:val="clear" w:pos="1152"/>
        <w:tab w:val="left" w:pos="432"/>
      </w:tabs>
      <w:spacing w:after="240" w:line="480" w:lineRule="auto"/>
      <w:ind w:firstLine="432"/>
    </w:pPr>
    <w:rPr>
      <w:rFonts w:ascii="Garamond" w:hAnsi="Garamond"/>
      <w:sz w:val="24"/>
      <w:szCs w:val="24"/>
    </w:rPr>
  </w:style>
  <w:style w:type="paragraph" w:customStyle="1" w:styleId="bulletnumbered1">
    <w:name w:val="bullet numbered 1"/>
    <w:basedOn w:val="Normal"/>
    <w:rsid w:val="000468CC"/>
    <w:pPr>
      <w:numPr>
        <w:numId w:val="49"/>
      </w:numPr>
      <w:tabs>
        <w:tab w:val="clear" w:pos="720"/>
        <w:tab w:val="clear" w:pos="1152"/>
        <w:tab w:val="num" w:pos="360"/>
      </w:tabs>
      <w:spacing w:after="120" w:line="240" w:lineRule="auto"/>
      <w:ind w:right="720" w:hanging="360"/>
      <w:jc w:val="left"/>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46">
      <w:bodyDiv w:val="1"/>
      <w:marLeft w:val="0"/>
      <w:marRight w:val="0"/>
      <w:marTop w:val="0"/>
      <w:marBottom w:val="0"/>
      <w:divBdr>
        <w:top w:val="none" w:sz="0" w:space="0" w:color="auto"/>
        <w:left w:val="none" w:sz="0" w:space="0" w:color="auto"/>
        <w:bottom w:val="none" w:sz="0" w:space="0" w:color="auto"/>
        <w:right w:val="none" w:sz="0" w:space="0" w:color="auto"/>
      </w:divBdr>
    </w:div>
    <w:div w:id="354163206">
      <w:bodyDiv w:val="1"/>
      <w:marLeft w:val="0"/>
      <w:marRight w:val="0"/>
      <w:marTop w:val="0"/>
      <w:marBottom w:val="0"/>
      <w:divBdr>
        <w:top w:val="none" w:sz="0" w:space="0" w:color="auto"/>
        <w:left w:val="none" w:sz="0" w:space="0" w:color="auto"/>
        <w:bottom w:val="none" w:sz="0" w:space="0" w:color="auto"/>
        <w:right w:val="none" w:sz="0" w:space="0" w:color="auto"/>
      </w:divBdr>
      <w:divsChild>
        <w:div w:id="886531577">
          <w:marLeft w:val="0"/>
          <w:marRight w:val="0"/>
          <w:marTop w:val="0"/>
          <w:marBottom w:val="0"/>
          <w:divBdr>
            <w:top w:val="none" w:sz="0" w:space="0" w:color="auto"/>
            <w:left w:val="none" w:sz="0" w:space="0" w:color="auto"/>
            <w:bottom w:val="none" w:sz="0" w:space="0" w:color="auto"/>
            <w:right w:val="none" w:sz="0" w:space="0" w:color="auto"/>
          </w:divBdr>
          <w:divsChild>
            <w:div w:id="662782712">
              <w:marLeft w:val="0"/>
              <w:marRight w:val="0"/>
              <w:marTop w:val="0"/>
              <w:marBottom w:val="0"/>
              <w:divBdr>
                <w:top w:val="none" w:sz="0" w:space="0" w:color="auto"/>
                <w:left w:val="none" w:sz="0" w:space="0" w:color="auto"/>
                <w:bottom w:val="none" w:sz="0" w:space="0" w:color="auto"/>
                <w:right w:val="none" w:sz="0" w:space="0" w:color="auto"/>
              </w:divBdr>
              <w:divsChild>
                <w:div w:id="1549609241">
                  <w:marLeft w:val="0"/>
                  <w:marRight w:val="0"/>
                  <w:marTop w:val="0"/>
                  <w:marBottom w:val="0"/>
                  <w:divBdr>
                    <w:top w:val="none" w:sz="0" w:space="0" w:color="auto"/>
                    <w:left w:val="none" w:sz="0" w:space="0" w:color="auto"/>
                    <w:bottom w:val="none" w:sz="0" w:space="0" w:color="auto"/>
                    <w:right w:val="none" w:sz="0" w:space="0" w:color="auto"/>
                  </w:divBdr>
                  <w:divsChild>
                    <w:div w:id="1588342619">
                      <w:marLeft w:val="0"/>
                      <w:marRight w:val="0"/>
                      <w:marTop w:val="0"/>
                      <w:marBottom w:val="0"/>
                      <w:divBdr>
                        <w:top w:val="none" w:sz="0" w:space="0" w:color="auto"/>
                        <w:left w:val="none" w:sz="0" w:space="0" w:color="auto"/>
                        <w:bottom w:val="none" w:sz="0" w:space="0" w:color="auto"/>
                        <w:right w:val="none" w:sz="0" w:space="0" w:color="auto"/>
                      </w:divBdr>
                      <w:divsChild>
                        <w:div w:id="940331463">
                          <w:marLeft w:val="0"/>
                          <w:marRight w:val="0"/>
                          <w:marTop w:val="0"/>
                          <w:marBottom w:val="0"/>
                          <w:divBdr>
                            <w:top w:val="none" w:sz="0" w:space="0" w:color="auto"/>
                            <w:left w:val="none" w:sz="0" w:space="0" w:color="auto"/>
                            <w:bottom w:val="none" w:sz="0" w:space="0" w:color="auto"/>
                            <w:right w:val="none" w:sz="0" w:space="0" w:color="auto"/>
                          </w:divBdr>
                          <w:divsChild>
                            <w:div w:id="6859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5996">
      <w:bodyDiv w:val="1"/>
      <w:marLeft w:val="0"/>
      <w:marRight w:val="0"/>
      <w:marTop w:val="0"/>
      <w:marBottom w:val="0"/>
      <w:divBdr>
        <w:top w:val="none" w:sz="0" w:space="0" w:color="auto"/>
        <w:left w:val="none" w:sz="0" w:space="0" w:color="auto"/>
        <w:bottom w:val="none" w:sz="0" w:space="0" w:color="auto"/>
        <w:right w:val="none" w:sz="0" w:space="0" w:color="auto"/>
      </w:divBdr>
    </w:div>
    <w:div w:id="473062090">
      <w:bodyDiv w:val="1"/>
      <w:marLeft w:val="0"/>
      <w:marRight w:val="0"/>
      <w:marTop w:val="0"/>
      <w:marBottom w:val="0"/>
      <w:divBdr>
        <w:top w:val="none" w:sz="0" w:space="0" w:color="auto"/>
        <w:left w:val="none" w:sz="0" w:space="0" w:color="auto"/>
        <w:bottom w:val="none" w:sz="0" w:space="0" w:color="auto"/>
        <w:right w:val="none" w:sz="0" w:space="0" w:color="auto"/>
      </w:divBdr>
      <w:divsChild>
        <w:div w:id="245192471">
          <w:marLeft w:val="0"/>
          <w:marRight w:val="0"/>
          <w:marTop w:val="0"/>
          <w:marBottom w:val="0"/>
          <w:divBdr>
            <w:top w:val="none" w:sz="0" w:space="0" w:color="auto"/>
            <w:left w:val="none" w:sz="0" w:space="0" w:color="auto"/>
            <w:bottom w:val="none" w:sz="0" w:space="0" w:color="auto"/>
            <w:right w:val="none" w:sz="0" w:space="0" w:color="auto"/>
          </w:divBdr>
          <w:divsChild>
            <w:div w:id="1469933072">
              <w:marLeft w:val="0"/>
              <w:marRight w:val="0"/>
              <w:marTop w:val="0"/>
              <w:marBottom w:val="0"/>
              <w:divBdr>
                <w:top w:val="none" w:sz="0" w:space="0" w:color="auto"/>
                <w:left w:val="none" w:sz="0" w:space="0" w:color="auto"/>
                <w:bottom w:val="none" w:sz="0" w:space="0" w:color="auto"/>
                <w:right w:val="none" w:sz="0" w:space="0" w:color="auto"/>
              </w:divBdr>
              <w:divsChild>
                <w:div w:id="14159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5882">
      <w:bodyDiv w:val="1"/>
      <w:marLeft w:val="0"/>
      <w:marRight w:val="0"/>
      <w:marTop w:val="0"/>
      <w:marBottom w:val="0"/>
      <w:divBdr>
        <w:top w:val="none" w:sz="0" w:space="0" w:color="auto"/>
        <w:left w:val="none" w:sz="0" w:space="0" w:color="auto"/>
        <w:bottom w:val="none" w:sz="0" w:space="0" w:color="auto"/>
        <w:right w:val="none" w:sz="0" w:space="0" w:color="auto"/>
      </w:divBdr>
    </w:div>
    <w:div w:id="680858238">
      <w:bodyDiv w:val="1"/>
      <w:marLeft w:val="0"/>
      <w:marRight w:val="0"/>
      <w:marTop w:val="0"/>
      <w:marBottom w:val="0"/>
      <w:divBdr>
        <w:top w:val="none" w:sz="0" w:space="0" w:color="auto"/>
        <w:left w:val="none" w:sz="0" w:space="0" w:color="auto"/>
        <w:bottom w:val="none" w:sz="0" w:space="0" w:color="auto"/>
        <w:right w:val="none" w:sz="0" w:space="0" w:color="auto"/>
      </w:divBdr>
    </w:div>
    <w:div w:id="1439179714">
      <w:bodyDiv w:val="1"/>
      <w:marLeft w:val="0"/>
      <w:marRight w:val="0"/>
      <w:marTop w:val="0"/>
      <w:marBottom w:val="0"/>
      <w:divBdr>
        <w:top w:val="none" w:sz="0" w:space="0" w:color="auto"/>
        <w:left w:val="none" w:sz="0" w:space="0" w:color="auto"/>
        <w:bottom w:val="none" w:sz="0" w:space="0" w:color="auto"/>
        <w:right w:val="none" w:sz="0" w:space="0" w:color="auto"/>
      </w:divBdr>
      <w:divsChild>
        <w:div w:id="919024529">
          <w:marLeft w:val="0"/>
          <w:marRight w:val="0"/>
          <w:marTop w:val="0"/>
          <w:marBottom w:val="0"/>
          <w:divBdr>
            <w:top w:val="none" w:sz="0" w:space="0" w:color="auto"/>
            <w:left w:val="none" w:sz="0" w:space="0" w:color="auto"/>
            <w:bottom w:val="none" w:sz="0" w:space="0" w:color="auto"/>
            <w:right w:val="none" w:sz="0" w:space="0" w:color="auto"/>
          </w:divBdr>
          <w:divsChild>
            <w:div w:id="1950233184">
              <w:marLeft w:val="0"/>
              <w:marRight w:val="0"/>
              <w:marTop w:val="0"/>
              <w:marBottom w:val="0"/>
              <w:divBdr>
                <w:top w:val="none" w:sz="0" w:space="0" w:color="auto"/>
                <w:left w:val="none" w:sz="0" w:space="0" w:color="auto"/>
                <w:bottom w:val="none" w:sz="0" w:space="0" w:color="auto"/>
                <w:right w:val="none" w:sz="0" w:space="0" w:color="auto"/>
              </w:divBdr>
              <w:divsChild>
                <w:div w:id="1940407133">
                  <w:marLeft w:val="0"/>
                  <w:marRight w:val="0"/>
                  <w:marTop w:val="0"/>
                  <w:marBottom w:val="0"/>
                  <w:divBdr>
                    <w:top w:val="none" w:sz="0" w:space="0" w:color="auto"/>
                    <w:left w:val="none" w:sz="0" w:space="0" w:color="auto"/>
                    <w:bottom w:val="none" w:sz="0" w:space="0" w:color="auto"/>
                    <w:right w:val="none" w:sz="0" w:space="0" w:color="auto"/>
                  </w:divBdr>
                  <w:divsChild>
                    <w:div w:id="1055618940">
                      <w:marLeft w:val="0"/>
                      <w:marRight w:val="0"/>
                      <w:marTop w:val="0"/>
                      <w:marBottom w:val="0"/>
                      <w:divBdr>
                        <w:top w:val="none" w:sz="0" w:space="0" w:color="auto"/>
                        <w:left w:val="none" w:sz="0" w:space="0" w:color="auto"/>
                        <w:bottom w:val="none" w:sz="0" w:space="0" w:color="auto"/>
                        <w:right w:val="none" w:sz="0" w:space="0" w:color="auto"/>
                      </w:divBdr>
                      <w:divsChild>
                        <w:div w:id="756445157">
                          <w:marLeft w:val="0"/>
                          <w:marRight w:val="0"/>
                          <w:marTop w:val="0"/>
                          <w:marBottom w:val="0"/>
                          <w:divBdr>
                            <w:top w:val="none" w:sz="0" w:space="0" w:color="auto"/>
                            <w:left w:val="none" w:sz="0" w:space="0" w:color="auto"/>
                            <w:bottom w:val="none" w:sz="0" w:space="0" w:color="auto"/>
                            <w:right w:val="none" w:sz="0" w:space="0" w:color="auto"/>
                          </w:divBdr>
                          <w:divsChild>
                            <w:div w:id="7149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95AD-EEC6-4992-93B9-498A4FB7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2018-01-23T19:37:00Z</dcterms:created>
  <dcterms:modified xsi:type="dcterms:W3CDTF">2018-01-23T19:37:00Z</dcterms:modified>
</cp:coreProperties>
</file>