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5E06" w14:textId="53BCB7CE" w:rsidR="008E435B" w:rsidRPr="00617B24" w:rsidRDefault="00B26787" w:rsidP="00E115DF">
      <w:pPr>
        <w:rPr>
          <w:rFonts w:asciiTheme="minorHAnsi" w:hAnsiTheme="minorHAnsi" w:cstheme="minorHAnsi"/>
          <w:szCs w:val="22"/>
        </w:rPr>
      </w:pPr>
      <w:r w:rsidRPr="00617B24">
        <w:rPr>
          <w:rFonts w:asciiTheme="minorHAnsi" w:hAnsiTheme="minorHAnsi" w:cstheme="minorHAnsi"/>
          <w:szCs w:val="22"/>
        </w:rPr>
        <w:t>June 1</w:t>
      </w:r>
      <w:r w:rsidR="00136FCA">
        <w:rPr>
          <w:rFonts w:asciiTheme="minorHAnsi" w:hAnsiTheme="minorHAnsi" w:cstheme="minorHAnsi"/>
          <w:szCs w:val="22"/>
        </w:rPr>
        <w:t>9</w:t>
      </w:r>
      <w:r w:rsidRPr="00617B24">
        <w:rPr>
          <w:rFonts w:asciiTheme="minorHAnsi" w:hAnsiTheme="minorHAnsi" w:cstheme="minorHAnsi"/>
          <w:szCs w:val="22"/>
        </w:rPr>
        <w:t>, 2017</w:t>
      </w:r>
    </w:p>
    <w:p w14:paraId="40FBE665" w14:textId="77777777" w:rsidR="008E435B" w:rsidRPr="00617B24" w:rsidRDefault="008E435B">
      <w:pPr>
        <w:rPr>
          <w:rFonts w:asciiTheme="minorHAnsi" w:hAnsiTheme="minorHAnsi" w:cstheme="minorHAnsi"/>
          <w:szCs w:val="22"/>
        </w:rPr>
      </w:pPr>
    </w:p>
    <w:p w14:paraId="1AC27ED8" w14:textId="77777777" w:rsidR="008E435B" w:rsidRPr="00617B24" w:rsidRDefault="008E435B">
      <w:pPr>
        <w:rPr>
          <w:rFonts w:asciiTheme="minorHAnsi" w:hAnsiTheme="minorHAnsi" w:cstheme="minorHAnsi"/>
          <w:szCs w:val="22"/>
        </w:rPr>
      </w:pPr>
    </w:p>
    <w:p w14:paraId="3288E941" w14:textId="1348DDE4" w:rsidR="008E435B" w:rsidRPr="00617B24" w:rsidRDefault="008E435B">
      <w:pPr>
        <w:rPr>
          <w:rFonts w:asciiTheme="minorHAnsi" w:hAnsiTheme="minorHAnsi" w:cstheme="minorHAnsi"/>
          <w:szCs w:val="22"/>
        </w:rPr>
      </w:pPr>
      <w:r w:rsidRPr="00617B24">
        <w:rPr>
          <w:rFonts w:asciiTheme="minorHAnsi" w:hAnsiTheme="minorHAnsi" w:cstheme="minorHAnsi"/>
          <w:szCs w:val="22"/>
        </w:rPr>
        <w:t>MEMORANDUM FOR</w:t>
      </w:r>
      <w:r w:rsidRPr="00617B24">
        <w:rPr>
          <w:rFonts w:asciiTheme="minorHAnsi" w:hAnsiTheme="minorHAnsi" w:cstheme="minorHAnsi"/>
          <w:szCs w:val="22"/>
        </w:rPr>
        <w:tab/>
      </w:r>
      <w:r w:rsidR="00450D3C" w:rsidRPr="00617B24">
        <w:rPr>
          <w:rFonts w:asciiTheme="minorHAnsi" w:hAnsiTheme="minorHAnsi" w:cstheme="minorHAnsi"/>
          <w:szCs w:val="22"/>
        </w:rPr>
        <w:tab/>
      </w:r>
      <w:r w:rsidRPr="00617B24">
        <w:rPr>
          <w:rFonts w:asciiTheme="minorHAnsi" w:hAnsiTheme="minorHAnsi" w:cstheme="minorHAnsi"/>
          <w:szCs w:val="22"/>
        </w:rPr>
        <w:t>Reviewer of 1220-0045</w:t>
      </w:r>
    </w:p>
    <w:p w14:paraId="496932B6" w14:textId="77777777" w:rsidR="008E435B" w:rsidRPr="00617B24" w:rsidRDefault="008E435B">
      <w:pPr>
        <w:rPr>
          <w:rFonts w:asciiTheme="minorHAnsi" w:hAnsiTheme="minorHAnsi" w:cstheme="minorHAnsi"/>
          <w:szCs w:val="22"/>
        </w:rPr>
      </w:pPr>
    </w:p>
    <w:p w14:paraId="63CB509F" w14:textId="462EE1F1" w:rsidR="008E435B" w:rsidRPr="00617B24" w:rsidRDefault="008E435B">
      <w:pPr>
        <w:outlineLvl w:val="0"/>
        <w:rPr>
          <w:rFonts w:asciiTheme="minorHAnsi" w:hAnsiTheme="minorHAnsi" w:cstheme="minorHAnsi"/>
          <w:szCs w:val="22"/>
        </w:rPr>
      </w:pPr>
      <w:r w:rsidRPr="00617B24">
        <w:rPr>
          <w:rFonts w:asciiTheme="minorHAnsi" w:hAnsiTheme="minorHAnsi" w:cstheme="minorHAnsi"/>
          <w:szCs w:val="22"/>
        </w:rPr>
        <w:t>FROM</w:t>
      </w: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00FB4DED">
        <w:rPr>
          <w:rFonts w:asciiTheme="minorHAnsi" w:hAnsiTheme="minorHAnsi" w:cstheme="minorHAnsi"/>
          <w:szCs w:val="22"/>
        </w:rPr>
        <w:t>Beth Rogers</w:t>
      </w:r>
      <w:r w:rsidRPr="00617B24">
        <w:rPr>
          <w:rFonts w:asciiTheme="minorHAnsi" w:hAnsiTheme="minorHAnsi" w:cstheme="minorHAnsi"/>
          <w:szCs w:val="22"/>
        </w:rPr>
        <w:t>, Chief</w:t>
      </w:r>
    </w:p>
    <w:p w14:paraId="09E0E22B" w14:textId="403CBDDC" w:rsidR="008E435B" w:rsidRPr="00617B24" w:rsidRDefault="008E435B">
      <w:pPr>
        <w:rPr>
          <w:rFonts w:asciiTheme="minorHAnsi" w:hAnsiTheme="minorHAnsi" w:cstheme="minorHAnsi"/>
          <w:szCs w:val="22"/>
        </w:rPr>
      </w:pP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0051290C" w:rsidRPr="00617B24">
        <w:rPr>
          <w:rFonts w:asciiTheme="minorHAnsi" w:hAnsiTheme="minorHAnsi" w:cstheme="minorHAnsi"/>
          <w:szCs w:val="22"/>
        </w:rPr>
        <w:t xml:space="preserve">Division of Safety and Health </w:t>
      </w:r>
      <w:r w:rsidR="00FB4DED">
        <w:rPr>
          <w:rFonts w:asciiTheme="minorHAnsi" w:hAnsiTheme="minorHAnsi" w:cstheme="minorHAnsi"/>
          <w:szCs w:val="22"/>
        </w:rPr>
        <w:t>Statistics</w:t>
      </w:r>
    </w:p>
    <w:p w14:paraId="13514F82" w14:textId="754C7F7A" w:rsidR="008E435B" w:rsidRPr="00617B24" w:rsidRDefault="008E435B">
      <w:pPr>
        <w:rPr>
          <w:rFonts w:asciiTheme="minorHAnsi" w:hAnsiTheme="minorHAnsi" w:cstheme="minorHAnsi"/>
          <w:szCs w:val="22"/>
        </w:rPr>
      </w:pP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Pr="00617B24">
        <w:rPr>
          <w:rFonts w:asciiTheme="minorHAnsi" w:hAnsiTheme="minorHAnsi" w:cstheme="minorHAnsi"/>
          <w:szCs w:val="22"/>
        </w:rPr>
        <w:tab/>
      </w:r>
      <w:r w:rsidR="0051290C" w:rsidRPr="00617B24">
        <w:rPr>
          <w:rFonts w:asciiTheme="minorHAnsi" w:hAnsiTheme="minorHAnsi" w:cstheme="minorHAnsi"/>
          <w:szCs w:val="22"/>
        </w:rPr>
        <w:t>Office of Compensation and Working Conditions</w:t>
      </w:r>
    </w:p>
    <w:p w14:paraId="3163F76F" w14:textId="77777777" w:rsidR="008E435B" w:rsidRPr="00617B24" w:rsidRDefault="008E435B" w:rsidP="000920F3">
      <w:pPr>
        <w:ind w:left="2160" w:firstLine="720"/>
        <w:rPr>
          <w:rFonts w:asciiTheme="minorHAnsi" w:hAnsiTheme="minorHAnsi" w:cstheme="minorHAnsi"/>
          <w:szCs w:val="22"/>
        </w:rPr>
      </w:pPr>
      <w:r w:rsidRPr="00617B24">
        <w:rPr>
          <w:rFonts w:asciiTheme="minorHAnsi" w:hAnsiTheme="minorHAnsi" w:cstheme="minorHAnsi"/>
          <w:szCs w:val="22"/>
        </w:rPr>
        <w:t>Bureau of Labor Statistics</w:t>
      </w:r>
    </w:p>
    <w:p w14:paraId="6318228E" w14:textId="77777777" w:rsidR="008E435B" w:rsidRPr="00617B24" w:rsidRDefault="008E435B">
      <w:pPr>
        <w:rPr>
          <w:rFonts w:asciiTheme="minorHAnsi" w:hAnsiTheme="minorHAnsi" w:cstheme="minorHAnsi"/>
          <w:szCs w:val="22"/>
        </w:rPr>
      </w:pPr>
    </w:p>
    <w:p w14:paraId="2FF29B7F" w14:textId="0317960F" w:rsidR="008E435B" w:rsidRPr="00617B24" w:rsidRDefault="008E435B" w:rsidP="000920F3">
      <w:pPr>
        <w:ind w:left="2160" w:hanging="2160"/>
        <w:rPr>
          <w:rFonts w:asciiTheme="minorHAnsi" w:hAnsiTheme="minorHAnsi" w:cstheme="minorHAnsi"/>
          <w:szCs w:val="22"/>
        </w:rPr>
      </w:pPr>
      <w:r w:rsidRPr="00617B24">
        <w:rPr>
          <w:rFonts w:asciiTheme="minorHAnsi" w:hAnsiTheme="minorHAnsi" w:cstheme="minorHAnsi"/>
          <w:szCs w:val="22"/>
        </w:rPr>
        <w:t>SUBJECT</w:t>
      </w:r>
      <w:r w:rsidRPr="00617B24">
        <w:rPr>
          <w:rFonts w:asciiTheme="minorHAnsi" w:hAnsiTheme="minorHAnsi" w:cstheme="minorHAnsi"/>
          <w:szCs w:val="22"/>
        </w:rPr>
        <w:tab/>
      </w:r>
      <w:r w:rsidRPr="00617B24">
        <w:rPr>
          <w:rFonts w:asciiTheme="minorHAnsi" w:hAnsiTheme="minorHAnsi" w:cstheme="minorHAnsi"/>
          <w:szCs w:val="22"/>
        </w:rPr>
        <w:tab/>
      </w:r>
      <w:r w:rsidR="00180A59" w:rsidRPr="00617B24">
        <w:rPr>
          <w:rFonts w:asciiTheme="minorHAnsi" w:hAnsiTheme="minorHAnsi" w:cstheme="minorHAnsi"/>
          <w:szCs w:val="22"/>
        </w:rPr>
        <w:t xml:space="preserve">Changes to </w:t>
      </w:r>
      <w:r w:rsidR="00B26787" w:rsidRPr="00617B24">
        <w:rPr>
          <w:rFonts w:asciiTheme="minorHAnsi" w:hAnsiTheme="minorHAnsi" w:cstheme="minorHAnsi"/>
          <w:szCs w:val="22"/>
        </w:rPr>
        <w:t>Household Survey of Occupational Injuries</w:t>
      </w:r>
      <w:r w:rsidR="00136FCA">
        <w:rPr>
          <w:rFonts w:asciiTheme="minorHAnsi" w:hAnsiTheme="minorHAnsi" w:cstheme="minorHAnsi"/>
          <w:szCs w:val="22"/>
        </w:rPr>
        <w:br/>
      </w:r>
      <w:r w:rsidR="00B26787" w:rsidRPr="00617B24">
        <w:rPr>
          <w:rFonts w:asciiTheme="minorHAnsi" w:hAnsiTheme="minorHAnsi" w:cstheme="minorHAnsi"/>
          <w:szCs w:val="22"/>
        </w:rPr>
        <w:t xml:space="preserve"> </w:t>
      </w:r>
      <w:r w:rsidR="000920F3">
        <w:rPr>
          <w:rFonts w:asciiTheme="minorHAnsi" w:hAnsiTheme="minorHAnsi" w:cstheme="minorHAnsi"/>
          <w:szCs w:val="22"/>
        </w:rPr>
        <w:tab/>
      </w:r>
      <w:r w:rsidR="000920F3">
        <w:rPr>
          <w:rFonts w:asciiTheme="minorHAnsi" w:hAnsiTheme="minorHAnsi" w:cstheme="minorHAnsi"/>
          <w:szCs w:val="22"/>
        </w:rPr>
        <w:tab/>
      </w:r>
      <w:r w:rsidR="00B26787" w:rsidRPr="00617B24">
        <w:rPr>
          <w:rFonts w:asciiTheme="minorHAnsi" w:hAnsiTheme="minorHAnsi" w:cstheme="minorHAnsi"/>
          <w:szCs w:val="22"/>
        </w:rPr>
        <w:t>and Illnesses Pilot Test (HSOII)</w:t>
      </w:r>
      <w:r w:rsidR="0051290C" w:rsidRPr="00617B24">
        <w:rPr>
          <w:rFonts w:asciiTheme="minorHAnsi" w:hAnsiTheme="minorHAnsi" w:cstheme="minorHAnsi"/>
          <w:szCs w:val="22"/>
        </w:rPr>
        <w:t xml:space="preserve"> </w:t>
      </w:r>
      <w:r w:rsidR="00636CD2" w:rsidRPr="00617B24">
        <w:rPr>
          <w:rFonts w:asciiTheme="minorHAnsi" w:hAnsiTheme="minorHAnsi" w:cstheme="minorHAnsi"/>
          <w:szCs w:val="22"/>
        </w:rPr>
        <w:br/>
      </w:r>
    </w:p>
    <w:p w14:paraId="09441EEC" w14:textId="77777777" w:rsidR="00CB6F78" w:rsidRPr="00617B24" w:rsidRDefault="00CB6F78" w:rsidP="005D681B">
      <w:pPr>
        <w:rPr>
          <w:rFonts w:asciiTheme="minorHAnsi" w:hAnsiTheme="minorHAnsi" w:cstheme="minorHAnsi"/>
          <w:szCs w:val="22"/>
        </w:rPr>
      </w:pPr>
    </w:p>
    <w:p w14:paraId="1562F7AA" w14:textId="77777777" w:rsidR="00CB6F78" w:rsidRPr="00617B24" w:rsidRDefault="00CB6F78" w:rsidP="005D681B">
      <w:pPr>
        <w:rPr>
          <w:rFonts w:asciiTheme="minorHAnsi" w:hAnsiTheme="minorHAnsi" w:cstheme="minorHAnsi"/>
          <w:szCs w:val="22"/>
        </w:rPr>
      </w:pPr>
    </w:p>
    <w:p w14:paraId="10C3E384" w14:textId="33A63B2A" w:rsidR="00682946" w:rsidRPr="00617B24" w:rsidRDefault="00311681" w:rsidP="005D681B">
      <w:pPr>
        <w:rPr>
          <w:rFonts w:asciiTheme="minorHAnsi" w:hAnsiTheme="minorHAnsi" w:cstheme="minorHAnsi"/>
          <w:szCs w:val="22"/>
        </w:rPr>
      </w:pPr>
      <w:r w:rsidRPr="00617B24">
        <w:rPr>
          <w:rFonts w:asciiTheme="minorHAnsi" w:hAnsiTheme="minorHAnsi" w:cstheme="minorHAnsi"/>
          <w:szCs w:val="22"/>
        </w:rPr>
        <w:t>T</w:t>
      </w:r>
      <w:r w:rsidR="00D429FE" w:rsidRPr="00617B24">
        <w:rPr>
          <w:rFonts w:asciiTheme="minorHAnsi" w:hAnsiTheme="minorHAnsi" w:cstheme="minorHAnsi"/>
          <w:szCs w:val="22"/>
        </w:rPr>
        <w:t xml:space="preserve">he Bureau of Labor Statistics (BLS) </w:t>
      </w:r>
      <w:r w:rsidR="00B6530A" w:rsidRPr="00617B24">
        <w:rPr>
          <w:rFonts w:asciiTheme="minorHAnsi" w:hAnsiTheme="minorHAnsi" w:cstheme="minorHAnsi"/>
          <w:szCs w:val="22"/>
        </w:rPr>
        <w:t>plans to</w:t>
      </w:r>
      <w:r w:rsidR="00953384" w:rsidRPr="00617B24">
        <w:rPr>
          <w:rFonts w:asciiTheme="minorHAnsi" w:hAnsiTheme="minorHAnsi" w:cstheme="minorHAnsi"/>
          <w:szCs w:val="22"/>
        </w:rPr>
        <w:t xml:space="preserve"> </w:t>
      </w:r>
      <w:r w:rsidRPr="00617B24">
        <w:rPr>
          <w:rFonts w:asciiTheme="minorHAnsi" w:hAnsiTheme="minorHAnsi" w:cstheme="minorHAnsi"/>
          <w:szCs w:val="22"/>
        </w:rPr>
        <w:t>change the cell phone and landline sample allocations</w:t>
      </w:r>
      <w:r w:rsidR="00FB4DED">
        <w:rPr>
          <w:rFonts w:asciiTheme="minorHAnsi" w:hAnsiTheme="minorHAnsi" w:cstheme="minorHAnsi"/>
          <w:szCs w:val="22"/>
        </w:rPr>
        <w:t xml:space="preserve">, </w:t>
      </w:r>
      <w:r w:rsidR="00FB4DED" w:rsidRPr="00617B24">
        <w:rPr>
          <w:rFonts w:asciiTheme="minorHAnsi" w:hAnsiTheme="minorHAnsi" w:cstheme="minorHAnsi"/>
          <w:szCs w:val="22"/>
        </w:rPr>
        <w:t>modify the sample size</w:t>
      </w:r>
      <w:r w:rsidR="00136FCA">
        <w:rPr>
          <w:rFonts w:asciiTheme="minorHAnsi" w:hAnsiTheme="minorHAnsi" w:cstheme="minorHAnsi"/>
          <w:szCs w:val="22"/>
        </w:rPr>
        <w:t>,</w:t>
      </w:r>
      <w:r w:rsidR="00136FCA" w:rsidRPr="00136FCA">
        <w:rPr>
          <w:rFonts w:asciiTheme="minorHAnsi" w:hAnsiTheme="minorHAnsi" w:cstheme="minorHAnsi"/>
          <w:szCs w:val="22"/>
        </w:rPr>
        <w:t xml:space="preserve"> </w:t>
      </w:r>
      <w:r w:rsidR="00136FCA">
        <w:rPr>
          <w:rFonts w:asciiTheme="minorHAnsi" w:hAnsiTheme="minorHAnsi" w:cstheme="minorHAnsi"/>
          <w:szCs w:val="22"/>
        </w:rPr>
        <w:t xml:space="preserve">and </w:t>
      </w:r>
      <w:r w:rsidR="00136FCA" w:rsidRPr="00617B24">
        <w:rPr>
          <w:rFonts w:asciiTheme="minorHAnsi" w:hAnsiTheme="minorHAnsi" w:cstheme="minorHAnsi"/>
          <w:szCs w:val="22"/>
        </w:rPr>
        <w:t>revise the survey instrument used for the Household Survey of Occupational Injuries and Illnesses Pilot Test (HSOII)</w:t>
      </w:r>
      <w:r w:rsidR="00136FCA">
        <w:rPr>
          <w:rFonts w:asciiTheme="minorHAnsi" w:hAnsiTheme="minorHAnsi" w:cstheme="minorHAnsi"/>
          <w:szCs w:val="22"/>
        </w:rPr>
        <w:t xml:space="preserve"> based upon information learned from pretest </w:t>
      </w:r>
      <w:r w:rsidR="000920F3">
        <w:rPr>
          <w:rFonts w:asciiTheme="minorHAnsi" w:hAnsiTheme="minorHAnsi" w:cstheme="minorHAnsi"/>
          <w:szCs w:val="22"/>
        </w:rPr>
        <w:t>r</w:t>
      </w:r>
      <w:r w:rsidR="00136FCA">
        <w:rPr>
          <w:rFonts w:asciiTheme="minorHAnsi" w:hAnsiTheme="minorHAnsi" w:cstheme="minorHAnsi"/>
          <w:szCs w:val="22"/>
        </w:rPr>
        <w:t xml:space="preserve">esults. </w:t>
      </w:r>
      <w:r w:rsidRPr="00617B24">
        <w:rPr>
          <w:rFonts w:asciiTheme="minorHAnsi" w:hAnsiTheme="minorHAnsi" w:cstheme="minorHAnsi"/>
          <w:szCs w:val="22"/>
        </w:rPr>
        <w:t xml:space="preserve"> </w:t>
      </w:r>
      <w:r w:rsidR="000920F3">
        <w:rPr>
          <w:rFonts w:asciiTheme="minorHAnsi" w:hAnsiTheme="minorHAnsi" w:cstheme="minorHAnsi"/>
          <w:szCs w:val="22"/>
        </w:rPr>
        <w:t>The</w:t>
      </w:r>
      <w:r w:rsidR="00FB4DED">
        <w:rPr>
          <w:rFonts w:asciiTheme="minorHAnsi" w:hAnsiTheme="minorHAnsi" w:cstheme="minorHAnsi"/>
          <w:szCs w:val="22"/>
        </w:rPr>
        <w:t xml:space="preserve"> pretest of the survey instrument demonstrated that the survey instrument is running longer than anticipated. The proposed changes will permit BLS to collect the desired level of detail from the HSOII pilot without additional cost or loss of analytic value.</w:t>
      </w:r>
    </w:p>
    <w:p w14:paraId="45FBFF9E" w14:textId="77777777" w:rsidR="00C15BD1" w:rsidRPr="00617B24" w:rsidRDefault="00C15BD1" w:rsidP="005D681B">
      <w:pPr>
        <w:rPr>
          <w:rFonts w:asciiTheme="minorHAnsi" w:hAnsiTheme="minorHAnsi" w:cstheme="minorHAnsi"/>
          <w:szCs w:val="22"/>
        </w:rPr>
      </w:pPr>
    </w:p>
    <w:p w14:paraId="6F8A20DE" w14:textId="635DC818" w:rsidR="00C15BD1" w:rsidRPr="00617B24" w:rsidRDefault="00311681" w:rsidP="005D681B">
      <w:pPr>
        <w:rPr>
          <w:rFonts w:asciiTheme="minorHAnsi" w:hAnsiTheme="minorHAnsi" w:cstheme="minorHAnsi"/>
          <w:szCs w:val="22"/>
        </w:rPr>
      </w:pPr>
      <w:r w:rsidRPr="00617B24">
        <w:rPr>
          <w:rFonts w:asciiTheme="minorHAnsi" w:hAnsiTheme="minorHAnsi" w:cstheme="minorHAnsi"/>
          <w:szCs w:val="22"/>
        </w:rPr>
        <w:t>An updated survey instrument has</w:t>
      </w:r>
      <w:r w:rsidR="00C15BD1" w:rsidRPr="00617B24">
        <w:rPr>
          <w:rFonts w:asciiTheme="minorHAnsi" w:hAnsiTheme="minorHAnsi" w:cstheme="minorHAnsi"/>
          <w:szCs w:val="22"/>
        </w:rPr>
        <w:t xml:space="preserve"> been included with this </w:t>
      </w:r>
      <w:r w:rsidR="000920F3">
        <w:rPr>
          <w:rFonts w:asciiTheme="minorHAnsi" w:hAnsiTheme="minorHAnsi" w:cstheme="minorHAnsi"/>
          <w:szCs w:val="22"/>
        </w:rPr>
        <w:t>N</w:t>
      </w:r>
      <w:r w:rsidR="00C15BD1" w:rsidRPr="00617B24">
        <w:rPr>
          <w:rFonts w:asciiTheme="minorHAnsi" w:hAnsiTheme="minorHAnsi" w:cstheme="minorHAnsi"/>
          <w:szCs w:val="22"/>
        </w:rPr>
        <w:t xml:space="preserve">ote to the </w:t>
      </w:r>
      <w:r w:rsidR="000920F3">
        <w:rPr>
          <w:rFonts w:asciiTheme="minorHAnsi" w:hAnsiTheme="minorHAnsi" w:cstheme="minorHAnsi"/>
          <w:szCs w:val="22"/>
        </w:rPr>
        <w:t>R</w:t>
      </w:r>
      <w:r w:rsidR="00C15BD1" w:rsidRPr="00617B24">
        <w:rPr>
          <w:rFonts w:asciiTheme="minorHAnsi" w:hAnsiTheme="minorHAnsi" w:cstheme="minorHAnsi"/>
          <w:szCs w:val="22"/>
        </w:rPr>
        <w:t>eviewer</w:t>
      </w:r>
      <w:r w:rsidR="000920F3">
        <w:rPr>
          <w:rFonts w:asciiTheme="minorHAnsi" w:hAnsiTheme="minorHAnsi" w:cstheme="minorHAnsi"/>
          <w:szCs w:val="22"/>
        </w:rPr>
        <w:t>,</w:t>
      </w:r>
      <w:r w:rsidR="00136FCA">
        <w:rPr>
          <w:rFonts w:asciiTheme="minorHAnsi" w:hAnsiTheme="minorHAnsi" w:cstheme="minorHAnsi"/>
          <w:szCs w:val="22"/>
        </w:rPr>
        <w:t xml:space="preserve"> which reflects all changes to the survey instrument, </w:t>
      </w:r>
      <w:r w:rsidRPr="00617B24">
        <w:rPr>
          <w:rFonts w:asciiTheme="minorHAnsi" w:hAnsiTheme="minorHAnsi" w:cstheme="minorHAnsi"/>
          <w:szCs w:val="22"/>
        </w:rPr>
        <w:t>as well as a copy of the “</w:t>
      </w:r>
      <w:proofErr w:type="spellStart"/>
      <w:r w:rsidRPr="00617B24">
        <w:rPr>
          <w:rFonts w:asciiTheme="minorHAnsi" w:hAnsiTheme="minorHAnsi" w:cstheme="minorHAnsi"/>
          <w:szCs w:val="22"/>
        </w:rPr>
        <w:t>Westat</w:t>
      </w:r>
      <w:proofErr w:type="spellEnd"/>
      <w:r w:rsidRPr="00617B24">
        <w:rPr>
          <w:rFonts w:asciiTheme="minorHAnsi" w:hAnsiTheme="minorHAnsi" w:cstheme="minorHAnsi"/>
          <w:szCs w:val="22"/>
        </w:rPr>
        <w:t xml:space="preserve"> Pilot Study Design Report,” for reference</w:t>
      </w:r>
      <w:r w:rsidR="00C15BD1" w:rsidRPr="00617B24">
        <w:rPr>
          <w:rFonts w:asciiTheme="minorHAnsi" w:hAnsiTheme="minorHAnsi" w:cstheme="minorHAnsi"/>
          <w:szCs w:val="22"/>
        </w:rPr>
        <w:t xml:space="preserve">. </w:t>
      </w:r>
    </w:p>
    <w:p w14:paraId="211BE800" w14:textId="77777777" w:rsidR="00CB6F78" w:rsidRPr="00617B24" w:rsidRDefault="00CB6F78" w:rsidP="005D681B">
      <w:pPr>
        <w:rPr>
          <w:rFonts w:asciiTheme="minorHAnsi" w:hAnsiTheme="minorHAnsi" w:cstheme="minorHAnsi"/>
          <w:szCs w:val="22"/>
        </w:rPr>
      </w:pPr>
    </w:p>
    <w:p w14:paraId="46A00B83" w14:textId="77777777" w:rsidR="00C34226" w:rsidRPr="00617B24" w:rsidRDefault="00C34226" w:rsidP="005D681B">
      <w:pPr>
        <w:rPr>
          <w:rFonts w:asciiTheme="minorHAnsi" w:hAnsiTheme="minorHAnsi" w:cstheme="minorHAnsi"/>
          <w:szCs w:val="22"/>
        </w:rPr>
      </w:pPr>
      <w:r w:rsidRPr="00617B24">
        <w:rPr>
          <w:rFonts w:asciiTheme="minorHAnsi" w:hAnsiTheme="minorHAnsi" w:cstheme="minorHAnsi"/>
          <w:szCs w:val="22"/>
        </w:rPr>
        <w:t xml:space="preserve">The key modifications to the </w:t>
      </w:r>
      <w:r w:rsidR="00311681" w:rsidRPr="00617B24">
        <w:rPr>
          <w:rFonts w:asciiTheme="minorHAnsi" w:hAnsiTheme="minorHAnsi" w:cstheme="minorHAnsi"/>
          <w:szCs w:val="22"/>
        </w:rPr>
        <w:t>HSOII include</w:t>
      </w:r>
      <w:r w:rsidRPr="00617B24">
        <w:rPr>
          <w:rFonts w:asciiTheme="minorHAnsi" w:hAnsiTheme="minorHAnsi" w:cstheme="minorHAnsi"/>
          <w:szCs w:val="22"/>
        </w:rPr>
        <w:t>:</w:t>
      </w:r>
    </w:p>
    <w:p w14:paraId="04E66D52" w14:textId="77777777" w:rsidR="00311681" w:rsidRPr="00617B24" w:rsidRDefault="00311681" w:rsidP="00311681">
      <w:pPr>
        <w:pStyle w:val="ListParagraph"/>
        <w:numPr>
          <w:ilvl w:val="0"/>
          <w:numId w:val="26"/>
        </w:numPr>
        <w:rPr>
          <w:rFonts w:asciiTheme="minorHAnsi" w:hAnsiTheme="minorHAnsi" w:cstheme="minorHAnsi"/>
          <w:szCs w:val="22"/>
        </w:rPr>
      </w:pPr>
      <w:r w:rsidRPr="00617B24">
        <w:rPr>
          <w:rFonts w:asciiTheme="minorHAnsi" w:hAnsiTheme="minorHAnsi" w:cstheme="minorHAnsi"/>
          <w:szCs w:val="22"/>
        </w:rPr>
        <w:t>Change the cell and landline sample allocations from 70/30 to 90/10, based on additional research and expert feedback from survey methodologists.</w:t>
      </w:r>
    </w:p>
    <w:p w14:paraId="16FC9645" w14:textId="0FCE161F" w:rsidR="00311681" w:rsidRPr="00617B24" w:rsidRDefault="00311681" w:rsidP="00311681">
      <w:pPr>
        <w:pStyle w:val="ListParagraph"/>
        <w:numPr>
          <w:ilvl w:val="1"/>
          <w:numId w:val="26"/>
        </w:numPr>
        <w:rPr>
          <w:rFonts w:asciiTheme="minorHAnsi" w:hAnsiTheme="minorHAnsi" w:cstheme="minorHAnsi"/>
          <w:szCs w:val="22"/>
        </w:rPr>
      </w:pPr>
      <w:r w:rsidRPr="00617B24">
        <w:rPr>
          <w:rFonts w:asciiTheme="minorHAnsi" w:hAnsiTheme="minorHAnsi" w:cstheme="minorHAnsi"/>
          <w:szCs w:val="22"/>
        </w:rPr>
        <w:t>Landline-only households are currently estimated to be only 6.5% of all households (</w:t>
      </w:r>
      <w:hyperlink r:id="rId8" w:history="1">
        <w:r w:rsidRPr="00617B24">
          <w:rPr>
            <w:rStyle w:val="Hyperlink"/>
            <w:rFonts w:asciiTheme="minorHAnsi" w:hAnsiTheme="minorHAnsi" w:cstheme="minorHAnsi"/>
            <w:szCs w:val="22"/>
          </w:rPr>
          <w:t>https://www.cdc.gov/nchs/data/nhis/earlyrelease/wireless201705.pdf</w:t>
        </w:r>
      </w:hyperlink>
      <w:r w:rsidRPr="00617B24">
        <w:rPr>
          <w:rFonts w:asciiTheme="minorHAnsi" w:hAnsiTheme="minorHAnsi" w:cstheme="minorHAnsi"/>
          <w:szCs w:val="22"/>
        </w:rPr>
        <w:t xml:space="preserve">), and </w:t>
      </w:r>
      <w:proofErr w:type="gramStart"/>
      <w:r w:rsidRPr="00617B24">
        <w:rPr>
          <w:rFonts w:asciiTheme="minorHAnsi" w:hAnsiTheme="minorHAnsi" w:cstheme="minorHAnsi"/>
          <w:szCs w:val="22"/>
        </w:rPr>
        <w:t>a large portion of these contain</w:t>
      </w:r>
      <w:proofErr w:type="gramEnd"/>
      <w:r w:rsidRPr="00617B24">
        <w:rPr>
          <w:rFonts w:asciiTheme="minorHAnsi" w:hAnsiTheme="minorHAnsi" w:cstheme="minorHAnsi"/>
          <w:szCs w:val="22"/>
        </w:rPr>
        <w:t xml:space="preserve"> retired individuals who would not be eligible for the survey. With a 10% landline sample, </w:t>
      </w:r>
      <w:proofErr w:type="gramStart"/>
      <w:r w:rsidRPr="00617B24">
        <w:rPr>
          <w:rFonts w:asciiTheme="minorHAnsi" w:hAnsiTheme="minorHAnsi" w:cstheme="minorHAnsi"/>
          <w:szCs w:val="22"/>
        </w:rPr>
        <w:t>we  expect</w:t>
      </w:r>
      <w:proofErr w:type="gramEnd"/>
      <w:r w:rsidRPr="00617B24">
        <w:rPr>
          <w:rFonts w:asciiTheme="minorHAnsi" w:hAnsiTheme="minorHAnsi" w:cstheme="minorHAnsi"/>
          <w:szCs w:val="22"/>
        </w:rPr>
        <w:t xml:space="preserve"> about 3% of the sample to be from landline-only homes, which </w:t>
      </w:r>
      <w:r w:rsidR="001F7F86">
        <w:rPr>
          <w:rFonts w:asciiTheme="minorHAnsi" w:hAnsiTheme="minorHAnsi" w:cstheme="minorHAnsi"/>
          <w:szCs w:val="22"/>
        </w:rPr>
        <w:t>is</w:t>
      </w:r>
      <w:r w:rsidRPr="00617B24">
        <w:rPr>
          <w:rFonts w:asciiTheme="minorHAnsi" w:hAnsiTheme="minorHAnsi" w:cstheme="minorHAnsi"/>
          <w:szCs w:val="22"/>
        </w:rPr>
        <w:t xml:space="preserve"> acceptable for weighting purposes.  This reduces the complexity and productivity losses found from trying to sample multiple people from the same home in a landline sample, or biases associated with only interviewing the person who answers the phone.</w:t>
      </w:r>
    </w:p>
    <w:p w14:paraId="288D4B01" w14:textId="131759B7" w:rsidR="00311681" w:rsidRPr="00617B24" w:rsidRDefault="00617B24" w:rsidP="00C95E8E">
      <w:pPr>
        <w:pStyle w:val="ListParagraph"/>
        <w:numPr>
          <w:ilvl w:val="0"/>
          <w:numId w:val="26"/>
        </w:numPr>
        <w:rPr>
          <w:rFonts w:asciiTheme="minorHAnsi" w:hAnsiTheme="minorHAnsi" w:cstheme="minorHAnsi"/>
          <w:szCs w:val="22"/>
        </w:rPr>
      </w:pPr>
      <w:r w:rsidRPr="00617B24">
        <w:rPr>
          <w:rFonts w:asciiTheme="minorHAnsi" w:hAnsiTheme="minorHAnsi" w:cstheme="minorHAnsi"/>
        </w:rPr>
        <w:t>Reduce the sample size from 5,</w:t>
      </w:r>
      <w:r w:rsidR="00B93614">
        <w:rPr>
          <w:rFonts w:asciiTheme="minorHAnsi" w:hAnsiTheme="minorHAnsi" w:cstheme="minorHAnsi"/>
        </w:rPr>
        <w:t>5</w:t>
      </w:r>
      <w:r w:rsidRPr="00617B24">
        <w:rPr>
          <w:rFonts w:asciiTheme="minorHAnsi" w:hAnsiTheme="minorHAnsi" w:cstheme="minorHAnsi"/>
        </w:rPr>
        <w:t>00 to 3,520.</w:t>
      </w:r>
    </w:p>
    <w:p w14:paraId="4F833815" w14:textId="77777777" w:rsidR="00617B24" w:rsidRPr="00306FA7" w:rsidRDefault="00617B24" w:rsidP="00FB4DED">
      <w:pPr>
        <w:pStyle w:val="ListParagraph"/>
        <w:numPr>
          <w:ilvl w:val="1"/>
          <w:numId w:val="26"/>
        </w:numPr>
        <w:rPr>
          <w:rFonts w:asciiTheme="minorHAnsi" w:hAnsiTheme="minorHAnsi" w:cstheme="minorHAnsi"/>
        </w:rPr>
      </w:pPr>
      <w:r w:rsidRPr="00306FA7">
        <w:rPr>
          <w:rFonts w:asciiTheme="minorHAnsi" w:hAnsiTheme="minorHAnsi" w:cstheme="minorHAnsi"/>
        </w:rPr>
        <w:t>The “</w:t>
      </w:r>
      <w:proofErr w:type="spellStart"/>
      <w:r w:rsidRPr="00306FA7">
        <w:rPr>
          <w:rFonts w:asciiTheme="minorHAnsi" w:hAnsiTheme="minorHAnsi" w:cstheme="minorHAnsi"/>
        </w:rPr>
        <w:t>Westat</w:t>
      </w:r>
      <w:proofErr w:type="spellEnd"/>
      <w:r w:rsidRPr="00306FA7">
        <w:rPr>
          <w:rFonts w:asciiTheme="minorHAnsi" w:hAnsiTheme="minorHAnsi" w:cstheme="minorHAnsi"/>
        </w:rPr>
        <w:t xml:space="preserve"> Pilot Study Design Report” states: </w:t>
      </w:r>
    </w:p>
    <w:p w14:paraId="780B6BD8" w14:textId="77777777" w:rsidR="00617B24" w:rsidRPr="00306FA7" w:rsidRDefault="00617B24" w:rsidP="00617B24">
      <w:pPr>
        <w:ind w:left="720"/>
        <w:rPr>
          <w:rStyle w:val="SubtleEmphasis"/>
          <w:rFonts w:asciiTheme="minorHAnsi" w:hAnsiTheme="minorHAnsi" w:cstheme="minorHAnsi"/>
        </w:rPr>
      </w:pPr>
      <w:r w:rsidRPr="00306FA7">
        <w:rPr>
          <w:rStyle w:val="SubtleEmphasis"/>
          <w:rFonts w:asciiTheme="minorHAnsi" w:hAnsiTheme="minorHAnsi" w:cstheme="minorHAnsi"/>
        </w:rPr>
        <w:t xml:space="preserve">This pilot study </w:t>
      </w:r>
      <w:proofErr w:type="gramStart"/>
      <w:r w:rsidRPr="00306FA7">
        <w:rPr>
          <w:rStyle w:val="SubtleEmphasis"/>
          <w:rFonts w:asciiTheme="minorHAnsi" w:hAnsiTheme="minorHAnsi" w:cstheme="minorHAnsi"/>
        </w:rPr>
        <w:t>will be designed</w:t>
      </w:r>
      <w:proofErr w:type="gramEnd"/>
      <w:r w:rsidRPr="00306FA7">
        <w:rPr>
          <w:rStyle w:val="SubtleEmphasis"/>
          <w:rFonts w:asciiTheme="minorHAnsi" w:hAnsiTheme="minorHAnsi" w:cstheme="minorHAnsi"/>
        </w:rPr>
        <w:t xml:space="preserve"> to provide nationally representative estimates of prevalence of occupational injuries and illnesses over a year period (to compare to the SOII employer study). The pilot study is intended primarily to differ from the main version of this study only in terms of sample size– the pilot will not be large enough to give sufficient precision for domains (see Section 2 of the Cost-Benefit Report for a listing of these domains).</w:t>
      </w:r>
    </w:p>
    <w:p w14:paraId="69354516" w14:textId="77777777" w:rsidR="00617B24" w:rsidRPr="00306FA7" w:rsidRDefault="00617B24" w:rsidP="00617B24">
      <w:pPr>
        <w:ind w:left="720"/>
        <w:rPr>
          <w:rStyle w:val="SubtleEmphasis"/>
          <w:rFonts w:asciiTheme="minorHAnsi" w:hAnsiTheme="minorHAnsi" w:cstheme="minorHAnsi"/>
        </w:rPr>
      </w:pPr>
      <w:r w:rsidRPr="00306FA7">
        <w:rPr>
          <w:rStyle w:val="SubtleEmphasis"/>
          <w:rFonts w:asciiTheme="minorHAnsi" w:hAnsiTheme="minorHAnsi" w:cstheme="minorHAnsi"/>
        </w:rPr>
        <w:t>…</w:t>
      </w:r>
    </w:p>
    <w:p w14:paraId="3BA85481" w14:textId="0EC78869" w:rsidR="00617B24" w:rsidRPr="00306FA7" w:rsidRDefault="00617B24" w:rsidP="00617B24">
      <w:pPr>
        <w:ind w:left="720"/>
        <w:rPr>
          <w:rStyle w:val="SubtleEmphasis"/>
          <w:rFonts w:asciiTheme="minorHAnsi" w:hAnsiTheme="minorHAnsi" w:cstheme="minorHAnsi"/>
        </w:rPr>
      </w:pPr>
      <w:r w:rsidRPr="00306FA7">
        <w:rPr>
          <w:rStyle w:val="SubtleEmphasis"/>
          <w:rFonts w:asciiTheme="minorHAnsi" w:hAnsiTheme="minorHAnsi" w:cstheme="minorHAnsi"/>
        </w:rPr>
        <w:t>The Cost-Benefit Analysis set an effective sample size benchmark of 5,</w:t>
      </w:r>
      <w:r w:rsidR="00B93614">
        <w:rPr>
          <w:rStyle w:val="SubtleEmphasis"/>
          <w:rFonts w:asciiTheme="minorHAnsi" w:hAnsiTheme="minorHAnsi" w:cstheme="minorHAnsi"/>
        </w:rPr>
        <w:t>5</w:t>
      </w:r>
      <w:r w:rsidRPr="00306FA7">
        <w:rPr>
          <w:rStyle w:val="SubtleEmphasis"/>
          <w:rFonts w:asciiTheme="minorHAnsi" w:hAnsiTheme="minorHAnsi" w:cstheme="minorHAnsi"/>
        </w:rPr>
        <w:t>00 employee/years (5,</w:t>
      </w:r>
      <w:r w:rsidR="00B93614">
        <w:rPr>
          <w:rStyle w:val="SubtleEmphasis"/>
          <w:rFonts w:asciiTheme="minorHAnsi" w:hAnsiTheme="minorHAnsi" w:cstheme="minorHAnsi"/>
        </w:rPr>
        <w:t>5</w:t>
      </w:r>
      <w:bookmarkStart w:id="0" w:name="_GoBack"/>
      <w:bookmarkEnd w:id="0"/>
      <w:r w:rsidRPr="00306FA7">
        <w:rPr>
          <w:rStyle w:val="SubtleEmphasis"/>
          <w:rFonts w:asciiTheme="minorHAnsi" w:hAnsiTheme="minorHAnsi" w:cstheme="minorHAnsi"/>
        </w:rPr>
        <w:t xml:space="preserve">00 employees and a one-year time window per employee). This is the sample size necessary, assuming simple random sampling, to detect a prevalence difference of 20 percent with 80 </w:t>
      </w:r>
      <w:proofErr w:type="gramStart"/>
      <w:r w:rsidRPr="00306FA7">
        <w:rPr>
          <w:rStyle w:val="SubtleEmphasis"/>
          <w:rFonts w:asciiTheme="minorHAnsi" w:hAnsiTheme="minorHAnsi" w:cstheme="minorHAnsi"/>
        </w:rPr>
        <w:lastRenderedPageBreak/>
        <w:t>percent</w:t>
      </w:r>
      <w:proofErr w:type="gramEnd"/>
      <w:r w:rsidRPr="00306FA7">
        <w:rPr>
          <w:rStyle w:val="SubtleEmphasis"/>
          <w:rFonts w:asciiTheme="minorHAnsi" w:hAnsiTheme="minorHAnsi" w:cstheme="minorHAnsi"/>
        </w:rPr>
        <w:t xml:space="preserve"> power (e.g., a difference between 3.5 injuries per 100 employees per year and 4.2 injuries per 100 employees per year).</w:t>
      </w:r>
    </w:p>
    <w:p w14:paraId="43BEA7D6" w14:textId="77777777" w:rsidR="00617B24" w:rsidRPr="00306FA7" w:rsidRDefault="00617B24" w:rsidP="00617B24">
      <w:pPr>
        <w:rPr>
          <w:rStyle w:val="SubtleEmphasis"/>
          <w:rFonts w:asciiTheme="minorHAnsi" w:hAnsiTheme="minorHAnsi" w:cstheme="minorHAnsi"/>
        </w:rPr>
      </w:pPr>
    </w:p>
    <w:p w14:paraId="0439A7D2" w14:textId="17C8E8A2" w:rsidR="00617B24" w:rsidRPr="00306FA7" w:rsidRDefault="00617B24" w:rsidP="00617B24">
      <w:pPr>
        <w:rPr>
          <w:rStyle w:val="SubtleEmphasis"/>
          <w:rFonts w:asciiTheme="minorHAnsi" w:hAnsiTheme="minorHAnsi" w:cstheme="minorHAnsi"/>
          <w:i w:val="0"/>
          <w:iCs w:val="0"/>
        </w:rPr>
      </w:pPr>
      <w:r w:rsidRPr="00306FA7">
        <w:rPr>
          <w:rStyle w:val="SubtleEmphasis"/>
          <w:rFonts w:asciiTheme="minorHAnsi" w:hAnsiTheme="minorHAnsi" w:cstheme="minorHAnsi"/>
          <w:i w:val="0"/>
          <w:iCs w:val="0"/>
        </w:rPr>
        <w:t>In the pretest</w:t>
      </w:r>
      <w:r w:rsidR="00FB4DED" w:rsidRPr="00306FA7">
        <w:rPr>
          <w:rStyle w:val="SubtleEmphasis"/>
          <w:rFonts w:asciiTheme="minorHAnsi" w:hAnsiTheme="minorHAnsi" w:cstheme="minorHAnsi"/>
          <w:i w:val="0"/>
          <w:iCs w:val="0"/>
        </w:rPr>
        <w:t>,</w:t>
      </w:r>
      <w:r w:rsidRPr="00306FA7">
        <w:rPr>
          <w:rStyle w:val="SubtleEmphasis"/>
          <w:rFonts w:asciiTheme="minorHAnsi" w:hAnsiTheme="minorHAnsi" w:cstheme="minorHAnsi"/>
          <w:i w:val="0"/>
          <w:iCs w:val="0"/>
        </w:rPr>
        <w:t xml:space="preserve"> injury rates </w:t>
      </w:r>
      <w:r w:rsidR="00FB4DED" w:rsidRPr="00306FA7">
        <w:rPr>
          <w:rStyle w:val="SubtleEmphasis"/>
          <w:rFonts w:asciiTheme="minorHAnsi" w:hAnsiTheme="minorHAnsi" w:cstheme="minorHAnsi"/>
          <w:i w:val="0"/>
          <w:iCs w:val="0"/>
        </w:rPr>
        <w:t xml:space="preserve">occurred at </w:t>
      </w:r>
      <w:r w:rsidRPr="00306FA7">
        <w:rPr>
          <w:rStyle w:val="SubtleEmphasis"/>
          <w:rFonts w:asciiTheme="minorHAnsi" w:hAnsiTheme="minorHAnsi" w:cstheme="minorHAnsi"/>
          <w:i w:val="0"/>
          <w:iCs w:val="0"/>
        </w:rPr>
        <w:t xml:space="preserve">more than 15 injuries per 100 employees per year.  For estimates of this larger magnitude (15%), small relative differences </w:t>
      </w:r>
      <w:proofErr w:type="gramStart"/>
      <w:r w:rsidRPr="00306FA7">
        <w:rPr>
          <w:rStyle w:val="SubtleEmphasis"/>
          <w:rFonts w:asciiTheme="minorHAnsi" w:hAnsiTheme="minorHAnsi" w:cstheme="minorHAnsi"/>
          <w:i w:val="0"/>
          <w:iCs w:val="0"/>
        </w:rPr>
        <w:t>can be detected</w:t>
      </w:r>
      <w:proofErr w:type="gramEnd"/>
      <w:r w:rsidRPr="00306FA7">
        <w:rPr>
          <w:rStyle w:val="SubtleEmphasis"/>
          <w:rFonts w:asciiTheme="minorHAnsi" w:hAnsiTheme="minorHAnsi" w:cstheme="minorHAnsi"/>
          <w:i w:val="0"/>
          <w:iCs w:val="0"/>
        </w:rPr>
        <w:t xml:space="preserve"> with smaller sample sizes than 5,</w:t>
      </w:r>
      <w:r w:rsidR="00B93614">
        <w:rPr>
          <w:rStyle w:val="SubtleEmphasis"/>
          <w:rFonts w:asciiTheme="minorHAnsi" w:hAnsiTheme="minorHAnsi" w:cstheme="minorHAnsi"/>
          <w:i w:val="0"/>
          <w:iCs w:val="0"/>
        </w:rPr>
        <w:t>5</w:t>
      </w:r>
      <w:r w:rsidRPr="00306FA7">
        <w:rPr>
          <w:rStyle w:val="SubtleEmphasis"/>
          <w:rFonts w:asciiTheme="minorHAnsi" w:hAnsiTheme="minorHAnsi" w:cstheme="minorHAnsi"/>
          <w:i w:val="0"/>
          <w:iCs w:val="0"/>
        </w:rPr>
        <w:t xml:space="preserve">00. </w:t>
      </w:r>
    </w:p>
    <w:p w14:paraId="32E7C60F" w14:textId="77777777" w:rsidR="00FB4DED" w:rsidRPr="00306FA7" w:rsidRDefault="00FB4DED" w:rsidP="00617B24">
      <w:pPr>
        <w:rPr>
          <w:rStyle w:val="SubtleEmphasis"/>
          <w:rFonts w:asciiTheme="minorHAnsi" w:hAnsiTheme="minorHAnsi" w:cstheme="minorHAnsi"/>
          <w:i w:val="0"/>
          <w:iCs w:val="0"/>
        </w:rPr>
      </w:pPr>
    </w:p>
    <w:p w14:paraId="00A5EBB8" w14:textId="44819AB8" w:rsidR="00617B24" w:rsidRPr="00306FA7" w:rsidRDefault="001F7F86" w:rsidP="00617B24">
      <w:pPr>
        <w:rPr>
          <w:rStyle w:val="SubtleEmphasis"/>
          <w:rFonts w:asciiTheme="minorHAnsi" w:hAnsiTheme="minorHAnsi" w:cstheme="minorHAnsi"/>
          <w:i w:val="0"/>
          <w:iCs w:val="0"/>
        </w:rPr>
      </w:pPr>
      <w:r>
        <w:rPr>
          <w:rStyle w:val="SubtleEmphasis"/>
          <w:rFonts w:asciiTheme="minorHAnsi" w:hAnsiTheme="minorHAnsi" w:cstheme="minorHAnsi"/>
          <w:i w:val="0"/>
          <w:iCs w:val="0"/>
        </w:rPr>
        <w:t>T</w:t>
      </w:r>
      <w:r w:rsidR="00617B24" w:rsidRPr="00306FA7">
        <w:rPr>
          <w:rStyle w:val="SubtleEmphasis"/>
          <w:rFonts w:asciiTheme="minorHAnsi" w:hAnsiTheme="minorHAnsi" w:cstheme="minorHAnsi"/>
          <w:i w:val="0"/>
          <w:iCs w:val="0"/>
        </w:rPr>
        <w:t xml:space="preserve">he table </w:t>
      </w:r>
      <w:proofErr w:type="gramStart"/>
      <w:r w:rsidR="00617B24" w:rsidRPr="00306FA7">
        <w:rPr>
          <w:rStyle w:val="SubtleEmphasis"/>
          <w:rFonts w:asciiTheme="minorHAnsi" w:hAnsiTheme="minorHAnsi" w:cstheme="minorHAnsi"/>
          <w:i w:val="0"/>
          <w:iCs w:val="0"/>
        </w:rPr>
        <w:t>below</w:t>
      </w:r>
      <w:r w:rsidR="00FB4DED" w:rsidRPr="00306FA7">
        <w:rPr>
          <w:rStyle w:val="SubtleEmphasis"/>
          <w:rFonts w:asciiTheme="minorHAnsi" w:hAnsiTheme="minorHAnsi" w:cstheme="minorHAnsi"/>
          <w:i w:val="0"/>
          <w:iCs w:val="0"/>
        </w:rPr>
        <w:t>,</w:t>
      </w:r>
      <w:proofErr w:type="gramEnd"/>
      <w:r w:rsidR="00617B24" w:rsidRPr="00306FA7">
        <w:rPr>
          <w:rStyle w:val="SubtleEmphasis"/>
          <w:rFonts w:asciiTheme="minorHAnsi" w:hAnsiTheme="minorHAnsi" w:cstheme="minorHAnsi"/>
          <w:i w:val="0"/>
          <w:iCs w:val="0"/>
        </w:rPr>
        <w:t xml:space="preserve"> shows the variance, standard error, margin of error, and confidence intervals for injury prevalence estimates using the sample size of 3,520.  Even if the prevalence is only 5% (5 injuries per 100 person years of employees), which is less than a third of the prevalence found in the admittedly small pretest, the sample size is still adequate for detecting a significant difference  from the employer survey (confidence intervals would range from 4.28% to 5.72%).  As noted in </w:t>
      </w:r>
      <w:proofErr w:type="spellStart"/>
      <w:r w:rsidR="00617B24" w:rsidRPr="00306FA7">
        <w:rPr>
          <w:rStyle w:val="SubtleEmphasis"/>
          <w:rFonts w:asciiTheme="minorHAnsi" w:hAnsiTheme="minorHAnsi" w:cstheme="minorHAnsi"/>
          <w:i w:val="0"/>
          <w:iCs w:val="0"/>
        </w:rPr>
        <w:t>Westat’s</w:t>
      </w:r>
      <w:proofErr w:type="spellEnd"/>
      <w:r w:rsidR="00617B24" w:rsidRPr="00306FA7">
        <w:rPr>
          <w:rStyle w:val="SubtleEmphasis"/>
          <w:rFonts w:asciiTheme="minorHAnsi" w:hAnsiTheme="minorHAnsi" w:cstheme="minorHAnsi"/>
          <w:i w:val="0"/>
          <w:iCs w:val="0"/>
        </w:rPr>
        <w:t xml:space="preserve"> prior report, it w</w:t>
      </w:r>
      <w:r>
        <w:rPr>
          <w:rStyle w:val="SubtleEmphasis"/>
          <w:rFonts w:asciiTheme="minorHAnsi" w:hAnsiTheme="minorHAnsi" w:cstheme="minorHAnsi"/>
          <w:i w:val="0"/>
          <w:iCs w:val="0"/>
        </w:rPr>
        <w:t>ill</w:t>
      </w:r>
      <w:r w:rsidR="00617B24" w:rsidRPr="00306FA7">
        <w:rPr>
          <w:rStyle w:val="SubtleEmphasis"/>
          <w:rFonts w:asciiTheme="minorHAnsi" w:hAnsiTheme="minorHAnsi" w:cstheme="minorHAnsi"/>
          <w:i w:val="0"/>
          <w:iCs w:val="0"/>
        </w:rPr>
        <w:t xml:space="preserve"> still be essential to scale up the sample size in the main study to make precise estimates within key subgroups, such as industry.  </w:t>
      </w:r>
    </w:p>
    <w:p w14:paraId="7850A325" w14:textId="77777777" w:rsidR="00617B24" w:rsidRPr="00306FA7" w:rsidRDefault="00617B24" w:rsidP="00617B24">
      <w:pPr>
        <w:rPr>
          <w:rStyle w:val="SubtleEmphasis"/>
          <w:rFonts w:asciiTheme="minorHAnsi" w:hAnsiTheme="minorHAnsi" w:cstheme="minorHAnsi"/>
          <w:i w:val="0"/>
          <w:iCs w:val="0"/>
        </w:rPr>
      </w:pPr>
    </w:p>
    <w:p w14:paraId="488FB036" w14:textId="77777777" w:rsidR="00617B24" w:rsidRPr="00306FA7" w:rsidRDefault="00617B24" w:rsidP="00617B24">
      <w:pPr>
        <w:jc w:val="center"/>
        <w:rPr>
          <w:rStyle w:val="Strong"/>
          <w:rFonts w:asciiTheme="minorHAnsi" w:hAnsiTheme="minorHAnsi" w:cstheme="minorHAnsi"/>
        </w:rPr>
      </w:pPr>
      <w:r w:rsidRPr="00306FA7">
        <w:rPr>
          <w:rStyle w:val="Strong"/>
          <w:rFonts w:asciiTheme="minorHAnsi" w:hAnsiTheme="minorHAnsi" w:cstheme="minorHAnsi"/>
        </w:rPr>
        <w:t>Sample size precision estimates based on sample size of 3,520</w:t>
      </w:r>
    </w:p>
    <w:tbl>
      <w:tblPr>
        <w:tblW w:w="10996" w:type="dxa"/>
        <w:jc w:val="center"/>
        <w:tblCellMar>
          <w:left w:w="0" w:type="dxa"/>
          <w:right w:w="0" w:type="dxa"/>
        </w:tblCellMar>
        <w:tblLook w:val="04A0" w:firstRow="1" w:lastRow="0" w:firstColumn="1" w:lastColumn="0" w:noHBand="0" w:noVBand="1"/>
      </w:tblPr>
      <w:tblGrid>
        <w:gridCol w:w="2220"/>
        <w:gridCol w:w="1116"/>
        <w:gridCol w:w="1644"/>
        <w:gridCol w:w="1704"/>
        <w:gridCol w:w="2232"/>
        <w:gridCol w:w="1040"/>
        <w:gridCol w:w="1040"/>
      </w:tblGrid>
      <w:tr w:rsidR="00617B24" w:rsidRPr="00306FA7" w14:paraId="52188D00" w14:textId="77777777" w:rsidTr="00306FA7">
        <w:trPr>
          <w:trHeight w:val="300"/>
          <w:jc w:val="center"/>
        </w:trPr>
        <w:tc>
          <w:tcPr>
            <w:tcW w:w="2220" w:type="dxa"/>
            <w:tcBorders>
              <w:top w:val="single" w:sz="8" w:space="0" w:color="auto"/>
              <w:left w:val="single" w:sz="8" w:space="0" w:color="auto"/>
              <w:bottom w:val="single" w:sz="8" w:space="0" w:color="auto"/>
              <w:right w:val="single" w:sz="12" w:space="0" w:color="000000"/>
            </w:tcBorders>
            <w:noWrap/>
            <w:tcMar>
              <w:top w:w="0" w:type="dxa"/>
              <w:left w:w="108" w:type="dxa"/>
              <w:bottom w:w="0" w:type="dxa"/>
              <w:right w:w="108" w:type="dxa"/>
            </w:tcMar>
            <w:vAlign w:val="center"/>
            <w:hideMark/>
          </w:tcPr>
          <w:p w14:paraId="4B67F10A" w14:textId="77777777" w:rsidR="00617B24" w:rsidRPr="00306FA7" w:rsidRDefault="00617B24">
            <w:pPr>
              <w:jc w:val="center"/>
              <w:rPr>
                <w:rFonts w:asciiTheme="minorHAnsi" w:hAnsiTheme="minorHAnsi" w:cstheme="minorHAnsi"/>
                <w:color w:val="000000"/>
              </w:rPr>
            </w:pPr>
            <w:r w:rsidRPr="00306FA7">
              <w:rPr>
                <w:rFonts w:asciiTheme="minorHAnsi" w:hAnsiTheme="minorHAnsi" w:cstheme="minorHAnsi"/>
                <w:b/>
                <w:bCs/>
                <w:color w:val="000000"/>
              </w:rPr>
              <w:t>Injury Prevalence (P)</w:t>
            </w:r>
          </w:p>
        </w:tc>
        <w:tc>
          <w:tcPr>
            <w:tcW w:w="1116" w:type="dxa"/>
            <w:tcBorders>
              <w:top w:val="single" w:sz="8" w:space="0" w:color="auto"/>
              <w:left w:val="nil"/>
              <w:bottom w:val="single" w:sz="8" w:space="0" w:color="auto"/>
              <w:right w:val="single" w:sz="12" w:space="0" w:color="auto"/>
            </w:tcBorders>
            <w:noWrap/>
            <w:tcMar>
              <w:top w:w="0" w:type="dxa"/>
              <w:left w:w="108" w:type="dxa"/>
              <w:bottom w:w="0" w:type="dxa"/>
              <w:right w:w="108" w:type="dxa"/>
            </w:tcMar>
            <w:vAlign w:val="center"/>
            <w:hideMark/>
          </w:tcPr>
          <w:p w14:paraId="6D96FC46" w14:textId="77777777" w:rsidR="00617B24" w:rsidRPr="00306FA7" w:rsidRDefault="00617B24">
            <w:pPr>
              <w:jc w:val="center"/>
              <w:rPr>
                <w:rFonts w:asciiTheme="minorHAnsi" w:hAnsiTheme="minorHAnsi" w:cstheme="minorHAnsi"/>
                <w:b/>
                <w:bCs/>
                <w:color w:val="000000"/>
              </w:rPr>
            </w:pPr>
            <w:r w:rsidRPr="00306FA7">
              <w:rPr>
                <w:rFonts w:asciiTheme="minorHAnsi" w:hAnsiTheme="minorHAnsi" w:cstheme="minorHAnsi"/>
                <w:b/>
                <w:bCs/>
                <w:color w:val="000000"/>
              </w:rPr>
              <w:t>Variance</w:t>
            </w:r>
          </w:p>
        </w:tc>
        <w:tc>
          <w:tcPr>
            <w:tcW w:w="1644" w:type="dxa"/>
            <w:tcBorders>
              <w:top w:val="single" w:sz="8" w:space="0" w:color="auto"/>
              <w:left w:val="nil"/>
              <w:bottom w:val="single" w:sz="8" w:space="0" w:color="auto"/>
              <w:right w:val="single" w:sz="12" w:space="0" w:color="auto"/>
            </w:tcBorders>
            <w:noWrap/>
            <w:tcMar>
              <w:top w:w="0" w:type="dxa"/>
              <w:left w:w="108" w:type="dxa"/>
              <w:bottom w:w="0" w:type="dxa"/>
              <w:right w:w="108" w:type="dxa"/>
            </w:tcMar>
            <w:vAlign w:val="center"/>
            <w:hideMark/>
          </w:tcPr>
          <w:p w14:paraId="5458FBFE" w14:textId="77777777" w:rsidR="00617B24" w:rsidRPr="00306FA7" w:rsidRDefault="00617B24">
            <w:pPr>
              <w:jc w:val="center"/>
              <w:rPr>
                <w:rFonts w:asciiTheme="minorHAnsi" w:hAnsiTheme="minorHAnsi" w:cstheme="minorHAnsi"/>
                <w:b/>
                <w:bCs/>
                <w:color w:val="000000"/>
              </w:rPr>
            </w:pPr>
            <w:r w:rsidRPr="00306FA7">
              <w:rPr>
                <w:rFonts w:asciiTheme="minorHAnsi" w:hAnsiTheme="minorHAnsi" w:cstheme="minorHAnsi"/>
                <w:b/>
                <w:bCs/>
                <w:color w:val="000000"/>
              </w:rPr>
              <w:t>Standard Error</w:t>
            </w:r>
          </w:p>
        </w:tc>
        <w:tc>
          <w:tcPr>
            <w:tcW w:w="1704" w:type="dxa"/>
            <w:tcBorders>
              <w:top w:val="single" w:sz="8" w:space="0" w:color="auto"/>
              <w:left w:val="nil"/>
              <w:bottom w:val="single" w:sz="8" w:space="0" w:color="auto"/>
              <w:right w:val="single" w:sz="12" w:space="0" w:color="auto"/>
            </w:tcBorders>
            <w:noWrap/>
            <w:tcMar>
              <w:top w:w="0" w:type="dxa"/>
              <w:left w:w="108" w:type="dxa"/>
              <w:bottom w:w="0" w:type="dxa"/>
              <w:right w:w="108" w:type="dxa"/>
            </w:tcMar>
            <w:vAlign w:val="center"/>
            <w:hideMark/>
          </w:tcPr>
          <w:p w14:paraId="74C83522" w14:textId="77777777" w:rsidR="00617B24" w:rsidRPr="00306FA7" w:rsidRDefault="00617B24">
            <w:pPr>
              <w:jc w:val="center"/>
              <w:rPr>
                <w:rFonts w:asciiTheme="minorHAnsi" w:hAnsiTheme="minorHAnsi" w:cstheme="minorHAnsi"/>
                <w:b/>
                <w:bCs/>
                <w:color w:val="000000"/>
              </w:rPr>
            </w:pPr>
            <w:r w:rsidRPr="00306FA7">
              <w:rPr>
                <w:rFonts w:asciiTheme="minorHAnsi" w:hAnsiTheme="minorHAnsi" w:cstheme="minorHAnsi"/>
                <w:b/>
                <w:bCs/>
                <w:color w:val="000000"/>
              </w:rPr>
              <w:t>Margin of Error</w:t>
            </w:r>
          </w:p>
        </w:tc>
        <w:tc>
          <w:tcPr>
            <w:tcW w:w="22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FAB4ED7" w14:textId="77777777" w:rsidR="00617B24" w:rsidRPr="00306FA7" w:rsidRDefault="00617B24">
            <w:pPr>
              <w:jc w:val="center"/>
              <w:rPr>
                <w:rFonts w:asciiTheme="minorHAnsi" w:hAnsiTheme="minorHAnsi" w:cstheme="minorHAnsi"/>
                <w:b/>
                <w:bCs/>
                <w:color w:val="000000"/>
              </w:rPr>
            </w:pPr>
            <w:r w:rsidRPr="00306FA7">
              <w:rPr>
                <w:rFonts w:asciiTheme="minorHAnsi" w:hAnsiTheme="minorHAnsi" w:cstheme="minorHAnsi"/>
                <w:b/>
                <w:bCs/>
                <w:color w:val="000000"/>
              </w:rPr>
              <w:t xml:space="preserve">Confidence Intervals </w:t>
            </w:r>
          </w:p>
        </w:tc>
        <w:tc>
          <w:tcPr>
            <w:tcW w:w="2076" w:type="dxa"/>
            <w:gridSpan w:val="2"/>
            <w:tcBorders>
              <w:bottom w:val="single" w:sz="4" w:space="0" w:color="auto"/>
            </w:tcBorders>
            <w:vAlign w:val="center"/>
            <w:hideMark/>
          </w:tcPr>
          <w:p w14:paraId="29FC60C1" w14:textId="77777777" w:rsidR="00617B24" w:rsidRPr="00306FA7" w:rsidRDefault="00617B24">
            <w:pPr>
              <w:rPr>
                <w:rFonts w:asciiTheme="minorHAnsi" w:hAnsiTheme="minorHAnsi" w:cstheme="minorHAnsi"/>
              </w:rPr>
            </w:pPr>
            <w:r w:rsidRPr="00306FA7">
              <w:rPr>
                <w:rFonts w:asciiTheme="minorHAnsi" w:hAnsiTheme="minorHAnsi" w:cstheme="minorHAnsi"/>
              </w:rPr>
              <w:t> </w:t>
            </w:r>
          </w:p>
        </w:tc>
      </w:tr>
      <w:tr w:rsidR="00617B24" w:rsidRPr="00306FA7" w14:paraId="688E1833" w14:textId="77777777" w:rsidTr="00306FA7">
        <w:trPr>
          <w:trHeight w:val="300"/>
          <w:jc w:val="center"/>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E61E62"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0.05</w:t>
            </w:r>
          </w:p>
        </w:tc>
        <w:tc>
          <w:tcPr>
            <w:tcW w:w="1116"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21283FDD"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5%</w:t>
            </w:r>
          </w:p>
        </w:tc>
        <w:tc>
          <w:tcPr>
            <w:tcW w:w="164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2026C5D9"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1.34943E-05</w:t>
            </w:r>
          </w:p>
        </w:tc>
        <w:tc>
          <w:tcPr>
            <w:tcW w:w="170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0A80D107"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0.367%</w:t>
            </w:r>
          </w:p>
        </w:tc>
        <w:tc>
          <w:tcPr>
            <w:tcW w:w="2232"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0ADFC00E"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0.72%</w:t>
            </w:r>
          </w:p>
        </w:tc>
        <w:tc>
          <w:tcPr>
            <w:tcW w:w="10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4D789A4"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4.28%</w:t>
            </w:r>
          </w:p>
        </w:tc>
        <w:tc>
          <w:tcPr>
            <w:tcW w:w="10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C82708"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5.72%</w:t>
            </w:r>
          </w:p>
        </w:tc>
      </w:tr>
      <w:tr w:rsidR="00617B24" w:rsidRPr="00306FA7" w14:paraId="26C472CF" w14:textId="77777777" w:rsidTr="00306FA7">
        <w:trPr>
          <w:trHeight w:val="300"/>
          <w:jc w:val="center"/>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434282"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0.1</w:t>
            </w:r>
          </w:p>
        </w:tc>
        <w:tc>
          <w:tcPr>
            <w:tcW w:w="1116"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655B30DE"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10%</w:t>
            </w:r>
          </w:p>
        </w:tc>
        <w:tc>
          <w:tcPr>
            <w:tcW w:w="164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766EA4F7"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2.55682E-05</w:t>
            </w:r>
          </w:p>
        </w:tc>
        <w:tc>
          <w:tcPr>
            <w:tcW w:w="170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0DBB7C4A"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0.506%</w:t>
            </w:r>
          </w:p>
        </w:tc>
        <w:tc>
          <w:tcPr>
            <w:tcW w:w="2232"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6C9BCD5D"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0.99%</w:t>
            </w:r>
          </w:p>
        </w:tc>
        <w:tc>
          <w:tcPr>
            <w:tcW w:w="10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22689D"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9.01%</w:t>
            </w:r>
          </w:p>
        </w:tc>
        <w:tc>
          <w:tcPr>
            <w:tcW w:w="10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142461"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10.99%</w:t>
            </w:r>
          </w:p>
        </w:tc>
      </w:tr>
      <w:tr w:rsidR="00617B24" w:rsidRPr="00306FA7" w14:paraId="72938488" w14:textId="77777777" w:rsidTr="00617B24">
        <w:trPr>
          <w:trHeight w:val="300"/>
          <w:jc w:val="center"/>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75334F"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0.15</w:t>
            </w:r>
          </w:p>
        </w:tc>
        <w:tc>
          <w:tcPr>
            <w:tcW w:w="1116"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003E3BD0"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15%</w:t>
            </w:r>
          </w:p>
        </w:tc>
        <w:tc>
          <w:tcPr>
            <w:tcW w:w="164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6E89536E"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3.62216E-05</w:t>
            </w:r>
          </w:p>
        </w:tc>
        <w:tc>
          <w:tcPr>
            <w:tcW w:w="170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25529DFF"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0.602%</w:t>
            </w:r>
          </w:p>
        </w:tc>
        <w:tc>
          <w:tcPr>
            <w:tcW w:w="2232"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6D840B3D"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B00790"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13.82%</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1F086F"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16.18%</w:t>
            </w:r>
          </w:p>
        </w:tc>
      </w:tr>
      <w:tr w:rsidR="00617B24" w:rsidRPr="00306FA7" w14:paraId="54C77BCF" w14:textId="77777777" w:rsidTr="00617B24">
        <w:trPr>
          <w:trHeight w:val="300"/>
          <w:jc w:val="center"/>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503910"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0.2</w:t>
            </w:r>
          </w:p>
        </w:tc>
        <w:tc>
          <w:tcPr>
            <w:tcW w:w="1116"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40A9E4C4"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20%</w:t>
            </w:r>
          </w:p>
        </w:tc>
        <w:tc>
          <w:tcPr>
            <w:tcW w:w="164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50BA17C2"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4.54545E-05</w:t>
            </w:r>
          </w:p>
        </w:tc>
        <w:tc>
          <w:tcPr>
            <w:tcW w:w="170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0E2E3E2D"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0.674%</w:t>
            </w:r>
          </w:p>
        </w:tc>
        <w:tc>
          <w:tcPr>
            <w:tcW w:w="2232"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1F140FE1"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1.32%</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B1E1CF"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18.68%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30AF72"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21.32%</w:t>
            </w:r>
          </w:p>
        </w:tc>
      </w:tr>
      <w:tr w:rsidR="00617B24" w:rsidRPr="00306FA7" w14:paraId="0DCE54B1" w14:textId="77777777" w:rsidTr="00617B24">
        <w:trPr>
          <w:trHeight w:val="300"/>
          <w:jc w:val="center"/>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E59469"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0.25</w:t>
            </w:r>
          </w:p>
        </w:tc>
        <w:tc>
          <w:tcPr>
            <w:tcW w:w="1116"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197B3C51"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25%</w:t>
            </w:r>
          </w:p>
        </w:tc>
        <w:tc>
          <w:tcPr>
            <w:tcW w:w="164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27C59D6F"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5.3267E-05</w:t>
            </w:r>
          </w:p>
        </w:tc>
        <w:tc>
          <w:tcPr>
            <w:tcW w:w="1704"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63357307"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0.730%</w:t>
            </w:r>
          </w:p>
        </w:tc>
        <w:tc>
          <w:tcPr>
            <w:tcW w:w="2232" w:type="dxa"/>
            <w:tcBorders>
              <w:top w:val="nil"/>
              <w:left w:val="nil"/>
              <w:bottom w:val="single" w:sz="8" w:space="0" w:color="auto"/>
              <w:right w:val="single" w:sz="12" w:space="0" w:color="auto"/>
            </w:tcBorders>
            <w:noWrap/>
            <w:tcMar>
              <w:top w:w="0" w:type="dxa"/>
              <w:left w:w="108" w:type="dxa"/>
              <w:bottom w:w="0" w:type="dxa"/>
              <w:right w:w="108" w:type="dxa"/>
            </w:tcMar>
            <w:vAlign w:val="bottom"/>
            <w:hideMark/>
          </w:tcPr>
          <w:p w14:paraId="148ACD3B"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1.43%</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00350"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23.57%</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BD45A" w14:textId="77777777" w:rsidR="00617B24" w:rsidRPr="00306FA7" w:rsidRDefault="00617B24">
            <w:pPr>
              <w:jc w:val="right"/>
              <w:rPr>
                <w:rFonts w:asciiTheme="minorHAnsi" w:hAnsiTheme="minorHAnsi" w:cstheme="minorHAnsi"/>
                <w:color w:val="000000"/>
              </w:rPr>
            </w:pPr>
            <w:r w:rsidRPr="00306FA7">
              <w:rPr>
                <w:rFonts w:asciiTheme="minorHAnsi" w:hAnsiTheme="minorHAnsi" w:cstheme="minorHAnsi"/>
                <w:color w:val="000000"/>
              </w:rPr>
              <w:t>26.43%</w:t>
            </w:r>
          </w:p>
        </w:tc>
      </w:tr>
    </w:tbl>
    <w:p w14:paraId="3F93D587" w14:textId="77777777" w:rsidR="00617B24" w:rsidRPr="00306FA7" w:rsidRDefault="00617B24" w:rsidP="00617B24">
      <w:pPr>
        <w:rPr>
          <w:rStyle w:val="SubtleEmphasis"/>
          <w:rFonts w:asciiTheme="minorHAnsi" w:eastAsiaTheme="minorHAnsi" w:hAnsiTheme="minorHAnsi" w:cstheme="minorHAnsi"/>
          <w:i w:val="0"/>
          <w:iCs w:val="0"/>
          <w:szCs w:val="22"/>
        </w:rPr>
      </w:pPr>
    </w:p>
    <w:p w14:paraId="257383F8" w14:textId="77777777" w:rsidR="00311681" w:rsidRDefault="00311681" w:rsidP="007A649D">
      <w:pPr>
        <w:rPr>
          <w:rFonts w:asciiTheme="minorHAnsi" w:hAnsiTheme="minorHAnsi" w:cstheme="minorHAnsi"/>
          <w:szCs w:val="22"/>
        </w:rPr>
      </w:pPr>
    </w:p>
    <w:p w14:paraId="5B9A9875" w14:textId="77777777" w:rsidR="001F7F86" w:rsidRPr="00617B24" w:rsidRDefault="001F7F86" w:rsidP="001F7F86">
      <w:pPr>
        <w:pStyle w:val="ListParagraph"/>
        <w:numPr>
          <w:ilvl w:val="0"/>
          <w:numId w:val="26"/>
        </w:numPr>
        <w:rPr>
          <w:rFonts w:asciiTheme="minorHAnsi" w:hAnsiTheme="minorHAnsi" w:cstheme="minorHAnsi"/>
          <w:szCs w:val="22"/>
        </w:rPr>
      </w:pPr>
      <w:r w:rsidRPr="00617B24">
        <w:rPr>
          <w:rFonts w:asciiTheme="minorHAnsi" w:hAnsiTheme="minorHAnsi" w:cstheme="minorHAnsi"/>
          <w:szCs w:val="22"/>
        </w:rPr>
        <w:t>Modify the survey instrument to eliminate repetitive questions and cut wordy descriptions based on pretesting of the Computer-Assisted Telephone Interview (CATI).</w:t>
      </w:r>
    </w:p>
    <w:p w14:paraId="54D7B8C3" w14:textId="522A720E" w:rsidR="001F7F86" w:rsidRPr="00617B24" w:rsidRDefault="001F7F86" w:rsidP="001F7F86">
      <w:pPr>
        <w:pStyle w:val="ListParagraph"/>
        <w:numPr>
          <w:ilvl w:val="1"/>
          <w:numId w:val="26"/>
        </w:numPr>
        <w:rPr>
          <w:rFonts w:asciiTheme="minorHAnsi" w:hAnsiTheme="minorHAnsi" w:cstheme="minorHAnsi"/>
          <w:szCs w:val="22"/>
        </w:rPr>
      </w:pPr>
      <w:r w:rsidRPr="00617B24">
        <w:rPr>
          <w:rFonts w:asciiTheme="minorHAnsi" w:hAnsiTheme="minorHAnsi" w:cstheme="minorHAnsi"/>
          <w:szCs w:val="22"/>
        </w:rPr>
        <w:t xml:space="preserve">The questions asking for </w:t>
      </w:r>
      <w:r>
        <w:rPr>
          <w:rFonts w:asciiTheme="minorHAnsi" w:hAnsiTheme="minorHAnsi" w:cstheme="minorHAnsi"/>
          <w:szCs w:val="22"/>
        </w:rPr>
        <w:t xml:space="preserve">and referencing </w:t>
      </w:r>
      <w:r w:rsidRPr="00617B24">
        <w:rPr>
          <w:rFonts w:asciiTheme="minorHAnsi" w:hAnsiTheme="minorHAnsi" w:cstheme="minorHAnsi"/>
          <w:szCs w:val="22"/>
        </w:rPr>
        <w:t>a brief description of the injury or illnes</w:t>
      </w:r>
      <w:r>
        <w:rPr>
          <w:rFonts w:asciiTheme="minorHAnsi" w:hAnsiTheme="minorHAnsi" w:cstheme="minorHAnsi"/>
          <w:szCs w:val="22"/>
        </w:rPr>
        <w:t xml:space="preserve">s from the screener (Q.A2c1, </w:t>
      </w:r>
      <w:r w:rsidRPr="00617B24">
        <w:rPr>
          <w:rFonts w:asciiTheme="minorHAnsi" w:hAnsiTheme="minorHAnsi" w:cstheme="minorHAnsi"/>
          <w:szCs w:val="22"/>
        </w:rPr>
        <w:t>Q.A4b1</w:t>
      </w:r>
      <w:r>
        <w:rPr>
          <w:rFonts w:asciiTheme="minorHAnsi" w:hAnsiTheme="minorHAnsi" w:cstheme="minorHAnsi"/>
          <w:szCs w:val="22"/>
        </w:rPr>
        <w:t>, and Q6</w:t>
      </w:r>
      <w:r w:rsidRPr="00617B24">
        <w:rPr>
          <w:rFonts w:asciiTheme="minorHAnsi" w:hAnsiTheme="minorHAnsi" w:cstheme="minorHAnsi"/>
          <w:szCs w:val="22"/>
        </w:rPr>
        <w:t xml:space="preserve">) </w:t>
      </w:r>
      <w:proofErr w:type="gramStart"/>
      <w:r w:rsidRPr="00617B24">
        <w:rPr>
          <w:rFonts w:asciiTheme="minorHAnsi" w:hAnsiTheme="minorHAnsi" w:cstheme="minorHAnsi"/>
          <w:szCs w:val="22"/>
        </w:rPr>
        <w:t>were eliminated</w:t>
      </w:r>
      <w:proofErr w:type="gramEnd"/>
      <w:r w:rsidRPr="00617B24">
        <w:rPr>
          <w:rFonts w:asciiTheme="minorHAnsi" w:hAnsiTheme="minorHAnsi" w:cstheme="minorHAnsi"/>
          <w:szCs w:val="22"/>
        </w:rPr>
        <w:t>, since this information is collected in questions B1-B</w:t>
      </w:r>
      <w:r>
        <w:rPr>
          <w:rFonts w:asciiTheme="minorHAnsi" w:hAnsiTheme="minorHAnsi" w:cstheme="minorHAnsi"/>
          <w:szCs w:val="22"/>
        </w:rPr>
        <w:t>3</w:t>
      </w:r>
      <w:r w:rsidRPr="00617B24">
        <w:rPr>
          <w:rFonts w:asciiTheme="minorHAnsi" w:hAnsiTheme="minorHAnsi" w:cstheme="minorHAnsi"/>
          <w:szCs w:val="22"/>
        </w:rPr>
        <w:t>.</w:t>
      </w:r>
      <w:r>
        <w:rPr>
          <w:rFonts w:asciiTheme="minorHAnsi" w:hAnsiTheme="minorHAnsi" w:cstheme="minorHAnsi"/>
          <w:szCs w:val="22"/>
        </w:rPr>
        <w:t xml:space="preserve">  Question B4 </w:t>
      </w:r>
      <w:proofErr w:type="gramStart"/>
      <w:r>
        <w:rPr>
          <w:rFonts w:asciiTheme="minorHAnsi" w:hAnsiTheme="minorHAnsi" w:cstheme="minorHAnsi"/>
          <w:szCs w:val="22"/>
        </w:rPr>
        <w:t>has been eliminated</w:t>
      </w:r>
      <w:proofErr w:type="gramEnd"/>
      <w:r>
        <w:rPr>
          <w:rFonts w:asciiTheme="minorHAnsi" w:hAnsiTheme="minorHAnsi" w:cstheme="minorHAnsi"/>
          <w:szCs w:val="22"/>
        </w:rPr>
        <w:t xml:space="preserve"> as it collects similar information as question B3.</w:t>
      </w:r>
      <w:r w:rsidRPr="00617B24">
        <w:rPr>
          <w:rFonts w:asciiTheme="minorHAnsi" w:hAnsiTheme="minorHAnsi" w:cstheme="minorHAnsi"/>
          <w:szCs w:val="22"/>
        </w:rPr>
        <w:t xml:space="preserve"> Both a short and long version of the CIPSEA statement is included to help avoid attrition. </w:t>
      </w:r>
      <w:r>
        <w:rPr>
          <w:rFonts w:asciiTheme="minorHAnsi" w:hAnsiTheme="minorHAnsi" w:cstheme="minorHAnsi"/>
          <w:szCs w:val="22"/>
        </w:rPr>
        <w:t>T</w:t>
      </w:r>
      <w:r w:rsidRPr="00617B24">
        <w:rPr>
          <w:rFonts w:asciiTheme="minorHAnsi" w:hAnsiTheme="minorHAnsi" w:cstheme="minorHAnsi"/>
          <w:szCs w:val="22"/>
        </w:rPr>
        <w:t>her</w:t>
      </w:r>
      <w:r>
        <w:rPr>
          <w:rFonts w:asciiTheme="minorHAnsi" w:hAnsiTheme="minorHAnsi" w:cstheme="minorHAnsi"/>
          <w:szCs w:val="22"/>
        </w:rPr>
        <w:t>e are</w:t>
      </w:r>
      <w:r w:rsidRPr="00617B24">
        <w:rPr>
          <w:rFonts w:asciiTheme="minorHAnsi" w:hAnsiTheme="minorHAnsi" w:cstheme="minorHAnsi"/>
          <w:szCs w:val="22"/>
        </w:rPr>
        <w:t xml:space="preserve"> minor revisions to some</w:t>
      </w:r>
      <w:r>
        <w:rPr>
          <w:rFonts w:asciiTheme="minorHAnsi" w:hAnsiTheme="minorHAnsi" w:cstheme="minorHAnsi"/>
          <w:szCs w:val="22"/>
        </w:rPr>
        <w:t xml:space="preserve"> other</w:t>
      </w:r>
      <w:r w:rsidRPr="00617B24">
        <w:rPr>
          <w:rFonts w:asciiTheme="minorHAnsi" w:hAnsiTheme="minorHAnsi" w:cstheme="minorHAnsi"/>
          <w:szCs w:val="22"/>
        </w:rPr>
        <w:t xml:space="preserve"> </w:t>
      </w:r>
      <w:r>
        <w:rPr>
          <w:rFonts w:asciiTheme="minorHAnsi" w:hAnsiTheme="minorHAnsi" w:cstheme="minorHAnsi"/>
          <w:szCs w:val="22"/>
        </w:rPr>
        <w:t xml:space="preserve">wording and </w:t>
      </w:r>
      <w:r w:rsidRPr="00617B24">
        <w:rPr>
          <w:rFonts w:asciiTheme="minorHAnsi" w:hAnsiTheme="minorHAnsi" w:cstheme="minorHAnsi"/>
          <w:szCs w:val="22"/>
        </w:rPr>
        <w:t xml:space="preserve">questions, </w:t>
      </w:r>
      <w:r>
        <w:rPr>
          <w:rFonts w:asciiTheme="minorHAnsi" w:hAnsiTheme="minorHAnsi" w:cstheme="minorHAnsi"/>
          <w:szCs w:val="22"/>
        </w:rPr>
        <w:t>such</w:t>
      </w:r>
      <w:r w:rsidRPr="00617B24">
        <w:rPr>
          <w:rFonts w:asciiTheme="minorHAnsi" w:hAnsiTheme="minorHAnsi" w:cstheme="minorHAnsi"/>
          <w:szCs w:val="22"/>
        </w:rPr>
        <w:t xml:space="preserve"> adding a “no” option to the verbatim responses in B2; eliminating a question on temp help (Q.H7); and rewording some questions in section E to cut wordy definitions of workers’ compensation.</w:t>
      </w:r>
      <w:r>
        <w:rPr>
          <w:rFonts w:asciiTheme="minorHAnsi" w:hAnsiTheme="minorHAnsi" w:cstheme="minorHAnsi"/>
          <w:szCs w:val="22"/>
        </w:rPr>
        <w:t xml:space="preserve">  </w:t>
      </w:r>
      <w:r w:rsidRPr="00617B24">
        <w:rPr>
          <w:rFonts w:asciiTheme="minorHAnsi" w:hAnsiTheme="minorHAnsi" w:cstheme="minorHAnsi"/>
          <w:szCs w:val="22"/>
        </w:rPr>
        <w:t xml:space="preserve">The </w:t>
      </w:r>
      <w:r>
        <w:rPr>
          <w:rFonts w:asciiTheme="minorHAnsi" w:hAnsiTheme="minorHAnsi" w:cstheme="minorHAnsi"/>
          <w:szCs w:val="22"/>
        </w:rPr>
        <w:t xml:space="preserve">revised </w:t>
      </w:r>
      <w:r w:rsidRPr="00617B24">
        <w:rPr>
          <w:rFonts w:asciiTheme="minorHAnsi" w:hAnsiTheme="minorHAnsi" w:cstheme="minorHAnsi"/>
          <w:szCs w:val="22"/>
        </w:rPr>
        <w:t xml:space="preserve">survey instrument is </w:t>
      </w:r>
      <w:r>
        <w:rPr>
          <w:rFonts w:asciiTheme="minorHAnsi" w:hAnsiTheme="minorHAnsi" w:cstheme="minorHAnsi"/>
          <w:szCs w:val="22"/>
        </w:rPr>
        <w:t>included with this submission.</w:t>
      </w:r>
    </w:p>
    <w:p w14:paraId="72D7FF22" w14:textId="77777777" w:rsidR="001F7F86" w:rsidRDefault="001F7F86" w:rsidP="007A649D">
      <w:pPr>
        <w:rPr>
          <w:rFonts w:asciiTheme="minorHAnsi" w:hAnsiTheme="minorHAnsi" w:cstheme="minorHAnsi"/>
          <w:szCs w:val="22"/>
        </w:rPr>
      </w:pPr>
    </w:p>
    <w:p w14:paraId="5D8B2839" w14:textId="77777777" w:rsidR="001F7F86" w:rsidRPr="00306FA7" w:rsidRDefault="001F7F86" w:rsidP="007A649D">
      <w:pPr>
        <w:rPr>
          <w:rFonts w:asciiTheme="minorHAnsi" w:hAnsiTheme="minorHAnsi" w:cstheme="minorHAnsi"/>
          <w:szCs w:val="22"/>
        </w:rPr>
      </w:pPr>
    </w:p>
    <w:p w14:paraId="3E92FE61" w14:textId="77777777" w:rsidR="001F0EC3" w:rsidRPr="00306FA7" w:rsidRDefault="00B764E1" w:rsidP="00FB4DED">
      <w:pPr>
        <w:rPr>
          <w:rFonts w:asciiTheme="minorHAnsi" w:hAnsiTheme="minorHAnsi" w:cstheme="minorHAnsi"/>
          <w:szCs w:val="22"/>
        </w:rPr>
      </w:pPr>
      <w:r w:rsidRPr="00306FA7">
        <w:rPr>
          <w:rFonts w:asciiTheme="minorHAnsi" w:hAnsiTheme="minorHAnsi" w:cstheme="minorHAnsi"/>
          <w:szCs w:val="22"/>
        </w:rPr>
        <w:t xml:space="preserve">These changes </w:t>
      </w:r>
      <w:r w:rsidR="00FB4DED" w:rsidRPr="00306FA7">
        <w:rPr>
          <w:rFonts w:asciiTheme="minorHAnsi" w:hAnsiTheme="minorHAnsi" w:cstheme="minorHAnsi"/>
          <w:szCs w:val="22"/>
        </w:rPr>
        <w:t>will not</w:t>
      </w:r>
      <w:r w:rsidRPr="00306FA7">
        <w:rPr>
          <w:rFonts w:asciiTheme="minorHAnsi" w:hAnsiTheme="minorHAnsi" w:cstheme="minorHAnsi"/>
          <w:szCs w:val="22"/>
        </w:rPr>
        <w:t xml:space="preserve"> have an impact on respondent burden.  If you have any questions about this request, please contact </w:t>
      </w:r>
      <w:r w:rsidR="00020BA3" w:rsidRPr="00306FA7">
        <w:rPr>
          <w:rFonts w:asciiTheme="minorHAnsi" w:hAnsiTheme="minorHAnsi" w:cstheme="minorHAnsi"/>
          <w:szCs w:val="22"/>
        </w:rPr>
        <w:t>Beth Rogers</w:t>
      </w:r>
      <w:r w:rsidRPr="00306FA7">
        <w:rPr>
          <w:rFonts w:asciiTheme="minorHAnsi" w:hAnsiTheme="minorHAnsi" w:cstheme="minorHAnsi"/>
          <w:szCs w:val="22"/>
        </w:rPr>
        <w:t xml:space="preserve"> by telephone at 202-691-</w:t>
      </w:r>
      <w:r w:rsidR="00020BA3" w:rsidRPr="00306FA7">
        <w:rPr>
          <w:rFonts w:asciiTheme="minorHAnsi" w:hAnsiTheme="minorHAnsi" w:cstheme="minorHAnsi"/>
          <w:szCs w:val="22"/>
        </w:rPr>
        <w:t xml:space="preserve">5098 </w:t>
      </w:r>
      <w:r w:rsidRPr="00306FA7">
        <w:rPr>
          <w:rFonts w:asciiTheme="minorHAnsi" w:hAnsiTheme="minorHAnsi" w:cstheme="minorHAnsi"/>
          <w:szCs w:val="22"/>
        </w:rPr>
        <w:t xml:space="preserve">or by e-mail at </w:t>
      </w:r>
      <w:r w:rsidR="00020BA3" w:rsidRPr="00306FA7">
        <w:rPr>
          <w:rFonts w:asciiTheme="minorHAnsi" w:hAnsiTheme="minorHAnsi" w:cstheme="minorHAnsi"/>
          <w:szCs w:val="22"/>
        </w:rPr>
        <w:t>rogers.elizabeth</w:t>
      </w:r>
      <w:r w:rsidRPr="00306FA7">
        <w:rPr>
          <w:rFonts w:asciiTheme="minorHAnsi" w:hAnsiTheme="minorHAnsi" w:cstheme="minorHAnsi"/>
          <w:szCs w:val="22"/>
        </w:rPr>
        <w:t>@bls.gov.</w:t>
      </w:r>
      <w:r w:rsidR="001F0EC3" w:rsidRPr="00306FA7">
        <w:rPr>
          <w:rFonts w:asciiTheme="minorHAnsi" w:hAnsiTheme="minorHAnsi" w:cstheme="minorHAnsi"/>
          <w:szCs w:val="22"/>
        </w:rPr>
        <w:t xml:space="preserve"> </w:t>
      </w:r>
    </w:p>
    <w:sectPr w:rsidR="001F0EC3" w:rsidRPr="00306FA7" w:rsidSect="00EA682C">
      <w:footerReference w:type="even" r:id="rId9"/>
      <w:footerReference w:type="default" r:id="rId10"/>
      <w:pgSz w:w="12240" w:h="15840"/>
      <w:pgMar w:top="1440" w:right="1440" w:bottom="1440" w:left="1440" w:header="720"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C17C0" w14:textId="77777777" w:rsidR="009D56D9" w:rsidRDefault="009D56D9">
      <w:r>
        <w:separator/>
      </w:r>
    </w:p>
  </w:endnote>
  <w:endnote w:type="continuationSeparator" w:id="0">
    <w:p w14:paraId="594BF29F" w14:textId="77777777" w:rsidR="009D56D9" w:rsidRDefault="009D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EEAE6" w14:textId="77777777"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825042">
      <w:rPr>
        <w:rStyle w:val="PageNumber"/>
        <w:noProof/>
      </w:rPr>
      <w:t>1</w:t>
    </w:r>
    <w:r>
      <w:rPr>
        <w:rStyle w:val="PageNumber"/>
      </w:rPr>
      <w:fldChar w:fldCharType="end"/>
    </w:r>
  </w:p>
  <w:p w14:paraId="59764F92" w14:textId="77777777" w:rsidR="00825042" w:rsidRDefault="00825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7FC1" w14:textId="77777777"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B93614">
      <w:rPr>
        <w:rStyle w:val="PageNumber"/>
        <w:noProof/>
      </w:rPr>
      <w:t>1</w:t>
    </w:r>
    <w:r>
      <w:rPr>
        <w:rStyle w:val="PageNumber"/>
      </w:rPr>
      <w:fldChar w:fldCharType="end"/>
    </w:r>
  </w:p>
  <w:p w14:paraId="56AECA3B" w14:textId="77777777" w:rsidR="00825042" w:rsidRDefault="00825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8168B" w14:textId="77777777" w:rsidR="009D56D9" w:rsidRDefault="009D56D9">
      <w:r>
        <w:separator/>
      </w:r>
    </w:p>
  </w:footnote>
  <w:footnote w:type="continuationSeparator" w:id="0">
    <w:p w14:paraId="521A8F1E" w14:textId="77777777" w:rsidR="009D56D9" w:rsidRDefault="009D5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8FEA488"/>
    <w:lvl w:ilvl="0">
      <w:numFmt w:val="bullet"/>
      <w:lvlText w:val="*"/>
      <w:lvlJc w:val="left"/>
    </w:lvl>
  </w:abstractNum>
  <w:abstractNum w:abstractNumId="1" w15:restartNumberingAfterBreak="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15:restartNumberingAfterBreak="0">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F97706"/>
    <w:multiLevelType w:val="hybridMultilevel"/>
    <w:tmpl w:val="9746FCC0"/>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15:restartNumberingAfterBreak="0">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002"/>
    <w:multiLevelType w:val="hybridMultilevel"/>
    <w:tmpl w:val="EDD6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15:restartNumberingAfterBreak="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117ED"/>
    <w:multiLevelType w:val="singleLevel"/>
    <w:tmpl w:val="D586059C"/>
    <w:lvl w:ilvl="0">
      <w:numFmt w:val="bullet"/>
      <w:lvlText w:val="-"/>
      <w:lvlJc w:val="left"/>
      <w:pPr>
        <w:tabs>
          <w:tab w:val="num" w:pos="720"/>
        </w:tabs>
        <w:ind w:left="720" w:hanging="360"/>
      </w:pPr>
      <w:rPr>
        <w:rFonts w:hint="default"/>
      </w:rPr>
    </w:lvl>
  </w:abstractNum>
  <w:abstractNum w:abstractNumId="16" w15:restartNumberingAfterBreak="0">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7" w15:restartNumberingAfterBreak="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8" w15:restartNumberingAfterBreak="0">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1" w15:restartNumberingAfterBreak="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2" w15:restartNumberingAfterBreak="0">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1"/>
  </w:num>
  <w:num w:numId="3">
    <w:abstractNumId w:val="19"/>
  </w:num>
  <w:num w:numId="4">
    <w:abstractNumId w:val="16"/>
  </w:num>
  <w:num w:numId="5">
    <w:abstractNumId w:val="4"/>
  </w:num>
  <w:num w:numId="6">
    <w:abstractNumId w:val="2"/>
  </w:num>
  <w:num w:numId="7">
    <w:abstractNumId w:val="15"/>
  </w:num>
  <w:num w:numId="8">
    <w:abstractNumId w:val="3"/>
  </w:num>
  <w:num w:numId="9">
    <w:abstractNumId w:val="1"/>
  </w:num>
  <w:num w:numId="10">
    <w:abstractNumId w:val="10"/>
  </w:num>
  <w:num w:numId="11">
    <w:abstractNumId w:val="17"/>
  </w:num>
  <w:num w:numId="12">
    <w:abstractNumId w:val="9"/>
  </w:num>
  <w:num w:numId="13">
    <w:abstractNumId w:val="21"/>
  </w:num>
  <w:num w:numId="14">
    <w:abstractNumId w:val="25"/>
  </w:num>
  <w:num w:numId="15">
    <w:abstractNumId w:val="6"/>
  </w:num>
  <w:num w:numId="16">
    <w:abstractNumId w:val="13"/>
  </w:num>
  <w:num w:numId="17">
    <w:abstractNumId w:val="23"/>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2"/>
  </w:num>
  <w:num w:numId="21">
    <w:abstractNumId w:val="14"/>
  </w:num>
  <w:num w:numId="22">
    <w:abstractNumId w:val="18"/>
  </w:num>
  <w:num w:numId="23">
    <w:abstractNumId w:val="24"/>
  </w:num>
  <w:num w:numId="24">
    <w:abstractNumId w:val="22"/>
  </w:num>
  <w:num w:numId="25">
    <w:abstractNumId w:val="7"/>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8B"/>
    <w:rsid w:val="0001055E"/>
    <w:rsid w:val="000132C3"/>
    <w:rsid w:val="00014351"/>
    <w:rsid w:val="00020BA3"/>
    <w:rsid w:val="0002189F"/>
    <w:rsid w:val="000406A5"/>
    <w:rsid w:val="000412BD"/>
    <w:rsid w:val="00053CC3"/>
    <w:rsid w:val="00064D57"/>
    <w:rsid w:val="00075062"/>
    <w:rsid w:val="00076B90"/>
    <w:rsid w:val="00081279"/>
    <w:rsid w:val="00084A14"/>
    <w:rsid w:val="000920F3"/>
    <w:rsid w:val="0009783E"/>
    <w:rsid w:val="000B30DA"/>
    <w:rsid w:val="000B539B"/>
    <w:rsid w:val="000C6F26"/>
    <w:rsid w:val="000D3A57"/>
    <w:rsid w:val="000D5C9F"/>
    <w:rsid w:val="000D631E"/>
    <w:rsid w:val="000E549D"/>
    <w:rsid w:val="000F7F9E"/>
    <w:rsid w:val="000F7FB9"/>
    <w:rsid w:val="00106F29"/>
    <w:rsid w:val="00124DA6"/>
    <w:rsid w:val="00134B36"/>
    <w:rsid w:val="00136FCA"/>
    <w:rsid w:val="00137948"/>
    <w:rsid w:val="001711FA"/>
    <w:rsid w:val="0017290C"/>
    <w:rsid w:val="00174A55"/>
    <w:rsid w:val="00180A59"/>
    <w:rsid w:val="001813CC"/>
    <w:rsid w:val="001900FB"/>
    <w:rsid w:val="00197A25"/>
    <w:rsid w:val="001A5E2E"/>
    <w:rsid w:val="001B1E53"/>
    <w:rsid w:val="001B53B2"/>
    <w:rsid w:val="001B7B40"/>
    <w:rsid w:val="001D11EA"/>
    <w:rsid w:val="001D61E4"/>
    <w:rsid w:val="001D7704"/>
    <w:rsid w:val="001E6655"/>
    <w:rsid w:val="001F0EC3"/>
    <w:rsid w:val="001F2E63"/>
    <w:rsid w:val="001F7206"/>
    <w:rsid w:val="001F7F86"/>
    <w:rsid w:val="00203B5A"/>
    <w:rsid w:val="00222E0D"/>
    <w:rsid w:val="00227600"/>
    <w:rsid w:val="00243CA9"/>
    <w:rsid w:val="0024575D"/>
    <w:rsid w:val="002544ED"/>
    <w:rsid w:val="0025533F"/>
    <w:rsid w:val="00257AEF"/>
    <w:rsid w:val="00261D05"/>
    <w:rsid w:val="00272C53"/>
    <w:rsid w:val="002B2E61"/>
    <w:rsid w:val="002B3A52"/>
    <w:rsid w:val="002E275E"/>
    <w:rsid w:val="002F22A7"/>
    <w:rsid w:val="00306FA7"/>
    <w:rsid w:val="00311681"/>
    <w:rsid w:val="0031363B"/>
    <w:rsid w:val="00320750"/>
    <w:rsid w:val="003239DC"/>
    <w:rsid w:val="00324413"/>
    <w:rsid w:val="0034488C"/>
    <w:rsid w:val="00345C9A"/>
    <w:rsid w:val="00356691"/>
    <w:rsid w:val="0035673B"/>
    <w:rsid w:val="00357348"/>
    <w:rsid w:val="00357711"/>
    <w:rsid w:val="0036619E"/>
    <w:rsid w:val="0037222A"/>
    <w:rsid w:val="00385C0C"/>
    <w:rsid w:val="003A39E5"/>
    <w:rsid w:val="003A673B"/>
    <w:rsid w:val="003A6E21"/>
    <w:rsid w:val="003B2A11"/>
    <w:rsid w:val="003B525E"/>
    <w:rsid w:val="003C0A44"/>
    <w:rsid w:val="003E2E17"/>
    <w:rsid w:val="003E73B7"/>
    <w:rsid w:val="003F7206"/>
    <w:rsid w:val="0040052A"/>
    <w:rsid w:val="0040401D"/>
    <w:rsid w:val="00434364"/>
    <w:rsid w:val="00437182"/>
    <w:rsid w:val="004412F0"/>
    <w:rsid w:val="00446F25"/>
    <w:rsid w:val="00450D3C"/>
    <w:rsid w:val="00461E23"/>
    <w:rsid w:val="00471194"/>
    <w:rsid w:val="00474C9A"/>
    <w:rsid w:val="00485507"/>
    <w:rsid w:val="00486A54"/>
    <w:rsid w:val="00496BE6"/>
    <w:rsid w:val="004A14E5"/>
    <w:rsid w:val="004E2C5B"/>
    <w:rsid w:val="004E4A74"/>
    <w:rsid w:val="004E4BA5"/>
    <w:rsid w:val="004E6DC0"/>
    <w:rsid w:val="00505EBD"/>
    <w:rsid w:val="0051290C"/>
    <w:rsid w:val="005150F9"/>
    <w:rsid w:val="00517C48"/>
    <w:rsid w:val="00522B07"/>
    <w:rsid w:val="00535A27"/>
    <w:rsid w:val="00543032"/>
    <w:rsid w:val="00547334"/>
    <w:rsid w:val="00564266"/>
    <w:rsid w:val="005958DF"/>
    <w:rsid w:val="005A1433"/>
    <w:rsid w:val="005A7C14"/>
    <w:rsid w:val="005D465D"/>
    <w:rsid w:val="005D681B"/>
    <w:rsid w:val="005F3539"/>
    <w:rsid w:val="005F6257"/>
    <w:rsid w:val="00617B24"/>
    <w:rsid w:val="00625AFA"/>
    <w:rsid w:val="00632574"/>
    <w:rsid w:val="00636CD2"/>
    <w:rsid w:val="006472AA"/>
    <w:rsid w:val="00657CEB"/>
    <w:rsid w:val="00681AFD"/>
    <w:rsid w:val="00682946"/>
    <w:rsid w:val="00685AD8"/>
    <w:rsid w:val="0069431A"/>
    <w:rsid w:val="00696699"/>
    <w:rsid w:val="006B3B55"/>
    <w:rsid w:val="006C54D8"/>
    <w:rsid w:val="006F3DBF"/>
    <w:rsid w:val="0070133C"/>
    <w:rsid w:val="00714F68"/>
    <w:rsid w:val="007218A8"/>
    <w:rsid w:val="007245F5"/>
    <w:rsid w:val="007307F5"/>
    <w:rsid w:val="00731C68"/>
    <w:rsid w:val="007461ED"/>
    <w:rsid w:val="007504D3"/>
    <w:rsid w:val="00760EEC"/>
    <w:rsid w:val="007633A3"/>
    <w:rsid w:val="00764922"/>
    <w:rsid w:val="00766738"/>
    <w:rsid w:val="00781AAB"/>
    <w:rsid w:val="00784496"/>
    <w:rsid w:val="00794686"/>
    <w:rsid w:val="00797BDD"/>
    <w:rsid w:val="007A1F8B"/>
    <w:rsid w:val="007A2276"/>
    <w:rsid w:val="007A3696"/>
    <w:rsid w:val="007A649D"/>
    <w:rsid w:val="007D3E22"/>
    <w:rsid w:val="007D3EB5"/>
    <w:rsid w:val="007D4838"/>
    <w:rsid w:val="007E4455"/>
    <w:rsid w:val="007F4AA7"/>
    <w:rsid w:val="008054E1"/>
    <w:rsid w:val="00807DCF"/>
    <w:rsid w:val="00825042"/>
    <w:rsid w:val="008318B9"/>
    <w:rsid w:val="00834628"/>
    <w:rsid w:val="008670D7"/>
    <w:rsid w:val="00873F5E"/>
    <w:rsid w:val="008952D0"/>
    <w:rsid w:val="00896188"/>
    <w:rsid w:val="008A02E3"/>
    <w:rsid w:val="008A5AB3"/>
    <w:rsid w:val="008A5E3C"/>
    <w:rsid w:val="008B0EF7"/>
    <w:rsid w:val="008D1044"/>
    <w:rsid w:val="008D1811"/>
    <w:rsid w:val="008E1FA7"/>
    <w:rsid w:val="008E435B"/>
    <w:rsid w:val="008E71A7"/>
    <w:rsid w:val="00902ABB"/>
    <w:rsid w:val="00904950"/>
    <w:rsid w:val="009343A4"/>
    <w:rsid w:val="00953384"/>
    <w:rsid w:val="00960B4B"/>
    <w:rsid w:val="00963B9A"/>
    <w:rsid w:val="00975C52"/>
    <w:rsid w:val="009764BF"/>
    <w:rsid w:val="0097712F"/>
    <w:rsid w:val="009A10C2"/>
    <w:rsid w:val="009C1DA5"/>
    <w:rsid w:val="009D56D9"/>
    <w:rsid w:val="009E1E25"/>
    <w:rsid w:val="00A03AE2"/>
    <w:rsid w:val="00A26490"/>
    <w:rsid w:val="00A324B2"/>
    <w:rsid w:val="00A325F9"/>
    <w:rsid w:val="00A67FB5"/>
    <w:rsid w:val="00A7164C"/>
    <w:rsid w:val="00A879FB"/>
    <w:rsid w:val="00A917E6"/>
    <w:rsid w:val="00AA4252"/>
    <w:rsid w:val="00AB1F99"/>
    <w:rsid w:val="00AB3C80"/>
    <w:rsid w:val="00AB559A"/>
    <w:rsid w:val="00AD0944"/>
    <w:rsid w:val="00AD2F32"/>
    <w:rsid w:val="00AE54A1"/>
    <w:rsid w:val="00AE5C52"/>
    <w:rsid w:val="00B03DDF"/>
    <w:rsid w:val="00B04A0A"/>
    <w:rsid w:val="00B12974"/>
    <w:rsid w:val="00B26787"/>
    <w:rsid w:val="00B43A6B"/>
    <w:rsid w:val="00B475B1"/>
    <w:rsid w:val="00B5048B"/>
    <w:rsid w:val="00B627A3"/>
    <w:rsid w:val="00B6530A"/>
    <w:rsid w:val="00B70C53"/>
    <w:rsid w:val="00B7470C"/>
    <w:rsid w:val="00B764E1"/>
    <w:rsid w:val="00B9002B"/>
    <w:rsid w:val="00B93614"/>
    <w:rsid w:val="00BA6C49"/>
    <w:rsid w:val="00BC1EFF"/>
    <w:rsid w:val="00BD2408"/>
    <w:rsid w:val="00BD5885"/>
    <w:rsid w:val="00BD7E69"/>
    <w:rsid w:val="00BE2985"/>
    <w:rsid w:val="00C07BFB"/>
    <w:rsid w:val="00C150A9"/>
    <w:rsid w:val="00C15BD1"/>
    <w:rsid w:val="00C23EAD"/>
    <w:rsid w:val="00C34226"/>
    <w:rsid w:val="00C543F7"/>
    <w:rsid w:val="00C62EF3"/>
    <w:rsid w:val="00C6577C"/>
    <w:rsid w:val="00C73578"/>
    <w:rsid w:val="00C80CA2"/>
    <w:rsid w:val="00C947DB"/>
    <w:rsid w:val="00C94AF0"/>
    <w:rsid w:val="00CA0289"/>
    <w:rsid w:val="00CA495E"/>
    <w:rsid w:val="00CB00E0"/>
    <w:rsid w:val="00CB1FFC"/>
    <w:rsid w:val="00CB6F78"/>
    <w:rsid w:val="00CC25E9"/>
    <w:rsid w:val="00CE690A"/>
    <w:rsid w:val="00CF0A2D"/>
    <w:rsid w:val="00CF4C3E"/>
    <w:rsid w:val="00D06434"/>
    <w:rsid w:val="00D172E7"/>
    <w:rsid w:val="00D17A98"/>
    <w:rsid w:val="00D34D5A"/>
    <w:rsid w:val="00D429FE"/>
    <w:rsid w:val="00D43518"/>
    <w:rsid w:val="00D6560E"/>
    <w:rsid w:val="00D96796"/>
    <w:rsid w:val="00DA271B"/>
    <w:rsid w:val="00DA2EA3"/>
    <w:rsid w:val="00DA55A4"/>
    <w:rsid w:val="00DB2B4E"/>
    <w:rsid w:val="00DB337A"/>
    <w:rsid w:val="00DB5869"/>
    <w:rsid w:val="00DC2353"/>
    <w:rsid w:val="00DE04BB"/>
    <w:rsid w:val="00DE2777"/>
    <w:rsid w:val="00DF5935"/>
    <w:rsid w:val="00DF6337"/>
    <w:rsid w:val="00E0688F"/>
    <w:rsid w:val="00E115DF"/>
    <w:rsid w:val="00E207AE"/>
    <w:rsid w:val="00E26E49"/>
    <w:rsid w:val="00E55CD6"/>
    <w:rsid w:val="00E5795E"/>
    <w:rsid w:val="00E66D8F"/>
    <w:rsid w:val="00E71415"/>
    <w:rsid w:val="00E73829"/>
    <w:rsid w:val="00E81A74"/>
    <w:rsid w:val="00EA3AC7"/>
    <w:rsid w:val="00EA6228"/>
    <w:rsid w:val="00EA682C"/>
    <w:rsid w:val="00EB2813"/>
    <w:rsid w:val="00EB3BB9"/>
    <w:rsid w:val="00EC0E96"/>
    <w:rsid w:val="00EC6E5D"/>
    <w:rsid w:val="00EE5A95"/>
    <w:rsid w:val="00EE62A1"/>
    <w:rsid w:val="00F03B96"/>
    <w:rsid w:val="00F2141C"/>
    <w:rsid w:val="00F23951"/>
    <w:rsid w:val="00F27F7F"/>
    <w:rsid w:val="00F35DBB"/>
    <w:rsid w:val="00F4477A"/>
    <w:rsid w:val="00F44F59"/>
    <w:rsid w:val="00F53C73"/>
    <w:rsid w:val="00F5541F"/>
    <w:rsid w:val="00F56469"/>
    <w:rsid w:val="00F564DD"/>
    <w:rsid w:val="00F60271"/>
    <w:rsid w:val="00F634EE"/>
    <w:rsid w:val="00F714F9"/>
    <w:rsid w:val="00F73BB5"/>
    <w:rsid w:val="00F7571B"/>
    <w:rsid w:val="00F83AD8"/>
    <w:rsid w:val="00F900A7"/>
    <w:rsid w:val="00F9358B"/>
    <w:rsid w:val="00F961C4"/>
    <w:rsid w:val="00F97EFA"/>
    <w:rsid w:val="00FA5BCF"/>
    <w:rsid w:val="00FB4DED"/>
    <w:rsid w:val="00FC68AA"/>
    <w:rsid w:val="00FC700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BCC4"/>
  <w15:docId w15:val="{7AFC7CC1-73CF-4FE5-84B2-257C2B9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 w:type="paragraph" w:styleId="ListParagraph">
    <w:name w:val="List Paragraph"/>
    <w:basedOn w:val="Normal"/>
    <w:uiPriority w:val="34"/>
    <w:qFormat/>
    <w:rsid w:val="00CB6F78"/>
    <w:pPr>
      <w:ind w:left="720"/>
      <w:contextualSpacing/>
    </w:pPr>
  </w:style>
  <w:style w:type="character" w:styleId="SubtleEmphasis">
    <w:name w:val="Subtle Emphasis"/>
    <w:basedOn w:val="DefaultParagraphFont"/>
    <w:uiPriority w:val="19"/>
    <w:qFormat/>
    <w:rsid w:val="00617B24"/>
    <w:rPr>
      <w:i/>
      <w:iCs/>
      <w:color w:val="404040"/>
    </w:rPr>
  </w:style>
  <w:style w:type="character" w:styleId="Strong">
    <w:name w:val="Strong"/>
    <w:basedOn w:val="DefaultParagraphFont"/>
    <w:uiPriority w:val="22"/>
    <w:qFormat/>
    <w:rsid w:val="00617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532741">
      <w:bodyDiv w:val="1"/>
      <w:marLeft w:val="0"/>
      <w:marRight w:val="0"/>
      <w:marTop w:val="0"/>
      <w:marBottom w:val="0"/>
      <w:divBdr>
        <w:top w:val="none" w:sz="0" w:space="0" w:color="auto"/>
        <w:left w:val="none" w:sz="0" w:space="0" w:color="auto"/>
        <w:bottom w:val="none" w:sz="0" w:space="0" w:color="auto"/>
        <w:right w:val="none" w:sz="0" w:space="0" w:color="auto"/>
      </w:divBdr>
    </w:div>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data/nhis/earlyrelease/wireless2017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1BF402F-0E16-4E3F-8E23-9BC4914B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Kincaid, Nora - BLS</cp:lastModifiedBy>
  <cp:revision>3</cp:revision>
  <cp:lastPrinted>2011-09-07T15:29:00Z</cp:lastPrinted>
  <dcterms:created xsi:type="dcterms:W3CDTF">2017-06-19T19:58:00Z</dcterms:created>
  <dcterms:modified xsi:type="dcterms:W3CDTF">2017-06-20T19:11:00Z</dcterms:modified>
</cp:coreProperties>
</file>