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06DE0" w:rsidRPr="00C06DE0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RDefault="00887C31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367AE">
        <w:t>Investigation and Analysis of Assets for Independence (AFI) Program Application Barriers and Challenges</w:t>
      </w:r>
    </w:p>
    <w:p w:rsidR="005E714A" w:rsidRDefault="005E714A"/>
    <w:p w:rsidR="00C8488C" w:rsidRDefault="00F15956">
      <w:r>
        <w:rPr>
          <w:b/>
        </w:rPr>
        <w:t>PURPOSE</w:t>
      </w:r>
      <w:r w:rsidR="009367AE">
        <w:rPr>
          <w:b/>
        </w:rPr>
        <w:t xml:space="preserve">: </w:t>
      </w:r>
      <w:r w:rsidR="009367AE">
        <w:t>To identify opportunities for improvement</w:t>
      </w:r>
      <w:r w:rsidR="00C06DE0">
        <w:t xml:space="preserve"> to the AFI program grant application process</w:t>
      </w:r>
      <w:r w:rsidR="009367AE">
        <w:t xml:space="preserve">, </w:t>
      </w:r>
      <w:r w:rsidR="00C06DE0">
        <w:t xml:space="preserve">the Office of Community Services (OCS) is gathering </w:t>
      </w:r>
      <w:r w:rsidR="009367AE">
        <w:t>feedback about th</w:t>
      </w:r>
      <w:r w:rsidR="00C06DE0">
        <w:t xml:space="preserve">is </w:t>
      </w:r>
      <w:r w:rsidR="009367AE">
        <w:t xml:space="preserve">process.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2267B" w:rsidRDefault="00434E33" w:rsidP="00E8787C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E72975">
        <w:t xml:space="preserve"> Respondents will include prospect</w:t>
      </w:r>
      <w:r w:rsidR="00C93560">
        <w:t>ive</w:t>
      </w:r>
      <w:r w:rsidR="00E72975">
        <w:t xml:space="preserve"> and/or current grantees who meet the selection criteria for each of the segments that have been identified. </w:t>
      </w:r>
      <w:r w:rsidR="00B2267B">
        <w:t xml:space="preserve">The table below provides a summary of the segments that will be recruited and the pool size (i.e., population) available for recruitment. </w:t>
      </w:r>
    </w:p>
    <w:p w:rsidR="00B2267B" w:rsidRDefault="00B2267B" w:rsidP="00E8787C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</w:tblBorders>
        <w:tblLook w:val="04A0" w:firstRow="1" w:lastRow="0" w:firstColumn="1" w:lastColumn="0" w:noHBand="0" w:noVBand="1"/>
      </w:tblPr>
      <w:tblGrid>
        <w:gridCol w:w="3505"/>
        <w:gridCol w:w="3780"/>
        <w:gridCol w:w="1705"/>
      </w:tblGrid>
      <w:tr w:rsidR="00B2267B" w:rsidRPr="007E6F23" w:rsidTr="00A04935">
        <w:tc>
          <w:tcPr>
            <w:tcW w:w="3505" w:type="dxa"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B2267B" w:rsidRPr="007E6F23" w:rsidRDefault="00B2267B" w:rsidP="00A04935">
            <w:pPr>
              <w:pStyle w:val="Default"/>
              <w:spacing w:line="276" w:lineRule="auto"/>
              <w:rPr>
                <w:rFonts w:ascii="Calibri" w:hAnsi="Calibri" w:cs="Calibri"/>
                <w:b/>
                <w:bCs/>
                <w:sz w:val="16"/>
                <w:szCs w:val="22"/>
              </w:rPr>
            </w:pPr>
            <w:r w:rsidRPr="007E6F23">
              <w:rPr>
                <w:rFonts w:ascii="Calibri" w:hAnsi="Calibri" w:cs="Calibri"/>
                <w:b/>
                <w:bCs/>
                <w:sz w:val="16"/>
                <w:szCs w:val="22"/>
              </w:rPr>
              <w:t>Segment</w:t>
            </w:r>
          </w:p>
        </w:tc>
        <w:tc>
          <w:tcPr>
            <w:tcW w:w="3780" w:type="dxa"/>
            <w:tcBorders>
              <w:top w:val="single" w:sz="4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B2267B" w:rsidRPr="007E6F23" w:rsidRDefault="00B2267B" w:rsidP="00A04935">
            <w:pPr>
              <w:pStyle w:val="Default"/>
              <w:spacing w:line="276" w:lineRule="auto"/>
              <w:rPr>
                <w:rFonts w:ascii="Calibri" w:hAnsi="Calibri" w:cs="Calibri"/>
                <w:b/>
                <w:bCs/>
                <w:sz w:val="16"/>
                <w:szCs w:val="22"/>
              </w:rPr>
            </w:pPr>
            <w:r w:rsidRPr="007E6F23">
              <w:rPr>
                <w:rFonts w:ascii="Calibri" w:hAnsi="Calibri" w:cs="Calibri"/>
                <w:b/>
                <w:bCs/>
                <w:sz w:val="16"/>
                <w:szCs w:val="22"/>
              </w:rPr>
              <w:t>Definition</w:t>
            </w:r>
          </w:p>
        </w:tc>
        <w:tc>
          <w:tcPr>
            <w:tcW w:w="1705" w:type="dxa"/>
            <w:tcBorders>
              <w:top w:val="single" w:sz="4" w:space="0" w:color="4F81BD"/>
              <w:left w:val="single" w:sz="4" w:space="0" w:color="auto"/>
              <w:bottom w:val="single" w:sz="4" w:space="0" w:color="auto"/>
              <w:right w:val="single" w:sz="4" w:space="0" w:color="4F81BD"/>
            </w:tcBorders>
            <w:shd w:val="clear" w:color="auto" w:fill="4F81BD"/>
          </w:tcPr>
          <w:p w:rsidR="00B2267B" w:rsidRPr="007E6F23" w:rsidRDefault="00B2267B" w:rsidP="00A04935">
            <w:pPr>
              <w:pStyle w:val="Default"/>
              <w:spacing w:line="276" w:lineRule="auto"/>
              <w:rPr>
                <w:rFonts w:ascii="Calibri" w:hAnsi="Calibri" w:cs="Calibri"/>
                <w:b/>
                <w:bCs/>
                <w:sz w:val="16"/>
                <w:szCs w:val="22"/>
              </w:rPr>
            </w:pPr>
            <w:r w:rsidRPr="007E6F23">
              <w:rPr>
                <w:rFonts w:ascii="Calibri" w:hAnsi="Calibri" w:cs="Calibri"/>
                <w:b/>
                <w:bCs/>
                <w:sz w:val="16"/>
                <w:szCs w:val="22"/>
              </w:rPr>
              <w:t>Pool Size</w:t>
            </w:r>
          </w:p>
        </w:tc>
      </w:tr>
      <w:tr w:rsidR="00B2267B" w:rsidRPr="007E6F23" w:rsidTr="00A04935"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267B" w:rsidRPr="007E6F23" w:rsidRDefault="00B2267B" w:rsidP="00A04935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b/>
                <w:bCs/>
                <w:sz w:val="16"/>
                <w:szCs w:val="22"/>
              </w:rPr>
            </w:pPr>
            <w:r w:rsidRPr="007E6F23">
              <w:rPr>
                <w:rFonts w:ascii="Calibri" w:hAnsi="Calibri" w:cs="Calibri"/>
                <w:b/>
                <w:bCs/>
                <w:sz w:val="16"/>
                <w:szCs w:val="22"/>
              </w:rPr>
              <w:t xml:space="preserve">Applicant organizations that have </w:t>
            </w:r>
            <w:r w:rsidRPr="007E6F23">
              <w:rPr>
                <w:rFonts w:ascii="Calibri" w:hAnsi="Calibri" w:cs="Calibri"/>
                <w:b/>
                <w:bCs/>
                <w:color w:val="auto"/>
                <w:sz w:val="16"/>
                <w:szCs w:val="22"/>
              </w:rPr>
              <w:t xml:space="preserve">not </w:t>
            </w:r>
            <w:r w:rsidRPr="007E6F23">
              <w:rPr>
                <w:rFonts w:ascii="Calibri" w:hAnsi="Calibri" w:cs="Calibri"/>
                <w:b/>
                <w:bCs/>
                <w:sz w:val="16"/>
                <w:szCs w:val="22"/>
              </w:rPr>
              <w:t>received funding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267B" w:rsidRPr="007E6F23" w:rsidRDefault="00B2267B" w:rsidP="00A04935">
            <w:pPr>
              <w:pStyle w:val="Default"/>
              <w:spacing w:line="276" w:lineRule="auto"/>
              <w:rPr>
                <w:rFonts w:ascii="Calibri" w:hAnsi="Calibri" w:cs="Calibri"/>
                <w:sz w:val="16"/>
                <w:szCs w:val="22"/>
              </w:rPr>
            </w:pPr>
            <w:r w:rsidRPr="007E6F23">
              <w:rPr>
                <w:rFonts w:ascii="Calibri" w:eastAsia="Times New Roman" w:hAnsi="Calibri" w:cs="Times New Roman"/>
                <w:sz w:val="16"/>
                <w:szCs w:val="22"/>
              </w:rPr>
              <w:t xml:space="preserve">Organizations that have submitted an application since September 2013 but were not funded; includes some </w:t>
            </w:r>
            <w:r>
              <w:rPr>
                <w:rFonts w:ascii="Calibri" w:eastAsia="Times New Roman" w:hAnsi="Calibri" w:cs="Times New Roman"/>
                <w:sz w:val="16"/>
                <w:szCs w:val="22"/>
              </w:rPr>
              <w:t>f</w:t>
            </w:r>
            <w:r w:rsidRPr="007E6F23">
              <w:rPr>
                <w:rFonts w:ascii="Calibri" w:eastAsia="Times New Roman" w:hAnsi="Calibri" w:cs="Times New Roman"/>
                <w:sz w:val="16"/>
                <w:szCs w:val="22"/>
              </w:rPr>
              <w:t xml:space="preserve">ormer </w:t>
            </w:r>
            <w:r>
              <w:rPr>
                <w:rFonts w:ascii="Calibri" w:eastAsia="Times New Roman" w:hAnsi="Calibri" w:cs="Times New Roman"/>
                <w:sz w:val="16"/>
                <w:szCs w:val="22"/>
              </w:rPr>
              <w:t>g</w:t>
            </w:r>
            <w:r w:rsidRPr="007E6F23">
              <w:rPr>
                <w:rFonts w:ascii="Calibri" w:eastAsia="Times New Roman" w:hAnsi="Calibri" w:cs="Times New Roman"/>
                <w:sz w:val="16"/>
                <w:szCs w:val="22"/>
              </w:rPr>
              <w:t>rantees whose initial grant periods had ended.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B2267B" w:rsidRPr="007E6F23" w:rsidRDefault="006520A5" w:rsidP="00A04935">
            <w:pPr>
              <w:pStyle w:val="Default"/>
              <w:spacing w:line="276" w:lineRule="auto"/>
              <w:rPr>
                <w:rFonts w:ascii="Calibri" w:hAnsi="Calibri" w:cs="Calibri"/>
                <w:sz w:val="16"/>
                <w:szCs w:val="22"/>
              </w:rPr>
            </w:pPr>
            <w:r>
              <w:rPr>
                <w:rFonts w:ascii="Calibri" w:hAnsi="Calibri" w:cs="Calibri"/>
                <w:sz w:val="16"/>
                <w:szCs w:val="22"/>
              </w:rPr>
              <w:t>16</w:t>
            </w:r>
          </w:p>
        </w:tc>
      </w:tr>
      <w:tr w:rsidR="00B2267B" w:rsidRPr="007E6F23" w:rsidTr="00A04935"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267B" w:rsidRPr="00A163E0" w:rsidRDefault="00B2267B" w:rsidP="00A04935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A163E0">
              <w:rPr>
                <w:rFonts w:ascii="Calibri" w:hAnsi="Calibri" w:cs="Calibri"/>
                <w:b/>
                <w:sz w:val="16"/>
                <w:szCs w:val="16"/>
              </w:rPr>
              <w:t>Prospects/non-applicant organizations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267B" w:rsidRPr="00A163E0" w:rsidRDefault="00B2267B" w:rsidP="00A04935">
            <w:pPr>
              <w:pStyle w:val="Default"/>
              <w:spacing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A163E0">
              <w:rPr>
                <w:rFonts w:ascii="Calibri" w:eastAsia="Times New Roman" w:hAnsi="Calibri" w:cs="Times New Roman"/>
                <w:sz w:val="16"/>
                <w:szCs w:val="16"/>
              </w:rPr>
              <w:t xml:space="preserve">Organizations that </w:t>
            </w:r>
            <w:r w:rsidRPr="00A163E0">
              <w:rPr>
                <w:rFonts w:ascii="Calibri" w:hAnsi="Calibri" w:cs="Calibri"/>
                <w:sz w:val="16"/>
                <w:szCs w:val="16"/>
              </w:rPr>
              <w:t xml:space="preserve">reached out to the AFI Resource Center two or more times </w:t>
            </w:r>
            <w:r w:rsidRPr="00A163E0">
              <w:rPr>
                <w:rFonts w:ascii="Calibri" w:eastAsia="Times New Roman" w:hAnsi="Calibri" w:cs="Times New Roman"/>
                <w:sz w:val="16"/>
                <w:szCs w:val="16"/>
              </w:rPr>
              <w:t>since September 2013</w:t>
            </w:r>
            <w:r w:rsidRPr="00A163E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A163E0">
              <w:rPr>
                <w:rFonts w:ascii="Calibri" w:eastAsia="Times New Roman" w:hAnsi="Calibri" w:cs="Times New Roman"/>
                <w:sz w:val="16"/>
                <w:szCs w:val="16"/>
              </w:rPr>
              <w:t>but never submitted an application.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B2267B" w:rsidRPr="00A163E0" w:rsidRDefault="00B2267B" w:rsidP="00A04935">
            <w:pPr>
              <w:pStyle w:val="Default"/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163E0">
              <w:rPr>
                <w:rFonts w:ascii="Calibri" w:hAnsi="Calibri" w:cs="Calibri"/>
                <w:sz w:val="16"/>
                <w:szCs w:val="16"/>
              </w:rPr>
              <w:t>3</w:t>
            </w:r>
            <w:r w:rsidR="006520A5">
              <w:rPr>
                <w:rFonts w:ascii="Calibri" w:hAnsi="Calibri" w:cs="Calibri"/>
                <w:sz w:val="16"/>
                <w:szCs w:val="16"/>
              </w:rPr>
              <w:t>4</w:t>
            </w:r>
            <w:r w:rsidR="003C5428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</w:tr>
      <w:tr w:rsidR="00B20371" w:rsidRPr="007E6F23" w:rsidTr="00A04935"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157DA" w:rsidRPr="00B20371" w:rsidRDefault="00B20371" w:rsidP="00F157DA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B20371">
              <w:rPr>
                <w:rFonts w:ascii="Calibri" w:hAnsi="Calibri" w:cs="Calibri"/>
                <w:b/>
                <w:sz w:val="16"/>
                <w:szCs w:val="16"/>
              </w:rPr>
              <w:t xml:space="preserve">AFI grantees  who have drawn down over 80% of their </w:t>
            </w:r>
            <w:r w:rsidR="00C06DE0">
              <w:rPr>
                <w:rFonts w:ascii="Calibri" w:hAnsi="Calibri" w:cs="Calibri"/>
                <w:b/>
                <w:sz w:val="16"/>
                <w:szCs w:val="16"/>
              </w:rPr>
              <w:t>current</w:t>
            </w:r>
            <w:r w:rsidR="00C06DE0" w:rsidRPr="00B20371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B20371">
              <w:rPr>
                <w:rFonts w:ascii="Calibri" w:hAnsi="Calibri" w:cs="Calibri"/>
                <w:b/>
                <w:sz w:val="16"/>
                <w:szCs w:val="16"/>
              </w:rPr>
              <w:t>grant funds</w:t>
            </w:r>
            <w:r w:rsidR="00F157DA">
              <w:rPr>
                <w:rFonts w:ascii="Calibri" w:hAnsi="Calibri" w:cs="Calibri"/>
                <w:b/>
                <w:sz w:val="16"/>
                <w:szCs w:val="16"/>
              </w:rPr>
              <w:br/>
              <w:t>(A proxy for higher-capacity organizations)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0371" w:rsidRPr="00B20371" w:rsidRDefault="00B20371" w:rsidP="00A04935">
            <w:pPr>
              <w:pStyle w:val="Default"/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B20371">
              <w:rPr>
                <w:rFonts w:ascii="Calibri" w:hAnsi="Calibri" w:cs="Calibri"/>
                <w:sz w:val="16"/>
                <w:szCs w:val="16"/>
              </w:rPr>
              <w:t>Current grantees; Most recent Open-Active grant start date 2014 or after; Percentage of eligible grant funds drawn down &gt;80%.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B20371" w:rsidRPr="009E598A" w:rsidRDefault="00B20371" w:rsidP="00A04935">
            <w:pPr>
              <w:pStyle w:val="Default"/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9E598A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</w:tr>
      <w:tr w:rsidR="00B2267B" w:rsidRPr="007E6F23" w:rsidTr="00A04935"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267B" w:rsidRPr="007E6F23" w:rsidRDefault="00B2267B" w:rsidP="00F157DA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b/>
                <w:bCs/>
                <w:sz w:val="16"/>
                <w:szCs w:val="22"/>
              </w:rPr>
            </w:pPr>
            <w:r w:rsidRPr="007E6F23">
              <w:rPr>
                <w:rFonts w:ascii="Calibri" w:hAnsi="Calibri" w:cs="Calibri"/>
                <w:b/>
                <w:bCs/>
                <w:sz w:val="16"/>
                <w:szCs w:val="22"/>
              </w:rPr>
              <w:t>AFI grantees awarded &lt;$100,000 in funding</w:t>
            </w:r>
            <w:r w:rsidR="00F157DA">
              <w:rPr>
                <w:rFonts w:ascii="Calibri" w:hAnsi="Calibri" w:cs="Calibri"/>
                <w:b/>
                <w:bCs/>
                <w:sz w:val="16"/>
                <w:szCs w:val="22"/>
              </w:rPr>
              <w:br/>
            </w:r>
            <w:r w:rsidR="00F157DA">
              <w:rPr>
                <w:rFonts w:ascii="Calibri" w:hAnsi="Calibri" w:cs="Calibri"/>
                <w:b/>
                <w:sz w:val="16"/>
                <w:szCs w:val="16"/>
              </w:rPr>
              <w:t>(A proxy for lower-capacity organizations)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267B" w:rsidRPr="007E6F23" w:rsidRDefault="00B2267B" w:rsidP="00A04935">
            <w:pPr>
              <w:pStyle w:val="Default"/>
              <w:spacing w:line="276" w:lineRule="auto"/>
              <w:rPr>
                <w:rFonts w:ascii="Calibri" w:hAnsi="Calibri" w:cs="Calibri"/>
                <w:sz w:val="16"/>
                <w:szCs w:val="22"/>
              </w:rPr>
            </w:pPr>
            <w:r w:rsidRPr="007E6F23">
              <w:rPr>
                <w:rFonts w:ascii="Calibri" w:hAnsi="Calibri" w:cs="Calibri"/>
                <w:sz w:val="16"/>
                <w:szCs w:val="22"/>
              </w:rPr>
              <w:t>Current grantees; Most recent Open-Active grant &lt;$100,000; Most recent Open-Active</w:t>
            </w:r>
            <w:r w:rsidR="00B20371">
              <w:rPr>
                <w:rFonts w:ascii="Calibri" w:hAnsi="Calibri" w:cs="Calibri"/>
                <w:sz w:val="16"/>
                <w:szCs w:val="22"/>
              </w:rPr>
              <w:t xml:space="preserve"> grant start date 2014 or after; not included in segment 3.</w:t>
            </w:r>
            <w:r w:rsidRPr="007E6F23">
              <w:rPr>
                <w:rFonts w:ascii="Calibri" w:hAnsi="Calibri" w:cs="Calibri"/>
                <w:sz w:val="16"/>
                <w:szCs w:val="22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B2267B" w:rsidRPr="007E6F23" w:rsidRDefault="00B20371" w:rsidP="00B20371">
            <w:pPr>
              <w:pStyle w:val="Default"/>
              <w:spacing w:line="276" w:lineRule="auto"/>
              <w:rPr>
                <w:rFonts w:ascii="Calibri" w:hAnsi="Calibri" w:cs="Calibri"/>
                <w:sz w:val="16"/>
                <w:szCs w:val="22"/>
              </w:rPr>
            </w:pPr>
            <w:r>
              <w:rPr>
                <w:rFonts w:ascii="Calibri" w:hAnsi="Calibri" w:cs="Calibri"/>
                <w:sz w:val="16"/>
                <w:szCs w:val="22"/>
              </w:rPr>
              <w:t>18</w:t>
            </w:r>
          </w:p>
        </w:tc>
      </w:tr>
      <w:tr w:rsidR="00B2267B" w:rsidRPr="007E6F23" w:rsidTr="00A04935"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157DA" w:rsidRPr="007E6F23" w:rsidRDefault="00B2267B" w:rsidP="00F157DA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b/>
                <w:bCs/>
                <w:sz w:val="16"/>
                <w:szCs w:val="22"/>
              </w:rPr>
            </w:pPr>
            <w:r w:rsidRPr="007E6F23">
              <w:rPr>
                <w:rFonts w:ascii="Calibri" w:hAnsi="Calibri" w:cs="Calibri"/>
                <w:b/>
                <w:bCs/>
                <w:sz w:val="16"/>
                <w:szCs w:val="22"/>
              </w:rPr>
              <w:t>AFI grantees who have been awarded funding more than one time</w:t>
            </w:r>
            <w:r w:rsidR="00F157DA">
              <w:rPr>
                <w:rFonts w:ascii="Calibri" w:hAnsi="Calibri" w:cs="Calibri"/>
                <w:b/>
                <w:bCs/>
                <w:sz w:val="16"/>
                <w:szCs w:val="22"/>
              </w:rPr>
              <w:br/>
            </w:r>
            <w:r w:rsidR="00F157DA">
              <w:rPr>
                <w:rFonts w:ascii="Calibri" w:hAnsi="Calibri" w:cs="Calibri"/>
                <w:b/>
                <w:sz w:val="16"/>
                <w:szCs w:val="16"/>
              </w:rPr>
              <w:t>(A proxy for higher-capacity organizations)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267B" w:rsidRPr="007E6F23" w:rsidRDefault="00B2267B" w:rsidP="00A04935">
            <w:pPr>
              <w:pStyle w:val="Default"/>
              <w:spacing w:line="276" w:lineRule="auto"/>
              <w:rPr>
                <w:rFonts w:ascii="Calibri" w:hAnsi="Calibri" w:cs="Calibri"/>
                <w:sz w:val="16"/>
                <w:szCs w:val="22"/>
              </w:rPr>
            </w:pPr>
            <w:r w:rsidRPr="007E6F23">
              <w:rPr>
                <w:rFonts w:ascii="Calibri" w:hAnsi="Calibri" w:cs="Calibri"/>
                <w:sz w:val="16"/>
                <w:szCs w:val="22"/>
              </w:rPr>
              <w:t>Current grantees; Multiple grants; Most recent Open-Active</w:t>
            </w:r>
            <w:r w:rsidR="00B20371">
              <w:rPr>
                <w:rFonts w:ascii="Calibri" w:hAnsi="Calibri" w:cs="Calibri"/>
                <w:sz w:val="16"/>
                <w:szCs w:val="22"/>
              </w:rPr>
              <w:t xml:space="preserve"> grant start date 2014 or after.</w:t>
            </w:r>
            <w:r w:rsidRPr="007E6F23">
              <w:rPr>
                <w:rFonts w:ascii="Calibri" w:hAnsi="Calibri" w:cs="Calibri"/>
                <w:sz w:val="16"/>
                <w:szCs w:val="22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B2267B" w:rsidRPr="007E6F23" w:rsidRDefault="00B2267B" w:rsidP="00A04935">
            <w:pPr>
              <w:pStyle w:val="Default"/>
              <w:spacing w:line="276" w:lineRule="auto"/>
              <w:rPr>
                <w:rFonts w:ascii="Calibri" w:hAnsi="Calibri" w:cs="Calibri"/>
                <w:sz w:val="16"/>
                <w:szCs w:val="22"/>
              </w:rPr>
            </w:pPr>
            <w:r w:rsidRPr="007E6F23">
              <w:rPr>
                <w:rFonts w:ascii="Calibri" w:hAnsi="Calibri" w:cs="Calibri"/>
                <w:sz w:val="16"/>
                <w:szCs w:val="22"/>
              </w:rPr>
              <w:t>5</w:t>
            </w:r>
            <w:r w:rsidR="006520A5">
              <w:rPr>
                <w:rFonts w:ascii="Calibri" w:hAnsi="Calibri" w:cs="Calibri"/>
                <w:sz w:val="16"/>
                <w:szCs w:val="22"/>
              </w:rPr>
              <w:t>8</w:t>
            </w:r>
          </w:p>
        </w:tc>
      </w:tr>
      <w:tr w:rsidR="00B2267B" w:rsidRPr="007E6F23" w:rsidTr="00A04935"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267B" w:rsidRPr="007E6F23" w:rsidRDefault="00B2267B" w:rsidP="00A04935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b/>
                <w:bCs/>
                <w:sz w:val="16"/>
                <w:szCs w:val="22"/>
              </w:rPr>
            </w:pPr>
            <w:r w:rsidRPr="007E6F23">
              <w:rPr>
                <w:rFonts w:ascii="Calibri" w:hAnsi="Calibri" w:cs="Calibri"/>
                <w:b/>
                <w:bCs/>
                <w:sz w:val="16"/>
                <w:szCs w:val="22"/>
              </w:rPr>
              <w:t>Organizations from segments 1-5 located in rural communities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267B" w:rsidRPr="007E6F23" w:rsidRDefault="00B2267B" w:rsidP="00A04935">
            <w:pPr>
              <w:pStyle w:val="Default"/>
              <w:spacing w:line="276" w:lineRule="auto"/>
              <w:rPr>
                <w:rFonts w:ascii="Calibri" w:hAnsi="Calibri" w:cs="Calibri"/>
                <w:sz w:val="16"/>
                <w:szCs w:val="22"/>
              </w:rPr>
            </w:pPr>
            <w:r w:rsidRPr="007E6F23">
              <w:rPr>
                <w:rFonts w:ascii="Calibri" w:hAnsi="Calibri" w:cs="Calibri"/>
                <w:sz w:val="16"/>
                <w:szCs w:val="22"/>
              </w:rPr>
              <w:t>Current grantees and prospects with mailing zip codes in an area with low population density (up to 1,000 people per square mile).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B2267B" w:rsidRPr="007E6F23" w:rsidRDefault="00B2267B" w:rsidP="00A04935">
            <w:pPr>
              <w:pStyle w:val="Default"/>
              <w:spacing w:line="276" w:lineRule="auto"/>
              <w:rPr>
                <w:rFonts w:ascii="Calibri" w:hAnsi="Calibri" w:cs="Calibri"/>
                <w:sz w:val="16"/>
                <w:szCs w:val="22"/>
              </w:rPr>
            </w:pPr>
            <w:r w:rsidRPr="007E6F23">
              <w:rPr>
                <w:rFonts w:ascii="Calibri" w:hAnsi="Calibri" w:cs="Calibri"/>
                <w:sz w:val="16"/>
                <w:szCs w:val="22"/>
              </w:rPr>
              <w:t>137, of which 30 are current grantees</w:t>
            </w:r>
          </w:p>
        </w:tc>
      </w:tr>
      <w:tr w:rsidR="00B2267B" w:rsidRPr="007E6F23" w:rsidTr="00A04935"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267B" w:rsidRPr="007E6F23" w:rsidRDefault="00B2267B" w:rsidP="00A04935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b/>
                <w:bCs/>
                <w:sz w:val="16"/>
                <w:szCs w:val="22"/>
              </w:rPr>
            </w:pPr>
            <w:r w:rsidRPr="007E6F23">
              <w:rPr>
                <w:rFonts w:ascii="Calibri" w:hAnsi="Calibri" w:cs="Calibri"/>
                <w:b/>
                <w:bCs/>
                <w:sz w:val="16"/>
                <w:szCs w:val="22"/>
              </w:rPr>
              <w:t>Organizations from segments 1-5 located in urban communities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267B" w:rsidRPr="007E6F23" w:rsidRDefault="00B2267B" w:rsidP="00A04935">
            <w:pPr>
              <w:pStyle w:val="Default"/>
              <w:spacing w:line="276" w:lineRule="auto"/>
              <w:rPr>
                <w:rFonts w:ascii="Calibri" w:hAnsi="Calibri" w:cs="Calibri"/>
                <w:sz w:val="16"/>
                <w:szCs w:val="22"/>
              </w:rPr>
            </w:pPr>
            <w:r w:rsidRPr="007E6F23">
              <w:rPr>
                <w:rFonts w:ascii="Calibri" w:hAnsi="Calibri" w:cs="Calibri"/>
                <w:sz w:val="16"/>
                <w:szCs w:val="22"/>
              </w:rPr>
              <w:t>Current grantees and prospects with mailing zip codes in an area with high population density (more than 6,000 people per square mile).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B2267B" w:rsidRPr="007E6F23" w:rsidRDefault="00B2267B" w:rsidP="00A04935">
            <w:pPr>
              <w:pStyle w:val="Default"/>
              <w:spacing w:line="276" w:lineRule="auto"/>
              <w:rPr>
                <w:rFonts w:ascii="Calibri" w:hAnsi="Calibri" w:cs="Calibri"/>
                <w:sz w:val="16"/>
                <w:szCs w:val="22"/>
              </w:rPr>
            </w:pPr>
            <w:r w:rsidRPr="007E6F23">
              <w:rPr>
                <w:rFonts w:ascii="Calibri" w:hAnsi="Calibri" w:cs="Calibri"/>
                <w:sz w:val="16"/>
                <w:szCs w:val="22"/>
              </w:rPr>
              <w:t>77, of which 17 are current grantees</w:t>
            </w:r>
          </w:p>
        </w:tc>
      </w:tr>
      <w:tr w:rsidR="00B2267B" w:rsidRPr="007E6F23" w:rsidTr="00A04935">
        <w:trPr>
          <w:trHeight w:val="629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267B" w:rsidRPr="007E6F23" w:rsidRDefault="00B2267B" w:rsidP="00A04935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b/>
                <w:bCs/>
                <w:sz w:val="16"/>
                <w:szCs w:val="22"/>
              </w:rPr>
            </w:pPr>
            <w:r w:rsidRPr="007E6F23">
              <w:rPr>
                <w:rFonts w:ascii="Calibri" w:hAnsi="Calibri" w:cs="Calibri"/>
                <w:b/>
                <w:bCs/>
                <w:sz w:val="16"/>
                <w:szCs w:val="22"/>
              </w:rPr>
              <w:t>Executive Directors from segments 1-5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267B" w:rsidRPr="007E6F23" w:rsidRDefault="0057196F" w:rsidP="00840354">
            <w:pPr>
              <w:pStyle w:val="Default"/>
              <w:rPr>
                <w:rFonts w:ascii="Calibri" w:hAnsi="Calibri" w:cs="Calibri"/>
                <w:sz w:val="16"/>
                <w:szCs w:val="22"/>
              </w:rPr>
            </w:pPr>
            <w:r w:rsidRPr="0057196F">
              <w:rPr>
                <w:rFonts w:ascii="Calibri" w:hAnsi="Calibri" w:cs="Calibri"/>
                <w:sz w:val="16"/>
                <w:szCs w:val="22"/>
              </w:rPr>
              <w:t xml:space="preserve">Includes individuals from organizations listed in Segments 1-5, for whom contact information exists in </w:t>
            </w:r>
            <w:r w:rsidR="00840354">
              <w:rPr>
                <w:rFonts w:ascii="Calibri" w:hAnsi="Calibri" w:cs="Calibri"/>
                <w:sz w:val="16"/>
                <w:szCs w:val="22"/>
              </w:rPr>
              <w:t xml:space="preserve"> our </w:t>
            </w:r>
            <w:r w:rsidRPr="0057196F">
              <w:rPr>
                <w:rFonts w:ascii="Calibri" w:hAnsi="Calibri" w:cs="Calibri"/>
                <w:sz w:val="16"/>
                <w:szCs w:val="22"/>
              </w:rPr>
              <w:t>database</w:t>
            </w:r>
            <w:r w:rsidR="00840354">
              <w:rPr>
                <w:rFonts w:ascii="Calibri" w:hAnsi="Calibri" w:cs="Calibri"/>
                <w:sz w:val="16"/>
                <w:szCs w:val="22"/>
              </w:rPr>
              <w:t>s</w:t>
            </w:r>
            <w:r w:rsidRPr="0057196F">
              <w:rPr>
                <w:rFonts w:ascii="Calibri" w:hAnsi="Calibri" w:cs="Calibri"/>
                <w:sz w:val="16"/>
                <w:szCs w:val="22"/>
              </w:rPr>
              <w:t xml:space="preserve"> for a person with any of the following titles: Associate/Assistant Executive Director, CEO, COO, Deputy Executive Director, Executive Director, Executive Vice President, President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B2267B" w:rsidRPr="007E6F23" w:rsidRDefault="00B2267B" w:rsidP="00A04935">
            <w:pPr>
              <w:pStyle w:val="Default"/>
              <w:spacing w:line="276" w:lineRule="auto"/>
              <w:rPr>
                <w:rFonts w:ascii="Calibri" w:hAnsi="Calibri" w:cs="Calibri"/>
                <w:sz w:val="16"/>
                <w:szCs w:val="22"/>
              </w:rPr>
            </w:pPr>
            <w:r w:rsidRPr="007E6F23">
              <w:rPr>
                <w:rFonts w:ascii="Calibri" w:hAnsi="Calibri" w:cs="Calibri"/>
                <w:sz w:val="16"/>
                <w:szCs w:val="22"/>
              </w:rPr>
              <w:t>135</w:t>
            </w:r>
          </w:p>
        </w:tc>
      </w:tr>
      <w:tr w:rsidR="00B2267B" w:rsidRPr="007E6F23" w:rsidTr="00A04935"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267B" w:rsidRPr="007E6F23" w:rsidRDefault="00B2267B" w:rsidP="00A04935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b/>
                <w:bCs/>
                <w:sz w:val="16"/>
                <w:szCs w:val="22"/>
              </w:rPr>
            </w:pPr>
            <w:r w:rsidRPr="007E6F23">
              <w:rPr>
                <w:rFonts w:ascii="Calibri" w:hAnsi="Calibri" w:cs="Calibri"/>
                <w:b/>
                <w:bCs/>
                <w:sz w:val="16"/>
                <w:szCs w:val="22"/>
              </w:rPr>
              <w:t>Financial institutions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267B" w:rsidRPr="007E6F23" w:rsidRDefault="00B2267B" w:rsidP="00A04935">
            <w:pPr>
              <w:rPr>
                <w:rFonts w:ascii="Calibri" w:eastAsia="Calibri" w:hAnsi="Calibri" w:cs="Calibri"/>
                <w:sz w:val="16"/>
                <w:szCs w:val="22"/>
              </w:rPr>
            </w:pPr>
            <w:r w:rsidRPr="007E6F23">
              <w:rPr>
                <w:rFonts w:ascii="Calibri" w:eastAsia="Calibri" w:hAnsi="Calibri" w:cs="Calibri"/>
                <w:sz w:val="16"/>
                <w:szCs w:val="22"/>
              </w:rPr>
              <w:t>Financial institutions (credit unions, community banks, national banks) partnering with triad participants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B2267B" w:rsidRPr="007E6F23" w:rsidRDefault="0057196F" w:rsidP="00A04935">
            <w:pPr>
              <w:pStyle w:val="Default"/>
              <w:spacing w:line="276" w:lineRule="auto"/>
              <w:rPr>
                <w:rFonts w:ascii="Calibri" w:hAnsi="Calibri" w:cs="Calibri"/>
                <w:sz w:val="16"/>
                <w:szCs w:val="22"/>
              </w:rPr>
            </w:pPr>
            <w:r>
              <w:rPr>
                <w:rFonts w:ascii="Calibri" w:hAnsi="Calibri" w:cs="Calibri"/>
                <w:sz w:val="16"/>
                <w:szCs w:val="22"/>
              </w:rPr>
              <w:t>Expected to be no more than 15</w:t>
            </w:r>
          </w:p>
        </w:tc>
      </w:tr>
      <w:tr w:rsidR="00B2267B" w:rsidRPr="007E6F23" w:rsidTr="00A04935"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267B" w:rsidRPr="007E6F23" w:rsidRDefault="00B2267B" w:rsidP="00A04935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b/>
                <w:bCs/>
                <w:sz w:val="16"/>
                <w:szCs w:val="22"/>
              </w:rPr>
            </w:pPr>
            <w:r w:rsidRPr="007E6F23">
              <w:rPr>
                <w:rFonts w:ascii="Calibri" w:hAnsi="Calibri" w:cs="Calibri"/>
                <w:b/>
                <w:bCs/>
                <w:sz w:val="16"/>
                <w:szCs w:val="22"/>
              </w:rPr>
              <w:t>Funders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267B" w:rsidRPr="007E6F23" w:rsidRDefault="00B2267B" w:rsidP="00A04935">
            <w:pPr>
              <w:rPr>
                <w:rFonts w:ascii="Calibri" w:eastAsia="Calibri" w:hAnsi="Calibri"/>
                <w:sz w:val="16"/>
                <w:szCs w:val="22"/>
              </w:rPr>
            </w:pPr>
            <w:r w:rsidRPr="007E6F23">
              <w:rPr>
                <w:rFonts w:ascii="Calibri" w:eastAsia="Calibri" w:hAnsi="Calibri"/>
                <w:sz w:val="16"/>
                <w:szCs w:val="22"/>
              </w:rPr>
              <w:t>Funders (community foundations, government) partnering with triad participants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B2267B" w:rsidRPr="007E6F23" w:rsidRDefault="0057196F" w:rsidP="0057196F">
            <w:pPr>
              <w:pStyle w:val="Default"/>
              <w:spacing w:line="276" w:lineRule="auto"/>
              <w:rPr>
                <w:rFonts w:ascii="Calibri" w:hAnsi="Calibri" w:cs="Calibri"/>
                <w:sz w:val="16"/>
                <w:szCs w:val="22"/>
              </w:rPr>
            </w:pPr>
            <w:r>
              <w:rPr>
                <w:rFonts w:ascii="Calibri" w:hAnsi="Calibri" w:cs="Calibri"/>
                <w:sz w:val="16"/>
                <w:szCs w:val="22"/>
              </w:rPr>
              <w:t>Expected to be no more than 15</w:t>
            </w:r>
          </w:p>
        </w:tc>
      </w:tr>
    </w:tbl>
    <w:p w:rsidR="00B2267B" w:rsidRDefault="00B2267B" w:rsidP="00E8787C">
      <w:pPr>
        <w:pStyle w:val="Header"/>
        <w:tabs>
          <w:tab w:val="clear" w:pos="4320"/>
          <w:tab w:val="clear" w:pos="8640"/>
        </w:tabs>
      </w:pPr>
    </w:p>
    <w:p w:rsidR="0057196F" w:rsidRDefault="00E72975" w:rsidP="00E8787C">
      <w:pPr>
        <w:pStyle w:val="Header"/>
        <w:tabs>
          <w:tab w:val="clear" w:pos="4320"/>
          <w:tab w:val="clear" w:pos="8640"/>
        </w:tabs>
      </w:pPr>
      <w:r>
        <w:t xml:space="preserve">For segments 1-7, the target participant is the individual </w:t>
      </w:r>
      <w:r w:rsidR="00C93560">
        <w:t xml:space="preserve">from the organization </w:t>
      </w:r>
      <w:r>
        <w:t>who had the most contact with the AFI Resource Center while planning their AFI Application. Segment 8 will include Executive Directors from</w:t>
      </w:r>
      <w:r w:rsidR="00E8787C">
        <w:t xml:space="preserve"> participating organizations, and segments 9-10 will involve leaders from financial institutions and funders that have worked closely with AFI Grantees.</w:t>
      </w:r>
    </w:p>
    <w:p w:rsidR="0057196F" w:rsidRDefault="0057196F" w:rsidP="00E8787C">
      <w:pPr>
        <w:pStyle w:val="Header"/>
        <w:tabs>
          <w:tab w:val="clear" w:pos="4320"/>
          <w:tab w:val="clear" w:pos="8640"/>
        </w:tabs>
      </w:pPr>
    </w:p>
    <w:p w:rsidR="00F15956" w:rsidRDefault="0057196F" w:rsidP="00E8787C">
      <w:pPr>
        <w:pStyle w:val="Header"/>
        <w:tabs>
          <w:tab w:val="clear" w:pos="4320"/>
          <w:tab w:val="clear" w:pos="8640"/>
        </w:tabs>
      </w:pPr>
      <w:r>
        <w:t>After this initial data collection phase, follow-up conversations will be conducted to collect feedback on recommendations. In this follow-up phase, no more than nine participants will be contacted</w:t>
      </w:r>
      <w:r w:rsidR="00840354">
        <w:t xml:space="preserve">, </w:t>
      </w:r>
      <w:r>
        <w:t>thus they are not included in this request.</w:t>
      </w:r>
      <w:r w:rsidR="00E8787C">
        <w:t xml:space="preserve"> 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C06DE0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324B04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proofErr w:type="gramStart"/>
      <w:r w:rsidR="00C06DE0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proofErr w:type="gramEnd"/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C06DE0">
        <w:rPr>
          <w:bCs/>
          <w:sz w:val="24"/>
          <w:u w:val="single"/>
        </w:rPr>
        <w:t>Triads and interviews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 w:rsidR="00840354"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 w:rsidR="00840354"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 w:rsidR="009B0F38">
        <w:t>:_</w:t>
      </w:r>
      <w:proofErr w:type="gramEnd"/>
      <w:r w:rsidR="009B0F38">
        <w:t>___</w:t>
      </w:r>
      <w:r w:rsidR="009B0F38" w:rsidRPr="009E598A">
        <w:rPr>
          <w:u w:val="single"/>
        </w:rPr>
        <w:t>Gretchen</w:t>
      </w:r>
      <w:proofErr w:type="spellEnd"/>
      <w:r w:rsidR="009B0F38" w:rsidRPr="009E598A">
        <w:rPr>
          <w:u w:val="single"/>
        </w:rPr>
        <w:t xml:space="preserve"> Lehman</w:t>
      </w:r>
      <w:r w:rsidR="009B0F38">
        <w:t>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24B04">
        <w:t>x</w:t>
      </w:r>
      <w:r w:rsidR="009239AA">
        <w:t xml:space="preserve">]  No </w:t>
      </w:r>
    </w:p>
    <w:p w:rsidR="00C86E91" w:rsidRPr="00840354" w:rsidRDefault="009C13B9" w:rsidP="00C86E91">
      <w:pPr>
        <w:pStyle w:val="ListParagraph"/>
        <w:numPr>
          <w:ilvl w:val="0"/>
          <w:numId w:val="18"/>
        </w:numPr>
        <w:rPr>
          <w:b/>
        </w:r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  <w:r w:rsidR="009B0F38" w:rsidRPr="00840354">
        <w:rPr>
          <w:b/>
        </w:rPr>
        <w:t>NA</w:t>
      </w:r>
    </w:p>
    <w:p w:rsidR="00C86E91" w:rsidRPr="00840354" w:rsidRDefault="00C86E91" w:rsidP="00C86E91">
      <w:pPr>
        <w:pStyle w:val="ListParagraph"/>
        <w:numPr>
          <w:ilvl w:val="0"/>
          <w:numId w:val="18"/>
        </w:numPr>
        <w:rPr>
          <w:b/>
        </w:r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  <w:r w:rsidR="009B0F38">
        <w:t xml:space="preserve">  </w:t>
      </w:r>
      <w:r w:rsidR="009B0F38" w:rsidRPr="00840354">
        <w:rPr>
          <w:b/>
        </w:rPr>
        <w:t>NA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</w:t>
      </w:r>
      <w:r w:rsidR="00324B04">
        <w:t>on) provided to participants?  [</w:t>
      </w:r>
      <w:r w:rsidR="00FC1C80">
        <w:t xml:space="preserve"> </w:t>
      </w:r>
      <w:r>
        <w:t>] Yes [</w:t>
      </w:r>
      <w:r w:rsidR="00FC1C80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B2267B" w:rsidRPr="006832D9" w:rsidRDefault="00B2267B" w:rsidP="00F3170F">
      <w:pPr>
        <w:keepNext/>
        <w:keepLines/>
        <w:rPr>
          <w:b/>
        </w:rPr>
      </w:pPr>
      <w:r>
        <w:rPr>
          <w:b/>
        </w:rPr>
        <w:t>Table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350"/>
      </w:tblGrid>
      <w:tr w:rsidR="00EF2095" w:rsidTr="003C41BA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3C41BA">
        <w:trPr>
          <w:trHeight w:val="274"/>
        </w:trPr>
        <w:tc>
          <w:tcPr>
            <w:tcW w:w="5418" w:type="dxa"/>
          </w:tcPr>
          <w:p w:rsidR="006832D9" w:rsidRDefault="00403873" w:rsidP="00843796">
            <w:r>
              <w:t>Segment 1</w:t>
            </w:r>
          </w:p>
        </w:tc>
        <w:tc>
          <w:tcPr>
            <w:tcW w:w="1530" w:type="dxa"/>
          </w:tcPr>
          <w:p w:rsidR="006832D9" w:rsidRDefault="00403873" w:rsidP="00843796">
            <w:r>
              <w:t>9</w:t>
            </w:r>
          </w:p>
        </w:tc>
        <w:tc>
          <w:tcPr>
            <w:tcW w:w="1710" w:type="dxa"/>
          </w:tcPr>
          <w:p w:rsidR="006832D9" w:rsidRDefault="003C41BA" w:rsidP="00324B04">
            <w:r>
              <w:t>90 minutes</w:t>
            </w:r>
          </w:p>
        </w:tc>
        <w:tc>
          <w:tcPr>
            <w:tcW w:w="1350" w:type="dxa"/>
          </w:tcPr>
          <w:p w:rsidR="006832D9" w:rsidRDefault="003C41BA" w:rsidP="00843796">
            <w:r>
              <w:t>13.5 hours</w:t>
            </w:r>
          </w:p>
        </w:tc>
      </w:tr>
      <w:tr w:rsidR="00EF2095" w:rsidTr="003C41BA">
        <w:trPr>
          <w:trHeight w:val="274"/>
        </w:trPr>
        <w:tc>
          <w:tcPr>
            <w:tcW w:w="5418" w:type="dxa"/>
          </w:tcPr>
          <w:p w:rsidR="006832D9" w:rsidRDefault="00403873" w:rsidP="00843796">
            <w:r>
              <w:t>Segment 2</w:t>
            </w:r>
          </w:p>
        </w:tc>
        <w:tc>
          <w:tcPr>
            <w:tcW w:w="1530" w:type="dxa"/>
          </w:tcPr>
          <w:p w:rsidR="006832D9" w:rsidRDefault="00403873" w:rsidP="00843796">
            <w:r>
              <w:t>9</w:t>
            </w:r>
          </w:p>
        </w:tc>
        <w:tc>
          <w:tcPr>
            <w:tcW w:w="1710" w:type="dxa"/>
          </w:tcPr>
          <w:p w:rsidR="006832D9" w:rsidRDefault="003C41BA" w:rsidP="00843796">
            <w:r>
              <w:t>90 minutes</w:t>
            </w:r>
          </w:p>
        </w:tc>
        <w:tc>
          <w:tcPr>
            <w:tcW w:w="1350" w:type="dxa"/>
          </w:tcPr>
          <w:p w:rsidR="006832D9" w:rsidRDefault="003C41BA" w:rsidP="00843796">
            <w:r>
              <w:t>13.5 hours</w:t>
            </w:r>
          </w:p>
        </w:tc>
      </w:tr>
      <w:tr w:rsidR="00EF2095" w:rsidTr="003C41BA">
        <w:trPr>
          <w:trHeight w:val="289"/>
        </w:trPr>
        <w:tc>
          <w:tcPr>
            <w:tcW w:w="5418" w:type="dxa"/>
          </w:tcPr>
          <w:p w:rsidR="006832D9" w:rsidRPr="00403873" w:rsidRDefault="00403873" w:rsidP="00843796">
            <w:r>
              <w:t>Segment 3</w:t>
            </w:r>
          </w:p>
        </w:tc>
        <w:tc>
          <w:tcPr>
            <w:tcW w:w="1530" w:type="dxa"/>
          </w:tcPr>
          <w:p w:rsidR="006832D9" w:rsidRPr="003C41BA" w:rsidRDefault="00403873" w:rsidP="00843796">
            <w:r w:rsidRPr="003C41BA">
              <w:t>6</w:t>
            </w:r>
          </w:p>
        </w:tc>
        <w:tc>
          <w:tcPr>
            <w:tcW w:w="1710" w:type="dxa"/>
          </w:tcPr>
          <w:p w:rsidR="006832D9" w:rsidRDefault="003C41BA" w:rsidP="00843796">
            <w:r>
              <w:t>90 minutes</w:t>
            </w:r>
          </w:p>
        </w:tc>
        <w:tc>
          <w:tcPr>
            <w:tcW w:w="1350" w:type="dxa"/>
          </w:tcPr>
          <w:p w:rsidR="006832D9" w:rsidRPr="0001027E" w:rsidRDefault="003C41BA" w:rsidP="00843796">
            <w:pPr>
              <w:rPr>
                <w:b/>
              </w:rPr>
            </w:pPr>
            <w:r w:rsidRPr="003C41BA">
              <w:t>9 hours</w:t>
            </w:r>
          </w:p>
        </w:tc>
      </w:tr>
      <w:tr w:rsidR="003C41BA" w:rsidTr="003C41BA">
        <w:trPr>
          <w:trHeight w:val="289"/>
        </w:trPr>
        <w:tc>
          <w:tcPr>
            <w:tcW w:w="5418" w:type="dxa"/>
          </w:tcPr>
          <w:p w:rsidR="003C41BA" w:rsidRPr="00403873" w:rsidRDefault="003C41BA" w:rsidP="003C41BA">
            <w:r w:rsidRPr="00403873">
              <w:t>Segment 4</w:t>
            </w:r>
          </w:p>
        </w:tc>
        <w:tc>
          <w:tcPr>
            <w:tcW w:w="1530" w:type="dxa"/>
          </w:tcPr>
          <w:p w:rsidR="003C41BA" w:rsidRPr="003C41BA" w:rsidRDefault="003C41BA" w:rsidP="003C41BA">
            <w:r w:rsidRPr="003C41BA">
              <w:t>6</w:t>
            </w:r>
          </w:p>
        </w:tc>
        <w:tc>
          <w:tcPr>
            <w:tcW w:w="1710" w:type="dxa"/>
          </w:tcPr>
          <w:p w:rsidR="003C41BA" w:rsidRDefault="003C41BA" w:rsidP="003C41BA">
            <w:r>
              <w:t>90 minutes</w:t>
            </w:r>
          </w:p>
        </w:tc>
        <w:tc>
          <w:tcPr>
            <w:tcW w:w="1350" w:type="dxa"/>
          </w:tcPr>
          <w:p w:rsidR="003C41BA" w:rsidRPr="0001027E" w:rsidRDefault="003C41BA" w:rsidP="003C41BA">
            <w:pPr>
              <w:rPr>
                <w:b/>
              </w:rPr>
            </w:pPr>
            <w:r w:rsidRPr="003C41BA">
              <w:t>9 hours</w:t>
            </w:r>
          </w:p>
        </w:tc>
      </w:tr>
      <w:tr w:rsidR="003C41BA" w:rsidTr="003C41BA">
        <w:trPr>
          <w:trHeight w:val="289"/>
        </w:trPr>
        <w:tc>
          <w:tcPr>
            <w:tcW w:w="5418" w:type="dxa"/>
          </w:tcPr>
          <w:p w:rsidR="003C41BA" w:rsidRPr="00403873" w:rsidRDefault="003C41BA" w:rsidP="003C41BA">
            <w:r w:rsidRPr="00403873">
              <w:t>Segment 5</w:t>
            </w:r>
          </w:p>
        </w:tc>
        <w:tc>
          <w:tcPr>
            <w:tcW w:w="1530" w:type="dxa"/>
          </w:tcPr>
          <w:p w:rsidR="003C41BA" w:rsidRPr="003C41BA" w:rsidRDefault="003C41BA" w:rsidP="003C41BA">
            <w:r w:rsidRPr="003C41BA">
              <w:t>6</w:t>
            </w:r>
          </w:p>
        </w:tc>
        <w:tc>
          <w:tcPr>
            <w:tcW w:w="1710" w:type="dxa"/>
          </w:tcPr>
          <w:p w:rsidR="003C41BA" w:rsidRDefault="003C41BA" w:rsidP="003C41BA">
            <w:r>
              <w:t>90 minutes</w:t>
            </w:r>
          </w:p>
        </w:tc>
        <w:tc>
          <w:tcPr>
            <w:tcW w:w="1350" w:type="dxa"/>
          </w:tcPr>
          <w:p w:rsidR="003C41BA" w:rsidRPr="0001027E" w:rsidRDefault="003C41BA" w:rsidP="003C41BA">
            <w:pPr>
              <w:rPr>
                <w:b/>
              </w:rPr>
            </w:pPr>
            <w:r w:rsidRPr="003C41BA">
              <w:t>9 hours</w:t>
            </w:r>
          </w:p>
        </w:tc>
      </w:tr>
      <w:tr w:rsidR="003C41BA" w:rsidTr="003C41BA">
        <w:trPr>
          <w:trHeight w:val="289"/>
        </w:trPr>
        <w:tc>
          <w:tcPr>
            <w:tcW w:w="5418" w:type="dxa"/>
          </w:tcPr>
          <w:p w:rsidR="003C41BA" w:rsidRPr="00403873" w:rsidRDefault="003C41BA" w:rsidP="003C41BA">
            <w:r w:rsidRPr="00403873">
              <w:t>Segment 6</w:t>
            </w:r>
          </w:p>
        </w:tc>
        <w:tc>
          <w:tcPr>
            <w:tcW w:w="1530" w:type="dxa"/>
          </w:tcPr>
          <w:p w:rsidR="003C41BA" w:rsidRPr="003C41BA" w:rsidRDefault="003C41BA" w:rsidP="003C41BA">
            <w:r w:rsidRPr="003C41BA">
              <w:t>6</w:t>
            </w:r>
          </w:p>
        </w:tc>
        <w:tc>
          <w:tcPr>
            <w:tcW w:w="1710" w:type="dxa"/>
          </w:tcPr>
          <w:p w:rsidR="003C41BA" w:rsidRDefault="003C41BA" w:rsidP="003C41BA">
            <w:r>
              <w:t>90 minutes</w:t>
            </w:r>
          </w:p>
        </w:tc>
        <w:tc>
          <w:tcPr>
            <w:tcW w:w="1350" w:type="dxa"/>
          </w:tcPr>
          <w:p w:rsidR="003C41BA" w:rsidRPr="0001027E" w:rsidRDefault="003C41BA" w:rsidP="003C41BA">
            <w:pPr>
              <w:rPr>
                <w:b/>
              </w:rPr>
            </w:pPr>
            <w:r w:rsidRPr="003C41BA">
              <w:t>9 hours</w:t>
            </w:r>
          </w:p>
        </w:tc>
      </w:tr>
      <w:tr w:rsidR="003C41BA" w:rsidTr="003C41BA">
        <w:trPr>
          <w:trHeight w:val="289"/>
        </w:trPr>
        <w:tc>
          <w:tcPr>
            <w:tcW w:w="5418" w:type="dxa"/>
          </w:tcPr>
          <w:p w:rsidR="003C41BA" w:rsidRPr="00403873" w:rsidRDefault="003C41BA" w:rsidP="003C41BA">
            <w:r w:rsidRPr="00403873">
              <w:t>Segment 7</w:t>
            </w:r>
          </w:p>
        </w:tc>
        <w:tc>
          <w:tcPr>
            <w:tcW w:w="1530" w:type="dxa"/>
          </w:tcPr>
          <w:p w:rsidR="003C41BA" w:rsidRPr="003C41BA" w:rsidRDefault="003C41BA" w:rsidP="003C41BA">
            <w:r w:rsidRPr="003C41BA">
              <w:t>6</w:t>
            </w:r>
          </w:p>
        </w:tc>
        <w:tc>
          <w:tcPr>
            <w:tcW w:w="1710" w:type="dxa"/>
          </w:tcPr>
          <w:p w:rsidR="003C41BA" w:rsidRDefault="003C41BA" w:rsidP="003C41BA">
            <w:r>
              <w:t>90 minutes</w:t>
            </w:r>
          </w:p>
        </w:tc>
        <w:tc>
          <w:tcPr>
            <w:tcW w:w="1350" w:type="dxa"/>
          </w:tcPr>
          <w:p w:rsidR="003C41BA" w:rsidRPr="0001027E" w:rsidRDefault="003C41BA" w:rsidP="003C41BA">
            <w:pPr>
              <w:rPr>
                <w:b/>
              </w:rPr>
            </w:pPr>
            <w:r w:rsidRPr="003C41BA">
              <w:t>9 hours</w:t>
            </w:r>
          </w:p>
        </w:tc>
      </w:tr>
      <w:tr w:rsidR="003C41BA" w:rsidTr="003C41BA">
        <w:trPr>
          <w:trHeight w:val="289"/>
        </w:trPr>
        <w:tc>
          <w:tcPr>
            <w:tcW w:w="5418" w:type="dxa"/>
          </w:tcPr>
          <w:p w:rsidR="003C41BA" w:rsidRPr="00403873" w:rsidRDefault="003C41BA" w:rsidP="003C41BA">
            <w:r w:rsidRPr="00403873">
              <w:t>Segment 8</w:t>
            </w:r>
          </w:p>
        </w:tc>
        <w:tc>
          <w:tcPr>
            <w:tcW w:w="1530" w:type="dxa"/>
          </w:tcPr>
          <w:p w:rsidR="003C41BA" w:rsidRPr="003C41BA" w:rsidRDefault="003C41BA" w:rsidP="003C41BA">
            <w:r w:rsidRPr="003C41BA">
              <w:t>4</w:t>
            </w:r>
          </w:p>
        </w:tc>
        <w:tc>
          <w:tcPr>
            <w:tcW w:w="1710" w:type="dxa"/>
          </w:tcPr>
          <w:p w:rsidR="003C41BA" w:rsidRDefault="003C41BA" w:rsidP="003C41BA">
            <w:r>
              <w:t>60 minutes</w:t>
            </w:r>
          </w:p>
        </w:tc>
        <w:tc>
          <w:tcPr>
            <w:tcW w:w="1350" w:type="dxa"/>
          </w:tcPr>
          <w:p w:rsidR="003C41BA" w:rsidRPr="003C41BA" w:rsidRDefault="003C41BA" w:rsidP="003C41BA">
            <w:r>
              <w:t>4 hours</w:t>
            </w:r>
          </w:p>
        </w:tc>
      </w:tr>
      <w:tr w:rsidR="003C41BA" w:rsidTr="003C41BA">
        <w:trPr>
          <w:trHeight w:val="289"/>
        </w:trPr>
        <w:tc>
          <w:tcPr>
            <w:tcW w:w="5418" w:type="dxa"/>
          </w:tcPr>
          <w:p w:rsidR="003C41BA" w:rsidRPr="003C41BA" w:rsidRDefault="003C41BA" w:rsidP="003C41BA">
            <w:r w:rsidRPr="003C41BA">
              <w:t>Segment 9</w:t>
            </w:r>
          </w:p>
        </w:tc>
        <w:tc>
          <w:tcPr>
            <w:tcW w:w="1530" w:type="dxa"/>
          </w:tcPr>
          <w:p w:rsidR="003C41BA" w:rsidRPr="003C41BA" w:rsidRDefault="003C41BA" w:rsidP="003C41BA">
            <w:r w:rsidRPr="003C41BA">
              <w:t>4</w:t>
            </w:r>
          </w:p>
        </w:tc>
        <w:tc>
          <w:tcPr>
            <w:tcW w:w="1710" w:type="dxa"/>
          </w:tcPr>
          <w:p w:rsidR="003C41BA" w:rsidRDefault="00397187" w:rsidP="003C41BA">
            <w:r>
              <w:t xml:space="preserve">30 </w:t>
            </w:r>
            <w:r w:rsidR="003C41BA">
              <w:t>minutes</w:t>
            </w:r>
          </w:p>
        </w:tc>
        <w:tc>
          <w:tcPr>
            <w:tcW w:w="1350" w:type="dxa"/>
          </w:tcPr>
          <w:p w:rsidR="003C41BA" w:rsidRPr="003C41BA" w:rsidRDefault="00E86ACC" w:rsidP="003C41BA">
            <w:r>
              <w:t xml:space="preserve">2 </w:t>
            </w:r>
            <w:r w:rsidR="003C41BA">
              <w:t>hours</w:t>
            </w:r>
          </w:p>
        </w:tc>
      </w:tr>
      <w:tr w:rsidR="003C41BA" w:rsidTr="003C41BA">
        <w:trPr>
          <w:trHeight w:val="289"/>
        </w:trPr>
        <w:tc>
          <w:tcPr>
            <w:tcW w:w="5418" w:type="dxa"/>
          </w:tcPr>
          <w:p w:rsidR="003C41BA" w:rsidRPr="00403873" w:rsidRDefault="003C41BA" w:rsidP="003C41BA">
            <w:r w:rsidRPr="00403873">
              <w:t>Segment 10</w:t>
            </w:r>
          </w:p>
        </w:tc>
        <w:tc>
          <w:tcPr>
            <w:tcW w:w="1530" w:type="dxa"/>
          </w:tcPr>
          <w:p w:rsidR="003C41BA" w:rsidRPr="003C41BA" w:rsidRDefault="003C41BA" w:rsidP="003C41BA">
            <w:r w:rsidRPr="003C41BA">
              <w:t>4</w:t>
            </w:r>
          </w:p>
        </w:tc>
        <w:tc>
          <w:tcPr>
            <w:tcW w:w="1710" w:type="dxa"/>
          </w:tcPr>
          <w:p w:rsidR="003C41BA" w:rsidRDefault="00397187" w:rsidP="003C41BA">
            <w:r>
              <w:t xml:space="preserve">30 </w:t>
            </w:r>
            <w:r w:rsidR="003C41BA">
              <w:t>minutes</w:t>
            </w:r>
          </w:p>
        </w:tc>
        <w:tc>
          <w:tcPr>
            <w:tcW w:w="1350" w:type="dxa"/>
          </w:tcPr>
          <w:p w:rsidR="003C41BA" w:rsidRPr="003C41BA" w:rsidRDefault="00E86ACC" w:rsidP="003C41BA">
            <w:r>
              <w:t xml:space="preserve">2 </w:t>
            </w:r>
            <w:r w:rsidR="003C41BA">
              <w:t>hours</w:t>
            </w:r>
          </w:p>
        </w:tc>
      </w:tr>
      <w:tr w:rsidR="003C41BA" w:rsidTr="003C41BA">
        <w:trPr>
          <w:trHeight w:val="289"/>
        </w:trPr>
        <w:tc>
          <w:tcPr>
            <w:tcW w:w="5418" w:type="dxa"/>
          </w:tcPr>
          <w:p w:rsidR="003C41BA" w:rsidRPr="0001027E" w:rsidRDefault="003C41BA" w:rsidP="003C41BA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3C41BA" w:rsidRPr="0001027E" w:rsidRDefault="003C41BA" w:rsidP="003C41BA">
            <w:pPr>
              <w:rPr>
                <w:b/>
              </w:rPr>
            </w:pPr>
          </w:p>
        </w:tc>
        <w:tc>
          <w:tcPr>
            <w:tcW w:w="1710" w:type="dxa"/>
          </w:tcPr>
          <w:p w:rsidR="003C41BA" w:rsidRPr="0049178B" w:rsidRDefault="003C41BA" w:rsidP="003C41BA">
            <w:pPr>
              <w:rPr>
                <w:b/>
              </w:rPr>
            </w:pPr>
          </w:p>
        </w:tc>
        <w:tc>
          <w:tcPr>
            <w:tcW w:w="1350" w:type="dxa"/>
          </w:tcPr>
          <w:p w:rsidR="003C41BA" w:rsidRPr="0001027E" w:rsidRDefault="00E86ACC" w:rsidP="00E86ACC">
            <w:pPr>
              <w:rPr>
                <w:b/>
              </w:rPr>
            </w:pPr>
            <w:r>
              <w:rPr>
                <w:b/>
              </w:rPr>
              <w:t xml:space="preserve">80 </w:t>
            </w:r>
            <w:r w:rsidR="0049178B">
              <w:rPr>
                <w:b/>
              </w:rPr>
              <w:t>hours</w:t>
            </w:r>
          </w:p>
        </w:tc>
      </w:tr>
    </w:tbl>
    <w:p w:rsidR="00F3170F" w:rsidRDefault="00F3170F" w:rsidP="00F3170F"/>
    <w:p w:rsidR="005E714A" w:rsidRDefault="001C39F7">
      <w:pPr>
        <w:rPr>
          <w:u w:val="single"/>
        </w:rPr>
      </w:pPr>
      <w:r w:rsidRPr="00E72975">
        <w:rPr>
          <w:b/>
        </w:rPr>
        <w:t xml:space="preserve">FEDERAL </w:t>
      </w:r>
      <w:r w:rsidR="009F5923" w:rsidRPr="00E72975">
        <w:rPr>
          <w:b/>
        </w:rPr>
        <w:t>COST</w:t>
      </w:r>
      <w:r w:rsidR="00F06866" w:rsidRPr="00E72975">
        <w:rPr>
          <w:b/>
        </w:rPr>
        <w:t>:</w:t>
      </w:r>
      <w:r w:rsidR="00895229" w:rsidRPr="00E72975">
        <w:rPr>
          <w:b/>
        </w:rPr>
        <w:t xml:space="preserve"> </w:t>
      </w:r>
      <w:r w:rsidR="00C86E91" w:rsidRPr="00E72975">
        <w:rPr>
          <w:b/>
        </w:rPr>
        <w:t xml:space="preserve"> </w:t>
      </w:r>
      <w:r w:rsidR="00C86E91" w:rsidRPr="00E72975">
        <w:t>The estimated annual cost</w:t>
      </w:r>
      <w:r w:rsidR="0057196F">
        <w:t>*</w:t>
      </w:r>
      <w:r w:rsidR="00C86E91" w:rsidRPr="00E72975">
        <w:t xml:space="preserve"> to the Federal government </w:t>
      </w:r>
      <w:r w:rsidR="00E72975" w:rsidRPr="00E72975">
        <w:t xml:space="preserve">is </w:t>
      </w:r>
      <w:r w:rsidR="00E72975" w:rsidRPr="0057196F">
        <w:rPr>
          <w:u w:val="single"/>
        </w:rPr>
        <w:t>_$6</w:t>
      </w:r>
      <w:r w:rsidR="00FC1C80" w:rsidRPr="0057196F">
        <w:rPr>
          <w:u w:val="single"/>
        </w:rPr>
        <w:t>0,860</w:t>
      </w:r>
      <w:r w:rsidR="00E72975" w:rsidRPr="0057196F">
        <w:rPr>
          <w:u w:val="single"/>
        </w:rPr>
        <w:t>__</w:t>
      </w:r>
      <w:r w:rsidR="00C86E91" w:rsidRPr="0057196F">
        <w:rPr>
          <w:u w:val="single"/>
        </w:rPr>
        <w:t>____</w:t>
      </w:r>
      <w:r w:rsidR="0057196F">
        <w:rPr>
          <w:u w:val="single"/>
        </w:rPr>
        <w:t>.</w:t>
      </w:r>
    </w:p>
    <w:p w:rsidR="0057196F" w:rsidRDefault="0057196F">
      <w:pPr>
        <w:rPr>
          <w:u w:val="single"/>
        </w:rPr>
      </w:pPr>
    </w:p>
    <w:p w:rsidR="0057196F" w:rsidRPr="00840354" w:rsidRDefault="0057196F">
      <w:pPr>
        <w:rPr>
          <w:i/>
        </w:rPr>
      </w:pPr>
      <w:r w:rsidRPr="00840354">
        <w:rPr>
          <w:i/>
        </w:rPr>
        <w:t>*This is a one-time cost.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403873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 w:rsidR="00636621">
        <w:tab/>
      </w:r>
      <w:r>
        <w:t>[</w:t>
      </w:r>
      <w:r w:rsidR="00403873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0713AE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0713AE" w:rsidRDefault="000713AE" w:rsidP="001B0AAA"/>
    <w:p w:rsidR="00A403BB" w:rsidRDefault="00B73B25" w:rsidP="007C5E99">
      <w:pPr>
        <w:ind w:left="720"/>
      </w:pPr>
      <w:r>
        <w:t xml:space="preserve">Recruitment </w:t>
      </w:r>
      <w:r w:rsidR="009502E6">
        <w:t xml:space="preserve">for segments 1 – 8 </w:t>
      </w:r>
      <w:r>
        <w:t xml:space="preserve">will be conducted using existing databases of current AFI grantees and organizations that have contacted the AFI </w:t>
      </w:r>
      <w:r w:rsidR="009502E6">
        <w:t xml:space="preserve">Resource Center. Potential participants in segments 9 and 10 will be requested through a snowball/referral sample from segment 1 – 8 participants. </w:t>
      </w:r>
      <w:r w:rsidR="007C5E99">
        <w:t xml:space="preserve"> </w:t>
      </w:r>
      <w:r w:rsidR="000713AE">
        <w:t>Outreach will be performed using email</w:t>
      </w:r>
      <w:r w:rsidR="00FC1C80">
        <w:t>; therefore</w:t>
      </w:r>
      <w:r w:rsidR="000713AE">
        <w:t>, our sample will be organizations that respond to</w:t>
      </w:r>
      <w:r w:rsidR="003040F7">
        <w:t xml:space="preserve"> the outreach emails and </w:t>
      </w:r>
      <w:r w:rsidR="00C93560">
        <w:t xml:space="preserve">indicate they </w:t>
      </w:r>
      <w:r w:rsidR="003040F7">
        <w:t xml:space="preserve">are willing to participate. </w:t>
      </w:r>
      <w:r w:rsidR="007C5E99">
        <w:t xml:space="preserve"> </w:t>
      </w:r>
      <w:r>
        <w:t xml:space="preserve">All potential participants in the segment pool will be </w:t>
      </w:r>
      <w:r w:rsidR="009502E6">
        <w:t>sent the outreach email</w:t>
      </w:r>
      <w:r w:rsidR="00B2267B">
        <w:t>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</w:t>
      </w:r>
      <w:r w:rsidR="00EA71F1">
        <w:t>x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2560D5">
        <w:t xml:space="preserve"> 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345BFB">
        <w:t>x</w:t>
      </w:r>
      <w:r>
        <w:t>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bookmarkStart w:id="0" w:name="_GoBack"/>
      <w:bookmarkEnd w:id="0"/>
    </w:p>
    <w:sectPr w:rsidR="0024521E" w:rsidRPr="00F24CFC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3C3" w:rsidRDefault="00A953C3">
      <w:r>
        <w:separator/>
      </w:r>
    </w:p>
  </w:endnote>
  <w:endnote w:type="continuationSeparator" w:id="0">
    <w:p w:rsidR="00A953C3" w:rsidRDefault="00A9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1BA" w:rsidRDefault="003C41B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C5E99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3C3" w:rsidRDefault="00A953C3">
      <w:r>
        <w:separator/>
      </w:r>
    </w:p>
  </w:footnote>
  <w:footnote w:type="continuationSeparator" w:id="0">
    <w:p w:rsidR="00A953C3" w:rsidRDefault="00A95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41059A"/>
    <w:multiLevelType w:val="hybridMultilevel"/>
    <w:tmpl w:val="0ED42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5F3CC3"/>
    <w:multiLevelType w:val="hybridMultilevel"/>
    <w:tmpl w:val="6A6C3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D3BA1"/>
    <w:multiLevelType w:val="hybridMultilevel"/>
    <w:tmpl w:val="BFA6D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754A4C"/>
    <w:multiLevelType w:val="hybridMultilevel"/>
    <w:tmpl w:val="05F83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9"/>
  </w:num>
  <w:num w:numId="4">
    <w:abstractNumId w:val="21"/>
  </w:num>
  <w:num w:numId="5">
    <w:abstractNumId w:val="3"/>
  </w:num>
  <w:num w:numId="6">
    <w:abstractNumId w:val="1"/>
  </w:num>
  <w:num w:numId="7">
    <w:abstractNumId w:val="9"/>
  </w:num>
  <w:num w:numId="8">
    <w:abstractNumId w:val="17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16"/>
  </w:num>
  <w:num w:numId="16">
    <w:abstractNumId w:val="13"/>
  </w:num>
  <w:num w:numId="17">
    <w:abstractNumId w:val="4"/>
  </w:num>
  <w:num w:numId="18">
    <w:abstractNumId w:val="5"/>
  </w:num>
  <w:num w:numId="19">
    <w:abstractNumId w:val="12"/>
  </w:num>
  <w:num w:numId="20">
    <w:abstractNumId w:val="6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371A9"/>
    <w:rsid w:val="00045298"/>
    <w:rsid w:val="00047A64"/>
    <w:rsid w:val="00067329"/>
    <w:rsid w:val="000713AE"/>
    <w:rsid w:val="000B2838"/>
    <w:rsid w:val="000D44CA"/>
    <w:rsid w:val="000E200B"/>
    <w:rsid w:val="000F68BE"/>
    <w:rsid w:val="0013727A"/>
    <w:rsid w:val="001569EE"/>
    <w:rsid w:val="001927A4"/>
    <w:rsid w:val="00194AC6"/>
    <w:rsid w:val="001A23B0"/>
    <w:rsid w:val="001A25CC"/>
    <w:rsid w:val="001B0AAA"/>
    <w:rsid w:val="001C39F7"/>
    <w:rsid w:val="00237B48"/>
    <w:rsid w:val="0024521E"/>
    <w:rsid w:val="002560D5"/>
    <w:rsid w:val="00263C3D"/>
    <w:rsid w:val="00270763"/>
    <w:rsid w:val="00274D0B"/>
    <w:rsid w:val="002B052D"/>
    <w:rsid w:val="002B34CD"/>
    <w:rsid w:val="002B3C95"/>
    <w:rsid w:val="002D0B92"/>
    <w:rsid w:val="002E0CC8"/>
    <w:rsid w:val="002F2C3A"/>
    <w:rsid w:val="003040F7"/>
    <w:rsid w:val="00315515"/>
    <w:rsid w:val="00324B04"/>
    <w:rsid w:val="00345BFB"/>
    <w:rsid w:val="00397187"/>
    <w:rsid w:val="003C41BA"/>
    <w:rsid w:val="003C5428"/>
    <w:rsid w:val="003D5BBE"/>
    <w:rsid w:val="003E3C61"/>
    <w:rsid w:val="003F1C5B"/>
    <w:rsid w:val="00403873"/>
    <w:rsid w:val="0041242E"/>
    <w:rsid w:val="00434E33"/>
    <w:rsid w:val="00441434"/>
    <w:rsid w:val="0045264C"/>
    <w:rsid w:val="004876EC"/>
    <w:rsid w:val="0049178B"/>
    <w:rsid w:val="004A2F58"/>
    <w:rsid w:val="004B3D8D"/>
    <w:rsid w:val="004D6E14"/>
    <w:rsid w:val="005009B0"/>
    <w:rsid w:val="0057196F"/>
    <w:rsid w:val="005A1006"/>
    <w:rsid w:val="005E714A"/>
    <w:rsid w:val="005F693D"/>
    <w:rsid w:val="006140A0"/>
    <w:rsid w:val="00636621"/>
    <w:rsid w:val="00642B49"/>
    <w:rsid w:val="006515E6"/>
    <w:rsid w:val="006520A5"/>
    <w:rsid w:val="006832D9"/>
    <w:rsid w:val="0069403B"/>
    <w:rsid w:val="006F3DDE"/>
    <w:rsid w:val="00704678"/>
    <w:rsid w:val="007425E7"/>
    <w:rsid w:val="007858EB"/>
    <w:rsid w:val="007C5E99"/>
    <w:rsid w:val="007E6F23"/>
    <w:rsid w:val="007F7080"/>
    <w:rsid w:val="00802607"/>
    <w:rsid w:val="008101A5"/>
    <w:rsid w:val="00822664"/>
    <w:rsid w:val="008228C3"/>
    <w:rsid w:val="00827915"/>
    <w:rsid w:val="00840354"/>
    <w:rsid w:val="00841A4D"/>
    <w:rsid w:val="00843796"/>
    <w:rsid w:val="00887C31"/>
    <w:rsid w:val="00895229"/>
    <w:rsid w:val="008B2EB3"/>
    <w:rsid w:val="008F0203"/>
    <w:rsid w:val="008F50D4"/>
    <w:rsid w:val="008F63B5"/>
    <w:rsid w:val="0091288C"/>
    <w:rsid w:val="009239AA"/>
    <w:rsid w:val="00935ADA"/>
    <w:rsid w:val="009367AE"/>
    <w:rsid w:val="00946B6C"/>
    <w:rsid w:val="009502E6"/>
    <w:rsid w:val="00955A71"/>
    <w:rsid w:val="0096108F"/>
    <w:rsid w:val="0098404E"/>
    <w:rsid w:val="009B0F38"/>
    <w:rsid w:val="009B256D"/>
    <w:rsid w:val="009C13B9"/>
    <w:rsid w:val="009D01A2"/>
    <w:rsid w:val="009E598A"/>
    <w:rsid w:val="009F5923"/>
    <w:rsid w:val="00A04935"/>
    <w:rsid w:val="00A163E0"/>
    <w:rsid w:val="00A403BB"/>
    <w:rsid w:val="00A507F8"/>
    <w:rsid w:val="00A674DF"/>
    <w:rsid w:val="00A83AA6"/>
    <w:rsid w:val="00A934D6"/>
    <w:rsid w:val="00A953C3"/>
    <w:rsid w:val="00AE1809"/>
    <w:rsid w:val="00B20371"/>
    <w:rsid w:val="00B2267B"/>
    <w:rsid w:val="00B45904"/>
    <w:rsid w:val="00B46D2F"/>
    <w:rsid w:val="00B73B25"/>
    <w:rsid w:val="00B80D76"/>
    <w:rsid w:val="00B824F4"/>
    <w:rsid w:val="00BA2105"/>
    <w:rsid w:val="00BA7E06"/>
    <w:rsid w:val="00BB43B5"/>
    <w:rsid w:val="00BB6219"/>
    <w:rsid w:val="00BD290F"/>
    <w:rsid w:val="00BD433C"/>
    <w:rsid w:val="00BD78CA"/>
    <w:rsid w:val="00C06DE0"/>
    <w:rsid w:val="00C14CC4"/>
    <w:rsid w:val="00C33C52"/>
    <w:rsid w:val="00C3509A"/>
    <w:rsid w:val="00C40D8B"/>
    <w:rsid w:val="00C81106"/>
    <w:rsid w:val="00C8407A"/>
    <w:rsid w:val="00C8488C"/>
    <w:rsid w:val="00C86E91"/>
    <w:rsid w:val="00C93560"/>
    <w:rsid w:val="00CA2650"/>
    <w:rsid w:val="00CB1078"/>
    <w:rsid w:val="00CC67D5"/>
    <w:rsid w:val="00CC6FAF"/>
    <w:rsid w:val="00CE1F9C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2975"/>
    <w:rsid w:val="00E744EA"/>
    <w:rsid w:val="00E80951"/>
    <w:rsid w:val="00E81540"/>
    <w:rsid w:val="00E86ACC"/>
    <w:rsid w:val="00E86CC6"/>
    <w:rsid w:val="00E8787C"/>
    <w:rsid w:val="00EA71F1"/>
    <w:rsid w:val="00EB56B3"/>
    <w:rsid w:val="00ED6492"/>
    <w:rsid w:val="00EF2095"/>
    <w:rsid w:val="00F0184E"/>
    <w:rsid w:val="00F06866"/>
    <w:rsid w:val="00F157DA"/>
    <w:rsid w:val="00F15956"/>
    <w:rsid w:val="00F24CFC"/>
    <w:rsid w:val="00F3170F"/>
    <w:rsid w:val="00F47D2F"/>
    <w:rsid w:val="00F51AC7"/>
    <w:rsid w:val="00F777C1"/>
    <w:rsid w:val="00F976B0"/>
    <w:rsid w:val="00FA6DE7"/>
    <w:rsid w:val="00FA73B2"/>
    <w:rsid w:val="00FC0A8E"/>
    <w:rsid w:val="00FC1C80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paragraph" w:customStyle="1" w:styleId="Default">
    <w:name w:val="Default"/>
    <w:rsid w:val="003C41B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3C41BA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C41BA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3C41BA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3C41BA"/>
    <w:rPr>
      <w:sz w:val="24"/>
      <w:szCs w:val="24"/>
    </w:rPr>
  </w:style>
  <w:style w:type="table" w:customStyle="1" w:styleId="ListTable4-Accent1">
    <w:name w:val="List Table 4 - Accent 1"/>
    <w:basedOn w:val="TableNormal"/>
    <w:uiPriority w:val="49"/>
    <w:rsid w:val="003C41BA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Revision">
    <w:name w:val="Revision"/>
    <w:hidden/>
    <w:uiPriority w:val="99"/>
    <w:semiHidden/>
    <w:rsid w:val="009B0F3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paragraph" w:customStyle="1" w:styleId="Default">
    <w:name w:val="Default"/>
    <w:rsid w:val="003C41B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3C41BA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C41BA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3C41BA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3C41BA"/>
    <w:rPr>
      <w:sz w:val="24"/>
      <w:szCs w:val="24"/>
    </w:rPr>
  </w:style>
  <w:style w:type="table" w:customStyle="1" w:styleId="ListTable4-Accent1">
    <w:name w:val="List Table 4 - Accent 1"/>
    <w:basedOn w:val="TableNormal"/>
    <w:uiPriority w:val="49"/>
    <w:rsid w:val="003C41BA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Revision">
    <w:name w:val="Revision"/>
    <w:hidden/>
    <w:uiPriority w:val="99"/>
    <w:semiHidden/>
    <w:rsid w:val="009B0F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74970-49FD-4B3D-9192-A9883045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1106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Gretchen Lehman</cp:lastModifiedBy>
  <cp:revision>3</cp:revision>
  <cp:lastPrinted>2016-01-05T14:33:00Z</cp:lastPrinted>
  <dcterms:created xsi:type="dcterms:W3CDTF">2016-04-07T18:42:00Z</dcterms:created>
  <dcterms:modified xsi:type="dcterms:W3CDTF">2016-04-07T19:28:00Z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