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C0" w:rsidRPr="00075EC0" w:rsidRDefault="00075EC0" w:rsidP="00075EC0">
      <w:pPr>
        <w:widowControl w:val="0"/>
        <w:suppressAutoHyphens/>
        <w:snapToGrid w:val="0"/>
        <w:spacing w:after="0"/>
        <w:jc w:val="center"/>
        <w:rPr>
          <w:rFonts w:ascii="Times New Roman" w:hAnsi="Times New Roman"/>
          <w:b/>
          <w:bCs/>
          <w:szCs w:val="24"/>
        </w:rPr>
      </w:pPr>
      <w:bookmarkStart w:id="0" w:name="_GoBack"/>
      <w:bookmarkEnd w:id="0"/>
      <w:r w:rsidRPr="00075EC0">
        <w:rPr>
          <w:rFonts w:ascii="Times New Roman" w:hAnsi="Times New Roman"/>
          <w:b/>
          <w:bCs/>
          <w:szCs w:val="24"/>
        </w:rPr>
        <w:t xml:space="preserve">Supporting Statement for </w:t>
      </w:r>
      <w:r w:rsidR="00CB2836">
        <w:rPr>
          <w:rFonts w:ascii="Times New Roman" w:hAnsi="Times New Roman"/>
          <w:b/>
          <w:bCs/>
          <w:szCs w:val="24"/>
        </w:rPr>
        <w:t>Public Information Campaign</w:t>
      </w:r>
    </w:p>
    <w:p w:rsidR="00075EC0" w:rsidRPr="00075EC0" w:rsidRDefault="00075EC0" w:rsidP="00075EC0">
      <w:pPr>
        <w:widowControl w:val="0"/>
        <w:snapToGrid w:val="0"/>
        <w:spacing w:after="0"/>
        <w:jc w:val="center"/>
        <w:rPr>
          <w:rFonts w:ascii="Times New Roman" w:hAnsi="Times New Roman"/>
          <w:b/>
          <w:szCs w:val="24"/>
        </w:rPr>
      </w:pPr>
      <w:r w:rsidRPr="00075EC0">
        <w:rPr>
          <w:rFonts w:ascii="Times New Roman" w:hAnsi="Times New Roman"/>
          <w:b/>
          <w:szCs w:val="24"/>
        </w:rPr>
        <w:t>OMB No. 0960-0</w:t>
      </w:r>
      <w:r w:rsidR="00CB2836">
        <w:rPr>
          <w:rFonts w:ascii="Times New Roman" w:hAnsi="Times New Roman"/>
          <w:b/>
          <w:szCs w:val="24"/>
        </w:rPr>
        <w:t>544</w:t>
      </w:r>
    </w:p>
    <w:p w:rsidR="00075EC0" w:rsidRPr="00075EC0" w:rsidRDefault="00075EC0" w:rsidP="00F45921">
      <w:pPr>
        <w:widowControl w:val="0"/>
        <w:snapToGrid w:val="0"/>
        <w:spacing w:after="0"/>
        <w:rPr>
          <w:rFonts w:ascii="Times New Roman" w:hAnsi="Times New Roman"/>
          <w:b/>
          <w:szCs w:val="24"/>
        </w:rPr>
      </w:pPr>
    </w:p>
    <w:p w:rsidR="00075EC0" w:rsidRPr="00075EC0" w:rsidRDefault="00075EC0" w:rsidP="00F45921">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RDefault="00075EC0" w:rsidP="00075EC0">
      <w:pPr>
        <w:widowControl w:val="0"/>
        <w:tabs>
          <w:tab w:val="left" w:pos="720"/>
          <w:tab w:val="center" w:pos="4320"/>
          <w:tab w:val="right" w:pos="8640"/>
        </w:tabs>
        <w:snapToGrid w:val="0"/>
        <w:spacing w:after="0"/>
        <w:rPr>
          <w:rFonts w:ascii="Times New Roman" w:hAnsi="Times New Roman"/>
          <w:szCs w:val="24"/>
        </w:rPr>
      </w:pPr>
    </w:p>
    <w:p w:rsidR="00075EC0" w:rsidRPr="00075EC0" w:rsidRDefault="00075EC0" w:rsidP="00F45921">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075EC0" w:rsidRPr="00075EC0" w:rsidRDefault="00CB2836" w:rsidP="00F45921">
      <w:pPr>
        <w:widowControl w:val="0"/>
        <w:snapToGrid w:val="0"/>
        <w:spacing w:after="0"/>
        <w:ind w:left="1440"/>
        <w:rPr>
          <w:rFonts w:ascii="Times New Roman" w:hAnsi="Times New Roman"/>
          <w:szCs w:val="24"/>
        </w:rPr>
      </w:pPr>
      <w:r>
        <w:rPr>
          <w:rFonts w:ascii="Times New Roman" w:hAnsi="Times New Roman"/>
        </w:rPr>
        <w:t>Periodically, the Social Security Administration (SSA) conducts the Public Information Campaign.  As part of this program, the agency releases public information materials, including public service announcements</w:t>
      </w:r>
      <w:r w:rsidR="00A404CE">
        <w:rPr>
          <w:rFonts w:ascii="Times New Roman" w:hAnsi="Times New Roman"/>
        </w:rPr>
        <w:t>; news releases;</w:t>
      </w:r>
      <w:r>
        <w:rPr>
          <w:rFonts w:ascii="Times New Roman" w:hAnsi="Times New Roman"/>
        </w:rPr>
        <w:t xml:space="preserve"> and educational tapes, to public broadcasting systems so they can inform the public about various programs and activities conducted by the agency.  Twice per year, SSA follows up the public information materials mailings by sending business reply cards to the public broadcasting centers who received these materials.  The purpose of the reply cards is to help SSA monitor the usage and obtain feedback on our public information materials.  SSA collects this information under the authority of </w:t>
      </w:r>
      <w:r w:rsidRPr="00CB2836">
        <w:rPr>
          <w:rFonts w:ascii="Times New Roman" w:hAnsi="Times New Roman"/>
        </w:rPr>
        <w:t>Section</w:t>
      </w:r>
      <w:r>
        <w:rPr>
          <w:rFonts w:ascii="Times New Roman" w:hAnsi="Times New Roman"/>
          <w:i/>
        </w:rPr>
        <w:t xml:space="preserve"> 205(a) </w:t>
      </w:r>
      <w:r w:rsidRPr="00706D9E">
        <w:rPr>
          <w:rFonts w:ascii="Times New Roman" w:hAnsi="Times New Roman"/>
          <w:iCs/>
        </w:rPr>
        <w:t>of the</w:t>
      </w:r>
      <w:r w:rsidR="00A404CE">
        <w:rPr>
          <w:rFonts w:ascii="Times New Roman" w:hAnsi="Times New Roman"/>
          <w:i/>
        </w:rPr>
        <w:t xml:space="preserve"> Social Security Act</w:t>
      </w:r>
      <w:r w:rsidR="00075EC0" w:rsidRPr="00075EC0">
        <w:rPr>
          <w:rFonts w:ascii="Times New Roman" w:hAnsi="Times New Roman"/>
          <w:szCs w:val="24"/>
        </w:rPr>
        <w:t>.</w:t>
      </w:r>
    </w:p>
    <w:p w:rsidR="00075EC0" w:rsidRPr="00075EC0" w:rsidRDefault="00075EC0" w:rsidP="00075EC0">
      <w:pPr>
        <w:widowControl w:val="0"/>
        <w:snapToGrid w:val="0"/>
        <w:spacing w:after="0"/>
        <w:ind w:left="72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RDefault="00A404CE" w:rsidP="00F45921">
      <w:pPr>
        <w:widowControl w:val="0"/>
        <w:tabs>
          <w:tab w:val="num" w:pos="1440"/>
        </w:tabs>
        <w:snapToGrid w:val="0"/>
        <w:spacing w:after="0"/>
        <w:ind w:left="1440"/>
        <w:rPr>
          <w:rFonts w:ascii="Times New Roman" w:hAnsi="Times New Roman"/>
          <w:szCs w:val="24"/>
        </w:rPr>
      </w:pPr>
      <w:r>
        <w:rPr>
          <w:rFonts w:ascii="Times New Roman" w:hAnsi="Times New Roman"/>
          <w:szCs w:val="24"/>
        </w:rPr>
        <w:t>For</w:t>
      </w:r>
      <w:r w:rsidR="00CB2836" w:rsidRPr="00CB2836">
        <w:rPr>
          <w:rFonts w:ascii="Times New Roman" w:hAnsi="Times New Roman"/>
          <w:szCs w:val="24"/>
        </w:rPr>
        <w:t xml:space="preserve"> the Public Information Campaign, an SSA contractor mails out the business reply cards following the mailing of public information materials.  The contractor combines the results from the business reply cards and provides them to SSA.  In turn, SSA uses this information to determine what media format and what markets the public broadcast media aired the materials.  Ultimately, this will enable SSA to improve their public information materials.  The respondents are broadcast </w:t>
      </w:r>
      <w:r w:rsidR="00691A33">
        <w:rPr>
          <w:rFonts w:ascii="Times New Roman" w:hAnsi="Times New Roman"/>
          <w:szCs w:val="24"/>
        </w:rPr>
        <w:t>radio</w:t>
      </w:r>
      <w:r w:rsidR="00CB2836" w:rsidRPr="00CB2836">
        <w:rPr>
          <w:rFonts w:ascii="Times New Roman" w:hAnsi="Times New Roman"/>
          <w:szCs w:val="24"/>
        </w:rPr>
        <w:t xml:space="preserve"> sources</w:t>
      </w:r>
      <w:r w:rsidR="00AE0691" w:rsidRPr="00075EC0">
        <w:rPr>
          <w:rFonts w:ascii="Times New Roman" w:hAnsi="Times New Roman"/>
          <w:szCs w:val="24"/>
        </w:rPr>
        <w:t>.</w:t>
      </w:r>
      <w:r w:rsidR="00AE0691">
        <w:rPr>
          <w:rFonts w:ascii="Times New Roman" w:hAnsi="Times New Roman"/>
          <w:szCs w:val="24"/>
        </w:rPr>
        <w:t xml:space="preserve">  </w:t>
      </w:r>
    </w:p>
    <w:p w:rsidR="00CD4D36" w:rsidRPr="00075EC0" w:rsidRDefault="00CD4D36" w:rsidP="00CB2836">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RDefault="00CB2836" w:rsidP="00CB2836">
      <w:pPr>
        <w:widowControl w:val="0"/>
        <w:tabs>
          <w:tab w:val="num" w:pos="1440"/>
        </w:tabs>
        <w:snapToGrid w:val="0"/>
        <w:spacing w:after="0"/>
        <w:ind w:left="1440"/>
        <w:rPr>
          <w:rFonts w:ascii="Times New Roman" w:hAnsi="Times New Roman"/>
          <w:szCs w:val="24"/>
        </w:rPr>
      </w:pPr>
      <w:r w:rsidRPr="00CB2836">
        <w:rPr>
          <w:rFonts w:ascii="Times New Roman" w:hAnsi="Times New Roman"/>
          <w:szCs w:val="24"/>
        </w:rPr>
        <w:t>SSA did not create an electronic implementation of the Public Information</w:t>
      </w:r>
      <w:r>
        <w:rPr>
          <w:rFonts w:ascii="Times New Roman" w:hAnsi="Times New Roman"/>
          <w:szCs w:val="24"/>
        </w:rPr>
        <w:t xml:space="preserve"> </w:t>
      </w:r>
      <w:r w:rsidRPr="00CB2836">
        <w:rPr>
          <w:rFonts w:ascii="Times New Roman" w:hAnsi="Times New Roman"/>
          <w:szCs w:val="24"/>
        </w:rPr>
        <w:t>Campaign</w:t>
      </w:r>
      <w:r>
        <w:rPr>
          <w:rFonts w:ascii="Times New Roman" w:hAnsi="Times New Roman"/>
          <w:szCs w:val="24"/>
        </w:rPr>
        <w:t xml:space="preserve"> </w:t>
      </w:r>
      <w:r w:rsidRPr="00CB2836">
        <w:rPr>
          <w:rFonts w:ascii="Times New Roman" w:hAnsi="Times New Roman"/>
          <w:szCs w:val="24"/>
        </w:rPr>
        <w:t>under the agency’s Government Paperwork Elimination Act (GPEA) plan because only</w:t>
      </w:r>
      <w:r>
        <w:rPr>
          <w:rFonts w:ascii="Times New Roman" w:hAnsi="Times New Roman"/>
          <w:szCs w:val="24"/>
        </w:rPr>
        <w:t xml:space="preserve"> 5</w:t>
      </w:r>
      <w:r w:rsidRPr="00CB2836">
        <w:rPr>
          <w:rFonts w:ascii="Times New Roman" w:hAnsi="Times New Roman"/>
          <w:szCs w:val="24"/>
        </w:rPr>
        <w:t>,000 respondents complete the form.  This is less than the GPEA cut-off of</w:t>
      </w:r>
      <w:r>
        <w:rPr>
          <w:rFonts w:ascii="Times New Roman" w:hAnsi="Times New Roman"/>
          <w:szCs w:val="24"/>
        </w:rPr>
        <w:t xml:space="preserve"> </w:t>
      </w:r>
      <w:r w:rsidRPr="00CB2836">
        <w:rPr>
          <w:rFonts w:ascii="Times New Roman" w:hAnsi="Times New Roman"/>
          <w:szCs w:val="24"/>
        </w:rPr>
        <w:t>50,000</w:t>
      </w:r>
      <w:r w:rsidR="00075EC0" w:rsidRPr="00075EC0">
        <w:rPr>
          <w:rFonts w:ascii="Times New Roman" w:hAnsi="Times New Roman"/>
          <w:szCs w:val="24"/>
        </w:rPr>
        <w:t xml:space="preserve">.  </w:t>
      </w:r>
    </w:p>
    <w:p w:rsidR="00875896" w:rsidRDefault="00875896" w:rsidP="00CB2836">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RDefault="00EF2277"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RDefault="00075EC0" w:rsidP="00F45921">
      <w:pPr>
        <w:widowControl w:val="0"/>
        <w:tabs>
          <w:tab w:val="num" w:pos="1440"/>
        </w:tabs>
        <w:snapToGrid w:val="0"/>
        <w:spacing w:after="0"/>
        <w:ind w:left="1440"/>
        <w:rPr>
          <w:rFonts w:ascii="Times New Roman" w:hAnsi="Times New Roman"/>
          <w:i/>
          <w:szCs w:val="24"/>
        </w:rPr>
      </w:pPr>
    </w:p>
    <w:p w:rsidR="00075EC0" w:rsidRPr="00075EC0" w:rsidRDefault="00075EC0" w:rsidP="00F45921">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If </w:t>
      </w:r>
      <w:r w:rsidR="00CB2836">
        <w:rPr>
          <w:rFonts w:ascii="Times New Roman" w:hAnsi="Times New Roman"/>
          <w:szCs w:val="24"/>
        </w:rPr>
        <w:t xml:space="preserve">SSA did not conduct this information collection, we would have no means of obtaining feedback on the public information materials we mail to the public.  </w:t>
      </w:r>
      <w:r w:rsidRPr="00075EC0">
        <w:rPr>
          <w:rFonts w:ascii="Times New Roman" w:hAnsi="Times New Roman"/>
          <w:szCs w:val="24"/>
        </w:rPr>
        <w:t xml:space="preserve">Because we collect this information </w:t>
      </w:r>
      <w:r w:rsidR="00CB2836">
        <w:rPr>
          <w:rFonts w:ascii="Times New Roman" w:hAnsi="Times New Roman"/>
          <w:szCs w:val="24"/>
        </w:rPr>
        <w:t xml:space="preserve">twice a year, </w:t>
      </w:r>
      <w:r w:rsidRPr="00075EC0">
        <w:rPr>
          <w:rFonts w:ascii="Times New Roman" w:hAnsi="Times New Roman"/>
          <w:szCs w:val="24"/>
        </w:rPr>
        <w:t>we cannot collect it less frequently.</w:t>
      </w:r>
      <w:r w:rsidR="00285507">
        <w:rPr>
          <w:rFonts w:ascii="Times New Roman" w:hAnsi="Times New Roman"/>
          <w:szCs w:val="24"/>
        </w:rPr>
        <w:t xml:space="preserve">  </w:t>
      </w:r>
      <w:r w:rsidRPr="00075EC0">
        <w:rPr>
          <w:rFonts w:ascii="Times New Roman" w:hAnsi="Times New Roman"/>
          <w:szCs w:val="24"/>
        </w:rPr>
        <w:t>There are no technical or legal obstacles to burden reduction.</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lastRenderedPageBreak/>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RDefault="00075EC0" w:rsidP="00F45921">
      <w:pPr>
        <w:widowControl w:val="0"/>
        <w:tabs>
          <w:tab w:val="num" w:pos="1440"/>
        </w:tabs>
        <w:snapToGrid w:val="0"/>
        <w:spacing w:after="0"/>
        <w:ind w:left="1440"/>
        <w:rPr>
          <w:rFonts w:ascii="Times New Roman" w:hAnsi="Times New Roman"/>
          <w:b/>
          <w:i/>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953414">
        <w:rPr>
          <w:rFonts w:ascii="Times New Roman" w:hAnsi="Times New Roman"/>
          <w:szCs w:val="24"/>
        </w:rPr>
        <w:t>June 27, 2017</w:t>
      </w:r>
      <w:r w:rsidRPr="00075EC0">
        <w:rPr>
          <w:rFonts w:ascii="Times New Roman" w:hAnsi="Times New Roman"/>
          <w:szCs w:val="24"/>
        </w:rPr>
        <w:t>, at</w:t>
      </w:r>
    </w:p>
    <w:p w:rsidR="00075EC0" w:rsidRPr="00075EC0" w:rsidRDefault="007835E9" w:rsidP="00F45921">
      <w:pPr>
        <w:widowControl w:val="0"/>
        <w:tabs>
          <w:tab w:val="num" w:pos="1440"/>
        </w:tabs>
        <w:snapToGrid w:val="0"/>
        <w:spacing w:after="0"/>
        <w:ind w:left="1440"/>
        <w:rPr>
          <w:rFonts w:ascii="Times New Roman" w:hAnsi="Times New Roman"/>
          <w:szCs w:val="24"/>
        </w:rPr>
      </w:pPr>
      <w:r>
        <w:rPr>
          <w:rFonts w:ascii="Times New Roman" w:hAnsi="Times New Roman"/>
          <w:szCs w:val="24"/>
        </w:rPr>
        <w:t>8</w:t>
      </w:r>
      <w:r w:rsidR="00953414">
        <w:rPr>
          <w:rFonts w:ascii="Times New Roman" w:hAnsi="Times New Roman"/>
          <w:szCs w:val="24"/>
        </w:rPr>
        <w:t>2</w:t>
      </w:r>
      <w:r w:rsidR="00075EC0" w:rsidRPr="00075EC0">
        <w:rPr>
          <w:rFonts w:ascii="Times New Roman" w:hAnsi="Times New Roman"/>
          <w:szCs w:val="24"/>
        </w:rPr>
        <w:t xml:space="preserve"> FR </w:t>
      </w:r>
      <w:r w:rsidR="00953414">
        <w:rPr>
          <w:rFonts w:ascii="Times New Roman" w:hAnsi="Times New Roman"/>
          <w:szCs w:val="24"/>
        </w:rPr>
        <w:t>29136</w:t>
      </w:r>
      <w:r w:rsidR="00075EC0" w:rsidRPr="00075EC0">
        <w:rPr>
          <w:rFonts w:ascii="Times New Roman" w:hAnsi="Times New Roman"/>
          <w:szCs w:val="24"/>
        </w:rPr>
        <w:t xml:space="preserve">, and we received no public comments.  The 30-day FRN published on </w:t>
      </w:r>
      <w:r w:rsidR="00795122">
        <w:rPr>
          <w:rFonts w:ascii="Times New Roman" w:hAnsi="Times New Roman"/>
          <w:szCs w:val="24"/>
        </w:rPr>
        <w:t>September 19, 2017</w:t>
      </w:r>
      <w:r w:rsidR="00875896">
        <w:rPr>
          <w:rFonts w:ascii="Times New Roman" w:hAnsi="Times New Roman"/>
          <w:szCs w:val="24"/>
        </w:rPr>
        <w:t xml:space="preserve"> </w:t>
      </w:r>
      <w:r w:rsidR="00075EC0" w:rsidRPr="00075EC0">
        <w:rPr>
          <w:rFonts w:ascii="Times New Roman" w:hAnsi="Times New Roman"/>
          <w:szCs w:val="24"/>
        </w:rPr>
        <w:t xml:space="preserve">at </w:t>
      </w:r>
      <w:r w:rsidR="00795122">
        <w:rPr>
          <w:rFonts w:ascii="Times New Roman" w:hAnsi="Times New Roman"/>
          <w:szCs w:val="24"/>
        </w:rPr>
        <w:t>82</w:t>
      </w:r>
      <w:r w:rsidR="00075EC0" w:rsidRPr="00075EC0">
        <w:rPr>
          <w:rFonts w:ascii="Times New Roman" w:hAnsi="Times New Roman"/>
          <w:szCs w:val="24"/>
        </w:rPr>
        <w:t xml:space="preserve"> FR </w:t>
      </w:r>
      <w:r w:rsidR="00795122">
        <w:rPr>
          <w:rFonts w:ascii="Times New Roman" w:hAnsi="Times New Roman"/>
          <w:szCs w:val="24"/>
        </w:rPr>
        <w:t>43804</w:t>
      </w:r>
      <w:r w:rsidR="00075EC0" w:rsidRPr="00075EC0">
        <w:rPr>
          <w:rFonts w:ascii="Times New Roman" w:hAnsi="Times New Roman"/>
          <w:szCs w:val="24"/>
        </w:rPr>
        <w:t>.  If we receive any comments in response to this Notice, we will forward them to OMB.</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RDefault="00075EC0" w:rsidP="00F45921">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RDefault="00075EC0" w:rsidP="00F45921">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RDefault="00075EC0" w:rsidP="00075EC0">
      <w:pPr>
        <w:widowControl w:val="0"/>
        <w:snapToGrid w:val="0"/>
        <w:spacing w:after="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075EC0" w:rsidRPr="00075EC0" w:rsidRDefault="00075EC0" w:rsidP="00075EC0">
      <w:pPr>
        <w:widowControl w:val="0"/>
        <w:snapToGrid w:val="0"/>
        <w:spacing w:after="0"/>
        <w:ind w:left="720"/>
        <w:rPr>
          <w:rFonts w:ascii="Times New Roman" w:hAnsi="Times New Roman"/>
          <w:b/>
          <w:szCs w:val="24"/>
        </w:rPr>
      </w:pPr>
    </w:p>
    <w:tbl>
      <w:tblPr>
        <w:tblW w:w="85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440"/>
        <w:gridCol w:w="1440"/>
        <w:gridCol w:w="1350"/>
        <w:gridCol w:w="1260"/>
      </w:tblGrid>
      <w:tr w:rsidR="00F25DA2" w:rsidRPr="00075EC0" w:rsidTr="00F25DA2">
        <w:tc>
          <w:tcPr>
            <w:tcW w:w="1530" w:type="dxa"/>
            <w:tcBorders>
              <w:top w:val="single" w:sz="4" w:space="0" w:color="auto"/>
              <w:left w:val="single" w:sz="4" w:space="0" w:color="auto"/>
              <w:bottom w:val="single" w:sz="4" w:space="0" w:color="auto"/>
              <w:right w:val="single" w:sz="4" w:space="0" w:color="auto"/>
            </w:tcBorders>
            <w:hideMark/>
          </w:tcPr>
          <w:p w:rsidR="00F25DA2" w:rsidRPr="00075EC0" w:rsidRDefault="00F25DA2" w:rsidP="00075EC0">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F25DA2" w:rsidRPr="00075EC0" w:rsidRDefault="00F25DA2" w:rsidP="00075EC0">
            <w:pPr>
              <w:widowControl w:val="0"/>
              <w:snapToGrid w:val="0"/>
              <w:spacing w:after="0"/>
              <w:rPr>
                <w:rFonts w:ascii="Times New Roman" w:hAnsi="Times New Roman"/>
                <w:b/>
                <w:szCs w:val="24"/>
              </w:rPr>
            </w:pPr>
            <w:r w:rsidRPr="00075EC0">
              <w:rPr>
                <w:rFonts w:ascii="Times New Roman" w:hAnsi="Times New Roman"/>
                <w:b/>
                <w:szCs w:val="24"/>
              </w:rPr>
              <w:t xml:space="preserve">Number of Respondents </w:t>
            </w:r>
          </w:p>
        </w:tc>
        <w:tc>
          <w:tcPr>
            <w:tcW w:w="1440" w:type="dxa"/>
            <w:tcBorders>
              <w:top w:val="single" w:sz="4" w:space="0" w:color="auto"/>
              <w:left w:val="single" w:sz="4" w:space="0" w:color="auto"/>
              <w:bottom w:val="single" w:sz="4" w:space="0" w:color="auto"/>
              <w:right w:val="single" w:sz="4" w:space="0" w:color="auto"/>
            </w:tcBorders>
            <w:hideMark/>
          </w:tcPr>
          <w:p w:rsidR="00F25DA2" w:rsidRPr="00075EC0" w:rsidRDefault="00F25DA2" w:rsidP="00075EC0">
            <w:pPr>
              <w:widowControl w:val="0"/>
              <w:snapToGrid w:val="0"/>
              <w:spacing w:after="0"/>
              <w:rPr>
                <w:rFonts w:ascii="Times New Roman" w:hAnsi="Times New Roman"/>
                <w:b/>
                <w:szCs w:val="24"/>
              </w:rPr>
            </w:pPr>
            <w:r w:rsidRPr="00075EC0">
              <w:rPr>
                <w:rFonts w:ascii="Times New Roman" w:hAnsi="Times New Roman"/>
                <w:b/>
                <w:szCs w:val="24"/>
              </w:rPr>
              <w:t>Frequency of Response</w:t>
            </w:r>
          </w:p>
        </w:tc>
        <w:tc>
          <w:tcPr>
            <w:tcW w:w="1440" w:type="dxa"/>
            <w:tcBorders>
              <w:top w:val="single" w:sz="4" w:space="0" w:color="auto"/>
              <w:left w:val="single" w:sz="4" w:space="0" w:color="auto"/>
              <w:bottom w:val="single" w:sz="4" w:space="0" w:color="auto"/>
              <w:right w:val="single" w:sz="4" w:space="0" w:color="auto"/>
            </w:tcBorders>
          </w:tcPr>
          <w:p w:rsidR="00F25DA2" w:rsidRPr="00075EC0" w:rsidRDefault="00F25DA2" w:rsidP="00075EC0">
            <w:pPr>
              <w:widowControl w:val="0"/>
              <w:snapToGrid w:val="0"/>
              <w:spacing w:after="0"/>
              <w:rPr>
                <w:rFonts w:ascii="Times New Roman" w:hAnsi="Times New Roman"/>
                <w:b/>
                <w:szCs w:val="24"/>
              </w:rPr>
            </w:pPr>
            <w:r>
              <w:rPr>
                <w:rFonts w:ascii="Times New Roman" w:hAnsi="Times New Roman"/>
                <w:b/>
                <w:szCs w:val="24"/>
              </w:rPr>
              <w:t>Number of Responses</w:t>
            </w:r>
          </w:p>
        </w:tc>
        <w:tc>
          <w:tcPr>
            <w:tcW w:w="1350" w:type="dxa"/>
            <w:tcBorders>
              <w:top w:val="single" w:sz="4" w:space="0" w:color="auto"/>
              <w:left w:val="single" w:sz="4" w:space="0" w:color="auto"/>
              <w:bottom w:val="single" w:sz="4" w:space="0" w:color="auto"/>
              <w:right w:val="single" w:sz="4" w:space="0" w:color="auto"/>
            </w:tcBorders>
            <w:hideMark/>
          </w:tcPr>
          <w:p w:rsidR="00F25DA2" w:rsidRPr="00075EC0" w:rsidRDefault="00F25DA2" w:rsidP="00075EC0">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260" w:type="dxa"/>
            <w:tcBorders>
              <w:top w:val="single" w:sz="4" w:space="0" w:color="auto"/>
              <w:left w:val="single" w:sz="4" w:space="0" w:color="auto"/>
              <w:bottom w:val="single" w:sz="4" w:space="0" w:color="auto"/>
              <w:right w:val="single" w:sz="4" w:space="0" w:color="auto"/>
            </w:tcBorders>
            <w:hideMark/>
          </w:tcPr>
          <w:p w:rsidR="00F25DA2" w:rsidRPr="00075EC0" w:rsidRDefault="00F25DA2" w:rsidP="00075EC0">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r>
      <w:tr w:rsidR="00F25DA2" w:rsidRPr="00075EC0" w:rsidTr="00F25DA2">
        <w:tc>
          <w:tcPr>
            <w:tcW w:w="1530" w:type="dxa"/>
            <w:tcBorders>
              <w:top w:val="single" w:sz="4" w:space="0" w:color="auto"/>
              <w:left w:val="single" w:sz="4" w:space="0" w:color="auto"/>
              <w:bottom w:val="single" w:sz="4" w:space="0" w:color="auto"/>
              <w:right w:val="single" w:sz="4" w:space="0" w:color="auto"/>
            </w:tcBorders>
            <w:hideMark/>
          </w:tcPr>
          <w:p w:rsidR="00F25DA2" w:rsidRPr="00075EC0" w:rsidRDefault="00F25DA2" w:rsidP="00075EC0">
            <w:pPr>
              <w:widowControl w:val="0"/>
              <w:snapToGrid w:val="0"/>
              <w:spacing w:after="0"/>
              <w:rPr>
                <w:rFonts w:ascii="Times New Roman" w:hAnsi="Times New Roman"/>
                <w:szCs w:val="24"/>
              </w:rPr>
            </w:pPr>
            <w:r>
              <w:rPr>
                <w:rFonts w:ascii="Times New Roman" w:hAnsi="Times New Roman"/>
                <w:szCs w:val="24"/>
              </w:rPr>
              <w:t>Radio Survey</w:t>
            </w:r>
          </w:p>
        </w:tc>
        <w:tc>
          <w:tcPr>
            <w:tcW w:w="1530" w:type="dxa"/>
            <w:tcBorders>
              <w:top w:val="single" w:sz="4" w:space="0" w:color="auto"/>
              <w:left w:val="single" w:sz="4" w:space="0" w:color="auto"/>
              <w:bottom w:val="single" w:sz="4" w:space="0" w:color="auto"/>
              <w:right w:val="single" w:sz="4" w:space="0" w:color="auto"/>
            </w:tcBorders>
          </w:tcPr>
          <w:p w:rsidR="00F25DA2" w:rsidRPr="00075EC0" w:rsidRDefault="00F25DA2" w:rsidP="00075EC0">
            <w:pPr>
              <w:widowControl w:val="0"/>
              <w:snapToGrid w:val="0"/>
              <w:spacing w:after="0"/>
              <w:jc w:val="right"/>
              <w:rPr>
                <w:rFonts w:ascii="Times New Roman" w:hAnsi="Times New Roman"/>
                <w:szCs w:val="24"/>
              </w:rPr>
            </w:pPr>
            <w:r>
              <w:rPr>
                <w:rFonts w:ascii="Times New Roman" w:hAnsi="Times New Roman"/>
                <w:szCs w:val="24"/>
              </w:rPr>
              <w:t>5,000</w:t>
            </w:r>
          </w:p>
        </w:tc>
        <w:tc>
          <w:tcPr>
            <w:tcW w:w="1440" w:type="dxa"/>
            <w:tcBorders>
              <w:top w:val="single" w:sz="4" w:space="0" w:color="auto"/>
              <w:left w:val="single" w:sz="4" w:space="0" w:color="auto"/>
              <w:bottom w:val="single" w:sz="4" w:space="0" w:color="auto"/>
              <w:right w:val="single" w:sz="4" w:space="0" w:color="auto"/>
            </w:tcBorders>
          </w:tcPr>
          <w:p w:rsidR="00F25DA2" w:rsidRPr="00075EC0" w:rsidRDefault="00F25DA2" w:rsidP="00075EC0">
            <w:pPr>
              <w:widowControl w:val="0"/>
              <w:snapToGrid w:val="0"/>
              <w:spacing w:after="0"/>
              <w:jc w:val="right"/>
              <w:rPr>
                <w:rFonts w:ascii="Times New Roman" w:hAnsi="Times New Roman"/>
                <w:szCs w:val="24"/>
              </w:rPr>
            </w:pPr>
            <w:r>
              <w:rPr>
                <w:rFonts w:ascii="Times New Roman" w:hAnsi="Times New Roman"/>
                <w:szCs w:val="24"/>
              </w:rPr>
              <w:t>2</w:t>
            </w:r>
          </w:p>
        </w:tc>
        <w:tc>
          <w:tcPr>
            <w:tcW w:w="1440" w:type="dxa"/>
            <w:tcBorders>
              <w:top w:val="single" w:sz="4" w:space="0" w:color="auto"/>
              <w:left w:val="single" w:sz="4" w:space="0" w:color="auto"/>
              <w:bottom w:val="single" w:sz="4" w:space="0" w:color="auto"/>
              <w:right w:val="single" w:sz="4" w:space="0" w:color="auto"/>
            </w:tcBorders>
          </w:tcPr>
          <w:p w:rsidR="00F25DA2" w:rsidRDefault="00F25DA2" w:rsidP="00075EC0">
            <w:pPr>
              <w:widowControl w:val="0"/>
              <w:snapToGrid w:val="0"/>
              <w:spacing w:after="0"/>
              <w:jc w:val="right"/>
              <w:rPr>
                <w:rFonts w:ascii="Times New Roman" w:hAnsi="Times New Roman"/>
                <w:szCs w:val="24"/>
              </w:rPr>
            </w:pPr>
            <w:r>
              <w:rPr>
                <w:rFonts w:ascii="Times New Roman" w:hAnsi="Times New Roman"/>
                <w:szCs w:val="24"/>
              </w:rPr>
              <w:t>10,000</w:t>
            </w:r>
          </w:p>
        </w:tc>
        <w:tc>
          <w:tcPr>
            <w:tcW w:w="1350" w:type="dxa"/>
            <w:tcBorders>
              <w:top w:val="single" w:sz="4" w:space="0" w:color="auto"/>
              <w:left w:val="single" w:sz="4" w:space="0" w:color="auto"/>
              <w:bottom w:val="single" w:sz="4" w:space="0" w:color="auto"/>
              <w:right w:val="single" w:sz="4" w:space="0" w:color="auto"/>
            </w:tcBorders>
          </w:tcPr>
          <w:p w:rsidR="00F25DA2" w:rsidRPr="00075EC0" w:rsidRDefault="00F25DA2" w:rsidP="00075EC0">
            <w:pPr>
              <w:widowControl w:val="0"/>
              <w:snapToGrid w:val="0"/>
              <w:spacing w:after="0"/>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F25DA2" w:rsidRPr="00075EC0" w:rsidRDefault="00F25DA2" w:rsidP="00075EC0">
            <w:pPr>
              <w:widowControl w:val="0"/>
              <w:snapToGrid w:val="0"/>
              <w:spacing w:after="0"/>
              <w:jc w:val="right"/>
              <w:rPr>
                <w:rFonts w:ascii="Times New Roman" w:hAnsi="Times New Roman"/>
                <w:szCs w:val="24"/>
              </w:rPr>
            </w:pPr>
            <w:r>
              <w:rPr>
                <w:rFonts w:ascii="Times New Roman" w:hAnsi="Times New Roman"/>
                <w:szCs w:val="24"/>
              </w:rPr>
              <w:t>167</w:t>
            </w:r>
          </w:p>
        </w:tc>
      </w:tr>
    </w:tbl>
    <w:p w:rsidR="00953414" w:rsidRDefault="00953414" w:rsidP="004D30A9">
      <w:pPr>
        <w:widowControl w:val="0"/>
        <w:snapToGrid w:val="0"/>
        <w:spacing w:after="0"/>
        <w:ind w:left="1440"/>
        <w:contextualSpacing/>
        <w:rPr>
          <w:rFonts w:ascii="Times New Roman" w:hAnsi="Times New Roman"/>
          <w:szCs w:val="24"/>
        </w:rPr>
      </w:pPr>
    </w:p>
    <w:p w:rsidR="00075EC0" w:rsidRPr="00075EC0" w:rsidRDefault="00ED5BA4" w:rsidP="004D30A9">
      <w:pPr>
        <w:widowControl w:val="0"/>
        <w:snapToGrid w:val="0"/>
        <w:spacing w:after="0"/>
        <w:ind w:left="1440"/>
        <w:contextualSpacing/>
        <w:rPr>
          <w:rFonts w:ascii="Times New Roman" w:hAnsi="Times New Roman"/>
          <w:szCs w:val="24"/>
        </w:rPr>
      </w:pPr>
      <w:r w:rsidRPr="00075EC0">
        <w:rPr>
          <w:rFonts w:ascii="Times New Roman" w:hAnsi="Times New Roman"/>
          <w:szCs w:val="24"/>
        </w:rPr>
        <w:t xml:space="preserve">The total burden for this ICR is </w:t>
      </w:r>
      <w:r>
        <w:rPr>
          <w:rFonts w:ascii="Times New Roman" w:hAnsi="Times New Roman"/>
          <w:b/>
          <w:szCs w:val="24"/>
        </w:rPr>
        <w:t>167</w:t>
      </w:r>
      <w:r>
        <w:rPr>
          <w:rFonts w:ascii="Times New Roman" w:hAnsi="Times New Roman"/>
          <w:szCs w:val="24"/>
        </w:rPr>
        <w:t xml:space="preserve"> </w:t>
      </w:r>
      <w:r w:rsidRPr="00075EC0">
        <w:rPr>
          <w:rFonts w:ascii="Times New Roman" w:hAnsi="Times New Roman"/>
          <w:szCs w:val="24"/>
        </w:rPr>
        <w:t xml:space="preserve">hours.  </w:t>
      </w:r>
      <w:r>
        <w:rPr>
          <w:rFonts w:ascii="Times New Roman" w:hAnsi="Times New Roman"/>
          <w:szCs w:val="24"/>
        </w:rPr>
        <w:t xml:space="preserve">We based these figures on current management data information.  </w:t>
      </w:r>
      <w:r w:rsidRPr="00075EC0">
        <w:rPr>
          <w:rFonts w:ascii="Times New Roman" w:hAnsi="Times New Roman"/>
          <w:szCs w:val="24"/>
        </w:rPr>
        <w:t>This figure represents burden hours, and we did not calculate a separate cost burden</w:t>
      </w:r>
      <w:r w:rsidR="00075EC0" w:rsidRPr="00075EC0">
        <w:rPr>
          <w:rFonts w:ascii="Times New Roman" w:hAnsi="Times New Roman"/>
          <w:szCs w:val="24"/>
        </w:rPr>
        <w:t>.</w:t>
      </w:r>
    </w:p>
    <w:p w:rsidR="00075EC0" w:rsidRPr="00075EC0" w:rsidRDefault="00075EC0" w:rsidP="004D30A9">
      <w:pPr>
        <w:widowControl w:val="0"/>
        <w:snapToGrid w:val="0"/>
        <w:spacing w:after="0"/>
        <w:ind w:left="1440"/>
        <w:rPr>
          <w:rFonts w:ascii="Times New Roman" w:hAnsi="Times New Roman"/>
          <w:i/>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0C2F67" w:rsidRDefault="000C2F67" w:rsidP="004D30A9">
      <w:pPr>
        <w:widowControl w:val="0"/>
        <w:snapToGrid w:val="0"/>
        <w:spacing w:after="0"/>
        <w:ind w:left="1440"/>
        <w:rPr>
          <w:rFonts w:ascii="Times New Roman" w:hAnsi="Times New Roman"/>
          <w:szCs w:val="24"/>
        </w:rPr>
      </w:pPr>
      <w:r w:rsidRPr="000C2F67">
        <w:rPr>
          <w:rFonts w:ascii="Times New Roman" w:hAnsi="Times New Roman"/>
        </w:rPr>
        <w:t>The annual cost to the Federal Government is approximately $</w:t>
      </w:r>
      <w:r>
        <w:rPr>
          <w:rFonts w:ascii="Times New Roman" w:hAnsi="Times New Roman"/>
        </w:rPr>
        <w:t>7,000</w:t>
      </w:r>
      <w:r w:rsidRPr="000C2F67">
        <w:rPr>
          <w:rFonts w:ascii="Times New Roman" w:hAnsi="Times New Roman"/>
        </w:rPr>
        <w:t>.  This estimate accounts for costs from the following areas:</w:t>
      </w:r>
      <w:r w:rsidR="001F2D64">
        <w:rPr>
          <w:rFonts w:ascii="Times New Roman" w:hAnsi="Times New Roman"/>
        </w:rPr>
        <w:t xml:space="preserve"> </w:t>
      </w:r>
      <w:r w:rsidRPr="000C2F67">
        <w:rPr>
          <w:rFonts w:ascii="Times New Roman" w:hAnsi="Times New Roman"/>
        </w:rPr>
        <w:t xml:space="preserve"> (1) designing, printing, and distributing the </w:t>
      </w:r>
      <w:r w:rsidR="001F2D64">
        <w:rPr>
          <w:rFonts w:ascii="Times New Roman" w:hAnsi="Times New Roman"/>
        </w:rPr>
        <w:t>collection</w:t>
      </w:r>
      <w:r w:rsidRPr="000C2F67">
        <w:rPr>
          <w:rFonts w:ascii="Times New Roman" w:hAnsi="Times New Roman"/>
        </w:rPr>
        <w:t xml:space="preserve">; </w:t>
      </w:r>
      <w:r w:rsidR="003116AE">
        <w:rPr>
          <w:rFonts w:ascii="Times New Roman" w:hAnsi="Times New Roman"/>
        </w:rPr>
        <w:t xml:space="preserve">and </w:t>
      </w:r>
      <w:r w:rsidRPr="000C2F67">
        <w:rPr>
          <w:rFonts w:ascii="Times New Roman" w:hAnsi="Times New Roman"/>
        </w:rPr>
        <w:t xml:space="preserve">(2) SSA employee </w:t>
      </w:r>
      <w:r w:rsidR="003116AE" w:rsidRPr="003116AE">
        <w:rPr>
          <w:rFonts w:ascii="Times New Roman" w:hAnsi="Times New Roman"/>
        </w:rPr>
        <w:t>information collection and processing time</w:t>
      </w:r>
      <w:r w:rsidR="00075EC0" w:rsidRPr="00075EC0">
        <w:rPr>
          <w:rFonts w:ascii="Times New Roman" w:hAnsi="Times New Roman"/>
          <w:szCs w:val="24"/>
        </w:rPr>
        <w:t xml:space="preserve">. </w:t>
      </w:r>
    </w:p>
    <w:p w:rsidR="003116AE" w:rsidRDefault="003116AE" w:rsidP="004D30A9">
      <w:pPr>
        <w:widowControl w:val="0"/>
        <w:snapToGrid w:val="0"/>
        <w:spacing w:after="0"/>
        <w:ind w:left="1440"/>
        <w:rPr>
          <w:rFonts w:ascii="Times New Roman" w:hAnsi="Times New Roman"/>
          <w:szCs w:val="24"/>
        </w:rPr>
      </w:pPr>
    </w:p>
    <w:p w:rsidR="003116AE" w:rsidRDefault="003116AE" w:rsidP="004D30A9">
      <w:pPr>
        <w:widowControl w:val="0"/>
        <w:snapToGrid w:val="0"/>
        <w:spacing w:after="0"/>
        <w:ind w:left="1440"/>
        <w:rPr>
          <w:rFonts w:ascii="Times New Roman" w:hAnsi="Times New Roman"/>
          <w:szCs w:val="24"/>
        </w:rPr>
      </w:pPr>
    </w:p>
    <w:p w:rsidR="003116AE" w:rsidRDefault="003116AE" w:rsidP="004D30A9">
      <w:pPr>
        <w:widowControl w:val="0"/>
        <w:snapToGrid w:val="0"/>
        <w:spacing w:after="0"/>
        <w:ind w:left="1440"/>
        <w:rPr>
          <w:rFonts w:ascii="Times New Roman" w:hAnsi="Times New Roman"/>
          <w:szCs w:val="24"/>
        </w:rPr>
      </w:pPr>
    </w:p>
    <w:p w:rsidR="000C2F67" w:rsidRPr="00075EC0" w:rsidRDefault="000C2F67" w:rsidP="004D30A9">
      <w:pPr>
        <w:widowControl w:val="0"/>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b/>
          <w:szCs w:val="24"/>
        </w:rPr>
      </w:pPr>
      <w:r w:rsidRPr="00075EC0">
        <w:rPr>
          <w:rFonts w:ascii="Times New Roman" w:hAnsi="Times New Roman"/>
          <w:b/>
          <w:szCs w:val="24"/>
        </w:rPr>
        <w:lastRenderedPageBreak/>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B26F93" w:rsidRPr="00B26F93" w:rsidRDefault="00075EC0" w:rsidP="004D30A9">
      <w:pPr>
        <w:spacing w:after="0"/>
        <w:ind w:left="1440"/>
        <w:rPr>
          <w:rFonts w:ascii="Times New Roman" w:hAnsi="Times New Roman"/>
          <w:szCs w:val="24"/>
          <w:lang w:bidi="en-US"/>
        </w:rPr>
      </w:pPr>
      <w:r w:rsidRPr="00075EC0">
        <w:rPr>
          <w:rFonts w:ascii="Times New Roman" w:hAnsi="Times New Roman"/>
          <w:szCs w:val="24"/>
          <w:lang w:bidi="en-US"/>
        </w:rPr>
        <w:t>The</w:t>
      </w:r>
      <w:r w:rsidR="00AE0691">
        <w:rPr>
          <w:rFonts w:ascii="Times New Roman" w:hAnsi="Times New Roman"/>
          <w:szCs w:val="24"/>
          <w:lang w:bidi="en-US"/>
        </w:rPr>
        <w:t xml:space="preserve"> </w:t>
      </w:r>
      <w:r w:rsidR="0097751A">
        <w:rPr>
          <w:rFonts w:ascii="Times New Roman" w:hAnsi="Times New Roman"/>
          <w:szCs w:val="24"/>
          <w:lang w:bidi="en-US"/>
        </w:rPr>
        <w:t xml:space="preserve">change </w:t>
      </w:r>
      <w:r w:rsidRPr="00075EC0">
        <w:rPr>
          <w:rFonts w:ascii="Times New Roman" w:hAnsi="Times New Roman"/>
          <w:szCs w:val="24"/>
          <w:lang w:bidi="en-US"/>
        </w:rPr>
        <w:t>in burden hours</w:t>
      </w:r>
      <w:r w:rsidR="00AE0691">
        <w:rPr>
          <w:rFonts w:ascii="Times New Roman" w:hAnsi="Times New Roman"/>
          <w:szCs w:val="24"/>
          <w:lang w:bidi="en-US"/>
        </w:rPr>
        <w:t xml:space="preserve"> </w:t>
      </w:r>
      <w:r w:rsidRPr="00075EC0">
        <w:rPr>
          <w:rFonts w:ascii="Times New Roman" w:hAnsi="Times New Roman"/>
          <w:szCs w:val="24"/>
          <w:lang w:bidi="en-US"/>
        </w:rPr>
        <w:t xml:space="preserve">stems from </w:t>
      </w:r>
      <w:r w:rsidR="005E7F9F">
        <w:rPr>
          <w:rFonts w:ascii="Times New Roman" w:hAnsi="Times New Roman"/>
          <w:szCs w:val="24"/>
          <w:lang w:bidi="en-US"/>
        </w:rPr>
        <w:t xml:space="preserve">adding </w:t>
      </w:r>
      <w:r w:rsidR="0097751A">
        <w:rPr>
          <w:rFonts w:ascii="Times New Roman" w:hAnsi="Times New Roman"/>
          <w:szCs w:val="24"/>
          <w:lang w:bidi="en-US"/>
        </w:rPr>
        <w:t xml:space="preserve">the new distribution of Radio Surveys, and discontinuing the TV PSA due to </w:t>
      </w:r>
      <w:r w:rsidR="0097751A" w:rsidRPr="0097751A">
        <w:rPr>
          <w:rFonts w:ascii="Times New Roman" w:hAnsi="Times New Roman"/>
          <w:szCs w:val="24"/>
          <w:lang w:bidi="en-US"/>
        </w:rPr>
        <w:t>the high volume of interest for audio products delivered via the internet</w:t>
      </w:r>
      <w:r w:rsidR="0097751A">
        <w:rPr>
          <w:rFonts w:ascii="Times New Roman" w:hAnsi="Times New Roman"/>
          <w:szCs w:val="24"/>
          <w:lang w:bidi="en-US"/>
        </w:rPr>
        <w:t xml:space="preserve">.  </w:t>
      </w:r>
    </w:p>
    <w:p w:rsidR="00B26F93" w:rsidRPr="00B26F93" w:rsidRDefault="00B26F93" w:rsidP="004D30A9">
      <w:pPr>
        <w:spacing w:after="0"/>
        <w:ind w:left="1440"/>
        <w:rPr>
          <w:rFonts w:ascii="Times New Roman" w:hAnsi="Times New Roman"/>
          <w:szCs w:val="24"/>
          <w:lang w:bidi="en-US"/>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RDefault="00075EC0" w:rsidP="004D30A9">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RDefault="00EF2277" w:rsidP="004D30A9">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RDefault="00075EC0" w:rsidP="004D30A9">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75EC0" w:rsidRPr="00075EC0" w:rsidRDefault="00075EC0" w:rsidP="004D30A9">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1" w:name="_msoanchor_2"/>
      <w:bookmarkEnd w:id="1"/>
      <w:r w:rsidRPr="00075EC0">
        <w:rPr>
          <w:rFonts w:ascii="Times New Roman" w:hAnsi="Times New Roman"/>
          <w:bCs/>
          <w:i/>
          <w:iCs/>
          <w:vanish/>
          <w:szCs w:val="24"/>
          <w:lang w:bidi="en-US"/>
        </w:rPr>
        <w:t>   </w:t>
      </w:r>
    </w:p>
    <w:p w:rsidR="00075EC0" w:rsidRPr="00075EC0" w:rsidRDefault="00075EC0" w:rsidP="004D30A9">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4D30A9" w:rsidP="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00075EC0" w:rsidRPr="00075EC0">
        <w:rPr>
          <w:rFonts w:ascii="Times New Roman" w:hAnsi="Times New Roman"/>
          <w:b/>
          <w:szCs w:val="24"/>
          <w:u w:val="single"/>
        </w:rPr>
        <w:t>Collections of Information Employing Statistical Methods</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RDefault="00075EC0" w:rsidP="004D30A9">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nsid w:val="7866410B"/>
    <w:multiLevelType w:val="singleLevel"/>
    <w:tmpl w:val="59849592"/>
    <w:lvl w:ilvl="0">
      <w:start w:val="2"/>
      <w:numFmt w:val="decimal"/>
      <w:lvlText w:val="%1."/>
      <w:lvlJc w:val="left"/>
      <w:pPr>
        <w:tabs>
          <w:tab w:val="num" w:pos="720"/>
        </w:tabs>
        <w:ind w:left="720" w:hanging="720"/>
      </w:pPr>
      <w:rPr>
        <w:b/>
      </w:rPr>
    </w:lvl>
  </w:abstractNum>
  <w:abstractNum w:abstractNumId="5">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C0"/>
    <w:rsid w:val="0006367C"/>
    <w:rsid w:val="00075EC0"/>
    <w:rsid w:val="000C2F67"/>
    <w:rsid w:val="00154820"/>
    <w:rsid w:val="00157F44"/>
    <w:rsid w:val="0016393C"/>
    <w:rsid w:val="00181D38"/>
    <w:rsid w:val="0018516A"/>
    <w:rsid w:val="001C3D2F"/>
    <w:rsid w:val="001F2D64"/>
    <w:rsid w:val="002361C9"/>
    <w:rsid w:val="00245829"/>
    <w:rsid w:val="00285507"/>
    <w:rsid w:val="002F7CFC"/>
    <w:rsid w:val="00302CAC"/>
    <w:rsid w:val="003116AE"/>
    <w:rsid w:val="00331AC0"/>
    <w:rsid w:val="003374F2"/>
    <w:rsid w:val="0035556B"/>
    <w:rsid w:val="003A28ED"/>
    <w:rsid w:val="003F49AE"/>
    <w:rsid w:val="0049773A"/>
    <w:rsid w:val="004D30A9"/>
    <w:rsid w:val="004F2E20"/>
    <w:rsid w:val="0058295F"/>
    <w:rsid w:val="005E7F9F"/>
    <w:rsid w:val="005F08CA"/>
    <w:rsid w:val="00642EC5"/>
    <w:rsid w:val="00691A33"/>
    <w:rsid w:val="006E4ED0"/>
    <w:rsid w:val="007161E3"/>
    <w:rsid w:val="00741CD6"/>
    <w:rsid w:val="007749D9"/>
    <w:rsid w:val="007835E9"/>
    <w:rsid w:val="00794759"/>
    <w:rsid w:val="00795122"/>
    <w:rsid w:val="007F0E37"/>
    <w:rsid w:val="00843DB4"/>
    <w:rsid w:val="00857928"/>
    <w:rsid w:val="00875896"/>
    <w:rsid w:val="008D40B6"/>
    <w:rsid w:val="008F3C23"/>
    <w:rsid w:val="008F4A10"/>
    <w:rsid w:val="00953414"/>
    <w:rsid w:val="0097751A"/>
    <w:rsid w:val="00985658"/>
    <w:rsid w:val="009B31A8"/>
    <w:rsid w:val="00A260E2"/>
    <w:rsid w:val="00A404CE"/>
    <w:rsid w:val="00A4318E"/>
    <w:rsid w:val="00A51F00"/>
    <w:rsid w:val="00A82994"/>
    <w:rsid w:val="00AE0691"/>
    <w:rsid w:val="00B229CE"/>
    <w:rsid w:val="00B25B56"/>
    <w:rsid w:val="00B26F93"/>
    <w:rsid w:val="00C1274C"/>
    <w:rsid w:val="00C1425A"/>
    <w:rsid w:val="00C239E0"/>
    <w:rsid w:val="00C5182A"/>
    <w:rsid w:val="00C75C49"/>
    <w:rsid w:val="00CB2836"/>
    <w:rsid w:val="00CD4D36"/>
    <w:rsid w:val="00D339E9"/>
    <w:rsid w:val="00D34531"/>
    <w:rsid w:val="00D6461A"/>
    <w:rsid w:val="00D9026B"/>
    <w:rsid w:val="00DA4D88"/>
    <w:rsid w:val="00DE47BE"/>
    <w:rsid w:val="00E328A5"/>
    <w:rsid w:val="00E5707B"/>
    <w:rsid w:val="00E904C6"/>
    <w:rsid w:val="00ED5BA4"/>
    <w:rsid w:val="00EF2277"/>
    <w:rsid w:val="00EF4064"/>
    <w:rsid w:val="00F0470D"/>
    <w:rsid w:val="00F07C93"/>
    <w:rsid w:val="00F23393"/>
    <w:rsid w:val="00F25DA2"/>
    <w:rsid w:val="00F45921"/>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dcterms:created xsi:type="dcterms:W3CDTF">2017-10-02T18:52:00Z</dcterms:created>
  <dcterms:modified xsi:type="dcterms:W3CDTF">2017-10-02T18:52:00Z</dcterms:modified>
</cp:coreProperties>
</file>