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13" w:rsidRDefault="00F107B7" w:rsidP="00AD15B6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D15B6">
        <w:rPr>
          <w:rFonts w:ascii="Times New Roman" w:hAnsi="Times New Roman" w:cs="Times New Roman"/>
        </w:rPr>
        <w:t xml:space="preserve">Supporting Statement for </w:t>
      </w:r>
      <w:r w:rsidR="00A57B13">
        <w:rPr>
          <w:rFonts w:ascii="Times New Roman" w:hAnsi="Times New Roman" w:cs="Times New Roman"/>
        </w:rPr>
        <w:t>the SSA-187 and SSA-188</w:t>
      </w:r>
    </w:p>
    <w:p w:rsidR="00150A06" w:rsidRDefault="00A54A32" w:rsidP="00AD15B6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AD15B6">
        <w:rPr>
          <w:rFonts w:ascii="Times New Roman" w:hAnsi="Times New Roman" w:cs="Times New Roman"/>
        </w:rPr>
        <w:t xml:space="preserve">Incoming </w:t>
      </w:r>
      <w:r w:rsidR="00C3302D" w:rsidRPr="00AD15B6">
        <w:rPr>
          <w:rFonts w:ascii="Times New Roman" w:hAnsi="Times New Roman" w:cs="Times New Roman"/>
        </w:rPr>
        <w:t xml:space="preserve">and Outgoing </w:t>
      </w:r>
      <w:r w:rsidR="00E50200" w:rsidRPr="00AD15B6">
        <w:rPr>
          <w:rFonts w:ascii="Times New Roman" w:hAnsi="Times New Roman" w:cs="Times New Roman"/>
        </w:rPr>
        <w:t xml:space="preserve">Intergovernmental </w:t>
      </w:r>
    </w:p>
    <w:p w:rsidR="00A45D82" w:rsidRPr="00AD15B6" w:rsidRDefault="00E50200" w:rsidP="00AD15B6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AD15B6">
        <w:rPr>
          <w:rFonts w:ascii="Times New Roman" w:hAnsi="Times New Roman" w:cs="Times New Roman"/>
        </w:rPr>
        <w:t xml:space="preserve">Personnel Act </w:t>
      </w:r>
      <w:r w:rsidR="00A54A32" w:rsidRPr="00AD15B6">
        <w:rPr>
          <w:rFonts w:ascii="Times New Roman" w:hAnsi="Times New Roman" w:cs="Times New Roman"/>
        </w:rPr>
        <w:t>Assignment Agreement</w:t>
      </w:r>
    </w:p>
    <w:p w:rsidR="00150A06" w:rsidRPr="00AD15B6" w:rsidRDefault="00AD15B6" w:rsidP="00D71D1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Pr="00AD15B6">
        <w:rPr>
          <w:rFonts w:ascii="Times New Roman" w:hAnsi="Times New Roman"/>
          <w:b/>
        </w:rPr>
        <w:t xml:space="preserve"> CFR</w:t>
      </w:r>
      <w:r>
        <w:rPr>
          <w:rFonts w:ascii="Times New Roman" w:hAnsi="Times New Roman"/>
          <w:b/>
        </w:rPr>
        <w:t xml:space="preserve"> 334</w:t>
      </w:r>
    </w:p>
    <w:p w:rsidR="00A45D82" w:rsidRPr="00AD15B6" w:rsidRDefault="008B6774" w:rsidP="00A45D82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AD15B6">
        <w:rPr>
          <w:rFonts w:ascii="Times New Roman" w:hAnsi="Times New Roman" w:cs="Times New Roman"/>
        </w:rPr>
        <w:t xml:space="preserve">OMB </w:t>
      </w:r>
      <w:r w:rsidR="002321B0" w:rsidRPr="00AD15B6">
        <w:rPr>
          <w:rFonts w:ascii="Times New Roman" w:hAnsi="Times New Roman" w:cs="Times New Roman"/>
        </w:rPr>
        <w:t>No.</w:t>
      </w:r>
      <w:r w:rsidRPr="00AD15B6">
        <w:rPr>
          <w:rFonts w:ascii="Times New Roman" w:hAnsi="Times New Roman" w:cs="Times New Roman"/>
        </w:rPr>
        <w:t xml:space="preserve"> 0960-</w:t>
      </w:r>
      <w:r w:rsidR="005A6916">
        <w:rPr>
          <w:rFonts w:ascii="Times New Roman" w:hAnsi="Times New Roman" w:cs="Times New Roman"/>
        </w:rPr>
        <w:t>0792</w:t>
      </w:r>
    </w:p>
    <w:p w:rsidR="00A45D82" w:rsidRPr="00BC7F42" w:rsidRDefault="00A45D82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393DE4" w:rsidRPr="00393DE4" w:rsidRDefault="00A45D82" w:rsidP="00393DE4">
      <w:pPr>
        <w:numPr>
          <w:ilvl w:val="0"/>
          <w:numId w:val="39"/>
        </w:numPr>
        <w:rPr>
          <w:rFonts w:ascii="Times New Roman" w:hAnsi="Times New Roman"/>
          <w:b/>
        </w:rPr>
      </w:pPr>
      <w:r w:rsidRPr="002321B0">
        <w:rPr>
          <w:rFonts w:ascii="Times New Roman" w:hAnsi="Times New Roman"/>
          <w:b/>
          <w:u w:val="single"/>
        </w:rPr>
        <w:t>Justification</w:t>
      </w:r>
    </w:p>
    <w:p w:rsidR="00393DE4" w:rsidRDefault="00393DE4" w:rsidP="00393DE4">
      <w:pPr>
        <w:ind w:left="360"/>
        <w:rPr>
          <w:rFonts w:ascii="Times New Roman" w:hAnsi="Times New Roman"/>
          <w:b/>
          <w:u w:val="single"/>
        </w:rPr>
      </w:pPr>
    </w:p>
    <w:p w:rsidR="00393DE4" w:rsidRDefault="00393DE4" w:rsidP="00393DE4">
      <w:pPr>
        <w:numPr>
          <w:ilvl w:val="0"/>
          <w:numId w:val="40"/>
        </w:numPr>
        <w:rPr>
          <w:rFonts w:ascii="Times New Roman" w:hAnsi="Times New Roman"/>
          <w:b/>
        </w:rPr>
      </w:pPr>
      <w:r w:rsidRPr="00393DE4">
        <w:rPr>
          <w:rFonts w:ascii="Times New Roman" w:hAnsi="Times New Roman"/>
          <w:b/>
        </w:rPr>
        <w:t>Introduction/Authoring Laws and Regulations</w:t>
      </w:r>
    </w:p>
    <w:p w:rsidR="00393DE4" w:rsidRDefault="00393DE4" w:rsidP="00393DE4">
      <w:pPr>
        <w:ind w:left="720"/>
        <w:rPr>
          <w:rFonts w:ascii="Times New Roman" w:hAnsi="Times New Roman"/>
        </w:rPr>
      </w:pPr>
      <w:r w:rsidRPr="00393DE4">
        <w:rPr>
          <w:rFonts w:ascii="Times New Roman" w:hAnsi="Times New Roman"/>
        </w:rPr>
        <w:t xml:space="preserve">The Intergovernmental Personnel Act (IPA) mobility program provides for the temporary assignment of personnel between the Federal Government and state </w:t>
      </w:r>
      <w:r w:rsidR="00D71D16">
        <w:rPr>
          <w:rFonts w:ascii="Times New Roman" w:hAnsi="Times New Roman"/>
        </w:rPr>
        <w:t>and local governments; colleges and universities; Indian tribal governments;</w:t>
      </w:r>
      <w:r w:rsidRPr="00393DE4">
        <w:rPr>
          <w:rFonts w:ascii="Times New Roman" w:hAnsi="Times New Roman"/>
        </w:rPr>
        <w:t xml:space="preserve"> federally funded r</w:t>
      </w:r>
      <w:r w:rsidR="00D71D16">
        <w:rPr>
          <w:rFonts w:ascii="Times New Roman" w:hAnsi="Times New Roman"/>
        </w:rPr>
        <w:t>esearch and development centers;</w:t>
      </w:r>
      <w:r w:rsidRPr="00393DE4">
        <w:rPr>
          <w:rFonts w:ascii="Times New Roman" w:hAnsi="Times New Roman"/>
        </w:rPr>
        <w:t xml:space="preserve"> and other eligible organizations.  The</w:t>
      </w:r>
      <w:r w:rsidR="00D71D16">
        <w:rPr>
          <w:rFonts w:ascii="Times New Roman" w:hAnsi="Times New Roman"/>
        </w:rPr>
        <w:t xml:space="preserve"> Office of Personnel Management (OPM) revised the</w:t>
      </w:r>
      <w:r w:rsidRPr="00393DE4">
        <w:rPr>
          <w:rFonts w:ascii="Times New Roman" w:hAnsi="Times New Roman"/>
        </w:rPr>
        <w:t xml:space="preserve"> 1970 IPA mobility program regulations, </w:t>
      </w:r>
      <w:r w:rsidRPr="00393DE4">
        <w:rPr>
          <w:rFonts w:ascii="Times New Roman" w:hAnsi="Times New Roman"/>
          <w:i/>
        </w:rPr>
        <w:t>5 CFR 334</w:t>
      </w:r>
      <w:r w:rsidRPr="00393DE4">
        <w:rPr>
          <w:rFonts w:ascii="Times New Roman" w:hAnsi="Times New Roman"/>
        </w:rPr>
        <w:t xml:space="preserve"> of the </w:t>
      </w:r>
      <w:r w:rsidRPr="00393DE4">
        <w:rPr>
          <w:rFonts w:ascii="Times New Roman" w:hAnsi="Times New Roman"/>
          <w:i/>
        </w:rPr>
        <w:t>Code of Federal Regulations</w:t>
      </w:r>
      <w:r w:rsidR="00D71D16">
        <w:rPr>
          <w:rFonts w:ascii="Times New Roman" w:hAnsi="Times New Roman"/>
        </w:rPr>
        <w:t xml:space="preserve">, </w:t>
      </w:r>
      <w:r w:rsidRPr="00393DE4">
        <w:rPr>
          <w:rFonts w:ascii="Times New Roman" w:hAnsi="Times New Roman"/>
        </w:rPr>
        <w:t>effective May 29, 1997.  The revisions contain two major changes:</w:t>
      </w:r>
    </w:p>
    <w:p w:rsidR="00D71D16" w:rsidRDefault="00D71D16" w:rsidP="00393DE4">
      <w:pPr>
        <w:ind w:left="720"/>
        <w:rPr>
          <w:rFonts w:ascii="Times New Roman" w:hAnsi="Times New Roman"/>
        </w:rPr>
      </w:pPr>
    </w:p>
    <w:p w:rsidR="00D71D16" w:rsidRDefault="00D71D16" w:rsidP="00D71D16">
      <w:pPr>
        <w:pStyle w:val="NormalWeb"/>
        <w:numPr>
          <w:ilvl w:val="0"/>
          <w:numId w:val="37"/>
        </w:numPr>
        <w:spacing w:before="0" w:beforeAutospacing="0" w:after="0" w:afterAutospacing="0"/>
      </w:pPr>
      <w:r>
        <w:t>Agencies are responsible for certifying the eligibility of "other organizations" for participation in the mobility program; and</w:t>
      </w:r>
    </w:p>
    <w:p w:rsidR="00D71D16" w:rsidRDefault="00D71D16" w:rsidP="00D71D16">
      <w:pPr>
        <w:pStyle w:val="NormalWeb"/>
        <w:spacing w:before="0" w:beforeAutospacing="0" w:after="0" w:afterAutospacing="0"/>
        <w:ind w:left="1440"/>
      </w:pPr>
    </w:p>
    <w:p w:rsidR="00D71D16" w:rsidRPr="00D71D16" w:rsidRDefault="00D71D16" w:rsidP="00D71D16">
      <w:pPr>
        <w:pStyle w:val="NormalWeb"/>
        <w:numPr>
          <w:ilvl w:val="0"/>
          <w:numId w:val="37"/>
        </w:numPr>
        <w:spacing w:before="0" w:beforeAutospacing="0" w:after="0" w:afterAutospacing="0"/>
      </w:pPr>
      <w:r w:rsidRPr="00D71D16">
        <w:t>Agencies need no longer submit assignment agreements to the Office of Personnel Management (OPM).</w:t>
      </w:r>
    </w:p>
    <w:p w:rsidR="00D71D16" w:rsidRDefault="00D71D16" w:rsidP="00393DE4">
      <w:pPr>
        <w:ind w:left="720"/>
        <w:rPr>
          <w:rFonts w:ascii="Times New Roman" w:hAnsi="Times New Roman"/>
        </w:rPr>
      </w:pPr>
    </w:p>
    <w:p w:rsidR="00D71D16" w:rsidRDefault="00D71D16" w:rsidP="00393DE4">
      <w:pPr>
        <w:ind w:left="720"/>
        <w:rPr>
          <w:rFonts w:ascii="Times New Roman" w:hAnsi="Times New Roman"/>
        </w:rPr>
      </w:pPr>
      <w:r w:rsidRPr="00D71D16">
        <w:rPr>
          <w:rFonts w:ascii="Times New Roman" w:hAnsi="Times New Roman"/>
        </w:rPr>
        <w:t xml:space="preserve">Further, OPM instructs agencies to document their IPA assignment.  OPM’s website, </w:t>
      </w:r>
      <w:hyperlink r:id="rId9" w:history="1">
        <w:r w:rsidRPr="00D71D16">
          <w:rPr>
            <w:rStyle w:val="Hyperlink"/>
            <w:rFonts w:ascii="Times New Roman" w:hAnsi="Times New Roman"/>
          </w:rPr>
          <w:t>http://www.opm.gov/programs/ipa/mobility.asp</w:t>
        </w:r>
      </w:hyperlink>
      <w:r w:rsidRPr="00D71D16">
        <w:rPr>
          <w:rFonts w:ascii="Times New Roman" w:hAnsi="Times New Roman"/>
        </w:rPr>
        <w:t>, shows a list of requirements for written agreements.  In creati</w:t>
      </w:r>
      <w:r>
        <w:rPr>
          <w:rFonts w:ascii="Times New Roman" w:hAnsi="Times New Roman"/>
        </w:rPr>
        <w:t>ng our own versions of OPM’s OF</w:t>
      </w:r>
      <w:r>
        <w:rPr>
          <w:rFonts w:ascii="Times New Roman" w:hAnsi="Times New Roman"/>
        </w:rPr>
        <w:noBreakHyphen/>
      </w:r>
      <w:r w:rsidRPr="00D71D16">
        <w:rPr>
          <w:rFonts w:ascii="Times New Roman" w:hAnsi="Times New Roman"/>
        </w:rPr>
        <w:t xml:space="preserve">69 form for IPA, SSA used this list of requirements, and based our version on the OF-69.  Therefore, we included all the items </w:t>
      </w:r>
      <w:r>
        <w:rPr>
          <w:rFonts w:ascii="Times New Roman" w:hAnsi="Times New Roman"/>
        </w:rPr>
        <w:t>from OPM’s list, such as name;</w:t>
      </w:r>
      <w:r w:rsidRPr="00D71D16">
        <w:rPr>
          <w:rFonts w:ascii="Times New Roman" w:hAnsi="Times New Roman"/>
        </w:rPr>
        <w:t xml:space="preserve"> Social Security number (SSN)</w:t>
      </w:r>
      <w:r>
        <w:rPr>
          <w:rFonts w:ascii="Times New Roman" w:hAnsi="Times New Roman"/>
        </w:rPr>
        <w:t>; current job title; salary; parties to the agreement;</w:t>
      </w:r>
      <w:r w:rsidRPr="00D71D16">
        <w:rPr>
          <w:rFonts w:ascii="Times New Roman" w:hAnsi="Times New Roman"/>
        </w:rPr>
        <w:t xml:space="preserve"> position information</w:t>
      </w:r>
      <w:r>
        <w:rPr>
          <w:rFonts w:ascii="Times New Roman" w:hAnsi="Times New Roman"/>
        </w:rPr>
        <w:t>; type of assignment;</w:t>
      </w:r>
      <w:r w:rsidRPr="00D71D16">
        <w:rPr>
          <w:rFonts w:ascii="Times New Roman" w:hAnsi="Times New Roman"/>
        </w:rPr>
        <w:t xml:space="preserve"> etc. (see OPM’s website for the complete list).</w:t>
      </w:r>
    </w:p>
    <w:p w:rsidR="00D71D16" w:rsidRPr="00D71D16" w:rsidRDefault="00D71D16" w:rsidP="00393DE4">
      <w:pPr>
        <w:ind w:left="720"/>
        <w:rPr>
          <w:rFonts w:ascii="Times New Roman" w:hAnsi="Times New Roman"/>
        </w:rPr>
      </w:pPr>
    </w:p>
    <w:p w:rsidR="00D71D16" w:rsidRDefault="00D71D16" w:rsidP="00393DE4">
      <w:pPr>
        <w:ind w:left="720"/>
        <w:rPr>
          <w:rFonts w:ascii="Times New Roman" w:hAnsi="Times New Roman"/>
        </w:rPr>
      </w:pPr>
      <w:r w:rsidRPr="00D71D16">
        <w:rPr>
          <w:rFonts w:ascii="Times New Roman" w:hAnsi="Times New Roman"/>
        </w:rPr>
        <w:t>The respondents are all parties involved in the IPA.  These include the Social Security Administration (SSA) contacts as well as external employees and their non-Federal employers.  Non-Federal organiz</w:t>
      </w:r>
      <w:r>
        <w:rPr>
          <w:rFonts w:ascii="Times New Roman" w:hAnsi="Times New Roman"/>
        </w:rPr>
        <w:t>ations, by definition, include s</w:t>
      </w:r>
      <w:r w:rsidRPr="00D71D16">
        <w:rPr>
          <w:rFonts w:ascii="Times New Roman" w:hAnsi="Times New Roman"/>
        </w:rPr>
        <w:t>tate and local g</w:t>
      </w:r>
      <w:r>
        <w:rPr>
          <w:rFonts w:ascii="Times New Roman" w:hAnsi="Times New Roman"/>
        </w:rPr>
        <w:t>overnments;</w:t>
      </w:r>
      <w:r w:rsidRPr="00D71D16"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>nstitutions of higher education;</w:t>
      </w:r>
      <w:r w:rsidRPr="00D71D16">
        <w:rPr>
          <w:rFonts w:ascii="Times New Roman" w:hAnsi="Times New Roman"/>
        </w:rPr>
        <w:t xml:space="preserve"> Indian tribal </w:t>
      </w:r>
      <w:r>
        <w:rPr>
          <w:rFonts w:ascii="Times New Roman" w:hAnsi="Times New Roman"/>
        </w:rPr>
        <w:t>governments;</w:t>
      </w:r>
      <w:r w:rsidRPr="00D71D16">
        <w:rPr>
          <w:rFonts w:ascii="Times New Roman" w:hAnsi="Times New Roman"/>
        </w:rPr>
        <w:t xml:space="preserve"> and “other” eligible organizations.  “Other” organizations, as defined in </w:t>
      </w:r>
      <w:r w:rsidRPr="00D71D16">
        <w:rPr>
          <w:rFonts w:ascii="Times New Roman" w:hAnsi="Times New Roman"/>
          <w:i/>
        </w:rPr>
        <w:t>5 USC 3371(4)</w:t>
      </w:r>
      <w:r w:rsidRPr="00D71D16">
        <w:rPr>
          <w:rFonts w:ascii="Times New Roman" w:hAnsi="Times New Roman"/>
        </w:rPr>
        <w:t xml:space="preserve"> of the </w:t>
      </w:r>
      <w:r w:rsidRPr="00D71D16">
        <w:rPr>
          <w:rFonts w:ascii="Times New Roman" w:hAnsi="Times New Roman"/>
          <w:i/>
        </w:rPr>
        <w:t>United States Code</w:t>
      </w:r>
      <w:r w:rsidRPr="00D71D16">
        <w:rPr>
          <w:rFonts w:ascii="Times New Roman" w:hAnsi="Times New Roman"/>
        </w:rPr>
        <w:t>, may be:</w:t>
      </w:r>
    </w:p>
    <w:p w:rsidR="00D71D16" w:rsidRDefault="00D71D16" w:rsidP="00393DE4">
      <w:pPr>
        <w:ind w:left="720"/>
        <w:rPr>
          <w:rFonts w:ascii="Times New Roman" w:hAnsi="Times New Roman"/>
        </w:rPr>
      </w:pPr>
    </w:p>
    <w:p w:rsidR="00D71D16" w:rsidRDefault="00D71D16" w:rsidP="00D71D16">
      <w:pPr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A national, regional, s</w:t>
      </w:r>
      <w:r w:rsidRPr="00AD15B6">
        <w:rPr>
          <w:rFonts w:ascii="Times New Roman" w:hAnsi="Times New Roman"/>
        </w:rPr>
        <w:t>tatewide, area wide, or metropolitan organization representing me</w:t>
      </w:r>
      <w:r>
        <w:rPr>
          <w:rFonts w:ascii="Times New Roman" w:hAnsi="Times New Roman"/>
        </w:rPr>
        <w:t>mber state or local governments;</w:t>
      </w:r>
    </w:p>
    <w:p w:rsidR="00D71D16" w:rsidRDefault="00D71D16" w:rsidP="00D71D16">
      <w:pPr>
        <w:ind w:left="1440"/>
        <w:rPr>
          <w:rFonts w:ascii="Times New Roman" w:hAnsi="Times New Roman"/>
        </w:rPr>
      </w:pPr>
    </w:p>
    <w:p w:rsidR="00D71D16" w:rsidRDefault="00D71D16" w:rsidP="00D71D16">
      <w:pPr>
        <w:numPr>
          <w:ilvl w:val="0"/>
          <w:numId w:val="38"/>
        </w:numPr>
        <w:rPr>
          <w:rFonts w:ascii="Times New Roman" w:hAnsi="Times New Roman"/>
        </w:rPr>
      </w:pPr>
      <w:r w:rsidRPr="00AD15B6">
        <w:rPr>
          <w:rFonts w:ascii="Times New Roman" w:hAnsi="Times New Roman"/>
        </w:rPr>
        <w:t xml:space="preserve">An association of </w:t>
      </w:r>
      <w:r>
        <w:rPr>
          <w:rFonts w:ascii="Times New Roman" w:hAnsi="Times New Roman"/>
        </w:rPr>
        <w:t>state or local public officials;</w:t>
      </w:r>
    </w:p>
    <w:p w:rsidR="00D71D16" w:rsidRDefault="00D71D16" w:rsidP="00D71D16">
      <w:pPr>
        <w:ind w:left="1440"/>
        <w:rPr>
          <w:rFonts w:ascii="Times New Roman" w:hAnsi="Times New Roman"/>
        </w:rPr>
      </w:pPr>
    </w:p>
    <w:p w:rsidR="00D71D16" w:rsidRDefault="00D71D16" w:rsidP="00D71D16">
      <w:pPr>
        <w:numPr>
          <w:ilvl w:val="0"/>
          <w:numId w:val="38"/>
        </w:numPr>
        <w:rPr>
          <w:rFonts w:ascii="Times New Roman" w:hAnsi="Times New Roman"/>
        </w:rPr>
      </w:pPr>
      <w:r w:rsidRPr="00AD15B6">
        <w:rPr>
          <w:rFonts w:ascii="Times New Roman" w:hAnsi="Times New Roman"/>
        </w:rPr>
        <w:t xml:space="preserve">A nonprofit organization which offers, as one of its principal functions, </w:t>
      </w:r>
      <w:r>
        <w:rPr>
          <w:rFonts w:ascii="Times New Roman" w:hAnsi="Times New Roman"/>
        </w:rPr>
        <w:t xml:space="preserve">professional advisory; research; educational </w:t>
      </w:r>
      <w:r w:rsidRPr="00AD15B6">
        <w:rPr>
          <w:rFonts w:ascii="Times New Roman" w:hAnsi="Times New Roman"/>
        </w:rPr>
        <w:t>or development service</w:t>
      </w:r>
      <w:r>
        <w:rPr>
          <w:rFonts w:ascii="Times New Roman" w:hAnsi="Times New Roman"/>
        </w:rPr>
        <w:t>s;</w:t>
      </w:r>
      <w:r w:rsidRPr="00AD15B6">
        <w:rPr>
          <w:rFonts w:ascii="Times New Roman" w:hAnsi="Times New Roman"/>
        </w:rPr>
        <w:t xml:space="preserve"> or </w:t>
      </w:r>
      <w:r w:rsidRPr="00AD15B6">
        <w:rPr>
          <w:rFonts w:ascii="Times New Roman" w:hAnsi="Times New Roman"/>
        </w:rPr>
        <w:lastRenderedPageBreak/>
        <w:t>related services to governments or universities c</w:t>
      </w:r>
      <w:r>
        <w:rPr>
          <w:rFonts w:ascii="Times New Roman" w:hAnsi="Times New Roman"/>
        </w:rPr>
        <w:t>oncerned with public management;</w:t>
      </w:r>
      <w:r w:rsidRPr="00AD15B6">
        <w:rPr>
          <w:rFonts w:ascii="Times New Roman" w:hAnsi="Times New Roman"/>
        </w:rPr>
        <w:t xml:space="preserve"> or</w:t>
      </w:r>
    </w:p>
    <w:p w:rsidR="00D71D16" w:rsidRDefault="00D71D16" w:rsidP="00D71D16">
      <w:pPr>
        <w:pStyle w:val="ListParagraph"/>
        <w:rPr>
          <w:rFonts w:ascii="Times New Roman" w:hAnsi="Times New Roman"/>
        </w:rPr>
      </w:pPr>
    </w:p>
    <w:p w:rsidR="00D71D16" w:rsidRPr="00D71D16" w:rsidRDefault="00D71D16" w:rsidP="00D71D16">
      <w:pPr>
        <w:numPr>
          <w:ilvl w:val="0"/>
          <w:numId w:val="38"/>
        </w:numPr>
        <w:rPr>
          <w:rFonts w:ascii="Times New Roman" w:hAnsi="Times New Roman"/>
        </w:rPr>
      </w:pPr>
      <w:r w:rsidRPr="00D71D16">
        <w:rPr>
          <w:rFonts w:ascii="Times New Roman" w:hAnsi="Times New Roman"/>
        </w:rPr>
        <w:t>A federally funded research and development center.</w:t>
      </w:r>
    </w:p>
    <w:p w:rsidR="00D71D16" w:rsidRPr="00D71D16" w:rsidRDefault="00D71D16" w:rsidP="00393DE4">
      <w:pPr>
        <w:ind w:left="720"/>
        <w:rPr>
          <w:rFonts w:ascii="Times New Roman" w:hAnsi="Times New Roman"/>
        </w:rPr>
      </w:pPr>
    </w:p>
    <w:p w:rsidR="00D71D16" w:rsidRDefault="00D71D16" w:rsidP="00393DE4">
      <w:pPr>
        <w:ind w:left="720"/>
        <w:rPr>
          <w:rFonts w:ascii="Times New Roman" w:hAnsi="Times New Roman"/>
        </w:rPr>
      </w:pPr>
      <w:r w:rsidRPr="00D71D16">
        <w:rPr>
          <w:rFonts w:ascii="Times New Roman" w:hAnsi="Times New Roman"/>
        </w:rPr>
        <w:t>The legal authority for assignments</w:t>
      </w:r>
      <w:r>
        <w:rPr>
          <w:rFonts w:ascii="Times New Roman" w:hAnsi="Times New Roman"/>
        </w:rPr>
        <w:t xml:space="preserve"> </w:t>
      </w:r>
      <w:r w:rsidRPr="00D71D16">
        <w:rPr>
          <w:rFonts w:ascii="Times New Roman" w:hAnsi="Times New Roman"/>
        </w:rPr>
        <w:t xml:space="preserve">under the Intergovernmental Personnel Act is </w:t>
      </w:r>
      <w:r>
        <w:rPr>
          <w:rFonts w:ascii="Times New Roman" w:hAnsi="Times New Roman"/>
          <w:i/>
        </w:rPr>
        <w:t xml:space="preserve">5 USC 3371 - </w:t>
      </w:r>
      <w:r w:rsidRPr="00D71D16">
        <w:rPr>
          <w:rFonts w:ascii="Times New Roman" w:hAnsi="Times New Roman"/>
          <w:i/>
        </w:rPr>
        <w:t>3375</w:t>
      </w:r>
      <w:r w:rsidRPr="00D71D16">
        <w:rPr>
          <w:rFonts w:ascii="Times New Roman" w:hAnsi="Times New Roman"/>
        </w:rPr>
        <w:t xml:space="preserve">, and in </w:t>
      </w:r>
      <w:r w:rsidRPr="00D71D16">
        <w:rPr>
          <w:rFonts w:ascii="Times New Roman" w:hAnsi="Times New Roman"/>
          <w:i/>
        </w:rPr>
        <w:t xml:space="preserve">5 CFR 334 </w:t>
      </w:r>
      <w:r w:rsidRPr="00D71D16">
        <w:rPr>
          <w:rFonts w:ascii="Times New Roman" w:hAnsi="Times New Roman"/>
        </w:rPr>
        <w:t>of</w:t>
      </w:r>
      <w:r w:rsidRPr="00D71D16">
        <w:rPr>
          <w:rFonts w:ascii="Times New Roman" w:hAnsi="Times New Roman"/>
          <w:i/>
        </w:rPr>
        <w:t xml:space="preserve"> </w:t>
      </w:r>
      <w:r w:rsidRPr="00D71D16">
        <w:rPr>
          <w:rFonts w:ascii="Times New Roman" w:hAnsi="Times New Roman"/>
        </w:rPr>
        <w:t xml:space="preserve">the </w:t>
      </w:r>
      <w:r w:rsidRPr="00D71D16">
        <w:rPr>
          <w:rFonts w:ascii="Times New Roman" w:hAnsi="Times New Roman"/>
          <w:i/>
        </w:rPr>
        <w:t>Code of Federal Regulations</w:t>
      </w:r>
      <w:r w:rsidRPr="00D71D16">
        <w:rPr>
          <w:rFonts w:ascii="Times New Roman" w:hAnsi="Times New Roman"/>
        </w:rPr>
        <w:t>.</w:t>
      </w:r>
    </w:p>
    <w:p w:rsidR="00D71D16" w:rsidRPr="00D71D16" w:rsidRDefault="00D71D16" w:rsidP="00393DE4">
      <w:pPr>
        <w:ind w:left="720"/>
        <w:rPr>
          <w:rFonts w:ascii="Times New Roman" w:hAnsi="Times New Roman"/>
        </w:rPr>
      </w:pPr>
    </w:p>
    <w:p w:rsidR="00393DE4" w:rsidRDefault="00D71D16" w:rsidP="00393DE4">
      <w:pPr>
        <w:numPr>
          <w:ilvl w:val="0"/>
          <w:numId w:val="40"/>
        </w:numPr>
        <w:rPr>
          <w:rFonts w:ascii="Times New Roman" w:hAnsi="Times New Roman"/>
          <w:b/>
        </w:rPr>
      </w:pPr>
      <w:r w:rsidRPr="00760797">
        <w:rPr>
          <w:rFonts w:ascii="Times New Roman" w:hAnsi="Times New Roman"/>
          <w:b/>
        </w:rPr>
        <w:t>Description of Collectio</w:t>
      </w:r>
      <w:r>
        <w:rPr>
          <w:rFonts w:ascii="Times New Roman" w:hAnsi="Times New Roman"/>
          <w:b/>
        </w:rPr>
        <w:t>n</w:t>
      </w:r>
    </w:p>
    <w:p w:rsidR="00D71D16" w:rsidRDefault="00D71D16" w:rsidP="00D71D1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OPM</w:t>
      </w:r>
      <w:r w:rsidRPr="00760797">
        <w:rPr>
          <w:rFonts w:ascii="Times New Roman" w:hAnsi="Times New Roman"/>
        </w:rPr>
        <w:t xml:space="preserve"> created a generic form, the OF-69, for agencies to use as a template when collecting information for the IPA assignment.  The OF-69 collects </w:t>
      </w:r>
      <w:r>
        <w:rPr>
          <w:rFonts w:ascii="Times New Roman" w:hAnsi="Times New Roman"/>
        </w:rPr>
        <w:t xml:space="preserve">the </w:t>
      </w:r>
      <w:r w:rsidRPr="00760797">
        <w:rPr>
          <w:rFonts w:ascii="Times New Roman" w:hAnsi="Times New Roman"/>
        </w:rPr>
        <w:t xml:space="preserve">information </w:t>
      </w:r>
      <w:r>
        <w:rPr>
          <w:rFonts w:ascii="Times New Roman" w:hAnsi="Times New Roman"/>
        </w:rPr>
        <w:t xml:space="preserve">listed in #1 above </w:t>
      </w:r>
      <w:r w:rsidRPr="00760797">
        <w:rPr>
          <w:rFonts w:ascii="Times New Roman" w:hAnsi="Times New Roman"/>
        </w:rPr>
        <w:t>regarding the specifics of the agreement</w:t>
      </w:r>
      <w:r>
        <w:rPr>
          <w:rFonts w:ascii="Times New Roman" w:hAnsi="Times New Roman"/>
        </w:rPr>
        <w:t>.  These specifics include</w:t>
      </w:r>
      <w:r w:rsidRPr="007607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name; SSN; job title; salary; classification;</w:t>
      </w:r>
      <w:r w:rsidRPr="00760797">
        <w:rPr>
          <w:rFonts w:ascii="Times New Roman" w:hAnsi="Times New Roman"/>
        </w:rPr>
        <w:t xml:space="preserve"> and address of the employee enrolled in the program, as well as information r</w:t>
      </w:r>
      <w:r>
        <w:rPr>
          <w:rFonts w:ascii="Times New Roman" w:hAnsi="Times New Roman"/>
        </w:rPr>
        <w:t>egarding the type of assignment;</w:t>
      </w:r>
      <w:r w:rsidRPr="00760797">
        <w:rPr>
          <w:rFonts w:ascii="Times New Roman" w:hAnsi="Times New Roman"/>
        </w:rPr>
        <w:t xml:space="preserve"> reimbursement arrangement</w:t>
      </w:r>
      <w:r>
        <w:rPr>
          <w:rFonts w:ascii="Times New Roman" w:hAnsi="Times New Roman"/>
        </w:rPr>
        <w:t>; and an explanation as to how the</w:t>
      </w:r>
      <w:r w:rsidRPr="00760797">
        <w:rPr>
          <w:rFonts w:ascii="Times New Roman" w:hAnsi="Times New Roman"/>
        </w:rPr>
        <w:t xml:space="preserve"> assignment will benefit both SSA and the non-federal organization involved in the exchange.</w:t>
      </w:r>
    </w:p>
    <w:p w:rsidR="00D71D16" w:rsidRDefault="00D71D16" w:rsidP="00D71D16">
      <w:pPr>
        <w:ind w:left="720"/>
        <w:rPr>
          <w:rFonts w:ascii="Times New Roman" w:hAnsi="Times New Roman"/>
        </w:rPr>
      </w:pPr>
    </w:p>
    <w:p w:rsidR="00D71D16" w:rsidRDefault="00EA622E" w:rsidP="00D71D16">
      <w:pPr>
        <w:ind w:left="720"/>
        <w:rPr>
          <w:rFonts w:ascii="Times New Roman" w:hAnsi="Times New Roman"/>
          <w:b/>
        </w:rPr>
      </w:pPr>
      <w:r w:rsidRPr="00760797">
        <w:rPr>
          <w:rFonts w:ascii="Times New Roman" w:hAnsi="Times New Roman"/>
        </w:rPr>
        <w:t xml:space="preserve">However, </w:t>
      </w:r>
      <w:r>
        <w:rPr>
          <w:rFonts w:ascii="Times New Roman" w:hAnsi="Times New Roman"/>
        </w:rPr>
        <w:t xml:space="preserve">since </w:t>
      </w:r>
      <w:r w:rsidRPr="00760797">
        <w:rPr>
          <w:rFonts w:ascii="Times New Roman" w:hAnsi="Times New Roman"/>
        </w:rPr>
        <w:t>OPM directs agencies to use their own forms for record</w:t>
      </w:r>
      <w:r>
        <w:rPr>
          <w:rFonts w:ascii="Times New Roman" w:hAnsi="Times New Roman"/>
        </w:rPr>
        <w:t>ing these agreements</w:t>
      </w:r>
      <w:r w:rsidRPr="00760797">
        <w:rPr>
          <w:rFonts w:ascii="Times New Roman" w:hAnsi="Times New Roman"/>
        </w:rPr>
        <w:t>, SSA modified the OF-69 to meet our needs, creating one version for incoming employees</w:t>
      </w:r>
      <w:r>
        <w:rPr>
          <w:rFonts w:ascii="Times New Roman" w:hAnsi="Times New Roman"/>
        </w:rPr>
        <w:t>, the SSA-187</w:t>
      </w:r>
      <w:r w:rsidRPr="00760797">
        <w:rPr>
          <w:rFonts w:ascii="Times New Roman" w:hAnsi="Times New Roman"/>
        </w:rPr>
        <w:t>, and one for outgoing employees</w:t>
      </w:r>
      <w:r>
        <w:rPr>
          <w:rFonts w:ascii="Times New Roman" w:hAnsi="Times New Roman"/>
        </w:rPr>
        <w:t>, the SSA</w:t>
      </w:r>
      <w:r>
        <w:rPr>
          <w:rFonts w:ascii="Times New Roman" w:hAnsi="Times New Roman"/>
        </w:rPr>
        <w:noBreakHyphen/>
        <w:t>188</w:t>
      </w:r>
      <w:r w:rsidRPr="00760797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 xml:space="preserve">SSA collects information on Forms SSA-187 and SSA-188 to document the IPA assignment and to act as an agreement between the agencies.  Per </w:t>
      </w:r>
      <w:r w:rsidRPr="00D71D16">
        <w:rPr>
          <w:rFonts w:ascii="Times New Roman" w:hAnsi="Times New Roman"/>
          <w:i/>
        </w:rPr>
        <w:t>5 CFR 334</w:t>
      </w:r>
      <w:r>
        <w:rPr>
          <w:rFonts w:ascii="Times New Roman" w:hAnsi="Times New Roman"/>
        </w:rPr>
        <w:t xml:space="preserve"> of the </w:t>
      </w:r>
      <w:r w:rsidRPr="00EA622E">
        <w:rPr>
          <w:rFonts w:ascii="Times New Roman" w:hAnsi="Times New Roman"/>
          <w:i/>
        </w:rPr>
        <w:t>Code of Federal Regulations</w:t>
      </w:r>
      <w:r>
        <w:rPr>
          <w:rFonts w:ascii="Times New Roman" w:hAnsi="Times New Roman"/>
        </w:rPr>
        <w:t>, these forms are mandatory for the respondents.  Respondents are personnel from state and local governments; colleges and universities; Indian tribal governments;</w:t>
      </w:r>
      <w:r w:rsidRPr="00760797">
        <w:rPr>
          <w:rFonts w:ascii="Times New Roman" w:hAnsi="Times New Roman"/>
        </w:rPr>
        <w:t xml:space="preserve"> federally funded r</w:t>
      </w:r>
      <w:r>
        <w:rPr>
          <w:rFonts w:ascii="Times New Roman" w:hAnsi="Times New Roman"/>
        </w:rPr>
        <w:t>esearch and development centers;</w:t>
      </w:r>
      <w:r w:rsidRPr="00760797">
        <w:rPr>
          <w:rFonts w:ascii="Times New Roman" w:hAnsi="Times New Roman"/>
        </w:rPr>
        <w:t xml:space="preserve"> and other eligible organizations who participate in the IPA exchange with SSA</w:t>
      </w:r>
      <w:r>
        <w:rPr>
          <w:rFonts w:ascii="Times New Roman" w:hAnsi="Times New Roman"/>
        </w:rPr>
        <w:t>.</w:t>
      </w:r>
    </w:p>
    <w:p w:rsidR="00D71D16" w:rsidRDefault="00D71D16" w:rsidP="00D71D16">
      <w:pPr>
        <w:ind w:left="720"/>
        <w:rPr>
          <w:rFonts w:ascii="Times New Roman" w:hAnsi="Times New Roman"/>
          <w:b/>
        </w:rPr>
      </w:pPr>
    </w:p>
    <w:p w:rsidR="00393DE4" w:rsidRDefault="00EA622E" w:rsidP="00393DE4">
      <w:pPr>
        <w:numPr>
          <w:ilvl w:val="0"/>
          <w:numId w:val="40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Use of Information Technology to Collect the Information</w:t>
      </w:r>
    </w:p>
    <w:p w:rsidR="00EA622E" w:rsidRDefault="00EA622E" w:rsidP="00EA622E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</w:rPr>
        <w:t>SSA made Forms SSA-187 and SSA-188 available</w:t>
      </w:r>
      <w:r w:rsidRPr="00815B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on SSA’s website as fillable and printable documents.  SSA did not create</w:t>
      </w:r>
      <w:r w:rsidRPr="00431220">
        <w:rPr>
          <w:rFonts w:ascii="Times New Roman" w:hAnsi="Times New Roman"/>
        </w:rPr>
        <w:t xml:space="preserve"> electronic version</w:t>
      </w:r>
      <w:r>
        <w:rPr>
          <w:rFonts w:ascii="Times New Roman" w:hAnsi="Times New Roman"/>
        </w:rPr>
        <w:t>s</w:t>
      </w:r>
      <w:r w:rsidRPr="00431220">
        <w:rPr>
          <w:rFonts w:ascii="Times New Roman" w:hAnsi="Times New Roman"/>
        </w:rPr>
        <w:t xml:space="preserve"> of </w:t>
      </w:r>
      <w:r>
        <w:rPr>
          <w:rFonts w:ascii="Times New Roman" w:hAnsi="Times New Roman"/>
        </w:rPr>
        <w:t>these forms</w:t>
      </w:r>
      <w:r w:rsidRPr="00431220">
        <w:rPr>
          <w:rFonts w:ascii="Times New Roman" w:hAnsi="Times New Roman"/>
        </w:rPr>
        <w:t xml:space="preserve"> under the agency’s Government Paperwork Elimination Act (GPEA) plan because </w:t>
      </w:r>
      <w:r>
        <w:rPr>
          <w:rFonts w:ascii="Times New Roman" w:hAnsi="Times New Roman"/>
        </w:rPr>
        <w:t>approximately 30</w:t>
      </w:r>
      <w:r w:rsidRPr="00431220">
        <w:rPr>
          <w:rFonts w:ascii="Times New Roman" w:hAnsi="Times New Roman"/>
        </w:rPr>
        <w:t xml:space="preserve"> respondents complete </w:t>
      </w:r>
      <w:r>
        <w:rPr>
          <w:rFonts w:ascii="Times New Roman" w:hAnsi="Times New Roman"/>
        </w:rPr>
        <w:t xml:space="preserve">these forms during any calendar year, which </w:t>
      </w:r>
      <w:r w:rsidRPr="00431220">
        <w:rPr>
          <w:rFonts w:ascii="Times New Roman" w:hAnsi="Times New Roman"/>
        </w:rPr>
        <w:t>is less than the GPEA cut-off of 50,000.</w:t>
      </w:r>
      <w:r>
        <w:rPr>
          <w:rFonts w:ascii="Times New Roman" w:hAnsi="Times New Roman"/>
        </w:rPr>
        <w:t xml:space="preserve">  In addition, we require wet signatures; therefore, the respondents must download the fillable forms, complete them, print them, sign them, and submit them to SSA.</w:t>
      </w:r>
    </w:p>
    <w:p w:rsidR="00EA622E" w:rsidRDefault="00EA622E" w:rsidP="00EA622E">
      <w:pPr>
        <w:ind w:left="720"/>
        <w:rPr>
          <w:rFonts w:ascii="Times New Roman" w:hAnsi="Times New Roman"/>
          <w:b/>
        </w:rPr>
      </w:pPr>
    </w:p>
    <w:p w:rsidR="00393DE4" w:rsidRDefault="00EA622E" w:rsidP="00393DE4">
      <w:pPr>
        <w:numPr>
          <w:ilvl w:val="0"/>
          <w:numId w:val="40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 xml:space="preserve">Why </w:t>
      </w:r>
      <w:r>
        <w:rPr>
          <w:rFonts w:ascii="Times New Roman" w:hAnsi="Times New Roman"/>
          <w:b/>
        </w:rPr>
        <w:t>We Cannot Use Duplicate Information</w:t>
      </w:r>
    </w:p>
    <w:p w:rsidR="00EA622E" w:rsidRDefault="00EA622E" w:rsidP="00EA622E">
      <w:pPr>
        <w:ind w:left="720"/>
        <w:rPr>
          <w:rFonts w:ascii="Times New Roman" w:hAnsi="Times New Roman"/>
          <w:b/>
        </w:rPr>
      </w:pPr>
      <w:r w:rsidRPr="00B42F39">
        <w:rPr>
          <w:rFonts w:ascii="Times New Roman" w:hAnsi="Times New Roman"/>
        </w:rPr>
        <w:t>Th</w:t>
      </w:r>
      <w:r>
        <w:rPr>
          <w:rFonts w:ascii="Times New Roman" w:hAnsi="Times New Roman"/>
        </w:rPr>
        <w:t>e nature of the information we collect and the manner in which we collect</w:t>
      </w:r>
      <w:r w:rsidRPr="00B42F39">
        <w:rPr>
          <w:rFonts w:ascii="Times New Roman" w:hAnsi="Times New Roman"/>
        </w:rPr>
        <w:t xml:space="preserve"> it preclude duplication.  SSA does not use another collection instrument to obtain similar data</w:t>
      </w:r>
      <w:r>
        <w:rPr>
          <w:rFonts w:ascii="Times New Roman" w:hAnsi="Times New Roman"/>
        </w:rPr>
        <w:t>.</w:t>
      </w:r>
    </w:p>
    <w:p w:rsidR="00EA622E" w:rsidRDefault="00EA622E" w:rsidP="00EA622E">
      <w:pPr>
        <w:ind w:left="720"/>
        <w:rPr>
          <w:rFonts w:ascii="Times New Roman" w:hAnsi="Times New Roman"/>
          <w:b/>
        </w:rPr>
      </w:pPr>
    </w:p>
    <w:p w:rsidR="00393DE4" w:rsidRDefault="00EA622E" w:rsidP="00393DE4">
      <w:pPr>
        <w:numPr>
          <w:ilvl w:val="0"/>
          <w:numId w:val="4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Minimizing Burden on Small Respondents</w:t>
      </w:r>
    </w:p>
    <w:p w:rsidR="00EA622E" w:rsidRDefault="00EA622E" w:rsidP="00EA622E">
      <w:pPr>
        <w:ind w:left="720"/>
        <w:rPr>
          <w:rFonts w:ascii="Times New Roman" w:hAnsi="Times New Roman"/>
          <w:b/>
        </w:rPr>
      </w:pPr>
      <w:r w:rsidRPr="00431220">
        <w:rPr>
          <w:rFonts w:ascii="Times New Roman" w:hAnsi="Times New Roman"/>
        </w:rPr>
        <w:t xml:space="preserve">This collection </w:t>
      </w:r>
      <w:r>
        <w:rPr>
          <w:rFonts w:ascii="Times New Roman" w:hAnsi="Times New Roman"/>
        </w:rPr>
        <w:t xml:space="preserve">potentially </w:t>
      </w:r>
      <w:r w:rsidRPr="00431220">
        <w:rPr>
          <w:rFonts w:ascii="Times New Roman" w:hAnsi="Times New Roman"/>
        </w:rPr>
        <w:t>affect</w:t>
      </w:r>
      <w:r>
        <w:rPr>
          <w:rFonts w:ascii="Times New Roman" w:hAnsi="Times New Roman"/>
        </w:rPr>
        <w:t>s</w:t>
      </w:r>
      <w:r w:rsidRPr="00431220">
        <w:rPr>
          <w:rFonts w:ascii="Times New Roman" w:hAnsi="Times New Roman"/>
        </w:rPr>
        <w:t xml:space="preserve"> small entities.  However, if </w:t>
      </w:r>
      <w:r>
        <w:rPr>
          <w:rFonts w:ascii="Times New Roman" w:hAnsi="Times New Roman"/>
        </w:rPr>
        <w:t xml:space="preserve">SSA </w:t>
      </w:r>
      <w:r w:rsidRPr="00431220">
        <w:rPr>
          <w:rFonts w:ascii="Times New Roman" w:hAnsi="Times New Roman"/>
        </w:rPr>
        <w:t xml:space="preserve">did not impose this burden, </w:t>
      </w:r>
      <w:r>
        <w:rPr>
          <w:rFonts w:ascii="Times New Roman" w:hAnsi="Times New Roman"/>
        </w:rPr>
        <w:t>the agency</w:t>
      </w:r>
      <w:r w:rsidRPr="00431220">
        <w:rPr>
          <w:rFonts w:ascii="Times New Roman" w:hAnsi="Times New Roman"/>
        </w:rPr>
        <w:t xml:space="preserve"> would </w:t>
      </w:r>
      <w:r>
        <w:rPr>
          <w:rFonts w:ascii="Times New Roman" w:hAnsi="Times New Roman"/>
        </w:rPr>
        <w:t>un</w:t>
      </w:r>
      <w:r w:rsidRPr="00431220">
        <w:rPr>
          <w:rFonts w:ascii="Times New Roman" w:hAnsi="Times New Roman"/>
        </w:rPr>
        <w:t>able to engage in IPA assignment</w:t>
      </w:r>
      <w:r>
        <w:rPr>
          <w:rFonts w:ascii="Times New Roman" w:hAnsi="Times New Roman"/>
        </w:rPr>
        <w:t>s</w:t>
      </w:r>
      <w:r w:rsidRPr="00431220">
        <w:rPr>
          <w:rFonts w:ascii="Times New Roman" w:hAnsi="Times New Roman"/>
        </w:rPr>
        <w:t xml:space="preserve"> with th</w:t>
      </w:r>
      <w:r>
        <w:rPr>
          <w:rFonts w:ascii="Times New Roman" w:hAnsi="Times New Roman"/>
        </w:rPr>
        <w:t>ose</w:t>
      </w:r>
      <w:r w:rsidRPr="00431220">
        <w:rPr>
          <w:rFonts w:ascii="Times New Roman" w:hAnsi="Times New Roman"/>
        </w:rPr>
        <w:t xml:space="preserve"> </w:t>
      </w:r>
      <w:r w:rsidRPr="00431220">
        <w:rPr>
          <w:rFonts w:ascii="Times New Roman" w:hAnsi="Times New Roman"/>
        </w:rPr>
        <w:lastRenderedPageBreak/>
        <w:t>entit</w:t>
      </w:r>
      <w:r>
        <w:rPr>
          <w:rFonts w:ascii="Times New Roman" w:hAnsi="Times New Roman"/>
        </w:rPr>
        <w:t>ies</w:t>
      </w:r>
      <w:r w:rsidRPr="0043122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SSA</w:t>
      </w:r>
      <w:r w:rsidRPr="00431220">
        <w:rPr>
          <w:rFonts w:ascii="Times New Roman" w:hAnsi="Times New Roman"/>
        </w:rPr>
        <w:t xml:space="preserve"> minimized the burden by carefully revie</w:t>
      </w:r>
      <w:r>
        <w:rPr>
          <w:rFonts w:ascii="Times New Roman" w:hAnsi="Times New Roman"/>
        </w:rPr>
        <w:t xml:space="preserve">wing the forms and ensuring </w:t>
      </w:r>
      <w:r w:rsidRPr="00431220">
        <w:rPr>
          <w:rFonts w:ascii="Times New Roman" w:hAnsi="Times New Roman"/>
        </w:rPr>
        <w:t>we only ask small entities to complete relevant and necessary questions</w:t>
      </w:r>
      <w:r>
        <w:rPr>
          <w:rFonts w:ascii="Times New Roman" w:hAnsi="Times New Roman"/>
        </w:rPr>
        <w:t>.</w:t>
      </w:r>
    </w:p>
    <w:p w:rsidR="00EA622E" w:rsidRDefault="00EA622E" w:rsidP="00EA622E">
      <w:pPr>
        <w:ind w:left="720"/>
        <w:rPr>
          <w:rFonts w:ascii="Times New Roman" w:hAnsi="Times New Roman"/>
          <w:b/>
        </w:rPr>
      </w:pPr>
    </w:p>
    <w:p w:rsidR="00393DE4" w:rsidRDefault="00EA622E" w:rsidP="00393DE4">
      <w:pPr>
        <w:numPr>
          <w:ilvl w:val="0"/>
          <w:numId w:val="40"/>
        </w:numPr>
        <w:rPr>
          <w:rFonts w:ascii="Times New Roman" w:hAnsi="Times New Roman"/>
          <w:b/>
        </w:rPr>
      </w:pPr>
      <w:r w:rsidRPr="0093320F">
        <w:rPr>
          <w:rFonts w:ascii="Times New Roman" w:hAnsi="Times New Roman"/>
          <w:b/>
        </w:rPr>
        <w:t>Consequence of Not Collecting Information or Collecting it Less Frequently</w:t>
      </w:r>
    </w:p>
    <w:p w:rsidR="00EA622E" w:rsidRDefault="00EA622E" w:rsidP="00EA622E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If SSA </w:t>
      </w:r>
      <w:r w:rsidRPr="0093320F">
        <w:rPr>
          <w:rFonts w:ascii="Times New Roman" w:hAnsi="Times New Roman"/>
        </w:rPr>
        <w:t xml:space="preserve">did not </w:t>
      </w:r>
      <w:r>
        <w:rPr>
          <w:rFonts w:ascii="Times New Roman" w:hAnsi="Times New Roman"/>
        </w:rPr>
        <w:t>collect this information we would be in violation of the law, and</w:t>
      </w:r>
      <w:r w:rsidRPr="0093320F">
        <w:rPr>
          <w:rFonts w:ascii="Times New Roman" w:hAnsi="Times New Roman"/>
        </w:rPr>
        <w:t xml:space="preserve"> public </w:t>
      </w:r>
      <w:r>
        <w:rPr>
          <w:rFonts w:ascii="Times New Roman" w:hAnsi="Times New Roman"/>
        </w:rPr>
        <w:t xml:space="preserve">entities would unable </w:t>
      </w:r>
      <w:r w:rsidRPr="0093320F">
        <w:rPr>
          <w:rFonts w:ascii="Times New Roman" w:hAnsi="Times New Roman"/>
        </w:rPr>
        <w:t>to apply for IPA assignments with the agency</w:t>
      </w:r>
      <w:r>
        <w:rPr>
          <w:rFonts w:ascii="Times New Roman" w:hAnsi="Times New Roman"/>
        </w:rPr>
        <w:t xml:space="preserve">.  Since SSA </w:t>
      </w:r>
      <w:r w:rsidRPr="0093320F">
        <w:rPr>
          <w:rFonts w:ascii="Times New Roman" w:hAnsi="Times New Roman"/>
        </w:rPr>
        <w:t>only collect</w:t>
      </w:r>
      <w:r>
        <w:rPr>
          <w:rFonts w:ascii="Times New Roman" w:hAnsi="Times New Roman"/>
        </w:rPr>
        <w:t>s the information once</w:t>
      </w:r>
      <w:r w:rsidRPr="0093320F">
        <w:rPr>
          <w:rFonts w:ascii="Times New Roman" w:hAnsi="Times New Roman"/>
        </w:rPr>
        <w:t xml:space="preserve"> per assignment, </w:t>
      </w:r>
      <w:r>
        <w:rPr>
          <w:rFonts w:ascii="Times New Roman" w:hAnsi="Times New Roman"/>
        </w:rPr>
        <w:t xml:space="preserve">we cannot </w:t>
      </w:r>
      <w:r w:rsidRPr="0093320F">
        <w:rPr>
          <w:rFonts w:ascii="Times New Roman" w:hAnsi="Times New Roman"/>
        </w:rPr>
        <w:t>collect</w:t>
      </w:r>
      <w:r>
        <w:rPr>
          <w:rFonts w:ascii="Times New Roman" w:hAnsi="Times New Roman"/>
        </w:rPr>
        <w:t xml:space="preserve"> it</w:t>
      </w:r>
      <w:r w:rsidRPr="0093320F">
        <w:rPr>
          <w:rFonts w:ascii="Times New Roman" w:hAnsi="Times New Roman"/>
        </w:rPr>
        <w:t xml:space="preserve"> less frequently.</w:t>
      </w:r>
      <w:r>
        <w:rPr>
          <w:rFonts w:ascii="Times New Roman" w:hAnsi="Times New Roman"/>
        </w:rPr>
        <w:t xml:space="preserve">  </w:t>
      </w:r>
      <w:r w:rsidRPr="0093320F">
        <w:rPr>
          <w:rFonts w:ascii="Times New Roman" w:hAnsi="Times New Roman"/>
        </w:rPr>
        <w:t>There are no technical or legal obstacles to burden reduction.</w:t>
      </w:r>
    </w:p>
    <w:p w:rsidR="00EA622E" w:rsidRDefault="00EA622E" w:rsidP="00EA622E">
      <w:pPr>
        <w:ind w:left="720"/>
        <w:rPr>
          <w:rFonts w:ascii="Times New Roman" w:hAnsi="Times New Roman"/>
          <w:b/>
        </w:rPr>
      </w:pPr>
    </w:p>
    <w:p w:rsidR="00393DE4" w:rsidRDefault="00EA622E" w:rsidP="00393DE4">
      <w:pPr>
        <w:numPr>
          <w:ilvl w:val="0"/>
          <w:numId w:val="40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Special Circumstances</w:t>
      </w:r>
    </w:p>
    <w:p w:rsidR="00EA622E" w:rsidRDefault="00EA622E" w:rsidP="00EA622E">
      <w:pPr>
        <w:ind w:left="720"/>
        <w:rPr>
          <w:rFonts w:ascii="Times New Roman" w:hAnsi="Times New Roman"/>
          <w:b/>
        </w:rPr>
      </w:pPr>
      <w:r w:rsidRPr="003C35DC">
        <w:rPr>
          <w:rFonts w:ascii="Times New Roman" w:hAnsi="Times New Roman"/>
        </w:rPr>
        <w:t xml:space="preserve">There are no special circumstances that would cause SSA to conduct this information collection in a manner inconsistent with </w:t>
      </w:r>
      <w:r w:rsidRPr="003C35DC">
        <w:rPr>
          <w:rFonts w:ascii="Times New Roman" w:hAnsi="Times New Roman"/>
          <w:i/>
        </w:rPr>
        <w:t>5 CFR 1320.5</w:t>
      </w:r>
      <w:r w:rsidRPr="003C35DC">
        <w:rPr>
          <w:rFonts w:ascii="Times New Roman" w:hAnsi="Times New Roman"/>
        </w:rPr>
        <w:t>.</w:t>
      </w:r>
    </w:p>
    <w:p w:rsidR="00EA622E" w:rsidRDefault="00EA622E" w:rsidP="00EA622E">
      <w:pPr>
        <w:ind w:left="720"/>
        <w:rPr>
          <w:rFonts w:ascii="Times New Roman" w:hAnsi="Times New Roman"/>
          <w:b/>
        </w:rPr>
      </w:pPr>
    </w:p>
    <w:p w:rsidR="00393DE4" w:rsidRDefault="00EA622E" w:rsidP="00393DE4">
      <w:pPr>
        <w:numPr>
          <w:ilvl w:val="0"/>
          <w:numId w:val="40"/>
        </w:numPr>
        <w:rPr>
          <w:rFonts w:ascii="Times New Roman" w:hAnsi="Times New Roman"/>
          <w:b/>
        </w:rPr>
      </w:pPr>
      <w:r w:rsidRPr="002863F9">
        <w:rPr>
          <w:rFonts w:ascii="Times New Roman" w:hAnsi="Times New Roman"/>
          <w:b/>
        </w:rPr>
        <w:t>Solicitation of Public Comment and Other Consultations with the Public</w:t>
      </w:r>
    </w:p>
    <w:p w:rsidR="00EA622E" w:rsidRDefault="00EA622E" w:rsidP="00EA622E">
      <w:pPr>
        <w:ind w:left="720"/>
        <w:rPr>
          <w:rFonts w:ascii="Times New Roman" w:hAnsi="Times New Roman"/>
          <w:b/>
        </w:rPr>
      </w:pPr>
      <w:r w:rsidRPr="00AD0ECB">
        <w:rPr>
          <w:rFonts w:ascii="Times New Roman" w:hAnsi="Times New Roman"/>
        </w:rPr>
        <w:t>The 60-day advance Federal Register Notice published</w:t>
      </w:r>
      <w:r>
        <w:rPr>
          <w:rFonts w:ascii="Times New Roman" w:hAnsi="Times New Roman"/>
        </w:rPr>
        <w:t xml:space="preserve"> on June 27, 2017 at 82 FR 29136</w:t>
      </w:r>
      <w:r w:rsidRPr="00AE6153">
        <w:rPr>
          <w:rFonts w:ascii="Times New Roman" w:hAnsi="Times New Roman"/>
        </w:rPr>
        <w:t xml:space="preserve">, </w:t>
      </w:r>
      <w:r w:rsidRPr="00AD0ECB">
        <w:rPr>
          <w:rFonts w:ascii="Times New Roman" w:hAnsi="Times New Roman"/>
        </w:rPr>
        <w:t>and we received no public comments</w:t>
      </w:r>
      <w:r>
        <w:rPr>
          <w:rFonts w:ascii="Times New Roman" w:hAnsi="Times New Roman"/>
        </w:rPr>
        <w:t xml:space="preserve">.  </w:t>
      </w:r>
      <w:r w:rsidRPr="00AD0ECB">
        <w:rPr>
          <w:rFonts w:ascii="Times New Roman" w:hAnsi="Times New Roman"/>
        </w:rPr>
        <w:t>SSA</w:t>
      </w:r>
      <w:r>
        <w:rPr>
          <w:rFonts w:ascii="Times New Roman" w:hAnsi="Times New Roman"/>
        </w:rPr>
        <w:t xml:space="preserve"> published the second Notice on September 13, 2017 at 82 FR 43066.  </w:t>
      </w:r>
      <w:r w:rsidRPr="00AD0ECB">
        <w:rPr>
          <w:rFonts w:ascii="Times New Roman" w:hAnsi="Times New Roman"/>
        </w:rPr>
        <w:t>If we receive comments in response to the 30-day Notice, we will forward them to OMB.  We did not consult with the public in the revision of this form</w:t>
      </w:r>
      <w:r w:rsidRPr="00BE03BB">
        <w:rPr>
          <w:rFonts w:ascii="Times New Roman" w:hAnsi="Times New Roman"/>
        </w:rPr>
        <w:t>.</w:t>
      </w:r>
    </w:p>
    <w:p w:rsidR="00EA622E" w:rsidRDefault="00EA622E" w:rsidP="00EA622E">
      <w:pPr>
        <w:ind w:left="720"/>
        <w:rPr>
          <w:rFonts w:ascii="Times New Roman" w:hAnsi="Times New Roman"/>
          <w:b/>
        </w:rPr>
      </w:pPr>
    </w:p>
    <w:p w:rsidR="00393DE4" w:rsidRDefault="00EA622E" w:rsidP="00393DE4">
      <w:pPr>
        <w:numPr>
          <w:ilvl w:val="0"/>
          <w:numId w:val="40"/>
        </w:numPr>
        <w:rPr>
          <w:rFonts w:ascii="Times New Roman" w:hAnsi="Times New Roman"/>
          <w:b/>
        </w:rPr>
      </w:pPr>
      <w:r w:rsidRPr="000F70E0">
        <w:rPr>
          <w:rFonts w:ascii="Times New Roman" w:hAnsi="Times New Roman"/>
          <w:b/>
        </w:rPr>
        <w:t>Payment or Gifts to Respondents</w:t>
      </w:r>
    </w:p>
    <w:p w:rsidR="00EA622E" w:rsidRDefault="00EA622E" w:rsidP="00EA622E">
      <w:pPr>
        <w:ind w:left="720"/>
        <w:rPr>
          <w:rFonts w:ascii="Times New Roman" w:hAnsi="Times New Roman"/>
          <w:b/>
        </w:rPr>
      </w:pPr>
      <w:r w:rsidRPr="0023013E">
        <w:rPr>
          <w:rFonts w:ascii="Times New Roman" w:hAnsi="Times New Roman"/>
        </w:rPr>
        <w:t>Per the IPA regulations, the non</w:t>
      </w:r>
      <w:r w:rsidRPr="0023013E">
        <w:rPr>
          <w:rFonts w:ascii="Times New Roman" w:hAnsi="Times New Roman"/>
        </w:rPr>
        <w:noBreakHyphen/>
        <w:t xml:space="preserve">Federal organization </w:t>
      </w:r>
      <w:r>
        <w:rPr>
          <w:rFonts w:ascii="Times New Roman" w:hAnsi="Times New Roman"/>
        </w:rPr>
        <w:t>and SSA can negotiate cost</w:t>
      </w:r>
      <w:r>
        <w:rPr>
          <w:rFonts w:ascii="Times New Roman" w:hAnsi="Times New Roman"/>
        </w:rPr>
        <w:noBreakHyphen/>
      </w:r>
      <w:r w:rsidRPr="0023013E">
        <w:rPr>
          <w:rFonts w:ascii="Times New Roman" w:hAnsi="Times New Roman"/>
        </w:rPr>
        <w:t>sharing</w:t>
      </w:r>
      <w:r>
        <w:rPr>
          <w:rFonts w:ascii="Times New Roman" w:hAnsi="Times New Roman"/>
        </w:rPr>
        <w:t xml:space="preserve"> arrangements, </w:t>
      </w:r>
      <w:r w:rsidRPr="0023013E">
        <w:rPr>
          <w:rFonts w:ascii="Times New Roman" w:hAnsi="Times New Roman"/>
        </w:rPr>
        <w:t xml:space="preserve">and should </w:t>
      </w:r>
      <w:r>
        <w:rPr>
          <w:rFonts w:ascii="Times New Roman" w:hAnsi="Times New Roman"/>
        </w:rPr>
        <w:t>add the negotiations to</w:t>
      </w:r>
      <w:r w:rsidRPr="0023013E">
        <w:rPr>
          <w:rFonts w:ascii="Times New Roman" w:hAnsi="Times New Roman"/>
        </w:rPr>
        <w:t xml:space="preserve"> the IPA assignment agreement. </w:t>
      </w:r>
      <w:r>
        <w:rPr>
          <w:rFonts w:ascii="Times New Roman" w:hAnsi="Times New Roman"/>
        </w:rPr>
        <w:t xml:space="preserve"> </w:t>
      </w:r>
      <w:r w:rsidRPr="0023013E">
        <w:rPr>
          <w:rFonts w:ascii="Times New Roman" w:hAnsi="Times New Roman"/>
        </w:rPr>
        <w:t>SSA may pay all, some</w:t>
      </w:r>
      <w:r>
        <w:rPr>
          <w:rFonts w:ascii="Times New Roman" w:hAnsi="Times New Roman"/>
        </w:rPr>
        <w:t>,</w:t>
      </w:r>
      <w:r w:rsidRPr="0023013E">
        <w:rPr>
          <w:rFonts w:ascii="Times New Roman" w:hAnsi="Times New Roman"/>
        </w:rPr>
        <w:t xml:space="preserve"> or none of the costs associated with an assignment. </w:t>
      </w:r>
      <w:r>
        <w:rPr>
          <w:rFonts w:ascii="Times New Roman" w:hAnsi="Times New Roman"/>
        </w:rPr>
        <w:t xml:space="preserve"> </w:t>
      </w:r>
      <w:r w:rsidRPr="0023013E">
        <w:rPr>
          <w:rFonts w:ascii="Times New Roman" w:hAnsi="Times New Roman"/>
        </w:rPr>
        <w:t>Costs may include employee basic pay</w:t>
      </w:r>
      <w:r>
        <w:rPr>
          <w:rFonts w:ascii="Times New Roman" w:hAnsi="Times New Roman"/>
        </w:rPr>
        <w:t>;</w:t>
      </w:r>
      <w:r w:rsidRPr="0023013E">
        <w:rPr>
          <w:rFonts w:ascii="Times New Roman" w:hAnsi="Times New Roman"/>
        </w:rPr>
        <w:t xml:space="preserve"> supple</w:t>
      </w:r>
      <w:r>
        <w:rPr>
          <w:rFonts w:ascii="Times New Roman" w:hAnsi="Times New Roman"/>
        </w:rPr>
        <w:t xml:space="preserve">mental pay; fringe benefits; </w:t>
      </w:r>
      <w:r w:rsidRPr="0023013E">
        <w:rPr>
          <w:rFonts w:ascii="Times New Roman" w:hAnsi="Times New Roman"/>
        </w:rPr>
        <w:t>travel</w:t>
      </w:r>
      <w:r>
        <w:rPr>
          <w:rFonts w:ascii="Times New Roman" w:hAnsi="Times New Roman"/>
        </w:rPr>
        <w:t>;</w:t>
      </w:r>
      <w:r w:rsidRPr="0023013E">
        <w:rPr>
          <w:rFonts w:ascii="Times New Roman" w:hAnsi="Times New Roman"/>
        </w:rPr>
        <w:t xml:space="preserve"> and relocation. </w:t>
      </w:r>
      <w:r>
        <w:rPr>
          <w:rFonts w:ascii="Times New Roman" w:hAnsi="Times New Roman"/>
        </w:rPr>
        <w:t xml:space="preserve"> </w:t>
      </w:r>
      <w:r w:rsidRPr="0023013E">
        <w:rPr>
          <w:rFonts w:ascii="Times New Roman" w:hAnsi="Times New Roman"/>
        </w:rPr>
        <w:t xml:space="preserve">Since assignments </w:t>
      </w:r>
      <w:r>
        <w:rPr>
          <w:rFonts w:ascii="Times New Roman" w:hAnsi="Times New Roman"/>
        </w:rPr>
        <w:t>need to be</w:t>
      </w:r>
      <w:r w:rsidRPr="0023013E">
        <w:rPr>
          <w:rFonts w:ascii="Times New Roman" w:hAnsi="Times New Roman"/>
        </w:rPr>
        <w:t xml:space="preserve"> mutually beneficial to both organizations,</w:t>
      </w:r>
      <w:r>
        <w:rPr>
          <w:rFonts w:ascii="Times New Roman" w:hAnsi="Times New Roman"/>
        </w:rPr>
        <w:t xml:space="preserve"> cost-sharing provisions reflect the</w:t>
      </w:r>
      <w:r w:rsidRPr="0023013E">
        <w:rPr>
          <w:rFonts w:ascii="Times New Roman" w:hAnsi="Times New Roman"/>
        </w:rPr>
        <w:t xml:space="preserve"> mutual benefit.</w:t>
      </w:r>
      <w:r w:rsidR="009C44F2">
        <w:rPr>
          <w:rFonts w:ascii="Times New Roman" w:hAnsi="Times New Roman"/>
        </w:rPr>
        <w:t xml:space="preserve">  We arrange these cost-sharing provisions only as needed, and we reflect the cost to the Federal government for these provisions in #14 below.</w:t>
      </w:r>
    </w:p>
    <w:p w:rsidR="00EA622E" w:rsidRDefault="00EA622E" w:rsidP="00EA622E">
      <w:pPr>
        <w:ind w:left="720"/>
        <w:rPr>
          <w:rFonts w:ascii="Times New Roman" w:hAnsi="Times New Roman"/>
          <w:b/>
        </w:rPr>
      </w:pPr>
    </w:p>
    <w:p w:rsidR="00393DE4" w:rsidRDefault="009C44F2" w:rsidP="00393DE4">
      <w:pPr>
        <w:numPr>
          <w:ilvl w:val="0"/>
          <w:numId w:val="40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Assurances of Confidentiality</w:t>
      </w:r>
    </w:p>
    <w:p w:rsidR="009C44F2" w:rsidRDefault="009C44F2" w:rsidP="009C44F2">
      <w:pPr>
        <w:ind w:left="720"/>
        <w:rPr>
          <w:rFonts w:ascii="Times New Roman" w:hAnsi="Times New Roman"/>
          <w:b/>
        </w:rPr>
      </w:pPr>
      <w:r w:rsidRPr="004A3C05">
        <w:rPr>
          <w:rFonts w:ascii="Times New Roman" w:hAnsi="Times New Roman"/>
        </w:rPr>
        <w:t>SSA protects and holds confidential the information it collects in accordance with</w:t>
      </w:r>
      <w:r w:rsidRPr="00BC7F42">
        <w:rPr>
          <w:rFonts w:ascii="Times New Roman" w:hAnsi="Times New Roman"/>
          <w:i/>
        </w:rPr>
        <w:t xml:space="preserve"> 42 U.S.C. 1306, 20 CFR 401 </w:t>
      </w:r>
      <w:r w:rsidRPr="004A3C05">
        <w:rPr>
          <w:rFonts w:ascii="Times New Roman" w:hAnsi="Times New Roman"/>
        </w:rPr>
        <w:t>and</w:t>
      </w:r>
      <w:r w:rsidRPr="00BC7F42">
        <w:rPr>
          <w:rFonts w:ascii="Times New Roman" w:hAnsi="Times New Roman"/>
          <w:i/>
        </w:rPr>
        <w:t xml:space="preserve"> 402, 5 U.S.C. 552 </w:t>
      </w:r>
      <w:r w:rsidRPr="004A3C05">
        <w:rPr>
          <w:rFonts w:ascii="Times New Roman" w:hAnsi="Times New Roman"/>
        </w:rPr>
        <w:t>(Freedom of Information Act),</w:t>
      </w:r>
      <w:r w:rsidRPr="00BC7F42">
        <w:rPr>
          <w:rFonts w:ascii="Times New Roman" w:hAnsi="Times New Roman"/>
          <w:i/>
        </w:rPr>
        <w:t xml:space="preserve"> 5 U.S.C. 552a </w:t>
      </w:r>
      <w:r w:rsidRPr="004A3C05">
        <w:rPr>
          <w:rFonts w:ascii="Times New Roman" w:hAnsi="Times New Roman"/>
        </w:rPr>
        <w:t>(Privacy Act of 1974), and OMB Circular No. A-130</w:t>
      </w:r>
      <w:r>
        <w:rPr>
          <w:rFonts w:ascii="Times New Roman" w:hAnsi="Times New Roman"/>
        </w:rPr>
        <w:t>.</w:t>
      </w:r>
    </w:p>
    <w:p w:rsidR="009C44F2" w:rsidRDefault="009C44F2" w:rsidP="009C44F2">
      <w:pPr>
        <w:ind w:left="720"/>
        <w:rPr>
          <w:rFonts w:ascii="Times New Roman" w:hAnsi="Times New Roman"/>
          <w:b/>
        </w:rPr>
      </w:pPr>
    </w:p>
    <w:p w:rsidR="00393DE4" w:rsidRDefault="009C44F2" w:rsidP="00393DE4">
      <w:pPr>
        <w:numPr>
          <w:ilvl w:val="0"/>
          <w:numId w:val="40"/>
        </w:numPr>
        <w:rPr>
          <w:rFonts w:ascii="Times New Roman" w:hAnsi="Times New Roman"/>
          <w:b/>
        </w:rPr>
      </w:pPr>
      <w:r w:rsidRPr="002863F9">
        <w:rPr>
          <w:rFonts w:ascii="Times New Roman" w:hAnsi="Times New Roman"/>
          <w:b/>
        </w:rPr>
        <w:t>Justification for Sensitive Questions</w:t>
      </w:r>
    </w:p>
    <w:p w:rsidR="009C44F2" w:rsidRDefault="009C44F2" w:rsidP="009C44F2">
      <w:pPr>
        <w:ind w:left="720"/>
        <w:rPr>
          <w:rFonts w:ascii="Times New Roman" w:hAnsi="Times New Roman"/>
          <w:b/>
        </w:rPr>
      </w:pPr>
      <w:r w:rsidRPr="004A3C05">
        <w:rPr>
          <w:rFonts w:ascii="Times New Roman" w:hAnsi="Times New Roman"/>
        </w:rPr>
        <w:t>The information collection does not contain any questions of a sensitive nature</w:t>
      </w:r>
      <w:r>
        <w:rPr>
          <w:rFonts w:ascii="Times New Roman" w:hAnsi="Times New Roman"/>
        </w:rPr>
        <w:t>.</w:t>
      </w:r>
    </w:p>
    <w:p w:rsidR="009C44F2" w:rsidRDefault="009C44F2" w:rsidP="009C44F2">
      <w:pPr>
        <w:ind w:left="720"/>
        <w:rPr>
          <w:rFonts w:ascii="Times New Roman" w:hAnsi="Times New Roman"/>
          <w:b/>
        </w:rPr>
      </w:pPr>
    </w:p>
    <w:p w:rsidR="00393DE4" w:rsidRDefault="009C44F2" w:rsidP="00393DE4">
      <w:pPr>
        <w:numPr>
          <w:ilvl w:val="0"/>
          <w:numId w:val="40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Estimates of Public Reporting Burden</w:t>
      </w:r>
    </w:p>
    <w:p w:rsidR="009C44F2" w:rsidRDefault="009C44F2" w:rsidP="009C44F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our current management information (MI) data, approximately </w:t>
      </w:r>
      <w:r w:rsidRPr="00772B1A">
        <w:rPr>
          <w:rFonts w:ascii="Times New Roman" w:hAnsi="Times New Roman"/>
        </w:rPr>
        <w:t xml:space="preserve">30 </w:t>
      </w:r>
      <w:r>
        <w:rPr>
          <w:rFonts w:ascii="Times New Roman" w:hAnsi="Times New Roman"/>
        </w:rPr>
        <w:t xml:space="preserve">non-Federal </w:t>
      </w:r>
      <w:r w:rsidRPr="00772B1A">
        <w:rPr>
          <w:rFonts w:ascii="Times New Roman" w:hAnsi="Times New Roman"/>
        </w:rPr>
        <w:t xml:space="preserve">respondents </w:t>
      </w:r>
      <w:r>
        <w:rPr>
          <w:rFonts w:ascii="Times New Roman" w:hAnsi="Times New Roman"/>
        </w:rPr>
        <w:t>complete</w:t>
      </w:r>
      <w:r w:rsidR="00CA71BA">
        <w:rPr>
          <w:rFonts w:ascii="Times New Roman" w:hAnsi="Times New Roman"/>
        </w:rPr>
        <w:t xml:space="preserve"> and sign</w:t>
      </w:r>
      <w:r>
        <w:rPr>
          <w:rFonts w:ascii="Times New Roman" w:hAnsi="Times New Roman"/>
        </w:rPr>
        <w:t xml:space="preserve"> Forms SSA</w:t>
      </w:r>
      <w:r>
        <w:rPr>
          <w:rFonts w:ascii="Times New Roman" w:hAnsi="Times New Roman"/>
        </w:rPr>
        <w:noBreakHyphen/>
        <w:t>187 and SSA-188</w:t>
      </w:r>
      <w:r w:rsidRPr="00772B1A">
        <w:rPr>
          <w:rFonts w:ascii="Times New Roman" w:hAnsi="Times New Roman"/>
        </w:rPr>
        <w:t xml:space="preserve"> annually</w:t>
      </w:r>
      <w:r>
        <w:rPr>
          <w:rFonts w:ascii="Times New Roman" w:hAnsi="Times New Roman"/>
        </w:rPr>
        <w:t>.  The following chart shows the breakdown of how many non-Federal employees and non-Federal employers complete and sign these forms annually:</w:t>
      </w:r>
    </w:p>
    <w:p w:rsidR="009C44F2" w:rsidRDefault="009C44F2" w:rsidP="009C44F2">
      <w:pPr>
        <w:ind w:left="720"/>
        <w:rPr>
          <w:rFonts w:ascii="Times New Roman" w:hAnsi="Times New Roman"/>
        </w:rPr>
      </w:pPr>
    </w:p>
    <w:p w:rsidR="009C44F2" w:rsidRDefault="009C44F2" w:rsidP="009C44F2">
      <w:pPr>
        <w:ind w:left="720"/>
        <w:rPr>
          <w:rFonts w:ascii="Times New Roman" w:hAnsi="Times New Roman"/>
        </w:rPr>
      </w:pPr>
    </w:p>
    <w:p w:rsidR="009C44F2" w:rsidRDefault="009C44F2" w:rsidP="009C44F2">
      <w:pPr>
        <w:ind w:left="720"/>
        <w:rPr>
          <w:rFonts w:ascii="Times New Roman" w:hAnsi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4"/>
        <w:gridCol w:w="1688"/>
        <w:gridCol w:w="1617"/>
        <w:gridCol w:w="1577"/>
        <w:gridCol w:w="1600"/>
      </w:tblGrid>
      <w:tr w:rsidR="009C44F2" w:rsidTr="009C44F2">
        <w:tc>
          <w:tcPr>
            <w:tcW w:w="1771" w:type="dxa"/>
          </w:tcPr>
          <w:p w:rsidR="009C44F2" w:rsidRPr="009C44F2" w:rsidRDefault="009C44F2" w:rsidP="009C44F2">
            <w:pPr>
              <w:rPr>
                <w:rFonts w:ascii="Times New Roman" w:hAnsi="Times New Roman"/>
                <w:b/>
              </w:rPr>
            </w:pPr>
            <w:r w:rsidRPr="009C44F2">
              <w:rPr>
                <w:rFonts w:ascii="Times New Roman" w:hAnsi="Times New Roman"/>
                <w:b/>
              </w:rPr>
              <w:t>Modality of Completion</w:t>
            </w:r>
          </w:p>
        </w:tc>
        <w:tc>
          <w:tcPr>
            <w:tcW w:w="1771" w:type="dxa"/>
          </w:tcPr>
          <w:p w:rsidR="009C44F2" w:rsidRPr="009C44F2" w:rsidRDefault="009C44F2" w:rsidP="009C44F2">
            <w:pPr>
              <w:rPr>
                <w:rFonts w:ascii="Times New Roman" w:hAnsi="Times New Roman"/>
                <w:b/>
              </w:rPr>
            </w:pPr>
            <w:r w:rsidRPr="009C44F2">
              <w:rPr>
                <w:rFonts w:ascii="Times New Roman" w:hAnsi="Times New Roman"/>
                <w:b/>
              </w:rPr>
              <w:t>Number of Respondents</w:t>
            </w:r>
          </w:p>
        </w:tc>
        <w:tc>
          <w:tcPr>
            <w:tcW w:w="1771" w:type="dxa"/>
          </w:tcPr>
          <w:p w:rsidR="009C44F2" w:rsidRPr="009C44F2" w:rsidRDefault="009C44F2" w:rsidP="009C44F2">
            <w:pPr>
              <w:rPr>
                <w:rFonts w:ascii="Times New Roman" w:hAnsi="Times New Roman"/>
                <w:b/>
              </w:rPr>
            </w:pPr>
            <w:r w:rsidRPr="009C44F2">
              <w:rPr>
                <w:rFonts w:ascii="Times New Roman" w:hAnsi="Times New Roman"/>
                <w:b/>
              </w:rPr>
              <w:t>Frequency of Response</w:t>
            </w:r>
          </w:p>
        </w:tc>
        <w:tc>
          <w:tcPr>
            <w:tcW w:w="1771" w:type="dxa"/>
          </w:tcPr>
          <w:p w:rsidR="009C44F2" w:rsidRPr="009C44F2" w:rsidRDefault="009C44F2" w:rsidP="009C44F2">
            <w:pPr>
              <w:rPr>
                <w:rFonts w:ascii="Times New Roman" w:hAnsi="Times New Roman"/>
                <w:b/>
              </w:rPr>
            </w:pPr>
            <w:r w:rsidRPr="009C44F2">
              <w:rPr>
                <w:rFonts w:ascii="Times New Roman" w:hAnsi="Times New Roman"/>
                <w:b/>
              </w:rPr>
              <w:t>Average Burden per Response (minutes)</w:t>
            </w:r>
          </w:p>
        </w:tc>
        <w:tc>
          <w:tcPr>
            <w:tcW w:w="1772" w:type="dxa"/>
          </w:tcPr>
          <w:p w:rsidR="009C44F2" w:rsidRPr="009C44F2" w:rsidRDefault="009C44F2" w:rsidP="009C44F2">
            <w:pPr>
              <w:rPr>
                <w:rFonts w:ascii="Times New Roman" w:hAnsi="Times New Roman"/>
                <w:b/>
              </w:rPr>
            </w:pPr>
            <w:r w:rsidRPr="009C44F2">
              <w:rPr>
                <w:rFonts w:ascii="Times New Roman" w:hAnsi="Times New Roman"/>
                <w:b/>
              </w:rPr>
              <w:t>Estimated Total Annual Burden (hours)</w:t>
            </w:r>
          </w:p>
        </w:tc>
      </w:tr>
      <w:tr w:rsidR="009C44F2" w:rsidTr="009C44F2">
        <w:tc>
          <w:tcPr>
            <w:tcW w:w="1771" w:type="dxa"/>
          </w:tcPr>
          <w:p w:rsidR="009C44F2" w:rsidRDefault="009C44F2" w:rsidP="009C44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Non-Federal Employee</w:t>
            </w:r>
          </w:p>
        </w:tc>
        <w:tc>
          <w:tcPr>
            <w:tcW w:w="1771" w:type="dxa"/>
          </w:tcPr>
          <w:p w:rsidR="009C44F2" w:rsidRDefault="009C44F2" w:rsidP="009C44F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71" w:type="dxa"/>
          </w:tcPr>
          <w:p w:rsidR="009C44F2" w:rsidRDefault="009C44F2" w:rsidP="009C44F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1" w:type="dxa"/>
          </w:tcPr>
          <w:p w:rsidR="009C44F2" w:rsidRDefault="009C44F2" w:rsidP="009C44F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772" w:type="dxa"/>
          </w:tcPr>
          <w:p w:rsidR="009C44F2" w:rsidRDefault="009C44F2" w:rsidP="009C44F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9C44F2" w:rsidTr="009C44F2">
        <w:tc>
          <w:tcPr>
            <w:tcW w:w="1771" w:type="dxa"/>
          </w:tcPr>
          <w:p w:rsidR="009C44F2" w:rsidRDefault="009C44F2" w:rsidP="009C44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Non-Federal Employer Signers</w:t>
            </w:r>
          </w:p>
        </w:tc>
        <w:tc>
          <w:tcPr>
            <w:tcW w:w="1771" w:type="dxa"/>
          </w:tcPr>
          <w:p w:rsidR="009C44F2" w:rsidRDefault="009C44F2" w:rsidP="009C44F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71" w:type="dxa"/>
          </w:tcPr>
          <w:p w:rsidR="009C44F2" w:rsidRDefault="009C44F2" w:rsidP="009C44F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1" w:type="dxa"/>
          </w:tcPr>
          <w:p w:rsidR="009C44F2" w:rsidRDefault="009C44F2" w:rsidP="009C44F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72" w:type="dxa"/>
          </w:tcPr>
          <w:p w:rsidR="009C44F2" w:rsidRDefault="009C44F2" w:rsidP="009C44F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C44F2" w:rsidTr="009C44F2">
        <w:tc>
          <w:tcPr>
            <w:tcW w:w="1771" w:type="dxa"/>
          </w:tcPr>
          <w:p w:rsidR="009C44F2" w:rsidRPr="009C44F2" w:rsidRDefault="009C44F2" w:rsidP="009C44F2">
            <w:pPr>
              <w:rPr>
                <w:rFonts w:ascii="Times New Roman" w:hAnsi="Times New Roman"/>
                <w:b/>
              </w:rPr>
            </w:pPr>
            <w:r w:rsidRPr="009C44F2">
              <w:rPr>
                <w:rFonts w:ascii="Times New Roman" w:hAnsi="Times New Roman"/>
                <w:b/>
              </w:rPr>
              <w:t>Totals</w:t>
            </w:r>
          </w:p>
        </w:tc>
        <w:tc>
          <w:tcPr>
            <w:tcW w:w="1771" w:type="dxa"/>
          </w:tcPr>
          <w:p w:rsidR="009C44F2" w:rsidRPr="009C44F2" w:rsidRDefault="009C44F2" w:rsidP="009C44F2">
            <w:pPr>
              <w:jc w:val="right"/>
              <w:rPr>
                <w:rFonts w:ascii="Times New Roman" w:hAnsi="Times New Roman"/>
                <w:b/>
              </w:rPr>
            </w:pPr>
            <w:r w:rsidRPr="009C44F2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771" w:type="dxa"/>
          </w:tcPr>
          <w:p w:rsidR="009C44F2" w:rsidRPr="009C44F2" w:rsidRDefault="009C44F2" w:rsidP="009C44F2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771" w:type="dxa"/>
          </w:tcPr>
          <w:p w:rsidR="009C44F2" w:rsidRPr="009C44F2" w:rsidRDefault="009C44F2" w:rsidP="009C44F2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772" w:type="dxa"/>
          </w:tcPr>
          <w:p w:rsidR="009C44F2" w:rsidRPr="009C44F2" w:rsidRDefault="009C44F2" w:rsidP="009C44F2">
            <w:pPr>
              <w:jc w:val="right"/>
              <w:rPr>
                <w:rFonts w:ascii="Times New Roman" w:hAnsi="Times New Roman"/>
                <w:b/>
              </w:rPr>
            </w:pPr>
            <w:r w:rsidRPr="009C44F2">
              <w:rPr>
                <w:rFonts w:ascii="Times New Roman" w:hAnsi="Times New Roman"/>
                <w:b/>
              </w:rPr>
              <w:t>7</w:t>
            </w:r>
          </w:p>
        </w:tc>
      </w:tr>
    </w:tbl>
    <w:p w:rsidR="009C44F2" w:rsidRDefault="009C44F2" w:rsidP="0069480A">
      <w:pPr>
        <w:rPr>
          <w:rFonts w:ascii="Times New Roman" w:hAnsi="Times New Roman"/>
        </w:rPr>
      </w:pPr>
    </w:p>
    <w:p w:rsidR="009C44F2" w:rsidRDefault="009C44F2" w:rsidP="009C44F2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</w:rPr>
        <w:t>As per our current MI data, t</w:t>
      </w:r>
      <w:r w:rsidRPr="00C826A2">
        <w:rPr>
          <w:rFonts w:ascii="Times New Roman" w:hAnsi="Times New Roman"/>
        </w:rPr>
        <w:t xml:space="preserve">he total burden for this ICR is </w:t>
      </w:r>
      <w:r w:rsidRPr="0069480A">
        <w:rPr>
          <w:rFonts w:ascii="Times New Roman" w:hAnsi="Times New Roman"/>
          <w:b/>
        </w:rPr>
        <w:t>7 hours</w:t>
      </w:r>
      <w:r w:rsidRPr="00C826A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This figure represents burden </w:t>
      </w:r>
      <w:r w:rsidRPr="00C826A2">
        <w:rPr>
          <w:rFonts w:ascii="Times New Roman" w:hAnsi="Times New Roman"/>
        </w:rPr>
        <w:t>hours,</w:t>
      </w:r>
      <w:r>
        <w:rPr>
          <w:rFonts w:ascii="Times New Roman" w:hAnsi="Times New Roman"/>
        </w:rPr>
        <w:t xml:space="preserve"> and we </w:t>
      </w:r>
      <w:r w:rsidRPr="00C826A2">
        <w:rPr>
          <w:rFonts w:ascii="Times New Roman" w:hAnsi="Times New Roman"/>
        </w:rPr>
        <w:t>did not calculate a separate cost burden</w:t>
      </w:r>
      <w:r>
        <w:rPr>
          <w:rFonts w:ascii="Times New Roman" w:hAnsi="Times New Roman"/>
        </w:rPr>
        <w:t>.</w:t>
      </w:r>
    </w:p>
    <w:p w:rsidR="009C44F2" w:rsidRDefault="009C44F2" w:rsidP="009C44F2">
      <w:pPr>
        <w:ind w:left="720"/>
        <w:rPr>
          <w:rFonts w:ascii="Times New Roman" w:hAnsi="Times New Roman"/>
          <w:b/>
        </w:rPr>
      </w:pPr>
    </w:p>
    <w:p w:rsidR="00393DE4" w:rsidRDefault="0069480A" w:rsidP="00393DE4">
      <w:pPr>
        <w:numPr>
          <w:ilvl w:val="0"/>
          <w:numId w:val="40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Annual</w:t>
      </w:r>
      <w:r w:rsidRPr="00BC7F42">
        <w:rPr>
          <w:rFonts w:ascii="Times New Roman" w:hAnsi="Times New Roman"/>
        </w:rPr>
        <w:t xml:space="preserve"> </w:t>
      </w:r>
      <w:r w:rsidRPr="00BC7F42">
        <w:rPr>
          <w:rFonts w:ascii="Times New Roman" w:hAnsi="Times New Roman"/>
          <w:b/>
        </w:rPr>
        <w:t>Cost to the Respondents (Other)</w:t>
      </w:r>
    </w:p>
    <w:p w:rsidR="0069480A" w:rsidRDefault="0069480A" w:rsidP="0069480A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While there are some exceptions (see #9 above), SSA does not g</w:t>
      </w:r>
      <w:r w:rsidRPr="0023013E">
        <w:rPr>
          <w:rFonts w:ascii="Times New Roman" w:hAnsi="Times New Roman"/>
        </w:rPr>
        <w:t>enerally</w:t>
      </w:r>
      <w:r>
        <w:rPr>
          <w:rFonts w:ascii="Times New Roman" w:hAnsi="Times New Roman"/>
        </w:rPr>
        <w:t xml:space="preserve"> approve </w:t>
      </w:r>
      <w:r w:rsidRPr="0023013E">
        <w:rPr>
          <w:rFonts w:ascii="Times New Roman" w:hAnsi="Times New Roman"/>
        </w:rPr>
        <w:t>assignments of SSA employees to non</w:t>
      </w:r>
      <w:r w:rsidRPr="0023013E">
        <w:rPr>
          <w:rFonts w:ascii="Times New Roman" w:hAnsi="Times New Roman"/>
        </w:rPr>
        <w:noBreakHyphen/>
        <w:t>Federal org</w:t>
      </w:r>
      <w:r>
        <w:rPr>
          <w:rFonts w:ascii="Times New Roman" w:hAnsi="Times New Roman"/>
        </w:rPr>
        <w:t xml:space="preserve">anizations </w:t>
      </w:r>
      <w:r w:rsidRPr="0023013E">
        <w:rPr>
          <w:rFonts w:ascii="Times New Roman" w:hAnsi="Times New Roman"/>
        </w:rPr>
        <w:t>unless the non</w:t>
      </w:r>
      <w:r w:rsidRPr="0023013E">
        <w:rPr>
          <w:rFonts w:ascii="Times New Roman" w:hAnsi="Times New Roman"/>
        </w:rPr>
        <w:noBreakHyphen/>
        <w:t xml:space="preserve">Federal organization agrees to pay 100 percent of the estimated cost of the assignment in advance. </w:t>
      </w:r>
      <w:r>
        <w:rPr>
          <w:rFonts w:ascii="Times New Roman" w:hAnsi="Times New Roman"/>
        </w:rPr>
        <w:t xml:space="preserve"> SSA must receive t</w:t>
      </w:r>
      <w:r w:rsidRPr="0023013E">
        <w:rPr>
          <w:rFonts w:ascii="Times New Roman" w:hAnsi="Times New Roman"/>
        </w:rPr>
        <w:t>he advance prior to the starting date of the assignment.  Upon completion of the assignment, either the non</w:t>
      </w:r>
      <w:r w:rsidRPr="0023013E">
        <w:rPr>
          <w:rFonts w:ascii="Times New Roman" w:hAnsi="Times New Roman"/>
        </w:rPr>
        <w:noBreakHyphen/>
        <w:t>Federal organization will receive a re</w:t>
      </w:r>
      <w:r>
        <w:rPr>
          <w:rFonts w:ascii="Times New Roman" w:hAnsi="Times New Roman"/>
        </w:rPr>
        <w:t>fund of any partial balance, or SSA bills them</w:t>
      </w:r>
      <w:r w:rsidRPr="0023013E">
        <w:rPr>
          <w:rFonts w:ascii="Times New Roman" w:hAnsi="Times New Roman"/>
        </w:rPr>
        <w:t xml:space="preserve"> for any additional costs.</w:t>
      </w:r>
    </w:p>
    <w:p w:rsidR="0069480A" w:rsidRDefault="0069480A" w:rsidP="0069480A">
      <w:pPr>
        <w:ind w:left="720"/>
        <w:rPr>
          <w:rFonts w:ascii="Times New Roman" w:hAnsi="Times New Roman"/>
        </w:rPr>
      </w:pPr>
    </w:p>
    <w:p w:rsidR="0069480A" w:rsidRDefault="0069480A" w:rsidP="0069480A">
      <w:pPr>
        <w:ind w:left="720"/>
        <w:rPr>
          <w:rFonts w:ascii="Times New Roman" w:hAnsi="Times New Roman"/>
        </w:rPr>
      </w:pPr>
      <w:r w:rsidRPr="0023013E">
        <w:rPr>
          <w:rFonts w:ascii="Times New Roman" w:hAnsi="Times New Roman"/>
        </w:rPr>
        <w:t xml:space="preserve">SSA cannot authorize reimbursement for indirect or administrative costs associated with assignments. </w:t>
      </w:r>
      <w:r>
        <w:rPr>
          <w:rFonts w:ascii="Times New Roman" w:hAnsi="Times New Roman"/>
        </w:rPr>
        <w:t xml:space="preserve"> </w:t>
      </w:r>
      <w:r w:rsidRPr="0023013E">
        <w:rPr>
          <w:rFonts w:ascii="Times New Roman" w:hAnsi="Times New Roman"/>
        </w:rPr>
        <w:t xml:space="preserve">These include charges for preparing </w:t>
      </w:r>
      <w:r>
        <w:rPr>
          <w:rFonts w:ascii="Times New Roman" w:hAnsi="Times New Roman"/>
        </w:rPr>
        <w:t>and maintaining payroll records;</w:t>
      </w:r>
      <w:r w:rsidRPr="0023013E">
        <w:rPr>
          <w:rFonts w:ascii="Times New Roman" w:hAnsi="Times New Roman"/>
        </w:rPr>
        <w:t xml:space="preserve"> developing rep</w:t>
      </w:r>
      <w:r>
        <w:rPr>
          <w:rFonts w:ascii="Times New Roman" w:hAnsi="Times New Roman"/>
        </w:rPr>
        <w:t>orts on the mobility assignment; negotiating the agreement; tuition credits; office space; furnishings supplies; staff support;</w:t>
      </w:r>
      <w:r w:rsidRPr="0023013E">
        <w:rPr>
          <w:rFonts w:ascii="Times New Roman" w:hAnsi="Times New Roman"/>
        </w:rPr>
        <w:t xml:space="preserve"> and computer time.</w:t>
      </w:r>
    </w:p>
    <w:p w:rsidR="0069480A" w:rsidRDefault="0069480A" w:rsidP="0069480A">
      <w:pPr>
        <w:ind w:left="720"/>
        <w:rPr>
          <w:rFonts w:ascii="Times New Roman" w:hAnsi="Times New Roman"/>
        </w:rPr>
      </w:pPr>
    </w:p>
    <w:p w:rsidR="0069480A" w:rsidRDefault="0069480A" w:rsidP="0069480A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</w:rPr>
        <w:t>Since these costs vary from assignment to assignment, we do not estimate these costs to the pubic annually.  Rather, we negotiate these costs as part of the individual agreements.</w:t>
      </w:r>
    </w:p>
    <w:p w:rsidR="0069480A" w:rsidRDefault="0069480A" w:rsidP="0069480A">
      <w:pPr>
        <w:ind w:left="720"/>
        <w:rPr>
          <w:rFonts w:ascii="Times New Roman" w:hAnsi="Times New Roman"/>
          <w:b/>
        </w:rPr>
      </w:pPr>
    </w:p>
    <w:p w:rsidR="00393DE4" w:rsidRDefault="0069480A" w:rsidP="00393DE4">
      <w:pPr>
        <w:numPr>
          <w:ilvl w:val="0"/>
          <w:numId w:val="40"/>
        </w:numPr>
        <w:rPr>
          <w:rFonts w:ascii="Times New Roman" w:hAnsi="Times New Roman"/>
          <w:b/>
        </w:rPr>
      </w:pPr>
      <w:r w:rsidRPr="00E74618">
        <w:rPr>
          <w:rFonts w:ascii="Times New Roman" w:hAnsi="Times New Roman"/>
          <w:b/>
        </w:rPr>
        <w:t>Annual Cost To Federal Government</w:t>
      </w:r>
    </w:p>
    <w:p w:rsidR="0069480A" w:rsidRDefault="0069480A" w:rsidP="0069480A">
      <w:pPr>
        <w:ind w:left="720"/>
        <w:rPr>
          <w:rFonts w:ascii="Times New Roman" w:hAnsi="Times New Roman"/>
          <w:b/>
        </w:rPr>
      </w:pPr>
      <w:r w:rsidRPr="00636E21">
        <w:rPr>
          <w:rFonts w:ascii="Times New Roman" w:hAnsi="Times New Roman"/>
        </w:rPr>
        <w:t>The annual cost to the Federal Government is approximately $</w:t>
      </w:r>
      <w:r w:rsidR="00CA71BA">
        <w:rPr>
          <w:rFonts w:ascii="Times New Roman" w:hAnsi="Times New Roman"/>
        </w:rPr>
        <w:t xml:space="preserve"> $214,849</w:t>
      </w:r>
      <w:r w:rsidRPr="00636E2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  <w:r w:rsidRPr="00772B1A">
        <w:rPr>
          <w:rFonts w:ascii="Times New Roman" w:hAnsi="Times New Roman"/>
        </w:rPr>
        <w:t xml:space="preserve">This estimate </w:t>
      </w:r>
      <w:r>
        <w:rPr>
          <w:rFonts w:ascii="Times New Roman" w:hAnsi="Times New Roman"/>
        </w:rPr>
        <w:t>accounts for costs from the following areas:  (1) designing, printing, and distributing the form; (2) SSA employee (e.g., field office, 800 number, DDS staff) information collection and processing time; (3) costs to SSA for cost</w:t>
      </w:r>
      <w:r>
        <w:rPr>
          <w:rFonts w:ascii="Times New Roman" w:hAnsi="Times New Roman"/>
        </w:rPr>
        <w:noBreakHyphen/>
        <w:t xml:space="preserve">sharing provisions as part of the assignment negotiations.  </w:t>
      </w:r>
      <w:r w:rsidRPr="0023013E">
        <w:rPr>
          <w:rFonts w:ascii="Times New Roman" w:hAnsi="Times New Roman"/>
        </w:rPr>
        <w:t>Assignments of non</w:t>
      </w:r>
      <w:r w:rsidRPr="0023013E">
        <w:rPr>
          <w:rFonts w:ascii="Times New Roman" w:hAnsi="Times New Roman"/>
        </w:rPr>
        <w:noBreakHyphen/>
        <w:t>Federal employees to SSA must include justification for proposals requiring SSA to pay more than 50 percent of the estimated costs of an assignment.</w:t>
      </w:r>
    </w:p>
    <w:p w:rsidR="0069480A" w:rsidRDefault="0069480A" w:rsidP="0069480A">
      <w:pPr>
        <w:ind w:left="720"/>
        <w:rPr>
          <w:rFonts w:ascii="Times New Roman" w:hAnsi="Times New Roman"/>
          <w:b/>
        </w:rPr>
      </w:pPr>
    </w:p>
    <w:p w:rsidR="00393DE4" w:rsidRDefault="0069480A" w:rsidP="00393DE4">
      <w:pPr>
        <w:numPr>
          <w:ilvl w:val="0"/>
          <w:numId w:val="40"/>
        </w:numPr>
        <w:rPr>
          <w:rFonts w:ascii="Times New Roman" w:hAnsi="Times New Roman"/>
          <w:b/>
        </w:rPr>
      </w:pPr>
      <w:r w:rsidRPr="004E3B64">
        <w:rPr>
          <w:rFonts w:ascii="Times New Roman" w:hAnsi="Times New Roman"/>
          <w:b/>
        </w:rPr>
        <w:t>Program Changes or Adjustments to the Information Collection Request</w:t>
      </w:r>
    </w:p>
    <w:p w:rsidR="0069480A" w:rsidRDefault="0069480A" w:rsidP="0069480A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</w:rPr>
        <w:t>There are no changes to the public reporting burden.</w:t>
      </w:r>
    </w:p>
    <w:p w:rsidR="0069480A" w:rsidRDefault="0069480A" w:rsidP="0069480A">
      <w:pPr>
        <w:ind w:left="720"/>
        <w:rPr>
          <w:rFonts w:ascii="Times New Roman" w:hAnsi="Times New Roman"/>
          <w:b/>
        </w:rPr>
      </w:pPr>
    </w:p>
    <w:p w:rsidR="0069480A" w:rsidRDefault="0069480A" w:rsidP="0069480A">
      <w:pPr>
        <w:ind w:left="720"/>
        <w:rPr>
          <w:rFonts w:ascii="Times New Roman" w:hAnsi="Times New Roman"/>
          <w:b/>
        </w:rPr>
      </w:pPr>
    </w:p>
    <w:p w:rsidR="00393DE4" w:rsidRDefault="0069480A" w:rsidP="00393DE4">
      <w:pPr>
        <w:numPr>
          <w:ilvl w:val="0"/>
          <w:numId w:val="40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Plans for Publication Information Collection</w:t>
      </w:r>
      <w:r>
        <w:rPr>
          <w:rFonts w:ascii="Times New Roman" w:hAnsi="Times New Roman"/>
          <w:b/>
        </w:rPr>
        <w:t xml:space="preserve"> Results</w:t>
      </w:r>
    </w:p>
    <w:p w:rsidR="0069480A" w:rsidRDefault="0069480A" w:rsidP="0069480A">
      <w:pPr>
        <w:ind w:left="720"/>
        <w:rPr>
          <w:rFonts w:ascii="Times New Roman" w:hAnsi="Times New Roman"/>
          <w:b/>
        </w:rPr>
      </w:pPr>
      <w:r w:rsidRPr="00636E21">
        <w:rPr>
          <w:rFonts w:ascii="Times New Roman" w:hAnsi="Times New Roman"/>
          <w:bCs/>
          <w:iCs/>
        </w:rPr>
        <w:t>SSA will not publish the results of the information collection.</w:t>
      </w:r>
    </w:p>
    <w:p w:rsidR="0069480A" w:rsidRDefault="0069480A" w:rsidP="0069480A">
      <w:pPr>
        <w:ind w:left="720"/>
        <w:rPr>
          <w:rFonts w:ascii="Times New Roman" w:hAnsi="Times New Roman"/>
          <w:b/>
        </w:rPr>
      </w:pPr>
    </w:p>
    <w:p w:rsidR="00393DE4" w:rsidRDefault="0069480A" w:rsidP="00393DE4">
      <w:pPr>
        <w:numPr>
          <w:ilvl w:val="0"/>
          <w:numId w:val="40"/>
        </w:numPr>
        <w:rPr>
          <w:rFonts w:ascii="Times New Roman" w:hAnsi="Times New Roman"/>
          <w:b/>
        </w:rPr>
      </w:pPr>
      <w:r w:rsidRPr="00655D6B">
        <w:rPr>
          <w:rFonts w:ascii="Times New Roman" w:hAnsi="Times New Roman"/>
          <w:b/>
        </w:rPr>
        <w:t>Displaying the OMB Approval Expiration Date</w:t>
      </w:r>
    </w:p>
    <w:p w:rsidR="0069480A" w:rsidRDefault="0069480A" w:rsidP="0069480A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Cs/>
          <w:iCs/>
        </w:rPr>
        <w:t xml:space="preserve">Since SSA provides these forms on our website, and we do not print them, </w:t>
      </w:r>
      <w:r w:rsidRPr="00C070F1">
        <w:rPr>
          <w:rFonts w:ascii="Times New Roman" w:hAnsi="Times New Roman"/>
          <w:bCs/>
          <w:iCs/>
        </w:rPr>
        <w:t>SSA is not requesting an exception to the requirement to display an expiration date.</w:t>
      </w:r>
    </w:p>
    <w:p w:rsidR="0069480A" w:rsidRDefault="0069480A" w:rsidP="0069480A">
      <w:pPr>
        <w:ind w:left="720"/>
        <w:rPr>
          <w:rFonts w:ascii="Times New Roman" w:hAnsi="Times New Roman"/>
          <w:b/>
        </w:rPr>
      </w:pPr>
    </w:p>
    <w:p w:rsidR="00393DE4" w:rsidRDefault="00E05863" w:rsidP="00393DE4">
      <w:pPr>
        <w:numPr>
          <w:ilvl w:val="0"/>
          <w:numId w:val="40"/>
        </w:numPr>
        <w:rPr>
          <w:rFonts w:ascii="Times New Roman" w:hAnsi="Times New Roman"/>
          <w:b/>
        </w:rPr>
      </w:pPr>
      <w:r w:rsidRPr="00C01236">
        <w:rPr>
          <w:rFonts w:ascii="Times New Roman" w:hAnsi="Times New Roman"/>
          <w:b/>
        </w:rPr>
        <w:t>Exceptions to Certification Statement</w:t>
      </w:r>
    </w:p>
    <w:p w:rsidR="00E05863" w:rsidRDefault="00E05863" w:rsidP="00E05863">
      <w:pPr>
        <w:ind w:left="720"/>
        <w:rPr>
          <w:rFonts w:ascii="Times New Roman" w:hAnsi="Times New Roman"/>
          <w:b/>
        </w:rPr>
      </w:pPr>
      <w:r w:rsidRPr="00C070F1">
        <w:rPr>
          <w:rFonts w:ascii="Times New Roman" w:hAnsi="Times New Roman"/>
        </w:rPr>
        <w:t xml:space="preserve">SSA is not requesting an exception to the certification requirements at </w:t>
      </w:r>
      <w:r w:rsidRPr="00C070F1">
        <w:rPr>
          <w:rFonts w:ascii="Times New Roman" w:hAnsi="Times New Roman"/>
          <w:i/>
        </w:rPr>
        <w:t>5 CFR 1320.9</w:t>
      </w:r>
      <w:r w:rsidRPr="00C070F1">
        <w:rPr>
          <w:rFonts w:ascii="Times New Roman" w:hAnsi="Times New Roman"/>
        </w:rPr>
        <w:t xml:space="preserve"> and related provisions at </w:t>
      </w:r>
      <w:r w:rsidRPr="00C070F1">
        <w:rPr>
          <w:rFonts w:ascii="Times New Roman" w:hAnsi="Times New Roman"/>
          <w:i/>
        </w:rPr>
        <w:t>5 CFR 1320.8(b)(3)</w:t>
      </w:r>
      <w:r>
        <w:rPr>
          <w:rFonts w:ascii="Times New Roman" w:hAnsi="Times New Roman"/>
          <w:i/>
        </w:rPr>
        <w:t>.</w:t>
      </w:r>
    </w:p>
    <w:p w:rsidR="00393DE4" w:rsidRDefault="00393DE4" w:rsidP="00393DE4">
      <w:pPr>
        <w:ind w:left="720"/>
        <w:rPr>
          <w:rFonts w:ascii="Times New Roman" w:hAnsi="Times New Roman"/>
          <w:b/>
        </w:rPr>
      </w:pPr>
    </w:p>
    <w:p w:rsidR="00393DE4" w:rsidRPr="00E05863" w:rsidRDefault="00E05863" w:rsidP="00393DE4">
      <w:pPr>
        <w:numPr>
          <w:ilvl w:val="0"/>
          <w:numId w:val="39"/>
        </w:numPr>
        <w:rPr>
          <w:rFonts w:ascii="Times New Roman" w:hAnsi="Times New Roman"/>
          <w:b/>
        </w:rPr>
      </w:pPr>
      <w:r w:rsidRPr="0041131C">
        <w:rPr>
          <w:rFonts w:ascii="Times New Roman" w:hAnsi="Times New Roman"/>
          <w:b/>
          <w:u w:val="single"/>
        </w:rPr>
        <w:t>Collections</w:t>
      </w:r>
      <w:r w:rsidRPr="00BC7F42">
        <w:rPr>
          <w:rFonts w:ascii="Times New Roman" w:hAnsi="Times New Roman"/>
          <w:b/>
          <w:u w:val="single"/>
        </w:rPr>
        <w:t xml:space="preserve"> of Information Employing Statistical Methods</w:t>
      </w:r>
    </w:p>
    <w:p w:rsidR="00E05863" w:rsidRDefault="00E05863" w:rsidP="00E05863">
      <w:pPr>
        <w:ind w:left="360"/>
        <w:rPr>
          <w:rFonts w:ascii="Times New Roman" w:hAnsi="Times New Roman"/>
          <w:b/>
          <w:u w:val="single"/>
        </w:rPr>
      </w:pPr>
    </w:p>
    <w:p w:rsidR="00A45D82" w:rsidRPr="00E05863" w:rsidRDefault="00E05863" w:rsidP="00E05863">
      <w:pPr>
        <w:ind w:left="360" w:firstLine="360"/>
        <w:rPr>
          <w:rFonts w:ascii="Times New Roman" w:hAnsi="Times New Roman"/>
          <w:b/>
        </w:rPr>
      </w:pPr>
      <w:r w:rsidRPr="00C01236">
        <w:rPr>
          <w:rFonts w:ascii="Times New Roman" w:hAnsi="Times New Roman"/>
        </w:rPr>
        <w:t>SSA does not use statistical methods for this information collection.</w:t>
      </w:r>
    </w:p>
    <w:sectPr w:rsidR="00A45D82" w:rsidRPr="00E058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60D" w:rsidRDefault="003D660D">
      <w:r>
        <w:separator/>
      </w:r>
    </w:p>
  </w:endnote>
  <w:endnote w:type="continuationSeparator" w:id="0">
    <w:p w:rsidR="003D660D" w:rsidRDefault="003D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60D" w:rsidRDefault="003D660D">
      <w:r>
        <w:separator/>
      </w:r>
    </w:p>
  </w:footnote>
  <w:footnote w:type="continuationSeparator" w:id="0">
    <w:p w:rsidR="003D660D" w:rsidRDefault="003D6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44631A7"/>
    <w:multiLevelType w:val="hybridMultilevel"/>
    <w:tmpl w:val="517ECA56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8E6835"/>
    <w:multiLevelType w:val="multilevel"/>
    <w:tmpl w:val="ECCE519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">
    <w:nsid w:val="050424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8563D7"/>
    <w:multiLevelType w:val="hybridMultilevel"/>
    <w:tmpl w:val="DC3A4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E2A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0013BAB"/>
    <w:multiLevelType w:val="hybridMultilevel"/>
    <w:tmpl w:val="9D066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4969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3067307"/>
    <w:multiLevelType w:val="singleLevel"/>
    <w:tmpl w:val="25A23760"/>
    <w:lvl w:ilvl="0">
      <w:start w:val="2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>
    <w:nsid w:val="19260994"/>
    <w:multiLevelType w:val="hybridMultilevel"/>
    <w:tmpl w:val="6DB8C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C304D7"/>
    <w:multiLevelType w:val="singleLevel"/>
    <w:tmpl w:val="D9787828"/>
    <w:lvl w:ilvl="0">
      <w:start w:val="1"/>
      <w:numFmt w:val="lowerLetter"/>
      <w:lvlText w:val="(%1)"/>
      <w:lvlJc w:val="left"/>
      <w:pPr>
        <w:tabs>
          <w:tab w:val="num" w:pos="1455"/>
        </w:tabs>
        <w:ind w:left="1455" w:hanging="720"/>
      </w:pPr>
      <w:rPr>
        <w:rFonts w:hint="default"/>
      </w:rPr>
    </w:lvl>
  </w:abstractNum>
  <w:abstractNum w:abstractNumId="11">
    <w:nsid w:val="1D73704B"/>
    <w:multiLevelType w:val="multilevel"/>
    <w:tmpl w:val="6B3A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241255"/>
    <w:multiLevelType w:val="hybridMultilevel"/>
    <w:tmpl w:val="E4482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F693D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0602A3E"/>
    <w:multiLevelType w:val="hybridMultilevel"/>
    <w:tmpl w:val="AB96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0E7633"/>
    <w:multiLevelType w:val="hybridMultilevel"/>
    <w:tmpl w:val="3F28754C"/>
    <w:lvl w:ilvl="0" w:tplc="5CAA4F5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083E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2F50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7421940"/>
    <w:multiLevelType w:val="hybridMultilevel"/>
    <w:tmpl w:val="BE568B64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AC00C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B3B07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F875EAB"/>
    <w:multiLevelType w:val="hybridMultilevel"/>
    <w:tmpl w:val="2B827C5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985EE9"/>
    <w:multiLevelType w:val="hybridMultilevel"/>
    <w:tmpl w:val="B1628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225B5B"/>
    <w:multiLevelType w:val="hybridMultilevel"/>
    <w:tmpl w:val="13480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78A30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CE81D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D101D77"/>
    <w:multiLevelType w:val="hybridMultilevel"/>
    <w:tmpl w:val="21E6E07A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3CB50F3"/>
    <w:multiLevelType w:val="hybridMultilevel"/>
    <w:tmpl w:val="856C0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2A435F"/>
    <w:multiLevelType w:val="multilevel"/>
    <w:tmpl w:val="ABDE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605A35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0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6F329C"/>
    <w:multiLevelType w:val="hybridMultilevel"/>
    <w:tmpl w:val="377E5B9C"/>
    <w:lvl w:ilvl="0" w:tplc="D1F8AB5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2B5166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>
    <w:nsid w:val="63C9722E"/>
    <w:multiLevelType w:val="hybridMultilevel"/>
    <w:tmpl w:val="427013DC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49D6B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6">
    <w:nsid w:val="76EF0A82"/>
    <w:multiLevelType w:val="hybridMultilevel"/>
    <w:tmpl w:val="7F3EE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8">
    <w:nsid w:val="7A9B5E7D"/>
    <w:multiLevelType w:val="singleLevel"/>
    <w:tmpl w:val="287A29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9">
    <w:nsid w:val="7B802170"/>
    <w:multiLevelType w:val="hybridMultilevel"/>
    <w:tmpl w:val="02DE3694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5"/>
  </w:num>
  <w:num w:numId="4">
    <w:abstractNumId w:val="19"/>
  </w:num>
  <w:num w:numId="5">
    <w:abstractNumId w:val="13"/>
  </w:num>
  <w:num w:numId="6">
    <w:abstractNumId w:val="25"/>
  </w:num>
  <w:num w:numId="7">
    <w:abstractNumId w:val="32"/>
  </w:num>
  <w:num w:numId="8">
    <w:abstractNumId w:val="34"/>
  </w:num>
  <w:num w:numId="9">
    <w:abstractNumId w:val="7"/>
  </w:num>
  <w:num w:numId="10">
    <w:abstractNumId w:val="3"/>
  </w:num>
  <w:num w:numId="11">
    <w:abstractNumId w:val="17"/>
  </w:num>
  <w:num w:numId="12">
    <w:abstractNumId w:val="20"/>
  </w:num>
  <w:num w:numId="13">
    <w:abstractNumId w:val="38"/>
  </w:num>
  <w:num w:numId="14">
    <w:abstractNumId w:val="10"/>
  </w:num>
  <w:num w:numId="15">
    <w:abstractNumId w:val="8"/>
  </w:num>
  <w:num w:numId="16">
    <w:abstractNumId w:val="37"/>
  </w:num>
  <w:num w:numId="17">
    <w:abstractNumId w:val="35"/>
  </w:num>
  <w:num w:numId="18">
    <w:abstractNumId w:val="29"/>
  </w:num>
  <w:num w:numId="19">
    <w:abstractNumId w:val="31"/>
  </w:num>
  <w:num w:numId="20">
    <w:abstractNumId w:val="39"/>
  </w:num>
  <w:num w:numId="21">
    <w:abstractNumId w:val="18"/>
  </w:num>
  <w:num w:numId="22">
    <w:abstractNumId w:val="33"/>
  </w:num>
  <w:num w:numId="23">
    <w:abstractNumId w:val="26"/>
  </w:num>
  <w:num w:numId="24">
    <w:abstractNumId w:val="14"/>
  </w:num>
  <w:num w:numId="25">
    <w:abstractNumId w:val="1"/>
  </w:num>
  <w:num w:numId="26">
    <w:abstractNumId w:val="15"/>
  </w:num>
  <w:num w:numId="27">
    <w:abstractNumId w:val="36"/>
  </w:num>
  <w:num w:numId="28">
    <w:abstractNumId w:val="22"/>
  </w:num>
  <w:num w:numId="29">
    <w:abstractNumId w:val="30"/>
  </w:num>
  <w:num w:numId="30">
    <w:abstractNumId w:val="11"/>
  </w:num>
  <w:num w:numId="31">
    <w:abstractNumId w:val="2"/>
  </w:num>
  <w:num w:numId="32">
    <w:abstractNumId w:val="28"/>
  </w:num>
  <w:num w:numId="33">
    <w:abstractNumId w:val="0"/>
  </w:num>
  <w:num w:numId="34">
    <w:abstractNumId w:val="23"/>
  </w:num>
  <w:num w:numId="35">
    <w:abstractNumId w:val="4"/>
  </w:num>
  <w:num w:numId="36">
    <w:abstractNumId w:val="6"/>
  </w:num>
  <w:num w:numId="37">
    <w:abstractNumId w:val="9"/>
  </w:num>
  <w:num w:numId="38">
    <w:abstractNumId w:val="12"/>
  </w:num>
  <w:num w:numId="39">
    <w:abstractNumId w:val="21"/>
  </w:num>
  <w:num w:numId="40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82"/>
    <w:rsid w:val="000222A7"/>
    <w:rsid w:val="00025216"/>
    <w:rsid w:val="00025ADB"/>
    <w:rsid w:val="0002677F"/>
    <w:rsid w:val="00030495"/>
    <w:rsid w:val="000316A7"/>
    <w:rsid w:val="00063A05"/>
    <w:rsid w:val="0006715D"/>
    <w:rsid w:val="00070317"/>
    <w:rsid w:val="0007189E"/>
    <w:rsid w:val="00077720"/>
    <w:rsid w:val="00077E0E"/>
    <w:rsid w:val="00080CE4"/>
    <w:rsid w:val="00086E84"/>
    <w:rsid w:val="000958AA"/>
    <w:rsid w:val="000A0882"/>
    <w:rsid w:val="000A6AE3"/>
    <w:rsid w:val="000B2B68"/>
    <w:rsid w:val="000B3B12"/>
    <w:rsid w:val="000B7411"/>
    <w:rsid w:val="000C151C"/>
    <w:rsid w:val="000C1D18"/>
    <w:rsid w:val="000C380B"/>
    <w:rsid w:val="000D5F5C"/>
    <w:rsid w:val="000E0747"/>
    <w:rsid w:val="000E2C66"/>
    <w:rsid w:val="000F70E0"/>
    <w:rsid w:val="001021B5"/>
    <w:rsid w:val="00107E10"/>
    <w:rsid w:val="00121032"/>
    <w:rsid w:val="00122EE2"/>
    <w:rsid w:val="00127980"/>
    <w:rsid w:val="00134FCA"/>
    <w:rsid w:val="00145A26"/>
    <w:rsid w:val="00146275"/>
    <w:rsid w:val="00150A06"/>
    <w:rsid w:val="0015576E"/>
    <w:rsid w:val="00164014"/>
    <w:rsid w:val="00192897"/>
    <w:rsid w:val="0019574C"/>
    <w:rsid w:val="001961AB"/>
    <w:rsid w:val="001A3317"/>
    <w:rsid w:val="001B0103"/>
    <w:rsid w:val="001B7CF4"/>
    <w:rsid w:val="001C6D3A"/>
    <w:rsid w:val="001D0CB3"/>
    <w:rsid w:val="001E1076"/>
    <w:rsid w:val="00202CE7"/>
    <w:rsid w:val="00216CFE"/>
    <w:rsid w:val="00220CC8"/>
    <w:rsid w:val="0023013E"/>
    <w:rsid w:val="002321B0"/>
    <w:rsid w:val="0024570F"/>
    <w:rsid w:val="0026052B"/>
    <w:rsid w:val="00276AAF"/>
    <w:rsid w:val="002863F9"/>
    <w:rsid w:val="002A4C30"/>
    <w:rsid w:val="002B0820"/>
    <w:rsid w:val="002B5578"/>
    <w:rsid w:val="002D478C"/>
    <w:rsid w:val="002E0A23"/>
    <w:rsid w:val="002E18CF"/>
    <w:rsid w:val="002E4D78"/>
    <w:rsid w:val="002F1C11"/>
    <w:rsid w:val="00302545"/>
    <w:rsid w:val="003071EA"/>
    <w:rsid w:val="00330494"/>
    <w:rsid w:val="00331821"/>
    <w:rsid w:val="003465DC"/>
    <w:rsid w:val="003469CA"/>
    <w:rsid w:val="003558E7"/>
    <w:rsid w:val="00361EB7"/>
    <w:rsid w:val="0036696D"/>
    <w:rsid w:val="003764E7"/>
    <w:rsid w:val="0038050B"/>
    <w:rsid w:val="003876A3"/>
    <w:rsid w:val="00393DE4"/>
    <w:rsid w:val="00397CC0"/>
    <w:rsid w:val="003A633D"/>
    <w:rsid w:val="003A79ED"/>
    <w:rsid w:val="003B15EC"/>
    <w:rsid w:val="003B30B4"/>
    <w:rsid w:val="003C10BD"/>
    <w:rsid w:val="003C25D8"/>
    <w:rsid w:val="003C35DC"/>
    <w:rsid w:val="003C6775"/>
    <w:rsid w:val="003D660D"/>
    <w:rsid w:val="003E145C"/>
    <w:rsid w:val="00405548"/>
    <w:rsid w:val="0041131C"/>
    <w:rsid w:val="00431220"/>
    <w:rsid w:val="00432A60"/>
    <w:rsid w:val="004427AF"/>
    <w:rsid w:val="00447EE9"/>
    <w:rsid w:val="0045065A"/>
    <w:rsid w:val="004509AD"/>
    <w:rsid w:val="00475350"/>
    <w:rsid w:val="00481B44"/>
    <w:rsid w:val="0048319E"/>
    <w:rsid w:val="00484662"/>
    <w:rsid w:val="00486EC7"/>
    <w:rsid w:val="004915B5"/>
    <w:rsid w:val="004A01C4"/>
    <w:rsid w:val="004A322D"/>
    <w:rsid w:val="004A3C05"/>
    <w:rsid w:val="004B7A0D"/>
    <w:rsid w:val="004C2548"/>
    <w:rsid w:val="004D4884"/>
    <w:rsid w:val="004E146D"/>
    <w:rsid w:val="004E3B64"/>
    <w:rsid w:val="004E3D23"/>
    <w:rsid w:val="0050197F"/>
    <w:rsid w:val="005040EC"/>
    <w:rsid w:val="00506486"/>
    <w:rsid w:val="00514321"/>
    <w:rsid w:val="00533A5A"/>
    <w:rsid w:val="0056163C"/>
    <w:rsid w:val="005721D4"/>
    <w:rsid w:val="00576829"/>
    <w:rsid w:val="00593A36"/>
    <w:rsid w:val="005A1198"/>
    <w:rsid w:val="005A6916"/>
    <w:rsid w:val="005B15E5"/>
    <w:rsid w:val="005C2C39"/>
    <w:rsid w:val="005D4107"/>
    <w:rsid w:val="005F208A"/>
    <w:rsid w:val="005F5DDF"/>
    <w:rsid w:val="006002DD"/>
    <w:rsid w:val="006013A3"/>
    <w:rsid w:val="006160ED"/>
    <w:rsid w:val="00626C22"/>
    <w:rsid w:val="0063304D"/>
    <w:rsid w:val="00636E21"/>
    <w:rsid w:val="00637AF5"/>
    <w:rsid w:val="00640A26"/>
    <w:rsid w:val="00655D6B"/>
    <w:rsid w:val="00663881"/>
    <w:rsid w:val="00664162"/>
    <w:rsid w:val="00664553"/>
    <w:rsid w:val="006806E1"/>
    <w:rsid w:val="0069480A"/>
    <w:rsid w:val="0069667B"/>
    <w:rsid w:val="006B173F"/>
    <w:rsid w:val="006B17EF"/>
    <w:rsid w:val="006B297F"/>
    <w:rsid w:val="006F13D7"/>
    <w:rsid w:val="006F4D0F"/>
    <w:rsid w:val="006F7AA7"/>
    <w:rsid w:val="007006C4"/>
    <w:rsid w:val="00712F1B"/>
    <w:rsid w:val="00721656"/>
    <w:rsid w:val="007245C9"/>
    <w:rsid w:val="007256B3"/>
    <w:rsid w:val="00727B78"/>
    <w:rsid w:val="00734CD5"/>
    <w:rsid w:val="00742B56"/>
    <w:rsid w:val="007440A4"/>
    <w:rsid w:val="00745462"/>
    <w:rsid w:val="00760797"/>
    <w:rsid w:val="0076349B"/>
    <w:rsid w:val="00763AA2"/>
    <w:rsid w:val="00773FB9"/>
    <w:rsid w:val="00776C62"/>
    <w:rsid w:val="00776E4B"/>
    <w:rsid w:val="00782D88"/>
    <w:rsid w:val="00795BAB"/>
    <w:rsid w:val="007A08D1"/>
    <w:rsid w:val="007A2DEE"/>
    <w:rsid w:val="007B007C"/>
    <w:rsid w:val="007D061D"/>
    <w:rsid w:val="007D22EB"/>
    <w:rsid w:val="007E17BD"/>
    <w:rsid w:val="008036F8"/>
    <w:rsid w:val="00803FCB"/>
    <w:rsid w:val="00806984"/>
    <w:rsid w:val="00810485"/>
    <w:rsid w:val="00814772"/>
    <w:rsid w:val="00815B04"/>
    <w:rsid w:val="008211F3"/>
    <w:rsid w:val="00824D72"/>
    <w:rsid w:val="00825B97"/>
    <w:rsid w:val="008442C7"/>
    <w:rsid w:val="0084775D"/>
    <w:rsid w:val="0086463A"/>
    <w:rsid w:val="008754ED"/>
    <w:rsid w:val="00884B41"/>
    <w:rsid w:val="00891CA8"/>
    <w:rsid w:val="00892E12"/>
    <w:rsid w:val="008B6774"/>
    <w:rsid w:val="008C0E77"/>
    <w:rsid w:val="008C32C7"/>
    <w:rsid w:val="008D158E"/>
    <w:rsid w:val="008E3A3A"/>
    <w:rsid w:val="00906892"/>
    <w:rsid w:val="0091303C"/>
    <w:rsid w:val="009249FF"/>
    <w:rsid w:val="009252AB"/>
    <w:rsid w:val="00931415"/>
    <w:rsid w:val="0093320F"/>
    <w:rsid w:val="00951258"/>
    <w:rsid w:val="00952C5B"/>
    <w:rsid w:val="00955EC4"/>
    <w:rsid w:val="009748B6"/>
    <w:rsid w:val="00974B02"/>
    <w:rsid w:val="00975DD8"/>
    <w:rsid w:val="00980F6D"/>
    <w:rsid w:val="009A0B16"/>
    <w:rsid w:val="009C44F2"/>
    <w:rsid w:val="009D1DA3"/>
    <w:rsid w:val="009D2931"/>
    <w:rsid w:val="009E3C50"/>
    <w:rsid w:val="009F23D6"/>
    <w:rsid w:val="009F7BB3"/>
    <w:rsid w:val="00A003B1"/>
    <w:rsid w:val="00A15853"/>
    <w:rsid w:val="00A337E4"/>
    <w:rsid w:val="00A33C65"/>
    <w:rsid w:val="00A34222"/>
    <w:rsid w:val="00A43EEC"/>
    <w:rsid w:val="00A45D82"/>
    <w:rsid w:val="00A5031C"/>
    <w:rsid w:val="00A54A32"/>
    <w:rsid w:val="00A57B13"/>
    <w:rsid w:val="00A63F17"/>
    <w:rsid w:val="00A651A7"/>
    <w:rsid w:val="00A67D76"/>
    <w:rsid w:val="00AA06A4"/>
    <w:rsid w:val="00AA0858"/>
    <w:rsid w:val="00AA0C27"/>
    <w:rsid w:val="00AA336D"/>
    <w:rsid w:val="00AB0CA7"/>
    <w:rsid w:val="00AD0977"/>
    <w:rsid w:val="00AD15B6"/>
    <w:rsid w:val="00AE0527"/>
    <w:rsid w:val="00B007C5"/>
    <w:rsid w:val="00B01D57"/>
    <w:rsid w:val="00B02DD3"/>
    <w:rsid w:val="00B11593"/>
    <w:rsid w:val="00B239EA"/>
    <w:rsid w:val="00B35578"/>
    <w:rsid w:val="00B36DA4"/>
    <w:rsid w:val="00B40B90"/>
    <w:rsid w:val="00B42F39"/>
    <w:rsid w:val="00B741F6"/>
    <w:rsid w:val="00B767EC"/>
    <w:rsid w:val="00B824A4"/>
    <w:rsid w:val="00B83CA5"/>
    <w:rsid w:val="00B92550"/>
    <w:rsid w:val="00BA1653"/>
    <w:rsid w:val="00BA401A"/>
    <w:rsid w:val="00BA6828"/>
    <w:rsid w:val="00BA76EF"/>
    <w:rsid w:val="00BB7D7E"/>
    <w:rsid w:val="00BC5405"/>
    <w:rsid w:val="00BC5531"/>
    <w:rsid w:val="00BC7492"/>
    <w:rsid w:val="00BC7F42"/>
    <w:rsid w:val="00BD4739"/>
    <w:rsid w:val="00BF026F"/>
    <w:rsid w:val="00BF1806"/>
    <w:rsid w:val="00C01236"/>
    <w:rsid w:val="00C0290B"/>
    <w:rsid w:val="00C070F1"/>
    <w:rsid w:val="00C151F7"/>
    <w:rsid w:val="00C22097"/>
    <w:rsid w:val="00C25FDC"/>
    <w:rsid w:val="00C3302D"/>
    <w:rsid w:val="00C34A91"/>
    <w:rsid w:val="00C377BC"/>
    <w:rsid w:val="00C44016"/>
    <w:rsid w:val="00C4790E"/>
    <w:rsid w:val="00C5104E"/>
    <w:rsid w:val="00C60067"/>
    <w:rsid w:val="00C60E61"/>
    <w:rsid w:val="00C67C8A"/>
    <w:rsid w:val="00C67F83"/>
    <w:rsid w:val="00C71753"/>
    <w:rsid w:val="00C826A2"/>
    <w:rsid w:val="00C941E2"/>
    <w:rsid w:val="00CA0068"/>
    <w:rsid w:val="00CA0B15"/>
    <w:rsid w:val="00CA5F75"/>
    <w:rsid w:val="00CA6CAE"/>
    <w:rsid w:val="00CA71BA"/>
    <w:rsid w:val="00CB7253"/>
    <w:rsid w:val="00CB7557"/>
    <w:rsid w:val="00CB7844"/>
    <w:rsid w:val="00CC336C"/>
    <w:rsid w:val="00CC6582"/>
    <w:rsid w:val="00CD667A"/>
    <w:rsid w:val="00CE23AB"/>
    <w:rsid w:val="00CE23C1"/>
    <w:rsid w:val="00D0011E"/>
    <w:rsid w:val="00D03E8A"/>
    <w:rsid w:val="00D05A2E"/>
    <w:rsid w:val="00D10AA1"/>
    <w:rsid w:val="00D42EFE"/>
    <w:rsid w:val="00D44900"/>
    <w:rsid w:val="00D45430"/>
    <w:rsid w:val="00D544B9"/>
    <w:rsid w:val="00D5531A"/>
    <w:rsid w:val="00D65050"/>
    <w:rsid w:val="00D678F8"/>
    <w:rsid w:val="00D71D16"/>
    <w:rsid w:val="00DA39D8"/>
    <w:rsid w:val="00DB1DB4"/>
    <w:rsid w:val="00DD494D"/>
    <w:rsid w:val="00DE5B62"/>
    <w:rsid w:val="00DE6186"/>
    <w:rsid w:val="00E0137B"/>
    <w:rsid w:val="00E05863"/>
    <w:rsid w:val="00E065DA"/>
    <w:rsid w:val="00E26FF4"/>
    <w:rsid w:val="00E437C5"/>
    <w:rsid w:val="00E50200"/>
    <w:rsid w:val="00E6594F"/>
    <w:rsid w:val="00E663D5"/>
    <w:rsid w:val="00E74618"/>
    <w:rsid w:val="00E75DB0"/>
    <w:rsid w:val="00E80456"/>
    <w:rsid w:val="00E956F3"/>
    <w:rsid w:val="00EA622E"/>
    <w:rsid w:val="00EC7EFD"/>
    <w:rsid w:val="00ED36D8"/>
    <w:rsid w:val="00EE169C"/>
    <w:rsid w:val="00EE24B5"/>
    <w:rsid w:val="00EE42B9"/>
    <w:rsid w:val="00EE6086"/>
    <w:rsid w:val="00EF4071"/>
    <w:rsid w:val="00EF765F"/>
    <w:rsid w:val="00F028DE"/>
    <w:rsid w:val="00F0585C"/>
    <w:rsid w:val="00F107B7"/>
    <w:rsid w:val="00F11F57"/>
    <w:rsid w:val="00F15EF8"/>
    <w:rsid w:val="00F36E53"/>
    <w:rsid w:val="00F4316C"/>
    <w:rsid w:val="00F46176"/>
    <w:rsid w:val="00F5149E"/>
    <w:rsid w:val="00F56A74"/>
    <w:rsid w:val="00F57AD9"/>
    <w:rsid w:val="00F76BFA"/>
    <w:rsid w:val="00F832E5"/>
    <w:rsid w:val="00F870A3"/>
    <w:rsid w:val="00F91762"/>
    <w:rsid w:val="00F9405B"/>
    <w:rsid w:val="00FA34E8"/>
    <w:rsid w:val="00FA7D4E"/>
    <w:rsid w:val="00FC7474"/>
    <w:rsid w:val="00FC76CE"/>
    <w:rsid w:val="00FD549D"/>
    <w:rsid w:val="00FD6374"/>
    <w:rsid w:val="00FE56E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  <w:rPr>
      <w:rFonts w:eastAsia="SimSun"/>
    </w:r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rFonts w:eastAsia="SimSun"/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  <w:style w:type="paragraph" w:styleId="NormalWeb">
    <w:name w:val="Normal (Web)"/>
    <w:basedOn w:val="Normal"/>
    <w:uiPriority w:val="99"/>
    <w:unhideWhenUsed/>
    <w:rsid w:val="00E50200"/>
    <w:pPr>
      <w:widowControl/>
      <w:spacing w:before="100" w:beforeAutospacing="1" w:after="100" w:afterAutospacing="1"/>
    </w:pPr>
    <w:rPr>
      <w:rFonts w:ascii="Times New Roman" w:hAnsi="Times New Roman"/>
      <w:snapToGrid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  <w:rPr>
      <w:rFonts w:eastAsia="SimSun"/>
    </w:r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rFonts w:eastAsia="SimSun"/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  <w:style w:type="paragraph" w:styleId="NormalWeb">
    <w:name w:val="Normal (Web)"/>
    <w:basedOn w:val="Normal"/>
    <w:uiPriority w:val="99"/>
    <w:unhideWhenUsed/>
    <w:rsid w:val="00E50200"/>
    <w:pPr>
      <w:widowControl/>
      <w:spacing w:before="100" w:beforeAutospacing="1" w:after="100" w:afterAutospacing="1"/>
    </w:pPr>
    <w:rPr>
      <w:rFonts w:ascii="Times New Roman" w:hAnsi="Times New Roman"/>
      <w:snapToGrid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opm.gov/programs/ipa/mobilit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FC3D5-6560-45A7-8D44-18E6BC95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Information Collection and Form Number(s)</vt:lpstr>
    </vt:vector>
  </TitlesOfParts>
  <Company>Social Security Administration</Company>
  <LinksUpToDate>false</LinksUpToDate>
  <CharactersWithSpaces>10138</CharactersWithSpaces>
  <SharedDoc>false</SharedDoc>
  <HLinks>
    <vt:vector size="6" baseType="variant">
      <vt:variant>
        <vt:i4>5177355</vt:i4>
      </vt:variant>
      <vt:variant>
        <vt:i4>0</vt:i4>
      </vt:variant>
      <vt:variant>
        <vt:i4>0</vt:i4>
      </vt:variant>
      <vt:variant>
        <vt:i4>5</vt:i4>
      </vt:variant>
      <vt:variant>
        <vt:lpwstr>http://www.opm.gov/programs/ipa/mobility.asp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Information Collection and Form Number(s)</dc:title>
  <dc:subject/>
  <dc:creator>Naomi</dc:creator>
  <cp:keywords/>
  <cp:lastModifiedBy>SYSTEM</cp:lastModifiedBy>
  <cp:revision>2</cp:revision>
  <cp:lastPrinted>2011-07-25T16:33:00Z</cp:lastPrinted>
  <dcterms:created xsi:type="dcterms:W3CDTF">2017-09-20T17:35:00Z</dcterms:created>
  <dcterms:modified xsi:type="dcterms:W3CDTF">2017-09-20T17:35:00Z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-1649761965</vt:i4>
  </property>
  <property fmtid="{D5CDD505-2E9C-101B-9397-08002B2CF9AE}" pid="4" name="_EmailSubject">
    <vt:lpwstr>DUE MAY 31 - Expiration Notice:  0960-0792  SSA-187,SSA-188,SSA-188,SSA-187</vt:lpwstr>
  </property>
  <property fmtid="{D5CDD505-2E9C-101B-9397-08002B2CF9AE}" pid="5" name="_AuthorEmail">
    <vt:lpwstr>Karen.Makino@ssa.gov</vt:lpwstr>
  </property>
  <property fmtid="{D5CDD505-2E9C-101B-9397-08002B2CF9AE}" pid="6" name="_AuthorEmailDisplayName">
    <vt:lpwstr>Makino, Karen</vt:lpwstr>
  </property>
  <property fmtid="{D5CDD505-2E9C-101B-9397-08002B2CF9AE}" pid="7" name="_PreviousAdHocReviewCycleID">
    <vt:i4>-597959536</vt:i4>
  </property>
  <property fmtid="{D5CDD505-2E9C-101B-9397-08002B2CF9AE}" pid="8" name="_ReviewingToolsShownOnce">
    <vt:lpwstr/>
  </property>
</Properties>
</file>