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1B" w:rsidRPr="00DC7B1B" w:rsidRDefault="00DC7B1B" w:rsidP="00DC7B1B">
      <w:pPr>
        <w:widowControl w:val="0"/>
        <w:snapToGrid w:val="0"/>
        <w:spacing w:after="0"/>
        <w:jc w:val="center"/>
        <w:rPr>
          <w:rFonts w:ascii="Times New Roman" w:hAnsi="Times New Roman"/>
          <w:b/>
          <w:bCs/>
          <w:szCs w:val="24"/>
        </w:rPr>
      </w:pPr>
      <w:bookmarkStart w:id="0" w:name="_GoBack"/>
      <w:bookmarkEnd w:id="0"/>
      <w:r w:rsidRPr="00DC7B1B">
        <w:rPr>
          <w:rFonts w:ascii="Times New Roman" w:hAnsi="Times New Roman"/>
          <w:b/>
          <w:bCs/>
          <w:szCs w:val="24"/>
        </w:rPr>
        <w:t>Supporting Statement for Electronic Records Express (ERE)</w:t>
      </w:r>
      <w:r w:rsidR="005C50D5">
        <w:rPr>
          <w:rFonts w:ascii="Times New Roman" w:hAnsi="Times New Roman"/>
          <w:b/>
          <w:bCs/>
          <w:szCs w:val="24"/>
        </w:rPr>
        <w:t xml:space="preserve"> Third Party</w:t>
      </w:r>
    </w:p>
    <w:p w:rsidR="00075EC0" w:rsidRPr="00075EC0" w:rsidRDefault="0022344B" w:rsidP="00DC7B1B">
      <w:pPr>
        <w:widowControl w:val="0"/>
        <w:snapToGrid w:val="0"/>
        <w:spacing w:after="0"/>
        <w:jc w:val="center"/>
        <w:rPr>
          <w:rFonts w:ascii="Times New Roman" w:hAnsi="Times New Roman"/>
          <w:b/>
          <w:szCs w:val="24"/>
        </w:rPr>
      </w:pPr>
      <w:r>
        <w:rPr>
          <w:rFonts w:ascii="Times New Roman" w:hAnsi="Times New Roman"/>
          <w:b/>
          <w:bCs/>
          <w:szCs w:val="24"/>
        </w:rPr>
        <w:t>OMB No. 0960-0767</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075EC0" w:rsidRPr="00075EC0" w:rsidRDefault="00DC7B1B" w:rsidP="00F45921">
      <w:pPr>
        <w:widowControl w:val="0"/>
        <w:snapToGrid w:val="0"/>
        <w:spacing w:after="0"/>
        <w:ind w:left="1440"/>
        <w:rPr>
          <w:rFonts w:ascii="Times New Roman" w:hAnsi="Times New Roman"/>
          <w:szCs w:val="24"/>
        </w:rPr>
      </w:pPr>
      <w:r w:rsidRPr="00DC7B1B">
        <w:rPr>
          <w:rFonts w:ascii="Times New Roman" w:hAnsi="Times New Roman"/>
          <w:snapToGrid w:val="0"/>
          <w:szCs w:val="24"/>
        </w:rPr>
        <w:t>Electronic Records Express (ERE) allows us to provide online copies of documents and digital audio hearing recordings contained in disability claimants' files to the claimant's third party representative.  Third party appointed representatives can obtain the same information from SSA as the disability claimant.  The respondents are third party appointed representatives, and the information they supply allows us to provide them access to view and download all aspects of their clients' disability files online through ERE.  We developed ERE as an electronic platform under the auspices of the E-Government Act of 2002 (Public Law 107-347) and the Government Paperwork Elimination Act (GPEA; Pub. L.105-277)</w:t>
      </w:r>
      <w:r w:rsidR="00075EC0" w:rsidRPr="00075EC0">
        <w:rPr>
          <w:rFonts w:ascii="Times New Roman" w:hAnsi="Times New Roman"/>
          <w:szCs w:val="24"/>
        </w:rPr>
        <w:t>.</w:t>
      </w:r>
    </w:p>
    <w:p w:rsidR="00075EC0" w:rsidRPr="00075EC0" w:rsidRDefault="00075EC0" w:rsidP="00075EC0">
      <w:pPr>
        <w:widowControl w:val="0"/>
        <w:snapToGrid w:val="0"/>
        <w:spacing w:after="0"/>
        <w:ind w:left="72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RDefault="00DC7B1B" w:rsidP="00F45921">
      <w:pPr>
        <w:widowControl w:val="0"/>
        <w:tabs>
          <w:tab w:val="num" w:pos="1440"/>
        </w:tabs>
        <w:snapToGrid w:val="0"/>
        <w:spacing w:after="0"/>
        <w:ind w:left="1440"/>
        <w:rPr>
          <w:rFonts w:ascii="Times New Roman" w:hAnsi="Times New Roman"/>
          <w:szCs w:val="24"/>
        </w:rPr>
      </w:pPr>
      <w:r w:rsidRPr="00DC7B1B">
        <w:rPr>
          <w:rFonts w:ascii="Times New Roman" w:hAnsi="Times New Roman"/>
          <w:snapToGrid w:val="0"/>
          <w:szCs w:val="24"/>
        </w:rPr>
        <w:t>ERE is an online system which enables medical providers and various third party representatives to download and submit disability claimant information electronically to SSA as part of the disability application process.  To ensure only authorized people access ERE, SSA requires third parties to complete a unique registration process if they wish to use this system.  This Information Collection Request (ICR) includes the process to request a download through the Appointed Representative suite of services screens; the burden for submitting evidence to SSA is part of other, various ICRs.  The respondents are third party representatives of disability applicants who want to use ERE to electronically access clients’ disability files online and submit information to SSA</w:t>
      </w:r>
      <w:r w:rsidR="00AE0691" w:rsidRPr="00075EC0">
        <w:rPr>
          <w:rFonts w:ascii="Times New Roman" w:hAnsi="Times New Roman"/>
          <w:szCs w:val="24"/>
        </w:rPr>
        <w:t>.</w:t>
      </w:r>
      <w:r w:rsidR="00AE0691">
        <w:rPr>
          <w:rFonts w:ascii="Times New Roman" w:hAnsi="Times New Roman"/>
          <w:szCs w:val="24"/>
        </w:rPr>
        <w:t xml:space="preserve">  </w:t>
      </w:r>
    </w:p>
    <w:p w:rsidR="00CD4D36" w:rsidRPr="00075EC0" w:rsidRDefault="00CD4D36" w:rsidP="00DC7B1B">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RDefault="00DC7B1B" w:rsidP="00DC7B1B">
      <w:pPr>
        <w:widowControl w:val="0"/>
        <w:tabs>
          <w:tab w:val="num" w:pos="1440"/>
        </w:tabs>
        <w:snapToGrid w:val="0"/>
        <w:spacing w:after="0"/>
        <w:ind w:left="1440"/>
        <w:rPr>
          <w:rFonts w:ascii="Times New Roman" w:hAnsi="Times New Roman"/>
          <w:szCs w:val="24"/>
        </w:rPr>
      </w:pPr>
      <w:r w:rsidRPr="00DC7B1B">
        <w:rPr>
          <w:rFonts w:ascii="Times New Roman" w:hAnsi="Times New Roman"/>
          <w:snapToGrid w:val="0"/>
          <w:szCs w:val="24"/>
        </w:rPr>
        <w:t xml:space="preserve">ERE is a web-based program originally developed by SSA under the aegis of, and in accordance with, </w:t>
      </w:r>
      <w:r w:rsidR="005C50D5">
        <w:rPr>
          <w:rFonts w:ascii="Times New Roman" w:hAnsi="Times New Roman"/>
          <w:snapToGrid w:val="0"/>
          <w:szCs w:val="24"/>
        </w:rPr>
        <w:t xml:space="preserve">the </w:t>
      </w:r>
      <w:r w:rsidR="005C50D5" w:rsidRPr="005C50D5">
        <w:rPr>
          <w:rFonts w:ascii="Times New Roman" w:hAnsi="Times New Roman"/>
          <w:snapToGrid w:val="0"/>
          <w:szCs w:val="24"/>
        </w:rPr>
        <w:t>Government Paperwork Elimination Act plan</w:t>
      </w:r>
      <w:r w:rsidRPr="00DC7B1B">
        <w:rPr>
          <w:rFonts w:ascii="Times New Roman" w:hAnsi="Times New Roman"/>
          <w:snapToGrid w:val="0"/>
          <w:szCs w:val="24"/>
        </w:rPr>
        <w:t>.  Based on our data, we estimate approximately 100% of respondents under this OMB number use the electronic version</w:t>
      </w:r>
      <w:r w:rsidR="00075EC0" w:rsidRPr="00075EC0">
        <w:rPr>
          <w:rFonts w:ascii="Times New Roman" w:hAnsi="Times New Roman"/>
          <w:szCs w:val="24"/>
        </w:rPr>
        <w:t xml:space="preserve">.  </w:t>
      </w:r>
    </w:p>
    <w:p w:rsidR="00875896" w:rsidRDefault="00875896" w:rsidP="00DC7B1B">
      <w:pPr>
        <w:widowControl w:val="0"/>
        <w:tabs>
          <w:tab w:val="num" w:pos="1440"/>
        </w:tabs>
        <w:snapToGrid w:val="0"/>
        <w:spacing w:after="0"/>
        <w:ind w:left="1440"/>
        <w:rPr>
          <w:rFonts w:ascii="Times New Roman" w:hAnsi="Times New Roman"/>
          <w:szCs w:val="24"/>
        </w:rPr>
      </w:pPr>
    </w:p>
    <w:p w:rsidR="00075EC0" w:rsidRPr="00075EC0" w:rsidRDefault="00075EC0" w:rsidP="00DC7B1B">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DC7B1B" w:rsidP="00F45921">
      <w:pPr>
        <w:widowControl w:val="0"/>
        <w:tabs>
          <w:tab w:val="num" w:pos="1440"/>
        </w:tabs>
        <w:snapToGrid w:val="0"/>
        <w:spacing w:after="0"/>
        <w:ind w:left="1440"/>
        <w:rPr>
          <w:rFonts w:ascii="Times New Roman" w:hAnsi="Times New Roman"/>
          <w:szCs w:val="24"/>
        </w:rPr>
      </w:pPr>
      <w:r w:rsidRPr="00DC7B1B">
        <w:rPr>
          <w:rFonts w:ascii="Times New Roman" w:hAnsi="Times New Roman"/>
          <w:snapToGrid w:val="0"/>
          <w:szCs w:val="24"/>
        </w:rPr>
        <w:t>If we did not request the Social Security Number (SSN) from third party appointed representatives, we could not provide access to their clients' files.</w:t>
      </w:r>
      <w:r w:rsidR="00442990">
        <w:rPr>
          <w:rFonts w:ascii="Times New Roman" w:hAnsi="Times New Roman"/>
          <w:snapToGrid w:val="0"/>
          <w:szCs w:val="24"/>
        </w:rPr>
        <w:t xml:space="preserve">  </w:t>
      </w:r>
      <w:r w:rsidRPr="00DC7B1B">
        <w:rPr>
          <w:rFonts w:ascii="Times New Roman" w:hAnsi="Times New Roman"/>
          <w:snapToGrid w:val="0"/>
          <w:szCs w:val="24"/>
        </w:rPr>
        <w:t xml:space="preserve"> </w:t>
      </w:r>
      <w:r w:rsidR="00442990" w:rsidRPr="00035908">
        <w:rPr>
          <w:rFonts w:ascii="Times New Roman" w:eastAsia="SimSun" w:hAnsi="Times New Roman"/>
          <w:lang w:eastAsia="zh-CN"/>
        </w:rPr>
        <w:lastRenderedPageBreak/>
        <w:t xml:space="preserve">Because we only collect the information </w:t>
      </w:r>
      <w:r w:rsidR="00442990">
        <w:rPr>
          <w:rFonts w:ascii="Times New Roman" w:eastAsia="SimSun" w:hAnsi="Times New Roman"/>
          <w:lang w:eastAsia="zh-CN"/>
        </w:rPr>
        <w:t>on an as needed basis</w:t>
      </w:r>
      <w:r w:rsidR="00442990" w:rsidRPr="00035908">
        <w:rPr>
          <w:rFonts w:ascii="Times New Roman" w:eastAsia="SimSun" w:hAnsi="Times New Roman"/>
          <w:lang w:eastAsia="zh-CN"/>
        </w:rPr>
        <w:t>, we cannot collect it less frequently</w:t>
      </w:r>
      <w:r w:rsidR="00442990">
        <w:rPr>
          <w:rFonts w:ascii="Times New Roman" w:eastAsia="SimSun" w:hAnsi="Times New Roman"/>
          <w:lang w:eastAsia="zh-CN"/>
        </w:rPr>
        <w:t xml:space="preserve">.  </w:t>
      </w:r>
      <w:r w:rsidRPr="00DC7B1B">
        <w:rPr>
          <w:rFonts w:ascii="Times New Roman" w:hAnsi="Times New Roman"/>
          <w:snapToGrid w:val="0"/>
          <w:szCs w:val="24"/>
        </w:rPr>
        <w:t>There are no technical or legal obstacles to burden reduction</w:t>
      </w:r>
      <w:r w:rsidR="00075EC0" w:rsidRPr="00075EC0">
        <w:rPr>
          <w:rFonts w:ascii="Times New Roman" w:hAnsi="Times New Roman"/>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Pr="00075EC0">
        <w:rPr>
          <w:rFonts w:ascii="Times New Roman" w:hAnsi="Times New Roman"/>
          <w:b/>
          <w:szCs w:val="24"/>
        </w:rPr>
        <w:t xml:space="preserve">Special Circumstances </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Pr="00075EC0" w:rsidRDefault="00075EC0"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C813DD">
        <w:rPr>
          <w:rFonts w:ascii="Times New Roman" w:hAnsi="Times New Roman"/>
          <w:szCs w:val="24"/>
        </w:rPr>
        <w:t>June 27</w:t>
      </w:r>
      <w:r w:rsidRPr="00075EC0">
        <w:rPr>
          <w:rFonts w:ascii="Times New Roman" w:hAnsi="Times New Roman"/>
          <w:szCs w:val="24"/>
        </w:rPr>
        <w:t>,</w:t>
      </w:r>
      <w:r w:rsidR="00C813DD">
        <w:rPr>
          <w:rFonts w:ascii="Times New Roman" w:hAnsi="Times New Roman"/>
          <w:szCs w:val="24"/>
        </w:rPr>
        <w:t xml:space="preserve"> 2017</w:t>
      </w:r>
      <w:r w:rsidRPr="00075EC0">
        <w:rPr>
          <w:rFonts w:ascii="Times New Roman" w:hAnsi="Times New Roman"/>
          <w:szCs w:val="24"/>
        </w:rPr>
        <w:t xml:space="preserve"> at</w:t>
      </w:r>
    </w:p>
    <w:p w:rsidR="00075EC0" w:rsidRPr="00075EC0" w:rsidRDefault="00C813DD"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82</w:t>
      </w:r>
      <w:r w:rsidR="00075EC0" w:rsidRPr="00075EC0">
        <w:rPr>
          <w:rFonts w:ascii="Times New Roman" w:hAnsi="Times New Roman"/>
          <w:szCs w:val="24"/>
        </w:rPr>
        <w:t xml:space="preserve"> FR </w:t>
      </w:r>
      <w:r>
        <w:rPr>
          <w:rFonts w:ascii="Times New Roman" w:hAnsi="Times New Roman"/>
          <w:szCs w:val="24"/>
        </w:rPr>
        <w:t>29136</w:t>
      </w:r>
      <w:r w:rsidR="00075EC0" w:rsidRPr="00075EC0">
        <w:rPr>
          <w:rFonts w:ascii="Times New Roman" w:hAnsi="Times New Roman"/>
          <w:szCs w:val="24"/>
        </w:rPr>
        <w:t xml:space="preserve">, and we received no public comments.  The 30-day FRN published on </w:t>
      </w:r>
      <w:r w:rsidR="002672B8">
        <w:rPr>
          <w:rFonts w:ascii="Times New Roman" w:hAnsi="Times New Roman"/>
          <w:szCs w:val="24"/>
        </w:rPr>
        <w:t>September 19, 2017</w:t>
      </w:r>
      <w:r w:rsidR="00875896">
        <w:rPr>
          <w:rFonts w:ascii="Times New Roman" w:hAnsi="Times New Roman"/>
          <w:szCs w:val="24"/>
        </w:rPr>
        <w:t xml:space="preserve"> </w:t>
      </w:r>
      <w:r w:rsidR="00075EC0" w:rsidRPr="00075EC0">
        <w:rPr>
          <w:rFonts w:ascii="Times New Roman" w:hAnsi="Times New Roman"/>
          <w:szCs w:val="24"/>
        </w:rPr>
        <w:t xml:space="preserve">at </w:t>
      </w:r>
      <w:r w:rsidR="002672B8">
        <w:rPr>
          <w:rFonts w:ascii="Times New Roman" w:hAnsi="Times New Roman"/>
          <w:szCs w:val="24"/>
        </w:rPr>
        <w:t>82</w:t>
      </w:r>
      <w:r w:rsidR="00075EC0" w:rsidRPr="00075EC0">
        <w:rPr>
          <w:rFonts w:ascii="Times New Roman" w:hAnsi="Times New Roman"/>
          <w:szCs w:val="24"/>
        </w:rPr>
        <w:t xml:space="preserve"> FR </w:t>
      </w:r>
      <w:r w:rsidR="002672B8">
        <w:rPr>
          <w:rFonts w:ascii="Times New Roman" w:hAnsi="Times New Roman"/>
          <w:szCs w:val="24"/>
        </w:rPr>
        <w:t>43804</w:t>
      </w:r>
      <w:r w:rsidR="00075EC0" w:rsidRPr="00075EC0">
        <w:rPr>
          <w:rFonts w:ascii="Times New Roman" w:hAnsi="Times New Roman"/>
          <w:szCs w:val="24"/>
        </w:rPr>
        <w:t>.  If we receive any comments in response to this Notice, we will forward them to OMB.</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RDefault="00075EC0" w:rsidP="00075EC0">
      <w:pPr>
        <w:widowControl w:val="0"/>
        <w:snapToGrid w:val="0"/>
        <w:spacing w:after="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075EC0" w:rsidRPr="00075EC0" w:rsidRDefault="00075EC0" w:rsidP="00075EC0">
      <w:pPr>
        <w:widowControl w:val="0"/>
        <w:snapToGrid w:val="0"/>
        <w:spacing w:after="0"/>
        <w:ind w:left="720"/>
        <w:rPr>
          <w:rFonts w:ascii="Times New Roman" w:hAnsi="Times New Roman"/>
          <w:b/>
          <w:szCs w:val="24"/>
        </w:rPr>
      </w:pPr>
    </w:p>
    <w:tbl>
      <w:tblPr>
        <w:tblW w:w="8250" w:type="dxa"/>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320"/>
        <w:gridCol w:w="1350"/>
        <w:gridCol w:w="1260"/>
        <w:gridCol w:w="1260"/>
      </w:tblGrid>
      <w:tr w:rsidR="005C50D5" w:rsidRPr="00075EC0" w:rsidTr="005C50D5">
        <w:tc>
          <w:tcPr>
            <w:tcW w:w="1530" w:type="dxa"/>
            <w:tcBorders>
              <w:top w:val="single" w:sz="4" w:space="0" w:color="auto"/>
              <w:left w:val="single" w:sz="4" w:space="0" w:color="auto"/>
              <w:bottom w:val="single" w:sz="4" w:space="0" w:color="auto"/>
              <w:right w:val="single" w:sz="4" w:space="0" w:color="auto"/>
            </w:tcBorders>
            <w:hideMark/>
          </w:tcPr>
          <w:p w:rsidR="005C50D5" w:rsidRPr="00075EC0" w:rsidRDefault="005C50D5" w:rsidP="005C50D5">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5C50D5" w:rsidRPr="00075EC0" w:rsidRDefault="005C50D5" w:rsidP="005C50D5">
            <w:pPr>
              <w:widowControl w:val="0"/>
              <w:snapToGrid w:val="0"/>
              <w:spacing w:after="0"/>
              <w:rPr>
                <w:rFonts w:ascii="Times New Roman" w:hAnsi="Times New Roman"/>
                <w:b/>
                <w:szCs w:val="24"/>
              </w:rPr>
            </w:pPr>
            <w:r w:rsidRPr="00075EC0">
              <w:rPr>
                <w:rFonts w:ascii="Times New Roman" w:hAnsi="Times New Roman"/>
                <w:b/>
                <w:szCs w:val="24"/>
              </w:rPr>
              <w:t xml:space="preserve">Number of Respondents </w:t>
            </w:r>
          </w:p>
        </w:tc>
        <w:tc>
          <w:tcPr>
            <w:tcW w:w="1320" w:type="dxa"/>
            <w:tcBorders>
              <w:top w:val="single" w:sz="4" w:space="0" w:color="auto"/>
              <w:left w:val="single" w:sz="4" w:space="0" w:color="auto"/>
              <w:bottom w:val="single" w:sz="4" w:space="0" w:color="auto"/>
              <w:right w:val="single" w:sz="4" w:space="0" w:color="auto"/>
            </w:tcBorders>
          </w:tcPr>
          <w:p w:rsidR="005C50D5" w:rsidRPr="00075EC0" w:rsidRDefault="005C50D5" w:rsidP="005C50D5">
            <w:pPr>
              <w:widowControl w:val="0"/>
              <w:snapToGrid w:val="0"/>
              <w:spacing w:after="0"/>
              <w:rPr>
                <w:rFonts w:ascii="Times New Roman" w:hAnsi="Times New Roman"/>
                <w:b/>
                <w:szCs w:val="24"/>
              </w:rPr>
            </w:pPr>
            <w:r w:rsidRPr="00075EC0">
              <w:rPr>
                <w:rFonts w:ascii="Times New Roman" w:hAnsi="Times New Roman"/>
                <w:b/>
                <w:szCs w:val="24"/>
              </w:rPr>
              <w:t>Frequency of Response</w:t>
            </w:r>
          </w:p>
        </w:tc>
        <w:tc>
          <w:tcPr>
            <w:tcW w:w="1350" w:type="dxa"/>
            <w:tcBorders>
              <w:top w:val="single" w:sz="4" w:space="0" w:color="auto"/>
              <w:left w:val="single" w:sz="4" w:space="0" w:color="auto"/>
              <w:bottom w:val="single" w:sz="4" w:space="0" w:color="auto"/>
              <w:right w:val="single" w:sz="4" w:space="0" w:color="auto"/>
            </w:tcBorders>
          </w:tcPr>
          <w:p w:rsidR="005C50D5" w:rsidRPr="00075EC0" w:rsidRDefault="005C50D5" w:rsidP="005C50D5">
            <w:pPr>
              <w:widowControl w:val="0"/>
              <w:snapToGrid w:val="0"/>
              <w:spacing w:after="0"/>
              <w:rPr>
                <w:rFonts w:ascii="Times New Roman" w:hAnsi="Times New Roman"/>
                <w:b/>
                <w:szCs w:val="24"/>
              </w:rPr>
            </w:pPr>
            <w:r>
              <w:rPr>
                <w:rFonts w:ascii="Times New Roman" w:hAnsi="Times New Roman"/>
                <w:b/>
                <w:szCs w:val="24"/>
              </w:rPr>
              <w:t>Number of Responses</w:t>
            </w:r>
          </w:p>
        </w:tc>
        <w:tc>
          <w:tcPr>
            <w:tcW w:w="1260" w:type="dxa"/>
            <w:tcBorders>
              <w:top w:val="single" w:sz="4" w:space="0" w:color="auto"/>
              <w:left w:val="single" w:sz="4" w:space="0" w:color="auto"/>
              <w:bottom w:val="single" w:sz="4" w:space="0" w:color="auto"/>
              <w:right w:val="single" w:sz="4" w:space="0" w:color="auto"/>
            </w:tcBorders>
            <w:hideMark/>
          </w:tcPr>
          <w:p w:rsidR="005C50D5" w:rsidRPr="00075EC0" w:rsidRDefault="005C50D5" w:rsidP="005C50D5">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5C50D5" w:rsidRPr="00075EC0" w:rsidRDefault="005C50D5" w:rsidP="005C50D5">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r>
      <w:tr w:rsidR="005C50D5" w:rsidRPr="00DC7B1B" w:rsidTr="005C50D5">
        <w:tc>
          <w:tcPr>
            <w:tcW w:w="1530" w:type="dxa"/>
            <w:tcBorders>
              <w:top w:val="single" w:sz="4" w:space="0" w:color="auto"/>
              <w:left w:val="single" w:sz="4" w:space="0" w:color="auto"/>
              <w:bottom w:val="single" w:sz="4" w:space="0" w:color="auto"/>
              <w:right w:val="single" w:sz="4" w:space="0" w:color="auto"/>
            </w:tcBorders>
            <w:hideMark/>
          </w:tcPr>
          <w:p w:rsidR="005C50D5" w:rsidRPr="00DC7B1B" w:rsidRDefault="005C50D5" w:rsidP="005C50D5">
            <w:pPr>
              <w:widowControl w:val="0"/>
              <w:snapToGrid w:val="0"/>
              <w:spacing w:after="0"/>
              <w:rPr>
                <w:rFonts w:ascii="Times New Roman" w:hAnsi="Times New Roman"/>
                <w:szCs w:val="24"/>
              </w:rPr>
            </w:pPr>
            <w:r w:rsidRPr="00DC7B1B">
              <w:rPr>
                <w:rFonts w:ascii="Times New Roman" w:hAnsi="Times New Roman"/>
                <w:szCs w:val="24"/>
              </w:rPr>
              <w:t>ERE – Third Parties</w:t>
            </w:r>
          </w:p>
        </w:tc>
        <w:tc>
          <w:tcPr>
            <w:tcW w:w="1530" w:type="dxa"/>
            <w:tcBorders>
              <w:top w:val="single" w:sz="4" w:space="0" w:color="auto"/>
              <w:left w:val="single" w:sz="4" w:space="0" w:color="auto"/>
              <w:bottom w:val="single" w:sz="4" w:space="0" w:color="auto"/>
              <w:right w:val="single" w:sz="4" w:space="0" w:color="auto"/>
            </w:tcBorders>
            <w:hideMark/>
          </w:tcPr>
          <w:p w:rsidR="005C50D5" w:rsidRPr="00DC7B1B" w:rsidRDefault="005C50D5" w:rsidP="005C50D5">
            <w:pPr>
              <w:widowControl w:val="0"/>
              <w:snapToGrid w:val="0"/>
              <w:spacing w:after="0"/>
              <w:jc w:val="right"/>
              <w:rPr>
                <w:rFonts w:ascii="Times New Roman" w:hAnsi="Times New Roman"/>
                <w:szCs w:val="24"/>
              </w:rPr>
            </w:pPr>
            <w:r w:rsidRPr="00DC7B1B">
              <w:rPr>
                <w:rFonts w:ascii="Times New Roman" w:hAnsi="Times New Roman"/>
                <w:szCs w:val="24"/>
              </w:rPr>
              <w:t>10,413</w:t>
            </w:r>
          </w:p>
        </w:tc>
        <w:tc>
          <w:tcPr>
            <w:tcW w:w="1320" w:type="dxa"/>
            <w:tcBorders>
              <w:top w:val="single" w:sz="4" w:space="0" w:color="auto"/>
              <w:left w:val="single" w:sz="4" w:space="0" w:color="auto"/>
              <w:bottom w:val="single" w:sz="4" w:space="0" w:color="auto"/>
              <w:right w:val="single" w:sz="4" w:space="0" w:color="auto"/>
            </w:tcBorders>
          </w:tcPr>
          <w:p w:rsidR="005C50D5" w:rsidRPr="00DC7B1B" w:rsidRDefault="005C50D5" w:rsidP="005C50D5">
            <w:pPr>
              <w:widowControl w:val="0"/>
              <w:snapToGrid w:val="0"/>
              <w:spacing w:after="0"/>
              <w:jc w:val="right"/>
              <w:rPr>
                <w:rFonts w:ascii="Times New Roman" w:hAnsi="Times New Roman"/>
                <w:szCs w:val="24"/>
              </w:rPr>
            </w:pPr>
            <w:r w:rsidRPr="00DC7B1B">
              <w:rPr>
                <w:rFonts w:ascii="Times New Roman" w:hAnsi="Times New Roman"/>
                <w:szCs w:val="24"/>
              </w:rPr>
              <w:t>319</w:t>
            </w:r>
          </w:p>
        </w:tc>
        <w:tc>
          <w:tcPr>
            <w:tcW w:w="1350" w:type="dxa"/>
            <w:tcBorders>
              <w:top w:val="single" w:sz="4" w:space="0" w:color="auto"/>
              <w:left w:val="single" w:sz="4" w:space="0" w:color="auto"/>
              <w:bottom w:val="single" w:sz="4" w:space="0" w:color="auto"/>
              <w:right w:val="single" w:sz="4" w:space="0" w:color="auto"/>
            </w:tcBorders>
          </w:tcPr>
          <w:p w:rsidR="005C50D5" w:rsidRPr="00DC7B1B" w:rsidRDefault="005C50D5" w:rsidP="005C50D5">
            <w:pPr>
              <w:widowControl w:val="0"/>
              <w:snapToGrid w:val="0"/>
              <w:spacing w:after="0"/>
              <w:jc w:val="right"/>
              <w:rPr>
                <w:rFonts w:ascii="Times New Roman" w:hAnsi="Times New Roman"/>
                <w:szCs w:val="24"/>
              </w:rPr>
            </w:pPr>
            <w:r>
              <w:rPr>
                <w:rFonts w:ascii="Times New Roman" w:hAnsi="Times New Roman"/>
                <w:szCs w:val="24"/>
              </w:rPr>
              <w:t>3,321,747</w:t>
            </w:r>
          </w:p>
        </w:tc>
        <w:tc>
          <w:tcPr>
            <w:tcW w:w="1260" w:type="dxa"/>
            <w:tcBorders>
              <w:top w:val="single" w:sz="4" w:space="0" w:color="auto"/>
              <w:left w:val="single" w:sz="4" w:space="0" w:color="auto"/>
              <w:bottom w:val="single" w:sz="4" w:space="0" w:color="auto"/>
              <w:right w:val="single" w:sz="4" w:space="0" w:color="auto"/>
            </w:tcBorders>
          </w:tcPr>
          <w:p w:rsidR="005C50D5" w:rsidRPr="00DC7B1B" w:rsidRDefault="005C50D5" w:rsidP="005C50D5">
            <w:pPr>
              <w:widowControl w:val="0"/>
              <w:snapToGrid w:val="0"/>
              <w:spacing w:after="0"/>
              <w:jc w:val="right"/>
              <w:rPr>
                <w:rFonts w:ascii="Times New Roman" w:hAnsi="Times New Roman"/>
                <w:szCs w:val="24"/>
              </w:rPr>
            </w:pPr>
            <w:r w:rsidRPr="00DC7B1B">
              <w:rPr>
                <w:rFonts w:ascii="Times New Roman" w:hAnsi="Times New Roman"/>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5C50D5" w:rsidRPr="00DC7B1B" w:rsidRDefault="005C50D5" w:rsidP="005C50D5">
            <w:pPr>
              <w:widowControl w:val="0"/>
              <w:snapToGrid w:val="0"/>
              <w:spacing w:after="0"/>
              <w:jc w:val="right"/>
              <w:rPr>
                <w:rFonts w:ascii="Times New Roman" w:hAnsi="Times New Roman"/>
                <w:szCs w:val="24"/>
              </w:rPr>
            </w:pPr>
            <w:r w:rsidRPr="00DC7B1B">
              <w:rPr>
                <w:rFonts w:ascii="Times New Roman" w:hAnsi="Times New Roman"/>
                <w:szCs w:val="24"/>
              </w:rPr>
              <w:t>55,362</w:t>
            </w:r>
          </w:p>
        </w:tc>
      </w:tr>
    </w:tbl>
    <w:p w:rsidR="00075EC0" w:rsidRPr="00075EC0" w:rsidRDefault="00075EC0" w:rsidP="00075EC0">
      <w:pPr>
        <w:widowControl w:val="0"/>
        <w:snapToGrid w:val="0"/>
        <w:spacing w:after="0"/>
        <w:ind w:left="720"/>
        <w:contextualSpacing/>
        <w:rPr>
          <w:rFonts w:ascii="Times New Roman" w:hAnsi="Times New Roman"/>
          <w:szCs w:val="24"/>
        </w:rPr>
      </w:pPr>
    </w:p>
    <w:p w:rsidR="00075EC0" w:rsidRPr="00075EC0" w:rsidRDefault="00075EC0" w:rsidP="004D30A9">
      <w:pPr>
        <w:widowControl w:val="0"/>
        <w:snapToGrid w:val="0"/>
        <w:spacing w:after="0"/>
        <w:ind w:left="1440"/>
        <w:contextualSpacing/>
        <w:rPr>
          <w:rFonts w:ascii="Times New Roman" w:hAnsi="Times New Roman"/>
          <w:szCs w:val="24"/>
        </w:rPr>
      </w:pPr>
      <w:r w:rsidRPr="00075EC0">
        <w:rPr>
          <w:rFonts w:ascii="Times New Roman" w:hAnsi="Times New Roman"/>
          <w:szCs w:val="24"/>
        </w:rPr>
        <w:t xml:space="preserve">The total burden for this ICR is </w:t>
      </w:r>
      <w:r w:rsidR="00356CC4">
        <w:rPr>
          <w:rFonts w:ascii="Times New Roman" w:hAnsi="Times New Roman"/>
          <w:b/>
          <w:szCs w:val="24"/>
        </w:rPr>
        <w:t>55,362</w:t>
      </w:r>
      <w:r w:rsidR="00D9026B">
        <w:rPr>
          <w:rFonts w:ascii="Times New Roman" w:hAnsi="Times New Roman"/>
          <w:szCs w:val="24"/>
        </w:rPr>
        <w:t xml:space="preserve"> </w:t>
      </w:r>
      <w:r w:rsidRPr="00075EC0">
        <w:rPr>
          <w:rFonts w:ascii="Times New Roman" w:hAnsi="Times New Roman"/>
          <w:szCs w:val="24"/>
        </w:rPr>
        <w:t xml:space="preserve">hours.  </w:t>
      </w:r>
      <w:r w:rsidR="00BC35CD">
        <w:rPr>
          <w:rFonts w:ascii="Times New Roman" w:hAnsi="Times New Roman"/>
          <w:szCs w:val="24"/>
        </w:rPr>
        <w:t xml:space="preserve">We based these figures on current management data information.  </w:t>
      </w:r>
      <w:r w:rsidRPr="00075EC0">
        <w:rPr>
          <w:rFonts w:ascii="Times New Roman" w:hAnsi="Times New Roman"/>
          <w:szCs w:val="24"/>
        </w:rPr>
        <w:t>This figure represents burden hours, and we did not calculate a separate cost burden.</w:t>
      </w:r>
    </w:p>
    <w:p w:rsidR="00075EC0" w:rsidRPr="00075EC0" w:rsidRDefault="00075EC0" w:rsidP="004D30A9">
      <w:pPr>
        <w:widowControl w:val="0"/>
        <w:snapToGrid w:val="0"/>
        <w:spacing w:after="0"/>
        <w:ind w:left="1440"/>
        <w:rPr>
          <w:rFonts w:ascii="Times New Roman" w:hAnsi="Times New Roman"/>
          <w:i/>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Cost to the Respondents (Other)</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The annual cost to the Federal Government </w:t>
      </w:r>
      <w:r w:rsidR="00580F40">
        <w:rPr>
          <w:rFonts w:ascii="Times New Roman" w:hAnsi="Times New Roman"/>
          <w:szCs w:val="24"/>
        </w:rPr>
        <w:t xml:space="preserve">for this collection </w:t>
      </w:r>
      <w:r w:rsidRPr="00075EC0">
        <w:rPr>
          <w:rFonts w:ascii="Times New Roman" w:hAnsi="Times New Roman"/>
          <w:szCs w:val="24"/>
        </w:rPr>
        <w:t xml:space="preserve">is approximately </w:t>
      </w:r>
      <w:r w:rsidRPr="00B53CA8">
        <w:rPr>
          <w:rFonts w:ascii="Times New Roman" w:hAnsi="Times New Roman"/>
          <w:szCs w:val="24"/>
        </w:rPr>
        <w:t>$</w:t>
      </w:r>
      <w:r w:rsidR="00B53CA8" w:rsidRPr="00B53CA8">
        <w:rPr>
          <w:rFonts w:ascii="Times New Roman" w:hAnsi="Times New Roman"/>
          <w:szCs w:val="24"/>
        </w:rPr>
        <w:t>1,600</w:t>
      </w:r>
      <w:r w:rsidR="00B53CA8">
        <w:rPr>
          <w:rFonts w:ascii="Times New Roman" w:hAnsi="Times New Roman"/>
          <w:szCs w:val="24"/>
        </w:rPr>
        <w:t>,000</w:t>
      </w:r>
      <w:r w:rsidR="002F7CFC">
        <w:rPr>
          <w:rFonts w:ascii="Times New Roman" w:hAnsi="Times New Roman"/>
          <w:szCs w:val="24"/>
        </w:rPr>
        <w:t>.</w:t>
      </w:r>
      <w:r w:rsidRPr="00B53CA8">
        <w:rPr>
          <w:rFonts w:ascii="Times New Roman" w:hAnsi="Times New Roman"/>
          <w:szCs w:val="24"/>
        </w:rPr>
        <w:t xml:space="preserve">  </w:t>
      </w:r>
      <w:r w:rsidR="00580F40" w:rsidRPr="00B81F24">
        <w:rPr>
          <w:rFonts w:ascii="Times New Roman" w:eastAsia="SimSun" w:hAnsi="Times New Roman"/>
          <w:szCs w:val="24"/>
          <w:lang w:eastAsia="zh-CN"/>
        </w:rPr>
        <w:t xml:space="preserve">This estimate accounts for costs from the following areas: </w:t>
      </w:r>
      <w:r w:rsidR="00580F40">
        <w:rPr>
          <w:rFonts w:ascii="Times New Roman" w:eastAsia="SimSun" w:hAnsi="Times New Roman"/>
          <w:szCs w:val="24"/>
          <w:lang w:eastAsia="zh-CN"/>
        </w:rPr>
        <w:t xml:space="preserve"> </w:t>
      </w:r>
      <w:r w:rsidR="00580F40" w:rsidRPr="00B81F24">
        <w:rPr>
          <w:rFonts w:ascii="Times New Roman" w:eastAsia="SimSun" w:hAnsi="Times New Roman"/>
          <w:szCs w:val="24"/>
          <w:lang w:eastAsia="zh-CN"/>
        </w:rPr>
        <w:t>(1)</w:t>
      </w:r>
      <w:r w:rsidR="00580F40">
        <w:rPr>
          <w:rFonts w:ascii="Times New Roman" w:eastAsia="SimSun" w:hAnsi="Times New Roman"/>
          <w:szCs w:val="24"/>
          <w:lang w:eastAsia="zh-CN"/>
        </w:rPr>
        <w:t> </w:t>
      </w:r>
      <w:r w:rsidR="00580F40" w:rsidRPr="00B81F24">
        <w:rPr>
          <w:rFonts w:ascii="Times New Roman" w:eastAsia="SimSun" w:hAnsi="Times New Roman"/>
          <w:szCs w:val="24"/>
          <w:lang w:eastAsia="zh-CN"/>
        </w:rPr>
        <w:t>designing</w:t>
      </w:r>
      <w:r w:rsidR="00580F40">
        <w:rPr>
          <w:rFonts w:ascii="Times New Roman" w:eastAsia="SimSun" w:hAnsi="Times New Roman"/>
          <w:szCs w:val="24"/>
          <w:lang w:eastAsia="zh-CN"/>
        </w:rPr>
        <w:t xml:space="preserve"> </w:t>
      </w:r>
      <w:r w:rsidR="00423A12">
        <w:rPr>
          <w:rFonts w:ascii="Times New Roman" w:eastAsia="SimSun" w:hAnsi="Times New Roman"/>
          <w:szCs w:val="24"/>
          <w:lang w:eastAsia="zh-CN"/>
        </w:rPr>
        <w:t>the application</w:t>
      </w:r>
      <w:r w:rsidR="00580F40" w:rsidRPr="00B81F24">
        <w:rPr>
          <w:rFonts w:ascii="Times New Roman" w:eastAsia="SimSun" w:hAnsi="Times New Roman"/>
          <w:szCs w:val="24"/>
          <w:lang w:eastAsia="zh-CN"/>
        </w:rPr>
        <w:t>; and (</w:t>
      </w:r>
      <w:r w:rsidR="00423A12">
        <w:rPr>
          <w:rFonts w:ascii="Times New Roman" w:eastAsia="SimSun" w:hAnsi="Times New Roman"/>
          <w:szCs w:val="24"/>
          <w:lang w:eastAsia="zh-CN"/>
        </w:rPr>
        <w:t>2</w:t>
      </w:r>
      <w:r w:rsidR="00580F40" w:rsidRPr="00B81F24">
        <w:rPr>
          <w:rFonts w:ascii="Times New Roman" w:eastAsia="SimSun" w:hAnsi="Times New Roman"/>
          <w:szCs w:val="24"/>
          <w:lang w:eastAsia="zh-CN"/>
        </w:rPr>
        <w:t>) systems development, updating, and maintenance costs</w:t>
      </w:r>
      <w:r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B26F93" w:rsidRDefault="00DC7B1B" w:rsidP="004D30A9">
      <w:pPr>
        <w:spacing w:after="0"/>
        <w:ind w:left="1440"/>
        <w:rPr>
          <w:rFonts w:ascii="Times New Roman" w:hAnsi="Times New Roman"/>
          <w:szCs w:val="24"/>
          <w:lang w:bidi="en-US"/>
        </w:rPr>
      </w:pPr>
      <w:r w:rsidRPr="00DC7B1B">
        <w:rPr>
          <w:rFonts w:ascii="Times New Roman" w:hAnsi="Times New Roman"/>
          <w:snapToGrid w:val="0"/>
          <w:szCs w:val="24"/>
        </w:rPr>
        <w:t xml:space="preserve">The </w:t>
      </w:r>
      <w:r w:rsidR="00405FD3">
        <w:rPr>
          <w:rFonts w:ascii="Times New Roman" w:hAnsi="Times New Roman"/>
          <w:snapToGrid w:val="0"/>
          <w:szCs w:val="24"/>
        </w:rPr>
        <w:t xml:space="preserve">decrease in </w:t>
      </w:r>
      <w:r w:rsidRPr="00DC7B1B">
        <w:rPr>
          <w:rFonts w:ascii="Times New Roman" w:hAnsi="Times New Roman"/>
          <w:snapToGrid w:val="0"/>
          <w:szCs w:val="24"/>
        </w:rPr>
        <w:t xml:space="preserve">burden hours </w:t>
      </w:r>
      <w:r w:rsidR="00405FD3">
        <w:rPr>
          <w:rFonts w:ascii="Times New Roman" w:hAnsi="Times New Roman"/>
          <w:snapToGrid w:val="0"/>
          <w:szCs w:val="24"/>
        </w:rPr>
        <w:t xml:space="preserve">stems from </w:t>
      </w:r>
      <w:r w:rsidRPr="00DC7B1B">
        <w:rPr>
          <w:rFonts w:ascii="Times New Roman" w:hAnsi="Times New Roman"/>
          <w:snapToGrid w:val="0"/>
          <w:szCs w:val="24"/>
        </w:rPr>
        <w:t xml:space="preserve">a decrease in the number of respondents, even </w:t>
      </w:r>
      <w:r w:rsidR="00423A12">
        <w:rPr>
          <w:rFonts w:ascii="Times New Roman" w:hAnsi="Times New Roman"/>
          <w:snapToGrid w:val="0"/>
          <w:szCs w:val="24"/>
        </w:rPr>
        <w:t>though we show</w:t>
      </w:r>
      <w:r w:rsidRPr="00DC7B1B">
        <w:rPr>
          <w:rFonts w:ascii="Times New Roman" w:hAnsi="Times New Roman"/>
          <w:snapToGrid w:val="0"/>
          <w:szCs w:val="24"/>
        </w:rPr>
        <w:t xml:space="preserve"> an increase in the frequency of response.  We do not anticipate significant changes in the number of third party appointed representatives that choose to obtain this information electronically through ERE</w:t>
      </w:r>
      <w:r w:rsidR="00B25B56">
        <w:rPr>
          <w:rFonts w:ascii="Times New Roman" w:hAnsi="Times New Roman"/>
          <w:szCs w:val="24"/>
          <w:lang w:bidi="en-US"/>
        </w:rPr>
        <w:t xml:space="preserve">. </w:t>
      </w:r>
    </w:p>
    <w:p w:rsidR="00B26F93" w:rsidRPr="00B26F93" w:rsidRDefault="00B26F93" w:rsidP="004D30A9">
      <w:pPr>
        <w:spacing w:after="0"/>
        <w:ind w:left="1440"/>
        <w:rPr>
          <w:rFonts w:ascii="Times New Roman" w:hAnsi="Times New Roman"/>
          <w:szCs w:val="24"/>
          <w:lang w:bidi="en-US"/>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Plans for Publication Information Collection Results</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RDefault="00DC7B1B" w:rsidP="004D30A9">
      <w:pPr>
        <w:spacing w:after="0"/>
        <w:ind w:left="1440"/>
        <w:rPr>
          <w:rFonts w:ascii="Times New Roman" w:hAnsi="Times New Roman"/>
          <w:bCs/>
          <w:i/>
          <w:iCs/>
          <w:szCs w:val="24"/>
          <w:lang w:bidi="en-US"/>
        </w:rPr>
      </w:pPr>
      <w:r w:rsidRPr="00DC7B1B">
        <w:rPr>
          <w:rFonts w:ascii="Times New Roman" w:hAnsi="Times New Roman"/>
          <w:bCs/>
          <w:iCs/>
          <w:szCs w:val="24"/>
          <w:lang w:bidi="en-US"/>
        </w:rPr>
        <w:t>SSA is not requesting an exception to the requirement to display the OMB approval expiration date</w:t>
      </w:r>
      <w:r w:rsidR="00075EC0" w:rsidRPr="00075EC0">
        <w:rPr>
          <w:rFonts w:ascii="Times New Roman" w:hAnsi="Times New Roman"/>
          <w:bCs/>
          <w:iCs/>
          <w:szCs w:val="24"/>
          <w:lang w:bidi="en-US"/>
        </w:rPr>
        <w:t xml:space="preserv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RDefault="00075EC0" w:rsidP="004D30A9">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nsid w:val="7866410B"/>
    <w:multiLevelType w:val="singleLevel"/>
    <w:tmpl w:val="59849592"/>
    <w:lvl w:ilvl="0">
      <w:start w:val="2"/>
      <w:numFmt w:val="decimal"/>
      <w:lvlText w:val="%1."/>
      <w:lvlJc w:val="left"/>
      <w:pPr>
        <w:tabs>
          <w:tab w:val="num" w:pos="720"/>
        </w:tabs>
        <w:ind w:left="720" w:hanging="720"/>
      </w:pPr>
      <w:rPr>
        <w:b/>
      </w:rPr>
    </w:lvl>
  </w:abstractNum>
  <w:abstractNum w:abstractNumId="5">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C0"/>
    <w:rsid w:val="0006367C"/>
    <w:rsid w:val="00075EC0"/>
    <w:rsid w:val="000A11C8"/>
    <w:rsid w:val="00154820"/>
    <w:rsid w:val="00157F44"/>
    <w:rsid w:val="0016393C"/>
    <w:rsid w:val="00181D38"/>
    <w:rsid w:val="0018516A"/>
    <w:rsid w:val="001C3D2F"/>
    <w:rsid w:val="0022344B"/>
    <w:rsid w:val="00231CEF"/>
    <w:rsid w:val="002361C9"/>
    <w:rsid w:val="00245829"/>
    <w:rsid w:val="002672B8"/>
    <w:rsid w:val="00285507"/>
    <w:rsid w:val="002F7CFC"/>
    <w:rsid w:val="00302CAC"/>
    <w:rsid w:val="003141A0"/>
    <w:rsid w:val="00331AC0"/>
    <w:rsid w:val="003374F2"/>
    <w:rsid w:val="0035556B"/>
    <w:rsid w:val="00356CC4"/>
    <w:rsid w:val="003A28ED"/>
    <w:rsid w:val="003F49AE"/>
    <w:rsid w:val="00405FD3"/>
    <w:rsid w:val="00423A12"/>
    <w:rsid w:val="00442990"/>
    <w:rsid w:val="0049773A"/>
    <w:rsid w:val="004D30A9"/>
    <w:rsid w:val="004F2E20"/>
    <w:rsid w:val="00580F40"/>
    <w:rsid w:val="0058295F"/>
    <w:rsid w:val="005C50D5"/>
    <w:rsid w:val="005F08CA"/>
    <w:rsid w:val="00642EC5"/>
    <w:rsid w:val="006E4ED0"/>
    <w:rsid w:val="007161E3"/>
    <w:rsid w:val="00741CD6"/>
    <w:rsid w:val="0075163E"/>
    <w:rsid w:val="007749D9"/>
    <w:rsid w:val="007835E9"/>
    <w:rsid w:val="00794759"/>
    <w:rsid w:val="007F0E37"/>
    <w:rsid w:val="00843DB4"/>
    <w:rsid w:val="00857928"/>
    <w:rsid w:val="00875896"/>
    <w:rsid w:val="008D40B6"/>
    <w:rsid w:val="008F3C23"/>
    <w:rsid w:val="008F4A10"/>
    <w:rsid w:val="00985658"/>
    <w:rsid w:val="009B31A8"/>
    <w:rsid w:val="00A260E2"/>
    <w:rsid w:val="00A3212F"/>
    <w:rsid w:val="00A4318E"/>
    <w:rsid w:val="00A51F00"/>
    <w:rsid w:val="00A82994"/>
    <w:rsid w:val="00AE0691"/>
    <w:rsid w:val="00B25B56"/>
    <w:rsid w:val="00B26F93"/>
    <w:rsid w:val="00B53CA8"/>
    <w:rsid w:val="00BC35CD"/>
    <w:rsid w:val="00C1274C"/>
    <w:rsid w:val="00C1425A"/>
    <w:rsid w:val="00C2348F"/>
    <w:rsid w:val="00C239E0"/>
    <w:rsid w:val="00C5182A"/>
    <w:rsid w:val="00C75C49"/>
    <w:rsid w:val="00C813DD"/>
    <w:rsid w:val="00CD4D36"/>
    <w:rsid w:val="00D339E9"/>
    <w:rsid w:val="00D34531"/>
    <w:rsid w:val="00D47BA1"/>
    <w:rsid w:val="00D6461A"/>
    <w:rsid w:val="00D9026B"/>
    <w:rsid w:val="00DA4D88"/>
    <w:rsid w:val="00DC7B1B"/>
    <w:rsid w:val="00E328A5"/>
    <w:rsid w:val="00E5707B"/>
    <w:rsid w:val="00E904C6"/>
    <w:rsid w:val="00EF2277"/>
    <w:rsid w:val="00EF4064"/>
    <w:rsid w:val="00F0470D"/>
    <w:rsid w:val="00F23393"/>
    <w:rsid w:val="00F45921"/>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cp:lastPrinted>2017-10-04T14:37:00Z</cp:lastPrinted>
  <dcterms:created xsi:type="dcterms:W3CDTF">2017-10-04T14:39:00Z</dcterms:created>
  <dcterms:modified xsi:type="dcterms:W3CDTF">2017-10-04T14:39:00Z</dcterms:modified>
</cp:coreProperties>
</file>