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7B" w:rsidRDefault="00155E7B" w:rsidP="00155E7B">
      <w:pPr>
        <w:spacing w:after="60"/>
        <w:outlineLvl w:val="5"/>
        <w:rPr>
          <w:rFonts w:ascii="Times New Roman" w:hAnsi="Times New Roman" w:cs="Times New Roman"/>
          <w:caps/>
          <w:spacing w:val="6"/>
          <w:sz w:val="24"/>
          <w:szCs w:val="24"/>
        </w:rPr>
      </w:pPr>
    </w:p>
    <w:p w:rsidR="00155E7B" w:rsidRDefault="00272978" w:rsidP="00155E7B">
      <w:pPr>
        <w:spacing w:after="60"/>
        <w:outlineLvl w:val="5"/>
        <w:rPr>
          <w:rFonts w:ascii="Times New Roman" w:hAnsi="Times New Roman" w:cs="Times New Roman"/>
          <w:bCs/>
          <w:spacing w:val="8"/>
          <w:sz w:val="24"/>
          <w:szCs w:val="24"/>
        </w:rPr>
      </w:pPr>
      <w:r>
        <w:object w:dxaOrig="1440" w:dyaOrig="1440" w14:anchorId="55974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0.75pt;margin-top:-10.5pt;width:201.6pt;height:80.65pt;z-index:251660288;visibility:visible;mso-wrap-edited:f">
            <v:imagedata r:id="rId5" o:title=""/>
          </v:shape>
          <o:OLEObject Type="Embed" ProgID="Word.Picture.8" ShapeID="_x0000_s1026" DrawAspect="Content" ObjectID="_1550986627" r:id="rId6"/>
        </w:object>
      </w:r>
      <w:r w:rsidR="00155E7B">
        <w:rPr>
          <w:rFonts w:ascii="Times New Roman" w:hAnsi="Times New Roman" w:cs="Times New Roman"/>
          <w:caps/>
          <w:spacing w:val="6"/>
          <w:sz w:val="24"/>
          <w:szCs w:val="24"/>
        </w:rPr>
        <w:t>Department of Health &amp; Human Services</w:t>
      </w:r>
    </w:p>
    <w:p w:rsidR="00155E7B" w:rsidRDefault="00155E7B" w:rsidP="00155E7B">
      <w:pPr>
        <w:spacing w:after="8"/>
        <w:rPr>
          <w:rFonts w:ascii="Times New Roman" w:hAnsi="Times New Roman" w:cs="Times New Roman"/>
          <w:spacing w:val="6"/>
          <w:sz w:val="24"/>
          <w:szCs w:val="24"/>
        </w:rPr>
      </w:pPr>
      <w:r>
        <w:rPr>
          <w:rFonts w:ascii="Times New Roman" w:hAnsi="Times New Roman" w:cs="Times New Roman"/>
          <w:spacing w:val="6"/>
          <w:sz w:val="24"/>
          <w:szCs w:val="24"/>
        </w:rPr>
        <w:t>Centers for Medicare &amp; Medicaid Services</w:t>
      </w:r>
    </w:p>
    <w:p w:rsidR="00155E7B" w:rsidRDefault="00155E7B" w:rsidP="00155E7B">
      <w:pPr>
        <w:spacing w:after="8"/>
        <w:rPr>
          <w:rFonts w:ascii="Times New Roman" w:hAnsi="Times New Roman" w:cs="Times New Roman"/>
          <w:spacing w:val="6"/>
          <w:sz w:val="24"/>
          <w:szCs w:val="24"/>
        </w:rPr>
      </w:pPr>
      <w:r>
        <w:rPr>
          <w:rFonts w:ascii="Times New Roman" w:hAnsi="Times New Roman" w:cs="Times New Roman"/>
          <w:spacing w:val="6"/>
          <w:sz w:val="24"/>
          <w:szCs w:val="24"/>
        </w:rPr>
        <w:t>7500 Security Boulevard</w:t>
      </w:r>
    </w:p>
    <w:p w:rsidR="00155E7B" w:rsidRDefault="00155E7B" w:rsidP="00155E7B">
      <w:pPr>
        <w:spacing w:after="8"/>
        <w:rPr>
          <w:rFonts w:ascii="Times New Roman" w:hAnsi="Times New Roman" w:cs="Times New Roman"/>
          <w:spacing w:val="6"/>
          <w:sz w:val="24"/>
          <w:szCs w:val="24"/>
        </w:rPr>
      </w:pPr>
      <w:r>
        <w:rPr>
          <w:rFonts w:ascii="Times New Roman" w:hAnsi="Times New Roman" w:cs="Times New Roman"/>
          <w:spacing w:val="6"/>
          <w:sz w:val="24"/>
          <w:szCs w:val="24"/>
        </w:rPr>
        <w:t>Baltimore, Maryland 21244-1850</w:t>
      </w:r>
    </w:p>
    <w:p w:rsidR="00155E7B" w:rsidRDefault="00155E7B" w:rsidP="00155E7B">
      <w:pPr>
        <w:rPr>
          <w:rFonts w:ascii="Times New Roman" w:hAnsi="Times New Roman" w:cs="Times New Roman"/>
          <w:b/>
          <w:spacing w:val="-5"/>
          <w:sz w:val="24"/>
          <w:szCs w:val="24"/>
        </w:rPr>
      </w:pPr>
      <w:r>
        <w:rPr>
          <w:noProof/>
        </w:rPr>
        <mc:AlternateContent>
          <mc:Choice Requires="wps">
            <w:drawing>
              <wp:anchor distT="0" distB="0" distL="114300" distR="114300" simplePos="0" relativeHeight="251659264" behindDoc="0" locked="0" layoutInCell="0" allowOverlap="1" wp14:anchorId="2727DF70" wp14:editId="3FB3921F">
                <wp:simplePos x="0" y="0"/>
                <wp:positionH relativeFrom="column">
                  <wp:posOffset>-13335</wp:posOffset>
                </wp:positionH>
                <wp:positionV relativeFrom="paragraph">
                  <wp:posOffset>182880</wp:posOffset>
                </wp:positionV>
                <wp:extent cx="5943600" cy="0"/>
                <wp:effectExtent l="15240"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F65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" o:allowincell="f" strokeweight="1pt"/>
            </w:pict>
          </mc:Fallback>
        </mc:AlternateContent>
      </w:r>
    </w:p>
    <w:p w:rsidR="00FB46C9" w:rsidRDefault="00FB46C9" w:rsidP="00155E7B">
      <w:pPr>
        <w:ind w:left="6480" w:firstLine="720"/>
        <w:rPr>
          <w:rFonts w:ascii="Times New Roman" w:hAnsi="Times New Roman" w:cs="Times New Roman"/>
          <w:b/>
          <w:spacing w:val="-5"/>
          <w:sz w:val="24"/>
          <w:szCs w:val="24"/>
        </w:rPr>
      </w:pPr>
    </w:p>
    <w:p w:rsidR="00155E7B" w:rsidRDefault="00155E7B" w:rsidP="00155E7B">
      <w:pPr>
        <w:ind w:left="6480" w:firstLine="720"/>
        <w:rPr>
          <w:rFonts w:ascii="Times New Roman" w:hAnsi="Times New Roman" w:cs="Times New Roman"/>
          <w:b/>
          <w:spacing w:val="-5"/>
          <w:sz w:val="24"/>
          <w:szCs w:val="24"/>
        </w:rPr>
      </w:pPr>
      <w:r>
        <w:rPr>
          <w:rFonts w:ascii="Times New Roman" w:hAnsi="Times New Roman" w:cs="Times New Roman"/>
          <w:b/>
          <w:spacing w:val="-5"/>
          <w:sz w:val="24"/>
          <w:szCs w:val="24"/>
        </w:rPr>
        <w:t>MEMORANDUM</w:t>
      </w:r>
    </w:p>
    <w:p w:rsidR="00FB46C9" w:rsidRDefault="00FB46C9" w:rsidP="00155E7B">
      <w:pPr>
        <w:ind w:left="6480" w:firstLine="720"/>
        <w:rPr>
          <w:rFonts w:ascii="Times New Roman" w:hAnsi="Times New Roman" w:cs="Times New Roman"/>
          <w:b/>
          <w:spacing w:val="-5"/>
          <w:sz w:val="24"/>
          <w:szCs w:val="24"/>
        </w:rPr>
      </w:pPr>
    </w:p>
    <w:tbl>
      <w:tblPr>
        <w:tblW w:w="0" w:type="auto"/>
        <w:tblInd w:w="48" w:type="dxa"/>
        <w:tblLook w:val="04A0" w:firstRow="1" w:lastRow="0" w:firstColumn="1" w:lastColumn="0" w:noHBand="0" w:noVBand="1"/>
      </w:tblPr>
      <w:tblGrid>
        <w:gridCol w:w="2220"/>
        <w:gridCol w:w="6750"/>
      </w:tblGrid>
      <w:tr w:rsidR="00155E7B" w:rsidTr="00866BA9">
        <w:tc>
          <w:tcPr>
            <w:tcW w:w="2220" w:type="dxa"/>
            <w:hideMark/>
          </w:tcPr>
          <w:p w:rsidR="00155E7B" w:rsidRDefault="00155E7B" w:rsidP="00866BA9">
            <w:pPr>
              <w:ind w:left="60"/>
              <w:rPr>
                <w:rFonts w:ascii="Times New Roman" w:hAnsi="Times New Roman" w:cs="Times New Roman"/>
                <w:b/>
                <w:bCs/>
                <w:spacing w:val="8"/>
                <w:sz w:val="24"/>
                <w:szCs w:val="24"/>
              </w:rPr>
            </w:pPr>
            <w:r>
              <w:rPr>
                <w:rFonts w:ascii="Times New Roman" w:hAnsi="Times New Roman" w:cs="Times New Roman"/>
                <w:b/>
                <w:bCs/>
                <w:spacing w:val="8"/>
                <w:sz w:val="24"/>
                <w:szCs w:val="24"/>
              </w:rPr>
              <w:t>DATE:</w:t>
            </w:r>
          </w:p>
        </w:tc>
        <w:tc>
          <w:tcPr>
            <w:tcW w:w="6750" w:type="dxa"/>
          </w:tcPr>
          <w:p w:rsidR="00155E7B" w:rsidRPr="000B2FB1" w:rsidRDefault="00272978" w:rsidP="00736456">
            <w:pPr>
              <w:rPr>
                <w:rFonts w:ascii="Times New Roman" w:hAnsi="Times New Roman" w:cs="Times New Roman"/>
                <w:bCs/>
                <w:color w:val="FF0000"/>
                <w:spacing w:val="8"/>
                <w:sz w:val="24"/>
                <w:szCs w:val="24"/>
              </w:rPr>
            </w:pPr>
            <w:r>
              <w:rPr>
                <w:rFonts w:ascii="Times New Roman" w:hAnsi="Times New Roman" w:cs="Times New Roman"/>
                <w:bCs/>
                <w:spacing w:val="8"/>
                <w:sz w:val="24"/>
                <w:szCs w:val="24"/>
              </w:rPr>
              <w:t>March 14</w:t>
            </w:r>
            <w:bookmarkStart w:id="0" w:name="_GoBack"/>
            <w:bookmarkEnd w:id="0"/>
            <w:r w:rsidR="00F330D3">
              <w:rPr>
                <w:rFonts w:ascii="Times New Roman" w:hAnsi="Times New Roman" w:cs="Times New Roman"/>
                <w:bCs/>
                <w:spacing w:val="8"/>
                <w:sz w:val="24"/>
                <w:szCs w:val="24"/>
              </w:rPr>
              <w:t>, 2017</w:t>
            </w:r>
          </w:p>
        </w:tc>
      </w:tr>
      <w:tr w:rsidR="00155E7B" w:rsidTr="00866BA9">
        <w:trPr>
          <w:trHeight w:val="1170"/>
        </w:trPr>
        <w:tc>
          <w:tcPr>
            <w:tcW w:w="2220" w:type="dxa"/>
            <w:hideMark/>
          </w:tcPr>
          <w:p w:rsidR="00155E7B" w:rsidRDefault="00155E7B" w:rsidP="00866BA9">
            <w:pPr>
              <w:ind w:left="60"/>
              <w:rPr>
                <w:rFonts w:ascii="Times New Roman" w:hAnsi="Times New Roman" w:cs="Times New Roman"/>
                <w:b/>
                <w:bCs/>
                <w:sz w:val="24"/>
                <w:szCs w:val="24"/>
              </w:rPr>
            </w:pPr>
          </w:p>
          <w:p w:rsidR="00F330D3" w:rsidRDefault="00F330D3" w:rsidP="00866BA9">
            <w:pPr>
              <w:ind w:left="60"/>
              <w:rPr>
                <w:rFonts w:ascii="Times New Roman" w:hAnsi="Times New Roman" w:cs="Times New Roman"/>
                <w:b/>
                <w:bCs/>
                <w:sz w:val="24"/>
                <w:szCs w:val="24"/>
              </w:rPr>
            </w:pPr>
            <w:r>
              <w:rPr>
                <w:rFonts w:ascii="Times New Roman" w:hAnsi="Times New Roman" w:cs="Times New Roman"/>
                <w:b/>
                <w:bCs/>
                <w:sz w:val="24"/>
                <w:szCs w:val="24"/>
              </w:rPr>
              <w:t>TO:</w:t>
            </w:r>
          </w:p>
          <w:p w:rsidR="00F330D3" w:rsidRDefault="00F330D3" w:rsidP="00866BA9">
            <w:pPr>
              <w:ind w:left="60"/>
              <w:rPr>
                <w:rFonts w:ascii="Times New Roman" w:hAnsi="Times New Roman" w:cs="Times New Roman"/>
                <w:b/>
                <w:bCs/>
                <w:sz w:val="24"/>
                <w:szCs w:val="24"/>
              </w:rPr>
            </w:pPr>
          </w:p>
          <w:p w:rsidR="00F330D3" w:rsidRDefault="00F330D3" w:rsidP="00866BA9">
            <w:pPr>
              <w:ind w:left="60"/>
              <w:rPr>
                <w:rFonts w:ascii="Times New Roman" w:hAnsi="Times New Roman" w:cs="Times New Roman"/>
                <w:b/>
                <w:bCs/>
                <w:sz w:val="24"/>
                <w:szCs w:val="24"/>
              </w:rPr>
            </w:pPr>
          </w:p>
          <w:p w:rsidR="00F330D3" w:rsidRDefault="00F330D3" w:rsidP="00866BA9">
            <w:pPr>
              <w:ind w:left="60"/>
              <w:rPr>
                <w:rFonts w:ascii="Times New Roman" w:hAnsi="Times New Roman" w:cs="Times New Roman"/>
                <w:b/>
                <w:bCs/>
                <w:sz w:val="24"/>
                <w:szCs w:val="24"/>
              </w:rPr>
            </w:pPr>
          </w:p>
          <w:p w:rsidR="00155E7B" w:rsidRDefault="00155E7B" w:rsidP="00866BA9">
            <w:pPr>
              <w:ind w:left="60"/>
              <w:rPr>
                <w:rFonts w:ascii="Times New Roman" w:hAnsi="Times New Roman" w:cs="Times New Roman"/>
                <w:sz w:val="24"/>
                <w:szCs w:val="24"/>
              </w:rPr>
            </w:pPr>
            <w:r>
              <w:rPr>
                <w:rFonts w:ascii="Times New Roman" w:hAnsi="Times New Roman" w:cs="Times New Roman"/>
                <w:b/>
                <w:bCs/>
                <w:sz w:val="24"/>
                <w:szCs w:val="24"/>
              </w:rPr>
              <w:t>FROM:</w:t>
            </w:r>
          </w:p>
        </w:tc>
        <w:tc>
          <w:tcPr>
            <w:tcW w:w="6750" w:type="dxa"/>
            <w:hideMark/>
          </w:tcPr>
          <w:p w:rsidR="00155E7B" w:rsidRPr="00E57358" w:rsidRDefault="00155E7B" w:rsidP="00866BA9">
            <w:pPr>
              <w:rPr>
                <w:rFonts w:ascii="Times New Roman" w:hAnsi="Times New Roman" w:cs="Times New Roman"/>
                <w:sz w:val="24"/>
                <w:szCs w:val="24"/>
              </w:rPr>
            </w:pPr>
          </w:p>
          <w:p w:rsidR="000C5A38" w:rsidRDefault="00F330D3" w:rsidP="00866BA9">
            <w:pPr>
              <w:rPr>
                <w:rFonts w:ascii="Times New Roman" w:hAnsi="Times New Roman" w:cs="Times New Roman"/>
                <w:sz w:val="24"/>
                <w:szCs w:val="24"/>
              </w:rPr>
            </w:pPr>
            <w:r>
              <w:rPr>
                <w:rFonts w:ascii="Times New Roman" w:hAnsi="Times New Roman" w:cs="Times New Roman"/>
                <w:sz w:val="24"/>
                <w:szCs w:val="24"/>
              </w:rPr>
              <w:t xml:space="preserve">William Parham, III, Director, </w:t>
            </w:r>
          </w:p>
          <w:p w:rsidR="00F330D3" w:rsidRDefault="00F330D3" w:rsidP="00866BA9">
            <w:pPr>
              <w:rPr>
                <w:rFonts w:ascii="Times New Roman" w:hAnsi="Times New Roman" w:cs="Times New Roman"/>
                <w:sz w:val="24"/>
                <w:szCs w:val="24"/>
              </w:rPr>
            </w:pPr>
            <w:r>
              <w:rPr>
                <w:rFonts w:ascii="Times New Roman" w:hAnsi="Times New Roman" w:cs="Times New Roman"/>
                <w:sz w:val="24"/>
                <w:szCs w:val="24"/>
              </w:rPr>
              <w:t xml:space="preserve">Division of Regulations Development, </w:t>
            </w:r>
          </w:p>
          <w:p w:rsidR="00F330D3" w:rsidRDefault="00F330D3" w:rsidP="00866BA9">
            <w:pPr>
              <w:rPr>
                <w:rFonts w:ascii="Times New Roman" w:hAnsi="Times New Roman" w:cs="Times New Roman"/>
                <w:sz w:val="24"/>
                <w:szCs w:val="24"/>
              </w:rPr>
            </w:pPr>
            <w:r>
              <w:rPr>
                <w:rFonts w:ascii="Times New Roman" w:hAnsi="Times New Roman" w:cs="Times New Roman"/>
                <w:sz w:val="24"/>
                <w:szCs w:val="24"/>
              </w:rPr>
              <w:t>Office of Strategic Operations and Regulatory Affairs</w:t>
            </w:r>
          </w:p>
          <w:p w:rsidR="00F330D3" w:rsidRDefault="00F330D3" w:rsidP="00866BA9">
            <w:pPr>
              <w:rPr>
                <w:rFonts w:ascii="Times New Roman" w:hAnsi="Times New Roman" w:cs="Times New Roman"/>
                <w:sz w:val="24"/>
                <w:szCs w:val="24"/>
              </w:rPr>
            </w:pPr>
          </w:p>
          <w:p w:rsidR="000C5A38" w:rsidRDefault="00155E7B" w:rsidP="00866BA9">
            <w:pPr>
              <w:rPr>
                <w:rFonts w:ascii="Times New Roman" w:hAnsi="Times New Roman" w:cs="Times New Roman"/>
                <w:sz w:val="24"/>
                <w:szCs w:val="24"/>
              </w:rPr>
            </w:pPr>
            <w:r w:rsidRPr="00E57358">
              <w:rPr>
                <w:rFonts w:ascii="Times New Roman" w:hAnsi="Times New Roman" w:cs="Times New Roman"/>
                <w:sz w:val="24"/>
                <w:szCs w:val="24"/>
              </w:rPr>
              <w:t xml:space="preserve">Maria Ramirez, Director, </w:t>
            </w:r>
          </w:p>
          <w:p w:rsidR="00155E7B" w:rsidRDefault="00155E7B" w:rsidP="00866BA9">
            <w:pPr>
              <w:rPr>
                <w:rFonts w:ascii="Times New Roman" w:hAnsi="Times New Roman" w:cs="Times New Roman"/>
                <w:sz w:val="24"/>
                <w:szCs w:val="24"/>
              </w:rPr>
            </w:pPr>
            <w:r>
              <w:rPr>
                <w:rFonts w:ascii="Times New Roman" w:hAnsi="Times New Roman" w:cs="Times New Roman"/>
                <w:sz w:val="24"/>
                <w:szCs w:val="24"/>
              </w:rPr>
              <w:t>Division of Appeals Operations</w:t>
            </w:r>
            <w:r w:rsidRPr="00E57358">
              <w:rPr>
                <w:rFonts w:ascii="Times New Roman" w:hAnsi="Times New Roman" w:cs="Times New Roman"/>
                <w:sz w:val="24"/>
                <w:szCs w:val="24"/>
              </w:rPr>
              <w:t>,</w:t>
            </w:r>
          </w:p>
          <w:p w:rsidR="00155E7B" w:rsidRDefault="00155E7B" w:rsidP="00866BA9">
            <w:pPr>
              <w:rPr>
                <w:rFonts w:ascii="Times New Roman" w:hAnsi="Times New Roman" w:cs="Times New Roman"/>
                <w:sz w:val="24"/>
                <w:szCs w:val="24"/>
              </w:rPr>
            </w:pPr>
            <w:r w:rsidRPr="00E57358">
              <w:rPr>
                <w:rFonts w:ascii="Times New Roman" w:hAnsi="Times New Roman" w:cs="Times New Roman"/>
                <w:sz w:val="24"/>
                <w:szCs w:val="24"/>
              </w:rPr>
              <w:t>Medicare Enrollment and Appeals Group, Center for Medicare</w:t>
            </w:r>
          </w:p>
          <w:p w:rsidR="00155E7B" w:rsidRPr="00E57358" w:rsidRDefault="00155E7B" w:rsidP="00866BA9">
            <w:pPr>
              <w:rPr>
                <w:rFonts w:ascii="Times New Roman" w:hAnsi="Times New Roman" w:cs="Times New Roman"/>
                <w:sz w:val="24"/>
                <w:szCs w:val="24"/>
              </w:rPr>
            </w:pPr>
          </w:p>
        </w:tc>
      </w:tr>
      <w:tr w:rsidR="00155E7B" w:rsidTr="00866BA9">
        <w:tc>
          <w:tcPr>
            <w:tcW w:w="2220" w:type="dxa"/>
            <w:hideMark/>
          </w:tcPr>
          <w:p w:rsidR="00155E7B" w:rsidRDefault="00155E7B" w:rsidP="00866BA9">
            <w:pPr>
              <w:ind w:left="60"/>
              <w:rPr>
                <w:rFonts w:ascii="Times New Roman" w:hAnsi="Times New Roman" w:cs="Times New Roman"/>
                <w:b/>
                <w:bCs/>
                <w:spacing w:val="6"/>
                <w:sz w:val="24"/>
                <w:szCs w:val="24"/>
              </w:rPr>
            </w:pPr>
            <w:r>
              <w:rPr>
                <w:rFonts w:ascii="Times New Roman" w:hAnsi="Times New Roman" w:cs="Times New Roman"/>
                <w:b/>
                <w:bCs/>
                <w:spacing w:val="6"/>
                <w:sz w:val="24"/>
                <w:szCs w:val="24"/>
              </w:rPr>
              <w:t>SUBJECT:</w:t>
            </w:r>
          </w:p>
        </w:tc>
        <w:tc>
          <w:tcPr>
            <w:tcW w:w="6750" w:type="dxa"/>
          </w:tcPr>
          <w:p w:rsidR="00155E7B" w:rsidRPr="008E2C7D" w:rsidRDefault="00F330D3" w:rsidP="00866BA9">
            <w:pPr>
              <w:rPr>
                <w:rFonts w:ascii="Times New Roman" w:hAnsi="Times New Roman" w:cs="Times New Roman"/>
                <w:sz w:val="24"/>
                <w:szCs w:val="24"/>
              </w:rPr>
            </w:pPr>
            <w:r>
              <w:rPr>
                <w:rFonts w:ascii="Times New Roman" w:hAnsi="Times New Roman" w:cs="Times New Roman"/>
                <w:bCs/>
                <w:sz w:val="24"/>
                <w:szCs w:val="24"/>
              </w:rPr>
              <w:t>Response to Comments Received on CMS-10633, Q</w:t>
            </w:r>
            <w:r w:rsidR="00C15DCE">
              <w:rPr>
                <w:rFonts w:ascii="Times New Roman" w:hAnsi="Times New Roman" w:cs="Times New Roman"/>
                <w:bCs/>
                <w:sz w:val="24"/>
                <w:szCs w:val="24"/>
              </w:rPr>
              <w:t>ualified Independent Contractor (Q</w:t>
            </w:r>
            <w:r>
              <w:rPr>
                <w:rFonts w:ascii="Times New Roman" w:hAnsi="Times New Roman" w:cs="Times New Roman"/>
                <w:bCs/>
                <w:sz w:val="24"/>
                <w:szCs w:val="24"/>
              </w:rPr>
              <w:t>IC</w:t>
            </w:r>
            <w:r w:rsidR="00C15DCE">
              <w:rPr>
                <w:rFonts w:ascii="Times New Roman" w:hAnsi="Times New Roman" w:cs="Times New Roman"/>
                <w:bCs/>
                <w:sz w:val="24"/>
                <w:szCs w:val="24"/>
              </w:rPr>
              <w:t>)</w:t>
            </w:r>
            <w:r>
              <w:rPr>
                <w:rFonts w:ascii="Times New Roman" w:hAnsi="Times New Roman" w:cs="Times New Roman"/>
                <w:bCs/>
                <w:sz w:val="24"/>
                <w:szCs w:val="24"/>
              </w:rPr>
              <w:t xml:space="preserve"> Demonstration Evaluation Contractor (QDEC):  Analyze Medicare Appeals to Conduct Formal Discussions and Re-Opening with Suppliers </w:t>
            </w:r>
          </w:p>
          <w:p w:rsidR="00155E7B" w:rsidRPr="00E430AD" w:rsidRDefault="00155E7B" w:rsidP="00866BA9">
            <w:pPr>
              <w:rPr>
                <w:rFonts w:ascii="Times New Roman" w:hAnsi="Times New Roman" w:cs="Times New Roman"/>
                <w:spacing w:val="6"/>
                <w:sz w:val="24"/>
                <w:szCs w:val="24"/>
              </w:rPr>
            </w:pPr>
          </w:p>
        </w:tc>
      </w:tr>
    </w:tbl>
    <w:p w:rsidR="008A35E5" w:rsidRDefault="00F330D3" w:rsidP="00155E7B">
      <w:pPr>
        <w:kinsoku w:val="0"/>
        <w:overflowPunct w:val="0"/>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The Medicare Enrollment and Appeals Group (MEAG) has reviewed and considered the feedback received in response to Paperwork Reduction Act (PRA) package CMS-10633, </w:t>
      </w:r>
      <w:r>
        <w:rPr>
          <w:rFonts w:ascii="Times New Roman" w:hAnsi="Times New Roman" w:cs="Times New Roman"/>
          <w:bCs/>
          <w:sz w:val="24"/>
          <w:szCs w:val="24"/>
        </w:rPr>
        <w:t xml:space="preserve">QIC Demonstration Evaluation Contractor (QDEC):  Analyze Medicare Appeals to Conduct Formal Discussions and Re-Opening with Suppliers.  </w:t>
      </w:r>
    </w:p>
    <w:p w:rsidR="008A35E5" w:rsidRDefault="008A35E5" w:rsidP="00155E7B">
      <w:pPr>
        <w:kinsoku w:val="0"/>
        <w:overflowPunct w:val="0"/>
        <w:autoSpaceDE w:val="0"/>
        <w:autoSpaceDN w:val="0"/>
        <w:adjustRightInd w:val="0"/>
        <w:rPr>
          <w:rFonts w:ascii="Times New Roman" w:hAnsi="Times New Roman" w:cs="Times New Roman"/>
          <w:bCs/>
          <w:sz w:val="24"/>
          <w:szCs w:val="24"/>
        </w:rPr>
      </w:pPr>
    </w:p>
    <w:p w:rsidR="008A35E5" w:rsidRDefault="008A35E5" w:rsidP="008A35E5">
      <w:pPr>
        <w:pStyle w:val="Default"/>
      </w:pPr>
      <w:r>
        <w:rPr>
          <w:rFonts w:ascii="Times New Roman" w:hAnsi="Times New Roman" w:cs="Times New Roman"/>
          <w:bCs/>
        </w:rPr>
        <w:t>One organization submitted comments</w:t>
      </w:r>
      <w:r w:rsidR="00CF5E3D">
        <w:rPr>
          <w:rFonts w:ascii="Times New Roman" w:hAnsi="Times New Roman" w:cs="Times New Roman"/>
          <w:bCs/>
        </w:rPr>
        <w:t>:</w:t>
      </w:r>
      <w:r>
        <w:rPr>
          <w:rFonts w:ascii="Times New Roman" w:hAnsi="Times New Roman" w:cs="Times New Roman"/>
          <w:bCs/>
        </w:rPr>
        <w:t xml:space="preserve"> the American Association for Homecare (AAHomecare). AAHomecare is a national association representing the interests of Durable Medical Equipment, Prosthetics, Orthotics, and Supplies (DMEPOS) </w:t>
      </w:r>
      <w:r w:rsidR="00810E7B">
        <w:rPr>
          <w:rFonts w:ascii="Times New Roman" w:hAnsi="Times New Roman" w:cs="Times New Roman"/>
          <w:bCs/>
        </w:rPr>
        <w:t>suppliers</w:t>
      </w:r>
      <w:r>
        <w:rPr>
          <w:rFonts w:ascii="Times New Roman" w:hAnsi="Times New Roman" w:cs="Times New Roman"/>
          <w:bCs/>
        </w:rPr>
        <w:t xml:space="preserve">. AAHomecare members include a cross section of manufacturers, suppliers, and other industry stakeholders that make or furnish DMEPOS items that beneficiaries use in their homes.  </w:t>
      </w:r>
    </w:p>
    <w:p w:rsidR="008A35E5" w:rsidRDefault="008A35E5" w:rsidP="00155E7B">
      <w:pPr>
        <w:kinsoku w:val="0"/>
        <w:overflowPunct w:val="0"/>
        <w:autoSpaceDE w:val="0"/>
        <w:autoSpaceDN w:val="0"/>
        <w:adjustRightInd w:val="0"/>
        <w:rPr>
          <w:rFonts w:ascii="Times New Roman" w:hAnsi="Times New Roman" w:cs="Times New Roman"/>
          <w:bCs/>
          <w:sz w:val="24"/>
          <w:szCs w:val="24"/>
        </w:rPr>
      </w:pPr>
    </w:p>
    <w:p w:rsidR="00F330D3" w:rsidRDefault="00F330D3" w:rsidP="00155E7B">
      <w:pPr>
        <w:kinsoku w:val="0"/>
        <w:overflowPunct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Our responses to the comments </w:t>
      </w:r>
      <w:r w:rsidR="0084032D">
        <w:rPr>
          <w:rFonts w:ascii="Times New Roman" w:hAnsi="Times New Roman" w:cs="Times New Roman"/>
          <w:bCs/>
          <w:sz w:val="24"/>
          <w:szCs w:val="24"/>
        </w:rPr>
        <w:t>and whether we have revised requirements or burden estimates are noted below.</w:t>
      </w:r>
    </w:p>
    <w:p w:rsidR="0084032D" w:rsidRDefault="0084032D" w:rsidP="00155E7B">
      <w:pPr>
        <w:kinsoku w:val="0"/>
        <w:overflowPunct w:val="0"/>
        <w:autoSpaceDE w:val="0"/>
        <w:autoSpaceDN w:val="0"/>
        <w:adjustRightInd w:val="0"/>
        <w:rPr>
          <w:rFonts w:ascii="Times New Roman" w:hAnsi="Times New Roman" w:cs="Times New Roman"/>
          <w:bCs/>
          <w:sz w:val="24"/>
          <w:szCs w:val="24"/>
        </w:rPr>
      </w:pPr>
    </w:p>
    <w:p w:rsidR="0084032D" w:rsidRDefault="0084032D">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rsidR="00C15DCE" w:rsidRDefault="00C15DCE" w:rsidP="0084032D">
      <w:pPr>
        <w:kinsoku w:val="0"/>
        <w:overflowPunct w:val="0"/>
        <w:autoSpaceDE w:val="0"/>
        <w:autoSpaceDN w:val="0"/>
        <w:adjustRightInd w:val="0"/>
        <w:jc w:val="center"/>
        <w:rPr>
          <w:rFonts w:ascii="Times New Roman" w:hAnsi="Times New Roman" w:cs="Times New Roman"/>
          <w:bCs/>
          <w:sz w:val="24"/>
          <w:szCs w:val="24"/>
        </w:rPr>
        <w:sectPr w:rsidR="00C15DCE">
          <w:pgSz w:w="12240" w:h="15840"/>
          <w:pgMar w:top="1440" w:right="1440" w:bottom="1440" w:left="1440" w:header="720" w:footer="720" w:gutter="0"/>
          <w:cols w:space="720"/>
          <w:docGrid w:linePitch="360"/>
        </w:sectPr>
      </w:pPr>
    </w:p>
    <w:p w:rsidR="008A35E5" w:rsidRDefault="008A35E5" w:rsidP="0084032D">
      <w:pPr>
        <w:kinsoku w:val="0"/>
        <w:overflowPunct w:val="0"/>
        <w:autoSpaceDE w:val="0"/>
        <w:autoSpaceDN w:val="0"/>
        <w:adjustRightInd w:val="0"/>
        <w:jc w:val="center"/>
        <w:rPr>
          <w:rFonts w:ascii="Times New Roman" w:hAnsi="Times New Roman" w:cs="Times New Roman"/>
          <w:bCs/>
          <w:sz w:val="24"/>
          <w:szCs w:val="24"/>
        </w:rPr>
      </w:pPr>
    </w:p>
    <w:tbl>
      <w:tblPr>
        <w:tblStyle w:val="GridTable1Light"/>
        <w:tblW w:w="14400" w:type="dxa"/>
        <w:jc w:val="center"/>
        <w:tblLayout w:type="fixed"/>
        <w:tblLook w:val="04A0" w:firstRow="1" w:lastRow="0" w:firstColumn="1" w:lastColumn="0" w:noHBand="0" w:noVBand="1"/>
      </w:tblPr>
      <w:tblGrid>
        <w:gridCol w:w="5035"/>
        <w:gridCol w:w="6755"/>
        <w:gridCol w:w="1000"/>
        <w:gridCol w:w="1610"/>
      </w:tblGrid>
      <w:tr w:rsidR="0084032D" w:rsidRPr="0097621D" w:rsidTr="00C765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0" w:type="dxa"/>
            <w:gridSpan w:val="4"/>
            <w:shd w:val="clear" w:color="auto" w:fill="000000" w:themeFill="text1"/>
            <w:vAlign w:val="center"/>
          </w:tcPr>
          <w:p w:rsidR="0084032D" w:rsidRPr="000F653F" w:rsidRDefault="0084032D" w:rsidP="0084032D">
            <w:pPr>
              <w:kinsoku w:val="0"/>
              <w:overflowPunct w:val="0"/>
              <w:autoSpaceDE w:val="0"/>
              <w:autoSpaceDN w:val="0"/>
              <w:adjustRightInd w:val="0"/>
              <w:jc w:val="center"/>
              <w:rPr>
                <w:rFonts w:ascii="Times New Roman" w:hAnsi="Times New Roman" w:cs="Times New Roman"/>
                <w:sz w:val="22"/>
              </w:rPr>
            </w:pPr>
            <w:r w:rsidRPr="000F653F">
              <w:rPr>
                <w:rFonts w:ascii="Times New Roman" w:hAnsi="Times New Roman" w:cs="Times New Roman"/>
                <w:sz w:val="22"/>
                <w:szCs w:val="24"/>
              </w:rPr>
              <w:t>Responses to Comments Received on CMS-10633, QIC Demonstration Evaluation Contractor (QDEC):  Analyze Medicare Appeals to Conduct Formal Discussions and Re-Opening with Suppliers.</w:t>
            </w:r>
          </w:p>
        </w:tc>
      </w:tr>
      <w:tr w:rsidR="00C15DCE" w:rsidRPr="0097621D" w:rsidTr="00C7653A">
        <w:trPr>
          <w:jc w:val="center"/>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vAlign w:val="center"/>
          </w:tcPr>
          <w:p w:rsidR="0084032D" w:rsidRPr="0097621D" w:rsidRDefault="0084032D" w:rsidP="00E008A7">
            <w:pPr>
              <w:jc w:val="center"/>
              <w:rPr>
                <w:rFonts w:ascii="Times New Roman" w:hAnsi="Times New Roman" w:cs="Times New Roman"/>
              </w:rPr>
            </w:pPr>
            <w:r>
              <w:rPr>
                <w:rFonts w:ascii="Times New Roman" w:hAnsi="Times New Roman" w:cs="Times New Roman"/>
              </w:rPr>
              <w:t>PRA Sections</w:t>
            </w:r>
          </w:p>
        </w:tc>
        <w:tc>
          <w:tcPr>
            <w:tcW w:w="6755" w:type="dxa"/>
            <w:shd w:val="clear" w:color="auto" w:fill="F2F2F2" w:themeFill="background1" w:themeFillShade="F2"/>
            <w:vAlign w:val="center"/>
          </w:tcPr>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4032D">
              <w:rPr>
                <w:rFonts w:ascii="Times New Roman" w:hAnsi="Times New Roman" w:cs="Times New Roman"/>
                <w:b/>
              </w:rPr>
              <w:t>Clarification/Response</w:t>
            </w:r>
          </w:p>
        </w:tc>
        <w:tc>
          <w:tcPr>
            <w:tcW w:w="1000" w:type="dxa"/>
            <w:shd w:val="clear" w:color="auto" w:fill="F2F2F2" w:themeFill="background1" w:themeFillShade="F2"/>
            <w:vAlign w:val="center"/>
          </w:tcPr>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Revision/Change</w:t>
            </w:r>
          </w:p>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N – No</w:t>
            </w:r>
          </w:p>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Change</w:t>
            </w:r>
          </w:p>
        </w:tc>
        <w:tc>
          <w:tcPr>
            <w:tcW w:w="1610" w:type="dxa"/>
            <w:shd w:val="clear" w:color="auto" w:fill="F2F2F2" w:themeFill="background1" w:themeFillShade="F2"/>
            <w:vAlign w:val="center"/>
          </w:tcPr>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Level of Applicant Burden</w:t>
            </w:r>
          </w:p>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I = Increases burden</w:t>
            </w:r>
          </w:p>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D – Decreases burden</w:t>
            </w:r>
          </w:p>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N – No</w:t>
            </w:r>
          </w:p>
          <w:p w:rsidR="0084032D" w:rsidRPr="0084032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84032D">
              <w:rPr>
                <w:rFonts w:ascii="Times New Roman" w:hAnsi="Times New Roman" w:cs="Times New Roman"/>
                <w:b/>
                <w:sz w:val="18"/>
              </w:rPr>
              <w:t>Change</w:t>
            </w:r>
          </w:p>
        </w:tc>
      </w:tr>
      <w:tr w:rsidR="00C15DCE" w:rsidRPr="0097621D" w:rsidTr="00C7653A">
        <w:trPr>
          <w:jc w:val="center"/>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vAlign w:val="center"/>
          </w:tcPr>
          <w:p w:rsidR="0084032D" w:rsidRPr="0097621D" w:rsidRDefault="0084032D" w:rsidP="00E008A7">
            <w:pPr>
              <w:jc w:val="center"/>
              <w:rPr>
                <w:rFonts w:ascii="Times New Roman" w:hAnsi="Times New Roman" w:cs="Times New Roman"/>
              </w:rPr>
            </w:pPr>
            <w:r w:rsidRPr="0097621D">
              <w:rPr>
                <w:rFonts w:ascii="Times New Roman" w:hAnsi="Times New Roman" w:cs="Times New Roman"/>
              </w:rPr>
              <w:t>General Comments</w:t>
            </w:r>
            <w:r w:rsidR="000F653F">
              <w:rPr>
                <w:rFonts w:ascii="Times New Roman" w:hAnsi="Times New Roman" w:cs="Times New Roman"/>
              </w:rPr>
              <w:t>/Non-Specific to PRA Sections</w:t>
            </w:r>
          </w:p>
        </w:tc>
        <w:tc>
          <w:tcPr>
            <w:tcW w:w="6755" w:type="dxa"/>
            <w:shd w:val="clear" w:color="auto" w:fill="F2F2F2" w:themeFill="background1" w:themeFillShade="F2"/>
            <w:vAlign w:val="center"/>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dxa"/>
            <w:shd w:val="clear" w:color="auto" w:fill="F2F2F2" w:themeFill="background1" w:themeFillShade="F2"/>
            <w:vAlign w:val="center"/>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0" w:type="dxa"/>
            <w:shd w:val="clear" w:color="auto" w:fill="F2F2F2" w:themeFill="background1" w:themeFillShade="F2"/>
            <w:vAlign w:val="center"/>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653A" w:rsidRPr="0097621D" w:rsidTr="004557A7">
        <w:trPr>
          <w:jc w:val="center"/>
        </w:trPr>
        <w:tc>
          <w:tcPr>
            <w:cnfStyle w:val="001000000000" w:firstRow="0" w:lastRow="0" w:firstColumn="1" w:lastColumn="0" w:oddVBand="0" w:evenVBand="0" w:oddHBand="0" w:evenHBand="0" w:firstRowFirstColumn="0" w:firstRowLastColumn="0" w:lastRowFirstColumn="0" w:lastRowLastColumn="0"/>
            <w:tcW w:w="5035" w:type="dxa"/>
          </w:tcPr>
          <w:p w:rsidR="004557A7" w:rsidRDefault="004557A7" w:rsidP="0084032D">
            <w:pPr>
              <w:pStyle w:val="Default"/>
              <w:rPr>
                <w:rFonts w:ascii="Times New Roman" w:hAnsi="Times New Roman" w:cs="Times New Roman"/>
                <w:sz w:val="20"/>
                <w:szCs w:val="20"/>
              </w:rPr>
            </w:pPr>
          </w:p>
          <w:p w:rsidR="000F653F" w:rsidRPr="00C15DCE" w:rsidRDefault="000F653F" w:rsidP="0084032D">
            <w:pPr>
              <w:pStyle w:val="Default"/>
              <w:rPr>
                <w:rFonts w:ascii="Times New Roman" w:hAnsi="Times New Roman" w:cs="Times New Roman"/>
                <w:sz w:val="20"/>
                <w:szCs w:val="20"/>
              </w:rPr>
            </w:pPr>
            <w:r w:rsidRPr="00C15DCE">
              <w:rPr>
                <w:rFonts w:ascii="Times New Roman" w:hAnsi="Times New Roman" w:cs="Times New Roman"/>
                <w:sz w:val="20"/>
                <w:szCs w:val="20"/>
              </w:rPr>
              <w:t>Review MAC Denial Reasons:</w:t>
            </w:r>
          </w:p>
          <w:p w:rsidR="0084032D" w:rsidRPr="00DB1A8B" w:rsidRDefault="0084032D" w:rsidP="00C15DCE">
            <w:pPr>
              <w:pStyle w:val="Default"/>
              <w:rPr>
                <w:rFonts w:ascii="Times New Roman" w:hAnsi="Times New Roman" w:cs="Times New Roman"/>
                <w:b w:val="0"/>
                <w:sz w:val="20"/>
                <w:szCs w:val="20"/>
              </w:rPr>
            </w:pPr>
            <w:r w:rsidRPr="00DB1A8B">
              <w:rPr>
                <w:rFonts w:ascii="Times New Roman" w:hAnsi="Times New Roman" w:cs="Times New Roman"/>
                <w:b w:val="0"/>
                <w:sz w:val="20"/>
                <w:szCs w:val="20"/>
              </w:rPr>
              <w:t xml:space="preserve">Commenter recommends CMS gather data on the type and volume of denials overturned at the QIC that are found to be an error on the part of the auditing or processing contractor. </w:t>
            </w:r>
            <w:r w:rsidR="000F653F" w:rsidRPr="00DB1A8B">
              <w:rPr>
                <w:rFonts w:ascii="Times New Roman" w:hAnsi="Times New Roman" w:cs="Times New Roman"/>
                <w:b w:val="0"/>
                <w:sz w:val="20"/>
                <w:szCs w:val="20"/>
              </w:rPr>
              <w:t>Commenter noted t</w:t>
            </w:r>
            <w:r w:rsidRPr="00DB1A8B">
              <w:rPr>
                <w:rFonts w:ascii="Times New Roman" w:hAnsi="Times New Roman" w:cs="Times New Roman"/>
                <w:b w:val="0"/>
                <w:sz w:val="20"/>
                <w:szCs w:val="20"/>
              </w:rPr>
              <w:t xml:space="preserve">o improve the appeals backlog, education on claims processing must target both suppliers and contractors. </w:t>
            </w:r>
          </w:p>
          <w:p w:rsidR="0084032D" w:rsidRPr="00DB1A8B" w:rsidRDefault="0084032D" w:rsidP="0084032D">
            <w:pPr>
              <w:pStyle w:val="Default"/>
              <w:rPr>
                <w:rFonts w:ascii="Times New Roman" w:hAnsi="Times New Roman" w:cs="Times New Roman"/>
                <w:b w:val="0"/>
                <w:sz w:val="20"/>
                <w:szCs w:val="20"/>
              </w:rPr>
            </w:pPr>
          </w:p>
          <w:p w:rsidR="0084032D" w:rsidRPr="00DB1A8B" w:rsidRDefault="0084032D" w:rsidP="00C15DCE">
            <w:pPr>
              <w:pStyle w:val="Default"/>
              <w:rPr>
                <w:rFonts w:ascii="Times New Roman" w:hAnsi="Times New Roman" w:cs="Times New Roman"/>
                <w:b w:val="0"/>
                <w:sz w:val="20"/>
                <w:szCs w:val="20"/>
              </w:rPr>
            </w:pPr>
            <w:r w:rsidRPr="00DB1A8B">
              <w:rPr>
                <w:rFonts w:ascii="Times New Roman" w:hAnsi="Times New Roman" w:cs="Times New Roman"/>
                <w:b w:val="0"/>
                <w:sz w:val="20"/>
                <w:szCs w:val="20"/>
              </w:rPr>
              <w:t xml:space="preserve">Commenter </w:t>
            </w:r>
            <w:r w:rsidR="00DB1A8B" w:rsidRPr="00DB1A8B">
              <w:rPr>
                <w:rFonts w:ascii="Times New Roman" w:hAnsi="Times New Roman" w:cs="Times New Roman"/>
                <w:b w:val="0"/>
                <w:sz w:val="20"/>
                <w:szCs w:val="20"/>
              </w:rPr>
              <w:t xml:space="preserve">further </w:t>
            </w:r>
            <w:r w:rsidRPr="00DB1A8B">
              <w:rPr>
                <w:rFonts w:ascii="Times New Roman" w:hAnsi="Times New Roman" w:cs="Times New Roman"/>
                <w:b w:val="0"/>
                <w:sz w:val="20"/>
                <w:szCs w:val="20"/>
              </w:rPr>
              <w:t xml:space="preserve">noted that the Demonstration is focused on educating suppliers, but in order to have a comprehensive approach on resolving the current appeals backlog, it is vital to involve the Durable Medical Equipment Medicare Administrative Contractors (DME MACs) in the education process. In order to ensure there is consistency throughout the appeals process, DME MACs should be notified regularly when appeals are overturned due to an error in review of the documentation at the DME MAC. </w:t>
            </w:r>
          </w:p>
          <w:p w:rsidR="0084032D" w:rsidRPr="00DB1A8B" w:rsidRDefault="0084032D" w:rsidP="0084032D">
            <w:pPr>
              <w:pStyle w:val="Default"/>
              <w:rPr>
                <w:rFonts w:ascii="Times New Roman" w:hAnsi="Times New Roman" w:cs="Times New Roman"/>
                <w:b w:val="0"/>
                <w:sz w:val="20"/>
                <w:szCs w:val="20"/>
              </w:rPr>
            </w:pPr>
          </w:p>
          <w:p w:rsidR="0084032D" w:rsidRPr="00C15DCE" w:rsidRDefault="000F653F" w:rsidP="00C15DCE">
            <w:pPr>
              <w:rPr>
                <w:rFonts w:ascii="Times New Roman" w:hAnsi="Times New Roman" w:cs="Times New Roman"/>
                <w:b w:val="0"/>
              </w:rPr>
            </w:pPr>
            <w:r w:rsidRPr="00C15DCE">
              <w:rPr>
                <w:rFonts w:ascii="Times New Roman" w:hAnsi="Times New Roman" w:cs="Times New Roman"/>
                <w:b w:val="0"/>
              </w:rPr>
              <w:t>Commenter</w:t>
            </w:r>
            <w:r w:rsidR="0084032D" w:rsidRPr="00C15DCE">
              <w:rPr>
                <w:rFonts w:ascii="Times New Roman" w:hAnsi="Times New Roman" w:cs="Times New Roman"/>
                <w:b w:val="0"/>
              </w:rPr>
              <w:t xml:space="preserve"> encourages CMS to compare and contrast the overturn rates between the two DME MACs in the Demonstration to see if there are opportunities to educate the MACs on Local Coverage Determinations</w:t>
            </w:r>
          </w:p>
          <w:p w:rsidR="000F653F" w:rsidRPr="00DB1A8B" w:rsidRDefault="000F653F" w:rsidP="000F653F">
            <w:pPr>
              <w:rPr>
                <w:rFonts w:ascii="Times New Roman" w:hAnsi="Times New Roman" w:cs="Times New Roman"/>
                <w:b w:val="0"/>
              </w:rPr>
            </w:pPr>
          </w:p>
        </w:tc>
        <w:tc>
          <w:tcPr>
            <w:tcW w:w="6755" w:type="dxa"/>
          </w:tcPr>
          <w:p w:rsidR="004557A7" w:rsidRDefault="004557A7" w:rsidP="00C15D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15DCE" w:rsidRDefault="00CE2684" w:rsidP="00C15D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DCE">
              <w:rPr>
                <w:rFonts w:ascii="Times New Roman" w:hAnsi="Times New Roman" w:cs="Times New Roman"/>
              </w:rPr>
              <w:t>CMS has cons</w:t>
            </w:r>
            <w:r w:rsidR="009335C3">
              <w:rPr>
                <w:rFonts w:ascii="Times New Roman" w:hAnsi="Times New Roman" w:cs="Times New Roman"/>
              </w:rPr>
              <w:t>idered the feedback provided</w:t>
            </w:r>
            <w:r w:rsidR="000B34EE">
              <w:rPr>
                <w:rFonts w:ascii="Times New Roman" w:hAnsi="Times New Roman" w:cs="Times New Roman"/>
              </w:rPr>
              <w:t>. H</w:t>
            </w:r>
            <w:r w:rsidR="009335C3">
              <w:rPr>
                <w:rFonts w:ascii="Times New Roman" w:hAnsi="Times New Roman" w:cs="Times New Roman"/>
              </w:rPr>
              <w:t>owever, these comments are outside the current scope of this data collection effort. CMS would like to note</w:t>
            </w:r>
            <w:r w:rsidRPr="00C15DCE">
              <w:rPr>
                <w:rFonts w:ascii="Times New Roman" w:hAnsi="Times New Roman" w:cs="Times New Roman"/>
              </w:rPr>
              <w:t xml:space="preserve"> that the </w:t>
            </w:r>
            <w:r w:rsidR="00C15DCE">
              <w:rPr>
                <w:rFonts w:ascii="Times New Roman" w:hAnsi="Times New Roman" w:cs="Times New Roman"/>
              </w:rPr>
              <w:t xml:space="preserve">purpose of the data collection effort under this PRA package is to provide data to support analysis of the effectiveness of the Medical Appeals Demonstration to Conduct Formal </w:t>
            </w:r>
            <w:r w:rsidR="00425D8D">
              <w:rPr>
                <w:rFonts w:ascii="Times New Roman" w:hAnsi="Times New Roman" w:cs="Times New Roman"/>
              </w:rPr>
              <w:t xml:space="preserve">Telephone </w:t>
            </w:r>
            <w:r w:rsidR="00C15DCE">
              <w:rPr>
                <w:rFonts w:ascii="Times New Roman" w:hAnsi="Times New Roman" w:cs="Times New Roman"/>
              </w:rPr>
              <w:t>Discussions with Suppliers and to determine whether further engagement between suppliers and the QIC improves the understanding of the reasons for claims and over time, result</w:t>
            </w:r>
            <w:r w:rsidR="000B34EE">
              <w:rPr>
                <w:rFonts w:ascii="Times New Roman" w:hAnsi="Times New Roman" w:cs="Times New Roman"/>
              </w:rPr>
              <w:t>s</w:t>
            </w:r>
            <w:r w:rsidR="00C15DCE">
              <w:rPr>
                <w:rFonts w:ascii="Times New Roman" w:hAnsi="Times New Roman" w:cs="Times New Roman"/>
              </w:rPr>
              <w:t xml:space="preserve"> in more proper claims submissions from suppliers participating in the demonstration.  </w:t>
            </w:r>
          </w:p>
          <w:p w:rsidR="00C15DCE" w:rsidRDefault="00C15DCE" w:rsidP="00C15D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DB1A8B" w:rsidRPr="00DB1A8B" w:rsidRDefault="00DB1A8B" w:rsidP="00DB1A8B">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DB1A8B" w:rsidRPr="00DB1A8B" w:rsidRDefault="00DB1A8B" w:rsidP="00DB1A8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7653A" w:rsidRDefault="00DB1A8B" w:rsidP="00C765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15DCE">
              <w:rPr>
                <w:rFonts w:ascii="Times New Roman" w:hAnsi="Times New Roman" w:cs="Times New Roman"/>
              </w:rPr>
              <w:t xml:space="preserve">CMS has </w:t>
            </w:r>
            <w:r w:rsidR="00C7653A">
              <w:rPr>
                <w:rFonts w:ascii="Times New Roman" w:hAnsi="Times New Roman" w:cs="Times New Roman"/>
              </w:rPr>
              <w:t xml:space="preserve">also </w:t>
            </w:r>
            <w:r w:rsidRPr="00C15DCE">
              <w:rPr>
                <w:rFonts w:ascii="Times New Roman" w:hAnsi="Times New Roman" w:cs="Times New Roman"/>
              </w:rPr>
              <w:t>considered the commenter</w:t>
            </w:r>
            <w:r w:rsidR="00EC4688">
              <w:rPr>
                <w:rFonts w:ascii="Times New Roman" w:hAnsi="Times New Roman" w:cs="Times New Roman"/>
              </w:rPr>
              <w:t>’</w:t>
            </w:r>
            <w:r w:rsidRPr="00C15DCE">
              <w:rPr>
                <w:rFonts w:ascii="Times New Roman" w:hAnsi="Times New Roman" w:cs="Times New Roman"/>
              </w:rPr>
              <w:t xml:space="preserve">s feedback </w:t>
            </w:r>
            <w:r w:rsidR="00C7653A">
              <w:rPr>
                <w:rFonts w:ascii="Times New Roman" w:hAnsi="Times New Roman" w:cs="Times New Roman"/>
              </w:rPr>
              <w:t>relative to comparative analysis of the overturn rate</w:t>
            </w:r>
            <w:r w:rsidR="00EC4688">
              <w:rPr>
                <w:rFonts w:ascii="Times New Roman" w:hAnsi="Times New Roman" w:cs="Times New Roman"/>
              </w:rPr>
              <w:t>. H</w:t>
            </w:r>
            <w:r w:rsidR="009335C3">
              <w:rPr>
                <w:rFonts w:ascii="Times New Roman" w:hAnsi="Times New Roman" w:cs="Times New Roman"/>
              </w:rPr>
              <w:t>owever this feedback is outside the current scope of this data collection effort.</w:t>
            </w:r>
            <w:r w:rsidR="009335C3">
              <w:rPr>
                <w:rFonts w:ascii="Times New Roman" w:hAnsi="Times New Roman" w:cs="Times New Roman"/>
                <w:sz w:val="18"/>
              </w:rPr>
              <w:t xml:space="preserve"> </w:t>
            </w:r>
            <w:r w:rsidR="00C7653A" w:rsidRPr="00C7653A">
              <w:rPr>
                <w:rFonts w:ascii="Times New Roman" w:hAnsi="Times New Roman" w:cs="Times New Roman"/>
                <w:szCs w:val="24"/>
              </w:rPr>
              <w:t>CMS would like to clarify that the purpose of the evaluative data collection effort under this P</w:t>
            </w:r>
            <w:r w:rsidR="00224AA1">
              <w:rPr>
                <w:rFonts w:ascii="Times New Roman" w:hAnsi="Times New Roman" w:cs="Times New Roman"/>
                <w:szCs w:val="24"/>
              </w:rPr>
              <w:t>RA package</w:t>
            </w:r>
            <w:r w:rsidR="00C7653A" w:rsidRPr="00C7653A">
              <w:rPr>
                <w:rFonts w:ascii="Times New Roman" w:hAnsi="Times New Roman" w:cs="Times New Roman"/>
                <w:szCs w:val="24"/>
              </w:rPr>
              <w:t xml:space="preserve"> is to collect information via surveys and key informant interviews</w:t>
            </w:r>
            <w:r w:rsidR="002F5CCB">
              <w:rPr>
                <w:rFonts w:ascii="Times New Roman" w:hAnsi="Times New Roman" w:cs="Times New Roman"/>
                <w:szCs w:val="24"/>
              </w:rPr>
              <w:t>,</w:t>
            </w:r>
            <w:r w:rsidR="00C7653A" w:rsidRPr="00C7653A">
              <w:rPr>
                <w:rFonts w:ascii="Times New Roman" w:hAnsi="Times New Roman" w:cs="Times New Roman"/>
                <w:szCs w:val="24"/>
              </w:rPr>
              <w:t xml:space="preserve"> in order to measure Demonstration participant satisfaction with the Demonstration discussion process </w:t>
            </w:r>
            <w:r w:rsidR="00C7653A">
              <w:rPr>
                <w:rFonts w:ascii="Times New Roman" w:hAnsi="Times New Roman" w:cs="Times New Roman"/>
                <w:szCs w:val="24"/>
              </w:rPr>
              <w:t>and support the</w:t>
            </w:r>
            <w:r w:rsidR="00C7653A" w:rsidRPr="00C7653A">
              <w:rPr>
                <w:rFonts w:ascii="Times New Roman" w:hAnsi="Times New Roman" w:cs="Times New Roman"/>
                <w:szCs w:val="24"/>
              </w:rPr>
              <w:t xml:space="preserve"> larger data collection effort to evaluate the overall effectiveness of the Demonstration</w:t>
            </w:r>
            <w:r w:rsidR="002F5CCB">
              <w:rPr>
                <w:rFonts w:ascii="Times New Roman" w:hAnsi="Times New Roman" w:cs="Times New Roman"/>
                <w:szCs w:val="24"/>
              </w:rPr>
              <w:t xml:space="preserve">. </w:t>
            </w:r>
            <w:r w:rsidR="00920E20">
              <w:rPr>
                <w:rFonts w:ascii="Times New Roman" w:hAnsi="Times New Roman" w:cs="Times New Roman"/>
                <w:szCs w:val="24"/>
              </w:rPr>
              <w:t>Specifically, the data will help CMS</w:t>
            </w:r>
            <w:r w:rsidR="00224AA1">
              <w:rPr>
                <w:rFonts w:ascii="Times New Roman" w:hAnsi="Times New Roman" w:cs="Times New Roman"/>
                <w:szCs w:val="24"/>
              </w:rPr>
              <w:t xml:space="preserve"> </w:t>
            </w:r>
            <w:r w:rsidR="00C7653A">
              <w:rPr>
                <w:rFonts w:ascii="Times New Roman" w:hAnsi="Times New Roman" w:cs="Times New Roman"/>
                <w:szCs w:val="24"/>
              </w:rPr>
              <w:t xml:space="preserve"> determine </w:t>
            </w:r>
            <w:r w:rsidR="002F5CCB">
              <w:rPr>
                <w:rFonts w:ascii="Times New Roman" w:hAnsi="Times New Roman" w:cs="Times New Roman"/>
                <w:szCs w:val="24"/>
              </w:rPr>
              <w:t xml:space="preserve"> </w:t>
            </w:r>
            <w:r w:rsidR="00C7653A">
              <w:rPr>
                <w:rFonts w:ascii="Times New Roman" w:hAnsi="Times New Roman" w:cs="Times New Roman"/>
                <w:szCs w:val="24"/>
              </w:rPr>
              <w:t>whether further engagement between suppliers and the QICs improve</w:t>
            </w:r>
            <w:r w:rsidR="002F5CCB">
              <w:rPr>
                <w:rFonts w:ascii="Times New Roman" w:hAnsi="Times New Roman" w:cs="Times New Roman"/>
                <w:szCs w:val="24"/>
              </w:rPr>
              <w:t>s suppliers’</w:t>
            </w:r>
            <w:r w:rsidR="00C7653A">
              <w:rPr>
                <w:rFonts w:ascii="Times New Roman" w:hAnsi="Times New Roman" w:cs="Times New Roman"/>
                <w:szCs w:val="24"/>
              </w:rPr>
              <w:t xml:space="preserve"> understanding of the reasons for claim denials, and over time </w:t>
            </w:r>
            <w:r w:rsidR="002F5CCB">
              <w:rPr>
                <w:rFonts w:ascii="Times New Roman" w:hAnsi="Times New Roman" w:cs="Times New Roman"/>
                <w:szCs w:val="24"/>
              </w:rPr>
              <w:t xml:space="preserve">will </w:t>
            </w:r>
            <w:r w:rsidR="00C7653A">
              <w:rPr>
                <w:rFonts w:ascii="Times New Roman" w:hAnsi="Times New Roman" w:cs="Times New Roman"/>
                <w:szCs w:val="24"/>
              </w:rPr>
              <w:t>result in more proper claim submissions.</w:t>
            </w:r>
          </w:p>
          <w:p w:rsidR="00CE2684" w:rsidRPr="00C7653A" w:rsidRDefault="00C7653A" w:rsidP="00C765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653A">
              <w:rPr>
                <w:rFonts w:ascii="Times New Roman" w:hAnsi="Times New Roman" w:cs="Times New Roman"/>
                <w:szCs w:val="24"/>
              </w:rPr>
              <w:t xml:space="preserve">  </w:t>
            </w:r>
          </w:p>
        </w:tc>
        <w:tc>
          <w:tcPr>
            <w:tcW w:w="1000" w:type="dxa"/>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621D">
              <w:rPr>
                <w:rFonts w:ascii="Times New Roman" w:hAnsi="Times New Roman" w:cs="Times New Roman"/>
              </w:rPr>
              <w:t>N</w:t>
            </w:r>
          </w:p>
        </w:tc>
        <w:tc>
          <w:tcPr>
            <w:tcW w:w="1610" w:type="dxa"/>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621D">
              <w:rPr>
                <w:rFonts w:ascii="Times New Roman" w:hAnsi="Times New Roman" w:cs="Times New Roman"/>
              </w:rPr>
              <w:t>N</w:t>
            </w:r>
          </w:p>
        </w:tc>
      </w:tr>
      <w:tr w:rsidR="00C7653A" w:rsidRPr="0097621D" w:rsidTr="004557A7">
        <w:trPr>
          <w:jc w:val="center"/>
        </w:trPr>
        <w:tc>
          <w:tcPr>
            <w:cnfStyle w:val="001000000000" w:firstRow="0" w:lastRow="0" w:firstColumn="1" w:lastColumn="0" w:oddVBand="0" w:evenVBand="0" w:oddHBand="0" w:evenHBand="0" w:firstRowFirstColumn="0" w:firstRowLastColumn="0" w:lastRowFirstColumn="0" w:lastRowLastColumn="0"/>
            <w:tcW w:w="5035" w:type="dxa"/>
            <w:vAlign w:val="center"/>
          </w:tcPr>
          <w:p w:rsidR="004557A7" w:rsidRDefault="004557A7" w:rsidP="000F653F">
            <w:pPr>
              <w:pStyle w:val="Default"/>
              <w:rPr>
                <w:rFonts w:ascii="Times New Roman" w:hAnsi="Times New Roman" w:cs="Times New Roman"/>
                <w:color w:val="auto"/>
                <w:sz w:val="20"/>
                <w:szCs w:val="20"/>
              </w:rPr>
            </w:pPr>
          </w:p>
          <w:p w:rsidR="000F653F" w:rsidRDefault="000F653F" w:rsidP="000F653F">
            <w:pPr>
              <w:pStyle w:val="Default"/>
              <w:rPr>
                <w:rFonts w:ascii="Times New Roman" w:hAnsi="Times New Roman" w:cs="Times New Roman"/>
                <w:color w:val="auto"/>
                <w:sz w:val="20"/>
                <w:szCs w:val="20"/>
              </w:rPr>
            </w:pPr>
            <w:r w:rsidRPr="000F653F">
              <w:rPr>
                <w:rFonts w:ascii="Times New Roman" w:hAnsi="Times New Roman" w:cs="Times New Roman"/>
                <w:color w:val="auto"/>
                <w:sz w:val="20"/>
                <w:szCs w:val="20"/>
              </w:rPr>
              <w:t>R</w:t>
            </w:r>
            <w:r>
              <w:rPr>
                <w:rFonts w:ascii="Times New Roman" w:hAnsi="Times New Roman" w:cs="Times New Roman"/>
                <w:color w:val="auto"/>
                <w:sz w:val="20"/>
                <w:szCs w:val="20"/>
              </w:rPr>
              <w:t>eevaluate DME Coverage Policies:</w:t>
            </w:r>
          </w:p>
          <w:p w:rsidR="000F653F" w:rsidRDefault="000F653F" w:rsidP="000F653F">
            <w:pPr>
              <w:pStyle w:val="Default"/>
              <w:rPr>
                <w:rFonts w:ascii="Times New Roman" w:hAnsi="Times New Roman" w:cs="Times New Roman"/>
                <w:b w:val="0"/>
                <w:color w:val="auto"/>
                <w:sz w:val="20"/>
                <w:szCs w:val="20"/>
              </w:rPr>
            </w:pPr>
            <w:r>
              <w:rPr>
                <w:rFonts w:ascii="Times New Roman" w:hAnsi="Times New Roman" w:cs="Times New Roman"/>
                <w:b w:val="0"/>
                <w:color w:val="auto"/>
                <w:sz w:val="20"/>
                <w:szCs w:val="20"/>
              </w:rPr>
              <w:lastRenderedPageBreak/>
              <w:t xml:space="preserve">Commenter </w:t>
            </w:r>
            <w:r w:rsidRPr="000F653F">
              <w:rPr>
                <w:rFonts w:ascii="Times New Roman" w:hAnsi="Times New Roman" w:cs="Times New Roman"/>
                <w:b w:val="0"/>
                <w:color w:val="auto"/>
                <w:sz w:val="20"/>
                <w:szCs w:val="20"/>
              </w:rPr>
              <w:t xml:space="preserve">recommends CMS conduct a study on the complexities of the DME coverage policies. Due to the prescriptive language of the regulations for DMEPOS claims, auditing and processing contractors often overlook the intention of the regulation. For example, proof of delivery (POD) is one of the top denial reasons for DMEPOS claims. In many instances the reason for the denial is because the POD is signed the day before the date of service that was billed on the claim, or the relationship of the person signing the delivery ticket is not listed. The intention of the POD is to establish the fact that the patient has received the equipment and many times auditing contractors deny a claim or uphold an appeal because of the prescriptive requirements in LCDs, articles, and the </w:t>
            </w:r>
            <w:r>
              <w:rPr>
                <w:rFonts w:ascii="Times New Roman" w:hAnsi="Times New Roman" w:cs="Times New Roman"/>
                <w:b w:val="0"/>
                <w:color w:val="auto"/>
                <w:sz w:val="20"/>
                <w:szCs w:val="20"/>
              </w:rPr>
              <w:t>Program Integrity Manual (PIM).</w:t>
            </w:r>
          </w:p>
          <w:p w:rsidR="000F653F" w:rsidRDefault="000F653F" w:rsidP="000F653F">
            <w:pPr>
              <w:pStyle w:val="Default"/>
              <w:rPr>
                <w:rFonts w:ascii="Times New Roman" w:hAnsi="Times New Roman" w:cs="Times New Roman"/>
                <w:b w:val="0"/>
                <w:color w:val="auto"/>
                <w:sz w:val="20"/>
                <w:szCs w:val="20"/>
              </w:rPr>
            </w:pPr>
          </w:p>
          <w:p w:rsidR="000F653F" w:rsidRDefault="000F653F" w:rsidP="000F653F">
            <w:pPr>
              <w:pStyle w:val="Default"/>
              <w:rPr>
                <w:rFonts w:ascii="Times New Roman" w:hAnsi="Times New Roman" w:cs="Times New Roman"/>
                <w:b w:val="0"/>
                <w:color w:val="auto"/>
                <w:sz w:val="20"/>
                <w:szCs w:val="20"/>
              </w:rPr>
            </w:pPr>
            <w:r>
              <w:rPr>
                <w:rFonts w:ascii="Times New Roman" w:hAnsi="Times New Roman" w:cs="Times New Roman"/>
                <w:b w:val="0"/>
                <w:color w:val="auto"/>
                <w:sz w:val="20"/>
                <w:szCs w:val="20"/>
              </w:rPr>
              <w:t>Commenter</w:t>
            </w:r>
            <w:r w:rsidRPr="000F653F">
              <w:rPr>
                <w:rFonts w:ascii="Times New Roman" w:hAnsi="Times New Roman" w:cs="Times New Roman"/>
                <w:b w:val="0"/>
                <w:color w:val="auto"/>
                <w:sz w:val="20"/>
                <w:szCs w:val="20"/>
              </w:rPr>
              <w:t xml:space="preserve"> recommends CMS evaluate policies that are disproportionately contributing to the appeals backlog and adjust the language to meet the intent of the requirement by allowing for some flexibility. For example, if the intent of the proof of delivery is to prove a beneficiary has received equipment or supplies, allow the date of service to be flexible, so long as the date of service falls on or after the delivery date, except in the 3 instance of delivering to a hospital in anticipate of discharge, for these types of deliveries flexibility should be allowed dependent on the actual date of discharge. Allow suppliers to submit other types of proof with an audit that demonstrates the beneficiary received the goods or services. </w:t>
            </w:r>
          </w:p>
          <w:p w:rsidR="000F653F" w:rsidRDefault="000F653F" w:rsidP="000F653F">
            <w:pPr>
              <w:pStyle w:val="Default"/>
              <w:rPr>
                <w:rFonts w:ascii="Times New Roman" w:hAnsi="Times New Roman" w:cs="Times New Roman"/>
                <w:b w:val="0"/>
                <w:color w:val="auto"/>
                <w:sz w:val="20"/>
                <w:szCs w:val="20"/>
              </w:rPr>
            </w:pPr>
          </w:p>
          <w:p w:rsidR="000F653F" w:rsidRPr="000F653F" w:rsidRDefault="000F653F" w:rsidP="000F653F">
            <w:pPr>
              <w:pStyle w:val="Default"/>
              <w:rPr>
                <w:rFonts w:ascii="Times New Roman" w:hAnsi="Times New Roman" w:cs="Times New Roman"/>
                <w:b w:val="0"/>
                <w:color w:val="auto"/>
                <w:sz w:val="20"/>
                <w:szCs w:val="20"/>
              </w:rPr>
            </w:pPr>
            <w:r>
              <w:rPr>
                <w:rFonts w:ascii="Times New Roman" w:hAnsi="Times New Roman" w:cs="Times New Roman"/>
                <w:b w:val="0"/>
                <w:color w:val="auto"/>
                <w:sz w:val="20"/>
                <w:szCs w:val="20"/>
              </w:rPr>
              <w:t>Commenter recommends, t</w:t>
            </w:r>
            <w:r w:rsidRPr="000F653F">
              <w:rPr>
                <w:rFonts w:ascii="Times New Roman" w:hAnsi="Times New Roman" w:cs="Times New Roman"/>
                <w:b w:val="0"/>
                <w:color w:val="auto"/>
                <w:sz w:val="20"/>
                <w:szCs w:val="20"/>
              </w:rPr>
              <w:t xml:space="preserve">o assist with determining regulations that need to be evaluated, CMS should track the volume and types of technical denials that are overturned at the QIC. </w:t>
            </w:r>
          </w:p>
          <w:p w:rsidR="0084032D" w:rsidRPr="000F653F" w:rsidRDefault="0084032D" w:rsidP="000F653F">
            <w:pPr>
              <w:rPr>
                <w:rFonts w:ascii="Times New Roman" w:hAnsi="Times New Roman" w:cs="Times New Roman"/>
                <w:b w:val="0"/>
              </w:rPr>
            </w:pPr>
          </w:p>
        </w:tc>
        <w:tc>
          <w:tcPr>
            <w:tcW w:w="6755" w:type="dxa"/>
          </w:tcPr>
          <w:p w:rsidR="004557A7"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557A7" w:rsidRDefault="00C7653A"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CMS has considered the feedback provided</w:t>
            </w:r>
            <w:r w:rsidR="00920E20">
              <w:rPr>
                <w:rFonts w:ascii="Times New Roman" w:hAnsi="Times New Roman" w:cs="Times New Roman"/>
              </w:rPr>
              <w:t>. H</w:t>
            </w:r>
            <w:r w:rsidR="009335C3">
              <w:rPr>
                <w:rFonts w:ascii="Times New Roman" w:hAnsi="Times New Roman" w:cs="Times New Roman"/>
              </w:rPr>
              <w:t>owever the feedback is outside the current scope of this data collection effort. CMS would like to note that</w:t>
            </w:r>
            <w:r w:rsidR="004557A7">
              <w:rPr>
                <w:rFonts w:ascii="Times New Roman" w:hAnsi="Times New Roman" w:cs="Times New Roman"/>
              </w:rPr>
              <w:t xml:space="preserve"> </w:t>
            </w:r>
            <w:r w:rsidR="004557A7" w:rsidRPr="00C15DCE">
              <w:rPr>
                <w:rFonts w:ascii="Times New Roman" w:hAnsi="Times New Roman" w:cs="Times New Roman"/>
              </w:rPr>
              <w:t xml:space="preserve">the </w:t>
            </w:r>
            <w:r w:rsidR="004557A7">
              <w:rPr>
                <w:rFonts w:ascii="Times New Roman" w:hAnsi="Times New Roman" w:cs="Times New Roman"/>
              </w:rPr>
              <w:lastRenderedPageBreak/>
              <w:t>purpose of the data collection effort under this PRA package is to provide data to support analysis of the effectiveness of the Medical Appeals Demonstration to Conduct Formal</w:t>
            </w:r>
            <w:r w:rsidR="00425D8D">
              <w:rPr>
                <w:rFonts w:ascii="Times New Roman" w:hAnsi="Times New Roman" w:cs="Times New Roman"/>
              </w:rPr>
              <w:t xml:space="preserve"> Telephone</w:t>
            </w:r>
            <w:r w:rsidR="004557A7">
              <w:rPr>
                <w:rFonts w:ascii="Times New Roman" w:hAnsi="Times New Roman" w:cs="Times New Roman"/>
              </w:rPr>
              <w:t xml:space="preserve"> Discussions with </w:t>
            </w:r>
            <w:r w:rsidR="00920E20">
              <w:rPr>
                <w:rFonts w:ascii="Times New Roman" w:hAnsi="Times New Roman" w:cs="Times New Roman"/>
              </w:rPr>
              <w:t>S</w:t>
            </w:r>
            <w:r w:rsidR="004557A7">
              <w:rPr>
                <w:rFonts w:ascii="Times New Roman" w:hAnsi="Times New Roman" w:cs="Times New Roman"/>
              </w:rPr>
              <w:t>uppliers</w:t>
            </w:r>
            <w:r w:rsidR="00920E20">
              <w:rPr>
                <w:rFonts w:ascii="Times New Roman" w:hAnsi="Times New Roman" w:cs="Times New Roman"/>
              </w:rPr>
              <w:t>,</w:t>
            </w:r>
            <w:r w:rsidR="004557A7">
              <w:rPr>
                <w:rFonts w:ascii="Times New Roman" w:hAnsi="Times New Roman" w:cs="Times New Roman"/>
              </w:rPr>
              <w:t xml:space="preserve"> and to determine whether further engagement between suppliers and the QIC improves</w:t>
            </w:r>
            <w:r w:rsidR="00920E20">
              <w:rPr>
                <w:rFonts w:ascii="Times New Roman" w:hAnsi="Times New Roman" w:cs="Times New Roman"/>
              </w:rPr>
              <w:t xml:space="preserve"> suppliers’</w:t>
            </w:r>
            <w:r w:rsidR="004557A7">
              <w:rPr>
                <w:rFonts w:ascii="Times New Roman" w:hAnsi="Times New Roman" w:cs="Times New Roman"/>
              </w:rPr>
              <w:t xml:space="preserve"> understanding of the reasons for claim</w:t>
            </w:r>
            <w:r w:rsidR="00920E20">
              <w:rPr>
                <w:rFonts w:ascii="Times New Roman" w:hAnsi="Times New Roman" w:cs="Times New Roman"/>
              </w:rPr>
              <w:t xml:space="preserve"> denial</w:t>
            </w:r>
            <w:r w:rsidR="004557A7">
              <w:rPr>
                <w:rFonts w:ascii="Times New Roman" w:hAnsi="Times New Roman" w:cs="Times New Roman"/>
              </w:rPr>
              <w:t>s</w:t>
            </w:r>
            <w:r w:rsidR="00920E20">
              <w:rPr>
                <w:rFonts w:ascii="Times New Roman" w:hAnsi="Times New Roman" w:cs="Times New Roman"/>
              </w:rPr>
              <w:t>,</w:t>
            </w:r>
            <w:r w:rsidR="004557A7">
              <w:rPr>
                <w:rFonts w:ascii="Times New Roman" w:hAnsi="Times New Roman" w:cs="Times New Roman"/>
              </w:rPr>
              <w:t xml:space="preserve"> and over time</w:t>
            </w:r>
            <w:r w:rsidR="00920E20">
              <w:rPr>
                <w:rFonts w:ascii="Times New Roman" w:hAnsi="Times New Roman" w:cs="Times New Roman"/>
              </w:rPr>
              <w:t xml:space="preserve"> will</w:t>
            </w:r>
            <w:r w:rsidR="004557A7">
              <w:rPr>
                <w:rFonts w:ascii="Times New Roman" w:hAnsi="Times New Roman" w:cs="Times New Roman"/>
              </w:rPr>
              <w:t xml:space="preserve"> result in more proper claims submissions from suppliers participating in the demonstration.  </w:t>
            </w:r>
          </w:p>
          <w:p w:rsidR="004557A7"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557A7" w:rsidRPr="0097621D"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dxa"/>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621D">
              <w:rPr>
                <w:rFonts w:ascii="Times New Roman" w:hAnsi="Times New Roman" w:cs="Times New Roman"/>
              </w:rPr>
              <w:lastRenderedPageBreak/>
              <w:t>N</w:t>
            </w:r>
          </w:p>
        </w:tc>
        <w:tc>
          <w:tcPr>
            <w:tcW w:w="1610" w:type="dxa"/>
          </w:tcPr>
          <w:p w:rsidR="0084032D" w:rsidRPr="0097621D" w:rsidRDefault="0084032D" w:rsidP="00CE26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621D">
              <w:rPr>
                <w:rFonts w:ascii="Times New Roman" w:hAnsi="Times New Roman" w:cs="Times New Roman"/>
              </w:rPr>
              <w:t>N</w:t>
            </w:r>
          </w:p>
        </w:tc>
      </w:tr>
      <w:tr w:rsidR="004557A7" w:rsidRPr="0097621D" w:rsidTr="004557A7">
        <w:trPr>
          <w:jc w:val="center"/>
        </w:trPr>
        <w:tc>
          <w:tcPr>
            <w:cnfStyle w:val="001000000000" w:firstRow="0" w:lastRow="0" w:firstColumn="1" w:lastColumn="0" w:oddVBand="0" w:evenVBand="0" w:oddHBand="0" w:evenHBand="0" w:firstRowFirstColumn="0" w:firstRowLastColumn="0" w:lastRowFirstColumn="0" w:lastRowLastColumn="0"/>
            <w:tcW w:w="5035" w:type="dxa"/>
            <w:vAlign w:val="center"/>
          </w:tcPr>
          <w:p w:rsidR="004557A7" w:rsidRDefault="004557A7" w:rsidP="004557A7">
            <w:pPr>
              <w:pStyle w:val="Default"/>
              <w:rPr>
                <w:rFonts w:ascii="Times New Roman" w:hAnsi="Times New Roman" w:cs="Times New Roman"/>
                <w:color w:val="auto"/>
                <w:sz w:val="20"/>
                <w:szCs w:val="20"/>
              </w:rPr>
            </w:pPr>
          </w:p>
          <w:p w:rsidR="004557A7" w:rsidRDefault="004557A7" w:rsidP="004557A7">
            <w:pPr>
              <w:pStyle w:val="Default"/>
              <w:rPr>
                <w:rFonts w:ascii="Times New Roman" w:hAnsi="Times New Roman" w:cs="Times New Roman"/>
                <w:color w:val="auto"/>
                <w:sz w:val="20"/>
                <w:szCs w:val="20"/>
              </w:rPr>
            </w:pPr>
            <w:r w:rsidRPr="000F653F">
              <w:rPr>
                <w:rFonts w:ascii="Times New Roman" w:hAnsi="Times New Roman" w:cs="Times New Roman"/>
                <w:color w:val="auto"/>
                <w:sz w:val="20"/>
                <w:szCs w:val="20"/>
              </w:rPr>
              <w:t>Discussion at First Level of Appeals</w:t>
            </w:r>
            <w:r>
              <w:rPr>
                <w:rFonts w:ascii="Times New Roman" w:hAnsi="Times New Roman" w:cs="Times New Roman"/>
                <w:color w:val="auto"/>
                <w:sz w:val="20"/>
                <w:szCs w:val="20"/>
              </w:rPr>
              <w:t>:</w:t>
            </w:r>
          </w:p>
          <w:p w:rsidR="004557A7" w:rsidRDefault="004557A7" w:rsidP="004557A7">
            <w:pPr>
              <w:pStyle w:val="Default"/>
              <w:rPr>
                <w:rFonts w:ascii="Times New Roman" w:hAnsi="Times New Roman" w:cs="Times New Roman"/>
                <w:b w:val="0"/>
                <w:color w:val="auto"/>
                <w:sz w:val="20"/>
                <w:szCs w:val="20"/>
              </w:rPr>
            </w:pPr>
            <w:r>
              <w:rPr>
                <w:rFonts w:ascii="Times New Roman" w:hAnsi="Times New Roman" w:cs="Times New Roman"/>
                <w:b w:val="0"/>
                <w:color w:val="auto"/>
                <w:sz w:val="20"/>
                <w:szCs w:val="20"/>
              </w:rPr>
              <w:t>Commenter</w:t>
            </w:r>
            <w:r w:rsidRPr="000F653F">
              <w:rPr>
                <w:rFonts w:ascii="Times New Roman" w:hAnsi="Times New Roman" w:cs="Times New Roman"/>
                <w:b w:val="0"/>
                <w:color w:val="auto"/>
                <w:sz w:val="20"/>
                <w:szCs w:val="20"/>
              </w:rPr>
              <w:t xml:space="preserve"> recommends CMS institute a discussion opportunity at the first level of appeal. Affording suppliers the opportunity to speak directly with the nurse reviewer </w:t>
            </w:r>
            <w:r w:rsidRPr="000F653F">
              <w:rPr>
                <w:rFonts w:ascii="Times New Roman" w:hAnsi="Times New Roman" w:cs="Times New Roman"/>
                <w:b w:val="0"/>
                <w:color w:val="auto"/>
                <w:sz w:val="20"/>
                <w:szCs w:val="20"/>
              </w:rPr>
              <w:lastRenderedPageBreak/>
              <w:t xml:space="preserve">that is auditing the claim will not only be an educational opportunity for both suppliers and contractors, but it will also be economical for the program as a whole. It will reduce wait times, reduce administrative costs, and will give suppliers the opportunity to speak directly with the reviewer that is evaluating the documentation. </w:t>
            </w:r>
          </w:p>
          <w:p w:rsidR="004557A7" w:rsidRDefault="004557A7" w:rsidP="004557A7">
            <w:pPr>
              <w:pStyle w:val="Default"/>
              <w:rPr>
                <w:rFonts w:ascii="Times New Roman" w:hAnsi="Times New Roman" w:cs="Times New Roman"/>
                <w:b w:val="0"/>
                <w:color w:val="auto"/>
                <w:sz w:val="20"/>
                <w:szCs w:val="20"/>
              </w:rPr>
            </w:pPr>
          </w:p>
          <w:p w:rsidR="004557A7" w:rsidRDefault="004557A7" w:rsidP="004557A7">
            <w:pPr>
              <w:pStyle w:val="Default"/>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Commenter believes </w:t>
            </w:r>
            <w:r w:rsidRPr="000F653F">
              <w:rPr>
                <w:rFonts w:ascii="Times New Roman" w:hAnsi="Times New Roman" w:cs="Times New Roman"/>
                <w:b w:val="0"/>
                <w:color w:val="auto"/>
                <w:sz w:val="20"/>
                <w:szCs w:val="20"/>
              </w:rPr>
              <w:t xml:space="preserve">instituting a discussion at the first level of appeal will enable CMS to significantly reduce the backlog at Office of Medicare Hearings and Appeals (OMHA). </w:t>
            </w:r>
          </w:p>
          <w:p w:rsidR="004557A7" w:rsidRPr="000F653F" w:rsidRDefault="004557A7" w:rsidP="004557A7">
            <w:pPr>
              <w:pStyle w:val="Default"/>
              <w:rPr>
                <w:rFonts w:ascii="Times New Roman" w:hAnsi="Times New Roman" w:cs="Times New Roman"/>
                <w:b w:val="0"/>
                <w:sz w:val="20"/>
              </w:rPr>
            </w:pPr>
          </w:p>
        </w:tc>
        <w:tc>
          <w:tcPr>
            <w:tcW w:w="6755" w:type="dxa"/>
          </w:tcPr>
          <w:p w:rsidR="004557A7"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557A7"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CMS has considered the recommendation to institute a similar opportunity for discussions at </w:t>
            </w:r>
            <w:r w:rsidR="00224AA1">
              <w:rPr>
                <w:rFonts w:ascii="Times New Roman" w:hAnsi="Times New Roman" w:cs="Times New Roman"/>
              </w:rPr>
              <w:t>the MAC level</w:t>
            </w:r>
            <w:r w:rsidR="00920E20">
              <w:rPr>
                <w:rFonts w:ascii="Times New Roman" w:hAnsi="Times New Roman" w:cs="Times New Roman"/>
              </w:rPr>
              <w:t>. H</w:t>
            </w:r>
            <w:r w:rsidR="00224AA1">
              <w:rPr>
                <w:rFonts w:ascii="Times New Roman" w:hAnsi="Times New Roman" w:cs="Times New Roman"/>
              </w:rPr>
              <w:t>owever,</w:t>
            </w:r>
            <w:r w:rsidR="009335C3">
              <w:rPr>
                <w:rFonts w:ascii="Times New Roman" w:hAnsi="Times New Roman" w:cs="Times New Roman"/>
              </w:rPr>
              <w:t xml:space="preserve"> this recommendation is outside the current scope of this data collection effort.</w:t>
            </w:r>
            <w:r w:rsidR="00224AA1">
              <w:rPr>
                <w:rFonts w:ascii="Times New Roman" w:hAnsi="Times New Roman" w:cs="Times New Roman"/>
              </w:rPr>
              <w:t xml:space="preserve"> CMS would like to note that</w:t>
            </w:r>
            <w:r>
              <w:rPr>
                <w:rFonts w:ascii="Times New Roman" w:hAnsi="Times New Roman" w:cs="Times New Roman"/>
              </w:rPr>
              <w:t xml:space="preserve"> </w:t>
            </w:r>
            <w:r w:rsidRPr="00C15DCE">
              <w:rPr>
                <w:rFonts w:ascii="Times New Roman" w:hAnsi="Times New Roman" w:cs="Times New Roman"/>
              </w:rPr>
              <w:t xml:space="preserve">the </w:t>
            </w:r>
            <w:r>
              <w:rPr>
                <w:rFonts w:ascii="Times New Roman" w:hAnsi="Times New Roman" w:cs="Times New Roman"/>
              </w:rPr>
              <w:t xml:space="preserve">purpose of the data collection effort under this PRA package is to provide data to </w:t>
            </w:r>
            <w:r>
              <w:rPr>
                <w:rFonts w:ascii="Times New Roman" w:hAnsi="Times New Roman" w:cs="Times New Roman"/>
              </w:rPr>
              <w:lastRenderedPageBreak/>
              <w:t>support analysis of the effectiveness of the Medical Appeals Demonstration to Conduct Formal Discussions with Suppliers</w:t>
            </w:r>
            <w:r w:rsidR="00920E20">
              <w:rPr>
                <w:rFonts w:ascii="Times New Roman" w:hAnsi="Times New Roman" w:cs="Times New Roman"/>
              </w:rPr>
              <w:t>,</w:t>
            </w:r>
            <w:r>
              <w:rPr>
                <w:rFonts w:ascii="Times New Roman" w:hAnsi="Times New Roman" w:cs="Times New Roman"/>
              </w:rPr>
              <w:t xml:space="preserve"> and to determine whether further engagement between suppliers and the QIC improves </w:t>
            </w:r>
            <w:r w:rsidR="00920E20">
              <w:rPr>
                <w:rFonts w:ascii="Times New Roman" w:hAnsi="Times New Roman" w:cs="Times New Roman"/>
              </w:rPr>
              <w:t xml:space="preserve">suppliers’ </w:t>
            </w:r>
            <w:r>
              <w:rPr>
                <w:rFonts w:ascii="Times New Roman" w:hAnsi="Times New Roman" w:cs="Times New Roman"/>
              </w:rPr>
              <w:t>understanding of the reasons for claim</w:t>
            </w:r>
            <w:r w:rsidR="00920E20">
              <w:rPr>
                <w:rFonts w:ascii="Times New Roman" w:hAnsi="Times New Roman" w:cs="Times New Roman"/>
              </w:rPr>
              <w:t xml:space="preserve"> denial</w:t>
            </w:r>
            <w:r>
              <w:rPr>
                <w:rFonts w:ascii="Times New Roman" w:hAnsi="Times New Roman" w:cs="Times New Roman"/>
              </w:rPr>
              <w:t>s</w:t>
            </w:r>
            <w:r w:rsidR="00920E20">
              <w:rPr>
                <w:rFonts w:ascii="Times New Roman" w:hAnsi="Times New Roman" w:cs="Times New Roman"/>
              </w:rPr>
              <w:t>,</w:t>
            </w:r>
            <w:r>
              <w:rPr>
                <w:rFonts w:ascii="Times New Roman" w:hAnsi="Times New Roman" w:cs="Times New Roman"/>
              </w:rPr>
              <w:t xml:space="preserve"> and over time</w:t>
            </w:r>
            <w:r w:rsidR="00920E20">
              <w:rPr>
                <w:rFonts w:ascii="Times New Roman" w:hAnsi="Times New Roman" w:cs="Times New Roman"/>
              </w:rPr>
              <w:t xml:space="preserve"> will</w:t>
            </w:r>
            <w:r>
              <w:rPr>
                <w:rFonts w:ascii="Times New Roman" w:hAnsi="Times New Roman" w:cs="Times New Roman"/>
              </w:rPr>
              <w:t xml:space="preserve"> result in more proper claims submissions from suppliers participating in the demonstration.  </w:t>
            </w:r>
          </w:p>
          <w:p w:rsidR="004557A7"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557A7" w:rsidRPr="0097621D"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dxa"/>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0" w:type="dxa"/>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557A7" w:rsidRPr="0097621D" w:rsidTr="004557A7">
        <w:trPr>
          <w:jc w:val="center"/>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vAlign w:val="center"/>
          </w:tcPr>
          <w:p w:rsidR="004557A7" w:rsidRPr="000F653F" w:rsidRDefault="004557A7" w:rsidP="00224AA1">
            <w:pPr>
              <w:pStyle w:val="Default"/>
              <w:jc w:val="center"/>
              <w:rPr>
                <w:rFonts w:ascii="Times New Roman" w:hAnsi="Times New Roman" w:cs="Times New Roman"/>
                <w:color w:val="auto"/>
                <w:sz w:val="20"/>
                <w:szCs w:val="20"/>
              </w:rPr>
            </w:pPr>
            <w:r>
              <w:rPr>
                <w:rFonts w:ascii="Times New Roman" w:hAnsi="Times New Roman" w:cs="Times New Roman"/>
                <w:sz w:val="20"/>
                <w:szCs w:val="20"/>
              </w:rPr>
              <w:t xml:space="preserve">PRA </w:t>
            </w:r>
            <w:r w:rsidR="00224AA1">
              <w:rPr>
                <w:rFonts w:ascii="Times New Roman" w:hAnsi="Times New Roman" w:cs="Times New Roman"/>
                <w:sz w:val="20"/>
                <w:szCs w:val="20"/>
              </w:rPr>
              <w:t>Notice</w:t>
            </w:r>
          </w:p>
        </w:tc>
        <w:tc>
          <w:tcPr>
            <w:tcW w:w="6755" w:type="dxa"/>
            <w:shd w:val="clear" w:color="auto" w:fill="F2F2F2" w:themeFill="background1" w:themeFillShade="F2"/>
            <w:vAlign w:val="center"/>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dxa"/>
            <w:shd w:val="clear" w:color="auto" w:fill="F2F2F2" w:themeFill="background1" w:themeFillShade="F2"/>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0" w:type="dxa"/>
            <w:shd w:val="clear" w:color="auto" w:fill="F2F2F2" w:themeFill="background1" w:themeFillShade="F2"/>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557A7" w:rsidRPr="0097621D" w:rsidTr="004557A7">
        <w:trPr>
          <w:jc w:val="center"/>
        </w:trPr>
        <w:tc>
          <w:tcPr>
            <w:cnfStyle w:val="001000000000" w:firstRow="0" w:lastRow="0" w:firstColumn="1" w:lastColumn="0" w:oddVBand="0" w:evenVBand="0" w:oddHBand="0" w:evenHBand="0" w:firstRowFirstColumn="0" w:firstRowLastColumn="0" w:lastRowFirstColumn="0" w:lastRowLastColumn="0"/>
            <w:tcW w:w="5035" w:type="dxa"/>
            <w:vAlign w:val="center"/>
          </w:tcPr>
          <w:p w:rsidR="004557A7" w:rsidRDefault="004557A7" w:rsidP="004557A7">
            <w:pPr>
              <w:pStyle w:val="Default"/>
              <w:rPr>
                <w:rFonts w:ascii="Times New Roman" w:hAnsi="Times New Roman" w:cs="Times New Roman"/>
                <w:color w:val="auto"/>
                <w:sz w:val="20"/>
                <w:szCs w:val="20"/>
              </w:rPr>
            </w:pPr>
            <w:r w:rsidRPr="000F653F">
              <w:rPr>
                <w:rFonts w:ascii="Times New Roman" w:hAnsi="Times New Roman" w:cs="Times New Roman"/>
                <w:color w:val="auto"/>
                <w:sz w:val="20"/>
                <w:szCs w:val="20"/>
              </w:rPr>
              <w:t>Wording in The Notice Should Be Clarified:</w:t>
            </w:r>
          </w:p>
          <w:p w:rsidR="004557A7" w:rsidRPr="000F653F" w:rsidRDefault="004557A7" w:rsidP="004557A7">
            <w:pPr>
              <w:pStyle w:val="Default"/>
              <w:rPr>
                <w:rFonts w:ascii="Times New Roman" w:hAnsi="Times New Roman" w:cs="Times New Roman"/>
                <w:color w:val="auto"/>
                <w:sz w:val="20"/>
                <w:szCs w:val="20"/>
              </w:rPr>
            </w:pPr>
          </w:p>
          <w:p w:rsidR="004557A7" w:rsidRPr="000F653F" w:rsidRDefault="004557A7" w:rsidP="004557A7">
            <w:pPr>
              <w:pStyle w:val="Default"/>
              <w:rPr>
                <w:rFonts w:ascii="Times New Roman" w:hAnsi="Times New Roman" w:cs="Times New Roman"/>
                <w:b w:val="0"/>
                <w:color w:val="auto"/>
                <w:sz w:val="20"/>
                <w:szCs w:val="20"/>
              </w:rPr>
            </w:pPr>
            <w:r w:rsidRPr="000F653F">
              <w:rPr>
                <w:rFonts w:ascii="Times New Roman" w:hAnsi="Times New Roman" w:cs="Times New Roman"/>
                <w:b w:val="0"/>
                <w:color w:val="auto"/>
                <w:sz w:val="20"/>
                <w:szCs w:val="20"/>
              </w:rPr>
              <w:t xml:space="preserve">The notice for the comment request states: </w:t>
            </w:r>
          </w:p>
          <w:p w:rsidR="004557A7" w:rsidRDefault="004557A7" w:rsidP="004557A7">
            <w:pPr>
              <w:pStyle w:val="Default"/>
              <w:rPr>
                <w:rFonts w:ascii="Times New Roman" w:hAnsi="Times New Roman" w:cs="Times New Roman"/>
                <w:b w:val="0"/>
                <w:i/>
                <w:iCs/>
                <w:color w:val="auto"/>
                <w:sz w:val="20"/>
                <w:szCs w:val="20"/>
              </w:rPr>
            </w:pPr>
            <w:r w:rsidRPr="000F653F">
              <w:rPr>
                <w:rFonts w:ascii="Times New Roman" w:hAnsi="Times New Roman" w:cs="Times New Roman"/>
                <w:b w:val="0"/>
                <w:i/>
                <w:iCs/>
                <w:color w:val="auto"/>
                <w:sz w:val="20"/>
                <w:szCs w:val="20"/>
              </w:rPr>
              <w:t xml:space="preserve">“…and (3) support CMS in assessing the QIC's effectiveness in meeting a number of criteria established by CMS, including how satisfied participating suppliers were with the formal telephone discussion process.” </w:t>
            </w:r>
          </w:p>
          <w:p w:rsidR="004557A7" w:rsidRPr="000F653F" w:rsidRDefault="004557A7" w:rsidP="004557A7">
            <w:pPr>
              <w:pStyle w:val="Default"/>
              <w:rPr>
                <w:rFonts w:ascii="Times New Roman" w:hAnsi="Times New Roman" w:cs="Times New Roman"/>
                <w:b w:val="0"/>
                <w:color w:val="auto"/>
                <w:sz w:val="20"/>
                <w:szCs w:val="20"/>
              </w:rPr>
            </w:pPr>
          </w:p>
          <w:p w:rsidR="004557A7" w:rsidRPr="000F653F" w:rsidRDefault="004557A7" w:rsidP="004557A7">
            <w:pPr>
              <w:pStyle w:val="Default"/>
              <w:rPr>
                <w:rFonts w:ascii="Times New Roman" w:hAnsi="Times New Roman" w:cs="Times New Roman"/>
                <w:b w:val="0"/>
                <w:color w:val="auto"/>
                <w:sz w:val="20"/>
                <w:szCs w:val="20"/>
              </w:rPr>
            </w:pPr>
            <w:r w:rsidRPr="000F653F">
              <w:rPr>
                <w:rFonts w:ascii="Times New Roman" w:hAnsi="Times New Roman" w:cs="Times New Roman"/>
                <w:b w:val="0"/>
                <w:color w:val="auto"/>
                <w:sz w:val="20"/>
                <w:szCs w:val="20"/>
              </w:rPr>
              <w:t xml:space="preserve">The term “participating suppliers” can be referred to Medicare participation status, which may confuse some readers. We recommend to change the sentence to read: </w:t>
            </w:r>
          </w:p>
          <w:p w:rsidR="004557A7" w:rsidRPr="000F653F" w:rsidRDefault="004557A7" w:rsidP="004557A7">
            <w:pPr>
              <w:pStyle w:val="Default"/>
              <w:rPr>
                <w:rFonts w:ascii="Times New Roman" w:hAnsi="Times New Roman" w:cs="Times New Roman"/>
                <w:b w:val="0"/>
                <w:color w:val="auto"/>
                <w:sz w:val="20"/>
                <w:szCs w:val="20"/>
              </w:rPr>
            </w:pPr>
            <w:r w:rsidRPr="000F653F">
              <w:rPr>
                <w:rFonts w:ascii="Times New Roman" w:hAnsi="Times New Roman" w:cs="Times New Roman"/>
                <w:b w:val="0"/>
                <w:i/>
                <w:iCs/>
                <w:color w:val="auto"/>
                <w:sz w:val="20"/>
                <w:szCs w:val="20"/>
              </w:rPr>
              <w:t xml:space="preserve">“…and (3) support CMS in assessing the QIC's effectiveness in meeting a number of criteria established by CMS, including how satisfied suppliers participating in the formal telephone discussion process were.” </w:t>
            </w:r>
          </w:p>
          <w:p w:rsidR="004557A7" w:rsidRPr="000F653F" w:rsidRDefault="004557A7" w:rsidP="004557A7">
            <w:pPr>
              <w:pStyle w:val="Default"/>
              <w:rPr>
                <w:rFonts w:ascii="Times New Roman" w:hAnsi="Times New Roman" w:cs="Times New Roman"/>
                <w:color w:val="auto"/>
                <w:sz w:val="20"/>
                <w:szCs w:val="20"/>
              </w:rPr>
            </w:pPr>
          </w:p>
        </w:tc>
        <w:tc>
          <w:tcPr>
            <w:tcW w:w="6755" w:type="dxa"/>
          </w:tcPr>
          <w:p w:rsidR="004557A7" w:rsidRPr="0097621D" w:rsidRDefault="004557A7" w:rsidP="004557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CMS concurs with the recommended changes and will update the notic</w:t>
            </w:r>
            <w:r w:rsidR="009335C3">
              <w:rPr>
                <w:rFonts w:ascii="Times New Roman" w:hAnsi="Times New Roman" w:cs="Times New Roman"/>
              </w:rPr>
              <w:t>e to reflect the recommendation</w:t>
            </w:r>
            <w:r>
              <w:rPr>
                <w:rFonts w:ascii="Times New Roman" w:hAnsi="Times New Roman" w:cs="Times New Roman"/>
              </w:rPr>
              <w:t>.</w:t>
            </w:r>
          </w:p>
        </w:tc>
        <w:tc>
          <w:tcPr>
            <w:tcW w:w="1000" w:type="dxa"/>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w:t>
            </w:r>
          </w:p>
        </w:tc>
        <w:tc>
          <w:tcPr>
            <w:tcW w:w="1610" w:type="dxa"/>
          </w:tcPr>
          <w:p w:rsidR="004557A7" w:rsidRPr="0097621D" w:rsidRDefault="004557A7" w:rsidP="004557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r>
    </w:tbl>
    <w:p w:rsidR="00F330D3" w:rsidRDefault="00F330D3" w:rsidP="00155E7B">
      <w:pPr>
        <w:kinsoku w:val="0"/>
        <w:overflowPunct w:val="0"/>
        <w:autoSpaceDE w:val="0"/>
        <w:autoSpaceDN w:val="0"/>
        <w:adjustRightInd w:val="0"/>
        <w:rPr>
          <w:rFonts w:ascii="Times New Roman" w:hAnsi="Times New Roman" w:cs="Times New Roman"/>
          <w:bCs/>
          <w:sz w:val="24"/>
          <w:szCs w:val="24"/>
        </w:rPr>
      </w:pPr>
    </w:p>
    <w:sectPr w:rsidR="00F330D3" w:rsidSect="00C15D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A7762"/>
    <w:multiLevelType w:val="hybridMultilevel"/>
    <w:tmpl w:val="9660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207989"/>
    <w:multiLevelType w:val="hybridMultilevel"/>
    <w:tmpl w:val="82E0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306D8"/>
    <w:multiLevelType w:val="hybridMultilevel"/>
    <w:tmpl w:val="1480E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7452AB"/>
    <w:multiLevelType w:val="hybridMultilevel"/>
    <w:tmpl w:val="0CD24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C2A41"/>
    <w:multiLevelType w:val="hybridMultilevel"/>
    <w:tmpl w:val="8FC60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0E0FE8"/>
    <w:multiLevelType w:val="hybridMultilevel"/>
    <w:tmpl w:val="3DAEC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7B"/>
    <w:rsid w:val="0000031F"/>
    <w:rsid w:val="000751C8"/>
    <w:rsid w:val="000B2FB1"/>
    <w:rsid w:val="000B34EE"/>
    <w:rsid w:val="000C5A38"/>
    <w:rsid w:val="000E28B7"/>
    <w:rsid w:val="000F653F"/>
    <w:rsid w:val="00103132"/>
    <w:rsid w:val="00155E7B"/>
    <w:rsid w:val="00182D83"/>
    <w:rsid w:val="001E546C"/>
    <w:rsid w:val="00224AA1"/>
    <w:rsid w:val="00243B28"/>
    <w:rsid w:val="002544FF"/>
    <w:rsid w:val="00272978"/>
    <w:rsid w:val="002F5CCB"/>
    <w:rsid w:val="002F65E5"/>
    <w:rsid w:val="00352263"/>
    <w:rsid w:val="003D00E5"/>
    <w:rsid w:val="00405A01"/>
    <w:rsid w:val="00425D8D"/>
    <w:rsid w:val="0044602D"/>
    <w:rsid w:val="004557A7"/>
    <w:rsid w:val="004604C4"/>
    <w:rsid w:val="005A7FD4"/>
    <w:rsid w:val="005D43B5"/>
    <w:rsid w:val="005F7B30"/>
    <w:rsid w:val="0069142B"/>
    <w:rsid w:val="006A47D2"/>
    <w:rsid w:val="006B7C4C"/>
    <w:rsid w:val="00707E4D"/>
    <w:rsid w:val="00736456"/>
    <w:rsid w:val="00810E7B"/>
    <w:rsid w:val="0084032D"/>
    <w:rsid w:val="008A35E5"/>
    <w:rsid w:val="008A5AFE"/>
    <w:rsid w:val="008C23A2"/>
    <w:rsid w:val="00920E20"/>
    <w:rsid w:val="009335C3"/>
    <w:rsid w:val="009650FA"/>
    <w:rsid w:val="00A155A5"/>
    <w:rsid w:val="00A2562D"/>
    <w:rsid w:val="00AA501E"/>
    <w:rsid w:val="00AC636E"/>
    <w:rsid w:val="00B132F8"/>
    <w:rsid w:val="00B848AB"/>
    <w:rsid w:val="00BC4494"/>
    <w:rsid w:val="00C15DCE"/>
    <w:rsid w:val="00C27D1A"/>
    <w:rsid w:val="00C7570B"/>
    <w:rsid w:val="00C7653A"/>
    <w:rsid w:val="00CA62C7"/>
    <w:rsid w:val="00CE2684"/>
    <w:rsid w:val="00CE45D4"/>
    <w:rsid w:val="00CE5618"/>
    <w:rsid w:val="00CE7DBA"/>
    <w:rsid w:val="00CF5E3D"/>
    <w:rsid w:val="00D609E7"/>
    <w:rsid w:val="00D61638"/>
    <w:rsid w:val="00D73B34"/>
    <w:rsid w:val="00DB1A8B"/>
    <w:rsid w:val="00E76B8D"/>
    <w:rsid w:val="00E8405A"/>
    <w:rsid w:val="00E9217E"/>
    <w:rsid w:val="00EC4688"/>
    <w:rsid w:val="00F330D3"/>
    <w:rsid w:val="00F6577E"/>
    <w:rsid w:val="00F669D0"/>
    <w:rsid w:val="00F77FC5"/>
    <w:rsid w:val="00F95E93"/>
    <w:rsid w:val="00FA1CE9"/>
    <w:rsid w:val="00FA3998"/>
    <w:rsid w:val="00FB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495BB4D-A89C-4E8A-984B-7AF1CE0B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E7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E7B"/>
    <w:rPr>
      <w:color w:val="0563C1" w:themeColor="hyperlink"/>
      <w:u w:val="single"/>
    </w:rPr>
  </w:style>
  <w:style w:type="paragraph" w:styleId="ListParagraph">
    <w:name w:val="List Paragraph"/>
    <w:basedOn w:val="Normal"/>
    <w:uiPriority w:val="34"/>
    <w:qFormat/>
    <w:rsid w:val="00155E7B"/>
    <w:pPr>
      <w:ind w:left="720"/>
      <w:contextualSpacing/>
    </w:pPr>
  </w:style>
  <w:style w:type="paragraph" w:styleId="NormalWeb">
    <w:name w:val="Normal (Web)"/>
    <w:basedOn w:val="Normal"/>
    <w:uiPriority w:val="99"/>
    <w:unhideWhenUsed/>
    <w:rsid w:val="00155E7B"/>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6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0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C636E"/>
    <w:rPr>
      <w:sz w:val="16"/>
      <w:szCs w:val="16"/>
    </w:rPr>
  </w:style>
  <w:style w:type="paragraph" w:styleId="CommentText">
    <w:name w:val="annotation text"/>
    <w:basedOn w:val="Normal"/>
    <w:link w:val="CommentTextChar"/>
    <w:uiPriority w:val="99"/>
    <w:semiHidden/>
    <w:unhideWhenUsed/>
    <w:rsid w:val="00AC636E"/>
  </w:style>
  <w:style w:type="character" w:customStyle="1" w:styleId="CommentTextChar">
    <w:name w:val="Comment Text Char"/>
    <w:basedOn w:val="DefaultParagraphFont"/>
    <w:link w:val="CommentText"/>
    <w:uiPriority w:val="99"/>
    <w:semiHidden/>
    <w:rsid w:val="00AC636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C636E"/>
    <w:rPr>
      <w:b/>
      <w:bCs/>
    </w:rPr>
  </w:style>
  <w:style w:type="character" w:customStyle="1" w:styleId="CommentSubjectChar">
    <w:name w:val="Comment Subject Char"/>
    <w:basedOn w:val="CommentTextChar"/>
    <w:link w:val="CommentSubject"/>
    <w:uiPriority w:val="99"/>
    <w:semiHidden/>
    <w:rsid w:val="00AC636E"/>
    <w:rPr>
      <w:rFonts w:ascii="Arial" w:eastAsia="Times New Roman" w:hAnsi="Arial" w:cs="Arial"/>
      <w:b/>
      <w:bCs/>
      <w:sz w:val="20"/>
      <w:szCs w:val="20"/>
    </w:rPr>
  </w:style>
  <w:style w:type="paragraph" w:customStyle="1" w:styleId="Default">
    <w:name w:val="Default"/>
    <w:rsid w:val="008A35E5"/>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8403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293339">
      <w:bodyDiv w:val="1"/>
      <w:marLeft w:val="0"/>
      <w:marRight w:val="0"/>
      <w:marTop w:val="0"/>
      <w:marBottom w:val="0"/>
      <w:divBdr>
        <w:top w:val="none" w:sz="0" w:space="0" w:color="auto"/>
        <w:left w:val="none" w:sz="0" w:space="0" w:color="auto"/>
        <w:bottom w:val="none" w:sz="0" w:space="0" w:color="auto"/>
        <w:right w:val="none" w:sz="0" w:space="0" w:color="auto"/>
      </w:divBdr>
    </w:div>
    <w:div w:id="1388526836">
      <w:bodyDiv w:val="1"/>
      <w:marLeft w:val="0"/>
      <w:marRight w:val="0"/>
      <w:marTop w:val="0"/>
      <w:marBottom w:val="0"/>
      <w:divBdr>
        <w:top w:val="none" w:sz="0" w:space="0" w:color="auto"/>
        <w:left w:val="none" w:sz="0" w:space="0" w:color="auto"/>
        <w:bottom w:val="none" w:sz="0" w:space="0" w:color="auto"/>
        <w:right w:val="none" w:sz="0" w:space="0" w:color="auto"/>
      </w:divBdr>
    </w:div>
    <w:div w:id="1557009433">
      <w:bodyDiv w:val="1"/>
      <w:marLeft w:val="0"/>
      <w:marRight w:val="0"/>
      <w:marTop w:val="0"/>
      <w:marBottom w:val="0"/>
      <w:divBdr>
        <w:top w:val="none" w:sz="0" w:space="0" w:color="auto"/>
        <w:left w:val="none" w:sz="0" w:space="0" w:color="auto"/>
        <w:bottom w:val="none" w:sz="0" w:space="0" w:color="auto"/>
        <w:right w:val="none" w:sz="0" w:space="0" w:color="auto"/>
      </w:divBdr>
    </w:div>
    <w:div w:id="18916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WHITE</dc:creator>
  <cp:keywords/>
  <dc:description/>
  <cp:lastModifiedBy>Lynnsie Doty</cp:lastModifiedBy>
  <cp:revision>3</cp:revision>
  <cp:lastPrinted>2017-03-13T12:47:00Z</cp:lastPrinted>
  <dcterms:created xsi:type="dcterms:W3CDTF">2017-03-13T19:29:00Z</dcterms:created>
  <dcterms:modified xsi:type="dcterms:W3CDTF">2017-03-14T12:51:00Z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-656307262</vt:i4>
  </property>
  <property fmtid="{D5CDD505-2E9C-101B-9397-08002B2CF9AE}" pid="3" name="_NewReviewCycle">
    <vt:lpwstr/>
  </property>
  <property fmtid="{D5CDD505-2E9C-101B-9397-08002B2CF9AE}" pid="4" name="_EmailSubject">
    <vt:lpwstr>PRA Package Resubmission</vt:lpwstr>
  </property>
  <property fmtid="{D5CDD505-2E9C-101B-9397-08002B2CF9AE}" pid="5" name="_AuthorEmail">
    <vt:lpwstr>Lynnsie.Doty@cms.hhs.gov</vt:lpwstr>
  </property>
  <property fmtid="{D5CDD505-2E9C-101B-9397-08002B2CF9AE}" pid="6" name="_AuthorEmailDisplayName">
    <vt:lpwstr>Doty, Lynnsie G. (CMS/CM)</vt:lpwstr>
  </property>
</Properties>
</file>