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BD" w:rsidRDefault="00765DA9" w:rsidP="00F11885">
      <w:pPr>
        <w:pStyle w:val="Heading1"/>
        <w:spacing w:before="37" w:line="322" w:lineRule="exact"/>
        <w:ind w:right="1125"/>
        <w:jc w:val="center"/>
        <w:rPr>
          <w:b w:val="0"/>
          <w:bCs w:val="0"/>
        </w:rPr>
      </w:pPr>
      <w:bookmarkStart w:id="0" w:name="_GoBack"/>
      <w:bookmarkEnd w:id="0"/>
      <w:r>
        <w:t>Attachment</w:t>
      </w:r>
      <w:r>
        <w:rPr>
          <w:spacing w:val="-2"/>
        </w:rPr>
        <w:t xml:space="preserve"> </w:t>
      </w:r>
      <w:r>
        <w:t>B</w:t>
      </w:r>
    </w:p>
    <w:p w:rsidR="00E443BD" w:rsidRDefault="00765DA9" w:rsidP="00F11885">
      <w:pPr>
        <w:ind w:left="1195" w:right="1125"/>
        <w:jc w:val="center"/>
        <w:rPr>
          <w:rFonts w:ascii="Times New Roman" w:eastAsia="Times New Roman" w:hAnsi="Times New Roman" w:cs="Times New Roman"/>
          <w:sz w:val="28"/>
          <w:szCs w:val="28"/>
        </w:rPr>
      </w:pPr>
      <w:r>
        <w:rPr>
          <w:rFonts w:ascii="Times New Roman"/>
          <w:b/>
          <w:sz w:val="28"/>
        </w:rPr>
        <w:t>The Need for Health Insurance Claim Numbers</w:t>
      </w:r>
      <w:r>
        <w:rPr>
          <w:rFonts w:ascii="Times New Roman"/>
          <w:b/>
          <w:spacing w:val="-15"/>
          <w:sz w:val="28"/>
        </w:rPr>
        <w:t xml:space="preserve"> </w:t>
      </w:r>
      <w:r>
        <w:rPr>
          <w:rFonts w:ascii="Times New Roman"/>
          <w:b/>
          <w:sz w:val="28"/>
        </w:rPr>
        <w:t>and/or Social Security</w:t>
      </w:r>
      <w:r>
        <w:rPr>
          <w:rFonts w:ascii="Times New Roman"/>
          <w:b/>
          <w:spacing w:val="-5"/>
          <w:sz w:val="28"/>
        </w:rPr>
        <w:t xml:space="preserve"> </w:t>
      </w:r>
      <w:r>
        <w:rPr>
          <w:rFonts w:ascii="Times New Roman"/>
          <w:b/>
          <w:sz w:val="28"/>
        </w:rPr>
        <w:t>Numbers</w:t>
      </w:r>
    </w:p>
    <w:p w:rsidR="00E443BD" w:rsidRDefault="00E443BD" w:rsidP="007E4A50">
      <w:pPr>
        <w:rPr>
          <w:rFonts w:ascii="Times New Roman" w:eastAsia="Times New Roman" w:hAnsi="Times New Roman" w:cs="Times New Roman"/>
          <w:b/>
          <w:bCs/>
          <w:sz w:val="28"/>
          <w:szCs w:val="28"/>
        </w:rPr>
      </w:pPr>
    </w:p>
    <w:p w:rsidR="00E443BD" w:rsidRDefault="00E443BD" w:rsidP="007E4A50">
      <w:pPr>
        <w:rPr>
          <w:rFonts w:ascii="Times New Roman" w:eastAsia="Times New Roman" w:hAnsi="Times New Roman" w:cs="Times New Roman"/>
          <w:b/>
          <w:bCs/>
          <w:sz w:val="28"/>
          <w:szCs w:val="28"/>
        </w:rPr>
      </w:pPr>
    </w:p>
    <w:p w:rsidR="00E443BD" w:rsidRDefault="00E443BD" w:rsidP="007E4A50">
      <w:pPr>
        <w:spacing w:before="7"/>
        <w:rPr>
          <w:rFonts w:ascii="Times New Roman" w:eastAsia="Times New Roman" w:hAnsi="Times New Roman" w:cs="Times New Roman"/>
          <w:b/>
          <w:bCs/>
          <w:sz w:val="23"/>
          <w:szCs w:val="23"/>
        </w:rPr>
      </w:pPr>
    </w:p>
    <w:p w:rsidR="00E443BD" w:rsidRDefault="00765DA9" w:rsidP="005500E8">
      <w:pPr>
        <w:pStyle w:val="BodyText"/>
        <w:ind w:left="0" w:right="119"/>
      </w:pPr>
      <w:r>
        <w:t>The Centers for Medicare &amp; Medicaid Services (CMS) seeks to collect various</w:t>
      </w:r>
      <w:r>
        <w:rPr>
          <w:spacing w:val="40"/>
        </w:rPr>
        <w:t xml:space="preserve"> </w:t>
      </w:r>
      <w:r>
        <w:t>data elements from the applicable reporting entities for purposes of implementing</w:t>
      </w:r>
      <w:r>
        <w:rPr>
          <w:spacing w:val="48"/>
        </w:rPr>
        <w:t xml:space="preserve"> </w:t>
      </w:r>
      <w:r>
        <w:t>the mandatory</w:t>
      </w:r>
      <w:r>
        <w:rPr>
          <w:spacing w:val="23"/>
        </w:rPr>
        <w:t xml:space="preserve"> </w:t>
      </w:r>
      <w:r>
        <w:t>Medicare</w:t>
      </w:r>
      <w:r>
        <w:rPr>
          <w:spacing w:val="26"/>
        </w:rPr>
        <w:t xml:space="preserve"> </w:t>
      </w:r>
      <w:r>
        <w:t>Secondary</w:t>
      </w:r>
      <w:r>
        <w:rPr>
          <w:spacing w:val="23"/>
        </w:rPr>
        <w:t xml:space="preserve"> </w:t>
      </w:r>
      <w:r>
        <w:t>Payer</w:t>
      </w:r>
      <w:r>
        <w:rPr>
          <w:spacing w:val="29"/>
        </w:rPr>
        <w:t xml:space="preserve"> </w:t>
      </w:r>
      <w:r>
        <w:t>(MSP)</w:t>
      </w:r>
      <w:r>
        <w:rPr>
          <w:spacing w:val="27"/>
        </w:rPr>
        <w:t xml:space="preserve"> </w:t>
      </w:r>
      <w:r>
        <w:t>reporting</w:t>
      </w:r>
      <w:r>
        <w:rPr>
          <w:spacing w:val="27"/>
        </w:rPr>
        <w:t xml:space="preserve"> </w:t>
      </w:r>
      <w:r>
        <w:t>requirements</w:t>
      </w:r>
      <w:r>
        <w:rPr>
          <w:spacing w:val="28"/>
        </w:rPr>
        <w:t xml:space="preserve"> </w:t>
      </w:r>
      <w:r>
        <w:t>of</w:t>
      </w:r>
      <w:r>
        <w:rPr>
          <w:spacing w:val="29"/>
        </w:rPr>
        <w:t xml:space="preserve"> </w:t>
      </w:r>
      <w:r>
        <w:t>Section</w:t>
      </w:r>
      <w:r>
        <w:rPr>
          <w:spacing w:val="27"/>
        </w:rPr>
        <w:t xml:space="preserve"> </w:t>
      </w:r>
      <w:r>
        <w:t>111</w:t>
      </w:r>
      <w:r>
        <w:rPr>
          <w:spacing w:val="27"/>
        </w:rPr>
        <w:t xml:space="preserve"> </w:t>
      </w:r>
      <w:r>
        <w:t>of the Medicare Medicaid and SCHIP Extension Act of 2007 (P.L. 110-173). The</w:t>
      </w:r>
      <w:r>
        <w:rPr>
          <w:spacing w:val="46"/>
        </w:rPr>
        <w:t xml:space="preserve"> </w:t>
      </w:r>
      <w:r>
        <w:t>reporting of</w:t>
      </w:r>
      <w:r>
        <w:rPr>
          <w:spacing w:val="45"/>
        </w:rPr>
        <w:t xml:space="preserve"> </w:t>
      </w:r>
      <w:r>
        <w:t>Medicare</w:t>
      </w:r>
      <w:r>
        <w:rPr>
          <w:spacing w:val="45"/>
        </w:rPr>
        <w:t xml:space="preserve"> </w:t>
      </w:r>
      <w:r>
        <w:t>Health</w:t>
      </w:r>
      <w:r>
        <w:rPr>
          <w:spacing w:val="47"/>
        </w:rPr>
        <w:t xml:space="preserve"> </w:t>
      </w:r>
      <w:r>
        <w:t>Insurance</w:t>
      </w:r>
      <w:r>
        <w:rPr>
          <w:spacing w:val="46"/>
        </w:rPr>
        <w:t xml:space="preserve"> </w:t>
      </w:r>
      <w:r>
        <w:t>Claim</w:t>
      </w:r>
      <w:r>
        <w:rPr>
          <w:spacing w:val="45"/>
        </w:rPr>
        <w:t xml:space="preserve"> </w:t>
      </w:r>
      <w:r>
        <w:t>Numbers</w:t>
      </w:r>
      <w:r>
        <w:rPr>
          <w:spacing w:val="47"/>
        </w:rPr>
        <w:t xml:space="preserve"> </w:t>
      </w:r>
      <w:r>
        <w:t>(HICNs)</w:t>
      </w:r>
      <w:r>
        <w:rPr>
          <w:spacing w:val="45"/>
        </w:rPr>
        <w:t xml:space="preserve"> </w:t>
      </w:r>
      <w:r>
        <w:t>or,</w:t>
      </w:r>
      <w:r>
        <w:rPr>
          <w:spacing w:val="45"/>
        </w:rPr>
        <w:t xml:space="preserve"> </w:t>
      </w:r>
      <w:r>
        <w:t>if</w:t>
      </w:r>
      <w:r>
        <w:rPr>
          <w:spacing w:val="46"/>
        </w:rPr>
        <w:t xml:space="preserve"> </w:t>
      </w:r>
      <w:r>
        <w:t>unavailable,</w:t>
      </w:r>
      <w:r>
        <w:rPr>
          <w:spacing w:val="45"/>
        </w:rPr>
        <w:t xml:space="preserve"> </w:t>
      </w:r>
      <w:r>
        <w:t>Social</w:t>
      </w:r>
      <w:r>
        <w:rPr>
          <w:spacing w:val="-1"/>
        </w:rPr>
        <w:t xml:space="preserve"> </w:t>
      </w:r>
      <w:r>
        <w:t>Security Numbers (SSNs)</w:t>
      </w:r>
      <w:r w:rsidR="00F25316">
        <w:t>,</w:t>
      </w:r>
      <w:r>
        <w:t xml:space="preserve"> is critical for </w:t>
      </w:r>
      <w:r w:rsidR="00F25316">
        <w:t xml:space="preserve">accurate </w:t>
      </w:r>
      <w:r>
        <w:t>coordination of</w:t>
      </w:r>
      <w:r>
        <w:rPr>
          <w:spacing w:val="-17"/>
        </w:rPr>
        <w:t xml:space="preserve"> </w:t>
      </w:r>
      <w:r>
        <w:t>benefits.</w:t>
      </w:r>
    </w:p>
    <w:p w:rsidR="00E443BD" w:rsidRDefault="00E443BD" w:rsidP="005500E8">
      <w:pPr>
        <w:rPr>
          <w:rFonts w:ascii="Times New Roman" w:eastAsia="Times New Roman" w:hAnsi="Times New Roman" w:cs="Times New Roman"/>
          <w:sz w:val="24"/>
          <w:szCs w:val="24"/>
        </w:rPr>
      </w:pPr>
    </w:p>
    <w:p w:rsidR="00ED1170" w:rsidRPr="00570860" w:rsidRDefault="00ED1170" w:rsidP="005500E8">
      <w:pPr>
        <w:rPr>
          <w:rFonts w:ascii="Times New Roman" w:hAnsi="Times New Roman" w:cs="Times New Roman"/>
          <w:sz w:val="24"/>
          <w:szCs w:val="24"/>
        </w:rPr>
      </w:pPr>
      <w:r w:rsidRPr="00570860">
        <w:rPr>
          <w:rFonts w:ascii="Times New Roman" w:hAnsi="Times New Roman" w:cs="Times New Roman"/>
          <w:sz w:val="24"/>
          <w:szCs w:val="24"/>
        </w:rPr>
        <w:t xml:space="preserve">The Medicare program uses the HICN to identify Medicare beneficiaries receiving health </w:t>
      </w:r>
      <w:r w:rsidR="00A2426C">
        <w:rPr>
          <w:rFonts w:ascii="Times New Roman" w:hAnsi="Times New Roman" w:cs="Times New Roman"/>
          <w:sz w:val="24"/>
          <w:szCs w:val="24"/>
        </w:rPr>
        <w:t xml:space="preserve">        </w:t>
      </w:r>
      <w:r w:rsidRPr="00570860">
        <w:rPr>
          <w:rFonts w:ascii="Times New Roman" w:hAnsi="Times New Roman" w:cs="Times New Roman"/>
          <w:sz w:val="24"/>
          <w:szCs w:val="24"/>
        </w:rPr>
        <w:t>care services and to otherwise meet its administrative responsibilities to pay for health care and operate the Medicare program.  Pursuant to 42 U.S.C. 1395y(b), Medicare is the secondary payer to GHP coverage under certain defined circumstances; and to liability insurance (including self-insurance), no-fault insurance, and workers’ compensation (collectively referred to as “NGHP” coverage).</w:t>
      </w:r>
    </w:p>
    <w:p w:rsidR="00F11885" w:rsidRPr="00570860" w:rsidRDefault="00F11885" w:rsidP="005500E8">
      <w:pPr>
        <w:rPr>
          <w:rFonts w:ascii="Times New Roman" w:hAnsi="Times New Roman" w:cs="Times New Roman"/>
          <w:sz w:val="24"/>
          <w:szCs w:val="24"/>
        </w:rPr>
      </w:pPr>
    </w:p>
    <w:p w:rsidR="00ED1170" w:rsidRPr="00570860" w:rsidRDefault="00ED1170" w:rsidP="005500E8">
      <w:pPr>
        <w:rPr>
          <w:rFonts w:ascii="Times New Roman" w:hAnsi="Times New Roman" w:cs="Times New Roman"/>
          <w:sz w:val="24"/>
          <w:szCs w:val="24"/>
        </w:rPr>
      </w:pPr>
      <w:r w:rsidRPr="00570860">
        <w:rPr>
          <w:rFonts w:ascii="Times New Roman" w:hAnsi="Times New Roman" w:cs="Times New Roman"/>
          <w:sz w:val="24"/>
          <w:szCs w:val="24"/>
        </w:rPr>
        <w:t>Medicare u</w:t>
      </w:r>
      <w:r w:rsidR="00B012F2">
        <w:rPr>
          <w:rFonts w:ascii="Times New Roman" w:hAnsi="Times New Roman" w:cs="Times New Roman"/>
          <w:sz w:val="24"/>
          <w:szCs w:val="24"/>
        </w:rPr>
        <w:t xml:space="preserve">ses an individual’s HICN </w:t>
      </w:r>
      <w:r w:rsidRPr="00570860">
        <w:rPr>
          <w:rFonts w:ascii="Times New Roman" w:hAnsi="Times New Roman" w:cs="Times New Roman"/>
          <w:sz w:val="24"/>
          <w:szCs w:val="24"/>
        </w:rPr>
        <w:t>to ensure that Medicare makes payment in the proper payer order and/or takes the necessary recovery actions.   Absent the H</w:t>
      </w:r>
      <w:r w:rsidR="00B012F2">
        <w:rPr>
          <w:rFonts w:ascii="Times New Roman" w:hAnsi="Times New Roman" w:cs="Times New Roman"/>
          <w:sz w:val="24"/>
          <w:szCs w:val="24"/>
        </w:rPr>
        <w:t>ICN</w:t>
      </w:r>
      <w:r w:rsidRPr="00570860">
        <w:rPr>
          <w:rFonts w:ascii="Times New Roman" w:hAnsi="Times New Roman" w:cs="Times New Roman"/>
          <w:sz w:val="24"/>
          <w:szCs w:val="24"/>
        </w:rPr>
        <w:t>, CMS would not be able to systematically link the reported data to a particular Medicare beneficiary.</w:t>
      </w:r>
      <w:r w:rsidR="0034741E">
        <w:rPr>
          <w:rFonts w:ascii="Times New Roman" w:hAnsi="Times New Roman" w:cs="Times New Roman"/>
          <w:sz w:val="24"/>
          <w:szCs w:val="24"/>
        </w:rPr>
        <w:t xml:space="preserve"> </w:t>
      </w:r>
      <w:r w:rsidRPr="00570860">
        <w:rPr>
          <w:rFonts w:ascii="Times New Roman" w:hAnsi="Times New Roman" w:cs="Times New Roman"/>
          <w:sz w:val="24"/>
          <w:szCs w:val="24"/>
        </w:rPr>
        <w:t xml:space="preserve"> </w:t>
      </w:r>
      <w:r w:rsidR="0034741E">
        <w:rPr>
          <w:rFonts w:ascii="Times New Roman" w:hAnsi="Times New Roman" w:cs="Times New Roman"/>
          <w:sz w:val="24"/>
          <w:szCs w:val="24"/>
        </w:rPr>
        <w:t>But while t</w:t>
      </w:r>
      <w:r w:rsidRPr="00570860">
        <w:rPr>
          <w:rFonts w:ascii="Times New Roman" w:hAnsi="Times New Roman" w:cs="Times New Roman"/>
          <w:sz w:val="24"/>
          <w:szCs w:val="24"/>
        </w:rPr>
        <w:t xml:space="preserve">he HICN is the CMS </w:t>
      </w:r>
      <w:r w:rsidR="00B012F2">
        <w:rPr>
          <w:rFonts w:ascii="Times New Roman" w:hAnsi="Times New Roman" w:cs="Times New Roman"/>
          <w:sz w:val="24"/>
          <w:szCs w:val="24"/>
        </w:rPr>
        <w:t xml:space="preserve">required </w:t>
      </w:r>
      <w:r w:rsidR="0034741E">
        <w:rPr>
          <w:rFonts w:ascii="Times New Roman" w:hAnsi="Times New Roman" w:cs="Times New Roman"/>
          <w:sz w:val="24"/>
          <w:szCs w:val="24"/>
        </w:rPr>
        <w:t xml:space="preserve">data element, if </w:t>
      </w:r>
      <w:r w:rsidRPr="00570860">
        <w:rPr>
          <w:rFonts w:ascii="Times New Roman" w:hAnsi="Times New Roman" w:cs="Times New Roman"/>
          <w:sz w:val="24"/>
          <w:szCs w:val="24"/>
        </w:rPr>
        <w:t>an insurer is unable to obtain a HICN we requ</w:t>
      </w:r>
      <w:r w:rsidR="0034741E">
        <w:rPr>
          <w:rFonts w:ascii="Times New Roman" w:hAnsi="Times New Roman" w:cs="Times New Roman"/>
          <w:sz w:val="24"/>
          <w:szCs w:val="24"/>
        </w:rPr>
        <w:t>est that they provide an SSN.  The SSN is used as the basis for the HICN,</w:t>
      </w:r>
      <w:r w:rsidRPr="00570860">
        <w:rPr>
          <w:rFonts w:ascii="Times New Roman" w:hAnsi="Times New Roman" w:cs="Times New Roman"/>
          <w:sz w:val="24"/>
          <w:szCs w:val="24"/>
        </w:rPr>
        <w:t xml:space="preserve"> </w:t>
      </w:r>
      <w:r w:rsidR="0034741E">
        <w:rPr>
          <w:rFonts w:ascii="Times New Roman" w:hAnsi="Times New Roman" w:cs="Times New Roman"/>
          <w:sz w:val="24"/>
          <w:szCs w:val="24"/>
        </w:rPr>
        <w:t xml:space="preserve">and </w:t>
      </w:r>
      <w:r w:rsidRPr="00570860">
        <w:rPr>
          <w:rFonts w:ascii="Times New Roman" w:hAnsi="Times New Roman" w:cs="Times New Roman"/>
          <w:sz w:val="24"/>
          <w:szCs w:val="24"/>
        </w:rPr>
        <w:t xml:space="preserve">CMS will </w:t>
      </w:r>
      <w:r w:rsidR="0034741E">
        <w:rPr>
          <w:rFonts w:ascii="Times New Roman" w:hAnsi="Times New Roman" w:cs="Times New Roman"/>
          <w:sz w:val="24"/>
          <w:szCs w:val="24"/>
        </w:rPr>
        <w:t xml:space="preserve">use the SSN to </w:t>
      </w:r>
      <w:r w:rsidRPr="00570860">
        <w:rPr>
          <w:rFonts w:ascii="Times New Roman" w:hAnsi="Times New Roman" w:cs="Times New Roman"/>
          <w:sz w:val="24"/>
          <w:szCs w:val="24"/>
        </w:rPr>
        <w:t>retrieve the HICN.</w:t>
      </w:r>
    </w:p>
    <w:p w:rsidR="00B012F2" w:rsidRPr="00570860" w:rsidRDefault="00B012F2" w:rsidP="005500E8">
      <w:pPr>
        <w:rPr>
          <w:rFonts w:ascii="Times New Roman" w:hAnsi="Times New Roman" w:cs="Times New Roman"/>
          <w:sz w:val="24"/>
          <w:szCs w:val="24"/>
        </w:rPr>
      </w:pPr>
    </w:p>
    <w:p w:rsidR="00ED1170" w:rsidRPr="00570860" w:rsidRDefault="00ED1170" w:rsidP="005500E8">
      <w:pPr>
        <w:rPr>
          <w:rFonts w:ascii="Times New Roman" w:eastAsia="Times New Roman" w:hAnsi="Times New Roman" w:cs="Times New Roman"/>
          <w:sz w:val="24"/>
          <w:szCs w:val="24"/>
        </w:rPr>
      </w:pPr>
      <w:r w:rsidRPr="00570860">
        <w:rPr>
          <w:rFonts w:ascii="Times New Roman" w:hAnsi="Times New Roman" w:cs="Times New Roman"/>
          <w:sz w:val="24"/>
          <w:szCs w:val="24"/>
        </w:rPr>
        <w:t xml:space="preserve">Effective January 5, 2015, in the case where a </w:t>
      </w:r>
      <w:r w:rsidRPr="00570860">
        <w:rPr>
          <w:rFonts w:ascii="Times New Roman" w:hAnsi="Times New Roman" w:cs="Times New Roman"/>
          <w:b/>
          <w:sz w:val="24"/>
          <w:szCs w:val="24"/>
        </w:rPr>
        <w:t>NGHP</w:t>
      </w:r>
      <w:r w:rsidRPr="00570860">
        <w:rPr>
          <w:rFonts w:ascii="Times New Roman" w:hAnsi="Times New Roman" w:cs="Times New Roman"/>
          <w:sz w:val="24"/>
          <w:szCs w:val="24"/>
        </w:rPr>
        <w:t xml:space="preserve"> RRE cannot obtain an individual’s HICN or full SSN, the NGHP RRE may provide the last 5 digits of the individual’s SSN, first initial, surname, date of birth, and gender. NGHP RREs may continue to submit the HICN or full SSN as before without making any changes to the field and file formats.</w:t>
      </w:r>
      <w:r w:rsidR="003C73B8" w:rsidRPr="00570860">
        <w:rPr>
          <w:rFonts w:ascii="Times New Roman" w:hAnsi="Times New Roman" w:cs="Times New Roman"/>
          <w:sz w:val="24"/>
          <w:szCs w:val="24"/>
        </w:rPr>
        <w:t xml:space="preserve"> </w:t>
      </w:r>
    </w:p>
    <w:p w:rsidR="00ED1170" w:rsidRDefault="00ED1170" w:rsidP="005500E8">
      <w:pPr>
        <w:rPr>
          <w:rFonts w:ascii="Times New Roman" w:eastAsia="Times New Roman" w:hAnsi="Times New Roman" w:cs="Times New Roman"/>
          <w:sz w:val="24"/>
          <w:szCs w:val="24"/>
        </w:rPr>
      </w:pPr>
    </w:p>
    <w:p w:rsidR="00E443BD" w:rsidRDefault="00765DA9" w:rsidP="005500E8">
      <w:pPr>
        <w:pStyle w:val="BodyText"/>
        <w:ind w:left="0" w:right="114"/>
      </w:pPr>
      <w:r>
        <w:t>We</w:t>
      </w:r>
      <w:r>
        <w:rPr>
          <w:spacing w:val="34"/>
        </w:rPr>
        <w:t xml:space="preserve"> </w:t>
      </w:r>
      <w:r>
        <w:t>understand</w:t>
      </w:r>
      <w:r>
        <w:rPr>
          <w:spacing w:val="35"/>
        </w:rPr>
        <w:t xml:space="preserve"> </w:t>
      </w:r>
      <w:r>
        <w:t>that</w:t>
      </w:r>
      <w:r>
        <w:rPr>
          <w:spacing w:val="35"/>
        </w:rPr>
        <w:t xml:space="preserve"> </w:t>
      </w:r>
      <w:r>
        <w:t>some</w:t>
      </w:r>
      <w:r>
        <w:rPr>
          <w:spacing w:val="34"/>
        </w:rPr>
        <w:t xml:space="preserve"> </w:t>
      </w:r>
      <w:r>
        <w:t>individuals</w:t>
      </w:r>
      <w:r>
        <w:rPr>
          <w:spacing w:val="35"/>
        </w:rPr>
        <w:t xml:space="preserve"> </w:t>
      </w:r>
      <w:r>
        <w:t>may</w:t>
      </w:r>
      <w:r>
        <w:rPr>
          <w:spacing w:val="30"/>
        </w:rPr>
        <w:t xml:space="preserve"> </w:t>
      </w:r>
      <w:r>
        <w:t>be</w:t>
      </w:r>
      <w:r>
        <w:rPr>
          <w:spacing w:val="34"/>
        </w:rPr>
        <w:t xml:space="preserve"> </w:t>
      </w:r>
      <w:r>
        <w:t>hesitant</w:t>
      </w:r>
      <w:r>
        <w:rPr>
          <w:spacing w:val="35"/>
        </w:rPr>
        <w:t xml:space="preserve"> </w:t>
      </w:r>
      <w:r>
        <w:t>about</w:t>
      </w:r>
      <w:r>
        <w:rPr>
          <w:spacing w:val="35"/>
        </w:rPr>
        <w:t xml:space="preserve"> </w:t>
      </w:r>
      <w:r>
        <w:t>providing</w:t>
      </w:r>
      <w:r>
        <w:rPr>
          <w:spacing w:val="32"/>
        </w:rPr>
        <w:t xml:space="preserve"> </w:t>
      </w:r>
      <w:r>
        <w:t>their</w:t>
      </w:r>
      <w:r>
        <w:rPr>
          <w:spacing w:val="34"/>
        </w:rPr>
        <w:t xml:space="preserve"> </w:t>
      </w:r>
      <w:r>
        <w:t>HICNs</w:t>
      </w:r>
      <w:r>
        <w:rPr>
          <w:spacing w:val="35"/>
        </w:rPr>
        <w:t xml:space="preserve"> </w:t>
      </w:r>
      <w:r>
        <w:t>or SSNs.</w:t>
      </w:r>
      <w:r>
        <w:rPr>
          <w:spacing w:val="30"/>
        </w:rPr>
        <w:t xml:space="preserve"> </w:t>
      </w:r>
      <w:r>
        <w:t>CMS</w:t>
      </w:r>
      <w:r>
        <w:rPr>
          <w:spacing w:val="46"/>
        </w:rPr>
        <w:t xml:space="preserve"> </w:t>
      </w:r>
      <w:r>
        <w:t>recognizes</w:t>
      </w:r>
      <w:r>
        <w:rPr>
          <w:spacing w:val="46"/>
        </w:rPr>
        <w:t xml:space="preserve"> </w:t>
      </w:r>
      <w:r>
        <w:t>that</w:t>
      </w:r>
      <w:r>
        <w:rPr>
          <w:spacing w:val="46"/>
        </w:rPr>
        <w:t xml:space="preserve"> </w:t>
      </w:r>
      <w:r>
        <w:t>the</w:t>
      </w:r>
      <w:r>
        <w:rPr>
          <w:spacing w:val="45"/>
        </w:rPr>
        <w:t xml:space="preserve"> </w:t>
      </w:r>
      <w:r>
        <w:t>collection</w:t>
      </w:r>
      <w:r>
        <w:rPr>
          <w:spacing w:val="46"/>
        </w:rPr>
        <w:t xml:space="preserve"> </w:t>
      </w:r>
      <w:r>
        <w:t>and</w:t>
      </w:r>
      <w:r>
        <w:rPr>
          <w:spacing w:val="46"/>
        </w:rPr>
        <w:t xml:space="preserve"> </w:t>
      </w:r>
      <w:r>
        <w:t>use</w:t>
      </w:r>
      <w:r>
        <w:rPr>
          <w:spacing w:val="45"/>
        </w:rPr>
        <w:t xml:space="preserve"> </w:t>
      </w:r>
      <w:r>
        <w:t>of</w:t>
      </w:r>
      <w:r>
        <w:rPr>
          <w:spacing w:val="45"/>
        </w:rPr>
        <w:t xml:space="preserve"> </w:t>
      </w:r>
      <w:r>
        <w:t>individual</w:t>
      </w:r>
      <w:r>
        <w:rPr>
          <w:spacing w:val="46"/>
        </w:rPr>
        <w:t xml:space="preserve"> </w:t>
      </w:r>
      <w:r>
        <w:t>HICNs</w:t>
      </w:r>
      <w:r>
        <w:rPr>
          <w:spacing w:val="46"/>
        </w:rPr>
        <w:t xml:space="preserve"> </w:t>
      </w:r>
      <w:r>
        <w:t>or</w:t>
      </w:r>
      <w:r>
        <w:rPr>
          <w:spacing w:val="45"/>
        </w:rPr>
        <w:t xml:space="preserve"> </w:t>
      </w:r>
      <w:r>
        <w:t>SSNs</w:t>
      </w:r>
      <w:r>
        <w:rPr>
          <w:spacing w:val="46"/>
        </w:rPr>
        <w:t xml:space="preserve"> </w:t>
      </w:r>
      <w:r>
        <w:t>is limited</w:t>
      </w:r>
      <w:r>
        <w:rPr>
          <w:spacing w:val="23"/>
        </w:rPr>
        <w:t xml:space="preserve"> </w:t>
      </w:r>
      <w:r>
        <w:t>by</w:t>
      </w:r>
      <w:r>
        <w:rPr>
          <w:spacing w:val="15"/>
        </w:rPr>
        <w:t xml:space="preserve"> </w:t>
      </w:r>
      <w:r>
        <w:t>an</w:t>
      </w:r>
      <w:r>
        <w:rPr>
          <w:spacing w:val="23"/>
        </w:rPr>
        <w:t xml:space="preserve"> </w:t>
      </w:r>
      <w:r>
        <w:t>evolving</w:t>
      </w:r>
      <w:r>
        <w:rPr>
          <w:spacing w:val="20"/>
        </w:rPr>
        <w:t xml:space="preserve"> </w:t>
      </w:r>
      <w:r>
        <w:t>body</w:t>
      </w:r>
      <w:r>
        <w:rPr>
          <w:spacing w:val="18"/>
        </w:rPr>
        <w:t xml:space="preserve"> </w:t>
      </w:r>
      <w:r>
        <w:t>of</w:t>
      </w:r>
      <w:r>
        <w:rPr>
          <w:spacing w:val="22"/>
        </w:rPr>
        <w:t xml:space="preserve"> </w:t>
      </w:r>
      <w:r>
        <w:t>federal</w:t>
      </w:r>
      <w:r>
        <w:rPr>
          <w:spacing w:val="23"/>
        </w:rPr>
        <w:t xml:space="preserve"> </w:t>
      </w:r>
      <w:r>
        <w:t>and</w:t>
      </w:r>
      <w:r>
        <w:rPr>
          <w:spacing w:val="23"/>
        </w:rPr>
        <w:t xml:space="preserve"> </w:t>
      </w:r>
      <w:r>
        <w:t>state</w:t>
      </w:r>
      <w:r>
        <w:rPr>
          <w:spacing w:val="24"/>
        </w:rPr>
        <w:t xml:space="preserve"> </w:t>
      </w:r>
      <w:r>
        <w:t>law</w:t>
      </w:r>
      <w:r>
        <w:rPr>
          <w:spacing w:val="22"/>
        </w:rPr>
        <w:t xml:space="preserve"> </w:t>
      </w:r>
      <w:r>
        <w:t>and</w:t>
      </w:r>
      <w:r>
        <w:rPr>
          <w:spacing w:val="23"/>
        </w:rPr>
        <w:t xml:space="preserve"> </w:t>
      </w:r>
      <w:r>
        <w:t>regulation.</w:t>
      </w:r>
      <w:r>
        <w:rPr>
          <w:spacing w:val="46"/>
        </w:rPr>
        <w:t xml:space="preserve"> </w:t>
      </w:r>
      <w:r>
        <w:t>When</w:t>
      </w:r>
      <w:r>
        <w:rPr>
          <w:spacing w:val="23"/>
        </w:rPr>
        <w:t xml:space="preserve"> </w:t>
      </w:r>
      <w:r>
        <w:t>a</w:t>
      </w:r>
      <w:r>
        <w:rPr>
          <w:spacing w:val="22"/>
        </w:rPr>
        <w:t xml:space="preserve"> </w:t>
      </w:r>
      <w:r>
        <w:t>HICN</w:t>
      </w:r>
      <w:r>
        <w:rPr>
          <w:spacing w:val="22"/>
        </w:rPr>
        <w:t xml:space="preserve"> </w:t>
      </w:r>
      <w:r>
        <w:t>or SSN</w:t>
      </w:r>
      <w:r>
        <w:rPr>
          <w:spacing w:val="16"/>
        </w:rPr>
        <w:t xml:space="preserve"> </w:t>
      </w:r>
      <w:r>
        <w:t>is</w:t>
      </w:r>
      <w:r>
        <w:rPr>
          <w:spacing w:val="15"/>
        </w:rPr>
        <w:t xml:space="preserve"> </w:t>
      </w:r>
      <w:r>
        <w:t>to</w:t>
      </w:r>
      <w:r>
        <w:rPr>
          <w:spacing w:val="17"/>
        </w:rPr>
        <w:t xml:space="preserve"> </w:t>
      </w:r>
      <w:r>
        <w:t>be</w:t>
      </w:r>
      <w:r>
        <w:rPr>
          <w:spacing w:val="13"/>
        </w:rPr>
        <w:t xml:space="preserve"> </w:t>
      </w:r>
      <w:r>
        <w:t>used</w:t>
      </w:r>
      <w:r>
        <w:rPr>
          <w:spacing w:val="17"/>
        </w:rPr>
        <w:t xml:space="preserve"> </w:t>
      </w:r>
      <w:r>
        <w:t>for</w:t>
      </w:r>
      <w:r>
        <w:rPr>
          <w:spacing w:val="16"/>
        </w:rPr>
        <w:t xml:space="preserve"> </w:t>
      </w:r>
      <w:r>
        <w:t>personal</w:t>
      </w:r>
      <w:r>
        <w:rPr>
          <w:spacing w:val="17"/>
        </w:rPr>
        <w:t xml:space="preserve"> </w:t>
      </w:r>
      <w:r>
        <w:t>health</w:t>
      </w:r>
      <w:r>
        <w:rPr>
          <w:spacing w:val="17"/>
        </w:rPr>
        <w:t xml:space="preserve"> </w:t>
      </w:r>
      <w:r>
        <w:t>information,</w:t>
      </w:r>
      <w:r>
        <w:rPr>
          <w:spacing w:val="17"/>
        </w:rPr>
        <w:t xml:space="preserve"> </w:t>
      </w:r>
      <w:r>
        <w:t>management</w:t>
      </w:r>
      <w:r>
        <w:rPr>
          <w:spacing w:val="17"/>
        </w:rPr>
        <w:t xml:space="preserve"> </w:t>
      </w:r>
      <w:r>
        <w:t>of</w:t>
      </w:r>
      <w:r>
        <w:rPr>
          <w:spacing w:val="16"/>
        </w:rPr>
        <w:t xml:space="preserve"> </w:t>
      </w:r>
      <w:r>
        <w:t>the</w:t>
      </w:r>
      <w:r>
        <w:rPr>
          <w:spacing w:val="16"/>
        </w:rPr>
        <w:t xml:space="preserve"> </w:t>
      </w:r>
      <w:r>
        <w:t>HICN/SSN</w:t>
      </w:r>
      <w:r>
        <w:rPr>
          <w:spacing w:val="16"/>
        </w:rPr>
        <w:t xml:space="preserve"> </w:t>
      </w:r>
      <w:r>
        <w:t>(e.g., who</w:t>
      </w:r>
      <w:r>
        <w:rPr>
          <w:spacing w:val="38"/>
        </w:rPr>
        <w:t xml:space="preserve"> </w:t>
      </w:r>
      <w:r>
        <w:t>can</w:t>
      </w:r>
      <w:r>
        <w:rPr>
          <w:spacing w:val="38"/>
        </w:rPr>
        <w:t xml:space="preserve"> </w:t>
      </w:r>
      <w:r>
        <w:t>collect</w:t>
      </w:r>
      <w:r>
        <w:rPr>
          <w:spacing w:val="39"/>
        </w:rPr>
        <w:t xml:space="preserve"> </w:t>
      </w:r>
      <w:r>
        <w:t>it,</w:t>
      </w:r>
      <w:r>
        <w:rPr>
          <w:spacing w:val="38"/>
        </w:rPr>
        <w:t xml:space="preserve"> </w:t>
      </w:r>
      <w:r>
        <w:t>for</w:t>
      </w:r>
      <w:r>
        <w:rPr>
          <w:spacing w:val="35"/>
        </w:rPr>
        <w:t xml:space="preserve"> </w:t>
      </w:r>
      <w:r>
        <w:t>what</w:t>
      </w:r>
      <w:r>
        <w:rPr>
          <w:spacing w:val="39"/>
        </w:rPr>
        <w:t xml:space="preserve"> </w:t>
      </w:r>
      <w:r>
        <w:t>reason</w:t>
      </w:r>
      <w:r>
        <w:rPr>
          <w:spacing w:val="38"/>
        </w:rPr>
        <w:t xml:space="preserve"> </w:t>
      </w:r>
      <w:r>
        <w:t>and</w:t>
      </w:r>
      <w:r>
        <w:rPr>
          <w:spacing w:val="38"/>
        </w:rPr>
        <w:t xml:space="preserve"> </w:t>
      </w:r>
      <w:r>
        <w:t>with</w:t>
      </w:r>
      <w:r>
        <w:rPr>
          <w:spacing w:val="38"/>
        </w:rPr>
        <w:t xml:space="preserve"> </w:t>
      </w:r>
      <w:r>
        <w:t>what</w:t>
      </w:r>
      <w:r>
        <w:rPr>
          <w:spacing w:val="39"/>
        </w:rPr>
        <w:t xml:space="preserve"> </w:t>
      </w:r>
      <w:r>
        <w:t>other</w:t>
      </w:r>
      <w:r>
        <w:rPr>
          <w:spacing w:val="38"/>
        </w:rPr>
        <w:t xml:space="preserve"> </w:t>
      </w:r>
      <w:r>
        <w:t>entities</w:t>
      </w:r>
      <w:r>
        <w:rPr>
          <w:spacing w:val="39"/>
        </w:rPr>
        <w:t xml:space="preserve"> </w:t>
      </w:r>
      <w:r>
        <w:t>or</w:t>
      </w:r>
      <w:r>
        <w:rPr>
          <w:spacing w:val="38"/>
        </w:rPr>
        <w:t xml:space="preserve"> </w:t>
      </w:r>
      <w:r>
        <w:t>persons</w:t>
      </w:r>
      <w:r>
        <w:rPr>
          <w:spacing w:val="39"/>
        </w:rPr>
        <w:t xml:space="preserve"> </w:t>
      </w:r>
      <w:r>
        <w:t>will</w:t>
      </w:r>
      <w:r>
        <w:rPr>
          <w:spacing w:val="36"/>
        </w:rPr>
        <w:t xml:space="preserve"> </w:t>
      </w:r>
      <w:r>
        <w:t>it</w:t>
      </w:r>
      <w:r>
        <w:rPr>
          <w:spacing w:val="39"/>
        </w:rPr>
        <w:t xml:space="preserve"> </w:t>
      </w:r>
      <w:r>
        <w:t>be shared) is directed by regulations required by the federal Health Insurance Portability</w:t>
      </w:r>
      <w:r>
        <w:rPr>
          <w:spacing w:val="14"/>
        </w:rPr>
        <w:t xml:space="preserve"> </w:t>
      </w:r>
      <w:r>
        <w:t>and Accountability</w:t>
      </w:r>
      <w:r>
        <w:rPr>
          <w:spacing w:val="24"/>
        </w:rPr>
        <w:t xml:space="preserve"> </w:t>
      </w:r>
      <w:r>
        <w:t>Act</w:t>
      </w:r>
      <w:r>
        <w:rPr>
          <w:spacing w:val="29"/>
        </w:rPr>
        <w:t xml:space="preserve"> </w:t>
      </w:r>
      <w:r>
        <w:t>(HIPAA).</w:t>
      </w:r>
      <w:r>
        <w:rPr>
          <w:spacing w:val="59"/>
        </w:rPr>
        <w:t xml:space="preserve"> </w:t>
      </w:r>
      <w:r>
        <w:t>These</w:t>
      </w:r>
      <w:r>
        <w:rPr>
          <w:spacing w:val="28"/>
        </w:rPr>
        <w:t xml:space="preserve"> </w:t>
      </w:r>
      <w:r>
        <w:t>regulations</w:t>
      </w:r>
      <w:r>
        <w:rPr>
          <w:spacing w:val="29"/>
        </w:rPr>
        <w:t xml:space="preserve"> </w:t>
      </w:r>
      <w:r>
        <w:t>are</w:t>
      </w:r>
      <w:r>
        <w:rPr>
          <w:spacing w:val="28"/>
        </w:rPr>
        <w:t xml:space="preserve"> </w:t>
      </w:r>
      <w:r>
        <w:t>referred</w:t>
      </w:r>
      <w:r>
        <w:rPr>
          <w:spacing w:val="29"/>
        </w:rPr>
        <w:t xml:space="preserve"> </w:t>
      </w:r>
      <w:r>
        <w:t>to</w:t>
      </w:r>
      <w:r>
        <w:rPr>
          <w:spacing w:val="29"/>
        </w:rPr>
        <w:t xml:space="preserve"> </w:t>
      </w:r>
      <w:r>
        <w:t>as</w:t>
      </w:r>
      <w:r>
        <w:rPr>
          <w:spacing w:val="29"/>
        </w:rPr>
        <w:t xml:space="preserve"> </w:t>
      </w:r>
      <w:r>
        <w:t>the</w:t>
      </w:r>
      <w:r>
        <w:rPr>
          <w:spacing w:val="28"/>
        </w:rPr>
        <w:t xml:space="preserve"> </w:t>
      </w:r>
      <w:r>
        <w:t>HIPAA</w:t>
      </w:r>
      <w:r>
        <w:rPr>
          <w:spacing w:val="28"/>
        </w:rPr>
        <w:t xml:space="preserve"> </w:t>
      </w:r>
      <w:r>
        <w:t>privacy rules. These rules are quite strict, and after they were fully implemented in</w:t>
      </w:r>
      <w:r>
        <w:rPr>
          <w:spacing w:val="19"/>
        </w:rPr>
        <w:t xml:space="preserve"> </w:t>
      </w:r>
      <w:r>
        <w:t>2004, measures</w:t>
      </w:r>
      <w:r>
        <w:rPr>
          <w:spacing w:val="28"/>
        </w:rPr>
        <w:t xml:space="preserve"> </w:t>
      </w:r>
      <w:r>
        <w:t>to</w:t>
      </w:r>
      <w:r>
        <w:rPr>
          <w:spacing w:val="28"/>
        </w:rPr>
        <w:t xml:space="preserve"> </w:t>
      </w:r>
      <w:r>
        <w:t>protect</w:t>
      </w:r>
      <w:r>
        <w:rPr>
          <w:spacing w:val="28"/>
        </w:rPr>
        <w:t xml:space="preserve"> </w:t>
      </w:r>
      <w:r>
        <w:t>personal</w:t>
      </w:r>
      <w:r>
        <w:rPr>
          <w:spacing w:val="28"/>
        </w:rPr>
        <w:t xml:space="preserve"> </w:t>
      </w:r>
      <w:r>
        <w:t>health</w:t>
      </w:r>
      <w:r>
        <w:rPr>
          <w:spacing w:val="28"/>
        </w:rPr>
        <w:t xml:space="preserve"> </w:t>
      </w:r>
      <w:r>
        <w:t>information</w:t>
      </w:r>
      <w:r>
        <w:rPr>
          <w:spacing w:val="28"/>
        </w:rPr>
        <w:t xml:space="preserve"> </w:t>
      </w:r>
      <w:r>
        <w:t>became</w:t>
      </w:r>
      <w:r>
        <w:rPr>
          <w:spacing w:val="27"/>
        </w:rPr>
        <w:t xml:space="preserve"> </w:t>
      </w:r>
      <w:r>
        <w:t>stronger.</w:t>
      </w:r>
      <w:r>
        <w:rPr>
          <w:spacing w:val="28"/>
        </w:rPr>
        <w:t xml:space="preserve"> </w:t>
      </w:r>
      <w:r>
        <w:t>Collection</w:t>
      </w:r>
      <w:r>
        <w:rPr>
          <w:spacing w:val="28"/>
        </w:rPr>
        <w:t xml:space="preserve"> </w:t>
      </w:r>
      <w:r>
        <w:t>of</w:t>
      </w:r>
      <w:r>
        <w:rPr>
          <w:spacing w:val="27"/>
        </w:rPr>
        <w:t xml:space="preserve"> </w:t>
      </w:r>
      <w:r>
        <w:t>HICNs and SSNs for the purposes of coordinating benefits with Medicare is a</w:t>
      </w:r>
      <w:r>
        <w:rPr>
          <w:spacing w:val="58"/>
        </w:rPr>
        <w:t xml:space="preserve"> </w:t>
      </w:r>
      <w:r>
        <w:t>required, legitimate and necessary use of the HICN/SSN under Federal</w:t>
      </w:r>
      <w:r>
        <w:rPr>
          <w:spacing w:val="-18"/>
        </w:rPr>
        <w:t xml:space="preserve"> </w:t>
      </w:r>
      <w:r>
        <w:t>law.</w:t>
      </w:r>
    </w:p>
    <w:p w:rsidR="00E443BD" w:rsidRDefault="00E443BD" w:rsidP="005500E8">
      <w:pPr>
        <w:rPr>
          <w:rFonts w:ascii="Times New Roman" w:eastAsia="Times New Roman" w:hAnsi="Times New Roman" w:cs="Times New Roman"/>
          <w:sz w:val="24"/>
          <w:szCs w:val="24"/>
        </w:rPr>
      </w:pPr>
    </w:p>
    <w:p w:rsidR="00E443BD" w:rsidRDefault="00765DA9" w:rsidP="005500E8">
      <w:pPr>
        <w:pStyle w:val="BodyText"/>
        <w:ind w:left="0" w:right="115"/>
      </w:pPr>
      <w:r>
        <w:lastRenderedPageBreak/>
        <w:t>We also note that there are some state laws that restrict when SSNs can be collected</w:t>
      </w:r>
      <w:r>
        <w:rPr>
          <w:spacing w:val="40"/>
        </w:rPr>
        <w:t xml:space="preserve"> </w:t>
      </w:r>
      <w:r>
        <w:t>and how</w:t>
      </w:r>
      <w:r>
        <w:rPr>
          <w:spacing w:val="46"/>
        </w:rPr>
        <w:t xml:space="preserve"> </w:t>
      </w:r>
      <w:r>
        <w:t>SSNs</w:t>
      </w:r>
      <w:r>
        <w:rPr>
          <w:spacing w:val="47"/>
        </w:rPr>
        <w:t xml:space="preserve"> </w:t>
      </w:r>
      <w:r>
        <w:t>can</w:t>
      </w:r>
      <w:r>
        <w:rPr>
          <w:spacing w:val="49"/>
        </w:rPr>
        <w:t xml:space="preserve"> </w:t>
      </w:r>
      <w:r>
        <w:t>be</w:t>
      </w:r>
      <w:r>
        <w:rPr>
          <w:spacing w:val="48"/>
        </w:rPr>
        <w:t xml:space="preserve"> </w:t>
      </w:r>
      <w:r>
        <w:t>used.</w:t>
      </w:r>
      <w:r>
        <w:rPr>
          <w:spacing w:val="49"/>
        </w:rPr>
        <w:t xml:space="preserve"> </w:t>
      </w:r>
      <w:r>
        <w:t>These</w:t>
      </w:r>
      <w:r>
        <w:rPr>
          <w:spacing w:val="48"/>
        </w:rPr>
        <w:t xml:space="preserve"> </w:t>
      </w:r>
      <w:r>
        <w:t>state</w:t>
      </w:r>
      <w:r>
        <w:rPr>
          <w:spacing w:val="46"/>
        </w:rPr>
        <w:t xml:space="preserve"> </w:t>
      </w:r>
      <w:r>
        <w:t>initiatives</w:t>
      </w:r>
      <w:r>
        <w:rPr>
          <w:spacing w:val="49"/>
        </w:rPr>
        <w:t xml:space="preserve"> </w:t>
      </w:r>
      <w:r>
        <w:t>do</w:t>
      </w:r>
      <w:r>
        <w:rPr>
          <w:spacing w:val="47"/>
        </w:rPr>
        <w:t xml:space="preserve"> </w:t>
      </w:r>
      <w:r>
        <w:t>not</w:t>
      </w:r>
      <w:r>
        <w:rPr>
          <w:spacing w:val="47"/>
        </w:rPr>
        <w:t xml:space="preserve"> </w:t>
      </w:r>
      <w:r>
        <w:t>preempt</w:t>
      </w:r>
      <w:r>
        <w:rPr>
          <w:spacing w:val="47"/>
        </w:rPr>
        <w:t xml:space="preserve"> </w:t>
      </w:r>
      <w:r>
        <w:t>the</w:t>
      </w:r>
      <w:r>
        <w:rPr>
          <w:spacing w:val="48"/>
        </w:rPr>
        <w:t xml:space="preserve"> </w:t>
      </w:r>
      <w:r>
        <w:t>MSP</w:t>
      </w:r>
      <w:r>
        <w:rPr>
          <w:spacing w:val="47"/>
        </w:rPr>
        <w:t xml:space="preserve"> </w:t>
      </w:r>
      <w:r>
        <w:t>statutory</w:t>
      </w:r>
      <w:r>
        <w:rPr>
          <w:spacing w:val="44"/>
        </w:rPr>
        <w:t xml:space="preserve"> </w:t>
      </w:r>
      <w:r>
        <w:t>or regulatory provisions or the “permitted use” provisions of the HIPAA privacy</w:t>
      </w:r>
      <w:r>
        <w:rPr>
          <w:spacing w:val="15"/>
        </w:rPr>
        <w:t xml:space="preserve"> </w:t>
      </w:r>
      <w:r>
        <w:t>rules. These</w:t>
      </w:r>
      <w:r>
        <w:rPr>
          <w:spacing w:val="52"/>
        </w:rPr>
        <w:t xml:space="preserve"> </w:t>
      </w:r>
      <w:r>
        <w:t>referenced</w:t>
      </w:r>
      <w:r>
        <w:rPr>
          <w:spacing w:val="53"/>
        </w:rPr>
        <w:t xml:space="preserve"> </w:t>
      </w:r>
      <w:r>
        <w:t>federal</w:t>
      </w:r>
      <w:r>
        <w:rPr>
          <w:spacing w:val="53"/>
        </w:rPr>
        <w:t xml:space="preserve"> </w:t>
      </w:r>
      <w:r>
        <w:t>laws</w:t>
      </w:r>
      <w:r>
        <w:rPr>
          <w:spacing w:val="53"/>
        </w:rPr>
        <w:t xml:space="preserve"> </w:t>
      </w:r>
      <w:r>
        <w:t>allow</w:t>
      </w:r>
      <w:r>
        <w:rPr>
          <w:spacing w:val="52"/>
        </w:rPr>
        <w:t xml:space="preserve"> </w:t>
      </w:r>
      <w:r>
        <w:t>for</w:t>
      </w:r>
      <w:r>
        <w:rPr>
          <w:spacing w:val="52"/>
        </w:rPr>
        <w:t xml:space="preserve"> </w:t>
      </w:r>
      <w:r>
        <w:t>the</w:t>
      </w:r>
      <w:r>
        <w:rPr>
          <w:spacing w:val="52"/>
        </w:rPr>
        <w:t xml:space="preserve"> </w:t>
      </w:r>
      <w:r>
        <w:t>collection</w:t>
      </w:r>
      <w:r>
        <w:rPr>
          <w:spacing w:val="53"/>
        </w:rPr>
        <w:t xml:space="preserve"> </w:t>
      </w:r>
      <w:r>
        <w:t>and</w:t>
      </w:r>
      <w:r>
        <w:rPr>
          <w:spacing w:val="53"/>
        </w:rPr>
        <w:t xml:space="preserve"> </w:t>
      </w:r>
      <w:r>
        <w:t>use</w:t>
      </w:r>
      <w:r>
        <w:rPr>
          <w:spacing w:val="52"/>
        </w:rPr>
        <w:t xml:space="preserve"> </w:t>
      </w:r>
      <w:r>
        <w:t>of</w:t>
      </w:r>
      <w:r>
        <w:rPr>
          <w:spacing w:val="52"/>
        </w:rPr>
        <w:t xml:space="preserve"> </w:t>
      </w:r>
      <w:r>
        <w:t>the</w:t>
      </w:r>
      <w:r>
        <w:rPr>
          <w:spacing w:val="52"/>
        </w:rPr>
        <w:t xml:space="preserve"> </w:t>
      </w:r>
      <w:r>
        <w:t>SSNs</w:t>
      </w:r>
      <w:r>
        <w:rPr>
          <w:spacing w:val="53"/>
        </w:rPr>
        <w:t xml:space="preserve"> </w:t>
      </w:r>
      <w:r>
        <w:t>to</w:t>
      </w:r>
      <w:r>
        <w:rPr>
          <w:spacing w:val="53"/>
        </w:rPr>
        <w:t xml:space="preserve"> </w:t>
      </w:r>
      <w:r>
        <w:t>help providers and insurers manage their operations. Some states now restrict how SSNs</w:t>
      </w:r>
      <w:r>
        <w:rPr>
          <w:spacing w:val="5"/>
        </w:rPr>
        <w:t xml:space="preserve"> </w:t>
      </w:r>
      <w:r>
        <w:t>may be displayed, such as prohibiting a health plan from including an SSN on an</w:t>
      </w:r>
      <w:r>
        <w:rPr>
          <w:spacing w:val="49"/>
        </w:rPr>
        <w:t xml:space="preserve"> </w:t>
      </w:r>
      <w:r>
        <w:t>individual’s plan</w:t>
      </w:r>
      <w:r>
        <w:rPr>
          <w:spacing w:val="37"/>
        </w:rPr>
        <w:t xml:space="preserve"> </w:t>
      </w:r>
      <w:r>
        <w:rPr>
          <w:spacing w:val="-3"/>
        </w:rPr>
        <w:t>ID</w:t>
      </w:r>
      <w:r>
        <w:rPr>
          <w:spacing w:val="34"/>
        </w:rPr>
        <w:t xml:space="preserve"> </w:t>
      </w:r>
      <w:r>
        <w:t>card.</w:t>
      </w:r>
      <w:r>
        <w:rPr>
          <w:spacing w:val="10"/>
        </w:rPr>
        <w:t xml:space="preserve"> </w:t>
      </w:r>
      <w:r>
        <w:t>Such</w:t>
      </w:r>
      <w:r>
        <w:rPr>
          <w:spacing w:val="35"/>
        </w:rPr>
        <w:t xml:space="preserve"> </w:t>
      </w:r>
      <w:r>
        <w:t>state</w:t>
      </w:r>
      <w:r>
        <w:rPr>
          <w:spacing w:val="34"/>
        </w:rPr>
        <w:t xml:space="preserve"> </w:t>
      </w:r>
      <w:r>
        <w:t>laws</w:t>
      </w:r>
      <w:r>
        <w:rPr>
          <w:spacing w:val="35"/>
        </w:rPr>
        <w:t xml:space="preserve"> </w:t>
      </w:r>
      <w:r>
        <w:t>are</w:t>
      </w:r>
      <w:r>
        <w:rPr>
          <w:spacing w:val="34"/>
        </w:rPr>
        <w:t xml:space="preserve"> </w:t>
      </w:r>
      <w:r>
        <w:t>permissible,</w:t>
      </w:r>
      <w:r>
        <w:rPr>
          <w:spacing w:val="35"/>
        </w:rPr>
        <w:t xml:space="preserve"> </w:t>
      </w:r>
      <w:r>
        <w:t>to</w:t>
      </w:r>
      <w:r>
        <w:rPr>
          <w:spacing w:val="35"/>
        </w:rPr>
        <w:t xml:space="preserve"> </w:t>
      </w:r>
      <w:r>
        <w:t>the</w:t>
      </w:r>
      <w:r>
        <w:rPr>
          <w:spacing w:val="34"/>
        </w:rPr>
        <w:t xml:space="preserve"> </w:t>
      </w:r>
      <w:r>
        <w:t>extent</w:t>
      </w:r>
      <w:r>
        <w:rPr>
          <w:spacing w:val="33"/>
        </w:rPr>
        <w:t xml:space="preserve"> </w:t>
      </w:r>
      <w:r>
        <w:t>they</w:t>
      </w:r>
      <w:r>
        <w:rPr>
          <w:spacing w:val="30"/>
        </w:rPr>
        <w:t xml:space="preserve"> </w:t>
      </w:r>
      <w:r>
        <w:t>augment</w:t>
      </w:r>
      <w:r>
        <w:rPr>
          <w:spacing w:val="35"/>
        </w:rPr>
        <w:t xml:space="preserve"> </w:t>
      </w:r>
      <w:r>
        <w:t>but</w:t>
      </w:r>
      <w:r>
        <w:rPr>
          <w:spacing w:val="35"/>
        </w:rPr>
        <w:t xml:space="preserve"> </w:t>
      </w:r>
      <w:r>
        <w:t>do</w:t>
      </w:r>
      <w:r>
        <w:rPr>
          <w:spacing w:val="35"/>
        </w:rPr>
        <w:t xml:space="preserve"> </w:t>
      </w:r>
      <w:r>
        <w:t>not conflict with or constrain</w:t>
      </w:r>
      <w:r w:rsidR="000B384E">
        <w:t xml:space="preserve"> the</w:t>
      </w:r>
      <w:r>
        <w:t xml:space="preserve"> </w:t>
      </w:r>
      <w:r w:rsidR="000B384E">
        <w:t xml:space="preserve">will </w:t>
      </w:r>
      <w:r>
        <w:t>requirements of federal laws or</w:t>
      </w:r>
      <w:r>
        <w:rPr>
          <w:spacing w:val="-17"/>
        </w:rPr>
        <w:t xml:space="preserve"> </w:t>
      </w:r>
      <w:r>
        <w:t>regulations.</w:t>
      </w:r>
    </w:p>
    <w:sectPr w:rsidR="00E443BD" w:rsidSect="00AF0B92">
      <w:headerReference w:type="even" r:id="rId7"/>
      <w:headerReference w:type="default" r:id="rId8"/>
      <w:footerReference w:type="even" r:id="rId9"/>
      <w:footerReference w:type="default" r:id="rId10"/>
      <w:headerReference w:type="first" r:id="rId11"/>
      <w:footerReference w:type="first" r:id="rId12"/>
      <w:type w:val="continuous"/>
      <w:pgSz w:w="12240" w:h="15840"/>
      <w:pgMar w:top="1400" w:right="1680" w:bottom="280" w:left="1680" w:header="720" w:footer="14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B92" w:rsidRDefault="00AF0B92" w:rsidP="00AF0B92">
      <w:r>
        <w:separator/>
      </w:r>
    </w:p>
  </w:endnote>
  <w:endnote w:type="continuationSeparator" w:id="0">
    <w:p w:rsidR="00AF0B92" w:rsidRDefault="00AF0B92" w:rsidP="00AF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B92" w:rsidRDefault="00AF0B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414928"/>
      <w:docPartObj>
        <w:docPartGallery w:val="Page Numbers (Bottom of Page)"/>
        <w:docPartUnique/>
      </w:docPartObj>
    </w:sdtPr>
    <w:sdtEndPr>
      <w:rPr>
        <w:noProof/>
      </w:rPr>
    </w:sdtEndPr>
    <w:sdtContent>
      <w:p w:rsidR="00AF0B92" w:rsidRDefault="00AF0B92">
        <w:pPr>
          <w:pStyle w:val="Footer"/>
          <w:jc w:val="center"/>
        </w:pPr>
        <w:r>
          <w:fldChar w:fldCharType="begin"/>
        </w:r>
        <w:r>
          <w:instrText xml:space="preserve"> PAGE   \* MERGEFORMAT </w:instrText>
        </w:r>
        <w:r>
          <w:fldChar w:fldCharType="separate"/>
        </w:r>
        <w:r w:rsidR="002E3D3D">
          <w:rPr>
            <w:noProof/>
          </w:rPr>
          <w:t>1</w:t>
        </w:r>
        <w:r>
          <w:rPr>
            <w:noProof/>
          </w:rPr>
          <w:fldChar w:fldCharType="end"/>
        </w:r>
      </w:p>
    </w:sdtContent>
  </w:sdt>
  <w:p w:rsidR="00AF0B92" w:rsidRDefault="00AF0B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B92" w:rsidRDefault="00AF0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B92" w:rsidRDefault="00AF0B92" w:rsidP="00AF0B92">
      <w:r>
        <w:separator/>
      </w:r>
    </w:p>
  </w:footnote>
  <w:footnote w:type="continuationSeparator" w:id="0">
    <w:p w:rsidR="00AF0B92" w:rsidRDefault="00AF0B92" w:rsidP="00AF0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B92" w:rsidRDefault="00AF0B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B92" w:rsidRDefault="00AF0B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B92" w:rsidRDefault="00AF0B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C618E19-98A7-4A0A-A108-38A3141B93E1}"/>
    <w:docVar w:name="dgnword-eventsink" w:val="425158504"/>
  </w:docVars>
  <w:rsids>
    <w:rsidRoot w:val="00E443BD"/>
    <w:rsid w:val="000B384E"/>
    <w:rsid w:val="00281E73"/>
    <w:rsid w:val="002E3D3D"/>
    <w:rsid w:val="0034741E"/>
    <w:rsid w:val="003C73B8"/>
    <w:rsid w:val="003E121A"/>
    <w:rsid w:val="005500E8"/>
    <w:rsid w:val="00570860"/>
    <w:rsid w:val="006D2E1B"/>
    <w:rsid w:val="00765DA9"/>
    <w:rsid w:val="007E4A50"/>
    <w:rsid w:val="00A2426C"/>
    <w:rsid w:val="00A92CF4"/>
    <w:rsid w:val="00AF0B92"/>
    <w:rsid w:val="00B012F2"/>
    <w:rsid w:val="00B308B5"/>
    <w:rsid w:val="00C17A0E"/>
    <w:rsid w:val="00E443BD"/>
    <w:rsid w:val="00ED1170"/>
    <w:rsid w:val="00F11885"/>
    <w:rsid w:val="00F2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25"/>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4A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A50"/>
    <w:rPr>
      <w:rFonts w:ascii="Segoe UI" w:hAnsi="Segoe UI" w:cs="Segoe UI"/>
      <w:sz w:val="18"/>
      <w:szCs w:val="18"/>
    </w:rPr>
  </w:style>
  <w:style w:type="paragraph" w:styleId="Revision">
    <w:name w:val="Revision"/>
    <w:hidden/>
    <w:uiPriority w:val="99"/>
    <w:semiHidden/>
    <w:rsid w:val="00B308B5"/>
    <w:pPr>
      <w:widowControl/>
    </w:pPr>
  </w:style>
  <w:style w:type="paragraph" w:styleId="Header">
    <w:name w:val="header"/>
    <w:basedOn w:val="Normal"/>
    <w:link w:val="HeaderChar"/>
    <w:uiPriority w:val="99"/>
    <w:unhideWhenUsed/>
    <w:rsid w:val="00AF0B92"/>
    <w:pPr>
      <w:tabs>
        <w:tab w:val="center" w:pos="4680"/>
        <w:tab w:val="right" w:pos="9360"/>
      </w:tabs>
    </w:pPr>
  </w:style>
  <w:style w:type="character" w:customStyle="1" w:styleId="HeaderChar">
    <w:name w:val="Header Char"/>
    <w:basedOn w:val="DefaultParagraphFont"/>
    <w:link w:val="Header"/>
    <w:uiPriority w:val="99"/>
    <w:rsid w:val="00AF0B92"/>
  </w:style>
  <w:style w:type="paragraph" w:styleId="Footer">
    <w:name w:val="footer"/>
    <w:basedOn w:val="Normal"/>
    <w:link w:val="FooterChar"/>
    <w:uiPriority w:val="99"/>
    <w:unhideWhenUsed/>
    <w:rsid w:val="00AF0B92"/>
    <w:pPr>
      <w:tabs>
        <w:tab w:val="center" w:pos="4680"/>
        <w:tab w:val="right" w:pos="9360"/>
      </w:tabs>
    </w:pPr>
  </w:style>
  <w:style w:type="character" w:customStyle="1" w:styleId="FooterChar">
    <w:name w:val="Footer Char"/>
    <w:basedOn w:val="DefaultParagraphFont"/>
    <w:link w:val="Footer"/>
    <w:uiPriority w:val="99"/>
    <w:rsid w:val="00AF0B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25"/>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4A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A50"/>
    <w:rPr>
      <w:rFonts w:ascii="Segoe UI" w:hAnsi="Segoe UI" w:cs="Segoe UI"/>
      <w:sz w:val="18"/>
      <w:szCs w:val="18"/>
    </w:rPr>
  </w:style>
  <w:style w:type="paragraph" w:styleId="Revision">
    <w:name w:val="Revision"/>
    <w:hidden/>
    <w:uiPriority w:val="99"/>
    <w:semiHidden/>
    <w:rsid w:val="00B308B5"/>
    <w:pPr>
      <w:widowControl/>
    </w:pPr>
  </w:style>
  <w:style w:type="paragraph" w:styleId="Header">
    <w:name w:val="header"/>
    <w:basedOn w:val="Normal"/>
    <w:link w:val="HeaderChar"/>
    <w:uiPriority w:val="99"/>
    <w:unhideWhenUsed/>
    <w:rsid w:val="00AF0B92"/>
    <w:pPr>
      <w:tabs>
        <w:tab w:val="center" w:pos="4680"/>
        <w:tab w:val="right" w:pos="9360"/>
      </w:tabs>
    </w:pPr>
  </w:style>
  <w:style w:type="character" w:customStyle="1" w:styleId="HeaderChar">
    <w:name w:val="Header Char"/>
    <w:basedOn w:val="DefaultParagraphFont"/>
    <w:link w:val="Header"/>
    <w:uiPriority w:val="99"/>
    <w:rsid w:val="00AF0B92"/>
  </w:style>
  <w:style w:type="paragraph" w:styleId="Footer">
    <w:name w:val="footer"/>
    <w:basedOn w:val="Normal"/>
    <w:link w:val="FooterChar"/>
    <w:uiPriority w:val="99"/>
    <w:unhideWhenUsed/>
    <w:rsid w:val="00AF0B92"/>
    <w:pPr>
      <w:tabs>
        <w:tab w:val="center" w:pos="4680"/>
        <w:tab w:val="right" w:pos="9360"/>
      </w:tabs>
    </w:pPr>
  </w:style>
  <w:style w:type="character" w:customStyle="1" w:styleId="FooterChar">
    <w:name w:val="Footer Char"/>
    <w:basedOn w:val="DefaultParagraphFont"/>
    <w:link w:val="Footer"/>
    <w:uiPriority w:val="99"/>
    <w:rsid w:val="00AF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16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Attachment B</vt:lpstr>
    </vt:vector>
  </TitlesOfParts>
  <Company>CMS</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CMS</dc:creator>
  <cp:lastModifiedBy>SYSTEM</cp:lastModifiedBy>
  <cp:revision>2</cp:revision>
  <dcterms:created xsi:type="dcterms:W3CDTF">2018-04-09T13:58:00Z</dcterms:created>
  <dcterms:modified xsi:type="dcterms:W3CDTF">2018-04-09T13:58:00Z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2013-04-25T00:00:00Z</vt:filetime>
  </property>
  <property fmtid="{D5CDD505-2E9C-101B-9397-08002B2CF9AE}" pid="3" name="Creator">
    <vt:lpwstr>Acrobat PDFMaker 10.1 for Word</vt:lpwstr>
  </property>
  <property fmtid="{D5CDD505-2E9C-101B-9397-08002B2CF9AE}" pid="4" name="LastSaved">
    <vt:filetime>2016-08-23T00:00:00Z</vt:filetime>
  </property>
  <property fmtid="{D5CDD505-2E9C-101B-9397-08002B2CF9AE}" pid="5" name="_AdHocReviewCycleID">
    <vt:i4>2089859556</vt:i4>
  </property>
  <property fmtid="{D5CDD505-2E9C-101B-9397-08002B2CF9AE}" pid="6" name="_NewReviewCycle">
    <vt:lpwstr/>
  </property>
  <property fmtid="{D5CDD505-2E9C-101B-9397-08002B2CF9AE}" pid="7" name="_EmailSubject">
    <vt:lpwstr>Section 111 PRA</vt:lpwstr>
  </property>
  <property fmtid="{D5CDD505-2E9C-101B-9397-08002B2CF9AE}" pid="8" name="_AuthorEmail">
    <vt:lpwstr>John.Albert@cms.hhs.gov</vt:lpwstr>
  </property>
  <property fmtid="{D5CDD505-2E9C-101B-9397-08002B2CF9AE}" pid="9" name="_AuthorEmailDisplayName">
    <vt:lpwstr>Albert, John P. (CMS/OFM)</vt:lpwstr>
  </property>
  <property fmtid="{D5CDD505-2E9C-101B-9397-08002B2CF9AE}" pid="10" name="_PreviousAdHocReviewCycleID">
    <vt:i4>2065984761</vt:i4>
  </property>
  <property fmtid="{D5CDD505-2E9C-101B-9397-08002B2CF9AE}" pid="11" name="_ReviewingToolsShownOnce">
    <vt:lpwstr/>
  </property>
</Properties>
</file>