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98D2C" w14:textId="77777777" w:rsidR="0090446A" w:rsidRDefault="0090446A" w:rsidP="001B0F23">
      <w:pPr>
        <w:pStyle w:val="NoSpacing"/>
        <w:jc w:val="center"/>
        <w:rPr>
          <w:rStyle w:val="Heading11"/>
        </w:rPr>
      </w:pPr>
      <w:bookmarkStart w:id="0" w:name="_GoBack"/>
      <w:bookmarkEnd w:id="0"/>
    </w:p>
    <w:p w14:paraId="11F98EE1" w14:textId="77777777" w:rsidR="0090446A" w:rsidRDefault="0090446A" w:rsidP="001B0F23">
      <w:pPr>
        <w:pStyle w:val="NoSpacing"/>
        <w:jc w:val="center"/>
        <w:rPr>
          <w:rStyle w:val="Heading11"/>
        </w:rPr>
      </w:pPr>
    </w:p>
    <w:p w14:paraId="2DEB0290" w14:textId="77777777" w:rsidR="0090446A" w:rsidRDefault="0090446A" w:rsidP="001B0F23">
      <w:pPr>
        <w:pStyle w:val="NoSpacing"/>
        <w:jc w:val="center"/>
        <w:rPr>
          <w:rStyle w:val="Heading11"/>
        </w:rPr>
      </w:pPr>
    </w:p>
    <w:p w14:paraId="2BCE2A53" w14:textId="77777777" w:rsidR="00233877" w:rsidRPr="00233877" w:rsidRDefault="00233877" w:rsidP="001B0F23">
      <w:pPr>
        <w:pStyle w:val="NoSpacing"/>
        <w:jc w:val="center"/>
        <w:rPr>
          <w:rStyle w:val="Heading11"/>
        </w:rPr>
      </w:pPr>
    </w:p>
    <w:p w14:paraId="1F3A8E17" w14:textId="77777777" w:rsidR="00E63A74" w:rsidRPr="00A556F2" w:rsidRDefault="00E63A74" w:rsidP="00E63A74">
      <w:pPr>
        <w:pStyle w:val="NoSpacing"/>
        <w:jc w:val="center"/>
        <w:rPr>
          <w:b/>
        </w:rPr>
      </w:pPr>
      <w:r w:rsidRPr="00C7692E">
        <w:rPr>
          <w:rFonts w:ascii="Times New Roman Bold" w:hAnsi="Times New Roman Bold"/>
          <w:b/>
          <w:caps/>
        </w:rPr>
        <w:t>Assessing the Infrastructure for Public STD prevention Services</w:t>
      </w:r>
    </w:p>
    <w:p w14:paraId="2469DD53" w14:textId="77777777" w:rsidR="00233877" w:rsidRPr="00233877" w:rsidRDefault="00D36EEB" w:rsidP="001B0F23">
      <w:pPr>
        <w:pStyle w:val="NoSpacing"/>
        <w:jc w:val="center"/>
      </w:pPr>
      <w:r w:rsidDel="00D36EEB">
        <w:t xml:space="preserve"> </w:t>
      </w:r>
      <w:r w:rsidR="00233877" w:rsidRPr="00233877">
        <w:t xml:space="preserve">(OMB No. </w:t>
      </w:r>
      <w:r w:rsidR="007D2BBF">
        <w:t>0920</w:t>
      </w:r>
      <w:r w:rsidR="00233877" w:rsidRPr="00233877">
        <w:t>-XXXX)</w:t>
      </w:r>
    </w:p>
    <w:p w14:paraId="0C5C923F" w14:textId="77777777" w:rsidR="007D2BBF" w:rsidRPr="00233877" w:rsidRDefault="007D2BBF" w:rsidP="007D2BBF">
      <w:pPr>
        <w:pStyle w:val="NoSpacing"/>
        <w:jc w:val="center"/>
      </w:pPr>
      <w:r>
        <w:t>Exp. xx/xx/xxxx</w:t>
      </w:r>
    </w:p>
    <w:p w14:paraId="56632D3D" w14:textId="77777777" w:rsidR="00233877" w:rsidRPr="00233877" w:rsidRDefault="00233877" w:rsidP="001B0F23">
      <w:pPr>
        <w:pStyle w:val="NoSpacing"/>
        <w:jc w:val="center"/>
      </w:pPr>
    </w:p>
    <w:p w14:paraId="35CB5966" w14:textId="77777777" w:rsidR="0090446A" w:rsidRDefault="0090446A" w:rsidP="0090446A">
      <w:pPr>
        <w:pStyle w:val="NoSpacing"/>
        <w:jc w:val="center"/>
        <w:rPr>
          <w:rStyle w:val="Heading11"/>
        </w:rPr>
      </w:pPr>
    </w:p>
    <w:p w14:paraId="55316888" w14:textId="77777777" w:rsidR="00A556F2" w:rsidRDefault="00A556F2" w:rsidP="0090446A">
      <w:pPr>
        <w:pStyle w:val="NoSpacing"/>
        <w:jc w:val="center"/>
        <w:rPr>
          <w:rStyle w:val="Heading11"/>
        </w:rPr>
      </w:pPr>
    </w:p>
    <w:p w14:paraId="63841860" w14:textId="77777777" w:rsidR="00A556F2" w:rsidRDefault="00A556F2" w:rsidP="0090446A">
      <w:pPr>
        <w:pStyle w:val="NoSpacing"/>
        <w:jc w:val="center"/>
        <w:rPr>
          <w:rStyle w:val="Heading11"/>
        </w:rPr>
      </w:pPr>
    </w:p>
    <w:p w14:paraId="5DA7F516" w14:textId="77777777" w:rsidR="00A556F2" w:rsidRDefault="00A556F2" w:rsidP="0090446A">
      <w:pPr>
        <w:pStyle w:val="NoSpacing"/>
        <w:jc w:val="center"/>
        <w:rPr>
          <w:rStyle w:val="Heading11"/>
        </w:rPr>
      </w:pPr>
    </w:p>
    <w:p w14:paraId="0F724182" w14:textId="77777777" w:rsidR="00A556F2" w:rsidRDefault="00A556F2" w:rsidP="0090446A">
      <w:pPr>
        <w:pStyle w:val="NoSpacing"/>
        <w:jc w:val="center"/>
        <w:rPr>
          <w:rStyle w:val="Heading11"/>
        </w:rPr>
      </w:pPr>
    </w:p>
    <w:p w14:paraId="2D47DD03" w14:textId="77777777" w:rsidR="0090446A" w:rsidRPr="00233877" w:rsidRDefault="0090446A" w:rsidP="0090446A">
      <w:pPr>
        <w:pStyle w:val="NoSpacing"/>
        <w:jc w:val="center"/>
        <w:rPr>
          <w:rStyle w:val="Heading11"/>
        </w:rPr>
      </w:pPr>
      <w:r w:rsidRPr="00233877">
        <w:rPr>
          <w:rStyle w:val="Heading11"/>
        </w:rPr>
        <w:t xml:space="preserve">SUPPORTING STATEMENT </w:t>
      </w:r>
      <w:r>
        <w:rPr>
          <w:rStyle w:val="Heading11"/>
        </w:rPr>
        <w:t>A</w:t>
      </w:r>
    </w:p>
    <w:p w14:paraId="38F68C30" w14:textId="77777777" w:rsidR="00233877" w:rsidRPr="00233877" w:rsidRDefault="00233877" w:rsidP="001B0F23">
      <w:pPr>
        <w:pStyle w:val="NoSpacing"/>
        <w:jc w:val="center"/>
      </w:pPr>
    </w:p>
    <w:p w14:paraId="656CEDF1" w14:textId="77777777" w:rsidR="0090446A" w:rsidRDefault="0090446A" w:rsidP="001B0F23">
      <w:pPr>
        <w:pStyle w:val="NoSpacing"/>
        <w:jc w:val="center"/>
      </w:pPr>
    </w:p>
    <w:p w14:paraId="1EF134F5" w14:textId="77777777" w:rsidR="0090446A" w:rsidRDefault="0090446A" w:rsidP="001B0F23">
      <w:pPr>
        <w:pStyle w:val="NoSpacing"/>
        <w:jc w:val="center"/>
      </w:pPr>
    </w:p>
    <w:p w14:paraId="26895EE4" w14:textId="77777777" w:rsidR="0090446A" w:rsidRDefault="0090446A" w:rsidP="001B0F23">
      <w:pPr>
        <w:pStyle w:val="NoSpacing"/>
        <w:jc w:val="center"/>
      </w:pPr>
    </w:p>
    <w:p w14:paraId="7F0A1A08" w14:textId="77777777" w:rsidR="0090446A" w:rsidRDefault="0090446A" w:rsidP="001B0F23">
      <w:pPr>
        <w:pStyle w:val="NoSpacing"/>
        <w:jc w:val="center"/>
      </w:pPr>
    </w:p>
    <w:p w14:paraId="41959081" w14:textId="77777777" w:rsidR="0090446A" w:rsidRDefault="0090446A" w:rsidP="001B0F23">
      <w:pPr>
        <w:pStyle w:val="NoSpacing"/>
        <w:jc w:val="center"/>
      </w:pPr>
    </w:p>
    <w:p w14:paraId="21D57869" w14:textId="77777777" w:rsidR="0090446A" w:rsidRDefault="0090446A" w:rsidP="001B0F23">
      <w:pPr>
        <w:pStyle w:val="NoSpacing"/>
        <w:jc w:val="center"/>
      </w:pPr>
    </w:p>
    <w:p w14:paraId="15791BEE" w14:textId="77777777" w:rsidR="0090446A" w:rsidRDefault="0090446A" w:rsidP="001B0F23">
      <w:pPr>
        <w:pStyle w:val="NoSpacing"/>
        <w:jc w:val="center"/>
      </w:pPr>
    </w:p>
    <w:p w14:paraId="62312D62" w14:textId="77777777" w:rsidR="0090446A" w:rsidRDefault="0090446A" w:rsidP="001B0F23">
      <w:pPr>
        <w:pStyle w:val="NoSpacing"/>
        <w:jc w:val="center"/>
      </w:pPr>
    </w:p>
    <w:p w14:paraId="13A70416" w14:textId="77777777" w:rsidR="00233877" w:rsidRPr="00233877" w:rsidRDefault="00390E94" w:rsidP="00DB0A43">
      <w:pPr>
        <w:pStyle w:val="NoSpacing"/>
        <w:jc w:val="center"/>
      </w:pPr>
      <w:r>
        <w:t>May 25</w:t>
      </w:r>
      <w:r w:rsidR="007D2BBF">
        <w:t>, 2017</w:t>
      </w:r>
    </w:p>
    <w:p w14:paraId="095480A9" w14:textId="77777777" w:rsidR="00233877" w:rsidRPr="00233877" w:rsidRDefault="00233877" w:rsidP="001B0F23">
      <w:pPr>
        <w:pStyle w:val="NoSpacing"/>
        <w:jc w:val="center"/>
      </w:pPr>
    </w:p>
    <w:p w14:paraId="09D87D82" w14:textId="77777777" w:rsidR="00DB0A43" w:rsidRDefault="00DB0A43" w:rsidP="001B0F23">
      <w:pPr>
        <w:pStyle w:val="NoSpacing"/>
        <w:jc w:val="center"/>
      </w:pPr>
    </w:p>
    <w:p w14:paraId="51539AD9" w14:textId="77777777" w:rsidR="00DB0A43" w:rsidRDefault="00DB0A43" w:rsidP="001B0F23">
      <w:pPr>
        <w:pStyle w:val="NoSpacing"/>
        <w:jc w:val="center"/>
      </w:pPr>
    </w:p>
    <w:p w14:paraId="0F6860A2" w14:textId="77777777" w:rsidR="00233877" w:rsidRPr="00233877" w:rsidRDefault="00233877" w:rsidP="001B0F23">
      <w:pPr>
        <w:pStyle w:val="NoSpacing"/>
        <w:jc w:val="center"/>
      </w:pPr>
      <w:r w:rsidRPr="00233877">
        <w:t>Submitted by:</w:t>
      </w:r>
    </w:p>
    <w:p w14:paraId="324FEC9C" w14:textId="77777777" w:rsidR="00233877" w:rsidRPr="00233877" w:rsidRDefault="00233877" w:rsidP="001B0F23">
      <w:pPr>
        <w:pStyle w:val="NoSpacing"/>
        <w:jc w:val="center"/>
      </w:pPr>
      <w:r w:rsidRPr="00233877">
        <w:t xml:space="preserve">Division of </w:t>
      </w:r>
      <w:r>
        <w:t>Sexually Transmitted Disease Prevention</w:t>
      </w:r>
    </w:p>
    <w:p w14:paraId="3F34FAA2" w14:textId="77777777" w:rsidR="00233877" w:rsidRPr="00233877" w:rsidRDefault="00233877" w:rsidP="001B0F23">
      <w:pPr>
        <w:pStyle w:val="NoSpacing"/>
        <w:jc w:val="center"/>
      </w:pPr>
      <w:r w:rsidRPr="00233877">
        <w:t>Centers for Disease Control and Prevention</w:t>
      </w:r>
    </w:p>
    <w:p w14:paraId="6E7FEA25" w14:textId="77777777" w:rsidR="00233877" w:rsidRPr="00233877" w:rsidRDefault="00233877" w:rsidP="001B0F23">
      <w:pPr>
        <w:pStyle w:val="NoSpacing"/>
        <w:jc w:val="center"/>
      </w:pPr>
      <w:r w:rsidRPr="00233877">
        <w:t>Department of Health and Human Services</w:t>
      </w:r>
    </w:p>
    <w:p w14:paraId="3C4690B7" w14:textId="77777777" w:rsidR="00233877" w:rsidRPr="00233877" w:rsidRDefault="00233877" w:rsidP="001B0F23">
      <w:pPr>
        <w:pStyle w:val="NoSpacing"/>
        <w:jc w:val="center"/>
      </w:pPr>
    </w:p>
    <w:p w14:paraId="7A2A9F4F" w14:textId="77777777" w:rsidR="00233877" w:rsidRPr="00233877" w:rsidRDefault="00233877" w:rsidP="001B0F23">
      <w:pPr>
        <w:pStyle w:val="NoSpacing"/>
        <w:jc w:val="center"/>
      </w:pPr>
    </w:p>
    <w:p w14:paraId="502E89F1" w14:textId="77777777" w:rsidR="00233877" w:rsidRPr="00233877" w:rsidRDefault="00233877" w:rsidP="001B0F23">
      <w:pPr>
        <w:pStyle w:val="NoSpacing"/>
        <w:jc w:val="center"/>
      </w:pPr>
    </w:p>
    <w:p w14:paraId="246EC04A" w14:textId="77777777" w:rsidR="00233877" w:rsidRPr="00233877" w:rsidRDefault="00233877" w:rsidP="001B0F23">
      <w:pPr>
        <w:pStyle w:val="NoSpacing"/>
        <w:jc w:val="center"/>
      </w:pPr>
      <w:r w:rsidRPr="00233877">
        <w:t>Refer questions to:</w:t>
      </w:r>
    </w:p>
    <w:p w14:paraId="47D39346" w14:textId="77777777" w:rsidR="00233877" w:rsidRPr="00233877" w:rsidRDefault="00233877" w:rsidP="001B0F23">
      <w:pPr>
        <w:pStyle w:val="NoSpacing"/>
        <w:jc w:val="center"/>
      </w:pPr>
    </w:p>
    <w:p w14:paraId="1AC5CDB5" w14:textId="77777777" w:rsidR="00233877" w:rsidRDefault="00233877" w:rsidP="001B0F23">
      <w:pPr>
        <w:pStyle w:val="NoSpacing"/>
        <w:jc w:val="center"/>
      </w:pPr>
      <w:r>
        <w:t>Jami Leichliter, PhD</w:t>
      </w:r>
    </w:p>
    <w:p w14:paraId="31715419" w14:textId="77777777" w:rsidR="00233877" w:rsidRDefault="00233877" w:rsidP="001B0F23">
      <w:pPr>
        <w:pStyle w:val="NoSpacing"/>
        <w:jc w:val="center"/>
      </w:pPr>
      <w:r>
        <w:t>Policy Science, Team Lead</w:t>
      </w:r>
    </w:p>
    <w:p w14:paraId="63B41786" w14:textId="77777777" w:rsidR="00233877" w:rsidRDefault="00233877" w:rsidP="001B0F23">
      <w:pPr>
        <w:pStyle w:val="NoSpacing"/>
        <w:jc w:val="center"/>
      </w:pPr>
      <w:r>
        <w:t>Division of STD Prevention</w:t>
      </w:r>
    </w:p>
    <w:p w14:paraId="0EF764B9" w14:textId="77777777" w:rsidR="00233877" w:rsidRDefault="00233877" w:rsidP="001B0F23">
      <w:pPr>
        <w:pStyle w:val="NoSpacing"/>
        <w:jc w:val="center"/>
      </w:pPr>
      <w:r>
        <w:t>Centers for Disease Control and Prevention</w:t>
      </w:r>
    </w:p>
    <w:p w14:paraId="43DFB60B" w14:textId="77777777" w:rsidR="00233877" w:rsidRDefault="00233877" w:rsidP="001B0F23">
      <w:pPr>
        <w:pStyle w:val="NoSpacing"/>
        <w:jc w:val="center"/>
      </w:pPr>
    </w:p>
    <w:p w14:paraId="78579D9B" w14:textId="77777777" w:rsidR="00233877" w:rsidRPr="00233877" w:rsidRDefault="00E32202" w:rsidP="001B0F23">
      <w:pPr>
        <w:pStyle w:val="NoSpacing"/>
        <w:jc w:val="center"/>
      </w:pPr>
      <w:r>
        <w:t>1600 Clifton Rd NE, MS E-02</w:t>
      </w:r>
    </w:p>
    <w:p w14:paraId="54464CCD" w14:textId="77777777" w:rsidR="00233877" w:rsidRPr="00233877" w:rsidRDefault="00233877" w:rsidP="001B0F23">
      <w:pPr>
        <w:pStyle w:val="NoSpacing"/>
        <w:jc w:val="center"/>
      </w:pPr>
      <w:r w:rsidRPr="00233877">
        <w:t xml:space="preserve">Atlanta, Georgia </w:t>
      </w:r>
      <w:r w:rsidR="00945473">
        <w:t>30329</w:t>
      </w:r>
    </w:p>
    <w:p w14:paraId="27FD3A4D" w14:textId="77777777" w:rsidR="00233877" w:rsidRPr="00233877" w:rsidRDefault="00233877" w:rsidP="001B0F23">
      <w:pPr>
        <w:pStyle w:val="NoSpacing"/>
        <w:jc w:val="center"/>
        <w:rPr>
          <w:lang w:val="pt-BR"/>
        </w:rPr>
      </w:pPr>
      <w:r w:rsidRPr="00233877">
        <w:rPr>
          <w:lang w:val="pt-BR"/>
        </w:rPr>
        <w:t>(404</w:t>
      </w:r>
      <w:r w:rsidR="00DF1291">
        <w:rPr>
          <w:lang w:val="pt-BR"/>
        </w:rPr>
        <w:t xml:space="preserve">) </w:t>
      </w:r>
      <w:r w:rsidRPr="00233877">
        <w:rPr>
          <w:lang w:val="pt-BR"/>
        </w:rPr>
        <w:t>639-1821</w:t>
      </w:r>
    </w:p>
    <w:p w14:paraId="38B2700B" w14:textId="77777777" w:rsidR="00233877" w:rsidRPr="00233877" w:rsidRDefault="00233877" w:rsidP="001B0F23">
      <w:pPr>
        <w:pStyle w:val="NoSpacing"/>
        <w:jc w:val="center"/>
        <w:rPr>
          <w:lang w:val="pt-BR"/>
        </w:rPr>
      </w:pPr>
      <w:r w:rsidRPr="00233877">
        <w:rPr>
          <w:lang w:val="pt-BR"/>
        </w:rPr>
        <w:t>FAX (</w:t>
      </w:r>
      <w:r>
        <w:rPr>
          <w:lang w:val="pt-BR"/>
        </w:rPr>
        <w:t>404</w:t>
      </w:r>
      <w:r w:rsidRPr="00233877">
        <w:rPr>
          <w:lang w:val="pt-BR"/>
        </w:rPr>
        <w:t xml:space="preserve">) </w:t>
      </w:r>
      <w:r w:rsidR="00DF1291">
        <w:rPr>
          <w:lang w:val="pt-BR"/>
        </w:rPr>
        <w:t>639</w:t>
      </w:r>
      <w:r>
        <w:rPr>
          <w:lang w:val="pt-BR"/>
        </w:rPr>
        <w:t>-</w:t>
      </w:r>
      <w:r w:rsidR="00945473">
        <w:rPr>
          <w:lang w:val="pt-BR"/>
        </w:rPr>
        <w:t>8622</w:t>
      </w:r>
    </w:p>
    <w:p w14:paraId="30812832" w14:textId="77777777" w:rsidR="00233877" w:rsidRDefault="00233877" w:rsidP="001B0F23">
      <w:pPr>
        <w:pStyle w:val="NoSpacing"/>
        <w:jc w:val="center"/>
      </w:pPr>
      <w:r>
        <w:t xml:space="preserve">Email: </w:t>
      </w:r>
      <w:hyperlink r:id="rId9" w:history="1">
        <w:r w:rsidRPr="007A411B">
          <w:rPr>
            <w:rStyle w:val="Hyperlink"/>
          </w:rPr>
          <w:t>jleichliter@cdc.gov</w:t>
        </w:r>
      </w:hyperlink>
    </w:p>
    <w:p w14:paraId="65EFC39A" w14:textId="77777777" w:rsidR="00DB0A43" w:rsidRDefault="00DB0A43">
      <w:pPr>
        <w:widowControl/>
        <w:autoSpaceDE/>
        <w:autoSpaceDN/>
        <w:adjustRightInd/>
        <w:spacing w:after="160" w:line="259" w:lineRule="auto"/>
        <w:rPr>
          <w:lang w:val="pt-BR"/>
        </w:rPr>
      </w:pPr>
      <w:r>
        <w:rPr>
          <w:lang w:val="pt-BR"/>
        </w:rPr>
        <w:br w:type="page"/>
      </w:r>
    </w:p>
    <w:p w14:paraId="3A2FE90D" w14:textId="77777777" w:rsidR="00233877" w:rsidRPr="00233877" w:rsidRDefault="00233877" w:rsidP="00233877">
      <w:pPr>
        <w:tabs>
          <w:tab w:val="center" w:pos="4680"/>
        </w:tabs>
        <w:jc w:val="center"/>
        <w:rPr>
          <w:lang w:val="pt-BR"/>
        </w:rPr>
      </w:pPr>
    </w:p>
    <w:sdt>
      <w:sdtPr>
        <w:rPr>
          <w:rFonts w:eastAsia="Times New Roman" w:cs="Times New Roman"/>
          <w:b w:val="0"/>
          <w:bCs w:val="0"/>
          <w:color w:val="auto"/>
          <w:szCs w:val="24"/>
          <w:lang w:eastAsia="en-US"/>
        </w:rPr>
        <w:id w:val="-604578985"/>
        <w:docPartObj>
          <w:docPartGallery w:val="Table of Contents"/>
          <w:docPartUnique/>
        </w:docPartObj>
      </w:sdtPr>
      <w:sdtEndPr>
        <w:rPr>
          <w:noProof/>
        </w:rPr>
      </w:sdtEndPr>
      <w:sdtContent>
        <w:p w14:paraId="5B0C6619" w14:textId="77777777" w:rsidR="001B0F23" w:rsidRDefault="001B0F23" w:rsidP="00DB0A43">
          <w:pPr>
            <w:pStyle w:val="TOCHeading"/>
            <w:jc w:val="center"/>
          </w:pPr>
          <w:r>
            <w:t>Table of Contents</w:t>
          </w:r>
        </w:p>
        <w:p w14:paraId="05B5A6C6" w14:textId="77777777" w:rsidR="00A86FC8" w:rsidRDefault="001B0F23" w:rsidP="003427D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2298371" w:history="1">
            <w:r w:rsidR="00A86FC8" w:rsidRPr="00EA57D7">
              <w:rPr>
                <w:rStyle w:val="Hyperlink"/>
                <w:noProof/>
              </w:rPr>
              <w:t>A.1</w:t>
            </w:r>
            <w:r w:rsidR="00A86FC8">
              <w:rPr>
                <w:rFonts w:asciiTheme="minorHAnsi" w:eastAsiaTheme="minorEastAsia" w:hAnsiTheme="minorHAnsi" w:cstheme="minorBidi"/>
                <w:noProof/>
                <w:sz w:val="22"/>
                <w:szCs w:val="22"/>
              </w:rPr>
              <w:tab/>
            </w:r>
            <w:r w:rsidR="00A86FC8" w:rsidRPr="00EA57D7">
              <w:rPr>
                <w:rStyle w:val="Hyperlink"/>
                <w:noProof/>
              </w:rPr>
              <w:t>Circumstances Making the Collection of Information Necessary</w:t>
            </w:r>
            <w:r w:rsidR="00A86FC8">
              <w:rPr>
                <w:noProof/>
                <w:webHidden/>
              </w:rPr>
              <w:tab/>
            </w:r>
            <w:r w:rsidR="00A86FC8">
              <w:rPr>
                <w:noProof/>
                <w:webHidden/>
              </w:rPr>
              <w:fldChar w:fldCharType="begin"/>
            </w:r>
            <w:r w:rsidR="00A86FC8">
              <w:rPr>
                <w:noProof/>
                <w:webHidden/>
              </w:rPr>
              <w:instrText xml:space="preserve"> PAGEREF _Toc462298371 \h </w:instrText>
            </w:r>
            <w:r w:rsidR="00A86FC8">
              <w:rPr>
                <w:noProof/>
                <w:webHidden/>
              </w:rPr>
            </w:r>
            <w:r w:rsidR="00A86FC8">
              <w:rPr>
                <w:noProof/>
                <w:webHidden/>
              </w:rPr>
              <w:fldChar w:fldCharType="separate"/>
            </w:r>
            <w:r w:rsidR="005E5760">
              <w:rPr>
                <w:noProof/>
                <w:webHidden/>
              </w:rPr>
              <w:t>3</w:t>
            </w:r>
            <w:r w:rsidR="00A86FC8">
              <w:rPr>
                <w:noProof/>
                <w:webHidden/>
              </w:rPr>
              <w:fldChar w:fldCharType="end"/>
            </w:r>
          </w:hyperlink>
        </w:p>
        <w:p w14:paraId="24CBBDAB" w14:textId="77777777" w:rsidR="00A86FC8" w:rsidRDefault="00D15FAB" w:rsidP="003427D6">
          <w:pPr>
            <w:pStyle w:val="TOC1"/>
            <w:rPr>
              <w:rFonts w:asciiTheme="minorHAnsi" w:eastAsiaTheme="minorEastAsia" w:hAnsiTheme="minorHAnsi" w:cstheme="minorBidi"/>
              <w:noProof/>
              <w:sz w:val="22"/>
              <w:szCs w:val="22"/>
            </w:rPr>
          </w:pPr>
          <w:hyperlink w:anchor="_Toc462298372" w:history="1">
            <w:r w:rsidR="00A86FC8" w:rsidRPr="00EA57D7">
              <w:rPr>
                <w:rStyle w:val="Hyperlink"/>
                <w:noProof/>
              </w:rPr>
              <w:t>A.2</w:t>
            </w:r>
            <w:r w:rsidR="00A86FC8">
              <w:rPr>
                <w:rFonts w:asciiTheme="minorHAnsi" w:eastAsiaTheme="minorEastAsia" w:hAnsiTheme="minorHAnsi" w:cstheme="minorBidi"/>
                <w:noProof/>
                <w:sz w:val="22"/>
                <w:szCs w:val="22"/>
              </w:rPr>
              <w:tab/>
            </w:r>
            <w:r w:rsidR="00A86FC8" w:rsidRPr="00EA57D7">
              <w:rPr>
                <w:rStyle w:val="Hyperlink"/>
                <w:noProof/>
              </w:rPr>
              <w:t>Purpose and Use of the Information Collection</w:t>
            </w:r>
            <w:r w:rsidR="00A86FC8">
              <w:rPr>
                <w:noProof/>
                <w:webHidden/>
              </w:rPr>
              <w:tab/>
            </w:r>
            <w:r w:rsidR="00A86FC8">
              <w:rPr>
                <w:noProof/>
                <w:webHidden/>
              </w:rPr>
              <w:fldChar w:fldCharType="begin"/>
            </w:r>
            <w:r w:rsidR="00A86FC8">
              <w:rPr>
                <w:noProof/>
                <w:webHidden/>
              </w:rPr>
              <w:instrText xml:space="preserve"> PAGEREF _Toc462298372 \h </w:instrText>
            </w:r>
            <w:r w:rsidR="00A86FC8">
              <w:rPr>
                <w:noProof/>
                <w:webHidden/>
              </w:rPr>
            </w:r>
            <w:r w:rsidR="00A86FC8">
              <w:rPr>
                <w:noProof/>
                <w:webHidden/>
              </w:rPr>
              <w:fldChar w:fldCharType="separate"/>
            </w:r>
            <w:r w:rsidR="005E5760">
              <w:rPr>
                <w:noProof/>
                <w:webHidden/>
              </w:rPr>
              <w:t>4</w:t>
            </w:r>
            <w:r w:rsidR="00A86FC8">
              <w:rPr>
                <w:noProof/>
                <w:webHidden/>
              </w:rPr>
              <w:fldChar w:fldCharType="end"/>
            </w:r>
          </w:hyperlink>
        </w:p>
        <w:p w14:paraId="37380464" w14:textId="77777777" w:rsidR="00A86FC8" w:rsidRDefault="00D15FAB" w:rsidP="003427D6">
          <w:pPr>
            <w:pStyle w:val="TOC1"/>
            <w:rPr>
              <w:rFonts w:asciiTheme="minorHAnsi" w:eastAsiaTheme="minorEastAsia" w:hAnsiTheme="minorHAnsi" w:cstheme="minorBidi"/>
              <w:noProof/>
              <w:sz w:val="22"/>
              <w:szCs w:val="22"/>
            </w:rPr>
          </w:pPr>
          <w:hyperlink w:anchor="_Toc462298373" w:history="1">
            <w:r w:rsidR="00A86FC8" w:rsidRPr="00EA57D7">
              <w:rPr>
                <w:rStyle w:val="Hyperlink"/>
                <w:noProof/>
              </w:rPr>
              <w:t>A.3</w:t>
            </w:r>
            <w:r w:rsidR="00A86FC8">
              <w:rPr>
                <w:rFonts w:asciiTheme="minorHAnsi" w:eastAsiaTheme="minorEastAsia" w:hAnsiTheme="minorHAnsi" w:cstheme="minorBidi"/>
                <w:noProof/>
                <w:sz w:val="22"/>
                <w:szCs w:val="22"/>
              </w:rPr>
              <w:tab/>
            </w:r>
            <w:r w:rsidR="00A86FC8" w:rsidRPr="00EA57D7">
              <w:rPr>
                <w:rStyle w:val="Hyperlink"/>
                <w:noProof/>
              </w:rPr>
              <w:t>Use of Improved Information Technology and Burden Reduction</w:t>
            </w:r>
            <w:r w:rsidR="00A86FC8">
              <w:rPr>
                <w:noProof/>
                <w:webHidden/>
              </w:rPr>
              <w:tab/>
            </w:r>
            <w:r w:rsidR="00A86FC8">
              <w:rPr>
                <w:noProof/>
                <w:webHidden/>
              </w:rPr>
              <w:fldChar w:fldCharType="begin"/>
            </w:r>
            <w:r w:rsidR="00A86FC8">
              <w:rPr>
                <w:noProof/>
                <w:webHidden/>
              </w:rPr>
              <w:instrText xml:space="preserve"> PAGEREF _Toc462298373 \h </w:instrText>
            </w:r>
            <w:r w:rsidR="00A86FC8">
              <w:rPr>
                <w:noProof/>
                <w:webHidden/>
              </w:rPr>
            </w:r>
            <w:r w:rsidR="00A86FC8">
              <w:rPr>
                <w:noProof/>
                <w:webHidden/>
              </w:rPr>
              <w:fldChar w:fldCharType="separate"/>
            </w:r>
            <w:r w:rsidR="005E5760">
              <w:rPr>
                <w:noProof/>
                <w:webHidden/>
              </w:rPr>
              <w:t>4</w:t>
            </w:r>
            <w:r w:rsidR="00A86FC8">
              <w:rPr>
                <w:noProof/>
                <w:webHidden/>
              </w:rPr>
              <w:fldChar w:fldCharType="end"/>
            </w:r>
          </w:hyperlink>
        </w:p>
        <w:p w14:paraId="7B0D3DCD" w14:textId="77777777" w:rsidR="00A86FC8" w:rsidRDefault="00D15FAB" w:rsidP="003427D6">
          <w:pPr>
            <w:pStyle w:val="TOC1"/>
            <w:rPr>
              <w:rFonts w:asciiTheme="minorHAnsi" w:eastAsiaTheme="minorEastAsia" w:hAnsiTheme="minorHAnsi" w:cstheme="minorBidi"/>
              <w:noProof/>
              <w:sz w:val="22"/>
              <w:szCs w:val="22"/>
            </w:rPr>
          </w:pPr>
          <w:hyperlink w:anchor="_Toc462298374" w:history="1">
            <w:r w:rsidR="00A86FC8" w:rsidRPr="00EA57D7">
              <w:rPr>
                <w:rStyle w:val="Hyperlink"/>
                <w:noProof/>
              </w:rPr>
              <w:t>A.4</w:t>
            </w:r>
            <w:r w:rsidR="00A86FC8">
              <w:rPr>
                <w:rFonts w:asciiTheme="minorHAnsi" w:eastAsiaTheme="minorEastAsia" w:hAnsiTheme="minorHAnsi" w:cstheme="minorBidi"/>
                <w:noProof/>
                <w:sz w:val="22"/>
                <w:szCs w:val="22"/>
              </w:rPr>
              <w:tab/>
            </w:r>
            <w:r w:rsidR="00A86FC8" w:rsidRPr="00EA57D7">
              <w:rPr>
                <w:rStyle w:val="Hyperlink"/>
                <w:noProof/>
              </w:rPr>
              <w:t>Efforts to Identify Duplication and Use of Similar Information</w:t>
            </w:r>
            <w:r w:rsidR="00A86FC8">
              <w:rPr>
                <w:noProof/>
                <w:webHidden/>
              </w:rPr>
              <w:tab/>
            </w:r>
            <w:r w:rsidR="00A86FC8">
              <w:rPr>
                <w:noProof/>
                <w:webHidden/>
              </w:rPr>
              <w:fldChar w:fldCharType="begin"/>
            </w:r>
            <w:r w:rsidR="00A86FC8">
              <w:rPr>
                <w:noProof/>
                <w:webHidden/>
              </w:rPr>
              <w:instrText xml:space="preserve"> PAGEREF _Toc462298374 \h </w:instrText>
            </w:r>
            <w:r w:rsidR="00A86FC8">
              <w:rPr>
                <w:noProof/>
                <w:webHidden/>
              </w:rPr>
            </w:r>
            <w:r w:rsidR="00A86FC8">
              <w:rPr>
                <w:noProof/>
                <w:webHidden/>
              </w:rPr>
              <w:fldChar w:fldCharType="separate"/>
            </w:r>
            <w:r w:rsidR="005E5760">
              <w:rPr>
                <w:noProof/>
                <w:webHidden/>
              </w:rPr>
              <w:t>5</w:t>
            </w:r>
            <w:r w:rsidR="00A86FC8">
              <w:rPr>
                <w:noProof/>
                <w:webHidden/>
              </w:rPr>
              <w:fldChar w:fldCharType="end"/>
            </w:r>
          </w:hyperlink>
        </w:p>
        <w:p w14:paraId="4608DAA2" w14:textId="77777777" w:rsidR="00A86FC8" w:rsidRDefault="00D15FAB" w:rsidP="003427D6">
          <w:pPr>
            <w:pStyle w:val="TOC1"/>
            <w:rPr>
              <w:rFonts w:asciiTheme="minorHAnsi" w:eastAsiaTheme="minorEastAsia" w:hAnsiTheme="minorHAnsi" w:cstheme="minorBidi"/>
              <w:noProof/>
              <w:sz w:val="22"/>
              <w:szCs w:val="22"/>
            </w:rPr>
          </w:pPr>
          <w:hyperlink w:anchor="_Toc462298375" w:history="1">
            <w:r w:rsidR="00A86FC8" w:rsidRPr="00EA57D7">
              <w:rPr>
                <w:rStyle w:val="Hyperlink"/>
                <w:noProof/>
              </w:rPr>
              <w:t>A.5</w:t>
            </w:r>
            <w:r w:rsidR="00A86FC8">
              <w:rPr>
                <w:rFonts w:asciiTheme="minorHAnsi" w:eastAsiaTheme="minorEastAsia" w:hAnsiTheme="minorHAnsi" w:cstheme="minorBidi"/>
                <w:noProof/>
                <w:sz w:val="22"/>
                <w:szCs w:val="22"/>
              </w:rPr>
              <w:tab/>
            </w:r>
            <w:r w:rsidR="00A86FC8" w:rsidRPr="00EA57D7">
              <w:rPr>
                <w:rStyle w:val="Hyperlink"/>
                <w:noProof/>
              </w:rPr>
              <w:t>Impact on Small Businesses or Other Small Entities</w:t>
            </w:r>
            <w:r w:rsidR="00A86FC8">
              <w:rPr>
                <w:noProof/>
                <w:webHidden/>
              </w:rPr>
              <w:tab/>
            </w:r>
            <w:r w:rsidR="00A86FC8">
              <w:rPr>
                <w:noProof/>
                <w:webHidden/>
              </w:rPr>
              <w:fldChar w:fldCharType="begin"/>
            </w:r>
            <w:r w:rsidR="00A86FC8">
              <w:rPr>
                <w:noProof/>
                <w:webHidden/>
              </w:rPr>
              <w:instrText xml:space="preserve"> PAGEREF _Toc462298375 \h </w:instrText>
            </w:r>
            <w:r w:rsidR="00A86FC8">
              <w:rPr>
                <w:noProof/>
                <w:webHidden/>
              </w:rPr>
            </w:r>
            <w:r w:rsidR="00A86FC8">
              <w:rPr>
                <w:noProof/>
                <w:webHidden/>
              </w:rPr>
              <w:fldChar w:fldCharType="separate"/>
            </w:r>
            <w:r w:rsidR="005E5760">
              <w:rPr>
                <w:noProof/>
                <w:webHidden/>
              </w:rPr>
              <w:t>5</w:t>
            </w:r>
            <w:r w:rsidR="00A86FC8">
              <w:rPr>
                <w:noProof/>
                <w:webHidden/>
              </w:rPr>
              <w:fldChar w:fldCharType="end"/>
            </w:r>
          </w:hyperlink>
        </w:p>
        <w:p w14:paraId="5CB847C0" w14:textId="77777777" w:rsidR="00A86FC8" w:rsidRDefault="00D15FAB" w:rsidP="003427D6">
          <w:pPr>
            <w:pStyle w:val="TOC1"/>
            <w:rPr>
              <w:rFonts w:asciiTheme="minorHAnsi" w:eastAsiaTheme="minorEastAsia" w:hAnsiTheme="minorHAnsi" w:cstheme="minorBidi"/>
              <w:noProof/>
              <w:sz w:val="22"/>
              <w:szCs w:val="22"/>
            </w:rPr>
          </w:pPr>
          <w:hyperlink w:anchor="_Toc462298376" w:history="1">
            <w:r w:rsidR="00A86FC8" w:rsidRPr="00EA57D7">
              <w:rPr>
                <w:rStyle w:val="Hyperlink"/>
                <w:noProof/>
              </w:rPr>
              <w:t>A.6</w:t>
            </w:r>
            <w:r w:rsidR="00A86FC8">
              <w:rPr>
                <w:rFonts w:asciiTheme="minorHAnsi" w:eastAsiaTheme="minorEastAsia" w:hAnsiTheme="minorHAnsi" w:cstheme="minorBidi"/>
                <w:noProof/>
                <w:sz w:val="22"/>
                <w:szCs w:val="22"/>
              </w:rPr>
              <w:tab/>
            </w:r>
            <w:r w:rsidR="00A86FC8" w:rsidRPr="00EA57D7">
              <w:rPr>
                <w:rStyle w:val="Hyperlink"/>
                <w:noProof/>
              </w:rPr>
              <w:t xml:space="preserve">Consequences of Collecting the Information Less frequently </w:t>
            </w:r>
            <w:r w:rsidR="00A86FC8">
              <w:rPr>
                <w:noProof/>
                <w:webHidden/>
              </w:rPr>
              <w:tab/>
            </w:r>
            <w:r w:rsidR="00A86FC8">
              <w:rPr>
                <w:noProof/>
                <w:webHidden/>
              </w:rPr>
              <w:fldChar w:fldCharType="begin"/>
            </w:r>
            <w:r w:rsidR="00A86FC8">
              <w:rPr>
                <w:noProof/>
                <w:webHidden/>
              </w:rPr>
              <w:instrText xml:space="preserve"> PAGEREF _Toc462298376 \h </w:instrText>
            </w:r>
            <w:r w:rsidR="00A86FC8">
              <w:rPr>
                <w:noProof/>
                <w:webHidden/>
              </w:rPr>
            </w:r>
            <w:r w:rsidR="00A86FC8">
              <w:rPr>
                <w:noProof/>
                <w:webHidden/>
              </w:rPr>
              <w:fldChar w:fldCharType="separate"/>
            </w:r>
            <w:r w:rsidR="005E5760">
              <w:rPr>
                <w:noProof/>
                <w:webHidden/>
              </w:rPr>
              <w:t>5</w:t>
            </w:r>
            <w:r w:rsidR="00A86FC8">
              <w:rPr>
                <w:noProof/>
                <w:webHidden/>
              </w:rPr>
              <w:fldChar w:fldCharType="end"/>
            </w:r>
          </w:hyperlink>
        </w:p>
        <w:p w14:paraId="24A574DB" w14:textId="77777777" w:rsidR="00A86FC8" w:rsidRDefault="00D15FAB" w:rsidP="003427D6">
          <w:pPr>
            <w:pStyle w:val="TOC1"/>
            <w:rPr>
              <w:rFonts w:asciiTheme="minorHAnsi" w:eastAsiaTheme="minorEastAsia" w:hAnsiTheme="minorHAnsi" w:cstheme="minorBidi"/>
              <w:noProof/>
              <w:sz w:val="22"/>
              <w:szCs w:val="22"/>
            </w:rPr>
          </w:pPr>
          <w:hyperlink w:anchor="_Toc462298377" w:history="1">
            <w:r w:rsidR="00A86FC8" w:rsidRPr="00EA57D7">
              <w:rPr>
                <w:rStyle w:val="Hyperlink"/>
                <w:noProof/>
              </w:rPr>
              <w:t>A.7</w:t>
            </w:r>
            <w:r w:rsidR="00A86FC8">
              <w:rPr>
                <w:rFonts w:asciiTheme="minorHAnsi" w:eastAsiaTheme="minorEastAsia" w:hAnsiTheme="minorHAnsi" w:cstheme="minorBidi"/>
                <w:noProof/>
                <w:sz w:val="22"/>
                <w:szCs w:val="22"/>
              </w:rPr>
              <w:tab/>
            </w:r>
            <w:r w:rsidR="00A86FC8" w:rsidRPr="00EA57D7">
              <w:rPr>
                <w:rStyle w:val="Hyperlink"/>
                <w:noProof/>
              </w:rPr>
              <w:t>Special Circumstances Relating to the Guidelines of 5 CFR 1320.5</w:t>
            </w:r>
            <w:r w:rsidR="00A86FC8">
              <w:rPr>
                <w:noProof/>
                <w:webHidden/>
              </w:rPr>
              <w:tab/>
            </w:r>
            <w:r w:rsidR="00A86FC8">
              <w:rPr>
                <w:noProof/>
                <w:webHidden/>
              </w:rPr>
              <w:fldChar w:fldCharType="begin"/>
            </w:r>
            <w:r w:rsidR="00A86FC8">
              <w:rPr>
                <w:noProof/>
                <w:webHidden/>
              </w:rPr>
              <w:instrText xml:space="preserve"> PAGEREF _Toc462298377 \h </w:instrText>
            </w:r>
            <w:r w:rsidR="00A86FC8">
              <w:rPr>
                <w:noProof/>
                <w:webHidden/>
              </w:rPr>
            </w:r>
            <w:r w:rsidR="00A86FC8">
              <w:rPr>
                <w:noProof/>
                <w:webHidden/>
              </w:rPr>
              <w:fldChar w:fldCharType="separate"/>
            </w:r>
            <w:r w:rsidR="005E5760">
              <w:rPr>
                <w:noProof/>
                <w:webHidden/>
              </w:rPr>
              <w:t>5</w:t>
            </w:r>
            <w:r w:rsidR="00A86FC8">
              <w:rPr>
                <w:noProof/>
                <w:webHidden/>
              </w:rPr>
              <w:fldChar w:fldCharType="end"/>
            </w:r>
          </w:hyperlink>
        </w:p>
        <w:p w14:paraId="7A80C2CE" w14:textId="77777777" w:rsidR="00A86FC8" w:rsidRDefault="00D15FAB" w:rsidP="003427D6">
          <w:pPr>
            <w:pStyle w:val="TOC1"/>
            <w:rPr>
              <w:rFonts w:asciiTheme="minorHAnsi" w:eastAsiaTheme="minorEastAsia" w:hAnsiTheme="minorHAnsi" w:cstheme="minorBidi"/>
              <w:noProof/>
              <w:sz w:val="22"/>
              <w:szCs w:val="22"/>
            </w:rPr>
          </w:pPr>
          <w:hyperlink w:anchor="_Toc462298378" w:history="1">
            <w:r w:rsidR="00A86FC8" w:rsidRPr="00EA57D7">
              <w:rPr>
                <w:rStyle w:val="Hyperlink"/>
                <w:noProof/>
              </w:rPr>
              <w:t>A.8</w:t>
            </w:r>
            <w:r w:rsidR="00A86FC8">
              <w:rPr>
                <w:rFonts w:asciiTheme="minorHAnsi" w:eastAsiaTheme="minorEastAsia" w:hAnsiTheme="minorHAnsi" w:cstheme="minorBidi"/>
                <w:noProof/>
                <w:sz w:val="22"/>
                <w:szCs w:val="22"/>
              </w:rPr>
              <w:tab/>
            </w:r>
            <w:r w:rsidR="00A86FC8" w:rsidRPr="00EA57D7">
              <w:rPr>
                <w:rStyle w:val="Hyperlink"/>
                <w:noProof/>
              </w:rPr>
              <w:t>Comments in Response to the FRN and Efforts to Consult Outside the Agency</w:t>
            </w:r>
            <w:r w:rsidR="00A86FC8">
              <w:rPr>
                <w:noProof/>
                <w:webHidden/>
              </w:rPr>
              <w:tab/>
            </w:r>
            <w:r w:rsidR="00A86FC8">
              <w:rPr>
                <w:noProof/>
                <w:webHidden/>
              </w:rPr>
              <w:fldChar w:fldCharType="begin"/>
            </w:r>
            <w:r w:rsidR="00A86FC8">
              <w:rPr>
                <w:noProof/>
                <w:webHidden/>
              </w:rPr>
              <w:instrText xml:space="preserve"> PAGEREF _Toc462298378 \h </w:instrText>
            </w:r>
            <w:r w:rsidR="00A86FC8">
              <w:rPr>
                <w:noProof/>
                <w:webHidden/>
              </w:rPr>
            </w:r>
            <w:r w:rsidR="00A86FC8">
              <w:rPr>
                <w:noProof/>
                <w:webHidden/>
              </w:rPr>
              <w:fldChar w:fldCharType="separate"/>
            </w:r>
            <w:r w:rsidR="005E5760">
              <w:rPr>
                <w:noProof/>
                <w:webHidden/>
              </w:rPr>
              <w:t>5</w:t>
            </w:r>
            <w:r w:rsidR="00A86FC8">
              <w:rPr>
                <w:noProof/>
                <w:webHidden/>
              </w:rPr>
              <w:fldChar w:fldCharType="end"/>
            </w:r>
          </w:hyperlink>
        </w:p>
        <w:p w14:paraId="38BE6374" w14:textId="77777777" w:rsidR="00A86FC8" w:rsidRDefault="00D15FAB" w:rsidP="003427D6">
          <w:pPr>
            <w:pStyle w:val="TOC1"/>
            <w:rPr>
              <w:rFonts w:asciiTheme="minorHAnsi" w:eastAsiaTheme="minorEastAsia" w:hAnsiTheme="minorHAnsi" w:cstheme="minorBidi"/>
              <w:noProof/>
              <w:sz w:val="22"/>
              <w:szCs w:val="22"/>
            </w:rPr>
          </w:pPr>
          <w:hyperlink w:anchor="_Toc462298379" w:history="1">
            <w:r w:rsidR="00A86FC8" w:rsidRPr="00EA57D7">
              <w:rPr>
                <w:rStyle w:val="Hyperlink"/>
                <w:noProof/>
              </w:rPr>
              <w:t>A.9</w:t>
            </w:r>
            <w:r w:rsidR="00A86FC8">
              <w:rPr>
                <w:rFonts w:asciiTheme="minorHAnsi" w:eastAsiaTheme="minorEastAsia" w:hAnsiTheme="minorHAnsi" w:cstheme="minorBidi"/>
                <w:noProof/>
                <w:sz w:val="22"/>
                <w:szCs w:val="22"/>
              </w:rPr>
              <w:tab/>
            </w:r>
            <w:r w:rsidR="00A86FC8" w:rsidRPr="00EA57D7">
              <w:rPr>
                <w:rStyle w:val="Hyperlink"/>
                <w:noProof/>
              </w:rPr>
              <w:t>Explanation of Any Payment or Gift to Respondents</w:t>
            </w:r>
            <w:r w:rsidR="00A86FC8">
              <w:rPr>
                <w:noProof/>
                <w:webHidden/>
              </w:rPr>
              <w:tab/>
            </w:r>
            <w:r w:rsidR="00A86FC8">
              <w:rPr>
                <w:noProof/>
                <w:webHidden/>
              </w:rPr>
              <w:fldChar w:fldCharType="begin"/>
            </w:r>
            <w:r w:rsidR="00A86FC8">
              <w:rPr>
                <w:noProof/>
                <w:webHidden/>
              </w:rPr>
              <w:instrText xml:space="preserve"> PAGEREF _Toc462298379 \h </w:instrText>
            </w:r>
            <w:r w:rsidR="00A86FC8">
              <w:rPr>
                <w:noProof/>
                <w:webHidden/>
              </w:rPr>
            </w:r>
            <w:r w:rsidR="00A86FC8">
              <w:rPr>
                <w:noProof/>
                <w:webHidden/>
              </w:rPr>
              <w:fldChar w:fldCharType="separate"/>
            </w:r>
            <w:r w:rsidR="005E5760">
              <w:rPr>
                <w:noProof/>
                <w:webHidden/>
              </w:rPr>
              <w:t>5</w:t>
            </w:r>
            <w:r w:rsidR="00A86FC8">
              <w:rPr>
                <w:noProof/>
                <w:webHidden/>
              </w:rPr>
              <w:fldChar w:fldCharType="end"/>
            </w:r>
          </w:hyperlink>
        </w:p>
        <w:p w14:paraId="7AFA347A" w14:textId="77777777" w:rsidR="00A86FC8" w:rsidRDefault="00D15FAB" w:rsidP="003427D6">
          <w:pPr>
            <w:pStyle w:val="TOC1"/>
            <w:rPr>
              <w:rFonts w:asciiTheme="minorHAnsi" w:eastAsiaTheme="minorEastAsia" w:hAnsiTheme="minorHAnsi" w:cstheme="minorBidi"/>
              <w:noProof/>
              <w:sz w:val="22"/>
              <w:szCs w:val="22"/>
            </w:rPr>
          </w:pPr>
          <w:hyperlink w:anchor="_Toc462298380" w:history="1">
            <w:r w:rsidR="00A86FC8" w:rsidRPr="00EA57D7">
              <w:rPr>
                <w:rStyle w:val="Hyperlink"/>
                <w:noProof/>
              </w:rPr>
              <w:t>A.10</w:t>
            </w:r>
            <w:r w:rsidR="00A86FC8">
              <w:rPr>
                <w:rFonts w:asciiTheme="minorHAnsi" w:eastAsiaTheme="minorEastAsia" w:hAnsiTheme="minorHAnsi" w:cstheme="minorBidi"/>
                <w:noProof/>
                <w:sz w:val="22"/>
                <w:szCs w:val="22"/>
              </w:rPr>
              <w:tab/>
            </w:r>
            <w:r w:rsidR="00BC13E7" w:rsidRPr="00B174D2">
              <w:rPr>
                <w:rFonts w:eastAsiaTheme="minorEastAsia"/>
                <w:noProof/>
              </w:rPr>
              <w:t>Protection of the Privacy and Confidentiality of Information Provided by Respondents</w:t>
            </w:r>
            <w:r w:rsidR="00BC13E7" w:rsidRPr="00BC13E7" w:rsidDel="00BC13E7">
              <w:rPr>
                <w:rStyle w:val="Hyperlink"/>
                <w:rFonts w:asciiTheme="minorHAnsi" w:eastAsiaTheme="minorEastAsia" w:hAnsiTheme="minorHAnsi" w:cstheme="minorBidi"/>
                <w:noProof/>
                <w:color w:val="auto"/>
                <w:sz w:val="22"/>
                <w:szCs w:val="22"/>
                <w:u w:val="none"/>
              </w:rPr>
              <w:t xml:space="preserve"> </w:t>
            </w:r>
            <w:r w:rsidR="00A86FC8">
              <w:rPr>
                <w:noProof/>
                <w:webHidden/>
              </w:rPr>
              <w:tab/>
            </w:r>
            <w:r w:rsidR="00A86FC8">
              <w:rPr>
                <w:noProof/>
                <w:webHidden/>
              </w:rPr>
              <w:fldChar w:fldCharType="begin"/>
            </w:r>
            <w:r w:rsidR="00A86FC8">
              <w:rPr>
                <w:noProof/>
                <w:webHidden/>
              </w:rPr>
              <w:instrText xml:space="preserve"> PAGEREF _Toc462298380 \h </w:instrText>
            </w:r>
            <w:r w:rsidR="00A86FC8">
              <w:rPr>
                <w:noProof/>
                <w:webHidden/>
              </w:rPr>
            </w:r>
            <w:r w:rsidR="00A86FC8">
              <w:rPr>
                <w:noProof/>
                <w:webHidden/>
              </w:rPr>
              <w:fldChar w:fldCharType="separate"/>
            </w:r>
            <w:r w:rsidR="005E5760">
              <w:rPr>
                <w:noProof/>
                <w:webHidden/>
              </w:rPr>
              <w:t>6</w:t>
            </w:r>
            <w:r w:rsidR="00A86FC8">
              <w:rPr>
                <w:noProof/>
                <w:webHidden/>
              </w:rPr>
              <w:fldChar w:fldCharType="end"/>
            </w:r>
          </w:hyperlink>
        </w:p>
        <w:p w14:paraId="6BBC1644" w14:textId="77777777" w:rsidR="00A86FC8" w:rsidRDefault="00D15FAB" w:rsidP="003427D6">
          <w:pPr>
            <w:pStyle w:val="TOC1"/>
            <w:rPr>
              <w:rFonts w:asciiTheme="minorHAnsi" w:eastAsiaTheme="minorEastAsia" w:hAnsiTheme="minorHAnsi" w:cstheme="minorBidi"/>
              <w:noProof/>
              <w:sz w:val="22"/>
              <w:szCs w:val="22"/>
            </w:rPr>
          </w:pPr>
          <w:hyperlink w:anchor="_Toc462298381" w:history="1">
            <w:r w:rsidR="00A86FC8" w:rsidRPr="00EA57D7">
              <w:rPr>
                <w:rStyle w:val="Hyperlink"/>
                <w:noProof/>
              </w:rPr>
              <w:t>A.11</w:t>
            </w:r>
            <w:r w:rsidR="00A86FC8">
              <w:rPr>
                <w:rFonts w:asciiTheme="minorHAnsi" w:eastAsiaTheme="minorEastAsia" w:hAnsiTheme="minorHAnsi" w:cstheme="minorBidi"/>
                <w:noProof/>
                <w:sz w:val="22"/>
                <w:szCs w:val="22"/>
              </w:rPr>
              <w:tab/>
            </w:r>
            <w:r w:rsidR="00A86FC8" w:rsidRPr="00EA57D7">
              <w:rPr>
                <w:rStyle w:val="Hyperlink"/>
                <w:noProof/>
              </w:rPr>
              <w:t>Institutional Review Board (IRB) and Justification for Sensitive Questions</w:t>
            </w:r>
            <w:r w:rsidR="00A86FC8">
              <w:rPr>
                <w:noProof/>
                <w:webHidden/>
              </w:rPr>
              <w:tab/>
            </w:r>
            <w:r w:rsidR="00A86FC8">
              <w:rPr>
                <w:noProof/>
                <w:webHidden/>
              </w:rPr>
              <w:fldChar w:fldCharType="begin"/>
            </w:r>
            <w:r w:rsidR="00A86FC8">
              <w:rPr>
                <w:noProof/>
                <w:webHidden/>
              </w:rPr>
              <w:instrText xml:space="preserve"> PAGEREF _Toc462298381 \h </w:instrText>
            </w:r>
            <w:r w:rsidR="00A86FC8">
              <w:rPr>
                <w:noProof/>
                <w:webHidden/>
              </w:rPr>
            </w:r>
            <w:r w:rsidR="00A86FC8">
              <w:rPr>
                <w:noProof/>
                <w:webHidden/>
              </w:rPr>
              <w:fldChar w:fldCharType="separate"/>
            </w:r>
            <w:r w:rsidR="005E5760">
              <w:rPr>
                <w:noProof/>
                <w:webHidden/>
              </w:rPr>
              <w:t>6</w:t>
            </w:r>
            <w:r w:rsidR="00A86FC8">
              <w:rPr>
                <w:noProof/>
                <w:webHidden/>
              </w:rPr>
              <w:fldChar w:fldCharType="end"/>
            </w:r>
          </w:hyperlink>
        </w:p>
        <w:p w14:paraId="29AF28EA" w14:textId="77777777" w:rsidR="00A86FC8" w:rsidRDefault="00D15FAB" w:rsidP="003427D6">
          <w:pPr>
            <w:pStyle w:val="TOC1"/>
            <w:rPr>
              <w:rFonts w:asciiTheme="minorHAnsi" w:eastAsiaTheme="minorEastAsia" w:hAnsiTheme="minorHAnsi" w:cstheme="minorBidi"/>
              <w:noProof/>
              <w:sz w:val="22"/>
              <w:szCs w:val="22"/>
            </w:rPr>
          </w:pPr>
          <w:hyperlink w:anchor="_Toc462298382" w:history="1">
            <w:r w:rsidR="00A86FC8" w:rsidRPr="00EA57D7">
              <w:rPr>
                <w:rStyle w:val="Hyperlink"/>
                <w:noProof/>
              </w:rPr>
              <w:t>A.12</w:t>
            </w:r>
            <w:r w:rsidR="00A86FC8">
              <w:rPr>
                <w:rFonts w:asciiTheme="minorHAnsi" w:eastAsiaTheme="minorEastAsia" w:hAnsiTheme="minorHAnsi" w:cstheme="minorBidi"/>
                <w:noProof/>
                <w:sz w:val="22"/>
                <w:szCs w:val="22"/>
              </w:rPr>
              <w:tab/>
            </w:r>
            <w:r w:rsidR="00A86FC8" w:rsidRPr="00EA57D7">
              <w:rPr>
                <w:rStyle w:val="Hyperlink"/>
                <w:noProof/>
              </w:rPr>
              <w:t>Provide an Estimate in Hours of the Burden of the Collection of Information</w:t>
            </w:r>
            <w:r w:rsidR="00A86FC8">
              <w:rPr>
                <w:noProof/>
                <w:webHidden/>
              </w:rPr>
              <w:tab/>
            </w:r>
            <w:r w:rsidR="00A86FC8">
              <w:rPr>
                <w:noProof/>
                <w:webHidden/>
              </w:rPr>
              <w:fldChar w:fldCharType="begin"/>
            </w:r>
            <w:r w:rsidR="00A86FC8">
              <w:rPr>
                <w:noProof/>
                <w:webHidden/>
              </w:rPr>
              <w:instrText xml:space="preserve"> PAGEREF _Toc462298382 \h </w:instrText>
            </w:r>
            <w:r w:rsidR="00A86FC8">
              <w:rPr>
                <w:noProof/>
                <w:webHidden/>
              </w:rPr>
            </w:r>
            <w:r w:rsidR="00A86FC8">
              <w:rPr>
                <w:noProof/>
                <w:webHidden/>
              </w:rPr>
              <w:fldChar w:fldCharType="separate"/>
            </w:r>
            <w:r w:rsidR="005E5760">
              <w:rPr>
                <w:noProof/>
                <w:webHidden/>
              </w:rPr>
              <w:t>6</w:t>
            </w:r>
            <w:r w:rsidR="00A86FC8">
              <w:rPr>
                <w:noProof/>
                <w:webHidden/>
              </w:rPr>
              <w:fldChar w:fldCharType="end"/>
            </w:r>
          </w:hyperlink>
        </w:p>
        <w:p w14:paraId="3FC15660" w14:textId="77777777" w:rsidR="00A86FC8" w:rsidRDefault="00D15FAB" w:rsidP="003427D6">
          <w:pPr>
            <w:pStyle w:val="TOC1"/>
            <w:rPr>
              <w:rFonts w:asciiTheme="minorHAnsi" w:eastAsiaTheme="minorEastAsia" w:hAnsiTheme="minorHAnsi" w:cstheme="minorBidi"/>
              <w:noProof/>
              <w:sz w:val="22"/>
              <w:szCs w:val="22"/>
            </w:rPr>
          </w:pPr>
          <w:hyperlink w:anchor="_Toc462298383" w:history="1">
            <w:r w:rsidR="00A86FC8" w:rsidRPr="00EA57D7">
              <w:rPr>
                <w:rStyle w:val="Hyperlink"/>
                <w:noProof/>
              </w:rPr>
              <w:t>A.13</w:t>
            </w:r>
            <w:r w:rsidR="00A86FC8">
              <w:rPr>
                <w:rFonts w:asciiTheme="minorHAnsi" w:eastAsiaTheme="minorEastAsia" w:hAnsiTheme="minorHAnsi" w:cstheme="minorBidi"/>
                <w:noProof/>
                <w:sz w:val="22"/>
                <w:szCs w:val="22"/>
              </w:rPr>
              <w:tab/>
            </w:r>
            <w:r w:rsidR="00A86FC8" w:rsidRPr="00EA57D7">
              <w:rPr>
                <w:rStyle w:val="Hyperlink"/>
                <w:noProof/>
              </w:rPr>
              <w:t>Estimates of Other Total Annual Cost Burden to Respondents or Record Keepers</w:t>
            </w:r>
            <w:r w:rsidR="00A86FC8">
              <w:rPr>
                <w:noProof/>
                <w:webHidden/>
              </w:rPr>
              <w:tab/>
            </w:r>
            <w:r w:rsidR="00A86FC8">
              <w:rPr>
                <w:noProof/>
                <w:webHidden/>
              </w:rPr>
              <w:fldChar w:fldCharType="begin"/>
            </w:r>
            <w:r w:rsidR="00A86FC8">
              <w:rPr>
                <w:noProof/>
                <w:webHidden/>
              </w:rPr>
              <w:instrText xml:space="preserve"> PAGEREF _Toc462298383 \h </w:instrText>
            </w:r>
            <w:r w:rsidR="00A86FC8">
              <w:rPr>
                <w:noProof/>
                <w:webHidden/>
              </w:rPr>
            </w:r>
            <w:r w:rsidR="00A86FC8">
              <w:rPr>
                <w:noProof/>
                <w:webHidden/>
              </w:rPr>
              <w:fldChar w:fldCharType="separate"/>
            </w:r>
            <w:r w:rsidR="005E5760">
              <w:rPr>
                <w:noProof/>
                <w:webHidden/>
              </w:rPr>
              <w:t>8</w:t>
            </w:r>
            <w:r w:rsidR="00A86FC8">
              <w:rPr>
                <w:noProof/>
                <w:webHidden/>
              </w:rPr>
              <w:fldChar w:fldCharType="end"/>
            </w:r>
          </w:hyperlink>
        </w:p>
        <w:p w14:paraId="771B71A5" w14:textId="77777777" w:rsidR="00A86FC8" w:rsidRDefault="00D15FAB" w:rsidP="003427D6">
          <w:pPr>
            <w:pStyle w:val="TOC1"/>
            <w:rPr>
              <w:rFonts w:asciiTheme="minorHAnsi" w:eastAsiaTheme="minorEastAsia" w:hAnsiTheme="minorHAnsi" w:cstheme="minorBidi"/>
              <w:noProof/>
              <w:sz w:val="22"/>
              <w:szCs w:val="22"/>
            </w:rPr>
          </w:pPr>
          <w:hyperlink w:anchor="_Toc462298384" w:history="1">
            <w:r w:rsidR="00A86FC8" w:rsidRPr="00EA57D7">
              <w:rPr>
                <w:rStyle w:val="Hyperlink"/>
                <w:noProof/>
              </w:rPr>
              <w:t>A.14</w:t>
            </w:r>
            <w:r w:rsidR="00A86FC8">
              <w:rPr>
                <w:rFonts w:asciiTheme="minorHAnsi" w:eastAsiaTheme="minorEastAsia" w:hAnsiTheme="minorHAnsi" w:cstheme="minorBidi"/>
                <w:noProof/>
                <w:sz w:val="22"/>
                <w:szCs w:val="22"/>
              </w:rPr>
              <w:tab/>
            </w:r>
            <w:r w:rsidR="00A86FC8" w:rsidRPr="00EA57D7">
              <w:rPr>
                <w:rStyle w:val="Hyperlink"/>
                <w:noProof/>
              </w:rPr>
              <w:t>Annualized Cost to the Government</w:t>
            </w:r>
            <w:r w:rsidR="00A86FC8">
              <w:rPr>
                <w:noProof/>
                <w:webHidden/>
              </w:rPr>
              <w:tab/>
            </w:r>
            <w:r w:rsidR="00A86FC8">
              <w:rPr>
                <w:noProof/>
                <w:webHidden/>
              </w:rPr>
              <w:fldChar w:fldCharType="begin"/>
            </w:r>
            <w:r w:rsidR="00A86FC8">
              <w:rPr>
                <w:noProof/>
                <w:webHidden/>
              </w:rPr>
              <w:instrText xml:space="preserve"> PAGEREF _Toc462298384 \h </w:instrText>
            </w:r>
            <w:r w:rsidR="00A86FC8">
              <w:rPr>
                <w:noProof/>
                <w:webHidden/>
              </w:rPr>
            </w:r>
            <w:r w:rsidR="00A86FC8">
              <w:rPr>
                <w:noProof/>
                <w:webHidden/>
              </w:rPr>
              <w:fldChar w:fldCharType="separate"/>
            </w:r>
            <w:r w:rsidR="005E5760">
              <w:rPr>
                <w:noProof/>
                <w:webHidden/>
              </w:rPr>
              <w:t>8</w:t>
            </w:r>
            <w:r w:rsidR="00A86FC8">
              <w:rPr>
                <w:noProof/>
                <w:webHidden/>
              </w:rPr>
              <w:fldChar w:fldCharType="end"/>
            </w:r>
          </w:hyperlink>
        </w:p>
        <w:p w14:paraId="72E3BFCC" w14:textId="77777777" w:rsidR="00A86FC8" w:rsidRDefault="00D15FAB" w:rsidP="003427D6">
          <w:pPr>
            <w:pStyle w:val="TOC1"/>
            <w:rPr>
              <w:rFonts w:asciiTheme="minorHAnsi" w:eastAsiaTheme="minorEastAsia" w:hAnsiTheme="minorHAnsi" w:cstheme="minorBidi"/>
              <w:noProof/>
              <w:sz w:val="22"/>
              <w:szCs w:val="22"/>
            </w:rPr>
          </w:pPr>
          <w:hyperlink w:anchor="_Toc462298385" w:history="1">
            <w:r w:rsidR="00A86FC8" w:rsidRPr="00EA57D7">
              <w:rPr>
                <w:rStyle w:val="Hyperlink"/>
                <w:noProof/>
              </w:rPr>
              <w:t>A.15</w:t>
            </w:r>
            <w:r w:rsidR="00A86FC8">
              <w:rPr>
                <w:rFonts w:asciiTheme="minorHAnsi" w:eastAsiaTheme="minorEastAsia" w:hAnsiTheme="minorHAnsi" w:cstheme="minorBidi"/>
                <w:noProof/>
                <w:sz w:val="22"/>
                <w:szCs w:val="22"/>
              </w:rPr>
              <w:tab/>
            </w:r>
            <w:r w:rsidR="00A86FC8" w:rsidRPr="00EA57D7">
              <w:rPr>
                <w:rStyle w:val="Hyperlink"/>
                <w:noProof/>
              </w:rPr>
              <w:t>Explanation for Program Changes or Adjustments</w:t>
            </w:r>
            <w:r w:rsidR="00A86FC8">
              <w:rPr>
                <w:noProof/>
                <w:webHidden/>
              </w:rPr>
              <w:tab/>
            </w:r>
            <w:r w:rsidR="00A86FC8">
              <w:rPr>
                <w:noProof/>
                <w:webHidden/>
              </w:rPr>
              <w:fldChar w:fldCharType="begin"/>
            </w:r>
            <w:r w:rsidR="00A86FC8">
              <w:rPr>
                <w:noProof/>
                <w:webHidden/>
              </w:rPr>
              <w:instrText xml:space="preserve"> PAGEREF _Toc462298385 \h </w:instrText>
            </w:r>
            <w:r w:rsidR="00A86FC8">
              <w:rPr>
                <w:noProof/>
                <w:webHidden/>
              </w:rPr>
            </w:r>
            <w:r w:rsidR="00A86FC8">
              <w:rPr>
                <w:noProof/>
                <w:webHidden/>
              </w:rPr>
              <w:fldChar w:fldCharType="separate"/>
            </w:r>
            <w:r w:rsidR="005E5760">
              <w:rPr>
                <w:noProof/>
                <w:webHidden/>
              </w:rPr>
              <w:t>8</w:t>
            </w:r>
            <w:r w:rsidR="00A86FC8">
              <w:rPr>
                <w:noProof/>
                <w:webHidden/>
              </w:rPr>
              <w:fldChar w:fldCharType="end"/>
            </w:r>
          </w:hyperlink>
        </w:p>
        <w:p w14:paraId="2641F4DD" w14:textId="77777777" w:rsidR="00A86FC8" w:rsidRDefault="00D15FAB" w:rsidP="003427D6">
          <w:pPr>
            <w:pStyle w:val="TOC1"/>
            <w:rPr>
              <w:rFonts w:asciiTheme="minorHAnsi" w:eastAsiaTheme="minorEastAsia" w:hAnsiTheme="minorHAnsi" w:cstheme="minorBidi"/>
              <w:noProof/>
              <w:sz w:val="22"/>
              <w:szCs w:val="22"/>
            </w:rPr>
          </w:pPr>
          <w:hyperlink w:anchor="_Toc462298386" w:history="1">
            <w:r w:rsidR="00A86FC8" w:rsidRPr="00EA57D7">
              <w:rPr>
                <w:rStyle w:val="Hyperlink"/>
                <w:noProof/>
              </w:rPr>
              <w:t>A.16</w:t>
            </w:r>
            <w:r w:rsidR="00A86FC8">
              <w:rPr>
                <w:rFonts w:asciiTheme="minorHAnsi" w:eastAsiaTheme="minorEastAsia" w:hAnsiTheme="minorHAnsi" w:cstheme="minorBidi"/>
                <w:noProof/>
                <w:sz w:val="22"/>
                <w:szCs w:val="22"/>
              </w:rPr>
              <w:tab/>
            </w:r>
            <w:r w:rsidR="00A86FC8" w:rsidRPr="00EA57D7">
              <w:rPr>
                <w:rStyle w:val="Hyperlink"/>
                <w:noProof/>
              </w:rPr>
              <w:t>Plans for Tabulation and Publication and Project Time Schedule</w:t>
            </w:r>
            <w:r w:rsidR="00A86FC8">
              <w:rPr>
                <w:noProof/>
                <w:webHidden/>
              </w:rPr>
              <w:tab/>
            </w:r>
            <w:r w:rsidR="00A86FC8">
              <w:rPr>
                <w:noProof/>
                <w:webHidden/>
              </w:rPr>
              <w:fldChar w:fldCharType="begin"/>
            </w:r>
            <w:r w:rsidR="00A86FC8">
              <w:rPr>
                <w:noProof/>
                <w:webHidden/>
              </w:rPr>
              <w:instrText xml:space="preserve"> PAGEREF _Toc462298386 \h </w:instrText>
            </w:r>
            <w:r w:rsidR="00A86FC8">
              <w:rPr>
                <w:noProof/>
                <w:webHidden/>
              </w:rPr>
            </w:r>
            <w:r w:rsidR="00A86FC8">
              <w:rPr>
                <w:noProof/>
                <w:webHidden/>
              </w:rPr>
              <w:fldChar w:fldCharType="separate"/>
            </w:r>
            <w:r w:rsidR="005E5760">
              <w:rPr>
                <w:noProof/>
                <w:webHidden/>
              </w:rPr>
              <w:t>9</w:t>
            </w:r>
            <w:r w:rsidR="00A86FC8">
              <w:rPr>
                <w:noProof/>
                <w:webHidden/>
              </w:rPr>
              <w:fldChar w:fldCharType="end"/>
            </w:r>
          </w:hyperlink>
        </w:p>
        <w:p w14:paraId="4B5B9096" w14:textId="77777777" w:rsidR="00A86FC8" w:rsidRDefault="00D15FAB" w:rsidP="003427D6">
          <w:pPr>
            <w:pStyle w:val="TOC1"/>
            <w:rPr>
              <w:rFonts w:asciiTheme="minorHAnsi" w:eastAsiaTheme="minorEastAsia" w:hAnsiTheme="minorHAnsi" w:cstheme="minorBidi"/>
              <w:noProof/>
              <w:sz w:val="22"/>
              <w:szCs w:val="22"/>
            </w:rPr>
          </w:pPr>
          <w:hyperlink w:anchor="_Toc462298387" w:history="1">
            <w:r w:rsidR="00A86FC8" w:rsidRPr="00EA57D7">
              <w:rPr>
                <w:rStyle w:val="Hyperlink"/>
                <w:noProof/>
              </w:rPr>
              <w:t>A.17</w:t>
            </w:r>
            <w:r w:rsidR="00A86FC8">
              <w:rPr>
                <w:rFonts w:asciiTheme="minorHAnsi" w:eastAsiaTheme="minorEastAsia" w:hAnsiTheme="minorHAnsi" w:cstheme="minorBidi"/>
                <w:noProof/>
                <w:sz w:val="22"/>
                <w:szCs w:val="22"/>
              </w:rPr>
              <w:tab/>
            </w:r>
            <w:r w:rsidR="00A86FC8" w:rsidRPr="00EA57D7">
              <w:rPr>
                <w:rStyle w:val="Hyperlink"/>
                <w:noProof/>
              </w:rPr>
              <w:t>Reason(s) Display of OMB Expiration Date is Inappropriate</w:t>
            </w:r>
            <w:r w:rsidR="00A86FC8">
              <w:rPr>
                <w:noProof/>
                <w:webHidden/>
              </w:rPr>
              <w:tab/>
            </w:r>
            <w:r w:rsidR="00A86FC8">
              <w:rPr>
                <w:noProof/>
                <w:webHidden/>
              </w:rPr>
              <w:fldChar w:fldCharType="begin"/>
            </w:r>
            <w:r w:rsidR="00A86FC8">
              <w:rPr>
                <w:noProof/>
                <w:webHidden/>
              </w:rPr>
              <w:instrText xml:space="preserve"> PAGEREF _Toc462298387 \h </w:instrText>
            </w:r>
            <w:r w:rsidR="00A86FC8">
              <w:rPr>
                <w:noProof/>
                <w:webHidden/>
              </w:rPr>
            </w:r>
            <w:r w:rsidR="00A86FC8">
              <w:rPr>
                <w:noProof/>
                <w:webHidden/>
              </w:rPr>
              <w:fldChar w:fldCharType="separate"/>
            </w:r>
            <w:r w:rsidR="005E5760">
              <w:rPr>
                <w:noProof/>
                <w:webHidden/>
              </w:rPr>
              <w:t>9</w:t>
            </w:r>
            <w:r w:rsidR="00A86FC8">
              <w:rPr>
                <w:noProof/>
                <w:webHidden/>
              </w:rPr>
              <w:fldChar w:fldCharType="end"/>
            </w:r>
          </w:hyperlink>
        </w:p>
        <w:p w14:paraId="12C69D37" w14:textId="77777777" w:rsidR="00A86FC8" w:rsidRDefault="00D15FAB" w:rsidP="003427D6">
          <w:pPr>
            <w:pStyle w:val="TOC1"/>
            <w:rPr>
              <w:rFonts w:asciiTheme="minorHAnsi" w:eastAsiaTheme="minorEastAsia" w:hAnsiTheme="minorHAnsi" w:cstheme="minorBidi"/>
              <w:noProof/>
              <w:sz w:val="22"/>
              <w:szCs w:val="22"/>
            </w:rPr>
          </w:pPr>
          <w:hyperlink w:anchor="_Toc462298388" w:history="1">
            <w:r w:rsidR="00A86FC8" w:rsidRPr="00EA57D7">
              <w:rPr>
                <w:rStyle w:val="Hyperlink"/>
                <w:noProof/>
              </w:rPr>
              <w:t>A.18</w:t>
            </w:r>
            <w:r w:rsidR="00A86FC8">
              <w:rPr>
                <w:rFonts w:asciiTheme="minorHAnsi" w:eastAsiaTheme="minorEastAsia" w:hAnsiTheme="minorHAnsi" w:cstheme="minorBidi"/>
                <w:noProof/>
                <w:sz w:val="22"/>
                <w:szCs w:val="22"/>
              </w:rPr>
              <w:tab/>
            </w:r>
            <w:r w:rsidR="00A86FC8" w:rsidRPr="00EA57D7">
              <w:rPr>
                <w:rStyle w:val="Hyperlink"/>
                <w:noProof/>
              </w:rPr>
              <w:t>Exceptions to Certification for Paperwork Reduction Act Submissions</w:t>
            </w:r>
            <w:r w:rsidR="00A86FC8">
              <w:rPr>
                <w:noProof/>
                <w:webHidden/>
              </w:rPr>
              <w:tab/>
            </w:r>
            <w:r w:rsidR="00A86FC8">
              <w:rPr>
                <w:noProof/>
                <w:webHidden/>
              </w:rPr>
              <w:fldChar w:fldCharType="begin"/>
            </w:r>
            <w:r w:rsidR="00A86FC8">
              <w:rPr>
                <w:noProof/>
                <w:webHidden/>
              </w:rPr>
              <w:instrText xml:space="preserve"> PAGEREF _Toc462298388 \h </w:instrText>
            </w:r>
            <w:r w:rsidR="00A86FC8">
              <w:rPr>
                <w:noProof/>
                <w:webHidden/>
              </w:rPr>
            </w:r>
            <w:r w:rsidR="00A86FC8">
              <w:rPr>
                <w:noProof/>
                <w:webHidden/>
              </w:rPr>
              <w:fldChar w:fldCharType="separate"/>
            </w:r>
            <w:r w:rsidR="005E5760">
              <w:rPr>
                <w:noProof/>
                <w:webHidden/>
              </w:rPr>
              <w:t>9</w:t>
            </w:r>
            <w:r w:rsidR="00A86FC8">
              <w:rPr>
                <w:noProof/>
                <w:webHidden/>
              </w:rPr>
              <w:fldChar w:fldCharType="end"/>
            </w:r>
          </w:hyperlink>
        </w:p>
        <w:p w14:paraId="688A0ED6" w14:textId="77777777" w:rsidR="001B0F23" w:rsidRDefault="001B0F23">
          <w:r>
            <w:rPr>
              <w:b/>
              <w:bCs/>
              <w:noProof/>
            </w:rPr>
            <w:fldChar w:fldCharType="end"/>
          </w:r>
        </w:p>
      </w:sdtContent>
    </w:sdt>
    <w:p w14:paraId="13680901" w14:textId="77777777" w:rsidR="00973ADE" w:rsidRPr="00973ADE" w:rsidRDefault="00973ADE">
      <w:pPr>
        <w:widowControl/>
        <w:autoSpaceDE/>
        <w:autoSpaceDN/>
        <w:adjustRightInd/>
        <w:spacing w:after="160" w:line="259" w:lineRule="auto"/>
        <w:rPr>
          <w:rFonts w:eastAsiaTheme="majorEastAsia" w:cstheme="majorBidi"/>
          <w:b/>
          <w:bCs/>
          <w:color w:val="1F4E79" w:themeColor="accent1" w:themeShade="80"/>
          <w:szCs w:val="28"/>
        </w:rPr>
      </w:pPr>
      <w:bookmarkStart w:id="1" w:name="_Toc457409138"/>
      <w:r w:rsidRPr="00973ADE">
        <w:rPr>
          <w:b/>
        </w:rPr>
        <w:t xml:space="preserve">List of </w:t>
      </w:r>
      <w:r w:rsidR="006F0DCD">
        <w:rPr>
          <w:b/>
        </w:rPr>
        <w:t>Attachments</w:t>
      </w:r>
    </w:p>
    <w:p w14:paraId="192E1600" w14:textId="77777777" w:rsidR="00B32DB4" w:rsidRDefault="00B32DB4" w:rsidP="00B32DB4">
      <w:pPr>
        <w:pStyle w:val="ListParagraph"/>
        <w:widowControl/>
        <w:numPr>
          <w:ilvl w:val="0"/>
          <w:numId w:val="10"/>
        </w:numPr>
        <w:autoSpaceDE/>
        <w:autoSpaceDN/>
        <w:adjustRightInd/>
        <w:spacing w:after="0"/>
      </w:pPr>
      <w:r>
        <w:t>Authorizing Legislation</w:t>
      </w:r>
    </w:p>
    <w:p w14:paraId="180EBF0A" w14:textId="77777777" w:rsidR="00B32DB4" w:rsidRDefault="00B32DB4" w:rsidP="00B32DB4">
      <w:pPr>
        <w:pStyle w:val="ListParagraph"/>
        <w:widowControl/>
        <w:numPr>
          <w:ilvl w:val="0"/>
          <w:numId w:val="10"/>
        </w:numPr>
        <w:autoSpaceDE/>
        <w:autoSpaceDN/>
        <w:adjustRightInd/>
        <w:spacing w:after="0"/>
      </w:pPr>
      <w:r>
        <w:t>60-Day FRN</w:t>
      </w:r>
      <w:r w:rsidRPr="008F13BD">
        <w:t xml:space="preserve"> </w:t>
      </w:r>
    </w:p>
    <w:p w14:paraId="08C3AF96" w14:textId="77777777" w:rsidR="007D2BBF" w:rsidRDefault="007D2BBF" w:rsidP="00CB308F">
      <w:pPr>
        <w:pStyle w:val="ListParagraph"/>
        <w:widowControl/>
        <w:autoSpaceDE/>
        <w:autoSpaceDN/>
        <w:adjustRightInd/>
        <w:spacing w:after="0"/>
        <w:ind w:left="1080"/>
      </w:pPr>
      <w:r>
        <w:t>2a. Public Comments</w:t>
      </w:r>
    </w:p>
    <w:p w14:paraId="5633D5DF" w14:textId="77777777" w:rsidR="00B32DB4" w:rsidRDefault="00B32DB4" w:rsidP="00B32DB4">
      <w:pPr>
        <w:pStyle w:val="ListParagraph"/>
        <w:widowControl/>
        <w:numPr>
          <w:ilvl w:val="0"/>
          <w:numId w:val="10"/>
        </w:numPr>
        <w:autoSpaceDE/>
        <w:autoSpaceDN/>
        <w:adjustRightInd/>
        <w:spacing w:after="0"/>
      </w:pPr>
      <w:r>
        <w:t>LHD Survey – Word Version</w:t>
      </w:r>
    </w:p>
    <w:p w14:paraId="1DA0B7B0" w14:textId="77777777" w:rsidR="00B32DB4" w:rsidRDefault="00B32DB4" w:rsidP="00B32DB4">
      <w:pPr>
        <w:pStyle w:val="ListParagraph"/>
        <w:widowControl/>
        <w:numPr>
          <w:ilvl w:val="0"/>
          <w:numId w:val="10"/>
        </w:numPr>
        <w:autoSpaceDE/>
        <w:autoSpaceDN/>
        <w:adjustRightInd/>
        <w:spacing w:after="0"/>
      </w:pPr>
      <w:r>
        <w:t>SHD Survey – Word Version</w:t>
      </w:r>
    </w:p>
    <w:p w14:paraId="39B38F17" w14:textId="77777777" w:rsidR="00B32DB4" w:rsidRDefault="00B32DB4" w:rsidP="00B32DB4">
      <w:pPr>
        <w:pStyle w:val="ListParagraph"/>
        <w:widowControl/>
        <w:numPr>
          <w:ilvl w:val="0"/>
          <w:numId w:val="10"/>
        </w:numPr>
        <w:autoSpaceDE/>
        <w:autoSpaceDN/>
        <w:adjustRightInd/>
        <w:spacing w:after="0"/>
      </w:pPr>
      <w:r>
        <w:t>LHD Survey - Web Screen Shots</w:t>
      </w:r>
    </w:p>
    <w:p w14:paraId="38852904" w14:textId="77777777" w:rsidR="00B32DB4" w:rsidRDefault="00B32DB4" w:rsidP="00B32DB4">
      <w:pPr>
        <w:pStyle w:val="ListParagraph"/>
        <w:widowControl/>
        <w:numPr>
          <w:ilvl w:val="0"/>
          <w:numId w:val="10"/>
        </w:numPr>
        <w:autoSpaceDE/>
        <w:autoSpaceDN/>
        <w:adjustRightInd/>
        <w:spacing w:after="0"/>
      </w:pPr>
      <w:r>
        <w:t>SHD Survey – Web Screen Shots</w:t>
      </w:r>
    </w:p>
    <w:p w14:paraId="6783591D" w14:textId="77777777" w:rsidR="003740CB" w:rsidRDefault="003740CB" w:rsidP="003740CB">
      <w:pPr>
        <w:pStyle w:val="ListParagraph"/>
        <w:widowControl/>
        <w:numPr>
          <w:ilvl w:val="0"/>
          <w:numId w:val="10"/>
        </w:numPr>
        <w:autoSpaceDE/>
        <w:autoSpaceDN/>
        <w:adjustRightInd/>
        <w:spacing w:after="0"/>
      </w:pPr>
      <w:r>
        <w:t xml:space="preserve">Definitions </w:t>
      </w:r>
      <w:r w:rsidR="00A3472B">
        <w:t>for</w:t>
      </w:r>
      <w:r>
        <w:t xml:space="preserve"> Survey</w:t>
      </w:r>
      <w:r w:rsidR="00A3472B">
        <w:t xml:space="preserve"> </w:t>
      </w:r>
      <w:r w:rsidR="00431ED6">
        <w:t>Terms</w:t>
      </w:r>
    </w:p>
    <w:p w14:paraId="34FEA57F" w14:textId="77777777" w:rsidR="00184354" w:rsidRDefault="00184354" w:rsidP="003740CB">
      <w:pPr>
        <w:pStyle w:val="ListParagraph"/>
        <w:widowControl/>
        <w:numPr>
          <w:ilvl w:val="0"/>
          <w:numId w:val="10"/>
        </w:numPr>
        <w:autoSpaceDE/>
        <w:autoSpaceDN/>
        <w:adjustRightInd/>
        <w:spacing w:after="0"/>
      </w:pPr>
      <w:r>
        <w:t>NCHHSTP Determination of Non-Research</w:t>
      </w:r>
    </w:p>
    <w:p w14:paraId="281FCB8F" w14:textId="77777777" w:rsidR="00B32DB4" w:rsidRDefault="00B32DB4" w:rsidP="00B32DB4">
      <w:pPr>
        <w:pStyle w:val="ListParagraph"/>
        <w:widowControl/>
        <w:numPr>
          <w:ilvl w:val="0"/>
          <w:numId w:val="10"/>
        </w:numPr>
        <w:autoSpaceDE/>
        <w:autoSpaceDN/>
        <w:adjustRightInd/>
        <w:spacing w:after="0"/>
      </w:pPr>
      <w:r>
        <w:t>Web Survey Invite</w:t>
      </w:r>
      <w:r w:rsidR="006A1A7F">
        <w:t xml:space="preserve"> – LHD and SHD</w:t>
      </w:r>
    </w:p>
    <w:p w14:paraId="66D0FF4B" w14:textId="77777777" w:rsidR="00B32DB4" w:rsidRDefault="00B32DB4" w:rsidP="00CB308F">
      <w:pPr>
        <w:pStyle w:val="ListParagraph"/>
        <w:numPr>
          <w:ilvl w:val="0"/>
          <w:numId w:val="10"/>
        </w:numPr>
      </w:pPr>
      <w:r>
        <w:t>Web Survey Reminder</w:t>
      </w:r>
      <w:r w:rsidR="00CB308F">
        <w:t>s</w:t>
      </w:r>
      <w:r>
        <w:t xml:space="preserve"> </w:t>
      </w:r>
      <w:r w:rsidR="00CB308F">
        <w:t>– LHD and SHD</w:t>
      </w:r>
    </w:p>
    <w:p w14:paraId="7ADED1FC" w14:textId="77777777" w:rsidR="00B32DB4" w:rsidRDefault="00B32DB4" w:rsidP="00B32DB4">
      <w:pPr>
        <w:pStyle w:val="ListParagraph"/>
        <w:numPr>
          <w:ilvl w:val="0"/>
          <w:numId w:val="10"/>
        </w:numPr>
      </w:pPr>
      <w:r>
        <w:t>Follow-up phone call script</w:t>
      </w:r>
    </w:p>
    <w:p w14:paraId="512AA669" w14:textId="77777777" w:rsidR="00B32DB4" w:rsidRDefault="00B32DB4" w:rsidP="00B32DB4">
      <w:pPr>
        <w:pStyle w:val="ListParagraph"/>
        <w:numPr>
          <w:ilvl w:val="0"/>
          <w:numId w:val="10"/>
        </w:numPr>
      </w:pPr>
      <w:r>
        <w:t>Extension email</w:t>
      </w:r>
      <w:r w:rsidR="006A1A7F">
        <w:t xml:space="preserve"> – LHD and SHD</w:t>
      </w:r>
    </w:p>
    <w:p w14:paraId="6C3ED957" w14:textId="77777777" w:rsidR="006D56CD" w:rsidRPr="00ED6A65" w:rsidRDefault="006D56CD" w:rsidP="006F0DCD">
      <w:pPr>
        <w:pStyle w:val="ListParagraph"/>
        <w:widowControl/>
        <w:numPr>
          <w:ilvl w:val="0"/>
          <w:numId w:val="10"/>
        </w:numPr>
        <w:autoSpaceDE/>
        <w:autoSpaceDN/>
        <w:adjustRightInd/>
        <w:spacing w:after="0"/>
      </w:pPr>
      <w:r>
        <w:br w:type="page"/>
      </w:r>
    </w:p>
    <w:bookmarkEnd w:id="1"/>
    <w:p w14:paraId="4224DE95" w14:textId="77777777" w:rsidR="00A17E6C" w:rsidRDefault="00A17E6C" w:rsidP="000A414B">
      <w:pPr>
        <w:pStyle w:val="Heading1"/>
      </w:pPr>
    </w:p>
    <w:tbl>
      <w:tblPr>
        <w:tblStyle w:val="TableGrid"/>
        <w:tblW w:w="9839" w:type="dxa"/>
        <w:tblInd w:w="558" w:type="dxa"/>
        <w:tblLook w:val="04A0" w:firstRow="1" w:lastRow="0" w:firstColumn="1" w:lastColumn="0" w:noHBand="0" w:noVBand="1"/>
      </w:tblPr>
      <w:tblGrid>
        <w:gridCol w:w="9839"/>
      </w:tblGrid>
      <w:tr w:rsidR="00233877" w14:paraId="490823E3" w14:textId="77777777" w:rsidTr="007F5ECD">
        <w:trPr>
          <w:trHeight w:val="3680"/>
        </w:trPr>
        <w:tc>
          <w:tcPr>
            <w:tcW w:w="9839" w:type="dxa"/>
          </w:tcPr>
          <w:p w14:paraId="1B7BDD43" w14:textId="77777777" w:rsidR="00F224EF" w:rsidRDefault="00233877" w:rsidP="00233877">
            <w:pPr>
              <w:spacing w:after="60"/>
            </w:pPr>
            <w:r w:rsidRPr="00F224EF">
              <w:rPr>
                <w:b/>
                <w:u w:val="single"/>
              </w:rPr>
              <w:t>Goal of the study</w:t>
            </w:r>
            <w:r w:rsidRPr="00F224EF">
              <w:rPr>
                <w:b/>
              </w:rPr>
              <w:t xml:space="preserve">: </w:t>
            </w:r>
            <w:r w:rsidR="003608D6" w:rsidRPr="00F224EF">
              <w:t xml:space="preserve">The primary goal of this study is to </w:t>
            </w:r>
            <w:r w:rsidR="00DA06BA">
              <w:t>examine</w:t>
            </w:r>
            <w:r w:rsidR="00DA06BA" w:rsidRPr="00F224EF">
              <w:t xml:space="preserve"> </w:t>
            </w:r>
            <w:r w:rsidR="00F224EF" w:rsidRPr="00F224EF">
              <w:t xml:space="preserve">STD preventive and </w:t>
            </w:r>
            <w:r w:rsidR="00431ED6">
              <w:t>clinical</w:t>
            </w:r>
            <w:r w:rsidR="00F224EF" w:rsidRPr="00F224EF">
              <w:t xml:space="preserve"> services provided by loc</w:t>
            </w:r>
            <w:r w:rsidR="00F224EF">
              <w:t>al and state health departments</w:t>
            </w:r>
            <w:r w:rsidR="00431ED6">
              <w:t xml:space="preserve"> </w:t>
            </w:r>
            <w:r w:rsidR="004359B5">
              <w:t xml:space="preserve">two times over a </w:t>
            </w:r>
            <w:r w:rsidR="00431ED6">
              <w:t>3 year</w:t>
            </w:r>
            <w:r w:rsidR="004359B5">
              <w:t xml:space="preserve"> period</w:t>
            </w:r>
            <w:r w:rsidR="00390E94">
              <w:t>.</w:t>
            </w:r>
            <w:r w:rsidR="00F224EF">
              <w:t xml:space="preserve"> </w:t>
            </w:r>
          </w:p>
          <w:p w14:paraId="79E412BA" w14:textId="77777777" w:rsidR="00F224EF" w:rsidRDefault="00233877" w:rsidP="00233877">
            <w:pPr>
              <w:spacing w:after="60"/>
              <w:rPr>
                <w:b/>
                <w:u w:val="single"/>
              </w:rPr>
            </w:pPr>
            <w:r w:rsidRPr="00F224EF">
              <w:rPr>
                <w:b/>
                <w:u w:val="single"/>
              </w:rPr>
              <w:t>Intended use of the resulting data</w:t>
            </w:r>
            <w:r w:rsidRPr="00F224EF">
              <w:rPr>
                <w:b/>
              </w:rPr>
              <w:t xml:space="preserve">: </w:t>
            </w:r>
            <w:r w:rsidR="003608D6" w:rsidRPr="00F224EF">
              <w:t xml:space="preserve">Resulting data will be used to help CDC </w:t>
            </w:r>
            <w:r w:rsidR="00F224EF">
              <w:t xml:space="preserve">assess the </w:t>
            </w:r>
            <w:r w:rsidR="00F224EF" w:rsidRPr="00233877">
              <w:t>deliver</w:t>
            </w:r>
            <w:r w:rsidR="00F224EF">
              <w:t>y of</w:t>
            </w:r>
            <w:r w:rsidR="00F224EF" w:rsidRPr="00233877">
              <w:t xml:space="preserve"> timely </w:t>
            </w:r>
            <w:r w:rsidR="00F224EF">
              <w:t xml:space="preserve">public </w:t>
            </w:r>
            <w:r w:rsidR="00F224EF" w:rsidRPr="00233877">
              <w:t xml:space="preserve">STD preventive and </w:t>
            </w:r>
            <w:r w:rsidR="00431ED6">
              <w:t>clinical</w:t>
            </w:r>
            <w:r w:rsidR="00431ED6" w:rsidRPr="00233877">
              <w:t xml:space="preserve"> </w:t>
            </w:r>
            <w:r w:rsidR="00F224EF" w:rsidRPr="00233877">
              <w:t xml:space="preserve">services </w:t>
            </w:r>
            <w:r w:rsidR="00F224EF">
              <w:t>to reduce</w:t>
            </w:r>
            <w:r w:rsidR="00F224EF" w:rsidRPr="00233877">
              <w:t xml:space="preserve"> the number of newly acquired STDs and </w:t>
            </w:r>
            <w:r w:rsidR="00F224EF">
              <w:t>prevent</w:t>
            </w:r>
            <w:r w:rsidR="00F224EF" w:rsidRPr="00233877">
              <w:t xml:space="preserve"> STD-related sequelae</w:t>
            </w:r>
            <w:r w:rsidR="00F224EF">
              <w:t>.</w:t>
            </w:r>
            <w:r w:rsidR="00F224EF" w:rsidRPr="00F224EF">
              <w:rPr>
                <w:b/>
                <w:u w:val="single"/>
              </w:rPr>
              <w:t xml:space="preserve"> </w:t>
            </w:r>
          </w:p>
          <w:p w14:paraId="3DAF5D09" w14:textId="77777777" w:rsidR="00233877" w:rsidRPr="00F224EF" w:rsidRDefault="00233877" w:rsidP="00233877">
            <w:pPr>
              <w:spacing w:after="60"/>
              <w:rPr>
                <w:sz w:val="22"/>
                <w:szCs w:val="22"/>
                <w:u w:val="single"/>
              </w:rPr>
            </w:pPr>
            <w:r w:rsidRPr="00F224EF">
              <w:rPr>
                <w:b/>
                <w:u w:val="single"/>
              </w:rPr>
              <w:t>Methods to be used to collect data</w:t>
            </w:r>
            <w:r w:rsidRPr="00F224EF">
              <w:rPr>
                <w:b/>
              </w:rPr>
              <w:t xml:space="preserve">: </w:t>
            </w:r>
            <w:r w:rsidR="00F224EF">
              <w:t>Web s</w:t>
            </w:r>
            <w:r w:rsidR="003608D6" w:rsidRPr="00F224EF">
              <w:t xml:space="preserve">urveys will be sent to a sample of </w:t>
            </w:r>
            <w:r w:rsidR="00F224EF">
              <w:t>668 local health departments and all 50 state health departments.  M</w:t>
            </w:r>
            <w:r w:rsidR="003608D6" w:rsidRPr="00F224EF">
              <w:t xml:space="preserve">ultiple reminders will be sent to non-responders in order to reach the target of </w:t>
            </w:r>
            <w:r w:rsidR="00F224EF">
              <w:t>334</w:t>
            </w:r>
            <w:r w:rsidR="003608D6" w:rsidRPr="00F224EF">
              <w:t xml:space="preserve"> completed </w:t>
            </w:r>
            <w:r w:rsidR="00F224EF">
              <w:t xml:space="preserve">local health department and 44 </w:t>
            </w:r>
            <w:r w:rsidR="001718B4">
              <w:t xml:space="preserve">completed </w:t>
            </w:r>
            <w:r w:rsidR="00F224EF">
              <w:t xml:space="preserve">state health department </w:t>
            </w:r>
            <w:r w:rsidR="003608D6" w:rsidRPr="00F224EF">
              <w:t>surveys.</w:t>
            </w:r>
            <w:r w:rsidR="008B6E89" w:rsidRPr="00F224EF">
              <w:t xml:space="preserve"> This data collection will be </w:t>
            </w:r>
            <w:r w:rsidR="00890DBE" w:rsidRPr="00F224EF">
              <w:t xml:space="preserve">then be </w:t>
            </w:r>
            <w:r w:rsidR="008B6E89" w:rsidRPr="00F224EF">
              <w:t>repeated</w:t>
            </w:r>
            <w:r w:rsidR="001648EB" w:rsidRPr="00F224EF">
              <w:t xml:space="preserve"> in three years</w:t>
            </w:r>
            <w:r w:rsidR="008B6E89" w:rsidRPr="00F224EF">
              <w:t>.</w:t>
            </w:r>
          </w:p>
          <w:p w14:paraId="0B90F8AA" w14:textId="77777777" w:rsidR="00233877" w:rsidRPr="00F9779C" w:rsidRDefault="00233877" w:rsidP="00233877">
            <w:pPr>
              <w:spacing w:after="60"/>
              <w:rPr>
                <w:b/>
              </w:rPr>
            </w:pPr>
            <w:r w:rsidRPr="000E7C44">
              <w:rPr>
                <w:b/>
                <w:u w:val="single"/>
              </w:rPr>
              <w:t>How data will be analyzed</w:t>
            </w:r>
            <w:r w:rsidRPr="000E7C44">
              <w:rPr>
                <w:b/>
              </w:rPr>
              <w:t>:</w:t>
            </w:r>
            <w:r w:rsidR="003608D6" w:rsidRPr="000E7C44">
              <w:rPr>
                <w:b/>
              </w:rPr>
              <w:t xml:space="preserve"> </w:t>
            </w:r>
            <w:r w:rsidR="003608D6" w:rsidRPr="000E7C44">
              <w:t xml:space="preserve">Data will be weighted to generate </w:t>
            </w:r>
            <w:r w:rsidR="00F224EF" w:rsidRPr="000E7C44">
              <w:t xml:space="preserve">estimates for all local health departments. </w:t>
            </w:r>
            <w:r w:rsidR="003608D6" w:rsidRPr="000E7C44">
              <w:t xml:space="preserve">Data will be analyzed and summarized using quantitative statistical methods </w:t>
            </w:r>
            <w:r w:rsidR="00F224EF" w:rsidRPr="000E7C44">
              <w:t>that allow comparisons across time.</w:t>
            </w:r>
            <w:r w:rsidR="00F224EF">
              <w:t xml:space="preserve"> </w:t>
            </w:r>
            <w:r w:rsidR="003608D6">
              <w:t> </w:t>
            </w:r>
          </w:p>
          <w:p w14:paraId="53A055CB" w14:textId="77777777" w:rsidR="00233877" w:rsidRDefault="00233877" w:rsidP="00A17E6C">
            <w:pPr>
              <w:spacing w:after="60"/>
              <w:rPr>
                <w:b/>
                <w:u w:val="single"/>
              </w:rPr>
            </w:pPr>
          </w:p>
        </w:tc>
      </w:tr>
    </w:tbl>
    <w:p w14:paraId="58559ED2" w14:textId="77777777" w:rsidR="00233877" w:rsidRDefault="00233877" w:rsidP="00233877">
      <w:pPr>
        <w:spacing w:after="60"/>
        <w:rPr>
          <w:b/>
          <w:u w:val="single"/>
        </w:rPr>
      </w:pPr>
    </w:p>
    <w:p w14:paraId="67BAB295" w14:textId="77777777" w:rsidR="00E166B2" w:rsidRDefault="00E166B2" w:rsidP="00233877">
      <w:pPr>
        <w:spacing w:after="60"/>
        <w:rPr>
          <w:b/>
          <w:u w:val="single"/>
        </w:rPr>
      </w:pPr>
    </w:p>
    <w:p w14:paraId="0061E53C" w14:textId="77777777" w:rsidR="00233877" w:rsidRDefault="0090446A" w:rsidP="00233877">
      <w:pPr>
        <w:spacing w:after="60"/>
        <w:rPr>
          <w:b/>
          <w:u w:val="single"/>
        </w:rPr>
      </w:pPr>
      <w:r>
        <w:rPr>
          <w:b/>
          <w:u w:val="single"/>
        </w:rPr>
        <w:t>Justification</w:t>
      </w:r>
    </w:p>
    <w:p w14:paraId="46A3DFE0" w14:textId="77777777" w:rsidR="00855CC1" w:rsidRPr="00233877" w:rsidRDefault="00A17E6C" w:rsidP="00A17E6C">
      <w:pPr>
        <w:pStyle w:val="Heading1"/>
      </w:pPr>
      <w:bookmarkStart w:id="2" w:name="_Toc457409139"/>
      <w:bookmarkStart w:id="3" w:name="_Toc462298371"/>
      <w:r>
        <w:t>A.1</w:t>
      </w:r>
      <w:r>
        <w:tab/>
      </w:r>
      <w:r w:rsidR="006D76AC" w:rsidRPr="00233877">
        <w:t>Circumstances Making the Collection of Information Necessary</w:t>
      </w:r>
      <w:bookmarkEnd w:id="2"/>
      <w:bookmarkEnd w:id="3"/>
      <w:r w:rsidR="006D76AC" w:rsidRPr="00233877">
        <w:t xml:space="preserve"> </w:t>
      </w:r>
      <w:r w:rsidR="006D56CD">
        <w:t xml:space="preserve"> </w:t>
      </w:r>
    </w:p>
    <w:p w14:paraId="17D06D3F" w14:textId="6171F074" w:rsidR="00A17E6C" w:rsidRPr="005B4F5B" w:rsidRDefault="00855CC1" w:rsidP="005B4F5B">
      <w:pPr>
        <w:rPr>
          <w:color w:val="000000" w:themeColor="text1"/>
        </w:rPr>
      </w:pPr>
      <w:r w:rsidRPr="001B0F23">
        <w:t xml:space="preserve">The </w:t>
      </w:r>
      <w:r w:rsidR="0054533E" w:rsidRPr="001B0F23">
        <w:t xml:space="preserve">Division of Sexually Transmitted Diseases Prevention (DSTDP) at the </w:t>
      </w:r>
      <w:r w:rsidRPr="001B0F23">
        <w:t>Centers for Disease Control</w:t>
      </w:r>
      <w:r w:rsidRPr="00233877">
        <w:t xml:space="preserve"> and Prevention (CDC) and the U.S. Department of Health and Human Services (USDHHS) is seeking </w:t>
      </w:r>
      <w:r w:rsidR="00A556F2">
        <w:t xml:space="preserve">a 3-year </w:t>
      </w:r>
      <w:r w:rsidRPr="00233877">
        <w:t xml:space="preserve">approval from the Office of Management and Budget (OMB) to conduct </w:t>
      </w:r>
      <w:r w:rsidR="00A556F2">
        <w:t>“</w:t>
      </w:r>
      <w:r w:rsidR="00C7692E" w:rsidRPr="00C7692E">
        <w:t>Assessing the Infrastructure for Public STD prevention Services</w:t>
      </w:r>
      <w:r w:rsidR="00A556F2" w:rsidRPr="00C7692E">
        <w:t>”</w:t>
      </w:r>
      <w:r w:rsidRPr="00233877">
        <w:t xml:space="preserve"> (</w:t>
      </w:r>
      <w:r w:rsidR="00196945" w:rsidRPr="00233877">
        <w:t>hereafter</w:t>
      </w:r>
      <w:r w:rsidRPr="00233877">
        <w:t xml:space="preserve"> </w:t>
      </w:r>
      <w:r w:rsidR="00C7692E">
        <w:t>STD Infrastructure Assessment</w:t>
      </w:r>
      <w:r w:rsidRPr="00233877">
        <w:t>)</w:t>
      </w:r>
      <w:r w:rsidR="00A17E6C">
        <w:t xml:space="preserve">. </w:t>
      </w:r>
      <w:r w:rsidR="00A17E6C" w:rsidRPr="00374DC8">
        <w:t>CDC’s authority to collect information f</w:t>
      </w:r>
      <w:r w:rsidR="00A17E6C">
        <w:t xml:space="preserve">or the </w:t>
      </w:r>
      <w:r w:rsidR="00C7692E">
        <w:t>STD Infrastructure Assessment</w:t>
      </w:r>
      <w:r w:rsidR="00C7692E" w:rsidRPr="00374DC8">
        <w:t xml:space="preserve"> </w:t>
      </w:r>
      <w:r w:rsidR="00A17E6C" w:rsidRPr="00374DC8">
        <w:t xml:space="preserve">is provided by </w:t>
      </w:r>
      <w:r w:rsidR="00A17E6C" w:rsidRPr="007A5B91">
        <w:rPr>
          <w:color w:val="000000" w:themeColor="text1"/>
        </w:rPr>
        <w:t>Section 301 of the Public Health Service Act (42 U.S.C. 241) [280-1a] (</w:t>
      </w:r>
      <w:r w:rsidR="00A17E6C" w:rsidRPr="00A556F2">
        <w:rPr>
          <w:b/>
          <w:color w:val="000000" w:themeColor="text1"/>
        </w:rPr>
        <w:t>A</w:t>
      </w:r>
      <w:r w:rsidR="00B80A03" w:rsidRPr="00A556F2">
        <w:rPr>
          <w:b/>
          <w:color w:val="000000" w:themeColor="text1"/>
        </w:rPr>
        <w:t xml:space="preserve">ttachment </w:t>
      </w:r>
      <w:r w:rsidR="008C1C14" w:rsidRPr="00A556F2">
        <w:rPr>
          <w:b/>
          <w:color w:val="000000" w:themeColor="text1"/>
        </w:rPr>
        <w:t>1</w:t>
      </w:r>
      <w:r w:rsidR="00A17E6C" w:rsidRPr="007A5B91">
        <w:rPr>
          <w:color w:val="000000" w:themeColor="text1"/>
        </w:rPr>
        <w:t xml:space="preserve">). </w:t>
      </w:r>
      <w:r w:rsidR="005B4F5B" w:rsidRPr="005B4F5B">
        <w:rPr>
          <w:color w:val="000000" w:themeColor="text1"/>
        </w:rPr>
        <w:t xml:space="preserve">The primary goal of this study is to examine STD preventive and clinical services provided by local and state health departments two times over a 3 year period. </w:t>
      </w:r>
      <w:r w:rsidR="00A17E6C" w:rsidRPr="007A5B91">
        <w:rPr>
          <w:color w:val="000000" w:themeColor="text1"/>
        </w:rPr>
        <w:t xml:space="preserve"> </w:t>
      </w:r>
      <w:r w:rsidR="005B4F5B">
        <w:t xml:space="preserve">Resulting data will be used to help CDC assess the delivery of timely public STD preventive and clinical services to reduce the number of newly acquired STDs and prevent STD-related sequelae. </w:t>
      </w:r>
      <w:r w:rsidR="005B4F5B" w:rsidRPr="005B4F5B" w:rsidDel="005B4F5B">
        <w:rPr>
          <w:color w:val="000000" w:themeColor="text1"/>
        </w:rPr>
        <w:t xml:space="preserve"> </w:t>
      </w:r>
    </w:p>
    <w:p w14:paraId="31FBB5B9" w14:textId="77777777" w:rsidR="00282BCB" w:rsidRDefault="0054533E" w:rsidP="005B4F5B">
      <w:pPr>
        <w:widowControl/>
        <w:autoSpaceDE/>
        <w:autoSpaceDN/>
        <w:adjustRightInd/>
        <w:spacing w:before="240"/>
        <w:ind w:right="-4"/>
      </w:pPr>
      <w:r w:rsidRPr="005B4F5B">
        <w:rPr>
          <w:color w:val="000000" w:themeColor="text1"/>
        </w:rPr>
        <w:t xml:space="preserve">Each year, 19.7 million sexually transmitted </w:t>
      </w:r>
      <w:r w:rsidR="00F968F5" w:rsidRPr="005B4F5B">
        <w:rPr>
          <w:color w:val="000000" w:themeColor="text1"/>
        </w:rPr>
        <w:t xml:space="preserve">diseases </w:t>
      </w:r>
      <w:r w:rsidRPr="005B4F5B">
        <w:rPr>
          <w:color w:val="000000" w:themeColor="text1"/>
        </w:rPr>
        <w:t>(ST</w:t>
      </w:r>
      <w:r w:rsidR="00970834" w:rsidRPr="005B4F5B">
        <w:rPr>
          <w:color w:val="000000" w:themeColor="text1"/>
        </w:rPr>
        <w:t>D</w:t>
      </w:r>
      <w:r w:rsidRPr="005B4F5B">
        <w:rPr>
          <w:color w:val="000000" w:themeColor="text1"/>
        </w:rPr>
        <w:t>s) occur in the U.S.</w:t>
      </w:r>
      <w:r w:rsidR="007A5B91" w:rsidRPr="005B4F5B">
        <w:rPr>
          <w:color w:val="000000" w:themeColor="text1"/>
        </w:rPr>
        <w:endnoteReference w:id="1"/>
      </w:r>
      <w:r w:rsidR="007A5B91" w:rsidRPr="005B4F5B">
        <w:rPr>
          <w:color w:val="000000" w:themeColor="text1"/>
        </w:rPr>
        <w:t>-</w:t>
      </w:r>
      <w:r w:rsidR="007A5B91" w:rsidRPr="005B4F5B">
        <w:rPr>
          <w:color w:val="000000" w:themeColor="text1"/>
        </w:rPr>
        <w:endnoteReference w:id="2"/>
      </w:r>
      <w:r w:rsidR="007A5B91" w:rsidRPr="005B4F5B">
        <w:rPr>
          <w:color w:val="000000" w:themeColor="text1"/>
        </w:rPr>
        <w:t xml:space="preserve"> The public health burden of STDs is compounded by their economic impact. In 2010, an estimated $15.6 billion</w:t>
      </w:r>
      <w:r w:rsidR="007A5B91" w:rsidRPr="00233877">
        <w:t xml:space="preserve"> in direct medical costs were attributed to STDs.</w:t>
      </w:r>
      <w:r w:rsidR="007A5B91" w:rsidRPr="00233877">
        <w:rPr>
          <w:rStyle w:val="EndnoteReference"/>
        </w:rPr>
        <w:endnoteReference w:id="3"/>
      </w:r>
      <w:r w:rsidR="007A5B91" w:rsidRPr="00233877">
        <w:t xml:space="preserve"> </w:t>
      </w:r>
      <w:r w:rsidR="007A5B91">
        <w:t>U</w:t>
      </w:r>
      <w:r w:rsidR="007A5B91" w:rsidRPr="00233877">
        <w:t>ndiagnosed and untreated STDs can lead to serious long-term health consequences, especially for women. For example, every year, about 24,000 women become infertile as a result of undiagnosed and untreated STDs.</w:t>
      </w:r>
      <w:r w:rsidR="007A5B91" w:rsidRPr="00233877">
        <w:rPr>
          <w:rStyle w:val="EndnoteReference"/>
        </w:rPr>
        <w:endnoteReference w:id="4"/>
      </w:r>
      <w:r w:rsidR="007A5B91" w:rsidRPr="00233877">
        <w:t xml:space="preserve"> </w:t>
      </w:r>
    </w:p>
    <w:p w14:paraId="207737A7" w14:textId="7AD5303E" w:rsidR="00C7692E" w:rsidRDefault="008B06DB" w:rsidP="004B7D23">
      <w:pPr>
        <w:widowControl/>
        <w:autoSpaceDE/>
        <w:autoSpaceDN/>
        <w:adjustRightInd/>
        <w:spacing w:before="240"/>
        <w:ind w:right="-4"/>
      </w:pPr>
      <w:r>
        <w:t>A significant percentage of reported cases of STDs are diagnosed in publicly funded clinics, such as STD clinics.</w:t>
      </w:r>
      <w:r w:rsidRPr="008B06DB">
        <w:rPr>
          <w:vertAlign w:val="superscript"/>
        </w:rPr>
        <w:t>1</w:t>
      </w:r>
      <w:r>
        <w:t xml:space="preserve">  </w:t>
      </w:r>
      <w:r w:rsidR="00282BCB">
        <w:t>Specifically, p</w:t>
      </w:r>
      <w:r w:rsidR="00282BCB" w:rsidRPr="00282BCB">
        <w:t>ast research has shown that a substantial proportion of HIV (10% or more), primary and secondary syphilis (14%-48%), gonorrhea (13%-41%), and chlamydia (6%-28%) are diagnosed in public STD clinics</w:t>
      </w:r>
      <w:r w:rsidR="00282BCB">
        <w:t>.</w:t>
      </w:r>
      <w:r w:rsidR="00282BCB" w:rsidRPr="00282BCB">
        <w:rPr>
          <w:vertAlign w:val="superscript"/>
        </w:rPr>
        <w:t>5</w:t>
      </w:r>
      <w:r w:rsidR="00282BCB" w:rsidRPr="00282BCB">
        <w:t xml:space="preserve"> </w:t>
      </w:r>
      <w:r w:rsidR="00282BCB">
        <w:t xml:space="preserve"> </w:t>
      </w:r>
      <w:r w:rsidR="00C809DC">
        <w:t xml:space="preserve">Public clinics often serve un- or under-insured populations.  </w:t>
      </w:r>
      <w:r w:rsidR="00282BCB" w:rsidRPr="00282BCB">
        <w:t xml:space="preserve">Because a continued role for STD clinics is likely to exist as a safety net while the US healthcare market evolves, understanding the current level of </w:t>
      </w:r>
      <w:r w:rsidR="00431ED6">
        <w:t>publicly</w:t>
      </w:r>
      <w:r w:rsidR="000E1760">
        <w:t xml:space="preserve"> </w:t>
      </w:r>
      <w:r w:rsidR="00431ED6">
        <w:t xml:space="preserve">funded </w:t>
      </w:r>
      <w:r w:rsidR="00282BCB" w:rsidRPr="00282BCB">
        <w:t>STD services, funding, and staffing levels is important.</w:t>
      </w:r>
      <w:r w:rsidR="00A50E35">
        <w:t xml:space="preserve">  A 2013 national survey </w:t>
      </w:r>
      <w:r w:rsidR="00643E06">
        <w:t xml:space="preserve">of local health departments </w:t>
      </w:r>
      <w:r w:rsidR="00A50E35">
        <w:t>found gaps and reductions in public STD services, including in clinical services that are important to reduce disease transmission.</w:t>
      </w:r>
      <w:r w:rsidR="005B4F5B">
        <w:rPr>
          <w:vertAlign w:val="superscript"/>
        </w:rPr>
        <w:t>6</w:t>
      </w:r>
      <w:r w:rsidR="005B4F5B">
        <w:t xml:space="preserve">  </w:t>
      </w:r>
      <w:r w:rsidR="004C6263">
        <w:t xml:space="preserve">The study also found that </w:t>
      </w:r>
      <w:r w:rsidR="00643E06">
        <w:t>STD programs in local and state healt</w:t>
      </w:r>
      <w:r w:rsidR="00F21715">
        <w:t xml:space="preserve">h departments often provide HIV </w:t>
      </w:r>
      <w:r w:rsidR="00643E06">
        <w:t>services such as HIV field testing of STD contacts and surveillance activities.</w:t>
      </w:r>
      <w:r w:rsidR="005B4F5B">
        <w:rPr>
          <w:vertAlign w:val="superscript"/>
        </w:rPr>
        <w:t>7</w:t>
      </w:r>
      <w:r w:rsidR="005B4F5B">
        <w:t xml:space="preserve">  </w:t>
      </w:r>
      <w:r w:rsidR="00DA06BA">
        <w:t xml:space="preserve">State and local health departments </w:t>
      </w:r>
      <w:r w:rsidR="000924B7" w:rsidRPr="000924B7">
        <w:t>(</w:t>
      </w:r>
      <w:r w:rsidR="007034D5">
        <w:t>S</w:t>
      </w:r>
      <w:r w:rsidR="000924B7" w:rsidRPr="000924B7">
        <w:t xml:space="preserve">HD and </w:t>
      </w:r>
      <w:r w:rsidR="007034D5">
        <w:t>L</w:t>
      </w:r>
      <w:r w:rsidR="007034D5" w:rsidRPr="000924B7">
        <w:t xml:space="preserve">HD </w:t>
      </w:r>
      <w:r w:rsidR="000924B7" w:rsidRPr="000924B7">
        <w:t>respectively)</w:t>
      </w:r>
      <w:r w:rsidR="000924B7">
        <w:t xml:space="preserve"> </w:t>
      </w:r>
      <w:r w:rsidR="00DA06BA">
        <w:t xml:space="preserve">also engage in other important STD prevention activities such as partner services and surveillance.  </w:t>
      </w:r>
    </w:p>
    <w:p w14:paraId="189EB30C" w14:textId="5EFE6E72" w:rsidR="00990B50" w:rsidRDefault="00282BCB" w:rsidP="00A17E6C">
      <w:pPr>
        <w:widowControl/>
        <w:autoSpaceDE/>
        <w:autoSpaceDN/>
        <w:adjustRightInd/>
        <w:spacing w:before="240"/>
        <w:ind w:right="-4"/>
      </w:pPr>
      <w:r w:rsidRPr="00282BCB">
        <w:t xml:space="preserve"> </w:t>
      </w:r>
      <w:r w:rsidR="007A5B91" w:rsidRPr="00233877">
        <w:t>The mission of the DSTDP is “to provide national leadership, research, policy development, and scientific information to help people live safer, healthier lives by the prevention of STDs and their complications.”</w:t>
      </w:r>
      <w:r w:rsidR="00A73CF0">
        <w:rPr>
          <w:rStyle w:val="EndnoteReference"/>
        </w:rPr>
        <w:t>8</w:t>
      </w:r>
      <w:r w:rsidR="00A73CF0" w:rsidRPr="00233877">
        <w:t xml:space="preserve">  </w:t>
      </w:r>
      <w:r w:rsidR="007A5B91" w:rsidRPr="00233877">
        <w:t xml:space="preserve">A major component of this objective is </w:t>
      </w:r>
      <w:r w:rsidR="00CF1BDE">
        <w:t xml:space="preserve">helping state and local health authorities </w:t>
      </w:r>
      <w:r w:rsidR="007A5B91" w:rsidRPr="00233877">
        <w:t xml:space="preserve">delivering timely STD preventive and </w:t>
      </w:r>
      <w:r w:rsidR="00431ED6">
        <w:t>clinical</w:t>
      </w:r>
      <w:r w:rsidR="00431ED6" w:rsidRPr="00233877">
        <w:t xml:space="preserve"> </w:t>
      </w:r>
      <w:r w:rsidR="007A5B91" w:rsidRPr="00233877">
        <w:t xml:space="preserve">services </w:t>
      </w:r>
      <w:r w:rsidR="007A5B91">
        <w:t>to reduce</w:t>
      </w:r>
      <w:r w:rsidR="007A5B91" w:rsidRPr="00233877">
        <w:t xml:space="preserve"> the number of newly acquired STDs and </w:t>
      </w:r>
      <w:r w:rsidR="007A5B91">
        <w:t>prevent</w:t>
      </w:r>
      <w:r w:rsidR="007A5B91" w:rsidRPr="00233877">
        <w:t xml:space="preserve"> STD-related sequelae. </w:t>
      </w:r>
      <w:r w:rsidR="00372C1C">
        <w:t xml:space="preserve">This assessment would allow DSTDP to periodically </w:t>
      </w:r>
      <w:r w:rsidR="00DA06BA">
        <w:t xml:space="preserve">examine </w:t>
      </w:r>
      <w:r w:rsidR="00372C1C">
        <w:t xml:space="preserve">STD preventive and </w:t>
      </w:r>
      <w:r w:rsidR="00431ED6">
        <w:t>clinical</w:t>
      </w:r>
      <w:r w:rsidR="00372C1C">
        <w:t xml:space="preserve"> services provided by </w:t>
      </w:r>
      <w:r w:rsidR="000924B7">
        <w:t xml:space="preserve">LHDs </w:t>
      </w:r>
      <w:r w:rsidR="00372C1C">
        <w:t xml:space="preserve">and </w:t>
      </w:r>
      <w:r w:rsidR="000924B7">
        <w:t>SHDs</w:t>
      </w:r>
      <w:r w:rsidR="00372C1C">
        <w:t xml:space="preserve">. </w:t>
      </w:r>
      <w:r w:rsidR="005B4F5B">
        <w:t xml:space="preserve">This would allow us to assess the full range of publicly funded activities relevant for STD prevention.  </w:t>
      </w:r>
      <w:r w:rsidR="00E3185E">
        <w:t xml:space="preserve">DSTDP will collect data two times over a three-year period.  </w:t>
      </w:r>
    </w:p>
    <w:p w14:paraId="1B47A1BD" w14:textId="77777777" w:rsidR="007A5B91" w:rsidRPr="00233877" w:rsidRDefault="007A5B91" w:rsidP="00A17E6C">
      <w:pPr>
        <w:pStyle w:val="Heading1"/>
      </w:pPr>
      <w:bookmarkStart w:id="4" w:name="_Toc457409140"/>
      <w:bookmarkStart w:id="5" w:name="_Toc462298372"/>
      <w:r>
        <w:t>A.2</w:t>
      </w:r>
      <w:r>
        <w:tab/>
      </w:r>
      <w:r w:rsidRPr="00233877">
        <w:t>Purpose and Use of the Information Collection</w:t>
      </w:r>
      <w:bookmarkEnd w:id="4"/>
      <w:bookmarkEnd w:id="5"/>
      <w:r w:rsidRPr="00233877">
        <w:t xml:space="preserve"> </w:t>
      </w:r>
    </w:p>
    <w:p w14:paraId="261482FD" w14:textId="0D7F315E" w:rsidR="00933CF0" w:rsidRDefault="007A5B91" w:rsidP="00C92200">
      <w:r w:rsidRPr="00233877">
        <w:t xml:space="preserve">The purpose of this </w:t>
      </w:r>
      <w:r w:rsidR="006250D3">
        <w:t>information collection</w:t>
      </w:r>
      <w:r w:rsidR="00933CF0">
        <w:t xml:space="preserve"> is to </w:t>
      </w:r>
      <w:r w:rsidR="006250D3">
        <w:t xml:space="preserve">periodically conduct a representative assessment of local and state health departments that would allow DSTDP to </w:t>
      </w:r>
      <w:r w:rsidR="00D926BE">
        <w:t xml:space="preserve">examine </w:t>
      </w:r>
      <w:r w:rsidR="00376D39">
        <w:t xml:space="preserve">publicly funded </w:t>
      </w:r>
      <w:r w:rsidR="006250D3">
        <w:t>STD prevention services</w:t>
      </w:r>
      <w:r w:rsidR="00376D39">
        <w:t xml:space="preserve"> over time (i.e., every 3 years).  </w:t>
      </w:r>
      <w:r w:rsidR="00162190" w:rsidRPr="00DF4FD8">
        <w:t xml:space="preserve">This will </w:t>
      </w:r>
      <w:r w:rsidR="000924B7" w:rsidRPr="00DF4FD8">
        <w:t xml:space="preserve">help </w:t>
      </w:r>
      <w:r w:rsidR="00162190" w:rsidRPr="00DF4FD8">
        <w:t xml:space="preserve">inform decision makers and other stakeholders and will help to provide trends data </w:t>
      </w:r>
      <w:r w:rsidR="002E1282" w:rsidRPr="00DF4FD8">
        <w:t xml:space="preserve">to </w:t>
      </w:r>
      <w:r w:rsidR="000924B7" w:rsidRPr="00DF4FD8">
        <w:t xml:space="preserve">understand changes in STD </w:t>
      </w:r>
      <w:r w:rsidR="00307932" w:rsidRPr="00DF4FD8">
        <w:t xml:space="preserve">prevention </w:t>
      </w:r>
      <w:r w:rsidR="000924B7" w:rsidRPr="00DF4FD8">
        <w:t>services</w:t>
      </w:r>
      <w:r w:rsidR="00162190" w:rsidRPr="00DF4FD8">
        <w:t xml:space="preserve">. </w:t>
      </w:r>
      <w:r w:rsidR="000E1760" w:rsidRPr="00DF4FD8">
        <w:t xml:space="preserve"> </w:t>
      </w:r>
      <w:r w:rsidR="00162190" w:rsidRPr="00DF4FD8">
        <w:t>The information about services that are currently provided is particularly useful to characterize the role that STD clinics are currently serving in meeting their jurisdictions’ health care needs.  Results from the data collection will also be disseminated via reports and peer-reviewed journal articles prepared by CDC</w:t>
      </w:r>
      <w:r w:rsidR="00DA1BE5" w:rsidRPr="00DF4FD8">
        <w:t xml:space="preserve"> and the</w:t>
      </w:r>
      <w:r w:rsidR="00162190" w:rsidRPr="00DF4FD8">
        <w:t xml:space="preserve"> </w:t>
      </w:r>
      <w:r w:rsidR="00DA1BE5" w:rsidRPr="00DF4FD8">
        <w:t>National Association of County and City Health Officials (NACCHO).</w:t>
      </w:r>
    </w:p>
    <w:p w14:paraId="7BF1E7A4" w14:textId="77777777" w:rsidR="00376D39" w:rsidRDefault="00162190" w:rsidP="00C92200">
      <w:r>
        <w:t xml:space="preserve">Given the varying roles and functions that LHDs and SHDs play in STD prevention and public health, this information collection will include two </w:t>
      </w:r>
      <w:r w:rsidR="000546F8">
        <w:t>surveys:  one for LHDs (</w:t>
      </w:r>
      <w:r w:rsidR="000546F8" w:rsidRPr="000546F8">
        <w:rPr>
          <w:b/>
        </w:rPr>
        <w:t>Attachment 3</w:t>
      </w:r>
      <w:r w:rsidR="000546F8">
        <w:t>) and one for SHDs (</w:t>
      </w:r>
      <w:r w:rsidR="000546F8" w:rsidRPr="000546F8">
        <w:rPr>
          <w:b/>
        </w:rPr>
        <w:t>Attachment 4</w:t>
      </w:r>
      <w:r w:rsidR="000546F8">
        <w:t xml:space="preserve">). The surveys overlap when appropriate and </w:t>
      </w:r>
      <w:r w:rsidR="00376D39">
        <w:t xml:space="preserve">contain sections on </w:t>
      </w:r>
      <w:r>
        <w:t xml:space="preserve">STD program structure, </w:t>
      </w:r>
      <w:r w:rsidR="00376D39">
        <w:t>public STD clinical services (LHD only)</w:t>
      </w:r>
      <w:r>
        <w:t xml:space="preserve">, STD partner services, other STD prevention services such as surveillance and health promotion (SHD only), and STD program workforce and impact of budget cuts on STD services. </w:t>
      </w:r>
    </w:p>
    <w:p w14:paraId="0A508694" w14:textId="77777777" w:rsidR="007A5B91" w:rsidRPr="00233877" w:rsidRDefault="007A5B91" w:rsidP="00A17E6C">
      <w:pPr>
        <w:pStyle w:val="Heading1"/>
      </w:pPr>
      <w:bookmarkStart w:id="6" w:name="_Toc457409141"/>
      <w:bookmarkStart w:id="7" w:name="_Toc462298373"/>
      <w:r>
        <w:t>A.3</w:t>
      </w:r>
      <w:r>
        <w:tab/>
      </w:r>
      <w:r w:rsidRPr="00233877">
        <w:t>Use of Improved Information Technology and Burden Reduction</w:t>
      </w:r>
      <w:bookmarkEnd w:id="6"/>
      <w:bookmarkEnd w:id="7"/>
    </w:p>
    <w:p w14:paraId="4E4782F4" w14:textId="77777777" w:rsidR="00162190" w:rsidRDefault="00162190" w:rsidP="001B0F23">
      <w:r w:rsidRPr="00162190">
        <w:t xml:space="preserve">Data will be collected </w:t>
      </w:r>
      <w:r w:rsidR="00DA1BE5">
        <w:t xml:space="preserve">by NACCHO </w:t>
      </w:r>
      <w:r w:rsidRPr="00162190">
        <w:t xml:space="preserve">via web-based </w:t>
      </w:r>
      <w:r w:rsidR="000546F8">
        <w:t>surveys</w:t>
      </w:r>
      <w:r w:rsidRPr="00162190">
        <w:t xml:space="preserve"> using the Qualtrics online data collection platform.  This </w:t>
      </w:r>
      <w:r w:rsidR="0080151F">
        <w:t xml:space="preserve">online platform </w:t>
      </w:r>
      <w:r w:rsidRPr="00162190">
        <w:t>will allow respondents to complete and submit their responses electronically</w:t>
      </w:r>
      <w:r w:rsidR="005763A5">
        <w:t xml:space="preserve"> using web surveys (</w:t>
      </w:r>
      <w:r w:rsidR="005763A5" w:rsidRPr="007C4427">
        <w:rPr>
          <w:b/>
        </w:rPr>
        <w:t>Attachments 5 and 6</w:t>
      </w:r>
      <w:r w:rsidR="005763A5">
        <w:t>)</w:t>
      </w:r>
      <w:r w:rsidRPr="00162190">
        <w:t>. This method was chosen to reduce the overall burden on respondents. The survey</w:t>
      </w:r>
      <w:r w:rsidR="00B86039">
        <w:t xml:space="preserve"> </w:t>
      </w:r>
      <w:r w:rsidRPr="00162190">
        <w:t>data collection was designed to collect the minimum information necessary for the purposes of this project</w:t>
      </w:r>
      <w:r w:rsidR="002371B9">
        <w:t>.  A</w:t>
      </w:r>
      <w:r w:rsidR="00B86039">
        <w:t xml:space="preserve">lthough STD programs may perform countless activities, </w:t>
      </w:r>
      <w:r w:rsidR="002371B9" w:rsidRPr="00162190">
        <w:t xml:space="preserve">data collection </w:t>
      </w:r>
      <w:r w:rsidR="002371B9">
        <w:t xml:space="preserve">is limited to </w:t>
      </w:r>
      <w:r w:rsidR="001621F2">
        <w:t xml:space="preserve">36 </w:t>
      </w:r>
      <w:r w:rsidR="002371B9">
        <w:t xml:space="preserve">items </w:t>
      </w:r>
      <w:r w:rsidR="001621F2">
        <w:t xml:space="preserve">for LHDs and </w:t>
      </w:r>
      <w:r w:rsidR="002371B9">
        <w:t>33 for SHDs</w:t>
      </w:r>
      <w:r w:rsidR="001621F2">
        <w:t xml:space="preserve"> and</w:t>
      </w:r>
      <w:r w:rsidR="002371B9">
        <w:t xml:space="preserve"> </w:t>
      </w:r>
      <w:r w:rsidRPr="00162190">
        <w:t xml:space="preserve">is formatted in a manner to enable respondents to rapidly click on buttons (where </w:t>
      </w:r>
      <w:r w:rsidR="009200EA">
        <w:t>possible</w:t>
      </w:r>
      <w:r w:rsidRPr="00162190">
        <w:t>) to advance through the data collection.  Skip patterns</w:t>
      </w:r>
      <w:r w:rsidR="0080151F">
        <w:t>, presented at the beginning and throughout the survey</w:t>
      </w:r>
      <w:r w:rsidR="00304415">
        <w:t xml:space="preserve"> as appropriate</w:t>
      </w:r>
      <w:r w:rsidR="0080151F">
        <w:t>,</w:t>
      </w:r>
      <w:r w:rsidRPr="00162190">
        <w:t xml:space="preserve"> are enabled to minimize the likelihood of respondents being presented with irrelevant questions.</w:t>
      </w:r>
      <w:r w:rsidR="002371B9">
        <w:t xml:space="preserve">  Additionally, Qualtrics provides the ability to create “hover boxes” that show definitions for any terms that may not be readily understandable to the respondent</w:t>
      </w:r>
      <w:r w:rsidR="001621F2">
        <w:t xml:space="preserve"> (</w:t>
      </w:r>
      <w:r w:rsidR="001621F2" w:rsidRPr="007C4427">
        <w:rPr>
          <w:b/>
        </w:rPr>
        <w:t>Attachment 7</w:t>
      </w:r>
      <w:r w:rsidR="001621F2">
        <w:t>)</w:t>
      </w:r>
      <w:r w:rsidR="002371B9">
        <w:t xml:space="preserve">. </w:t>
      </w:r>
    </w:p>
    <w:p w14:paraId="2877A468" w14:textId="77777777" w:rsidR="002371B9" w:rsidRDefault="002371B9" w:rsidP="001B0F23">
      <w:r w:rsidRPr="002371B9">
        <w:t xml:space="preserve">Qualtrics </w:t>
      </w:r>
      <w:r w:rsidR="00E82A6C">
        <w:t xml:space="preserve">online </w:t>
      </w:r>
      <w:r>
        <w:t xml:space="preserve">data collection </w:t>
      </w:r>
      <w:r w:rsidR="00E82A6C">
        <w:t xml:space="preserve">platform </w:t>
      </w:r>
      <w:r w:rsidRPr="002371B9">
        <w:t>use</w:t>
      </w:r>
      <w:r w:rsidR="00E82A6C">
        <w:t>s</w:t>
      </w:r>
      <w:r w:rsidRPr="002371B9">
        <w:t xml:space="preserve"> encryption for data transmission.  Once the data collection closes, the data will be accessed by staff at NACCHO, encrypted, and transmitted electronically to CDC.</w:t>
      </w:r>
    </w:p>
    <w:p w14:paraId="10EAF47D" w14:textId="77777777" w:rsidR="006D76AC" w:rsidRPr="00233877" w:rsidRDefault="00D06403" w:rsidP="008D60B6">
      <w:pPr>
        <w:pStyle w:val="Heading1"/>
        <w:spacing w:after="120"/>
      </w:pPr>
      <w:bookmarkStart w:id="8" w:name="_Toc462298374"/>
      <w:r>
        <w:t>A.4</w:t>
      </w:r>
      <w:r>
        <w:tab/>
      </w:r>
      <w:r w:rsidR="006D76AC" w:rsidRPr="00233877">
        <w:t>Efforts to Identify Duplication and Use of Similar Information</w:t>
      </w:r>
      <w:bookmarkEnd w:id="8"/>
      <w:r w:rsidR="006D76AC" w:rsidRPr="00233877">
        <w:t xml:space="preserve"> </w:t>
      </w:r>
    </w:p>
    <w:p w14:paraId="20B2168F" w14:textId="31C2B457" w:rsidR="00DA1BE5" w:rsidRPr="00BC2C65" w:rsidRDefault="006F0DFC" w:rsidP="008D60B6">
      <w:pPr>
        <w:widowControl/>
        <w:autoSpaceDE/>
        <w:autoSpaceDN/>
        <w:adjustRightInd/>
        <w:ind w:right="-4"/>
      </w:pPr>
      <w:r w:rsidRPr="00233877">
        <w:t>CDC</w:t>
      </w:r>
      <w:r w:rsidR="00CC3F48">
        <w:t>/DSTDP</w:t>
      </w:r>
      <w:r w:rsidRPr="00233877">
        <w:t xml:space="preserve"> conducts ongoing searches of all major health-related electronic databases, reviews related literature, consults with key </w:t>
      </w:r>
      <w:r w:rsidR="009200EA">
        <w:t>external</w:t>
      </w:r>
      <w:r w:rsidR="009200EA" w:rsidRPr="00233877">
        <w:t xml:space="preserve"> </w:t>
      </w:r>
      <w:r w:rsidRPr="00233877">
        <w:t xml:space="preserve">partners and other experts, and maintains continuing communications with Federal agencies with related missions. </w:t>
      </w:r>
      <w:bookmarkStart w:id="9" w:name="_Toc462298375"/>
      <w:r w:rsidR="00DA1BE5">
        <w:t xml:space="preserve">NACCHO </w:t>
      </w:r>
      <w:r w:rsidR="000E7C44">
        <w:t xml:space="preserve">does </w:t>
      </w:r>
      <w:r w:rsidR="00DA1BE5" w:rsidRPr="00DA1BE5">
        <w:t xml:space="preserve">collect data from members </w:t>
      </w:r>
      <w:r w:rsidR="00C17F33">
        <w:t>periodically</w:t>
      </w:r>
      <w:r w:rsidR="00DA1BE5" w:rsidRPr="00DA1BE5">
        <w:t>, but does not include questions on its data collection that provide the</w:t>
      </w:r>
      <w:r w:rsidR="00304415">
        <w:t xml:space="preserve"> level of</w:t>
      </w:r>
      <w:r w:rsidR="00DA1BE5" w:rsidRPr="00DA1BE5">
        <w:t xml:space="preserve"> detail included in this information collection effort.  Questions are limited to whether STD screening or treatment are provided (yes/no</w:t>
      </w:r>
      <w:r w:rsidR="00DA1BE5">
        <w:t>), with no further details.</w:t>
      </w:r>
      <w:r w:rsidR="00A73CF0">
        <w:rPr>
          <w:vertAlign w:val="superscript"/>
        </w:rPr>
        <w:t>9</w:t>
      </w:r>
      <w:r w:rsidR="00A73CF0">
        <w:t xml:space="preserve"> </w:t>
      </w:r>
      <w:r w:rsidR="00BC2C65">
        <w:t>The only data collection of a similar scope and population was our baseline data collection in 2013.</w:t>
      </w:r>
      <w:r w:rsidR="00A73CF0">
        <w:rPr>
          <w:vertAlign w:val="superscript"/>
        </w:rPr>
        <w:t>6,7</w:t>
      </w:r>
      <w:r w:rsidR="00BC2C65">
        <w:t xml:space="preserve"> It was successful in helping DSTDP to understand the range and scope of STD activities in LHDs and SHDs</w:t>
      </w:r>
      <w:r w:rsidR="00BC2C65" w:rsidRPr="00DF4FD8">
        <w:t>.</w:t>
      </w:r>
      <w:r w:rsidR="00BC2C65">
        <w:t xml:space="preserve">  </w:t>
      </w:r>
    </w:p>
    <w:bookmarkEnd w:id="9"/>
    <w:p w14:paraId="6B1839CC" w14:textId="77777777" w:rsidR="00624AF3" w:rsidRPr="00233877" w:rsidRDefault="00624AF3" w:rsidP="00624AF3">
      <w:pPr>
        <w:pStyle w:val="Heading1"/>
      </w:pPr>
      <w:r>
        <w:t>A.5</w:t>
      </w:r>
      <w:r>
        <w:tab/>
      </w:r>
      <w:r w:rsidRPr="00233877">
        <w:t>Impact on Small Businesses or Other Small Entities</w:t>
      </w:r>
    </w:p>
    <w:p w14:paraId="1B6E3CC0" w14:textId="77777777" w:rsidR="007948D6" w:rsidRPr="00233877" w:rsidRDefault="00BC2C65" w:rsidP="00FE0BD7">
      <w:r>
        <w:t>No small businesses will be involved in data collection; therefore, t</w:t>
      </w:r>
      <w:r w:rsidR="007948D6" w:rsidRPr="00233877">
        <w:t xml:space="preserve">here will be no impact on small businesses or other small entities. </w:t>
      </w:r>
    </w:p>
    <w:p w14:paraId="6F1D4C1E" w14:textId="77777777" w:rsidR="006D76AC" w:rsidRPr="00233877" w:rsidRDefault="00D06403" w:rsidP="00D06403">
      <w:pPr>
        <w:pStyle w:val="Heading1"/>
      </w:pPr>
      <w:bookmarkStart w:id="10" w:name="_Toc462298376"/>
      <w:r>
        <w:t>A.6</w:t>
      </w:r>
      <w:r>
        <w:tab/>
      </w:r>
      <w:r w:rsidR="006D76AC" w:rsidRPr="00233877">
        <w:t xml:space="preserve">Consequences of Collecting the Information Less frequently </w:t>
      </w:r>
      <w:bookmarkEnd w:id="10"/>
    </w:p>
    <w:p w14:paraId="51FE07D8" w14:textId="77777777" w:rsidR="00977420" w:rsidRPr="007C2E41" w:rsidRDefault="00977420" w:rsidP="008D60B6">
      <w:pPr>
        <w:pStyle w:val="Heading1"/>
        <w:spacing w:before="0"/>
        <w:rPr>
          <w:color w:val="auto"/>
        </w:rPr>
      </w:pPr>
      <w:r w:rsidRPr="007C2E41">
        <w:rPr>
          <w:b w:val="0"/>
          <w:color w:val="auto"/>
        </w:rPr>
        <w:t>The activities involve</w:t>
      </w:r>
      <w:r w:rsidR="008F7A82">
        <w:rPr>
          <w:b w:val="0"/>
          <w:color w:val="auto"/>
        </w:rPr>
        <w:t xml:space="preserve"> </w:t>
      </w:r>
      <w:r w:rsidR="001648EB">
        <w:rPr>
          <w:b w:val="0"/>
          <w:color w:val="auto"/>
        </w:rPr>
        <w:t>two</w:t>
      </w:r>
      <w:r w:rsidR="008F7A82">
        <w:rPr>
          <w:b w:val="0"/>
          <w:color w:val="auto"/>
        </w:rPr>
        <w:t xml:space="preserve"> </w:t>
      </w:r>
      <w:r w:rsidRPr="007C2E41">
        <w:rPr>
          <w:b w:val="0"/>
          <w:color w:val="auto"/>
        </w:rPr>
        <w:t>collection</w:t>
      </w:r>
      <w:r w:rsidR="008F7A82">
        <w:rPr>
          <w:b w:val="0"/>
          <w:color w:val="auto"/>
        </w:rPr>
        <w:t>s</w:t>
      </w:r>
      <w:r w:rsidRPr="007C2E41">
        <w:rPr>
          <w:b w:val="0"/>
          <w:color w:val="auto"/>
        </w:rPr>
        <w:t xml:space="preserve"> of data</w:t>
      </w:r>
      <w:r w:rsidR="008F7A82">
        <w:rPr>
          <w:b w:val="0"/>
          <w:color w:val="auto"/>
        </w:rPr>
        <w:t xml:space="preserve"> </w:t>
      </w:r>
      <w:r w:rsidR="002B61C8">
        <w:rPr>
          <w:b w:val="0"/>
          <w:color w:val="auto"/>
        </w:rPr>
        <w:t>with</w:t>
      </w:r>
      <w:r w:rsidR="001648EB">
        <w:rPr>
          <w:b w:val="0"/>
          <w:color w:val="auto"/>
        </w:rPr>
        <w:t xml:space="preserve"> the second </w:t>
      </w:r>
      <w:r w:rsidR="002B61C8">
        <w:rPr>
          <w:b w:val="0"/>
          <w:color w:val="auto"/>
        </w:rPr>
        <w:t xml:space="preserve">data </w:t>
      </w:r>
      <w:r w:rsidR="001648EB">
        <w:rPr>
          <w:b w:val="0"/>
          <w:color w:val="auto"/>
        </w:rPr>
        <w:t>collection occurring three years after the first. E</w:t>
      </w:r>
      <w:r w:rsidR="008F7A82">
        <w:rPr>
          <w:b w:val="0"/>
          <w:color w:val="auto"/>
        </w:rPr>
        <w:t xml:space="preserve">ach collection </w:t>
      </w:r>
      <w:r w:rsidR="001648EB">
        <w:rPr>
          <w:b w:val="0"/>
          <w:color w:val="auto"/>
        </w:rPr>
        <w:t xml:space="preserve">of data will span </w:t>
      </w:r>
      <w:r w:rsidR="008F7A82">
        <w:rPr>
          <w:b w:val="0"/>
          <w:color w:val="auto"/>
        </w:rPr>
        <w:t xml:space="preserve">approximately </w:t>
      </w:r>
      <w:r w:rsidR="00DF2798">
        <w:rPr>
          <w:b w:val="0"/>
          <w:color w:val="auto"/>
        </w:rPr>
        <w:t>2</w:t>
      </w:r>
      <w:r w:rsidRPr="007C2E41">
        <w:rPr>
          <w:b w:val="0"/>
          <w:color w:val="auto"/>
        </w:rPr>
        <w:t xml:space="preserve"> months</w:t>
      </w:r>
      <w:r w:rsidR="008918F3">
        <w:rPr>
          <w:b w:val="0"/>
          <w:color w:val="auto"/>
        </w:rPr>
        <w:t>.</w:t>
      </w:r>
      <w:r w:rsidR="001648EB">
        <w:rPr>
          <w:b w:val="0"/>
          <w:color w:val="auto"/>
        </w:rPr>
        <w:t xml:space="preserve"> </w:t>
      </w:r>
      <w:r w:rsidR="006C2C4D">
        <w:rPr>
          <w:b w:val="0"/>
          <w:color w:val="auto"/>
        </w:rPr>
        <w:t xml:space="preserve">Estimated annual burden hours for each response </w:t>
      </w:r>
      <w:r w:rsidR="00614405">
        <w:rPr>
          <w:b w:val="0"/>
          <w:color w:val="auto"/>
        </w:rPr>
        <w:t>should</w:t>
      </w:r>
      <w:r w:rsidR="006C2C4D">
        <w:rPr>
          <w:b w:val="0"/>
          <w:color w:val="auto"/>
        </w:rPr>
        <w:t xml:space="preserve"> not </w:t>
      </w:r>
      <w:r w:rsidR="00A70274">
        <w:rPr>
          <w:b w:val="0"/>
          <w:color w:val="auto"/>
        </w:rPr>
        <w:t>significantly change</w:t>
      </w:r>
      <w:r w:rsidR="00614405">
        <w:rPr>
          <w:b w:val="0"/>
          <w:color w:val="auto"/>
        </w:rPr>
        <w:t xml:space="preserve"> given </w:t>
      </w:r>
      <w:r w:rsidR="00A70274">
        <w:rPr>
          <w:b w:val="0"/>
          <w:color w:val="auto"/>
        </w:rPr>
        <w:t xml:space="preserve">that </w:t>
      </w:r>
      <w:r w:rsidR="00614405">
        <w:rPr>
          <w:b w:val="0"/>
          <w:color w:val="auto"/>
        </w:rPr>
        <w:t>the survey and sampling methodology will remain the same for each collection of data.</w:t>
      </w:r>
    </w:p>
    <w:p w14:paraId="197FC782" w14:textId="77777777" w:rsidR="00977420" w:rsidRPr="007C2E41" w:rsidRDefault="00977420" w:rsidP="00977420">
      <w:pPr>
        <w:pStyle w:val="Heading1"/>
        <w:rPr>
          <w:b w:val="0"/>
          <w:color w:val="auto"/>
        </w:rPr>
      </w:pPr>
      <w:r w:rsidRPr="007C2E41">
        <w:rPr>
          <w:b w:val="0"/>
          <w:color w:val="auto"/>
        </w:rPr>
        <w:t>Not collecting this information would hinder DSTDP</w:t>
      </w:r>
      <w:r w:rsidR="00A70274">
        <w:rPr>
          <w:b w:val="0"/>
          <w:color w:val="auto"/>
        </w:rPr>
        <w:t>’s</w:t>
      </w:r>
      <w:r w:rsidRPr="007C2E41">
        <w:rPr>
          <w:b w:val="0"/>
          <w:color w:val="auto"/>
        </w:rPr>
        <w:t xml:space="preserve"> the ability to: (1) </w:t>
      </w:r>
      <w:r w:rsidR="00A86BF9">
        <w:rPr>
          <w:b w:val="0"/>
          <w:color w:val="auto"/>
        </w:rPr>
        <w:t xml:space="preserve">assess </w:t>
      </w:r>
      <w:r w:rsidR="00624AF3">
        <w:rPr>
          <w:b w:val="0"/>
          <w:color w:val="auto"/>
        </w:rPr>
        <w:t xml:space="preserve">and </w:t>
      </w:r>
      <w:r w:rsidRPr="007C2E41">
        <w:rPr>
          <w:b w:val="0"/>
          <w:color w:val="auto"/>
        </w:rPr>
        <w:t xml:space="preserve">understand </w:t>
      </w:r>
      <w:r w:rsidR="00624AF3">
        <w:rPr>
          <w:b w:val="0"/>
          <w:color w:val="auto"/>
        </w:rPr>
        <w:t>public STD preventive and clinical services</w:t>
      </w:r>
      <w:r w:rsidRPr="007C2E41">
        <w:rPr>
          <w:b w:val="0"/>
          <w:color w:val="auto"/>
        </w:rPr>
        <w:t xml:space="preserve"> </w:t>
      </w:r>
      <w:r w:rsidR="00624AF3">
        <w:rPr>
          <w:b w:val="0"/>
          <w:color w:val="auto"/>
        </w:rPr>
        <w:t xml:space="preserve">in a changing healthcare environment and (2) </w:t>
      </w:r>
      <w:r w:rsidRPr="007C2E41">
        <w:rPr>
          <w:b w:val="0"/>
          <w:color w:val="auto"/>
        </w:rPr>
        <w:t>help CDC prioritize STD prevention activities</w:t>
      </w:r>
      <w:r w:rsidR="00624AF3">
        <w:rPr>
          <w:b w:val="0"/>
          <w:color w:val="auto"/>
        </w:rPr>
        <w:t>.</w:t>
      </w:r>
    </w:p>
    <w:p w14:paraId="56157821" w14:textId="77777777" w:rsidR="006D76AC" w:rsidRPr="00233877" w:rsidRDefault="00D06403" w:rsidP="00D06403">
      <w:pPr>
        <w:pStyle w:val="Heading1"/>
      </w:pPr>
      <w:bookmarkStart w:id="11" w:name="_Toc462298377"/>
      <w:r>
        <w:t>A.7</w:t>
      </w:r>
      <w:r>
        <w:tab/>
      </w:r>
      <w:r w:rsidR="006D76AC" w:rsidRPr="00233877">
        <w:t>Special Circumstances Relating to the Guidelines of 5 CFR 1320.5</w:t>
      </w:r>
      <w:bookmarkEnd w:id="11"/>
      <w:r w:rsidR="006D76AC" w:rsidRPr="00233877">
        <w:t xml:space="preserve"> </w:t>
      </w:r>
    </w:p>
    <w:p w14:paraId="10AE62C8" w14:textId="77777777" w:rsidR="007948D6" w:rsidRPr="00233877" w:rsidRDefault="007948D6" w:rsidP="00FE0BD7">
      <w:r w:rsidRPr="00FE0BD7">
        <w:t>No special circumstances require the collection to be conducted in a manner inconsistent with the</w:t>
      </w:r>
      <w:r w:rsidRPr="00233877">
        <w:t xml:space="preserve"> guidelines in 5 CFR 1320.6.</w:t>
      </w:r>
    </w:p>
    <w:p w14:paraId="0D104F80" w14:textId="77777777" w:rsidR="006D76AC" w:rsidRPr="00E20D21" w:rsidRDefault="00D06403" w:rsidP="00D06403">
      <w:pPr>
        <w:pStyle w:val="Heading1"/>
      </w:pPr>
      <w:bookmarkStart w:id="12" w:name="_Toc462298378"/>
      <w:r w:rsidRPr="009D1570">
        <w:t>A.8</w:t>
      </w:r>
      <w:r w:rsidRPr="009D1570">
        <w:tab/>
      </w:r>
      <w:r w:rsidR="006D76AC" w:rsidRPr="00E20D21">
        <w:t>Comments in Response to the F</w:t>
      </w:r>
      <w:r w:rsidR="007A5B91" w:rsidRPr="00E20D21">
        <w:t>RN</w:t>
      </w:r>
      <w:r w:rsidR="006D76AC" w:rsidRPr="00E20D21">
        <w:t xml:space="preserve"> and Efforts to Consult Outside the Agency</w:t>
      </w:r>
      <w:bookmarkEnd w:id="12"/>
      <w:r w:rsidR="006D76AC" w:rsidRPr="00E20D21">
        <w:t xml:space="preserve"> </w:t>
      </w:r>
    </w:p>
    <w:p w14:paraId="45C6A7DC" w14:textId="77777777" w:rsidR="009D1570" w:rsidRPr="00E20D21" w:rsidRDefault="009D1570" w:rsidP="009D1570">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20D21">
        <w:t xml:space="preserve">A 60-Day Federal Register Notice was published in the </w:t>
      </w:r>
      <w:r w:rsidRPr="00E20D21">
        <w:rPr>
          <w:i/>
        </w:rPr>
        <w:t xml:space="preserve">Federal Register </w:t>
      </w:r>
      <w:r w:rsidRPr="00E20D21">
        <w:t xml:space="preserve">on </w:t>
      </w:r>
      <w:r w:rsidR="00156BDE">
        <w:t>March 2</w:t>
      </w:r>
      <w:r w:rsidRPr="00E20D21">
        <w:t xml:space="preserve">, </w:t>
      </w:r>
      <w:r w:rsidR="00156BDE" w:rsidRPr="00E20D21">
        <w:t>201</w:t>
      </w:r>
      <w:r w:rsidR="00156BDE">
        <w:t>7</w:t>
      </w:r>
      <w:r w:rsidRPr="00E20D21">
        <w:t xml:space="preserve">, volume </w:t>
      </w:r>
      <w:r w:rsidR="00156BDE">
        <w:t>82</w:t>
      </w:r>
      <w:r w:rsidRPr="00E20D21">
        <w:t xml:space="preserve">, number </w:t>
      </w:r>
      <w:r w:rsidR="00156BDE">
        <w:t>40</w:t>
      </w:r>
      <w:r w:rsidRPr="00E20D21">
        <w:t xml:space="preserve">, pp. </w:t>
      </w:r>
      <w:r w:rsidR="00156BDE">
        <w:t>12357</w:t>
      </w:r>
      <w:r w:rsidR="00156BDE" w:rsidRPr="00E20D21">
        <w:t xml:space="preserve"> </w:t>
      </w:r>
      <w:r w:rsidRPr="00E20D21">
        <w:t>(see A</w:t>
      </w:r>
      <w:r w:rsidR="00B80A03" w:rsidRPr="00E20D21">
        <w:t xml:space="preserve">ttachment </w:t>
      </w:r>
      <w:r w:rsidR="0033236B" w:rsidRPr="00E20D21">
        <w:t>2</w:t>
      </w:r>
      <w:r w:rsidR="00201310" w:rsidRPr="00E20D21">
        <w:t xml:space="preserve"> - 60-Day FRN</w:t>
      </w:r>
      <w:r w:rsidRPr="00E20D21">
        <w:t xml:space="preserve">).  </w:t>
      </w:r>
      <w:r w:rsidR="005E4EB4">
        <w:t>5 public</w:t>
      </w:r>
      <w:r w:rsidR="00156BDE" w:rsidRPr="00E20D21">
        <w:t xml:space="preserve"> </w:t>
      </w:r>
      <w:r w:rsidRPr="00E20D21">
        <w:t>comments were received</w:t>
      </w:r>
      <w:r w:rsidR="00457975" w:rsidRPr="00E20D21">
        <w:t xml:space="preserve"> (see </w:t>
      </w:r>
      <w:r w:rsidR="00457975" w:rsidRPr="00B32DB4">
        <w:rPr>
          <w:b/>
        </w:rPr>
        <w:t>Attachment 2a</w:t>
      </w:r>
      <w:r w:rsidR="00457975" w:rsidRPr="00E20D21">
        <w:t xml:space="preserve"> – Public Comments)</w:t>
      </w:r>
      <w:r w:rsidRPr="00E20D21">
        <w:t xml:space="preserve">. </w:t>
      </w:r>
      <w:r w:rsidR="005E4EB4">
        <w:t xml:space="preserve"> No CDC responses were sent because commenters did not provide contact information. </w:t>
      </w:r>
    </w:p>
    <w:p w14:paraId="71226BE6" w14:textId="77777777" w:rsidR="00E20D21" w:rsidRDefault="00E20D21" w:rsidP="00E20D21">
      <w:r>
        <w:t xml:space="preserve">CDC </w:t>
      </w:r>
      <w:r w:rsidR="00587A07">
        <w:t xml:space="preserve">is </w:t>
      </w:r>
      <w:r>
        <w:t>partner</w:t>
      </w:r>
      <w:r w:rsidR="00587A07">
        <w:t xml:space="preserve">ing with </w:t>
      </w:r>
      <w:r>
        <w:t>the National Association of County and City Health Officials (NACCHO)</w:t>
      </w:r>
      <w:r w:rsidR="00587A07">
        <w:t xml:space="preserve"> for this information collection. Both organizations </w:t>
      </w:r>
      <w:r w:rsidR="00A70274">
        <w:t xml:space="preserve">including </w:t>
      </w:r>
      <w:r w:rsidR="00587A07">
        <w:t xml:space="preserve">DSTDP subject matter experts (SMEs) had significant input into the initial and/or revised data collection instruments. </w:t>
      </w:r>
      <w:r w:rsidR="00D86314">
        <w:t xml:space="preserve">Subject matter experts included:  Thomas Gift, PhD, DSTDP who has over two decades of experience in health services and economic research (Branch Chief, DSTDP, CDC, 404-639-1831, </w:t>
      </w:r>
      <w:hyperlink r:id="rId10" w:history="1">
        <w:r w:rsidR="00D86314" w:rsidRPr="007473A0">
          <w:rPr>
            <w:rStyle w:val="Hyperlink"/>
          </w:rPr>
          <w:t>tgift@cdc.gov</w:t>
        </w:r>
      </w:hyperlink>
      <w:r w:rsidR="00D86314">
        <w:t xml:space="preserve">) and Elizabeth Torrone, PhD, DSTDP who has significant experience with surveillance and related activities (Team Lead, DSTDP, CDC, 404-639-8948, </w:t>
      </w:r>
      <w:hyperlink r:id="rId11" w:history="1">
        <w:r w:rsidR="00D86314" w:rsidRPr="007473A0">
          <w:rPr>
            <w:rStyle w:val="Hyperlink"/>
          </w:rPr>
          <w:t>igf0@cdc.gov</w:t>
        </w:r>
      </w:hyperlink>
      <w:r w:rsidR="00D86314">
        <w:t xml:space="preserve">). </w:t>
      </w:r>
      <w:r w:rsidR="00587A07">
        <w:t xml:space="preserve">Additionally, no groups are currently collecting, or have plans to collect, information included in this collection.  </w:t>
      </w:r>
    </w:p>
    <w:p w14:paraId="5092539C" w14:textId="77777777" w:rsidR="006D76AC" w:rsidRPr="00233877" w:rsidRDefault="009D1570" w:rsidP="009D1570">
      <w:pPr>
        <w:pStyle w:val="Heading1"/>
      </w:pPr>
      <w:bookmarkStart w:id="13" w:name="_Toc462298379"/>
      <w:r>
        <w:t>A.9</w:t>
      </w:r>
      <w:r>
        <w:tab/>
      </w:r>
      <w:r w:rsidR="006D76AC" w:rsidRPr="00233877">
        <w:t>Explanation of Any Payment or Gift to Respondents</w:t>
      </w:r>
      <w:bookmarkEnd w:id="13"/>
      <w:r w:rsidR="006D76AC" w:rsidRPr="00233877">
        <w:t xml:space="preserve"> </w:t>
      </w:r>
    </w:p>
    <w:p w14:paraId="189E67A8" w14:textId="77777777" w:rsidR="00F60409" w:rsidRDefault="00587A07" w:rsidP="008D60B6">
      <w:pPr>
        <w:widowControl/>
        <w:autoSpaceDE/>
        <w:autoSpaceDN/>
        <w:adjustRightInd/>
        <w:spacing w:after="0"/>
        <w:ind w:right="-4"/>
        <w:rPr>
          <w:color w:val="000000" w:themeColor="text1"/>
        </w:rPr>
      </w:pPr>
      <w:r>
        <w:rPr>
          <w:color w:val="000000" w:themeColor="text1"/>
        </w:rPr>
        <w:t>CDC will not provide any payments or gifts to respondents.</w:t>
      </w:r>
    </w:p>
    <w:p w14:paraId="0FFB65A9" w14:textId="77777777" w:rsidR="00587A07" w:rsidRPr="00E5471F" w:rsidRDefault="00587A07" w:rsidP="00F60409">
      <w:pPr>
        <w:widowControl/>
        <w:autoSpaceDE/>
        <w:autoSpaceDN/>
        <w:adjustRightInd/>
        <w:ind w:right="-4"/>
        <w:rPr>
          <w:color w:val="000000" w:themeColor="text1"/>
        </w:rPr>
      </w:pPr>
    </w:p>
    <w:p w14:paraId="3A77BEC4" w14:textId="77777777" w:rsidR="006D76AC" w:rsidRPr="00233877" w:rsidRDefault="009D1570" w:rsidP="009D1570">
      <w:pPr>
        <w:pStyle w:val="Heading1"/>
      </w:pPr>
      <w:bookmarkStart w:id="14" w:name="_Toc462298380"/>
      <w:r>
        <w:t>A.10</w:t>
      </w:r>
      <w:r>
        <w:tab/>
      </w:r>
      <w:r w:rsidR="00BC13E7" w:rsidRPr="00BC13E7">
        <w:t>Protection of the Privacy and Confidentiality of Information Provided by Respondents</w:t>
      </w:r>
      <w:r w:rsidR="00BC13E7" w:rsidRPr="00BC13E7" w:rsidDel="00BC13E7">
        <w:t xml:space="preserve"> </w:t>
      </w:r>
      <w:bookmarkEnd w:id="14"/>
    </w:p>
    <w:p w14:paraId="1EDE2BCA" w14:textId="77777777" w:rsidR="00390E94" w:rsidRPr="00B174D2" w:rsidRDefault="00390E94" w:rsidP="00390E94">
      <w:bookmarkStart w:id="15" w:name="_Toc462298381"/>
      <w:r>
        <w:rPr>
          <w:color w:val="000000"/>
        </w:rPr>
        <w:t xml:space="preserve">The CDC NCHHSTP Privacy and Confidentiality Review Officer has assessed this package for applicability of 5 U.S.C. § 552a, and has determined that the Privacy Act does not apply to the information collection. </w:t>
      </w:r>
      <w:r>
        <w:t>Employees of state and local public health agencies will provide information about service provision, routine activities, and answer questions about the structure of the health agency.  The project will collect no personally identifiable information (PII) from respondents and n</w:t>
      </w:r>
      <w:r>
        <w:rPr>
          <w:color w:val="000000"/>
        </w:rPr>
        <w:t xml:space="preserve">o names or PII will be received by CDC nor stored in a system of records at CDC. </w:t>
      </w:r>
      <w:r>
        <w:t> </w:t>
      </w:r>
    </w:p>
    <w:p w14:paraId="4C429BE7" w14:textId="77777777" w:rsidR="00E7434C" w:rsidRPr="00B174D2" w:rsidRDefault="00390E94" w:rsidP="00E7434C">
      <w:pPr>
        <w:rPr>
          <w:color w:val="000000"/>
          <w:sz w:val="22"/>
          <w:szCs w:val="22"/>
        </w:rPr>
      </w:pPr>
      <w:r>
        <w:t>Data will be collected by the National Association of County and City Health Officials (NACCHO)</w:t>
      </w:r>
      <w:r>
        <w:rPr>
          <w:color w:val="000000"/>
        </w:rPr>
        <w:t xml:space="preserve"> using the </w:t>
      </w:r>
      <w:r>
        <w:t xml:space="preserve">Qualtrics web-based online survey data collection platform. </w:t>
      </w:r>
      <w:r>
        <w:rPr>
          <w:color w:val="000000"/>
        </w:rPr>
        <w:t xml:space="preserve">The </w:t>
      </w:r>
      <w:r>
        <w:t>Qualtrics platform uses encryption for data transmission</w:t>
      </w:r>
      <w:r w:rsidR="00E7434C">
        <w:t xml:space="preserve"> (</w:t>
      </w:r>
      <w:hyperlink r:id="rId12" w:history="1">
        <w:r w:rsidR="00E7434C">
          <w:rPr>
            <w:rStyle w:val="Hyperlink"/>
          </w:rPr>
          <w:t>https://www.qualtrics.com/security-statement/</w:t>
        </w:r>
      </w:hyperlink>
      <w:r w:rsidR="00E7434C">
        <w:rPr>
          <w:color w:val="1F497D"/>
        </w:rPr>
        <w:t>)</w:t>
      </w:r>
      <w:r>
        <w:t>. When the information collection is complete, NACCHO staff will download the data, encrypt the data, and transmit the data electronically to CDC.</w:t>
      </w:r>
      <w:r w:rsidR="00E7434C">
        <w:t xml:space="preserve">  </w:t>
      </w:r>
      <w:r w:rsidR="00E7434C">
        <w:rPr>
          <w:color w:val="000000"/>
        </w:rPr>
        <w:t xml:space="preserve">Data collected through Qualtrics will be stored in on a specific Qualtrics server, and will not be transmitted from one data center to another. All of Qualtrics’ data centers have been independently audited using the industry standard SSAE-16 method and as met and/or exceed the minimum requires for data storage. </w:t>
      </w:r>
    </w:p>
    <w:p w14:paraId="3263DD9C" w14:textId="77777777" w:rsidR="00390E94" w:rsidRDefault="00E7434C" w:rsidP="00E7434C">
      <w:r>
        <w:rPr>
          <w:color w:val="000000"/>
        </w:rPr>
        <w:t>NACCHO will restrict access to the data to select staff. Once the data collection closes, a designated NACCHO staff member will download the data and send an encrypted copy to CDC while keeping a copy of the raw data on an encrypted NACCHO server</w:t>
      </w:r>
    </w:p>
    <w:p w14:paraId="3C398AB4" w14:textId="77777777" w:rsidR="00390E94" w:rsidRPr="00B174D2" w:rsidRDefault="00390E94" w:rsidP="00390E94">
      <w:r>
        <w:t xml:space="preserve">There is no justification for a Privacy Impact Assessment (PIA) to be completed for this information collection request. The objective of the PIA is to systematically identify the risks and potential effects of collecting, maintaining, and disseminating personally identifiable information (PII) and to examine and evaluate alternative processes for handling that information to mitigate potential privacy risks and risks to confidentiality. CDC will not receive or maintain names or other individually identifiable data stored in a system of records for this project so there are no privacy issues to address.     </w:t>
      </w:r>
    </w:p>
    <w:p w14:paraId="068AFDDA" w14:textId="77777777" w:rsidR="006D76AC" w:rsidRPr="00233877" w:rsidRDefault="009D1570" w:rsidP="00587A07">
      <w:pPr>
        <w:pStyle w:val="Heading1"/>
      </w:pPr>
      <w:r>
        <w:t>A.11</w:t>
      </w:r>
      <w:r>
        <w:tab/>
        <w:t xml:space="preserve">Institutional Review Board (IRB) and </w:t>
      </w:r>
      <w:r w:rsidR="006D76AC" w:rsidRPr="00233877">
        <w:t>Justification for Sensitive Questions</w:t>
      </w:r>
      <w:bookmarkEnd w:id="15"/>
      <w:r w:rsidR="006D76AC" w:rsidRPr="00233877">
        <w:t xml:space="preserve"> </w:t>
      </w:r>
    </w:p>
    <w:p w14:paraId="1D393B3C" w14:textId="77777777" w:rsidR="002E6EA9" w:rsidRPr="008D60B6" w:rsidRDefault="002E6EA9" w:rsidP="002E6EA9">
      <w:pPr>
        <w:pStyle w:val="OMBText"/>
        <w:rPr>
          <w:u w:val="single"/>
        </w:rPr>
      </w:pPr>
      <w:r w:rsidRPr="008D60B6">
        <w:rPr>
          <w:u w:val="single"/>
        </w:rPr>
        <w:t>IRB</w:t>
      </w:r>
    </w:p>
    <w:p w14:paraId="37A238A0" w14:textId="77777777" w:rsidR="00E7434C" w:rsidRPr="00B174D2" w:rsidRDefault="00E7434C" w:rsidP="00E7434C">
      <w:pPr>
        <w:pStyle w:val="OMBText"/>
        <w:rPr>
          <w:rFonts w:cs="Times New Roman"/>
          <w:szCs w:val="24"/>
        </w:rPr>
      </w:pPr>
      <w:r w:rsidRPr="00B174D2">
        <w:rPr>
          <w:rFonts w:cs="Times New Roman"/>
          <w:szCs w:val="24"/>
        </w:rPr>
        <w:t>This data collection is not research involving human subjects.  NCHHSTP determined on March 29, 2017, that this information collection constitutes routine Public Health Program activity.(</w:t>
      </w:r>
      <w:r w:rsidRPr="00B174D2">
        <w:rPr>
          <w:rFonts w:cs="Times New Roman"/>
          <w:b/>
          <w:bCs/>
          <w:szCs w:val="24"/>
        </w:rPr>
        <w:t>Attachment 8</w:t>
      </w:r>
      <w:r w:rsidRPr="00B174D2">
        <w:rPr>
          <w:rFonts w:cs="Times New Roman"/>
          <w:szCs w:val="24"/>
        </w:rPr>
        <w:t xml:space="preserve">). </w:t>
      </w:r>
    </w:p>
    <w:p w14:paraId="65632512" w14:textId="77777777" w:rsidR="002E6EA9" w:rsidRPr="008D60B6" w:rsidRDefault="002E6EA9" w:rsidP="009D1570">
      <w:pPr>
        <w:rPr>
          <w:u w:val="single"/>
        </w:rPr>
      </w:pPr>
      <w:r w:rsidRPr="008D60B6">
        <w:rPr>
          <w:u w:val="single"/>
        </w:rPr>
        <w:t>Justifications for Sensitive Questions</w:t>
      </w:r>
    </w:p>
    <w:p w14:paraId="2792004D" w14:textId="77777777" w:rsidR="00921DC3" w:rsidRDefault="00587A07" w:rsidP="009D1570">
      <w:r>
        <w:t xml:space="preserve">No information will be collected that is of a personal or sensitive nature.  All questions focus on health department structure </w:t>
      </w:r>
      <w:r w:rsidR="00184354">
        <w:t xml:space="preserve">and </w:t>
      </w:r>
      <w:r>
        <w:t>activities</w:t>
      </w:r>
      <w:r w:rsidR="00184354">
        <w:t xml:space="preserve"> only</w:t>
      </w:r>
      <w:r>
        <w:t xml:space="preserve">. </w:t>
      </w:r>
    </w:p>
    <w:p w14:paraId="27225EDE" w14:textId="77777777" w:rsidR="009D1570" w:rsidRPr="009D1570" w:rsidRDefault="009D1570" w:rsidP="009D1570">
      <w:pPr>
        <w:pStyle w:val="Heading1"/>
        <w:rPr>
          <w:rFonts w:ascii="Times New Roman Bold" w:hAnsi="Times New Roman Bold"/>
        </w:rPr>
      </w:pPr>
      <w:bookmarkStart w:id="16" w:name="_Toc456960237"/>
      <w:bookmarkStart w:id="17" w:name="_Toc462298382"/>
      <w:r>
        <w:t>A.1</w:t>
      </w:r>
      <w:r w:rsidR="007F471F">
        <w:t>2</w:t>
      </w:r>
      <w:r>
        <w:tab/>
        <w:t>Provide an Estimate in Hours of the Burden of the Collection of Information</w:t>
      </w:r>
      <w:bookmarkEnd w:id="16"/>
      <w:bookmarkEnd w:id="17"/>
    </w:p>
    <w:p w14:paraId="6C9E3CC4" w14:textId="77777777" w:rsidR="00CF2738" w:rsidRDefault="0065348A" w:rsidP="008F1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Pr>
          <w:color w:val="000000" w:themeColor="text1"/>
        </w:rPr>
        <w:t xml:space="preserve">This estimate for burden hours is </w:t>
      </w:r>
      <w:r w:rsidR="002A3B6D">
        <w:rPr>
          <w:color w:val="000000" w:themeColor="text1"/>
        </w:rPr>
        <w:t xml:space="preserve">annualize </w:t>
      </w:r>
      <w:r>
        <w:rPr>
          <w:color w:val="000000" w:themeColor="text1"/>
        </w:rPr>
        <w:t xml:space="preserve">for </w:t>
      </w:r>
      <w:r w:rsidR="002A3B6D">
        <w:rPr>
          <w:color w:val="000000" w:themeColor="text1"/>
        </w:rPr>
        <w:t xml:space="preserve">the two </w:t>
      </w:r>
      <w:r w:rsidR="00BA67A0">
        <w:rPr>
          <w:color w:val="000000" w:themeColor="text1"/>
        </w:rPr>
        <w:t>information</w:t>
      </w:r>
      <w:r w:rsidR="002A3B6D">
        <w:rPr>
          <w:color w:val="000000" w:themeColor="text1"/>
        </w:rPr>
        <w:t xml:space="preserve"> collections over 3 years</w:t>
      </w:r>
      <w:r>
        <w:rPr>
          <w:color w:val="000000" w:themeColor="text1"/>
        </w:rPr>
        <w:t xml:space="preserve">. </w:t>
      </w:r>
      <w:r w:rsidR="00587A07" w:rsidRPr="00587A07">
        <w:rPr>
          <w:color w:val="000000" w:themeColor="text1"/>
        </w:rPr>
        <w:t xml:space="preserve">The estimate for burden hours is based on a </w:t>
      </w:r>
      <w:r w:rsidR="003C617D">
        <w:rPr>
          <w:color w:val="000000" w:themeColor="text1"/>
        </w:rPr>
        <w:t xml:space="preserve">March 2017 </w:t>
      </w:r>
      <w:r w:rsidR="00587A07" w:rsidRPr="00587A07">
        <w:rPr>
          <w:color w:val="000000" w:themeColor="text1"/>
        </w:rPr>
        <w:t xml:space="preserve">pilot test of the survey </w:t>
      </w:r>
      <w:r w:rsidR="00BA67A0">
        <w:rPr>
          <w:color w:val="000000" w:themeColor="text1"/>
        </w:rPr>
        <w:t>information</w:t>
      </w:r>
      <w:r w:rsidR="00BA67A0" w:rsidRPr="00587A07">
        <w:rPr>
          <w:color w:val="000000" w:themeColor="text1"/>
        </w:rPr>
        <w:t xml:space="preserve"> </w:t>
      </w:r>
      <w:r w:rsidR="00587A07" w:rsidRPr="00587A07">
        <w:rPr>
          <w:color w:val="000000" w:themeColor="text1"/>
        </w:rPr>
        <w:t xml:space="preserve">collection instrument by </w:t>
      </w:r>
      <w:r w:rsidR="00184354">
        <w:rPr>
          <w:color w:val="000000" w:themeColor="text1"/>
        </w:rPr>
        <w:t>8</w:t>
      </w:r>
      <w:r w:rsidR="00587A07" w:rsidRPr="00587A07">
        <w:rPr>
          <w:color w:val="000000" w:themeColor="text1"/>
        </w:rPr>
        <w:t xml:space="preserve"> public health professionals</w:t>
      </w:r>
      <w:r w:rsidR="00184354">
        <w:rPr>
          <w:color w:val="000000" w:themeColor="text1"/>
        </w:rPr>
        <w:t xml:space="preserve"> (5 from LHDs and 3 from SHDs)</w:t>
      </w:r>
      <w:r w:rsidR="00587A07" w:rsidRPr="00587A07">
        <w:rPr>
          <w:color w:val="000000" w:themeColor="text1"/>
        </w:rPr>
        <w:t>. In the pilot test, the average time to complete the survey including time for reviewing the instructions and instrument (available from the landing page for the online version), gathering needed information and completing the survey</w:t>
      </w:r>
      <w:r w:rsidR="008D60B6">
        <w:rPr>
          <w:color w:val="000000" w:themeColor="text1"/>
        </w:rPr>
        <w:t xml:space="preserve"> </w:t>
      </w:r>
      <w:r w:rsidR="00587A07" w:rsidRPr="00587A07">
        <w:rPr>
          <w:color w:val="000000" w:themeColor="text1"/>
        </w:rPr>
        <w:t xml:space="preserve">data collection, was approximately </w:t>
      </w:r>
      <w:r w:rsidR="003C617D">
        <w:rPr>
          <w:color w:val="000000" w:themeColor="text1"/>
        </w:rPr>
        <w:t>15</w:t>
      </w:r>
      <w:r w:rsidR="003C617D" w:rsidRPr="00587A07">
        <w:rPr>
          <w:color w:val="000000" w:themeColor="text1"/>
        </w:rPr>
        <w:t xml:space="preserve"> </w:t>
      </w:r>
      <w:r w:rsidR="00587A07" w:rsidRPr="00587A07">
        <w:rPr>
          <w:color w:val="000000" w:themeColor="text1"/>
        </w:rPr>
        <w:t>minutes</w:t>
      </w:r>
      <w:r w:rsidR="00184354">
        <w:rPr>
          <w:color w:val="000000" w:themeColor="text1"/>
        </w:rPr>
        <w:t xml:space="preserve"> for LHDs</w:t>
      </w:r>
      <w:r w:rsidR="003C617D">
        <w:rPr>
          <w:color w:val="000000" w:themeColor="text1"/>
        </w:rPr>
        <w:t xml:space="preserve"> and 85 minutes for SHDs. </w:t>
      </w:r>
      <w:r w:rsidR="00E3185E">
        <w:rPr>
          <w:color w:val="000000" w:themeColor="text1"/>
        </w:rPr>
        <w:t xml:space="preserve">Based on pilot feedback, we believe that the SHDs did not follow survey instructions that asked for state-level information only.  Instead, it appears as though states tried to obtain some local level data as well as state data.  Thus, we significantly revised all instructions throughout the survey (i.e., each section and some items) to remind SHDs that they are reporting state-level data only.  Although we used the 85 minute estimate for burden calculations, we do not think the survey will take that long to complete.  </w:t>
      </w:r>
      <w:r w:rsidR="003C617D">
        <w:rPr>
          <w:color w:val="000000" w:themeColor="text1"/>
        </w:rPr>
        <w:t xml:space="preserve"> </w:t>
      </w:r>
    </w:p>
    <w:p w14:paraId="0D8E2E68" w14:textId="77777777" w:rsidR="00CF2738" w:rsidRDefault="007B2CD2" w:rsidP="008F1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color w:val="000000" w:themeColor="text1"/>
        </w:rPr>
      </w:pPr>
      <w:r>
        <w:rPr>
          <w:color w:val="000000" w:themeColor="text1"/>
        </w:rPr>
        <w:t>We used statistical sampling techniques to estimate the number of respondents</w:t>
      </w:r>
      <w:r w:rsidR="002A3B6D">
        <w:rPr>
          <w:color w:val="000000" w:themeColor="text1"/>
        </w:rPr>
        <w:t xml:space="preserve"> for each </w:t>
      </w:r>
      <w:r w:rsidR="00BA67A0">
        <w:rPr>
          <w:color w:val="000000" w:themeColor="text1"/>
        </w:rPr>
        <w:t>information</w:t>
      </w:r>
      <w:r w:rsidR="002A3B6D">
        <w:rPr>
          <w:color w:val="000000" w:themeColor="text1"/>
        </w:rPr>
        <w:t xml:space="preserve"> collection</w:t>
      </w:r>
      <w:r w:rsidR="00F026F5">
        <w:rPr>
          <w:color w:val="000000" w:themeColor="text1"/>
        </w:rPr>
        <w:t>, separately</w:t>
      </w:r>
      <w:r>
        <w:rPr>
          <w:color w:val="000000" w:themeColor="text1"/>
        </w:rPr>
        <w:t xml:space="preserve">.  </w:t>
      </w:r>
      <w:r w:rsidR="00CF2738">
        <w:rPr>
          <w:color w:val="000000" w:themeColor="text1"/>
        </w:rPr>
        <w:t xml:space="preserve">For LHDs, given the population size of 2,533 (LHDs who responded to the </w:t>
      </w:r>
      <w:r w:rsidR="00A70274">
        <w:rPr>
          <w:color w:val="000000" w:themeColor="text1"/>
        </w:rPr>
        <w:t xml:space="preserve">most recent </w:t>
      </w:r>
      <w:r w:rsidR="00CF2738">
        <w:rPr>
          <w:color w:val="000000" w:themeColor="text1"/>
        </w:rPr>
        <w:t xml:space="preserve">NACCHO Forces of Change Survey), a 50% response rate (this was what was obtained for the 2013 survey), and using a 95% confidence interval, we will need to sample 668 LHDs to get to our </w:t>
      </w:r>
      <w:r w:rsidR="008F1D3B" w:rsidRPr="00B91B3A">
        <w:rPr>
          <w:color w:val="000000" w:themeColor="text1"/>
        </w:rPr>
        <w:t xml:space="preserve">target of </w:t>
      </w:r>
      <w:r w:rsidR="00CF2738">
        <w:rPr>
          <w:color w:val="000000" w:themeColor="text1"/>
        </w:rPr>
        <w:t xml:space="preserve">334 LHDs.  </w:t>
      </w:r>
      <w:r>
        <w:rPr>
          <w:color w:val="000000" w:themeColor="text1"/>
        </w:rPr>
        <w:t xml:space="preserve">For SHDs, given a population size of 50 and using a 95% confidence interval our target is 44 SHDs.  This will require a response rate &gt; 80%. Table A-12.a </w:t>
      </w:r>
      <w:r w:rsidR="00A70274">
        <w:rPr>
          <w:color w:val="000000" w:themeColor="text1"/>
        </w:rPr>
        <w:t xml:space="preserve">provides the estimated </w:t>
      </w:r>
      <w:r w:rsidR="002A3B6D">
        <w:rPr>
          <w:color w:val="000000" w:themeColor="text1"/>
        </w:rPr>
        <w:t xml:space="preserve">annual </w:t>
      </w:r>
      <w:r w:rsidR="00A70274">
        <w:rPr>
          <w:color w:val="000000" w:themeColor="text1"/>
        </w:rPr>
        <w:t xml:space="preserve">burden hours for </w:t>
      </w:r>
      <w:r w:rsidR="00C44774">
        <w:rPr>
          <w:color w:val="000000" w:themeColor="text1"/>
        </w:rPr>
        <w:t xml:space="preserve">the </w:t>
      </w:r>
      <w:r w:rsidR="002A3B6D">
        <w:rPr>
          <w:color w:val="000000" w:themeColor="text1"/>
        </w:rPr>
        <w:t xml:space="preserve">two </w:t>
      </w:r>
      <w:r w:rsidR="00BA67A0">
        <w:rPr>
          <w:color w:val="000000" w:themeColor="text1"/>
        </w:rPr>
        <w:t xml:space="preserve">information </w:t>
      </w:r>
      <w:r w:rsidR="00A70274">
        <w:rPr>
          <w:color w:val="000000" w:themeColor="text1"/>
        </w:rPr>
        <w:t>collection</w:t>
      </w:r>
      <w:r w:rsidR="002A3B6D">
        <w:rPr>
          <w:color w:val="000000" w:themeColor="text1"/>
        </w:rPr>
        <w:t>s</w:t>
      </w:r>
      <w:r w:rsidR="002559AE">
        <w:rPr>
          <w:color w:val="000000" w:themeColor="text1"/>
        </w:rPr>
        <w:t xml:space="preserve">, reflecting 0.667 collections per year (rounded up to 1 response annually in </w:t>
      </w:r>
      <w:r w:rsidR="00C10EC8">
        <w:rPr>
          <w:color w:val="000000" w:themeColor="text1"/>
        </w:rPr>
        <w:t>the table</w:t>
      </w:r>
      <w:r w:rsidR="002559AE">
        <w:rPr>
          <w:color w:val="000000" w:themeColor="text1"/>
        </w:rPr>
        <w:t>)</w:t>
      </w:r>
      <w:r w:rsidR="00A70274">
        <w:rPr>
          <w:color w:val="000000" w:themeColor="text1"/>
        </w:rPr>
        <w:t xml:space="preserve">. </w:t>
      </w:r>
      <w:r w:rsidR="002246D8">
        <w:rPr>
          <w:color w:val="000000" w:themeColor="text1"/>
        </w:rPr>
        <w:t xml:space="preserve">For the second data collection, a different sample of respondents will be drawn.  </w:t>
      </w:r>
    </w:p>
    <w:p w14:paraId="2297015B" w14:textId="77777777" w:rsidR="008F1D3B" w:rsidRPr="00B91B3A" w:rsidRDefault="008F1D3B" w:rsidP="008F1D3B">
      <w:pPr>
        <w:pStyle w:val="Caption"/>
        <w:keepNext/>
      </w:pPr>
      <w:r w:rsidRPr="00B91B3A">
        <w:t>Table A.12.a. Estimated Annual Burden Hours</w:t>
      </w:r>
      <w:r w:rsidR="00CC0532">
        <w:t xml:space="preserve"> for </w:t>
      </w:r>
      <w:r w:rsidR="00A70274">
        <w:t xml:space="preserve">2017 </w:t>
      </w:r>
      <w:r w:rsidR="001B7573">
        <w:t xml:space="preserve">data </w:t>
      </w:r>
      <w:r w:rsidR="00CC0532">
        <w:t xml:space="preserve">collection </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562"/>
        <w:gridCol w:w="1566"/>
        <w:gridCol w:w="1752"/>
        <w:gridCol w:w="2027"/>
        <w:gridCol w:w="1287"/>
      </w:tblGrid>
      <w:tr w:rsidR="008F1D3B" w:rsidRPr="00B91B3A" w14:paraId="2F0EEF1B" w14:textId="77777777" w:rsidTr="00991BD8">
        <w:trPr>
          <w:trHeight w:val="1088"/>
        </w:trPr>
        <w:tc>
          <w:tcPr>
            <w:tcW w:w="913" w:type="pct"/>
            <w:vAlign w:val="center"/>
          </w:tcPr>
          <w:p w14:paraId="161BD508" w14:textId="77777777" w:rsidR="008F1D3B" w:rsidRPr="000E5797" w:rsidRDefault="008F1D3B" w:rsidP="002C1143">
            <w:pPr>
              <w:spacing w:after="0"/>
              <w:rPr>
                <w:b/>
                <w:color w:val="000000" w:themeColor="text1"/>
              </w:rPr>
            </w:pPr>
            <w:r w:rsidRPr="000E5797">
              <w:rPr>
                <w:b/>
                <w:color w:val="000000" w:themeColor="text1"/>
              </w:rPr>
              <w:t>Type of Respondents</w:t>
            </w:r>
          </w:p>
        </w:tc>
        <w:tc>
          <w:tcPr>
            <w:tcW w:w="779" w:type="pct"/>
          </w:tcPr>
          <w:p w14:paraId="44C846A2" w14:textId="77777777" w:rsidR="008F1D3B" w:rsidRPr="000E5797" w:rsidRDefault="008F1D3B" w:rsidP="002C1143">
            <w:pPr>
              <w:spacing w:after="0"/>
              <w:rPr>
                <w:b/>
                <w:color w:val="000000" w:themeColor="text1"/>
              </w:rPr>
            </w:pPr>
          </w:p>
          <w:p w14:paraId="524A8D91" w14:textId="77777777" w:rsidR="008F1D3B" w:rsidRPr="000E5797" w:rsidRDefault="008F1D3B" w:rsidP="002C1143">
            <w:pPr>
              <w:spacing w:after="0"/>
              <w:rPr>
                <w:b/>
                <w:color w:val="000000" w:themeColor="text1"/>
              </w:rPr>
            </w:pPr>
            <w:r w:rsidRPr="000E5797">
              <w:rPr>
                <w:b/>
                <w:color w:val="000000" w:themeColor="text1"/>
              </w:rPr>
              <w:t>Form Name</w:t>
            </w:r>
          </w:p>
        </w:tc>
        <w:tc>
          <w:tcPr>
            <w:tcW w:w="781" w:type="pct"/>
            <w:vAlign w:val="center"/>
          </w:tcPr>
          <w:p w14:paraId="1125CFEA" w14:textId="77777777" w:rsidR="008F1D3B" w:rsidRPr="000E5797" w:rsidRDefault="008F1D3B" w:rsidP="002C1143">
            <w:pPr>
              <w:spacing w:after="0"/>
              <w:rPr>
                <w:b/>
                <w:color w:val="000000" w:themeColor="text1"/>
              </w:rPr>
            </w:pPr>
            <w:r w:rsidRPr="000E5797">
              <w:rPr>
                <w:b/>
                <w:color w:val="000000" w:themeColor="text1"/>
              </w:rPr>
              <w:t>Number of Respondents</w:t>
            </w:r>
          </w:p>
        </w:tc>
        <w:tc>
          <w:tcPr>
            <w:tcW w:w="874" w:type="pct"/>
            <w:vAlign w:val="center"/>
          </w:tcPr>
          <w:p w14:paraId="72A60E7C" w14:textId="77777777" w:rsidR="008F1D3B" w:rsidRPr="000E5797" w:rsidRDefault="008F1D3B" w:rsidP="002C1143">
            <w:pPr>
              <w:spacing w:after="0"/>
              <w:rPr>
                <w:b/>
                <w:color w:val="000000" w:themeColor="text1"/>
              </w:rPr>
            </w:pPr>
            <w:r w:rsidRPr="000E5797">
              <w:rPr>
                <w:b/>
                <w:color w:val="000000" w:themeColor="text1"/>
              </w:rPr>
              <w:t>Number of Responses per Respondent</w:t>
            </w:r>
          </w:p>
        </w:tc>
        <w:tc>
          <w:tcPr>
            <w:tcW w:w="1011" w:type="pct"/>
            <w:vAlign w:val="center"/>
          </w:tcPr>
          <w:p w14:paraId="67869A03" w14:textId="77777777" w:rsidR="008F1D3B" w:rsidRPr="000E5797" w:rsidRDefault="008F1D3B" w:rsidP="002C1143">
            <w:pPr>
              <w:spacing w:after="0"/>
              <w:rPr>
                <w:b/>
                <w:color w:val="000000" w:themeColor="text1"/>
              </w:rPr>
            </w:pPr>
            <w:r w:rsidRPr="000E5797">
              <w:rPr>
                <w:b/>
                <w:color w:val="000000" w:themeColor="text1"/>
              </w:rPr>
              <w:t>Average Burden per Response</w:t>
            </w:r>
          </w:p>
          <w:p w14:paraId="31CF65BE" w14:textId="77777777" w:rsidR="008F1D3B" w:rsidRPr="000E5797" w:rsidRDefault="008F1D3B" w:rsidP="002C1143">
            <w:pPr>
              <w:spacing w:after="0"/>
              <w:rPr>
                <w:b/>
                <w:color w:val="000000" w:themeColor="text1"/>
              </w:rPr>
            </w:pPr>
            <w:r w:rsidRPr="000E5797">
              <w:rPr>
                <w:b/>
                <w:color w:val="000000" w:themeColor="text1"/>
              </w:rPr>
              <w:t>(in hours)</w:t>
            </w:r>
          </w:p>
        </w:tc>
        <w:tc>
          <w:tcPr>
            <w:tcW w:w="643" w:type="pct"/>
            <w:vAlign w:val="center"/>
          </w:tcPr>
          <w:p w14:paraId="7C7EFF23" w14:textId="77777777" w:rsidR="008F1D3B" w:rsidRPr="000E5797" w:rsidRDefault="008F1D3B" w:rsidP="002C1143">
            <w:pPr>
              <w:spacing w:after="0"/>
              <w:rPr>
                <w:b/>
                <w:color w:val="000000" w:themeColor="text1"/>
              </w:rPr>
            </w:pPr>
            <w:r w:rsidRPr="000E5797">
              <w:rPr>
                <w:b/>
                <w:color w:val="000000" w:themeColor="text1"/>
              </w:rPr>
              <w:t>Total Burden (in hours)</w:t>
            </w:r>
          </w:p>
        </w:tc>
      </w:tr>
      <w:tr w:rsidR="008F1D3B" w:rsidRPr="00B91B3A" w14:paraId="097D8C0C" w14:textId="77777777" w:rsidTr="00991BD8">
        <w:trPr>
          <w:trHeight w:val="413"/>
        </w:trPr>
        <w:tc>
          <w:tcPr>
            <w:tcW w:w="913" w:type="pct"/>
            <w:vAlign w:val="center"/>
          </w:tcPr>
          <w:p w14:paraId="6AF7AF5B" w14:textId="77777777" w:rsidR="008F1D3B" w:rsidRPr="00B91B3A" w:rsidRDefault="007B2CD2" w:rsidP="002C1143">
            <w:pPr>
              <w:spacing w:after="0"/>
              <w:rPr>
                <w:color w:val="000000" w:themeColor="text1"/>
              </w:rPr>
            </w:pPr>
            <w:r>
              <w:rPr>
                <w:color w:val="000000" w:themeColor="text1"/>
              </w:rPr>
              <w:t xml:space="preserve">STD program director, </w:t>
            </w:r>
            <w:r w:rsidR="00CF2738">
              <w:rPr>
                <w:color w:val="000000" w:themeColor="text1"/>
              </w:rPr>
              <w:t>LHDs</w:t>
            </w:r>
          </w:p>
        </w:tc>
        <w:tc>
          <w:tcPr>
            <w:tcW w:w="779" w:type="pct"/>
          </w:tcPr>
          <w:p w14:paraId="3B0F1A03" w14:textId="77777777" w:rsidR="008F1D3B" w:rsidRPr="00B91B3A" w:rsidRDefault="00CF2738" w:rsidP="002C1143">
            <w:pPr>
              <w:tabs>
                <w:tab w:val="left" w:pos="3817"/>
              </w:tabs>
              <w:spacing w:after="0"/>
              <w:rPr>
                <w:color w:val="000000" w:themeColor="text1"/>
              </w:rPr>
            </w:pPr>
            <w:r>
              <w:rPr>
                <w:color w:val="000000" w:themeColor="text1"/>
              </w:rPr>
              <w:t>LHD survey</w:t>
            </w:r>
            <w:r w:rsidR="00DB0A43">
              <w:rPr>
                <w:color w:val="000000" w:themeColor="text1"/>
              </w:rPr>
              <w:t xml:space="preserve"> </w:t>
            </w:r>
            <w:r w:rsidR="00DB0A43">
              <w:rPr>
                <w:color w:val="000000" w:themeColor="text1"/>
              </w:rPr>
              <w:br/>
              <w:t>Att. 3</w:t>
            </w:r>
          </w:p>
        </w:tc>
        <w:tc>
          <w:tcPr>
            <w:tcW w:w="781" w:type="pct"/>
          </w:tcPr>
          <w:p w14:paraId="4D65CAEB" w14:textId="77777777" w:rsidR="008F1D3B" w:rsidRPr="00B91B3A" w:rsidRDefault="00966A4D" w:rsidP="002C1143">
            <w:pPr>
              <w:spacing w:after="0"/>
              <w:jc w:val="right"/>
              <w:rPr>
                <w:color w:val="000000" w:themeColor="text1"/>
              </w:rPr>
            </w:pPr>
            <w:r>
              <w:rPr>
                <w:color w:val="000000" w:themeColor="text1"/>
              </w:rPr>
              <w:t>334</w:t>
            </w:r>
          </w:p>
        </w:tc>
        <w:tc>
          <w:tcPr>
            <w:tcW w:w="874" w:type="pct"/>
          </w:tcPr>
          <w:p w14:paraId="55266D71" w14:textId="77777777" w:rsidR="008F1D3B" w:rsidRPr="00B91B3A" w:rsidRDefault="002559AE" w:rsidP="002C1143">
            <w:pPr>
              <w:spacing w:after="0"/>
              <w:jc w:val="right"/>
              <w:rPr>
                <w:color w:val="000000" w:themeColor="text1"/>
              </w:rPr>
            </w:pPr>
            <w:r>
              <w:rPr>
                <w:color w:val="000000" w:themeColor="text1"/>
              </w:rPr>
              <w:t>1</w:t>
            </w:r>
          </w:p>
        </w:tc>
        <w:tc>
          <w:tcPr>
            <w:tcW w:w="1011" w:type="pct"/>
          </w:tcPr>
          <w:p w14:paraId="3E415A3F" w14:textId="77777777" w:rsidR="008F1D3B" w:rsidRPr="00B91B3A" w:rsidRDefault="003C617D" w:rsidP="002C1143">
            <w:pPr>
              <w:spacing w:after="0"/>
              <w:jc w:val="right"/>
              <w:rPr>
                <w:color w:val="000000" w:themeColor="text1"/>
              </w:rPr>
            </w:pPr>
            <w:r>
              <w:rPr>
                <w:color w:val="000000" w:themeColor="text1"/>
              </w:rPr>
              <w:t>15</w:t>
            </w:r>
            <w:r w:rsidR="008F1D3B" w:rsidRPr="00B91B3A">
              <w:rPr>
                <w:color w:val="000000" w:themeColor="text1"/>
              </w:rPr>
              <w:t>/60</w:t>
            </w:r>
          </w:p>
        </w:tc>
        <w:tc>
          <w:tcPr>
            <w:tcW w:w="643" w:type="pct"/>
          </w:tcPr>
          <w:p w14:paraId="6C3006B0" w14:textId="77777777" w:rsidR="008F1D3B" w:rsidRPr="00B91B3A" w:rsidRDefault="00966A4D" w:rsidP="002C1143">
            <w:pPr>
              <w:spacing w:after="0"/>
              <w:jc w:val="right"/>
              <w:rPr>
                <w:color w:val="000000" w:themeColor="text1"/>
              </w:rPr>
            </w:pPr>
            <w:r>
              <w:rPr>
                <w:color w:val="000000" w:themeColor="text1"/>
              </w:rPr>
              <w:t>84</w:t>
            </w:r>
          </w:p>
        </w:tc>
      </w:tr>
      <w:tr w:rsidR="008F1D3B" w:rsidRPr="00B91B3A" w14:paraId="7B77C8AA" w14:textId="77777777" w:rsidTr="00991BD8">
        <w:trPr>
          <w:trHeight w:val="576"/>
        </w:trPr>
        <w:tc>
          <w:tcPr>
            <w:tcW w:w="913" w:type="pct"/>
            <w:vAlign w:val="center"/>
          </w:tcPr>
          <w:p w14:paraId="30725073" w14:textId="77777777" w:rsidR="008F1D3B" w:rsidRPr="00B91B3A" w:rsidRDefault="007B2CD2" w:rsidP="00115714">
            <w:pPr>
              <w:spacing w:after="0"/>
              <w:rPr>
                <w:color w:val="000000" w:themeColor="text1"/>
              </w:rPr>
            </w:pPr>
            <w:r>
              <w:rPr>
                <w:color w:val="000000" w:themeColor="text1"/>
              </w:rPr>
              <w:t xml:space="preserve">STD program director, </w:t>
            </w:r>
            <w:r w:rsidR="00CF2738">
              <w:rPr>
                <w:color w:val="000000" w:themeColor="text1"/>
              </w:rPr>
              <w:t>SHDs</w:t>
            </w:r>
          </w:p>
        </w:tc>
        <w:tc>
          <w:tcPr>
            <w:tcW w:w="779" w:type="pct"/>
          </w:tcPr>
          <w:p w14:paraId="2C850613" w14:textId="77777777" w:rsidR="008F1D3B" w:rsidRPr="00B91B3A" w:rsidRDefault="00CF2738" w:rsidP="002C1143">
            <w:pPr>
              <w:tabs>
                <w:tab w:val="left" w:pos="3817"/>
              </w:tabs>
              <w:spacing w:after="0"/>
              <w:rPr>
                <w:color w:val="000000" w:themeColor="text1"/>
              </w:rPr>
            </w:pPr>
            <w:r>
              <w:rPr>
                <w:color w:val="000000" w:themeColor="text1"/>
              </w:rPr>
              <w:t>SHD survey</w:t>
            </w:r>
            <w:r w:rsidR="00DB0A43">
              <w:rPr>
                <w:color w:val="000000" w:themeColor="text1"/>
              </w:rPr>
              <w:br/>
              <w:t>Att. 4</w:t>
            </w:r>
          </w:p>
        </w:tc>
        <w:tc>
          <w:tcPr>
            <w:tcW w:w="781" w:type="pct"/>
          </w:tcPr>
          <w:p w14:paraId="0646C685" w14:textId="77777777" w:rsidR="008F1D3B" w:rsidRPr="00B91B3A" w:rsidRDefault="00966A4D" w:rsidP="002C1143">
            <w:pPr>
              <w:spacing w:after="0"/>
              <w:jc w:val="right"/>
              <w:rPr>
                <w:color w:val="000000" w:themeColor="text1"/>
              </w:rPr>
            </w:pPr>
            <w:r>
              <w:rPr>
                <w:color w:val="000000" w:themeColor="text1"/>
              </w:rPr>
              <w:t>44</w:t>
            </w:r>
          </w:p>
        </w:tc>
        <w:tc>
          <w:tcPr>
            <w:tcW w:w="874" w:type="pct"/>
          </w:tcPr>
          <w:p w14:paraId="643A97F5" w14:textId="77777777" w:rsidR="008F1D3B" w:rsidRPr="00B91B3A" w:rsidRDefault="002559AE" w:rsidP="002C1143">
            <w:pPr>
              <w:spacing w:after="0"/>
              <w:jc w:val="right"/>
              <w:rPr>
                <w:color w:val="000000" w:themeColor="text1"/>
              </w:rPr>
            </w:pPr>
            <w:r>
              <w:rPr>
                <w:color w:val="000000" w:themeColor="text1"/>
              </w:rPr>
              <w:t>1</w:t>
            </w:r>
          </w:p>
        </w:tc>
        <w:tc>
          <w:tcPr>
            <w:tcW w:w="1011" w:type="pct"/>
          </w:tcPr>
          <w:p w14:paraId="36E48253" w14:textId="77777777" w:rsidR="008F1D3B" w:rsidRPr="00B91B3A" w:rsidRDefault="003C617D" w:rsidP="002C1143">
            <w:pPr>
              <w:spacing w:after="0"/>
              <w:jc w:val="right"/>
              <w:rPr>
                <w:color w:val="000000" w:themeColor="text1"/>
              </w:rPr>
            </w:pPr>
            <w:r>
              <w:rPr>
                <w:color w:val="000000" w:themeColor="text1"/>
              </w:rPr>
              <w:t>85</w:t>
            </w:r>
            <w:r w:rsidR="008F1D3B" w:rsidRPr="00B91B3A">
              <w:rPr>
                <w:color w:val="000000" w:themeColor="text1"/>
              </w:rPr>
              <w:t>/60</w:t>
            </w:r>
          </w:p>
        </w:tc>
        <w:tc>
          <w:tcPr>
            <w:tcW w:w="643" w:type="pct"/>
          </w:tcPr>
          <w:p w14:paraId="77686857" w14:textId="77777777" w:rsidR="008F1D3B" w:rsidRPr="00B91B3A" w:rsidRDefault="00966A4D" w:rsidP="002C1143">
            <w:pPr>
              <w:spacing w:after="0"/>
              <w:jc w:val="right"/>
              <w:rPr>
                <w:color w:val="000000" w:themeColor="text1"/>
              </w:rPr>
            </w:pPr>
            <w:r>
              <w:rPr>
                <w:color w:val="000000" w:themeColor="text1"/>
              </w:rPr>
              <w:t>62</w:t>
            </w:r>
          </w:p>
        </w:tc>
      </w:tr>
      <w:tr w:rsidR="008F1D3B" w:rsidRPr="00E60099" w14:paraId="58F61DAA" w14:textId="77777777" w:rsidTr="00991BD8">
        <w:trPr>
          <w:trHeight w:val="287"/>
        </w:trPr>
        <w:tc>
          <w:tcPr>
            <w:tcW w:w="4357" w:type="pct"/>
            <w:gridSpan w:val="5"/>
          </w:tcPr>
          <w:p w14:paraId="3D5A13B9" w14:textId="77777777" w:rsidR="008F1D3B" w:rsidRPr="001B7573" w:rsidRDefault="008F1D3B" w:rsidP="002C1143">
            <w:pPr>
              <w:jc w:val="right"/>
              <w:rPr>
                <w:b/>
                <w:color w:val="000000" w:themeColor="text1"/>
              </w:rPr>
            </w:pPr>
            <w:r w:rsidRPr="001B7573">
              <w:rPr>
                <w:b/>
                <w:color w:val="000000" w:themeColor="text1"/>
              </w:rPr>
              <w:t>Total Annual Burden Hours</w:t>
            </w:r>
          </w:p>
        </w:tc>
        <w:tc>
          <w:tcPr>
            <w:tcW w:w="643" w:type="pct"/>
          </w:tcPr>
          <w:p w14:paraId="43B384B0" w14:textId="77777777" w:rsidR="008F1D3B" w:rsidRPr="00E60099" w:rsidRDefault="00966A4D" w:rsidP="0027071B">
            <w:pPr>
              <w:jc w:val="right"/>
            </w:pPr>
            <w:r>
              <w:t>146</w:t>
            </w:r>
          </w:p>
        </w:tc>
      </w:tr>
    </w:tbl>
    <w:p w14:paraId="74DCF8C4" w14:textId="77777777" w:rsidR="008F1D3B" w:rsidRPr="00E91FD1" w:rsidRDefault="008F1D3B" w:rsidP="008F1D3B">
      <w:pPr>
        <w:pStyle w:val="Bulleted"/>
        <w:numPr>
          <w:ilvl w:val="0"/>
          <w:numId w:val="0"/>
        </w:numPr>
        <w:rPr>
          <w:color w:val="C00000"/>
        </w:rPr>
      </w:pPr>
    </w:p>
    <w:p w14:paraId="5C407AA0" w14:textId="77777777" w:rsidR="008F1D3B" w:rsidRDefault="008F1D3B" w:rsidP="008F1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B91B3A">
        <w:rPr>
          <w:rStyle w:val="Footer1"/>
          <w:color w:val="000000" w:themeColor="text1"/>
        </w:rPr>
        <w:t xml:space="preserve">For this information collection, there are no direct costs to the respondents themselves. However, the cost to respondents can be calculated in terms of the time it will take to respond to the survey. </w:t>
      </w:r>
      <w:r w:rsidRPr="00B91B3A">
        <w:rPr>
          <w:color w:val="000000" w:themeColor="text1"/>
        </w:rPr>
        <w:t xml:space="preserve">Table A.12.b illustrates the total calculation of </w:t>
      </w:r>
      <w:r w:rsidR="002A3B6D">
        <w:rPr>
          <w:color w:val="000000" w:themeColor="text1"/>
        </w:rPr>
        <w:t xml:space="preserve">annual </w:t>
      </w:r>
      <w:r w:rsidRPr="00B91B3A">
        <w:rPr>
          <w:color w:val="000000" w:themeColor="text1"/>
        </w:rPr>
        <w:t xml:space="preserve">costs to respondents for </w:t>
      </w:r>
      <w:r w:rsidR="002A3B6D">
        <w:rPr>
          <w:color w:val="000000" w:themeColor="text1"/>
        </w:rPr>
        <w:t>both data collections</w:t>
      </w:r>
      <w:r w:rsidR="00613DFD">
        <w:rPr>
          <w:color w:val="000000" w:themeColor="text1"/>
        </w:rPr>
        <w:t xml:space="preserve"> over a three year period</w:t>
      </w:r>
      <w:r w:rsidRPr="00B91B3A">
        <w:rPr>
          <w:color w:val="000000" w:themeColor="text1"/>
        </w:rPr>
        <w:t xml:space="preserve">. </w:t>
      </w:r>
    </w:p>
    <w:p w14:paraId="30AD3D0B" w14:textId="77777777" w:rsidR="007B2CD2" w:rsidRPr="00441CC3" w:rsidRDefault="007B2CD2" w:rsidP="007B2CD2">
      <w:r w:rsidRPr="003E7701">
        <w:t xml:space="preserve">Estimates for the average hourly wage for respondents are based on the Department of Labor (DOL) </w:t>
      </w:r>
      <w:r>
        <w:t>Bureau of Labor Statistics for occupational employment for</w:t>
      </w:r>
      <w:r>
        <w:rPr>
          <w:color w:val="0070C0"/>
        </w:rPr>
        <w:t xml:space="preserve"> </w:t>
      </w:r>
      <w:r>
        <w:t>m</w:t>
      </w:r>
      <w:r w:rsidRPr="00604CC0">
        <w:t>edical and health services managers</w:t>
      </w:r>
      <w:r w:rsidRPr="008C408E">
        <w:rPr>
          <w:color w:val="0070C0"/>
        </w:rPr>
        <w:t xml:space="preserve">  </w:t>
      </w:r>
      <w:hyperlink r:id="rId13" w:history="1">
        <w:r w:rsidRPr="009C70BD">
          <w:rPr>
            <w:rStyle w:val="Hyperlink"/>
          </w:rPr>
          <w:t>http://www.bls.gov/oes/current/oes_nat.htm</w:t>
        </w:r>
      </w:hyperlink>
      <w:r>
        <w:t xml:space="preserve">.  </w:t>
      </w:r>
      <w:r w:rsidRPr="00711BFA">
        <w:t xml:space="preserve">Based on DOL data, an average hourly wage of </w:t>
      </w:r>
      <w:r>
        <w:t>$57.11</w:t>
      </w:r>
      <w:r w:rsidRPr="00BB090C">
        <w:rPr>
          <w:color w:val="0070C0"/>
        </w:rPr>
        <w:t xml:space="preserve"> </w:t>
      </w:r>
      <w:r w:rsidRPr="00711BFA">
        <w:t xml:space="preserve">is estimated for all </w:t>
      </w:r>
      <w:r>
        <w:t>378</w:t>
      </w:r>
      <w:r w:rsidRPr="00BB090C">
        <w:rPr>
          <w:color w:val="0070C0"/>
        </w:rPr>
        <w:t xml:space="preserve"> </w:t>
      </w:r>
      <w:r w:rsidRPr="00711BFA">
        <w:t>respondents</w:t>
      </w:r>
      <w:r w:rsidR="00A70274">
        <w:t xml:space="preserve"> (334 for LHD and 44 for SHD)</w:t>
      </w:r>
      <w:r w:rsidRPr="00711BFA">
        <w:t>. Table A-12</w:t>
      </w:r>
      <w:r>
        <w:t>b</w:t>
      </w:r>
      <w:r w:rsidRPr="00711BFA">
        <w:t xml:space="preserve"> shows estimated burden and cost information.</w:t>
      </w:r>
    </w:p>
    <w:p w14:paraId="010B9E93" w14:textId="77777777" w:rsidR="007B2CD2" w:rsidRPr="00E60099" w:rsidRDefault="007B2CD2" w:rsidP="008F1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35CF1D22" w14:textId="77777777" w:rsidR="008F1D3B" w:rsidRPr="00E60099" w:rsidRDefault="008F1D3B" w:rsidP="008F1D3B">
      <w:pPr>
        <w:pStyle w:val="Caption"/>
        <w:keepNext/>
        <w:rPr>
          <w:color w:val="auto"/>
        </w:rPr>
      </w:pPr>
      <w:r w:rsidRPr="00E60099">
        <w:rPr>
          <w:color w:val="auto"/>
        </w:rPr>
        <w:t>Table A.12.b. Estimated Annual Burden Cost</w:t>
      </w:r>
      <w:r w:rsidR="00CC0532">
        <w:rPr>
          <w:color w:val="auto"/>
        </w:rPr>
        <w:t xml:space="preserve"> </w:t>
      </w:r>
      <w:r w:rsidR="001B7573">
        <w:t xml:space="preserve">for </w:t>
      </w:r>
      <w:r w:rsidR="00A70274">
        <w:t xml:space="preserve">2017 </w:t>
      </w:r>
      <w:r w:rsidR="001B7573">
        <w:t>data collection</w:t>
      </w:r>
    </w:p>
    <w:tbl>
      <w:tblPr>
        <w:tblStyle w:val="TableGrid"/>
        <w:tblW w:w="5000" w:type="pct"/>
        <w:tblLayout w:type="fixed"/>
        <w:tblLook w:val="04A0" w:firstRow="1" w:lastRow="0" w:firstColumn="1" w:lastColumn="0" w:noHBand="0" w:noVBand="1"/>
      </w:tblPr>
      <w:tblGrid>
        <w:gridCol w:w="1862"/>
        <w:gridCol w:w="2724"/>
        <w:gridCol w:w="1219"/>
        <w:gridCol w:w="2518"/>
        <w:gridCol w:w="1973"/>
      </w:tblGrid>
      <w:tr w:rsidR="008F1D3B" w:rsidRPr="00E60099" w14:paraId="03873FAC" w14:textId="77777777" w:rsidTr="001B7573">
        <w:trPr>
          <w:trHeight w:val="1115"/>
        </w:trPr>
        <w:tc>
          <w:tcPr>
            <w:tcW w:w="904" w:type="pct"/>
          </w:tcPr>
          <w:p w14:paraId="659D6FE0" w14:textId="77777777" w:rsidR="008F1D3B" w:rsidRPr="001B7573" w:rsidRDefault="008F1D3B" w:rsidP="002C1143">
            <w:pPr>
              <w:spacing w:after="0"/>
              <w:rPr>
                <w:rFonts w:eastAsia="Batang"/>
                <w:b/>
              </w:rPr>
            </w:pPr>
          </w:p>
          <w:p w14:paraId="63D9D777" w14:textId="77777777" w:rsidR="008F1D3B" w:rsidRPr="001B7573" w:rsidRDefault="008F1D3B" w:rsidP="002C1143">
            <w:pPr>
              <w:spacing w:after="0"/>
              <w:jc w:val="center"/>
              <w:rPr>
                <w:rFonts w:eastAsia="Batang"/>
                <w:b/>
              </w:rPr>
            </w:pPr>
            <w:r w:rsidRPr="001B7573">
              <w:rPr>
                <w:rFonts w:eastAsia="Batang"/>
                <w:b/>
              </w:rPr>
              <w:t>Type of Respondent</w:t>
            </w:r>
          </w:p>
        </w:tc>
        <w:tc>
          <w:tcPr>
            <w:tcW w:w="1323" w:type="pct"/>
          </w:tcPr>
          <w:p w14:paraId="372BCA12" w14:textId="77777777" w:rsidR="008F1D3B" w:rsidRPr="001B7573" w:rsidRDefault="008F1D3B" w:rsidP="002C1143">
            <w:pPr>
              <w:spacing w:after="0"/>
              <w:rPr>
                <w:rFonts w:eastAsia="Batang"/>
                <w:b/>
              </w:rPr>
            </w:pPr>
          </w:p>
          <w:p w14:paraId="25F3E636" w14:textId="77777777" w:rsidR="008F1D3B" w:rsidRPr="001B7573" w:rsidRDefault="008F1D3B" w:rsidP="002C1143">
            <w:pPr>
              <w:spacing w:after="0"/>
              <w:rPr>
                <w:rFonts w:eastAsia="Batang"/>
                <w:b/>
              </w:rPr>
            </w:pPr>
            <w:r w:rsidRPr="001B7573">
              <w:rPr>
                <w:rFonts w:eastAsia="Batang"/>
                <w:b/>
              </w:rPr>
              <w:t>Form Name</w:t>
            </w:r>
          </w:p>
        </w:tc>
        <w:tc>
          <w:tcPr>
            <w:tcW w:w="592" w:type="pct"/>
            <w:vAlign w:val="center"/>
          </w:tcPr>
          <w:p w14:paraId="18D37F02" w14:textId="77777777" w:rsidR="008F1D3B" w:rsidRPr="001B7573" w:rsidRDefault="008F1D3B" w:rsidP="002C1143">
            <w:pPr>
              <w:spacing w:after="0"/>
              <w:rPr>
                <w:rFonts w:eastAsia="Batang"/>
                <w:b/>
              </w:rPr>
            </w:pPr>
            <w:r w:rsidRPr="001B7573">
              <w:rPr>
                <w:rFonts w:eastAsia="Batang"/>
                <w:b/>
              </w:rPr>
              <w:t>Total Burden Hours</w:t>
            </w:r>
          </w:p>
        </w:tc>
        <w:tc>
          <w:tcPr>
            <w:tcW w:w="1223" w:type="pct"/>
            <w:vAlign w:val="center"/>
          </w:tcPr>
          <w:p w14:paraId="04BC3DF5" w14:textId="77777777" w:rsidR="008F1D3B" w:rsidRPr="001B7573" w:rsidRDefault="008F1D3B" w:rsidP="002C1143">
            <w:pPr>
              <w:spacing w:after="0"/>
              <w:jc w:val="center"/>
              <w:rPr>
                <w:rFonts w:eastAsia="Batang"/>
                <w:b/>
              </w:rPr>
            </w:pPr>
            <w:r w:rsidRPr="001B7573">
              <w:rPr>
                <w:rFonts w:eastAsia="Batang"/>
                <w:b/>
              </w:rPr>
              <w:t>Average Hourly Wage Rate (in dollars)</w:t>
            </w:r>
          </w:p>
        </w:tc>
        <w:tc>
          <w:tcPr>
            <w:tcW w:w="958" w:type="pct"/>
            <w:vAlign w:val="center"/>
          </w:tcPr>
          <w:p w14:paraId="44A18565" w14:textId="77777777" w:rsidR="008F1D3B" w:rsidRPr="001B7573" w:rsidRDefault="008F1D3B" w:rsidP="002C1143">
            <w:pPr>
              <w:spacing w:after="0"/>
              <w:jc w:val="center"/>
              <w:rPr>
                <w:rFonts w:eastAsia="Batang"/>
                <w:b/>
              </w:rPr>
            </w:pPr>
            <w:r w:rsidRPr="001B7573">
              <w:rPr>
                <w:rFonts w:eastAsia="Batang"/>
                <w:b/>
              </w:rPr>
              <w:t>Total Respondent Costs</w:t>
            </w:r>
          </w:p>
        </w:tc>
      </w:tr>
      <w:tr w:rsidR="003C617D" w:rsidRPr="00E60099" w14:paraId="28B1496B" w14:textId="77777777" w:rsidTr="001B7573">
        <w:trPr>
          <w:trHeight w:val="561"/>
        </w:trPr>
        <w:tc>
          <w:tcPr>
            <w:tcW w:w="904" w:type="pct"/>
            <w:vAlign w:val="center"/>
          </w:tcPr>
          <w:p w14:paraId="76A26400" w14:textId="77777777" w:rsidR="003C617D" w:rsidRPr="00E60099" w:rsidRDefault="003C617D" w:rsidP="003C617D">
            <w:pPr>
              <w:tabs>
                <w:tab w:val="left" w:pos="3817"/>
              </w:tabs>
              <w:spacing w:after="0"/>
            </w:pPr>
            <w:r>
              <w:rPr>
                <w:color w:val="000000" w:themeColor="text1"/>
              </w:rPr>
              <w:t>STD program director, LHDs</w:t>
            </w:r>
          </w:p>
        </w:tc>
        <w:tc>
          <w:tcPr>
            <w:tcW w:w="1323" w:type="pct"/>
          </w:tcPr>
          <w:p w14:paraId="4EE34EE2" w14:textId="77777777" w:rsidR="003C617D" w:rsidRPr="00E60099" w:rsidRDefault="003C617D" w:rsidP="003C617D">
            <w:pPr>
              <w:tabs>
                <w:tab w:val="left" w:pos="3817"/>
              </w:tabs>
              <w:spacing w:after="0"/>
            </w:pPr>
            <w:r>
              <w:rPr>
                <w:color w:val="000000" w:themeColor="text1"/>
              </w:rPr>
              <w:t xml:space="preserve">LHD survey </w:t>
            </w:r>
          </w:p>
        </w:tc>
        <w:tc>
          <w:tcPr>
            <w:tcW w:w="592" w:type="pct"/>
          </w:tcPr>
          <w:p w14:paraId="015609C0" w14:textId="77777777" w:rsidR="003C617D" w:rsidRPr="00E60099" w:rsidRDefault="00966A4D" w:rsidP="003C617D">
            <w:pPr>
              <w:tabs>
                <w:tab w:val="left" w:pos="3817"/>
              </w:tabs>
              <w:spacing w:after="0"/>
              <w:jc w:val="right"/>
            </w:pPr>
            <w:r>
              <w:rPr>
                <w:color w:val="000000" w:themeColor="text1"/>
              </w:rPr>
              <w:t>84</w:t>
            </w:r>
          </w:p>
        </w:tc>
        <w:tc>
          <w:tcPr>
            <w:tcW w:w="1223" w:type="pct"/>
          </w:tcPr>
          <w:p w14:paraId="5CC0AF77" w14:textId="77777777" w:rsidR="003C617D" w:rsidRPr="00E60099" w:rsidRDefault="003C617D" w:rsidP="003C617D">
            <w:pPr>
              <w:tabs>
                <w:tab w:val="left" w:pos="3817"/>
              </w:tabs>
              <w:spacing w:after="0"/>
              <w:jc w:val="right"/>
            </w:pPr>
            <w:r w:rsidRPr="00E60099">
              <w:t>$</w:t>
            </w:r>
            <w:r>
              <w:t>57.11</w:t>
            </w:r>
          </w:p>
        </w:tc>
        <w:tc>
          <w:tcPr>
            <w:tcW w:w="958" w:type="pct"/>
          </w:tcPr>
          <w:p w14:paraId="67184238" w14:textId="77777777" w:rsidR="003C617D" w:rsidRPr="00E60099" w:rsidRDefault="003C617D" w:rsidP="00966A4D">
            <w:pPr>
              <w:tabs>
                <w:tab w:val="left" w:pos="3817"/>
              </w:tabs>
              <w:spacing w:after="0"/>
              <w:jc w:val="right"/>
            </w:pPr>
            <w:r w:rsidRPr="00E60099">
              <w:t>$</w:t>
            </w:r>
            <w:r w:rsidR="00966A4D">
              <w:t>4797</w:t>
            </w:r>
          </w:p>
        </w:tc>
      </w:tr>
      <w:tr w:rsidR="003C617D" w:rsidRPr="00E60099" w14:paraId="5BD7585C" w14:textId="77777777" w:rsidTr="001B7573">
        <w:trPr>
          <w:trHeight w:val="561"/>
        </w:trPr>
        <w:tc>
          <w:tcPr>
            <w:tcW w:w="904" w:type="pct"/>
            <w:vAlign w:val="center"/>
          </w:tcPr>
          <w:p w14:paraId="345A5701" w14:textId="77777777" w:rsidR="003C617D" w:rsidRPr="00E60099" w:rsidRDefault="003C617D" w:rsidP="003C617D">
            <w:pPr>
              <w:tabs>
                <w:tab w:val="left" w:pos="3817"/>
              </w:tabs>
              <w:spacing w:after="0"/>
            </w:pPr>
            <w:r>
              <w:rPr>
                <w:color w:val="000000" w:themeColor="text1"/>
              </w:rPr>
              <w:t>STD program director, SHDs</w:t>
            </w:r>
          </w:p>
        </w:tc>
        <w:tc>
          <w:tcPr>
            <w:tcW w:w="1323" w:type="pct"/>
          </w:tcPr>
          <w:p w14:paraId="08C87FA2" w14:textId="77777777" w:rsidR="003C617D" w:rsidRPr="00E60099" w:rsidRDefault="003C617D" w:rsidP="003C617D">
            <w:pPr>
              <w:tabs>
                <w:tab w:val="left" w:pos="3817"/>
              </w:tabs>
              <w:spacing w:after="0"/>
            </w:pPr>
            <w:r>
              <w:rPr>
                <w:color w:val="000000" w:themeColor="text1"/>
              </w:rPr>
              <w:t>SHD survey</w:t>
            </w:r>
          </w:p>
        </w:tc>
        <w:tc>
          <w:tcPr>
            <w:tcW w:w="592" w:type="pct"/>
          </w:tcPr>
          <w:p w14:paraId="0ED51B28" w14:textId="77777777" w:rsidR="003C617D" w:rsidRPr="00E60099" w:rsidRDefault="00966A4D" w:rsidP="003C617D">
            <w:pPr>
              <w:tabs>
                <w:tab w:val="left" w:pos="3817"/>
              </w:tabs>
              <w:spacing w:after="0"/>
              <w:jc w:val="right"/>
            </w:pPr>
            <w:r>
              <w:rPr>
                <w:color w:val="000000" w:themeColor="text1"/>
              </w:rPr>
              <w:t>62</w:t>
            </w:r>
          </w:p>
        </w:tc>
        <w:tc>
          <w:tcPr>
            <w:tcW w:w="1223" w:type="pct"/>
          </w:tcPr>
          <w:p w14:paraId="207F94F1" w14:textId="77777777" w:rsidR="003C617D" w:rsidRPr="00E60099" w:rsidRDefault="003C617D" w:rsidP="003C617D">
            <w:pPr>
              <w:tabs>
                <w:tab w:val="left" w:pos="3817"/>
              </w:tabs>
              <w:spacing w:after="0"/>
              <w:jc w:val="right"/>
            </w:pPr>
            <w:r w:rsidRPr="00E60099">
              <w:t>$</w:t>
            </w:r>
            <w:r>
              <w:t>57.11</w:t>
            </w:r>
          </w:p>
        </w:tc>
        <w:tc>
          <w:tcPr>
            <w:tcW w:w="958" w:type="pct"/>
          </w:tcPr>
          <w:p w14:paraId="598198FF" w14:textId="77777777" w:rsidR="003C617D" w:rsidRPr="00E60099" w:rsidRDefault="003C617D" w:rsidP="00966A4D">
            <w:pPr>
              <w:tabs>
                <w:tab w:val="left" w:pos="3817"/>
              </w:tabs>
              <w:spacing w:after="0"/>
              <w:jc w:val="right"/>
            </w:pPr>
            <w:r w:rsidRPr="00E60099">
              <w:t>$</w:t>
            </w:r>
            <w:r w:rsidR="00966A4D">
              <w:t>3541</w:t>
            </w:r>
          </w:p>
        </w:tc>
      </w:tr>
      <w:tr w:rsidR="008F1D3B" w:rsidRPr="00E60099" w14:paraId="01C1610C" w14:textId="77777777" w:rsidTr="001B7573">
        <w:trPr>
          <w:trHeight w:val="561"/>
        </w:trPr>
        <w:tc>
          <w:tcPr>
            <w:tcW w:w="4042" w:type="pct"/>
            <w:gridSpan w:val="4"/>
            <w:vAlign w:val="center"/>
          </w:tcPr>
          <w:p w14:paraId="6F65A693" w14:textId="77777777" w:rsidR="008F1D3B" w:rsidRPr="001B7573" w:rsidRDefault="008F1D3B" w:rsidP="002C1143">
            <w:pPr>
              <w:tabs>
                <w:tab w:val="left" w:pos="3817"/>
              </w:tabs>
              <w:jc w:val="right"/>
              <w:rPr>
                <w:b/>
              </w:rPr>
            </w:pPr>
            <w:r w:rsidRPr="001B7573">
              <w:rPr>
                <w:b/>
              </w:rPr>
              <w:t>Total Annual Burden Cost</w:t>
            </w:r>
          </w:p>
        </w:tc>
        <w:tc>
          <w:tcPr>
            <w:tcW w:w="958" w:type="pct"/>
          </w:tcPr>
          <w:p w14:paraId="29B4377C" w14:textId="77777777" w:rsidR="008F1D3B" w:rsidRPr="00E60099" w:rsidRDefault="008F1D3B" w:rsidP="00966A4D">
            <w:pPr>
              <w:tabs>
                <w:tab w:val="left" w:pos="3817"/>
              </w:tabs>
              <w:jc w:val="right"/>
            </w:pPr>
            <w:r w:rsidRPr="00E60099">
              <w:t>$</w:t>
            </w:r>
            <w:r w:rsidR="00966A4D">
              <w:t>8338</w:t>
            </w:r>
          </w:p>
        </w:tc>
      </w:tr>
    </w:tbl>
    <w:p w14:paraId="72B4CA65" w14:textId="77777777" w:rsidR="008F1D3B" w:rsidRPr="00233877" w:rsidRDefault="008F1D3B" w:rsidP="008F1D3B">
      <w:pPr>
        <w:spacing w:before="240"/>
        <w:ind w:left="540" w:right="-4" w:firstLine="360"/>
      </w:pPr>
    </w:p>
    <w:p w14:paraId="1CC57803" w14:textId="77777777" w:rsidR="007F471F" w:rsidRDefault="007F471F" w:rsidP="007F471F">
      <w:pPr>
        <w:pStyle w:val="Heading1"/>
      </w:pPr>
      <w:bookmarkStart w:id="18" w:name="_Toc462298383"/>
      <w:r>
        <w:t>A.13</w:t>
      </w:r>
      <w:r>
        <w:tab/>
        <w:t>Estimates of Other Total Annual Cost Burden to Respondents or Record Keepers</w:t>
      </w:r>
      <w:bookmarkEnd w:id="18"/>
    </w:p>
    <w:p w14:paraId="5E99C41C" w14:textId="77777777" w:rsidR="007F471F" w:rsidRPr="007F471F" w:rsidRDefault="007F471F" w:rsidP="007F471F">
      <w:r>
        <w:t>No capital or maintenance costs are expected.</w:t>
      </w:r>
    </w:p>
    <w:p w14:paraId="4C0548C7" w14:textId="77777777" w:rsidR="007F471F" w:rsidRPr="00FF2C07" w:rsidRDefault="007F471F" w:rsidP="007F471F">
      <w:pPr>
        <w:pStyle w:val="Heading1"/>
      </w:pPr>
      <w:bookmarkStart w:id="19" w:name="_Toc462298384"/>
      <w:r w:rsidRPr="00FF2C07">
        <w:t>A.14</w:t>
      </w:r>
      <w:r w:rsidRPr="00FF2C07">
        <w:tab/>
        <w:t>Annualized Cost to the Government</w:t>
      </w:r>
      <w:bookmarkEnd w:id="19"/>
    </w:p>
    <w:p w14:paraId="01C5D5A2" w14:textId="77777777" w:rsidR="007B2CD2" w:rsidRDefault="007B2CD2" w:rsidP="00FF2C07">
      <w:pPr>
        <w:pStyle w:val="Caption"/>
        <w:keepNext/>
        <w:rPr>
          <w:b w:val="0"/>
          <w:bCs w:val="0"/>
          <w:color w:val="auto"/>
          <w:szCs w:val="24"/>
        </w:rPr>
      </w:pPr>
      <w:r w:rsidRPr="007B2CD2">
        <w:rPr>
          <w:b w:val="0"/>
          <w:bCs w:val="0"/>
          <w:color w:val="auto"/>
          <w:szCs w:val="24"/>
        </w:rPr>
        <w:t xml:space="preserve">There are no equipment or overhead costs.  The only cost to the federal government would be the salary of CDC staff supporting the data collection </w:t>
      </w:r>
      <w:r>
        <w:rPr>
          <w:b w:val="0"/>
          <w:bCs w:val="0"/>
          <w:color w:val="auto"/>
          <w:szCs w:val="24"/>
        </w:rPr>
        <w:t>activities and associated tasks, an</w:t>
      </w:r>
      <w:r w:rsidR="00D0572F">
        <w:rPr>
          <w:b w:val="0"/>
          <w:bCs w:val="0"/>
          <w:color w:val="auto"/>
          <w:szCs w:val="24"/>
        </w:rPr>
        <w:t xml:space="preserve">d the funding awarded to NACCHO. </w:t>
      </w:r>
      <w:r w:rsidR="00613DFD">
        <w:rPr>
          <w:b w:val="0"/>
          <w:bCs w:val="0"/>
          <w:color w:val="auto"/>
          <w:szCs w:val="24"/>
        </w:rPr>
        <w:t>For each data collection, i</w:t>
      </w:r>
      <w:r w:rsidR="00D0572F" w:rsidRPr="00D0572F">
        <w:rPr>
          <w:b w:val="0"/>
          <w:bCs w:val="0"/>
          <w:color w:val="auto"/>
          <w:szCs w:val="24"/>
        </w:rPr>
        <w:t>t is estimated that two CDC employees will be involved for approximately 5% of their time each (for federal personnel 100% time = 2,080 hours annually).  The two salaries are $37.95 and $65.00 per hour.  The direct annual costs in CDC staff time will be approximately $</w:t>
      </w:r>
      <w:r w:rsidR="00613DFD">
        <w:rPr>
          <w:b w:val="0"/>
          <w:bCs w:val="0"/>
          <w:color w:val="auto"/>
          <w:szCs w:val="24"/>
        </w:rPr>
        <w:t>7,639</w:t>
      </w:r>
      <w:r w:rsidR="00D0572F" w:rsidRPr="00D0572F">
        <w:rPr>
          <w:b w:val="0"/>
          <w:bCs w:val="0"/>
          <w:color w:val="auto"/>
          <w:szCs w:val="24"/>
        </w:rPr>
        <w:t xml:space="preserve"> annually.  </w:t>
      </w:r>
      <w:r w:rsidR="00D0572F">
        <w:rPr>
          <w:b w:val="0"/>
          <w:bCs w:val="0"/>
          <w:color w:val="auto"/>
          <w:szCs w:val="24"/>
        </w:rPr>
        <w:t xml:space="preserve">The </w:t>
      </w:r>
      <w:r w:rsidR="002A3B6D">
        <w:rPr>
          <w:b w:val="0"/>
          <w:bCs w:val="0"/>
          <w:color w:val="auto"/>
          <w:szCs w:val="24"/>
        </w:rPr>
        <w:t xml:space="preserve">annualized </w:t>
      </w:r>
      <w:r w:rsidR="00D0572F">
        <w:rPr>
          <w:b w:val="0"/>
          <w:bCs w:val="0"/>
          <w:color w:val="auto"/>
          <w:szCs w:val="24"/>
        </w:rPr>
        <w:t xml:space="preserve">cost to the government for the </w:t>
      </w:r>
      <w:r w:rsidR="002A3B6D">
        <w:rPr>
          <w:b w:val="0"/>
          <w:bCs w:val="0"/>
          <w:color w:val="auto"/>
          <w:szCs w:val="24"/>
        </w:rPr>
        <w:t xml:space="preserve">two </w:t>
      </w:r>
      <w:r w:rsidR="00D0572F">
        <w:rPr>
          <w:b w:val="0"/>
          <w:bCs w:val="0"/>
          <w:color w:val="auto"/>
          <w:szCs w:val="24"/>
        </w:rPr>
        <w:t>data collection</w:t>
      </w:r>
      <w:r w:rsidR="002A3B6D">
        <w:rPr>
          <w:b w:val="0"/>
          <w:bCs w:val="0"/>
          <w:color w:val="auto"/>
          <w:szCs w:val="24"/>
        </w:rPr>
        <w:t>s</w:t>
      </w:r>
      <w:r w:rsidR="00D0572F">
        <w:rPr>
          <w:b w:val="0"/>
          <w:bCs w:val="0"/>
          <w:color w:val="auto"/>
          <w:szCs w:val="24"/>
        </w:rPr>
        <w:t xml:space="preserve"> would be $</w:t>
      </w:r>
      <w:r w:rsidR="002A3B6D">
        <w:rPr>
          <w:b w:val="0"/>
          <w:bCs w:val="0"/>
          <w:color w:val="auto"/>
          <w:szCs w:val="24"/>
        </w:rPr>
        <w:t>151,026</w:t>
      </w:r>
      <w:r w:rsidR="00D0572F">
        <w:rPr>
          <w:b w:val="0"/>
          <w:bCs w:val="0"/>
          <w:color w:val="auto"/>
          <w:szCs w:val="24"/>
        </w:rPr>
        <w:t xml:space="preserve">. </w:t>
      </w:r>
    </w:p>
    <w:p w14:paraId="1DA16B70" w14:textId="77777777" w:rsidR="007B2CD2" w:rsidRDefault="007B2CD2" w:rsidP="00FF2C07">
      <w:pPr>
        <w:pStyle w:val="Caption"/>
        <w:keepNext/>
        <w:rPr>
          <w:b w:val="0"/>
          <w:bCs w:val="0"/>
          <w:color w:val="auto"/>
          <w:szCs w:val="24"/>
        </w:rPr>
      </w:pPr>
    </w:p>
    <w:p w14:paraId="54A37B62" w14:textId="77777777" w:rsidR="00FF2C07" w:rsidRDefault="00FF2C07" w:rsidP="00FF2C07">
      <w:pPr>
        <w:pStyle w:val="Caption"/>
        <w:keepNext/>
        <w:rPr>
          <w:szCs w:val="24"/>
        </w:rPr>
      </w:pPr>
      <w:r>
        <w:t>Table A.14.a. Annualized Cost to the Government</w:t>
      </w:r>
    </w:p>
    <w:tbl>
      <w:tblPr>
        <w:tblW w:w="7890" w:type="dxa"/>
        <w:tblCellMar>
          <w:left w:w="0" w:type="dxa"/>
          <w:right w:w="0" w:type="dxa"/>
        </w:tblCellMar>
        <w:tblLook w:val="04A0" w:firstRow="1" w:lastRow="0" w:firstColumn="1" w:lastColumn="0" w:noHBand="0" w:noVBand="1"/>
      </w:tblPr>
      <w:tblGrid>
        <w:gridCol w:w="5854"/>
        <w:gridCol w:w="2036"/>
      </w:tblGrid>
      <w:tr w:rsidR="00FF2C07" w14:paraId="00D4870C" w14:textId="77777777" w:rsidTr="0053049A">
        <w:tc>
          <w:tcPr>
            <w:tcW w:w="5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14B53" w14:textId="77777777" w:rsidR="00FF2C07" w:rsidRDefault="00FF2C07">
            <w:pPr>
              <w:spacing w:line="276" w:lineRule="auto"/>
              <w:rPr>
                <w:b/>
                <w:bCs/>
              </w:rPr>
            </w:pPr>
            <w:r>
              <w:rPr>
                <w:b/>
                <w:bCs/>
              </w:rPr>
              <w:t>Type of Cost</w:t>
            </w:r>
          </w:p>
        </w:tc>
        <w:tc>
          <w:tcPr>
            <w:tcW w:w="2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37821" w14:textId="77777777" w:rsidR="00FF2C07" w:rsidRDefault="00FF2C07">
            <w:pPr>
              <w:spacing w:line="276" w:lineRule="auto"/>
              <w:rPr>
                <w:b/>
                <w:bCs/>
              </w:rPr>
            </w:pPr>
            <w:r>
              <w:rPr>
                <w:b/>
                <w:bCs/>
              </w:rPr>
              <w:t>Annualized Cost</w:t>
            </w:r>
          </w:p>
        </w:tc>
      </w:tr>
      <w:tr w:rsidR="00FF2C07" w14:paraId="7C6E8378" w14:textId="77777777" w:rsidTr="0053049A">
        <w:tc>
          <w:tcPr>
            <w:tcW w:w="5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D90FA" w14:textId="77777777" w:rsidR="0053049A" w:rsidRDefault="007B2CD2" w:rsidP="007B2CD2">
            <w:pPr>
              <w:spacing w:line="276" w:lineRule="auto"/>
              <w:ind w:left="72"/>
              <w:rPr>
                <w:i/>
                <w:iCs/>
              </w:rPr>
            </w:pPr>
            <w:r>
              <w:rPr>
                <w:i/>
                <w:iCs/>
              </w:rPr>
              <w:t>Grantee</w:t>
            </w:r>
            <w:r w:rsidR="00FF2C07">
              <w:rPr>
                <w:i/>
                <w:iCs/>
              </w:rPr>
              <w:t xml:space="preserve"> Costs</w:t>
            </w:r>
            <w:r w:rsidR="0053049A">
              <w:rPr>
                <w:i/>
                <w:iCs/>
              </w:rPr>
              <w:t xml:space="preserve">:  </w:t>
            </w:r>
            <w:r>
              <w:rPr>
                <w:i/>
                <w:iCs/>
              </w:rPr>
              <w:t>NACCHO</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14:paraId="5EBFBACF" w14:textId="77777777" w:rsidR="00FF2C07" w:rsidRDefault="00FF2C07" w:rsidP="002A3B6D">
            <w:pPr>
              <w:spacing w:line="276" w:lineRule="auto"/>
              <w:jc w:val="right"/>
            </w:pPr>
            <w:r>
              <w:t>$</w:t>
            </w:r>
            <w:r w:rsidR="002A3B6D">
              <w:t>143</w:t>
            </w:r>
            <w:r w:rsidR="00D0572F">
              <w:t>,</w:t>
            </w:r>
            <w:r w:rsidR="002A3B6D">
              <w:t>333</w:t>
            </w:r>
          </w:p>
        </w:tc>
      </w:tr>
      <w:tr w:rsidR="00FF2C07" w14:paraId="5B3852AD" w14:textId="77777777" w:rsidTr="0053049A">
        <w:tc>
          <w:tcPr>
            <w:tcW w:w="5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67E7E" w14:textId="77777777" w:rsidR="00FF2C07" w:rsidRDefault="00FF2C07">
            <w:pPr>
              <w:spacing w:line="276" w:lineRule="auto"/>
              <w:ind w:left="72"/>
              <w:rPr>
                <w:i/>
                <w:iCs/>
              </w:rPr>
            </w:pPr>
            <w:r>
              <w:rPr>
                <w:i/>
                <w:iCs/>
              </w:rPr>
              <w:t>Federal Employee Time Costs</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14:paraId="121F70D5" w14:textId="77777777" w:rsidR="00FF2C07" w:rsidRDefault="00FF2C07" w:rsidP="002A3B6D">
            <w:pPr>
              <w:spacing w:line="276" w:lineRule="auto"/>
              <w:jc w:val="right"/>
            </w:pPr>
            <w:r>
              <w:t>$</w:t>
            </w:r>
            <w:r w:rsidR="002A3B6D">
              <w:t>7693</w:t>
            </w:r>
          </w:p>
        </w:tc>
      </w:tr>
      <w:tr w:rsidR="00FF2C07" w14:paraId="0696D839" w14:textId="77777777" w:rsidTr="0053049A">
        <w:tc>
          <w:tcPr>
            <w:tcW w:w="5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892A3" w14:textId="77777777" w:rsidR="00FF2C07" w:rsidRDefault="00FF2C07">
            <w:pPr>
              <w:spacing w:line="276" w:lineRule="auto"/>
              <w:ind w:left="72"/>
              <w:jc w:val="right"/>
              <w:rPr>
                <w:b/>
                <w:bCs/>
              </w:rPr>
            </w:pPr>
            <w:r>
              <w:rPr>
                <w:b/>
                <w:bCs/>
              </w:rPr>
              <w:t>Total Annual Estimated Costs</w:t>
            </w:r>
          </w:p>
        </w:tc>
        <w:tc>
          <w:tcPr>
            <w:tcW w:w="2036" w:type="dxa"/>
            <w:tcBorders>
              <w:top w:val="nil"/>
              <w:left w:val="nil"/>
              <w:bottom w:val="single" w:sz="8" w:space="0" w:color="auto"/>
              <w:right w:val="single" w:sz="8" w:space="0" w:color="auto"/>
            </w:tcBorders>
            <w:tcMar>
              <w:top w:w="0" w:type="dxa"/>
              <w:left w:w="108" w:type="dxa"/>
              <w:bottom w:w="0" w:type="dxa"/>
              <w:right w:w="108" w:type="dxa"/>
            </w:tcMar>
            <w:hideMark/>
          </w:tcPr>
          <w:p w14:paraId="1BAE3E40" w14:textId="77777777" w:rsidR="00FF2C07" w:rsidRDefault="00FF2C07" w:rsidP="002A3B6D">
            <w:pPr>
              <w:spacing w:line="276" w:lineRule="auto"/>
              <w:jc w:val="right"/>
              <w:rPr>
                <w:b/>
                <w:bCs/>
              </w:rPr>
            </w:pPr>
            <w:r>
              <w:rPr>
                <w:b/>
                <w:bCs/>
              </w:rPr>
              <w:t>$</w:t>
            </w:r>
            <w:r w:rsidR="002A3B6D">
              <w:rPr>
                <w:b/>
                <w:bCs/>
              </w:rPr>
              <w:t>151,026</w:t>
            </w:r>
          </w:p>
        </w:tc>
      </w:tr>
    </w:tbl>
    <w:p w14:paraId="63F1B44F" w14:textId="77777777" w:rsidR="00FF2C07" w:rsidRDefault="00FF2C07" w:rsidP="00FF2C07">
      <w:pPr>
        <w:rPr>
          <w:rFonts w:ascii="Calibri" w:eastAsiaTheme="minorHAnsi" w:hAnsi="Calibri"/>
          <w:color w:val="1F497D"/>
          <w:sz w:val="22"/>
          <w:szCs w:val="22"/>
        </w:rPr>
      </w:pPr>
    </w:p>
    <w:p w14:paraId="4A9F1DFB" w14:textId="77777777" w:rsidR="00D168B2" w:rsidRPr="00233877" w:rsidRDefault="007F471F" w:rsidP="007F471F">
      <w:pPr>
        <w:pStyle w:val="Heading1"/>
      </w:pPr>
      <w:bookmarkStart w:id="20" w:name="_Toc462298385"/>
      <w:r>
        <w:t>A.15</w:t>
      </w:r>
      <w:r>
        <w:tab/>
      </w:r>
      <w:r w:rsidR="006D76AC" w:rsidRPr="00233877">
        <w:t>Explanation for</w:t>
      </w:r>
      <w:r w:rsidR="00D168B2" w:rsidRPr="00233877">
        <w:t xml:space="preserve"> Program Changes or Adjustments</w:t>
      </w:r>
      <w:bookmarkEnd w:id="20"/>
    </w:p>
    <w:p w14:paraId="554DF382" w14:textId="77777777" w:rsidR="00D0572F" w:rsidRDefault="00D0572F" w:rsidP="007F471F">
      <w:r>
        <w:t xml:space="preserve">The 2013 STD Infrastructure Assessment consisted of one </w:t>
      </w:r>
      <w:r w:rsidR="00E42FF7">
        <w:t xml:space="preserve">web </w:t>
      </w:r>
      <w:r>
        <w:t xml:space="preserve">survey sent to both LHD and SHD and was approved under </w:t>
      </w:r>
      <w:r w:rsidRPr="00D0572F">
        <w:t>OSTLTS OMB Clearance Center (O2C2) – OMB No. 0920-0879</w:t>
      </w:r>
      <w:r>
        <w:t>.  Subsequent to the initial survey</w:t>
      </w:r>
      <w:r w:rsidR="00D47C1C">
        <w:t xml:space="preserve"> in 2013</w:t>
      </w:r>
      <w:r>
        <w:t xml:space="preserve"> (which serves as our baseline data), we have made several adjustments to the sampling frame and surveys.  First, </w:t>
      </w:r>
      <w:r w:rsidR="00E42FF7">
        <w:t>our LHD sample size in 2013 was not large enough to detect differences using a 95% confidence interval</w:t>
      </w:r>
      <w:r w:rsidR="00B26A8B">
        <w:t xml:space="preserve"> for some key survey items</w:t>
      </w:r>
      <w:r w:rsidR="00E42FF7">
        <w:t xml:space="preserve">. Therefore, we used statistical techniques to estimate the appropriate sample size for this information collection (334 respondents from a sample of 668).  </w:t>
      </w:r>
      <w:r>
        <w:t xml:space="preserve">Second, given that portions of the </w:t>
      </w:r>
      <w:r w:rsidR="00E42FF7">
        <w:t xml:space="preserve">2013 </w:t>
      </w:r>
      <w:r>
        <w:t>survey were not relevant for each type of health department (LHD and SHD), we decided to develop two surveys for this information collection (</w:t>
      </w:r>
      <w:r w:rsidRPr="00D0572F">
        <w:rPr>
          <w:b/>
        </w:rPr>
        <w:t xml:space="preserve">Attachments 3 </w:t>
      </w:r>
      <w:r w:rsidRPr="007C4427">
        <w:t>– Local Health Department Survey and</w:t>
      </w:r>
      <w:r w:rsidRPr="00D0572F">
        <w:rPr>
          <w:b/>
        </w:rPr>
        <w:t xml:space="preserve"> 4 </w:t>
      </w:r>
      <w:r w:rsidRPr="007C4427">
        <w:t>– State Health Department Survey</w:t>
      </w:r>
      <w:r>
        <w:t xml:space="preserve">).  </w:t>
      </w:r>
      <w:r w:rsidR="00E42FF7">
        <w:t xml:space="preserve">Third, in an effort to </w:t>
      </w:r>
      <w:r w:rsidR="00B26A8B">
        <w:t xml:space="preserve">reduce the burden on participants we </w:t>
      </w:r>
      <w:r w:rsidR="0065348A">
        <w:t xml:space="preserve">reduced </w:t>
      </w:r>
      <w:r w:rsidR="00B26A8B">
        <w:t>the survey from 44 items in 2013 to 33-</w:t>
      </w:r>
      <w:r w:rsidR="0065348A">
        <w:t xml:space="preserve">36 </w:t>
      </w:r>
      <w:r w:rsidR="00B26A8B">
        <w:t xml:space="preserve">in 2017 (for SHD, LHD, respectively). Revisions were based on 2013 items that did not yield the desired information and a renewed focus on key items only.  However, </w:t>
      </w:r>
      <w:r w:rsidR="0065348A">
        <w:t xml:space="preserve">the </w:t>
      </w:r>
      <w:r w:rsidR="00B26A8B">
        <w:t xml:space="preserve">key items </w:t>
      </w:r>
      <w:r w:rsidR="0065348A">
        <w:t xml:space="preserve">that </w:t>
      </w:r>
      <w:r w:rsidR="00B26A8B">
        <w:t xml:space="preserve">have been retained </w:t>
      </w:r>
      <w:r w:rsidR="0065348A">
        <w:t xml:space="preserve">will </w:t>
      </w:r>
      <w:r w:rsidR="00B26A8B">
        <w:t xml:space="preserve">allow for trend analysis.  </w:t>
      </w:r>
      <w:r w:rsidR="00DF2798">
        <w:t xml:space="preserve">Finally, in 2013, all follow-up was handled via email reminders.  For the current survey, we will also include </w:t>
      </w:r>
      <w:r w:rsidR="00A93536">
        <w:t xml:space="preserve">a </w:t>
      </w:r>
      <w:r w:rsidR="00DF2798">
        <w:t xml:space="preserve">phone reminder if necessary to obtain the </w:t>
      </w:r>
      <w:r w:rsidR="0065348A">
        <w:t xml:space="preserve">needed </w:t>
      </w:r>
      <w:r w:rsidR="00DF2798">
        <w:t xml:space="preserve">sample sizes.  </w:t>
      </w:r>
    </w:p>
    <w:p w14:paraId="2A83AD73" w14:textId="77777777" w:rsidR="006D76AC" w:rsidRDefault="007F471F" w:rsidP="007F471F">
      <w:pPr>
        <w:pStyle w:val="Heading1"/>
      </w:pPr>
      <w:bookmarkStart w:id="21" w:name="_Toc462298386"/>
      <w:r w:rsidRPr="007F471F">
        <w:t>A.16</w:t>
      </w:r>
      <w:r w:rsidRPr="007F471F">
        <w:tab/>
      </w:r>
      <w:r w:rsidR="006D76AC" w:rsidRPr="007F471F">
        <w:t>Plans for Tabulation and Publication and Project Time Schedule</w:t>
      </w:r>
      <w:bookmarkEnd w:id="21"/>
      <w:r w:rsidR="006D76AC" w:rsidRPr="007F471F">
        <w:t xml:space="preserve"> </w:t>
      </w:r>
    </w:p>
    <w:p w14:paraId="18A1EBD9" w14:textId="77777777" w:rsidR="00DF2798" w:rsidRDefault="00E166B2" w:rsidP="00E166B2">
      <w:r>
        <w:t>I</w:t>
      </w:r>
      <w:r w:rsidR="00E074A0" w:rsidRPr="007837D8">
        <w:t xml:space="preserve">tem non-response </w:t>
      </w:r>
      <w:r w:rsidR="00E074A0">
        <w:t xml:space="preserve">will be analyzed </w:t>
      </w:r>
      <w:r w:rsidR="00E074A0" w:rsidRPr="007837D8">
        <w:t>to identify any potentially problematic questions or</w:t>
      </w:r>
      <w:r w:rsidR="00E074A0">
        <w:t xml:space="preserve"> </w:t>
      </w:r>
      <w:r w:rsidR="00E074A0" w:rsidRPr="007837D8">
        <w:t xml:space="preserve">survey sections that may </w:t>
      </w:r>
      <w:r w:rsidR="00E96212">
        <w:t>lead to</w:t>
      </w:r>
      <w:r w:rsidR="00E074A0" w:rsidRPr="007837D8">
        <w:t xml:space="preserve"> </w:t>
      </w:r>
      <w:r w:rsidR="0065348A">
        <w:t xml:space="preserve">partial survey completion by </w:t>
      </w:r>
      <w:r w:rsidR="00E074A0" w:rsidRPr="007837D8">
        <w:t>respondent</w:t>
      </w:r>
      <w:r w:rsidR="0065348A">
        <w:t>s</w:t>
      </w:r>
      <w:r w:rsidR="00E074A0" w:rsidRPr="007837D8">
        <w:t xml:space="preserve">. </w:t>
      </w:r>
      <w:r w:rsidR="00DF2798">
        <w:t>The</w:t>
      </w:r>
      <w:r w:rsidR="00E074A0">
        <w:t xml:space="preserve"> d</w:t>
      </w:r>
      <w:r w:rsidR="00DF2798">
        <w:t xml:space="preserve">ataset </w:t>
      </w:r>
      <w:r w:rsidR="00E074A0" w:rsidRPr="007837D8">
        <w:t>will be</w:t>
      </w:r>
      <w:r w:rsidR="00E074A0">
        <w:t xml:space="preserve"> </w:t>
      </w:r>
      <w:r w:rsidR="00E074A0" w:rsidRPr="007837D8">
        <w:t xml:space="preserve">carefully reviewed for </w:t>
      </w:r>
      <w:r w:rsidR="00D549DF" w:rsidRPr="007837D8">
        <w:t>unusual</w:t>
      </w:r>
      <w:r w:rsidR="00E074A0" w:rsidRPr="007837D8">
        <w:t xml:space="preserve"> or inconsistent responses that might</w:t>
      </w:r>
      <w:r w:rsidR="00E074A0">
        <w:t xml:space="preserve"> </w:t>
      </w:r>
      <w:r w:rsidR="00E074A0" w:rsidRPr="007837D8">
        <w:t>also signal problems of comprehension, recall, or reporting in either the</w:t>
      </w:r>
      <w:r w:rsidR="00E074A0">
        <w:t xml:space="preserve"> </w:t>
      </w:r>
      <w:r w:rsidR="00E074A0" w:rsidRPr="007837D8">
        <w:t>questions or the response categories.</w:t>
      </w:r>
      <w:r w:rsidR="00E074A0">
        <w:t xml:space="preserve">  </w:t>
      </w:r>
    </w:p>
    <w:p w14:paraId="16E199DC" w14:textId="77777777" w:rsidR="006B0EEA" w:rsidRPr="00C54E82" w:rsidRDefault="00E074A0" w:rsidP="00E166B2">
      <w:r>
        <w:t>As part of analysis,</w:t>
      </w:r>
      <w:r w:rsidRPr="00E32E30">
        <w:t xml:space="preserve"> weighting adjustments </w:t>
      </w:r>
      <w:r>
        <w:t xml:space="preserve">will be developed </w:t>
      </w:r>
      <w:r w:rsidRPr="00E32E30">
        <w:t xml:space="preserve">to increase the </w:t>
      </w:r>
      <w:r w:rsidR="00DF2798">
        <w:t>respondent</w:t>
      </w:r>
      <w:r w:rsidRPr="00E32E30">
        <w:t xml:space="preserve"> representativeness relative to the </w:t>
      </w:r>
      <w:r w:rsidR="00DF2798">
        <w:t>sample for LHDs</w:t>
      </w:r>
      <w:r w:rsidRPr="00E32E30">
        <w:t xml:space="preserve">. </w:t>
      </w:r>
      <w:r w:rsidR="00DF2798">
        <w:t xml:space="preserve"> Weights will be developed</w:t>
      </w:r>
      <w:r>
        <w:t xml:space="preserve"> </w:t>
      </w:r>
      <w:r w:rsidRPr="00E32E30">
        <w:t xml:space="preserve">by </w:t>
      </w:r>
      <w:r w:rsidR="00DF2798">
        <w:t xml:space="preserve">examining U.S. Census region, jurisdiction population size and non-response.  </w:t>
      </w:r>
      <w:r>
        <w:t>W</w:t>
      </w:r>
      <w:r w:rsidRPr="007837D8">
        <w:t xml:space="preserve">eights </w:t>
      </w:r>
      <w:r>
        <w:t xml:space="preserve">will be appended </w:t>
      </w:r>
      <w:r w:rsidRPr="007837D8">
        <w:t>to each survey record (“case” weights) in the final data file</w:t>
      </w:r>
      <w:r>
        <w:t xml:space="preserve"> </w:t>
      </w:r>
      <w:r w:rsidR="00DF2798">
        <w:t>for use in analyses</w:t>
      </w:r>
      <w:r w:rsidRPr="007837D8">
        <w:t>.</w:t>
      </w:r>
    </w:p>
    <w:p w14:paraId="67D83EF9" w14:textId="77777777" w:rsidR="006B0EEA" w:rsidRDefault="00DF2798" w:rsidP="00E074A0">
      <w:r w:rsidRPr="00DF2798">
        <w:t xml:space="preserve">Data will be tabulated and published </w:t>
      </w:r>
      <w:r w:rsidR="0065348A">
        <w:t>in</w:t>
      </w:r>
      <w:r w:rsidR="0065348A" w:rsidRPr="00DF2798">
        <w:t xml:space="preserve"> </w:t>
      </w:r>
      <w:r w:rsidRPr="00DF2798">
        <w:t>either report</w:t>
      </w:r>
      <w:r w:rsidR="0065348A">
        <w:t>s</w:t>
      </w:r>
      <w:r w:rsidRPr="00DF2798">
        <w:t xml:space="preserve"> or peer-reviewed journal article</w:t>
      </w:r>
      <w:r w:rsidR="0065348A">
        <w:t>s</w:t>
      </w:r>
      <w:r w:rsidRPr="00DF2798">
        <w:t xml:space="preserve">. </w:t>
      </w:r>
      <w:r>
        <w:t xml:space="preserve">Selected results will also be provided to NACCHO and NCSD for dissemination through regular communications.  All </w:t>
      </w:r>
      <w:r w:rsidR="009027B8">
        <w:t xml:space="preserve">publications will be submitted to CDC’s clearance process for scientific documents to insure that any results that are released will maintain the privacy of </w:t>
      </w:r>
      <w:r w:rsidR="0065348A">
        <w:t xml:space="preserve">the LHD and SHDs </w:t>
      </w:r>
      <w:r w:rsidR="009027B8">
        <w:t xml:space="preserve">(i.e., no data that could be used to identify a given </w:t>
      </w:r>
      <w:r w:rsidR="0065348A">
        <w:t xml:space="preserve">health department </w:t>
      </w:r>
      <w:r w:rsidR="009027B8">
        <w:t xml:space="preserve">will be publicly released).  </w:t>
      </w:r>
    </w:p>
    <w:p w14:paraId="6DF4BD2E" w14:textId="77777777" w:rsidR="006B0EEA" w:rsidRPr="009C39F4" w:rsidRDefault="001B7573" w:rsidP="006B0EEA">
      <w:r>
        <w:t>For the first data collection, t</w:t>
      </w:r>
      <w:r w:rsidR="006B0EEA" w:rsidRPr="009C39F4">
        <w:t xml:space="preserve">he timeline </w:t>
      </w:r>
      <w:r>
        <w:t xml:space="preserve">to collect data </w:t>
      </w:r>
      <w:r w:rsidR="006B0EEA" w:rsidRPr="009C39F4">
        <w:t xml:space="preserve">is </w:t>
      </w:r>
      <w:r w:rsidR="00DF2798">
        <w:t>August through September</w:t>
      </w:r>
      <w:r w:rsidR="00BB47BB">
        <w:t xml:space="preserve"> </w:t>
      </w:r>
      <w:r>
        <w:t>2017</w:t>
      </w:r>
      <w:r w:rsidR="00DF2798">
        <w:t xml:space="preserve"> </w:t>
      </w:r>
      <w:r w:rsidR="00DF1291">
        <w:t>(pending OMB approval)</w:t>
      </w:r>
      <w:r w:rsidR="006B0EEA" w:rsidRPr="009C39F4">
        <w:t xml:space="preserve">.  </w:t>
      </w:r>
      <w:r w:rsidR="002A3B6D">
        <w:t xml:space="preserve">The second data collection would occur in year 3. </w:t>
      </w:r>
    </w:p>
    <w:p w14:paraId="610A8F09" w14:textId="77777777" w:rsidR="006B0EEA" w:rsidRDefault="006B0EEA" w:rsidP="006B0EEA">
      <w:pPr>
        <w:pStyle w:val="Caption"/>
        <w:keepNext/>
      </w:pPr>
      <w:r>
        <w:t xml:space="preserve">Exhibit </w:t>
      </w:r>
      <w:r w:rsidR="00D15FAB">
        <w:fldChar w:fldCharType="begin"/>
      </w:r>
      <w:r w:rsidR="00D15FAB">
        <w:instrText xml:space="preserve"> SEQ Exhibit \* ARABIC </w:instrText>
      </w:r>
      <w:r w:rsidR="00D15FAB">
        <w:fldChar w:fldCharType="separate"/>
      </w:r>
      <w:r w:rsidR="008951C0">
        <w:rPr>
          <w:noProof/>
        </w:rPr>
        <w:t>2</w:t>
      </w:r>
      <w:r w:rsidR="00D15FAB">
        <w:rPr>
          <w:noProof/>
        </w:rPr>
        <w:fldChar w:fldCharType="end"/>
      </w:r>
      <w:r>
        <w:t xml:space="preserve">. </w:t>
      </w:r>
      <w:r>
        <w:rPr>
          <w:rFonts w:ascii="Times New Roman TUR" w:hAnsi="Times New Roman TUR" w:cs="Times New Roman TUR"/>
        </w:rPr>
        <w:t xml:space="preserve">Project </w:t>
      </w:r>
      <w:r w:rsidR="0061083D">
        <w:rPr>
          <w:rFonts w:ascii="Times New Roman TUR" w:hAnsi="Times New Roman TUR" w:cs="Times New Roman TUR"/>
        </w:rPr>
        <w:t xml:space="preserve">time </w:t>
      </w:r>
      <w:r>
        <w:rPr>
          <w:rFonts w:ascii="Times New Roman TUR" w:hAnsi="Times New Roman TUR" w:cs="Times New Roman TUR"/>
        </w:rPr>
        <w:t>schedule</w:t>
      </w:r>
      <w:r w:rsidR="0061083D">
        <w:rPr>
          <w:rFonts w:ascii="Times New Roman TUR" w:hAnsi="Times New Roman TUR" w:cs="Times New Roman TUR"/>
        </w:rPr>
        <w:t xml:space="preserve"> for each collection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325"/>
      </w:tblGrid>
      <w:tr w:rsidR="006B0EEA" w:rsidRPr="004D2188" w14:paraId="78245824" w14:textId="77777777" w:rsidTr="005B54DC">
        <w:trPr>
          <w:trHeight w:val="170"/>
        </w:trPr>
        <w:tc>
          <w:tcPr>
            <w:tcW w:w="4945" w:type="dxa"/>
          </w:tcPr>
          <w:p w14:paraId="6D1E39E3" w14:textId="77777777" w:rsidR="006B0EEA" w:rsidRPr="00A31231" w:rsidRDefault="006B0EEA" w:rsidP="006B0EEA">
            <w:pPr>
              <w:spacing w:after="0"/>
              <w:ind w:left="180"/>
              <w:rPr>
                <w:b/>
              </w:rPr>
            </w:pPr>
            <w:r w:rsidRPr="00A31231">
              <w:rPr>
                <w:b/>
              </w:rPr>
              <w:t>Activity</w:t>
            </w:r>
          </w:p>
        </w:tc>
        <w:tc>
          <w:tcPr>
            <w:tcW w:w="4325" w:type="dxa"/>
          </w:tcPr>
          <w:p w14:paraId="3B9FAFB4" w14:textId="77777777" w:rsidR="006B0EEA" w:rsidRPr="00A31231" w:rsidRDefault="006B0EEA" w:rsidP="006B0EEA">
            <w:pPr>
              <w:spacing w:after="0"/>
              <w:ind w:left="90"/>
              <w:rPr>
                <w:b/>
              </w:rPr>
            </w:pPr>
            <w:r w:rsidRPr="00A31231">
              <w:rPr>
                <w:b/>
              </w:rPr>
              <w:t xml:space="preserve">Time Period </w:t>
            </w:r>
          </w:p>
        </w:tc>
      </w:tr>
      <w:tr w:rsidR="006B0EEA" w:rsidRPr="004D2188" w14:paraId="467C2C6D" w14:textId="77777777" w:rsidTr="005B54DC">
        <w:trPr>
          <w:trHeight w:val="648"/>
        </w:trPr>
        <w:tc>
          <w:tcPr>
            <w:tcW w:w="4945" w:type="dxa"/>
          </w:tcPr>
          <w:p w14:paraId="25564F6C" w14:textId="77777777" w:rsidR="006B0EEA" w:rsidRPr="008F2AC3" w:rsidRDefault="006B0EEA" w:rsidP="006B0EEA">
            <w:pPr>
              <w:pStyle w:val="NoSpacing"/>
            </w:pPr>
            <w:r w:rsidRPr="008F2AC3">
              <w:t>Implement Survey</w:t>
            </w:r>
          </w:p>
        </w:tc>
        <w:tc>
          <w:tcPr>
            <w:tcW w:w="4325" w:type="dxa"/>
          </w:tcPr>
          <w:p w14:paraId="7B319CE6" w14:textId="77777777" w:rsidR="006B0EEA" w:rsidRPr="008F2AC3" w:rsidRDefault="009F377E" w:rsidP="006B0EEA">
            <w:pPr>
              <w:pStyle w:val="NoSpacing"/>
            </w:pPr>
            <w:r>
              <w:t xml:space="preserve">Within </w:t>
            </w:r>
            <w:r w:rsidR="006B0EEA">
              <w:t xml:space="preserve">1 month </w:t>
            </w:r>
            <w:r>
              <w:t xml:space="preserve">of </w:t>
            </w:r>
            <w:r w:rsidR="006B0EEA">
              <w:t>OMB approval</w:t>
            </w:r>
          </w:p>
          <w:p w14:paraId="395D2C60" w14:textId="77777777" w:rsidR="006B0EEA" w:rsidRPr="008F2AC3" w:rsidRDefault="006B0EEA" w:rsidP="006B0EEA">
            <w:pPr>
              <w:pStyle w:val="NoSpacing"/>
            </w:pPr>
          </w:p>
        </w:tc>
      </w:tr>
      <w:tr w:rsidR="006B0EEA" w:rsidRPr="004D2188" w14:paraId="01E64497" w14:textId="77777777" w:rsidTr="005B54DC">
        <w:trPr>
          <w:trHeight w:val="648"/>
        </w:trPr>
        <w:tc>
          <w:tcPr>
            <w:tcW w:w="4945" w:type="dxa"/>
          </w:tcPr>
          <w:p w14:paraId="24C12B5D" w14:textId="77777777" w:rsidR="006B0EEA" w:rsidRPr="0021528B" w:rsidRDefault="006B0EEA" w:rsidP="006B0EEA">
            <w:pPr>
              <w:pStyle w:val="NoSpacing"/>
            </w:pPr>
            <w:r w:rsidRPr="0021528B">
              <w:t>Develop Secure Data Repository</w:t>
            </w:r>
          </w:p>
          <w:p w14:paraId="21A9597E" w14:textId="77777777" w:rsidR="006B0EEA" w:rsidRPr="0021528B" w:rsidRDefault="006B0EEA" w:rsidP="006B0EEA">
            <w:pPr>
              <w:pStyle w:val="NoSpacing"/>
            </w:pPr>
            <w:r w:rsidRPr="0021528B">
              <w:t xml:space="preserve">Develop Data Sharing Plan </w:t>
            </w:r>
          </w:p>
        </w:tc>
        <w:tc>
          <w:tcPr>
            <w:tcW w:w="4325" w:type="dxa"/>
          </w:tcPr>
          <w:p w14:paraId="78DAEDEB" w14:textId="77777777" w:rsidR="006B0EEA" w:rsidRPr="0021528B" w:rsidRDefault="009F377E" w:rsidP="009F377E">
            <w:pPr>
              <w:pStyle w:val="NoSpacing"/>
            </w:pPr>
            <w:r>
              <w:t>Within 1 month of</w:t>
            </w:r>
            <w:r w:rsidR="006B0EEA">
              <w:t xml:space="preserve"> OMB approval</w:t>
            </w:r>
          </w:p>
        </w:tc>
      </w:tr>
      <w:tr w:rsidR="006B0EEA" w:rsidRPr="004D2188" w14:paraId="4D1BCDB4" w14:textId="77777777" w:rsidTr="005B54DC">
        <w:trPr>
          <w:trHeight w:val="648"/>
        </w:trPr>
        <w:tc>
          <w:tcPr>
            <w:tcW w:w="4945" w:type="dxa"/>
          </w:tcPr>
          <w:p w14:paraId="79E1FDD7" w14:textId="77777777" w:rsidR="006B0EEA" w:rsidRPr="0021528B" w:rsidRDefault="006B0EEA" w:rsidP="006B0EEA">
            <w:pPr>
              <w:pStyle w:val="NoSpacing"/>
            </w:pPr>
            <w:r w:rsidRPr="0021528B">
              <w:t>Develop Data Dictionary</w:t>
            </w:r>
          </w:p>
          <w:p w14:paraId="6DD408A8" w14:textId="77777777" w:rsidR="006B0EEA" w:rsidRPr="0021528B" w:rsidRDefault="006B0EEA" w:rsidP="006B0EEA">
            <w:pPr>
              <w:pStyle w:val="NoSpacing"/>
            </w:pPr>
            <w:r w:rsidRPr="0021528B">
              <w:t>Provide Quality Checks of all Data Deliverables</w:t>
            </w:r>
          </w:p>
        </w:tc>
        <w:tc>
          <w:tcPr>
            <w:tcW w:w="4325" w:type="dxa"/>
          </w:tcPr>
          <w:p w14:paraId="7A5D06FE" w14:textId="77777777" w:rsidR="006B0EEA" w:rsidRDefault="009F377E" w:rsidP="006B0EEA">
            <w:pPr>
              <w:pStyle w:val="NoSpacing"/>
            </w:pPr>
            <w:r>
              <w:t xml:space="preserve">1-2 </w:t>
            </w:r>
            <w:r w:rsidR="006B0EEA">
              <w:t>months after OMB approval</w:t>
            </w:r>
          </w:p>
          <w:p w14:paraId="5DE2491D" w14:textId="77777777" w:rsidR="006B0EEA" w:rsidRPr="0021528B" w:rsidRDefault="009F377E" w:rsidP="006B0EEA">
            <w:pPr>
              <w:pStyle w:val="NoSpacing"/>
            </w:pPr>
            <w:r>
              <w:t>2-3</w:t>
            </w:r>
            <w:r w:rsidR="006B0EEA">
              <w:t xml:space="preserve"> months after OMB approval</w:t>
            </w:r>
          </w:p>
        </w:tc>
      </w:tr>
      <w:tr w:rsidR="006B0EEA" w:rsidRPr="004D2188" w14:paraId="79F02CE5" w14:textId="77777777" w:rsidTr="005B54DC">
        <w:trPr>
          <w:trHeight w:val="648"/>
        </w:trPr>
        <w:tc>
          <w:tcPr>
            <w:tcW w:w="4945" w:type="dxa"/>
          </w:tcPr>
          <w:p w14:paraId="3EAF4902" w14:textId="77777777" w:rsidR="006B0EEA" w:rsidRPr="0021528B" w:rsidRDefault="006B0EEA" w:rsidP="006B0EEA">
            <w:pPr>
              <w:pStyle w:val="NoSpacing"/>
              <w:rPr>
                <w:rFonts w:ascii="Times New Roman TUR" w:hAnsi="Times New Roman TUR" w:cs="Times New Roman TUR"/>
              </w:rPr>
            </w:pPr>
            <w:r w:rsidRPr="0021528B">
              <w:rPr>
                <w:rFonts w:ascii="Times New Roman TUR" w:hAnsi="Times New Roman TUR" w:cs="Times New Roman TUR"/>
              </w:rPr>
              <w:t xml:space="preserve">Develop Data Analysis Plan and Analysis </w:t>
            </w:r>
          </w:p>
        </w:tc>
        <w:tc>
          <w:tcPr>
            <w:tcW w:w="4325" w:type="dxa"/>
          </w:tcPr>
          <w:p w14:paraId="6590AAAA" w14:textId="77777777" w:rsidR="006B0EEA" w:rsidRPr="0021528B" w:rsidRDefault="009F377E" w:rsidP="006B0EEA">
            <w:pPr>
              <w:pStyle w:val="NoSpacing"/>
              <w:rPr>
                <w:rFonts w:ascii="Times New Roman TUR" w:hAnsi="Times New Roman TUR" w:cs="Times New Roman TUR"/>
              </w:rPr>
            </w:pPr>
            <w:r>
              <w:rPr>
                <w:rFonts w:ascii="Times New Roman TUR" w:hAnsi="Times New Roman TUR" w:cs="Times New Roman TUR"/>
              </w:rPr>
              <w:t>1-2</w:t>
            </w:r>
            <w:r w:rsidR="006B0EEA">
              <w:rPr>
                <w:rFonts w:ascii="Times New Roman TUR" w:hAnsi="Times New Roman TUR" w:cs="Times New Roman TUR"/>
              </w:rPr>
              <w:t xml:space="preserve"> months after OMB approval</w:t>
            </w:r>
          </w:p>
        </w:tc>
      </w:tr>
      <w:tr w:rsidR="006B0EEA" w:rsidRPr="004D2188" w14:paraId="43907E85" w14:textId="77777777" w:rsidTr="005B54DC">
        <w:trPr>
          <w:trHeight w:val="648"/>
        </w:trPr>
        <w:tc>
          <w:tcPr>
            <w:tcW w:w="4945" w:type="dxa"/>
            <w:tcBorders>
              <w:bottom w:val="single" w:sz="4" w:space="0" w:color="auto"/>
            </w:tcBorders>
          </w:tcPr>
          <w:p w14:paraId="0DF75809" w14:textId="77777777" w:rsidR="006B0EEA" w:rsidRPr="000A1B69" w:rsidRDefault="006B0EEA" w:rsidP="006B0EEA">
            <w:pPr>
              <w:pStyle w:val="NoSpacing"/>
              <w:rPr>
                <w:rFonts w:ascii="Times New Roman TUR" w:hAnsi="Times New Roman TUR" w:cs="Times New Roman TUR"/>
              </w:rPr>
            </w:pPr>
            <w:r>
              <w:rPr>
                <w:rFonts w:ascii="Times New Roman TUR" w:hAnsi="Times New Roman TUR" w:cs="Times New Roman TUR"/>
              </w:rPr>
              <w:t>Survey Implementation Status Reporting</w:t>
            </w:r>
          </w:p>
        </w:tc>
        <w:tc>
          <w:tcPr>
            <w:tcW w:w="4325" w:type="dxa"/>
            <w:tcBorders>
              <w:bottom w:val="single" w:sz="4" w:space="0" w:color="auto"/>
            </w:tcBorders>
          </w:tcPr>
          <w:p w14:paraId="64F91B12" w14:textId="77777777" w:rsidR="006B0EEA" w:rsidRPr="005B54DC" w:rsidRDefault="009F377E" w:rsidP="006B0EEA">
            <w:pPr>
              <w:pStyle w:val="NoSpacing"/>
            </w:pPr>
            <w:r>
              <w:t>1</w:t>
            </w:r>
            <w:r w:rsidR="006B0EEA">
              <w:t xml:space="preserve"> –</w:t>
            </w:r>
            <w:r w:rsidR="00F224EF">
              <w:t>4</w:t>
            </w:r>
            <w:r w:rsidR="006B0EEA">
              <w:t xml:space="preserve"> months after OMB approval</w:t>
            </w:r>
            <w:r>
              <w:t xml:space="preserve"> (throughout 60 day data collection period)</w:t>
            </w:r>
          </w:p>
        </w:tc>
      </w:tr>
      <w:tr w:rsidR="006B0EEA" w:rsidRPr="004D2188" w14:paraId="5724BB97" w14:textId="77777777" w:rsidTr="005B54DC">
        <w:trPr>
          <w:trHeight w:val="648"/>
        </w:trPr>
        <w:tc>
          <w:tcPr>
            <w:tcW w:w="4945" w:type="dxa"/>
          </w:tcPr>
          <w:p w14:paraId="19528D42" w14:textId="77777777" w:rsidR="006B0EEA" w:rsidRPr="000A1B69" w:rsidRDefault="006B0EEA" w:rsidP="00DF2798">
            <w:pPr>
              <w:pStyle w:val="NoSpacing"/>
            </w:pPr>
            <w:r>
              <w:t>Data Submission</w:t>
            </w:r>
          </w:p>
        </w:tc>
        <w:tc>
          <w:tcPr>
            <w:tcW w:w="4325" w:type="dxa"/>
          </w:tcPr>
          <w:p w14:paraId="0F01E7C2" w14:textId="77777777" w:rsidR="006B0EEA" w:rsidRPr="000A1B69" w:rsidRDefault="009F377E" w:rsidP="00DF2798">
            <w:pPr>
              <w:pStyle w:val="NoSpacing"/>
            </w:pPr>
            <w:r>
              <w:t>4</w:t>
            </w:r>
            <w:r w:rsidR="006B0EEA">
              <w:t xml:space="preserve"> months after OMB approval</w:t>
            </w:r>
          </w:p>
        </w:tc>
      </w:tr>
      <w:tr w:rsidR="006B0EEA" w:rsidRPr="004D2188" w14:paraId="5193CD28" w14:textId="77777777" w:rsidTr="005B54DC">
        <w:trPr>
          <w:trHeight w:val="648"/>
        </w:trPr>
        <w:tc>
          <w:tcPr>
            <w:tcW w:w="4945" w:type="dxa"/>
          </w:tcPr>
          <w:p w14:paraId="373D7FF3" w14:textId="77777777" w:rsidR="006B0EEA" w:rsidRDefault="006B0EEA" w:rsidP="006B0EEA">
            <w:pPr>
              <w:pStyle w:val="NoSpacing"/>
            </w:pPr>
            <w:r>
              <w:t>Anticipated publications</w:t>
            </w:r>
          </w:p>
        </w:tc>
        <w:tc>
          <w:tcPr>
            <w:tcW w:w="4325" w:type="dxa"/>
          </w:tcPr>
          <w:p w14:paraId="4D625CED" w14:textId="77777777" w:rsidR="006B0EEA" w:rsidRDefault="00B2257D" w:rsidP="006B0EEA">
            <w:pPr>
              <w:pStyle w:val="NoSpacing"/>
            </w:pPr>
            <w:r>
              <w:t>9-12</w:t>
            </w:r>
            <w:r w:rsidR="006B0EEA">
              <w:t xml:space="preserve"> months after OMB approval</w:t>
            </w:r>
          </w:p>
        </w:tc>
      </w:tr>
    </w:tbl>
    <w:p w14:paraId="2E32684D" w14:textId="77777777" w:rsidR="006D76AC" w:rsidRPr="00233877" w:rsidRDefault="007F471F" w:rsidP="007F471F">
      <w:pPr>
        <w:pStyle w:val="Heading1"/>
      </w:pPr>
      <w:bookmarkStart w:id="22" w:name="_Toc462298387"/>
      <w:r>
        <w:t>A.17</w:t>
      </w:r>
      <w:r>
        <w:tab/>
      </w:r>
      <w:r w:rsidR="006D76AC" w:rsidRPr="00233877">
        <w:t>Reason(s) Display of OMB Expiration Date is Inappropriate</w:t>
      </w:r>
      <w:bookmarkEnd w:id="22"/>
    </w:p>
    <w:p w14:paraId="5ED8139C" w14:textId="77777777" w:rsidR="007948D6" w:rsidRPr="00233877" w:rsidRDefault="007948D6" w:rsidP="007F471F">
      <w:r w:rsidRPr="00233877">
        <w:t>CDC will display the expiration date for OMB approval.</w:t>
      </w:r>
    </w:p>
    <w:p w14:paraId="22752602" w14:textId="77777777" w:rsidR="007948D6" w:rsidRPr="00233877" w:rsidRDefault="007F471F" w:rsidP="007F471F">
      <w:pPr>
        <w:pStyle w:val="Heading1"/>
      </w:pPr>
      <w:bookmarkStart w:id="23" w:name="_Toc462298388"/>
      <w:r>
        <w:t>A.18</w:t>
      </w:r>
      <w:r>
        <w:tab/>
      </w:r>
      <w:r w:rsidR="006D76AC" w:rsidRPr="00233877">
        <w:t>Exceptions to Certification for Paperwork Reduction Act Submissions</w:t>
      </w:r>
      <w:bookmarkEnd w:id="23"/>
      <w:r w:rsidR="006D76AC" w:rsidRPr="00233877">
        <w:t xml:space="preserve"> </w:t>
      </w:r>
    </w:p>
    <w:p w14:paraId="033FE882" w14:textId="77777777" w:rsidR="001B0F23" w:rsidRDefault="007948D6" w:rsidP="007948D6">
      <w:pPr>
        <w:widowControl/>
        <w:autoSpaceDE/>
        <w:autoSpaceDN/>
        <w:adjustRightInd/>
        <w:ind w:right="-4"/>
        <w:rPr>
          <w:noProof/>
        </w:rPr>
      </w:pPr>
      <w:r w:rsidRPr="00233877">
        <w:t>No exceptions to the certification are made.</w:t>
      </w:r>
      <w:r w:rsidR="006D76AC" w:rsidRPr="00233877">
        <w:fldChar w:fldCharType="begin"/>
      </w:r>
      <w:r w:rsidR="006D76AC" w:rsidRPr="00233877">
        <w:instrText xml:space="preserve"> TOC \o "1-2" \h \z \u </w:instrText>
      </w:r>
      <w:r w:rsidR="006D76AC" w:rsidRPr="00233877">
        <w:fldChar w:fldCharType="separate"/>
      </w:r>
    </w:p>
    <w:p w14:paraId="45C7652B" w14:textId="77777777" w:rsidR="006D76AC" w:rsidRDefault="006D76AC" w:rsidP="00FA7B77">
      <w:pPr>
        <w:spacing w:before="240"/>
        <w:ind w:left="540" w:right="-4" w:firstLine="360"/>
      </w:pPr>
      <w:r w:rsidRPr="00233877">
        <w:fldChar w:fldCharType="end"/>
      </w:r>
    </w:p>
    <w:p w14:paraId="0D810755" w14:textId="77777777" w:rsidR="00CB147E" w:rsidRDefault="00CB147E">
      <w:pPr>
        <w:widowControl/>
        <w:autoSpaceDE/>
        <w:autoSpaceDN/>
        <w:adjustRightInd/>
        <w:spacing w:after="160" w:line="259" w:lineRule="auto"/>
        <w:rPr>
          <w:b/>
          <w:color w:val="2F5496" w:themeColor="accent5" w:themeShade="BF"/>
        </w:rPr>
      </w:pPr>
      <w:r>
        <w:rPr>
          <w:b/>
          <w:color w:val="2F5496" w:themeColor="accent5" w:themeShade="BF"/>
        </w:rPr>
        <w:br w:type="page"/>
      </w:r>
    </w:p>
    <w:p w14:paraId="2A02F0CB" w14:textId="77777777" w:rsidR="00282BCB" w:rsidRPr="00CB147E" w:rsidRDefault="00282BCB" w:rsidP="00282BCB">
      <w:pPr>
        <w:spacing w:before="240"/>
        <w:ind w:right="-4"/>
        <w:rPr>
          <w:b/>
          <w:color w:val="2F5496" w:themeColor="accent5" w:themeShade="BF"/>
        </w:rPr>
      </w:pPr>
      <w:r w:rsidRPr="00CB147E">
        <w:rPr>
          <w:b/>
          <w:color w:val="2F5496" w:themeColor="accent5" w:themeShade="BF"/>
        </w:rPr>
        <w:t>Reference List</w:t>
      </w:r>
    </w:p>
    <w:p w14:paraId="4DDC55F7" w14:textId="77777777" w:rsidR="00282BCB" w:rsidRPr="00282BCB" w:rsidRDefault="00282BCB" w:rsidP="00CB147E">
      <w:pPr>
        <w:pStyle w:val="NoSpacing"/>
        <w:numPr>
          <w:ilvl w:val="0"/>
          <w:numId w:val="12"/>
        </w:numPr>
        <w:spacing w:after="120"/>
      </w:pPr>
      <w:r w:rsidRPr="00282BCB">
        <w:t>Centers for Disease Control and Prevention. Sexually Transmitted Disease Surveillance 2015. Atlanta: U.S. Department of Health and Human Services; 2016.   http://www.cdc.gov/std/stats15/std-surveillance-2015-print.pdf</w:t>
      </w:r>
    </w:p>
    <w:p w14:paraId="18DAC3BE" w14:textId="77777777" w:rsidR="00282BCB" w:rsidRPr="00282BCB" w:rsidRDefault="00282BCB" w:rsidP="00CB147E">
      <w:pPr>
        <w:pStyle w:val="NoSpacing"/>
        <w:numPr>
          <w:ilvl w:val="0"/>
          <w:numId w:val="12"/>
        </w:numPr>
        <w:spacing w:after="120"/>
        <w:jc w:val="both"/>
      </w:pPr>
      <w:r w:rsidRPr="00282BCB">
        <w:t>Satterwhite CL, Torrone E, Meites E, et al. Sexually transmitted infections among US women and men: prevalence and incidence estimates, 2008. Sex Transm Dis. 2013;40(3):187-193.</w:t>
      </w:r>
    </w:p>
    <w:p w14:paraId="1B940FCA" w14:textId="77777777" w:rsidR="00282BCB" w:rsidRDefault="00282BCB" w:rsidP="00CB147E">
      <w:pPr>
        <w:pStyle w:val="NoSpacing"/>
        <w:numPr>
          <w:ilvl w:val="0"/>
          <w:numId w:val="12"/>
        </w:numPr>
        <w:spacing w:after="120"/>
        <w:jc w:val="both"/>
      </w:pPr>
      <w:r w:rsidRPr="00282BCB">
        <w:t>Owusu-Edusei K, Jr., Chesson HW, Gift TL, et al. The estimated direct medical cost of selected sexually transmitted infections in the United States, 2008. Sex Transm Dis. 2013;40(3):197-201.</w:t>
      </w:r>
    </w:p>
    <w:p w14:paraId="1A2E81F7" w14:textId="77777777" w:rsidR="00282BCB" w:rsidRDefault="00282BCB" w:rsidP="00CB147E">
      <w:pPr>
        <w:pStyle w:val="NoSpacing"/>
        <w:numPr>
          <w:ilvl w:val="0"/>
          <w:numId w:val="12"/>
        </w:numPr>
        <w:spacing w:after="120"/>
        <w:jc w:val="both"/>
      </w:pPr>
      <w:r w:rsidRPr="00282BCB">
        <w:t xml:space="preserve">Division of STD Prevention website </w:t>
      </w:r>
      <w:hyperlink r:id="rId14" w:anchor="f3" w:history="1">
        <w:r w:rsidRPr="00282BCB">
          <w:rPr>
            <w:rStyle w:val="Hyperlink"/>
          </w:rPr>
          <w:t>http://www.cdc.gov/std/stats08/trends.htm#f3</w:t>
        </w:r>
      </w:hyperlink>
      <w:r w:rsidRPr="00282BCB">
        <w:t>.</w:t>
      </w:r>
    </w:p>
    <w:p w14:paraId="053CA272" w14:textId="77777777" w:rsidR="00282BCB" w:rsidRDefault="00282BCB" w:rsidP="00CB147E">
      <w:pPr>
        <w:pStyle w:val="NoSpacing"/>
        <w:numPr>
          <w:ilvl w:val="0"/>
          <w:numId w:val="12"/>
        </w:numPr>
        <w:spacing w:after="120"/>
        <w:jc w:val="both"/>
      </w:pPr>
      <w:r w:rsidRPr="00282BCB">
        <w:rPr>
          <w:noProof/>
        </w:rPr>
        <w:t>Golden MR, Kerndt PR. Improving clinical operations: can we and should we save our STD clinics? Sex Transm Dis 2010; 37(4):264-265.</w:t>
      </w:r>
    </w:p>
    <w:p w14:paraId="4AEA9014" w14:textId="77777777" w:rsidR="00A50E35" w:rsidRDefault="00A50E35" w:rsidP="00CB147E">
      <w:pPr>
        <w:pStyle w:val="NoSpacing"/>
        <w:numPr>
          <w:ilvl w:val="0"/>
          <w:numId w:val="12"/>
        </w:numPr>
        <w:spacing w:after="120"/>
        <w:jc w:val="both"/>
      </w:pPr>
      <w:r w:rsidRPr="00A50E35">
        <w:t xml:space="preserve">Leichliter JS, Heyer K, Peterman TA, </w:t>
      </w:r>
      <w:r w:rsidR="00DA1BE5">
        <w:t>et al</w:t>
      </w:r>
      <w:r w:rsidRPr="00A50E35">
        <w:t>.  U.S. public STD clinical services in an era of declining public health funding: 2013-14. Sex Transm Dis.</w:t>
      </w:r>
      <w:r>
        <w:t xml:space="preserve"> (under review)</w:t>
      </w:r>
    </w:p>
    <w:p w14:paraId="23A63698" w14:textId="77777777" w:rsidR="00A50E35" w:rsidRDefault="00A50E35" w:rsidP="00CB147E">
      <w:pPr>
        <w:pStyle w:val="NoSpacing"/>
        <w:numPr>
          <w:ilvl w:val="0"/>
          <w:numId w:val="12"/>
        </w:numPr>
        <w:spacing w:after="120"/>
        <w:jc w:val="both"/>
      </w:pPr>
      <w:r w:rsidRPr="00A50E35">
        <w:t xml:space="preserve">Cuffe KM, </w:t>
      </w:r>
      <w:r w:rsidR="009200EA">
        <w:t xml:space="preserve">Esie P, </w:t>
      </w:r>
      <w:r w:rsidRPr="00A50E35">
        <w:t>Leichliter JS, Gift TL.  HIV services provided by STD programs in state and local health departments. MMWR</w:t>
      </w:r>
      <w:r w:rsidR="009200EA">
        <w:t xml:space="preserve"> </w:t>
      </w:r>
      <w:r w:rsidR="009200EA" w:rsidRPr="009200EA">
        <w:t>Morb Mortal Wkly Rep 2017;66:355–358</w:t>
      </w:r>
      <w:r w:rsidR="009200EA">
        <w:t>.</w:t>
      </w:r>
    </w:p>
    <w:p w14:paraId="3B4B3665" w14:textId="77777777" w:rsidR="00DA1BE5" w:rsidRDefault="00990B50" w:rsidP="00CB147E">
      <w:pPr>
        <w:pStyle w:val="ListParagraph"/>
        <w:numPr>
          <w:ilvl w:val="0"/>
          <w:numId w:val="12"/>
        </w:numPr>
        <w:spacing w:after="120"/>
        <w:jc w:val="both"/>
      </w:pPr>
      <w:r w:rsidRPr="00990B50">
        <w:t xml:space="preserve">Division of STD Prevention website </w:t>
      </w:r>
      <w:hyperlink r:id="rId15" w:anchor="f3" w:history="1">
        <w:r w:rsidRPr="008F5EE2">
          <w:rPr>
            <w:rStyle w:val="Hyperlink"/>
          </w:rPr>
          <w:t>http://www.cdc.gov/std/stats08/trends.htm#f3</w:t>
        </w:r>
      </w:hyperlink>
      <w:r w:rsidRPr="00990B50">
        <w:t>.</w:t>
      </w:r>
    </w:p>
    <w:p w14:paraId="4F7285A0" w14:textId="77777777" w:rsidR="006D76AC" w:rsidRPr="00233877" w:rsidRDefault="00DA1BE5" w:rsidP="00CB147E">
      <w:pPr>
        <w:pStyle w:val="ListParagraph"/>
        <w:numPr>
          <w:ilvl w:val="0"/>
          <w:numId w:val="12"/>
        </w:numPr>
        <w:spacing w:after="120"/>
        <w:jc w:val="both"/>
      </w:pPr>
      <w:r w:rsidRPr="00DA1BE5">
        <w:t>Ellison J, Gold S, Morgan L, et al. 2010 national profile of local health departments.  1-94. 2011. Washington, National Association of County &amp; City Health Officials.</w:t>
      </w:r>
    </w:p>
    <w:sectPr w:rsidR="006D76AC" w:rsidRPr="00233877" w:rsidSect="00973ADE">
      <w:endnotePr>
        <w:numFmt w:val="decimal"/>
      </w:end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8257B" w14:textId="77777777" w:rsidR="00226375" w:rsidRDefault="00226375" w:rsidP="00196945">
      <w:r>
        <w:separator/>
      </w:r>
    </w:p>
  </w:endnote>
  <w:endnote w:type="continuationSeparator" w:id="0">
    <w:p w14:paraId="131AFF5D" w14:textId="77777777" w:rsidR="00226375" w:rsidRDefault="00226375" w:rsidP="00196945">
      <w:r>
        <w:continuationSeparator/>
      </w:r>
    </w:p>
  </w:endnote>
  <w:endnote w:id="1">
    <w:p w14:paraId="40D89AA8" w14:textId="77777777" w:rsidR="006C3B6C" w:rsidRPr="001B0F23" w:rsidRDefault="006C3B6C" w:rsidP="005B4F5B">
      <w:pPr>
        <w:pStyle w:val="NoSpacing"/>
        <w:rPr>
          <w:sz w:val="20"/>
          <w:szCs w:val="20"/>
        </w:rPr>
      </w:pPr>
    </w:p>
  </w:endnote>
  <w:endnote w:id="2">
    <w:p w14:paraId="50B203F5" w14:textId="77777777" w:rsidR="006C3B6C" w:rsidRPr="001B0F23" w:rsidRDefault="006C3B6C" w:rsidP="005B4F5B">
      <w:pPr>
        <w:pStyle w:val="NoSpacing"/>
        <w:rPr>
          <w:sz w:val="20"/>
          <w:szCs w:val="20"/>
        </w:rPr>
      </w:pPr>
    </w:p>
  </w:endnote>
  <w:endnote w:id="3">
    <w:p w14:paraId="584EC18B" w14:textId="77777777" w:rsidR="006C3B6C" w:rsidRPr="001B0F23" w:rsidRDefault="006C3B6C" w:rsidP="001B0F23">
      <w:pPr>
        <w:pStyle w:val="NoSpacing"/>
        <w:rPr>
          <w:sz w:val="20"/>
          <w:szCs w:val="20"/>
        </w:rPr>
      </w:pPr>
    </w:p>
  </w:endnote>
  <w:endnote w:id="4">
    <w:p w14:paraId="6063CEC8" w14:textId="77777777" w:rsidR="006C3B6C" w:rsidRPr="001B0F23" w:rsidRDefault="006C3B6C" w:rsidP="001B0F23">
      <w:pPr>
        <w:pStyle w:val="NoSpacing"/>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New Roman TUR">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D72C4" w14:textId="77777777" w:rsidR="00226375" w:rsidRDefault="00226375" w:rsidP="00196945">
      <w:r>
        <w:separator/>
      </w:r>
    </w:p>
  </w:footnote>
  <w:footnote w:type="continuationSeparator" w:id="0">
    <w:p w14:paraId="0F988A89" w14:textId="77777777" w:rsidR="00226375" w:rsidRDefault="00226375" w:rsidP="00196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0458C"/>
    <w:multiLevelType w:val="hybridMultilevel"/>
    <w:tmpl w:val="5258770A"/>
    <w:lvl w:ilvl="0" w:tplc="03EE1BFE">
      <w:start w:val="1"/>
      <w:numFmt w:val="decimal"/>
      <w:lvlText w:val="%1."/>
      <w:lvlJc w:val="left"/>
      <w:pPr>
        <w:ind w:left="1155" w:hanging="43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6B5180B"/>
    <w:multiLevelType w:val="hybridMultilevel"/>
    <w:tmpl w:val="182C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C71A6"/>
    <w:multiLevelType w:val="hybridMultilevel"/>
    <w:tmpl w:val="C97C4022"/>
    <w:lvl w:ilvl="0" w:tplc="FD8CA7D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21205"/>
    <w:multiLevelType w:val="hybridMultilevel"/>
    <w:tmpl w:val="852689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4D148B"/>
    <w:multiLevelType w:val="hybridMultilevel"/>
    <w:tmpl w:val="87E4C0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67BCF"/>
    <w:multiLevelType w:val="hybridMultilevel"/>
    <w:tmpl w:val="1A8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1121B"/>
    <w:multiLevelType w:val="hybridMultilevel"/>
    <w:tmpl w:val="2F36B0A8"/>
    <w:lvl w:ilvl="0" w:tplc="A58093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234392"/>
    <w:multiLevelType w:val="hybridMultilevel"/>
    <w:tmpl w:val="FB044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310D60"/>
    <w:multiLevelType w:val="hybridMultilevel"/>
    <w:tmpl w:val="7EFE4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AC1056"/>
    <w:multiLevelType w:val="hybridMultilevel"/>
    <w:tmpl w:val="A7AE6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1250D1"/>
    <w:multiLevelType w:val="hybridMultilevel"/>
    <w:tmpl w:val="1876B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9"/>
  </w:num>
  <w:num w:numId="5">
    <w:abstractNumId w:val="3"/>
  </w:num>
  <w:num w:numId="6">
    <w:abstractNumId w:val="5"/>
  </w:num>
  <w:num w:numId="7">
    <w:abstractNumId w:val="2"/>
  </w:num>
  <w:num w:numId="8">
    <w:abstractNumId w:val="1"/>
  </w:num>
  <w:num w:numId="9">
    <w:abstractNumId w:val="11"/>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AC"/>
    <w:rsid w:val="000003FD"/>
    <w:rsid w:val="000123CA"/>
    <w:rsid w:val="00044BA2"/>
    <w:rsid w:val="000546F8"/>
    <w:rsid w:val="00054A64"/>
    <w:rsid w:val="00090B78"/>
    <w:rsid w:val="00091D93"/>
    <w:rsid w:val="000924B7"/>
    <w:rsid w:val="000960BD"/>
    <w:rsid w:val="000A053D"/>
    <w:rsid w:val="000A1DF8"/>
    <w:rsid w:val="000A414B"/>
    <w:rsid w:val="000A5C6A"/>
    <w:rsid w:val="000C2C2E"/>
    <w:rsid w:val="000C69E8"/>
    <w:rsid w:val="000D5D1C"/>
    <w:rsid w:val="000E1760"/>
    <w:rsid w:val="000E5797"/>
    <w:rsid w:val="000E7C44"/>
    <w:rsid w:val="0010056A"/>
    <w:rsid w:val="00104F76"/>
    <w:rsid w:val="00115714"/>
    <w:rsid w:val="001169EE"/>
    <w:rsid w:val="00134602"/>
    <w:rsid w:val="0013479A"/>
    <w:rsid w:val="001554E8"/>
    <w:rsid w:val="00156BDE"/>
    <w:rsid w:val="00162190"/>
    <w:rsid w:val="001621F2"/>
    <w:rsid w:val="001648EB"/>
    <w:rsid w:val="001718B4"/>
    <w:rsid w:val="00172FED"/>
    <w:rsid w:val="00184354"/>
    <w:rsid w:val="00190874"/>
    <w:rsid w:val="00196945"/>
    <w:rsid w:val="001B0F23"/>
    <w:rsid w:val="001B2300"/>
    <w:rsid w:val="001B7534"/>
    <w:rsid w:val="001B7573"/>
    <w:rsid w:val="001C2288"/>
    <w:rsid w:val="001C429F"/>
    <w:rsid w:val="001C4B23"/>
    <w:rsid w:val="001C7E17"/>
    <w:rsid w:val="001E379E"/>
    <w:rsid w:val="001E488D"/>
    <w:rsid w:val="001E6E96"/>
    <w:rsid w:val="001F601A"/>
    <w:rsid w:val="00201310"/>
    <w:rsid w:val="00205DBA"/>
    <w:rsid w:val="00206DEB"/>
    <w:rsid w:val="002230AB"/>
    <w:rsid w:val="002246D8"/>
    <w:rsid w:val="00226375"/>
    <w:rsid w:val="00233877"/>
    <w:rsid w:val="002371B9"/>
    <w:rsid w:val="00244217"/>
    <w:rsid w:val="00253071"/>
    <w:rsid w:val="002541F4"/>
    <w:rsid w:val="0025425E"/>
    <w:rsid w:val="002559AE"/>
    <w:rsid w:val="00260EDA"/>
    <w:rsid w:val="00262E84"/>
    <w:rsid w:val="0027071B"/>
    <w:rsid w:val="00282BCB"/>
    <w:rsid w:val="00294956"/>
    <w:rsid w:val="002A3B6D"/>
    <w:rsid w:val="002A6F51"/>
    <w:rsid w:val="002A70DA"/>
    <w:rsid w:val="002B5BC5"/>
    <w:rsid w:val="002B61C8"/>
    <w:rsid w:val="002C1143"/>
    <w:rsid w:val="002E0B77"/>
    <w:rsid w:val="002E1282"/>
    <w:rsid w:val="002E27DB"/>
    <w:rsid w:val="002E6EA9"/>
    <w:rsid w:val="002F647E"/>
    <w:rsid w:val="003013A5"/>
    <w:rsid w:val="00304415"/>
    <w:rsid w:val="00307932"/>
    <w:rsid w:val="00327F9B"/>
    <w:rsid w:val="0033236B"/>
    <w:rsid w:val="003366CE"/>
    <w:rsid w:val="003427D6"/>
    <w:rsid w:val="00351B04"/>
    <w:rsid w:val="003608D6"/>
    <w:rsid w:val="00361EEC"/>
    <w:rsid w:val="00372C1C"/>
    <w:rsid w:val="003740CB"/>
    <w:rsid w:val="00375E00"/>
    <w:rsid w:val="00376D39"/>
    <w:rsid w:val="00390E94"/>
    <w:rsid w:val="003B2893"/>
    <w:rsid w:val="003C617D"/>
    <w:rsid w:val="003C77B8"/>
    <w:rsid w:val="003C7A00"/>
    <w:rsid w:val="003D4A38"/>
    <w:rsid w:val="00403680"/>
    <w:rsid w:val="00403750"/>
    <w:rsid w:val="00431ED6"/>
    <w:rsid w:val="004359B5"/>
    <w:rsid w:val="00435F10"/>
    <w:rsid w:val="004500B9"/>
    <w:rsid w:val="00457975"/>
    <w:rsid w:val="00464DF7"/>
    <w:rsid w:val="004A09EB"/>
    <w:rsid w:val="004B6396"/>
    <w:rsid w:val="004B7D23"/>
    <w:rsid w:val="004C6263"/>
    <w:rsid w:val="004D36A0"/>
    <w:rsid w:val="004D4DDE"/>
    <w:rsid w:val="004D6646"/>
    <w:rsid w:val="004F3B69"/>
    <w:rsid w:val="00515BE6"/>
    <w:rsid w:val="0052671D"/>
    <w:rsid w:val="0053049A"/>
    <w:rsid w:val="00536139"/>
    <w:rsid w:val="0054533E"/>
    <w:rsid w:val="005763A5"/>
    <w:rsid w:val="00580CC5"/>
    <w:rsid w:val="00585016"/>
    <w:rsid w:val="00587A07"/>
    <w:rsid w:val="005B4F5B"/>
    <w:rsid w:val="005B54DC"/>
    <w:rsid w:val="005E4EB4"/>
    <w:rsid w:val="005E5760"/>
    <w:rsid w:val="005F2687"/>
    <w:rsid w:val="00610781"/>
    <w:rsid w:val="0061083D"/>
    <w:rsid w:val="00613DFD"/>
    <w:rsid w:val="00614405"/>
    <w:rsid w:val="00620D17"/>
    <w:rsid w:val="00621FFD"/>
    <w:rsid w:val="00624AF3"/>
    <w:rsid w:val="006250D3"/>
    <w:rsid w:val="0062574B"/>
    <w:rsid w:val="00643E06"/>
    <w:rsid w:val="0065348A"/>
    <w:rsid w:val="00654AF0"/>
    <w:rsid w:val="0065641E"/>
    <w:rsid w:val="00656AF0"/>
    <w:rsid w:val="006A1A7F"/>
    <w:rsid w:val="006A34B3"/>
    <w:rsid w:val="006B0EEA"/>
    <w:rsid w:val="006C2C4D"/>
    <w:rsid w:val="006C3B6C"/>
    <w:rsid w:val="006D106D"/>
    <w:rsid w:val="006D56CD"/>
    <w:rsid w:val="006D76AC"/>
    <w:rsid w:val="006E1519"/>
    <w:rsid w:val="006E6DE5"/>
    <w:rsid w:val="006F0DCD"/>
    <w:rsid w:val="006F0DFC"/>
    <w:rsid w:val="006F40F1"/>
    <w:rsid w:val="00702FE8"/>
    <w:rsid w:val="007034D5"/>
    <w:rsid w:val="00726C4A"/>
    <w:rsid w:val="00746002"/>
    <w:rsid w:val="007607CB"/>
    <w:rsid w:val="00777FCA"/>
    <w:rsid w:val="007948D6"/>
    <w:rsid w:val="007A203F"/>
    <w:rsid w:val="007A5B91"/>
    <w:rsid w:val="007B2CD2"/>
    <w:rsid w:val="007B5C01"/>
    <w:rsid w:val="007C2E41"/>
    <w:rsid w:val="007C4427"/>
    <w:rsid w:val="007D2BBF"/>
    <w:rsid w:val="007F471F"/>
    <w:rsid w:val="007F5ECD"/>
    <w:rsid w:val="007F6334"/>
    <w:rsid w:val="0080151F"/>
    <w:rsid w:val="00805994"/>
    <w:rsid w:val="008151F4"/>
    <w:rsid w:val="00830613"/>
    <w:rsid w:val="0083335D"/>
    <w:rsid w:val="00837F55"/>
    <w:rsid w:val="0084146F"/>
    <w:rsid w:val="00850605"/>
    <w:rsid w:val="00855CC1"/>
    <w:rsid w:val="00857436"/>
    <w:rsid w:val="00881D1D"/>
    <w:rsid w:val="00890DBE"/>
    <w:rsid w:val="008918F3"/>
    <w:rsid w:val="00892AFA"/>
    <w:rsid w:val="008951C0"/>
    <w:rsid w:val="008A4F9E"/>
    <w:rsid w:val="008B06DB"/>
    <w:rsid w:val="008B667E"/>
    <w:rsid w:val="008B6E89"/>
    <w:rsid w:val="008C1C14"/>
    <w:rsid w:val="008D60B6"/>
    <w:rsid w:val="008F13BD"/>
    <w:rsid w:val="008F1D3B"/>
    <w:rsid w:val="008F20CD"/>
    <w:rsid w:val="008F5553"/>
    <w:rsid w:val="008F7A82"/>
    <w:rsid w:val="00902546"/>
    <w:rsid w:val="009027B8"/>
    <w:rsid w:val="0090446A"/>
    <w:rsid w:val="00906834"/>
    <w:rsid w:val="009114CB"/>
    <w:rsid w:val="00914192"/>
    <w:rsid w:val="009200EA"/>
    <w:rsid w:val="00920CF4"/>
    <w:rsid w:val="00921DC3"/>
    <w:rsid w:val="00930735"/>
    <w:rsid w:val="009313AC"/>
    <w:rsid w:val="00933CF0"/>
    <w:rsid w:val="009359B4"/>
    <w:rsid w:val="009374C7"/>
    <w:rsid w:val="00945473"/>
    <w:rsid w:val="00957F33"/>
    <w:rsid w:val="009649D5"/>
    <w:rsid w:val="00966A4D"/>
    <w:rsid w:val="00970834"/>
    <w:rsid w:val="00973ADE"/>
    <w:rsid w:val="00977420"/>
    <w:rsid w:val="00990B50"/>
    <w:rsid w:val="00991BD8"/>
    <w:rsid w:val="009B33BC"/>
    <w:rsid w:val="009C216C"/>
    <w:rsid w:val="009D06FE"/>
    <w:rsid w:val="009D1570"/>
    <w:rsid w:val="009F377E"/>
    <w:rsid w:val="00A0563D"/>
    <w:rsid w:val="00A0750E"/>
    <w:rsid w:val="00A173B1"/>
    <w:rsid w:val="00A17E6C"/>
    <w:rsid w:val="00A2377F"/>
    <w:rsid w:val="00A3472B"/>
    <w:rsid w:val="00A37368"/>
    <w:rsid w:val="00A413AA"/>
    <w:rsid w:val="00A50E35"/>
    <w:rsid w:val="00A51F7D"/>
    <w:rsid w:val="00A556F2"/>
    <w:rsid w:val="00A567AE"/>
    <w:rsid w:val="00A5699C"/>
    <w:rsid w:val="00A66ED6"/>
    <w:rsid w:val="00A67C6E"/>
    <w:rsid w:val="00A70274"/>
    <w:rsid w:val="00A711B9"/>
    <w:rsid w:val="00A73CF0"/>
    <w:rsid w:val="00A81578"/>
    <w:rsid w:val="00A86BF9"/>
    <w:rsid w:val="00A86FC8"/>
    <w:rsid w:val="00A93536"/>
    <w:rsid w:val="00A976B3"/>
    <w:rsid w:val="00AB1E51"/>
    <w:rsid w:val="00AB2ED7"/>
    <w:rsid w:val="00AD2481"/>
    <w:rsid w:val="00AD2DA5"/>
    <w:rsid w:val="00AD4E76"/>
    <w:rsid w:val="00AF3D6D"/>
    <w:rsid w:val="00B0230B"/>
    <w:rsid w:val="00B0473D"/>
    <w:rsid w:val="00B1312B"/>
    <w:rsid w:val="00B174D2"/>
    <w:rsid w:val="00B2257D"/>
    <w:rsid w:val="00B26A8B"/>
    <w:rsid w:val="00B3017A"/>
    <w:rsid w:val="00B316F6"/>
    <w:rsid w:val="00B32BAE"/>
    <w:rsid w:val="00B32DB4"/>
    <w:rsid w:val="00B43C3A"/>
    <w:rsid w:val="00B44220"/>
    <w:rsid w:val="00B44C1D"/>
    <w:rsid w:val="00B523FF"/>
    <w:rsid w:val="00B80A03"/>
    <w:rsid w:val="00B82878"/>
    <w:rsid w:val="00B82B86"/>
    <w:rsid w:val="00B86039"/>
    <w:rsid w:val="00B935F5"/>
    <w:rsid w:val="00BA67A0"/>
    <w:rsid w:val="00BA7E83"/>
    <w:rsid w:val="00BB47BB"/>
    <w:rsid w:val="00BB5148"/>
    <w:rsid w:val="00BB6A9A"/>
    <w:rsid w:val="00BC09A6"/>
    <w:rsid w:val="00BC13E7"/>
    <w:rsid w:val="00BC2C65"/>
    <w:rsid w:val="00BD7A8E"/>
    <w:rsid w:val="00BE1DBF"/>
    <w:rsid w:val="00BE46CC"/>
    <w:rsid w:val="00C10EC8"/>
    <w:rsid w:val="00C17F33"/>
    <w:rsid w:val="00C260D8"/>
    <w:rsid w:val="00C3053D"/>
    <w:rsid w:val="00C32F49"/>
    <w:rsid w:val="00C33A9C"/>
    <w:rsid w:val="00C43498"/>
    <w:rsid w:val="00C44774"/>
    <w:rsid w:val="00C6358C"/>
    <w:rsid w:val="00C67906"/>
    <w:rsid w:val="00C7692E"/>
    <w:rsid w:val="00C809DC"/>
    <w:rsid w:val="00C92200"/>
    <w:rsid w:val="00C93CEB"/>
    <w:rsid w:val="00CB147E"/>
    <w:rsid w:val="00CB308F"/>
    <w:rsid w:val="00CC0532"/>
    <w:rsid w:val="00CC3F48"/>
    <w:rsid w:val="00CD6C6E"/>
    <w:rsid w:val="00CE58BB"/>
    <w:rsid w:val="00CF18EA"/>
    <w:rsid w:val="00CF1BDE"/>
    <w:rsid w:val="00CF2738"/>
    <w:rsid w:val="00D0572F"/>
    <w:rsid w:val="00D05DEE"/>
    <w:rsid w:val="00D06403"/>
    <w:rsid w:val="00D154CF"/>
    <w:rsid w:val="00D15FAB"/>
    <w:rsid w:val="00D160C7"/>
    <w:rsid w:val="00D168B2"/>
    <w:rsid w:val="00D30902"/>
    <w:rsid w:val="00D36EEB"/>
    <w:rsid w:val="00D4156C"/>
    <w:rsid w:val="00D41978"/>
    <w:rsid w:val="00D47C1C"/>
    <w:rsid w:val="00D549DF"/>
    <w:rsid w:val="00D60E61"/>
    <w:rsid w:val="00D723BF"/>
    <w:rsid w:val="00D81E6A"/>
    <w:rsid w:val="00D86314"/>
    <w:rsid w:val="00D876A1"/>
    <w:rsid w:val="00D926BE"/>
    <w:rsid w:val="00DA06BA"/>
    <w:rsid w:val="00DA1BE5"/>
    <w:rsid w:val="00DB0A43"/>
    <w:rsid w:val="00DF1291"/>
    <w:rsid w:val="00DF2798"/>
    <w:rsid w:val="00DF4FD8"/>
    <w:rsid w:val="00E074A0"/>
    <w:rsid w:val="00E166B2"/>
    <w:rsid w:val="00E20D21"/>
    <w:rsid w:val="00E21D18"/>
    <w:rsid w:val="00E3185E"/>
    <w:rsid w:val="00E32202"/>
    <w:rsid w:val="00E348C3"/>
    <w:rsid w:val="00E36F4E"/>
    <w:rsid w:val="00E42FF7"/>
    <w:rsid w:val="00E60099"/>
    <w:rsid w:val="00E63A74"/>
    <w:rsid w:val="00E7434C"/>
    <w:rsid w:val="00E82A6C"/>
    <w:rsid w:val="00E8679A"/>
    <w:rsid w:val="00E93057"/>
    <w:rsid w:val="00E94CBD"/>
    <w:rsid w:val="00E96212"/>
    <w:rsid w:val="00E97DE0"/>
    <w:rsid w:val="00EA52AA"/>
    <w:rsid w:val="00EC04AE"/>
    <w:rsid w:val="00EC2266"/>
    <w:rsid w:val="00EC66F6"/>
    <w:rsid w:val="00ED6A65"/>
    <w:rsid w:val="00EF4C4A"/>
    <w:rsid w:val="00EF68A0"/>
    <w:rsid w:val="00F014FB"/>
    <w:rsid w:val="00F026F5"/>
    <w:rsid w:val="00F10F48"/>
    <w:rsid w:val="00F21715"/>
    <w:rsid w:val="00F224EF"/>
    <w:rsid w:val="00F235F0"/>
    <w:rsid w:val="00F24190"/>
    <w:rsid w:val="00F27317"/>
    <w:rsid w:val="00F60409"/>
    <w:rsid w:val="00F75010"/>
    <w:rsid w:val="00F76FE0"/>
    <w:rsid w:val="00F86427"/>
    <w:rsid w:val="00F910D6"/>
    <w:rsid w:val="00F968F5"/>
    <w:rsid w:val="00F97BF0"/>
    <w:rsid w:val="00FA7B77"/>
    <w:rsid w:val="00FB23EB"/>
    <w:rsid w:val="00FC05CE"/>
    <w:rsid w:val="00FD6C99"/>
    <w:rsid w:val="00FE0BD7"/>
    <w:rsid w:val="00FF2C07"/>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23"/>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0F23"/>
    <w:pPr>
      <w:keepNext/>
      <w:keepLines/>
      <w:spacing w:before="240" w:after="0"/>
      <w:outlineLvl w:val="0"/>
    </w:pPr>
    <w:rPr>
      <w:rFonts w:eastAsiaTheme="majorEastAsia" w:cstheme="majorBidi"/>
      <w:b/>
      <w:bCs/>
      <w:color w:val="1F4E79" w:themeColor="accent1" w:themeShade="80"/>
      <w:szCs w:val="28"/>
    </w:rPr>
  </w:style>
  <w:style w:type="paragraph" w:styleId="Heading2">
    <w:name w:val="heading 2"/>
    <w:basedOn w:val="Normal"/>
    <w:next w:val="Normal"/>
    <w:link w:val="Heading2Char"/>
    <w:uiPriority w:val="9"/>
    <w:unhideWhenUsed/>
    <w:qFormat/>
    <w:rsid w:val="009D1570"/>
    <w:pPr>
      <w:keepNext/>
      <w:keepLines/>
      <w:spacing w:before="200" w:after="0"/>
      <w:outlineLvl w:val="1"/>
    </w:pPr>
    <w:rPr>
      <w:rFonts w:eastAsiaTheme="majorEastAsia" w:cstheme="majorBidi"/>
      <w:b/>
      <w:bCs/>
      <w:i/>
      <w:color w:val="000000" w:themeColor="text1"/>
      <w:szCs w:val="26"/>
    </w:rPr>
  </w:style>
  <w:style w:type="paragraph" w:styleId="Heading7">
    <w:name w:val="heading 7"/>
    <w:basedOn w:val="Normal"/>
    <w:next w:val="Normal"/>
    <w:link w:val="Heading7Char"/>
    <w:qFormat/>
    <w:rsid w:val="00233877"/>
    <w:pPr>
      <w:keepNext/>
      <w:widowControl/>
      <w:autoSpaceDE/>
      <w:autoSpaceDN/>
      <w:adjustRightInd/>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AC"/>
    <w:pPr>
      <w:ind w:left="720"/>
      <w:contextualSpacing/>
    </w:pPr>
  </w:style>
  <w:style w:type="paragraph" w:styleId="FootnoteText">
    <w:name w:val="footnote text"/>
    <w:basedOn w:val="Normal"/>
    <w:link w:val="FootnoteTextChar"/>
    <w:uiPriority w:val="99"/>
    <w:semiHidden/>
    <w:unhideWhenUsed/>
    <w:rsid w:val="00196945"/>
    <w:rPr>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945"/>
    <w:rPr>
      <w:vertAlign w:val="superscript"/>
    </w:rPr>
  </w:style>
  <w:style w:type="paragraph" w:styleId="EndnoteText">
    <w:name w:val="endnote text"/>
    <w:basedOn w:val="Normal"/>
    <w:link w:val="EndnoteTextChar"/>
    <w:uiPriority w:val="99"/>
    <w:semiHidden/>
    <w:unhideWhenUsed/>
    <w:rsid w:val="0054533E"/>
    <w:rPr>
      <w:sz w:val="20"/>
      <w:szCs w:val="20"/>
    </w:rPr>
  </w:style>
  <w:style w:type="character" w:customStyle="1" w:styleId="EndnoteTextChar">
    <w:name w:val="Endnote Text Char"/>
    <w:basedOn w:val="DefaultParagraphFont"/>
    <w:link w:val="EndnoteText"/>
    <w:uiPriority w:val="99"/>
    <w:semiHidden/>
    <w:rsid w:val="0054533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4533E"/>
    <w:rPr>
      <w:vertAlign w:val="superscript"/>
    </w:rPr>
  </w:style>
  <w:style w:type="character" w:styleId="CommentReference">
    <w:name w:val="annotation reference"/>
    <w:basedOn w:val="DefaultParagraphFont"/>
    <w:uiPriority w:val="99"/>
    <w:semiHidden/>
    <w:unhideWhenUsed/>
    <w:rsid w:val="00E36F4E"/>
    <w:rPr>
      <w:sz w:val="16"/>
      <w:szCs w:val="16"/>
    </w:rPr>
  </w:style>
  <w:style w:type="paragraph" w:styleId="CommentText">
    <w:name w:val="annotation text"/>
    <w:basedOn w:val="Normal"/>
    <w:link w:val="CommentTextChar"/>
    <w:uiPriority w:val="99"/>
    <w:semiHidden/>
    <w:unhideWhenUsed/>
    <w:rsid w:val="00E36F4E"/>
    <w:rPr>
      <w:sz w:val="20"/>
      <w:szCs w:val="20"/>
    </w:rPr>
  </w:style>
  <w:style w:type="character" w:customStyle="1" w:styleId="CommentTextChar">
    <w:name w:val="Comment Text Char"/>
    <w:basedOn w:val="DefaultParagraphFont"/>
    <w:link w:val="CommentText"/>
    <w:uiPriority w:val="99"/>
    <w:semiHidden/>
    <w:rsid w:val="00E36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F4E"/>
    <w:rPr>
      <w:b/>
      <w:bCs/>
    </w:rPr>
  </w:style>
  <w:style w:type="character" w:customStyle="1" w:styleId="CommentSubjectChar">
    <w:name w:val="Comment Subject Char"/>
    <w:basedOn w:val="CommentTextChar"/>
    <w:link w:val="CommentSubject"/>
    <w:uiPriority w:val="99"/>
    <w:semiHidden/>
    <w:rsid w:val="00E36F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F4E"/>
    <w:rPr>
      <w:rFonts w:ascii="Segoe UI" w:eastAsia="Times New Roman" w:hAnsi="Segoe UI" w:cs="Segoe UI"/>
      <w:sz w:val="18"/>
      <w:szCs w:val="18"/>
    </w:rPr>
  </w:style>
  <w:style w:type="character" w:customStyle="1" w:styleId="Heading7Char">
    <w:name w:val="Heading 7 Char"/>
    <w:basedOn w:val="DefaultParagraphFont"/>
    <w:link w:val="Heading7"/>
    <w:rsid w:val="00233877"/>
    <w:rPr>
      <w:rFonts w:ascii="Times New Roman" w:eastAsia="Times New Roman" w:hAnsi="Times New Roman" w:cs="Times New Roman"/>
      <w:b/>
      <w:sz w:val="24"/>
      <w:szCs w:val="24"/>
    </w:rPr>
  </w:style>
  <w:style w:type="character" w:styleId="Hyperlink">
    <w:name w:val="Hyperlink"/>
    <w:uiPriority w:val="99"/>
    <w:rsid w:val="00233877"/>
    <w:rPr>
      <w:color w:val="0000FF"/>
      <w:u w:val="single"/>
    </w:rPr>
  </w:style>
  <w:style w:type="character" w:customStyle="1" w:styleId="Heading11">
    <w:name w:val="Heading 11"/>
    <w:rsid w:val="00233877"/>
    <w:rPr>
      <w:b/>
    </w:rPr>
  </w:style>
  <w:style w:type="table" w:styleId="TableGrid">
    <w:name w:val="Table Grid"/>
    <w:basedOn w:val="TableNormal"/>
    <w:uiPriority w:val="59"/>
    <w:rsid w:val="002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F23"/>
    <w:rPr>
      <w:rFonts w:ascii="Times New Roman" w:eastAsiaTheme="majorEastAsia" w:hAnsi="Times New Roman" w:cstheme="majorBidi"/>
      <w:b/>
      <w:bCs/>
      <w:color w:val="1F4E79" w:themeColor="accent1" w:themeShade="80"/>
      <w:sz w:val="24"/>
      <w:szCs w:val="28"/>
    </w:rPr>
  </w:style>
  <w:style w:type="paragraph" w:styleId="TOCHeading">
    <w:name w:val="TOC Heading"/>
    <w:basedOn w:val="Heading1"/>
    <w:next w:val="Normal"/>
    <w:uiPriority w:val="39"/>
    <w:unhideWhenUsed/>
    <w:qFormat/>
    <w:rsid w:val="00A17E6C"/>
    <w:pPr>
      <w:widowControl/>
      <w:autoSpaceDE/>
      <w:autoSpaceDN/>
      <w:adjustRightInd/>
      <w:spacing w:line="276" w:lineRule="auto"/>
      <w:outlineLvl w:val="9"/>
    </w:pPr>
    <w:rPr>
      <w:lang w:eastAsia="ja-JP"/>
    </w:rPr>
  </w:style>
  <w:style w:type="paragraph" w:styleId="Caption">
    <w:name w:val="caption"/>
    <w:basedOn w:val="Normal"/>
    <w:next w:val="Normal"/>
    <w:uiPriority w:val="35"/>
    <w:unhideWhenUsed/>
    <w:qFormat/>
    <w:rsid w:val="001B0F23"/>
    <w:pPr>
      <w:spacing w:after="40"/>
    </w:pPr>
    <w:rPr>
      <w:b/>
      <w:bCs/>
      <w:color w:val="000000" w:themeColor="text1"/>
      <w:szCs w:val="18"/>
    </w:rPr>
  </w:style>
  <w:style w:type="paragraph" w:styleId="NoSpacing">
    <w:name w:val="No Spacing"/>
    <w:uiPriority w:val="1"/>
    <w:qFormat/>
    <w:rsid w:val="001B0F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3427D6"/>
    <w:pPr>
      <w:tabs>
        <w:tab w:val="left" w:pos="810"/>
        <w:tab w:val="right" w:leader="dot" w:pos="10070"/>
      </w:tabs>
      <w:spacing w:after="100"/>
    </w:pPr>
  </w:style>
  <w:style w:type="paragraph" w:styleId="TOC2">
    <w:name w:val="toc 2"/>
    <w:basedOn w:val="Normal"/>
    <w:next w:val="Normal"/>
    <w:autoRedefine/>
    <w:uiPriority w:val="39"/>
    <w:unhideWhenUsed/>
    <w:qFormat/>
    <w:rsid w:val="001B0F23"/>
    <w:pPr>
      <w:widowControl/>
      <w:autoSpaceDE/>
      <w:autoSpaceDN/>
      <w:adjustRightInd/>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1B0F23"/>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D1570"/>
    <w:rPr>
      <w:rFonts w:ascii="Times New Roman" w:eastAsiaTheme="majorEastAsia" w:hAnsi="Times New Roman" w:cstheme="majorBidi"/>
      <w:b/>
      <w:bCs/>
      <w:i/>
      <w:color w:val="000000" w:themeColor="text1"/>
      <w:sz w:val="24"/>
      <w:szCs w:val="26"/>
    </w:rPr>
  </w:style>
  <w:style w:type="character" w:customStyle="1" w:styleId="Footer1">
    <w:name w:val="Footer1"/>
    <w:basedOn w:val="DefaultParagraphFont"/>
    <w:rsid w:val="009D1570"/>
  </w:style>
  <w:style w:type="paragraph" w:customStyle="1" w:styleId="Bulleted">
    <w:name w:val="Bulleted"/>
    <w:basedOn w:val="Normal"/>
    <w:autoRedefine/>
    <w:rsid w:val="009D1570"/>
    <w:pPr>
      <w:widowControl/>
      <w:numPr>
        <w:numId w:val="8"/>
      </w:numPr>
      <w:tabs>
        <w:tab w:val="clear" w:pos="504"/>
        <w:tab w:val="num" w:pos="600"/>
      </w:tabs>
      <w:autoSpaceDE/>
      <w:autoSpaceDN/>
      <w:adjustRightInd/>
      <w:spacing w:after="0"/>
      <w:ind w:left="600" w:hanging="360"/>
    </w:pPr>
  </w:style>
  <w:style w:type="character" w:styleId="FollowedHyperlink">
    <w:name w:val="FollowedHyperlink"/>
    <w:basedOn w:val="DefaultParagraphFont"/>
    <w:uiPriority w:val="99"/>
    <w:semiHidden/>
    <w:unhideWhenUsed/>
    <w:rsid w:val="001C2288"/>
    <w:rPr>
      <w:color w:val="954F72" w:themeColor="followedHyperlink"/>
      <w:u w:val="single"/>
    </w:rPr>
  </w:style>
  <w:style w:type="paragraph" w:styleId="BodyText">
    <w:name w:val="Body Text"/>
    <w:basedOn w:val="Normal"/>
    <w:link w:val="BodyTextChar"/>
    <w:rsid w:val="00FE0BD7"/>
    <w:pPr>
      <w:widowControl/>
      <w:autoSpaceDE/>
      <w:autoSpaceDN/>
      <w:adjustRightInd/>
      <w:ind w:firstLine="720"/>
    </w:pPr>
  </w:style>
  <w:style w:type="character" w:customStyle="1" w:styleId="BodyTextChar">
    <w:name w:val="Body Text Char"/>
    <w:basedOn w:val="DefaultParagraphFont"/>
    <w:link w:val="BodyText"/>
    <w:rsid w:val="00FE0BD7"/>
    <w:rPr>
      <w:rFonts w:ascii="Times New Roman" w:eastAsia="Times New Roman" w:hAnsi="Times New Roman" w:cs="Times New Roman"/>
      <w:sz w:val="24"/>
      <w:szCs w:val="24"/>
    </w:rPr>
  </w:style>
  <w:style w:type="paragraph" w:customStyle="1" w:styleId="OMBText">
    <w:name w:val="OMB Text"/>
    <w:basedOn w:val="Normal"/>
    <w:qFormat/>
    <w:rsid w:val="00610781"/>
    <w:pPr>
      <w:widowControl/>
    </w:pPr>
    <w:rPr>
      <w:rFonts w:eastAsiaTheme="minorHAnsi" w:cstheme="minorBidi"/>
      <w:szCs w:val="22"/>
    </w:rPr>
  </w:style>
  <w:style w:type="paragraph" w:customStyle="1" w:styleId="OMBBullet">
    <w:name w:val="OMB Bullet"/>
    <w:basedOn w:val="OMBText"/>
    <w:qFormat/>
    <w:rsid w:val="00A413AA"/>
    <w:pPr>
      <w:spacing w:after="0"/>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23"/>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0F23"/>
    <w:pPr>
      <w:keepNext/>
      <w:keepLines/>
      <w:spacing w:before="240" w:after="0"/>
      <w:outlineLvl w:val="0"/>
    </w:pPr>
    <w:rPr>
      <w:rFonts w:eastAsiaTheme="majorEastAsia" w:cstheme="majorBidi"/>
      <w:b/>
      <w:bCs/>
      <w:color w:val="1F4E79" w:themeColor="accent1" w:themeShade="80"/>
      <w:szCs w:val="28"/>
    </w:rPr>
  </w:style>
  <w:style w:type="paragraph" w:styleId="Heading2">
    <w:name w:val="heading 2"/>
    <w:basedOn w:val="Normal"/>
    <w:next w:val="Normal"/>
    <w:link w:val="Heading2Char"/>
    <w:uiPriority w:val="9"/>
    <w:unhideWhenUsed/>
    <w:qFormat/>
    <w:rsid w:val="009D1570"/>
    <w:pPr>
      <w:keepNext/>
      <w:keepLines/>
      <w:spacing w:before="200" w:after="0"/>
      <w:outlineLvl w:val="1"/>
    </w:pPr>
    <w:rPr>
      <w:rFonts w:eastAsiaTheme="majorEastAsia" w:cstheme="majorBidi"/>
      <w:b/>
      <w:bCs/>
      <w:i/>
      <w:color w:val="000000" w:themeColor="text1"/>
      <w:szCs w:val="26"/>
    </w:rPr>
  </w:style>
  <w:style w:type="paragraph" w:styleId="Heading7">
    <w:name w:val="heading 7"/>
    <w:basedOn w:val="Normal"/>
    <w:next w:val="Normal"/>
    <w:link w:val="Heading7Char"/>
    <w:qFormat/>
    <w:rsid w:val="00233877"/>
    <w:pPr>
      <w:keepNext/>
      <w:widowControl/>
      <w:autoSpaceDE/>
      <w:autoSpaceDN/>
      <w:adjustRightInd/>
      <w:spacing w:line="232" w:lineRule="auto"/>
      <w:ind w:left="1080" w:hanging="108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AC"/>
    <w:pPr>
      <w:ind w:left="720"/>
      <w:contextualSpacing/>
    </w:pPr>
  </w:style>
  <w:style w:type="paragraph" w:styleId="FootnoteText">
    <w:name w:val="footnote text"/>
    <w:basedOn w:val="Normal"/>
    <w:link w:val="FootnoteTextChar"/>
    <w:uiPriority w:val="99"/>
    <w:semiHidden/>
    <w:unhideWhenUsed/>
    <w:rsid w:val="00196945"/>
    <w:rPr>
      <w:sz w:val="20"/>
      <w:szCs w:val="20"/>
    </w:rPr>
  </w:style>
  <w:style w:type="character" w:customStyle="1" w:styleId="FootnoteTextChar">
    <w:name w:val="Footnote Text Char"/>
    <w:basedOn w:val="DefaultParagraphFont"/>
    <w:link w:val="FootnoteText"/>
    <w:uiPriority w:val="99"/>
    <w:semiHidden/>
    <w:rsid w:val="001969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96945"/>
    <w:rPr>
      <w:vertAlign w:val="superscript"/>
    </w:rPr>
  </w:style>
  <w:style w:type="paragraph" w:styleId="EndnoteText">
    <w:name w:val="endnote text"/>
    <w:basedOn w:val="Normal"/>
    <w:link w:val="EndnoteTextChar"/>
    <w:uiPriority w:val="99"/>
    <w:semiHidden/>
    <w:unhideWhenUsed/>
    <w:rsid w:val="0054533E"/>
    <w:rPr>
      <w:sz w:val="20"/>
      <w:szCs w:val="20"/>
    </w:rPr>
  </w:style>
  <w:style w:type="character" w:customStyle="1" w:styleId="EndnoteTextChar">
    <w:name w:val="Endnote Text Char"/>
    <w:basedOn w:val="DefaultParagraphFont"/>
    <w:link w:val="EndnoteText"/>
    <w:uiPriority w:val="99"/>
    <w:semiHidden/>
    <w:rsid w:val="0054533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4533E"/>
    <w:rPr>
      <w:vertAlign w:val="superscript"/>
    </w:rPr>
  </w:style>
  <w:style w:type="character" w:styleId="CommentReference">
    <w:name w:val="annotation reference"/>
    <w:basedOn w:val="DefaultParagraphFont"/>
    <w:uiPriority w:val="99"/>
    <w:semiHidden/>
    <w:unhideWhenUsed/>
    <w:rsid w:val="00E36F4E"/>
    <w:rPr>
      <w:sz w:val="16"/>
      <w:szCs w:val="16"/>
    </w:rPr>
  </w:style>
  <w:style w:type="paragraph" w:styleId="CommentText">
    <w:name w:val="annotation text"/>
    <w:basedOn w:val="Normal"/>
    <w:link w:val="CommentTextChar"/>
    <w:uiPriority w:val="99"/>
    <w:semiHidden/>
    <w:unhideWhenUsed/>
    <w:rsid w:val="00E36F4E"/>
    <w:rPr>
      <w:sz w:val="20"/>
      <w:szCs w:val="20"/>
    </w:rPr>
  </w:style>
  <w:style w:type="character" w:customStyle="1" w:styleId="CommentTextChar">
    <w:name w:val="Comment Text Char"/>
    <w:basedOn w:val="DefaultParagraphFont"/>
    <w:link w:val="CommentText"/>
    <w:uiPriority w:val="99"/>
    <w:semiHidden/>
    <w:rsid w:val="00E36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6F4E"/>
    <w:rPr>
      <w:b/>
      <w:bCs/>
    </w:rPr>
  </w:style>
  <w:style w:type="character" w:customStyle="1" w:styleId="CommentSubjectChar">
    <w:name w:val="Comment Subject Char"/>
    <w:basedOn w:val="CommentTextChar"/>
    <w:link w:val="CommentSubject"/>
    <w:uiPriority w:val="99"/>
    <w:semiHidden/>
    <w:rsid w:val="00E36F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F4E"/>
    <w:rPr>
      <w:rFonts w:ascii="Segoe UI" w:eastAsia="Times New Roman" w:hAnsi="Segoe UI" w:cs="Segoe UI"/>
      <w:sz w:val="18"/>
      <w:szCs w:val="18"/>
    </w:rPr>
  </w:style>
  <w:style w:type="character" w:customStyle="1" w:styleId="Heading7Char">
    <w:name w:val="Heading 7 Char"/>
    <w:basedOn w:val="DefaultParagraphFont"/>
    <w:link w:val="Heading7"/>
    <w:rsid w:val="00233877"/>
    <w:rPr>
      <w:rFonts w:ascii="Times New Roman" w:eastAsia="Times New Roman" w:hAnsi="Times New Roman" w:cs="Times New Roman"/>
      <w:b/>
      <w:sz w:val="24"/>
      <w:szCs w:val="24"/>
    </w:rPr>
  </w:style>
  <w:style w:type="character" w:styleId="Hyperlink">
    <w:name w:val="Hyperlink"/>
    <w:uiPriority w:val="99"/>
    <w:rsid w:val="00233877"/>
    <w:rPr>
      <w:color w:val="0000FF"/>
      <w:u w:val="single"/>
    </w:rPr>
  </w:style>
  <w:style w:type="character" w:customStyle="1" w:styleId="Heading11">
    <w:name w:val="Heading 11"/>
    <w:rsid w:val="00233877"/>
    <w:rPr>
      <w:b/>
    </w:rPr>
  </w:style>
  <w:style w:type="table" w:styleId="TableGrid">
    <w:name w:val="Table Grid"/>
    <w:basedOn w:val="TableNormal"/>
    <w:uiPriority w:val="59"/>
    <w:rsid w:val="00233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0F23"/>
    <w:rPr>
      <w:rFonts w:ascii="Times New Roman" w:eastAsiaTheme="majorEastAsia" w:hAnsi="Times New Roman" w:cstheme="majorBidi"/>
      <w:b/>
      <w:bCs/>
      <w:color w:val="1F4E79" w:themeColor="accent1" w:themeShade="80"/>
      <w:sz w:val="24"/>
      <w:szCs w:val="28"/>
    </w:rPr>
  </w:style>
  <w:style w:type="paragraph" w:styleId="TOCHeading">
    <w:name w:val="TOC Heading"/>
    <w:basedOn w:val="Heading1"/>
    <w:next w:val="Normal"/>
    <w:uiPriority w:val="39"/>
    <w:unhideWhenUsed/>
    <w:qFormat/>
    <w:rsid w:val="00A17E6C"/>
    <w:pPr>
      <w:widowControl/>
      <w:autoSpaceDE/>
      <w:autoSpaceDN/>
      <w:adjustRightInd/>
      <w:spacing w:line="276" w:lineRule="auto"/>
      <w:outlineLvl w:val="9"/>
    </w:pPr>
    <w:rPr>
      <w:lang w:eastAsia="ja-JP"/>
    </w:rPr>
  </w:style>
  <w:style w:type="paragraph" w:styleId="Caption">
    <w:name w:val="caption"/>
    <w:basedOn w:val="Normal"/>
    <w:next w:val="Normal"/>
    <w:uiPriority w:val="35"/>
    <w:unhideWhenUsed/>
    <w:qFormat/>
    <w:rsid w:val="001B0F23"/>
    <w:pPr>
      <w:spacing w:after="40"/>
    </w:pPr>
    <w:rPr>
      <w:b/>
      <w:bCs/>
      <w:color w:val="000000" w:themeColor="text1"/>
      <w:szCs w:val="18"/>
    </w:rPr>
  </w:style>
  <w:style w:type="paragraph" w:styleId="NoSpacing">
    <w:name w:val="No Spacing"/>
    <w:uiPriority w:val="1"/>
    <w:qFormat/>
    <w:rsid w:val="001B0F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3427D6"/>
    <w:pPr>
      <w:tabs>
        <w:tab w:val="left" w:pos="810"/>
        <w:tab w:val="right" w:leader="dot" w:pos="10070"/>
      </w:tabs>
      <w:spacing w:after="100"/>
    </w:pPr>
  </w:style>
  <w:style w:type="paragraph" w:styleId="TOC2">
    <w:name w:val="toc 2"/>
    <w:basedOn w:val="Normal"/>
    <w:next w:val="Normal"/>
    <w:autoRedefine/>
    <w:uiPriority w:val="39"/>
    <w:unhideWhenUsed/>
    <w:qFormat/>
    <w:rsid w:val="001B0F23"/>
    <w:pPr>
      <w:widowControl/>
      <w:autoSpaceDE/>
      <w:autoSpaceDN/>
      <w:adjustRightInd/>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1B0F23"/>
    <w:pPr>
      <w:widowControl/>
      <w:autoSpaceDE/>
      <w:autoSpaceDN/>
      <w:adjustRightInd/>
      <w:spacing w:after="100" w:line="276" w:lineRule="auto"/>
      <w:ind w:left="440"/>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9D1570"/>
    <w:rPr>
      <w:rFonts w:ascii="Times New Roman" w:eastAsiaTheme="majorEastAsia" w:hAnsi="Times New Roman" w:cstheme="majorBidi"/>
      <w:b/>
      <w:bCs/>
      <w:i/>
      <w:color w:val="000000" w:themeColor="text1"/>
      <w:sz w:val="24"/>
      <w:szCs w:val="26"/>
    </w:rPr>
  </w:style>
  <w:style w:type="character" w:customStyle="1" w:styleId="Footer1">
    <w:name w:val="Footer1"/>
    <w:basedOn w:val="DefaultParagraphFont"/>
    <w:rsid w:val="009D1570"/>
  </w:style>
  <w:style w:type="paragraph" w:customStyle="1" w:styleId="Bulleted">
    <w:name w:val="Bulleted"/>
    <w:basedOn w:val="Normal"/>
    <w:autoRedefine/>
    <w:rsid w:val="009D1570"/>
    <w:pPr>
      <w:widowControl/>
      <w:numPr>
        <w:numId w:val="8"/>
      </w:numPr>
      <w:tabs>
        <w:tab w:val="clear" w:pos="504"/>
        <w:tab w:val="num" w:pos="600"/>
      </w:tabs>
      <w:autoSpaceDE/>
      <w:autoSpaceDN/>
      <w:adjustRightInd/>
      <w:spacing w:after="0"/>
      <w:ind w:left="600" w:hanging="360"/>
    </w:pPr>
  </w:style>
  <w:style w:type="character" w:styleId="FollowedHyperlink">
    <w:name w:val="FollowedHyperlink"/>
    <w:basedOn w:val="DefaultParagraphFont"/>
    <w:uiPriority w:val="99"/>
    <w:semiHidden/>
    <w:unhideWhenUsed/>
    <w:rsid w:val="001C2288"/>
    <w:rPr>
      <w:color w:val="954F72" w:themeColor="followedHyperlink"/>
      <w:u w:val="single"/>
    </w:rPr>
  </w:style>
  <w:style w:type="paragraph" w:styleId="BodyText">
    <w:name w:val="Body Text"/>
    <w:basedOn w:val="Normal"/>
    <w:link w:val="BodyTextChar"/>
    <w:rsid w:val="00FE0BD7"/>
    <w:pPr>
      <w:widowControl/>
      <w:autoSpaceDE/>
      <w:autoSpaceDN/>
      <w:adjustRightInd/>
      <w:ind w:firstLine="720"/>
    </w:pPr>
  </w:style>
  <w:style w:type="character" w:customStyle="1" w:styleId="BodyTextChar">
    <w:name w:val="Body Text Char"/>
    <w:basedOn w:val="DefaultParagraphFont"/>
    <w:link w:val="BodyText"/>
    <w:rsid w:val="00FE0BD7"/>
    <w:rPr>
      <w:rFonts w:ascii="Times New Roman" w:eastAsia="Times New Roman" w:hAnsi="Times New Roman" w:cs="Times New Roman"/>
      <w:sz w:val="24"/>
      <w:szCs w:val="24"/>
    </w:rPr>
  </w:style>
  <w:style w:type="paragraph" w:customStyle="1" w:styleId="OMBText">
    <w:name w:val="OMB Text"/>
    <w:basedOn w:val="Normal"/>
    <w:qFormat/>
    <w:rsid w:val="00610781"/>
    <w:pPr>
      <w:widowControl/>
    </w:pPr>
    <w:rPr>
      <w:rFonts w:eastAsiaTheme="minorHAnsi" w:cstheme="minorBidi"/>
      <w:szCs w:val="22"/>
    </w:rPr>
  </w:style>
  <w:style w:type="paragraph" w:customStyle="1" w:styleId="OMBBullet">
    <w:name w:val="OMB Bullet"/>
    <w:basedOn w:val="OMBText"/>
    <w:qFormat/>
    <w:rsid w:val="00A413AA"/>
    <w:pPr>
      <w:spacing w:after="0"/>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09102">
      <w:bodyDiv w:val="1"/>
      <w:marLeft w:val="0"/>
      <w:marRight w:val="0"/>
      <w:marTop w:val="0"/>
      <w:marBottom w:val="0"/>
      <w:divBdr>
        <w:top w:val="none" w:sz="0" w:space="0" w:color="auto"/>
        <w:left w:val="none" w:sz="0" w:space="0" w:color="auto"/>
        <w:bottom w:val="none" w:sz="0" w:space="0" w:color="auto"/>
        <w:right w:val="none" w:sz="0" w:space="0" w:color="auto"/>
      </w:divBdr>
    </w:div>
    <w:div w:id="616569313">
      <w:bodyDiv w:val="1"/>
      <w:marLeft w:val="0"/>
      <w:marRight w:val="0"/>
      <w:marTop w:val="0"/>
      <w:marBottom w:val="0"/>
      <w:divBdr>
        <w:top w:val="none" w:sz="0" w:space="0" w:color="auto"/>
        <w:left w:val="none" w:sz="0" w:space="0" w:color="auto"/>
        <w:bottom w:val="none" w:sz="0" w:space="0" w:color="auto"/>
        <w:right w:val="none" w:sz="0" w:space="0" w:color="auto"/>
      </w:divBdr>
    </w:div>
    <w:div w:id="1296788848">
      <w:bodyDiv w:val="1"/>
      <w:marLeft w:val="0"/>
      <w:marRight w:val="0"/>
      <w:marTop w:val="0"/>
      <w:marBottom w:val="0"/>
      <w:divBdr>
        <w:top w:val="none" w:sz="0" w:space="0" w:color="auto"/>
        <w:left w:val="none" w:sz="0" w:space="0" w:color="auto"/>
        <w:bottom w:val="none" w:sz="0" w:space="0" w:color="auto"/>
        <w:right w:val="none" w:sz="0" w:space="0" w:color="auto"/>
      </w:divBdr>
    </w:div>
    <w:div w:id="1765030363">
      <w:bodyDiv w:val="1"/>
      <w:marLeft w:val="0"/>
      <w:marRight w:val="0"/>
      <w:marTop w:val="0"/>
      <w:marBottom w:val="0"/>
      <w:divBdr>
        <w:top w:val="none" w:sz="0" w:space="0" w:color="auto"/>
        <w:left w:val="none" w:sz="0" w:space="0" w:color="auto"/>
        <w:bottom w:val="none" w:sz="0" w:space="0" w:color="auto"/>
        <w:right w:val="none" w:sz="0" w:space="0" w:color="auto"/>
      </w:divBdr>
    </w:div>
    <w:div w:id="1907261310">
      <w:bodyDiv w:val="1"/>
      <w:marLeft w:val="0"/>
      <w:marRight w:val="0"/>
      <w:marTop w:val="0"/>
      <w:marBottom w:val="0"/>
      <w:divBdr>
        <w:top w:val="none" w:sz="0" w:space="0" w:color="auto"/>
        <w:left w:val="none" w:sz="0" w:space="0" w:color="auto"/>
        <w:bottom w:val="none" w:sz="0" w:space="0" w:color="auto"/>
        <w:right w:val="none" w:sz="0" w:space="0" w:color="auto"/>
      </w:divBdr>
    </w:div>
    <w:div w:id="1922061693">
      <w:bodyDiv w:val="1"/>
      <w:marLeft w:val="0"/>
      <w:marRight w:val="0"/>
      <w:marTop w:val="0"/>
      <w:marBottom w:val="0"/>
      <w:divBdr>
        <w:top w:val="none" w:sz="0" w:space="0" w:color="auto"/>
        <w:left w:val="none" w:sz="0" w:space="0" w:color="auto"/>
        <w:bottom w:val="none" w:sz="0" w:space="0" w:color="auto"/>
        <w:right w:val="none" w:sz="0" w:space="0" w:color="auto"/>
      </w:divBdr>
    </w:div>
    <w:div w:id="202600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qualtrics.com/security-stat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f0@cdc.gov" TargetMode="External"/><Relationship Id="rId5" Type="http://schemas.openxmlformats.org/officeDocument/2006/relationships/settings" Target="settings.xml"/><Relationship Id="rId15" Type="http://schemas.openxmlformats.org/officeDocument/2006/relationships/hyperlink" Target="http://www.cdc.gov/std/stats08/trends.htm" TargetMode="External"/><Relationship Id="rId10" Type="http://schemas.openxmlformats.org/officeDocument/2006/relationships/hyperlink" Target="mailto:tgift@cdc.gov" TargetMode="External"/><Relationship Id="rId4" Type="http://schemas.microsoft.com/office/2007/relationships/stylesWithEffects" Target="stylesWithEffects.xml"/><Relationship Id="rId9" Type="http://schemas.openxmlformats.org/officeDocument/2006/relationships/hyperlink" Target="mailto:jleichliter@cdc.gov" TargetMode="External"/><Relationship Id="rId14" Type="http://schemas.openxmlformats.org/officeDocument/2006/relationships/hyperlink" Target="http://www.cdc.gov/std/stats08/tren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A7A6-5B65-447A-9EF4-14BE35B9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3916</Words>
  <Characters>22327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Matthew</dc:creator>
  <cp:lastModifiedBy>SYSTEM</cp:lastModifiedBy>
  <cp:revision>2</cp:revision>
  <cp:lastPrinted>2016-07-28T11:01:00Z</cp:lastPrinted>
  <dcterms:created xsi:type="dcterms:W3CDTF">2017-08-14T13:20:00Z</dcterms:created>
  <dcterms:modified xsi:type="dcterms:W3CDTF">2017-08-14T13:20:00Z</dcterms:modified>
</cp:coreProperties>
</file>