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6DDB4" w14:textId="1B3CCC30" w:rsidR="00F645DB" w:rsidRPr="00684D17" w:rsidRDefault="00BA26BD" w:rsidP="00743ACE">
      <w:pPr>
        <w:jc w:val="center"/>
        <w:rPr>
          <w:rFonts w:asciiTheme="minorHAnsi" w:hAnsiTheme="minorHAnsi"/>
          <w:sz w:val="22"/>
          <w:szCs w:val="22"/>
        </w:rPr>
      </w:pPr>
      <w:r w:rsidRPr="00743ACE">
        <w:rPr>
          <w:rFonts w:asciiTheme="minorHAnsi" w:hAnsiTheme="minorHAnsi"/>
          <w:b/>
          <w:sz w:val="22"/>
          <w:szCs w:val="22"/>
        </w:rPr>
        <w:t>Definitions</w:t>
      </w:r>
      <w:r w:rsidR="00684D17">
        <w:rPr>
          <w:rFonts w:asciiTheme="minorHAnsi" w:hAnsiTheme="minorHAnsi"/>
          <w:b/>
          <w:sz w:val="22"/>
          <w:szCs w:val="22"/>
        </w:rPr>
        <w:t xml:space="preserve"> </w:t>
      </w:r>
      <w:r w:rsidR="00684D17" w:rsidRPr="00684D17">
        <w:rPr>
          <w:rFonts w:asciiTheme="minorHAnsi" w:hAnsiTheme="minorHAnsi"/>
          <w:sz w:val="22"/>
          <w:szCs w:val="22"/>
        </w:rPr>
        <w:t>(provided by hover box)</w:t>
      </w:r>
    </w:p>
    <w:p w14:paraId="0B142BF8" w14:textId="77777777" w:rsidR="00BA26BD" w:rsidRPr="00BA26BD" w:rsidRDefault="00BA26B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495"/>
        <w:gridCol w:w="6855"/>
      </w:tblGrid>
      <w:tr w:rsidR="00BA26BD" w:rsidRPr="00684D17" w14:paraId="00DAAB56" w14:textId="77777777" w:rsidTr="00A55648">
        <w:tc>
          <w:tcPr>
            <w:tcW w:w="2495" w:type="dxa"/>
          </w:tcPr>
          <w:p w14:paraId="1FE779F3" w14:textId="77777777" w:rsidR="00BA26BD" w:rsidRPr="00684D17" w:rsidRDefault="00BA26BD" w:rsidP="00743ACE">
            <w:pPr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>Term</w:t>
            </w:r>
          </w:p>
        </w:tc>
        <w:tc>
          <w:tcPr>
            <w:tcW w:w="6855" w:type="dxa"/>
          </w:tcPr>
          <w:p w14:paraId="0E3E233E" w14:textId="77777777" w:rsidR="00BA26BD" w:rsidRPr="00684D17" w:rsidRDefault="00BA26BD" w:rsidP="00743ACE">
            <w:pPr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>Definition</w:t>
            </w:r>
          </w:p>
        </w:tc>
      </w:tr>
      <w:tr w:rsidR="00111755" w:rsidRPr="00684D17" w14:paraId="3D6665E8" w14:textId="77777777" w:rsidTr="00A55648">
        <w:tc>
          <w:tcPr>
            <w:tcW w:w="2495" w:type="dxa"/>
          </w:tcPr>
          <w:p w14:paraId="5FEBC35A" w14:textId="77777777" w:rsidR="00111755" w:rsidRPr="00684D17" w:rsidRDefault="00111755" w:rsidP="00743ACE">
            <w:pPr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>Across the board</w:t>
            </w:r>
          </w:p>
        </w:tc>
        <w:tc>
          <w:tcPr>
            <w:tcW w:w="6855" w:type="dxa"/>
          </w:tcPr>
          <w:p w14:paraId="72B24DFA" w14:textId="2B01E782" w:rsidR="00111755" w:rsidRPr="00684D17" w:rsidRDefault="00402CB5" w:rsidP="00743ACE">
            <w:pPr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>P</w:t>
            </w:r>
            <w:r w:rsidR="00111755" w:rsidRPr="00684D17">
              <w:rPr>
                <w:rFonts w:asciiTheme="minorHAnsi" w:hAnsiTheme="minorHAnsi"/>
                <w:sz w:val="22"/>
                <w:szCs w:val="22"/>
              </w:rPr>
              <w:t>rocess in which changes in spendin</w:t>
            </w:r>
            <w:bookmarkStart w:id="0" w:name="_GoBack"/>
            <w:bookmarkEnd w:id="0"/>
            <w:r w:rsidR="00111755" w:rsidRPr="00684D17">
              <w:rPr>
                <w:rFonts w:asciiTheme="minorHAnsi" w:hAnsiTheme="minorHAnsi"/>
                <w:sz w:val="22"/>
                <w:szCs w:val="22"/>
              </w:rPr>
              <w:t>g or staffing are applied to all categories of an organization, usually in a manner proportional to each category’s share of staffing or budgeting before the change.  Example: A department has 2 branches, one with 30% of department staff and the other with 70%.  An across-the-board cut of 10 staff members would probably cut 3 staff members from the first branch and 7 from the second</w:t>
            </w:r>
            <w:r w:rsidR="00712F0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11755" w:rsidRPr="00684D17" w14:paraId="7065D057" w14:textId="77777777" w:rsidTr="00A55648">
        <w:tc>
          <w:tcPr>
            <w:tcW w:w="2495" w:type="dxa"/>
          </w:tcPr>
          <w:p w14:paraId="1C605950" w14:textId="77777777" w:rsidR="00111755" w:rsidRPr="00684D17" w:rsidRDefault="00111755" w:rsidP="00743ACE">
            <w:pPr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>Expedited partner therapy (EPT)</w:t>
            </w:r>
          </w:p>
        </w:tc>
        <w:tc>
          <w:tcPr>
            <w:tcW w:w="6855" w:type="dxa"/>
          </w:tcPr>
          <w:p w14:paraId="374F1859" w14:textId="050B4CA6" w:rsidR="00111755" w:rsidRPr="00684D17" w:rsidRDefault="00684D17" w:rsidP="00684D17">
            <w:pPr>
              <w:tabs>
                <w:tab w:val="left" w:pos="-18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684D17">
              <w:rPr>
                <w:rFonts w:asciiTheme="minorHAnsi" w:hAnsiTheme="minorHAnsi"/>
                <w:sz w:val="22"/>
                <w:szCs w:val="22"/>
              </w:rPr>
              <w:t>linical practice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84D17">
              <w:rPr>
                <w:rFonts w:asciiTheme="minorHAnsi" w:hAnsiTheme="minorHAnsi"/>
                <w:sz w:val="22"/>
                <w:szCs w:val="22"/>
              </w:rPr>
              <w:t>treating the sex partners of persons who receive chlamydia 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84D17">
              <w:rPr>
                <w:rFonts w:asciiTheme="minorHAnsi" w:hAnsiTheme="minorHAnsi"/>
                <w:sz w:val="22"/>
                <w:szCs w:val="22"/>
              </w:rPr>
              <w:t>gonorrhea diagnoses by providing medications or prescriptions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84D17">
              <w:rPr>
                <w:rFonts w:asciiTheme="minorHAnsi" w:hAnsiTheme="minorHAnsi"/>
                <w:sz w:val="22"/>
                <w:szCs w:val="22"/>
              </w:rPr>
              <w:t>to the patient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 The patient then provides therapies to the partner.  </w:t>
            </w:r>
          </w:p>
        </w:tc>
      </w:tr>
      <w:tr w:rsidR="00111755" w:rsidRPr="00684D17" w14:paraId="5E5809C3" w14:textId="77777777" w:rsidTr="00A55648">
        <w:tc>
          <w:tcPr>
            <w:tcW w:w="2495" w:type="dxa"/>
          </w:tcPr>
          <w:p w14:paraId="4D1AD94F" w14:textId="77777777" w:rsidR="00111755" w:rsidRPr="00684D17" w:rsidRDefault="00111755" w:rsidP="00743ACE">
            <w:pPr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>Field-delivered treatment</w:t>
            </w:r>
          </w:p>
        </w:tc>
        <w:tc>
          <w:tcPr>
            <w:tcW w:w="6855" w:type="dxa"/>
          </w:tcPr>
          <w:p w14:paraId="1A0F7714" w14:textId="031B2EB0" w:rsidR="00111755" w:rsidRPr="00684D17" w:rsidRDefault="00F77207" w:rsidP="00743ACE">
            <w:pPr>
              <w:tabs>
                <w:tab w:val="left" w:pos="-18"/>
              </w:tabs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>H</w:t>
            </w:r>
            <w:r w:rsidR="00111755" w:rsidRPr="00684D17">
              <w:rPr>
                <w:rFonts w:asciiTheme="minorHAnsi" w:hAnsiTheme="minorHAnsi"/>
                <w:sz w:val="22"/>
                <w:szCs w:val="22"/>
              </w:rPr>
              <w:t>ealth department staff providing treatment directly to partners in a non-clinical setting without examination by a clinician</w:t>
            </w:r>
            <w:r w:rsidR="00712F0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47052" w:rsidRPr="00684D17" w14:paraId="47A11D0D" w14:textId="77777777" w:rsidTr="00A55648">
        <w:tc>
          <w:tcPr>
            <w:tcW w:w="2495" w:type="dxa"/>
          </w:tcPr>
          <w:p w14:paraId="37003946" w14:textId="0AE45C9C" w:rsidR="00747052" w:rsidRPr="00684D17" w:rsidRDefault="00747052" w:rsidP="00743A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General public health clinic</w:t>
            </w:r>
          </w:p>
        </w:tc>
        <w:tc>
          <w:tcPr>
            <w:tcW w:w="6855" w:type="dxa"/>
          </w:tcPr>
          <w:p w14:paraId="1EA1FE2F" w14:textId="44DABBDA" w:rsidR="00747052" w:rsidRPr="00684D17" w:rsidRDefault="00747052" w:rsidP="00743ACE">
            <w:pPr>
              <w:tabs>
                <w:tab w:val="left" w:pos="-18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clinic that sees patients requesting all types of care</w:t>
            </w:r>
            <w:r w:rsidR="00712F0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11755" w:rsidRPr="00684D17" w14:paraId="12E6A9C6" w14:textId="77777777" w:rsidTr="00A55648">
        <w:tc>
          <w:tcPr>
            <w:tcW w:w="2495" w:type="dxa"/>
          </w:tcPr>
          <w:p w14:paraId="1C825CB1" w14:textId="77777777" w:rsidR="00111755" w:rsidRPr="00684D17" w:rsidRDefault="00111755" w:rsidP="00743ACE">
            <w:pPr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>Partner services</w:t>
            </w:r>
          </w:p>
        </w:tc>
        <w:tc>
          <w:tcPr>
            <w:tcW w:w="6855" w:type="dxa"/>
          </w:tcPr>
          <w:p w14:paraId="0E9CF2F7" w14:textId="41201269" w:rsidR="00AE03ED" w:rsidRPr="00712F06" w:rsidRDefault="00AE03ED" w:rsidP="00712F06">
            <w:pPr>
              <w:rPr>
                <w:rFonts w:asciiTheme="minorHAnsi" w:hAnsiTheme="minorHAnsi"/>
                <w:sz w:val="22"/>
                <w:szCs w:val="22"/>
              </w:rPr>
            </w:pPr>
            <w:r w:rsidRPr="00712F06">
              <w:rPr>
                <w:rFonts w:asciiTheme="minorHAnsi" w:hAnsiTheme="minorHAnsi"/>
                <w:sz w:val="22"/>
                <w:szCs w:val="22"/>
              </w:rPr>
              <w:t xml:space="preserve">Partner services refers to activities undertaken by the health department </w:t>
            </w:r>
            <w:r w:rsidR="004C293B">
              <w:rPr>
                <w:rFonts w:asciiTheme="minorHAnsi" w:hAnsiTheme="minorHAnsi"/>
                <w:sz w:val="22"/>
                <w:szCs w:val="22"/>
              </w:rPr>
              <w:t xml:space="preserve">that are </w:t>
            </w:r>
            <w:r w:rsidRPr="00712F06">
              <w:rPr>
                <w:rFonts w:asciiTheme="minorHAnsi" w:hAnsiTheme="minorHAnsi"/>
                <w:sz w:val="22"/>
                <w:szCs w:val="22"/>
              </w:rPr>
              <w:t>designed to lead to examination or treatment of partners of</w:t>
            </w:r>
            <w:r w:rsidR="004C293B">
              <w:rPr>
                <w:rFonts w:asciiTheme="minorHAnsi" w:hAnsiTheme="minorHAnsi"/>
                <w:sz w:val="22"/>
                <w:szCs w:val="22"/>
              </w:rPr>
              <w:t xml:space="preserve"> persons diagnosed with an STD.</w:t>
            </w:r>
            <w:r w:rsidRPr="00712F06">
              <w:rPr>
                <w:rFonts w:asciiTheme="minorHAnsi" w:hAnsiTheme="minorHAnsi"/>
                <w:sz w:val="22"/>
                <w:szCs w:val="22"/>
              </w:rPr>
              <w:t xml:space="preserve"> Partner services refers to health department staff proactively interview</w:t>
            </w:r>
            <w:r w:rsidR="004C293B">
              <w:rPr>
                <w:rFonts w:asciiTheme="minorHAnsi" w:hAnsiTheme="minorHAnsi"/>
                <w:sz w:val="22"/>
                <w:szCs w:val="22"/>
              </w:rPr>
              <w:t>ing</w:t>
            </w:r>
            <w:r w:rsidRPr="00712F06">
              <w:rPr>
                <w:rFonts w:asciiTheme="minorHAnsi" w:hAnsiTheme="minorHAnsi"/>
                <w:sz w:val="22"/>
                <w:szCs w:val="22"/>
              </w:rPr>
              <w:t xml:space="preserve"> cases to facilitate getting partners examined and treated.</w:t>
            </w:r>
          </w:p>
          <w:p w14:paraId="3621B67D" w14:textId="77777777" w:rsidR="00AE03ED" w:rsidRPr="00712F06" w:rsidRDefault="00AE03ED" w:rsidP="00712F0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2ABECD" w14:textId="16657098" w:rsidR="00D229BB" w:rsidRPr="00712F06" w:rsidRDefault="00AE03ED" w:rsidP="00712F06">
            <w:pPr>
              <w:rPr>
                <w:sz w:val="22"/>
              </w:rPr>
            </w:pPr>
            <w:r w:rsidRPr="00712F06">
              <w:rPr>
                <w:rFonts w:asciiTheme="minorHAnsi" w:hAnsiTheme="minorHAnsi"/>
                <w:sz w:val="22"/>
              </w:rPr>
              <w:t xml:space="preserve">Informing patients to refer their partners for examination and treatment without further assistance is </w:t>
            </w:r>
            <w:r w:rsidRPr="00712F06">
              <w:rPr>
                <w:rFonts w:asciiTheme="minorHAnsi" w:hAnsiTheme="minorHAnsi"/>
                <w:sz w:val="22"/>
                <w:u w:val="single"/>
              </w:rPr>
              <w:t>not</w:t>
            </w:r>
            <w:r w:rsidRPr="00712F06">
              <w:rPr>
                <w:rFonts w:asciiTheme="minorHAnsi" w:hAnsiTheme="minorHAnsi"/>
                <w:sz w:val="22"/>
              </w:rPr>
              <w:t xml:space="preserve"> considered to be partner services for the purposes of this survey.</w:t>
            </w:r>
          </w:p>
        </w:tc>
      </w:tr>
      <w:tr w:rsidR="00684D17" w:rsidRPr="00684D17" w14:paraId="027FCB7E" w14:textId="77777777" w:rsidTr="00A55648">
        <w:tc>
          <w:tcPr>
            <w:tcW w:w="2495" w:type="dxa"/>
          </w:tcPr>
          <w:p w14:paraId="061B5B0E" w14:textId="7BAE47F5" w:rsidR="00684D17" w:rsidRPr="00684D17" w:rsidRDefault="00684D17" w:rsidP="00743ACE">
            <w:pPr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>Safety net STD services</w:t>
            </w:r>
          </w:p>
        </w:tc>
        <w:tc>
          <w:tcPr>
            <w:tcW w:w="6855" w:type="dxa"/>
          </w:tcPr>
          <w:p w14:paraId="6280CE86" w14:textId="44A9BE44" w:rsidR="00684D17" w:rsidRPr="00684D17" w:rsidRDefault="00684D17" w:rsidP="00AD0011">
            <w:pPr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 xml:space="preserve">Refers to the provision of affordable care </w:t>
            </w:r>
            <w:r>
              <w:rPr>
                <w:rFonts w:asciiTheme="minorHAnsi" w:hAnsiTheme="minorHAnsi"/>
                <w:sz w:val="22"/>
                <w:szCs w:val="22"/>
              </w:rPr>
              <w:t>for un</w:t>
            </w:r>
            <w:r w:rsidR="00712F06">
              <w:rPr>
                <w:rFonts w:asciiTheme="minorHAnsi" w:hAnsiTheme="minorHAnsi"/>
                <w:sz w:val="22"/>
                <w:szCs w:val="22"/>
              </w:rPr>
              <w:t>insured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underinsured persons</w:t>
            </w:r>
            <w:r w:rsidR="00712F0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11755" w:rsidRPr="00684D17" w14:paraId="2611B469" w14:textId="77777777" w:rsidTr="00A55648">
        <w:tc>
          <w:tcPr>
            <w:tcW w:w="2495" w:type="dxa"/>
          </w:tcPr>
          <w:p w14:paraId="360BC89A" w14:textId="3F604F6D" w:rsidR="00111755" w:rsidRPr="00684D17" w:rsidRDefault="00402CB5" w:rsidP="00743ACE">
            <w:pPr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>Specialized</w:t>
            </w:r>
            <w:r w:rsidR="00111755" w:rsidRPr="00684D17">
              <w:rPr>
                <w:rFonts w:asciiTheme="minorHAnsi" w:hAnsiTheme="minorHAnsi"/>
                <w:sz w:val="22"/>
                <w:szCs w:val="22"/>
              </w:rPr>
              <w:t xml:space="preserve"> STD clinic</w:t>
            </w:r>
          </w:p>
        </w:tc>
        <w:tc>
          <w:tcPr>
            <w:tcW w:w="6855" w:type="dxa"/>
          </w:tcPr>
          <w:p w14:paraId="7D1B9435" w14:textId="1BF82F57" w:rsidR="00111755" w:rsidRPr="00684D17" w:rsidRDefault="00AF5353" w:rsidP="00AD0011">
            <w:pPr>
              <w:rPr>
                <w:rFonts w:asciiTheme="minorHAnsi" w:hAnsiTheme="minorHAnsi"/>
                <w:sz w:val="22"/>
                <w:szCs w:val="22"/>
              </w:rPr>
            </w:pPr>
            <w:r w:rsidRPr="00684D17">
              <w:rPr>
                <w:rFonts w:asciiTheme="minorHAnsi" w:hAnsiTheme="minorHAnsi"/>
                <w:sz w:val="22"/>
                <w:szCs w:val="22"/>
              </w:rPr>
              <w:t>A</w:t>
            </w:r>
            <w:r w:rsidR="00111755" w:rsidRPr="00684D17">
              <w:rPr>
                <w:rFonts w:asciiTheme="minorHAnsi" w:hAnsiTheme="minorHAnsi"/>
                <w:sz w:val="22"/>
                <w:szCs w:val="22"/>
              </w:rPr>
              <w:t xml:space="preserve"> clinic devoted to </w:t>
            </w:r>
            <w:r w:rsidR="00D25629" w:rsidRPr="00684D17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111755" w:rsidRPr="00684D17">
              <w:rPr>
                <w:rFonts w:asciiTheme="minorHAnsi" w:hAnsiTheme="minorHAnsi"/>
                <w:sz w:val="22"/>
                <w:szCs w:val="22"/>
              </w:rPr>
              <w:t xml:space="preserve">examination and treatment of STDs or to a clinic that has hours and staff devoted wholly to STD services.  Multi-role clinics, such as maternal and child health or primary care are not considered to be </w:t>
            </w:r>
            <w:r w:rsidR="00AD0011" w:rsidRPr="00684D17">
              <w:rPr>
                <w:rFonts w:asciiTheme="minorHAnsi" w:hAnsiTheme="minorHAnsi"/>
                <w:sz w:val="22"/>
                <w:szCs w:val="22"/>
              </w:rPr>
              <w:t>specialized</w:t>
            </w:r>
            <w:r w:rsidR="00111755" w:rsidRPr="00684D17">
              <w:rPr>
                <w:rFonts w:asciiTheme="minorHAnsi" w:hAnsiTheme="minorHAnsi"/>
                <w:sz w:val="22"/>
                <w:szCs w:val="22"/>
              </w:rPr>
              <w:t xml:space="preserve"> STD clinics for the purposes of this survey</w:t>
            </w:r>
            <w:r w:rsidR="00684D1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5C6C0F54" w14:textId="77777777" w:rsidR="00BA26BD" w:rsidRPr="00BA26BD" w:rsidRDefault="00BA26BD">
      <w:pPr>
        <w:rPr>
          <w:rFonts w:asciiTheme="minorHAnsi" w:hAnsiTheme="minorHAnsi"/>
          <w:sz w:val="22"/>
          <w:szCs w:val="22"/>
        </w:rPr>
      </w:pPr>
    </w:p>
    <w:sectPr w:rsidR="00BA26BD" w:rsidRPr="00BA26BD" w:rsidSect="00F645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A46B3" w14:textId="77777777" w:rsidR="00F77207" w:rsidRDefault="00F77207" w:rsidP="00A87010">
      <w:pPr>
        <w:spacing w:line="240" w:lineRule="auto"/>
      </w:pPr>
      <w:r>
        <w:separator/>
      </w:r>
    </w:p>
  </w:endnote>
  <w:endnote w:type="continuationSeparator" w:id="0">
    <w:p w14:paraId="0F95E476" w14:textId="77777777" w:rsidR="00F77207" w:rsidRDefault="00F77207" w:rsidP="00A8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EA798" w14:textId="77777777" w:rsidR="00F77207" w:rsidRDefault="00F77207" w:rsidP="00A87010">
      <w:pPr>
        <w:spacing w:line="240" w:lineRule="auto"/>
      </w:pPr>
      <w:r>
        <w:separator/>
      </w:r>
    </w:p>
  </w:footnote>
  <w:footnote w:type="continuationSeparator" w:id="0">
    <w:p w14:paraId="54840B8D" w14:textId="77777777" w:rsidR="00F77207" w:rsidRDefault="00F77207" w:rsidP="00A8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A83A6" w14:textId="2CC06D89" w:rsidR="00F77207" w:rsidRPr="00F36379" w:rsidRDefault="00F77207" w:rsidP="00A87010">
    <w:pPr>
      <w:pStyle w:val="Header"/>
      <w:tabs>
        <w:tab w:val="clear" w:pos="9360"/>
      </w:tabs>
      <w:rPr>
        <w:rFonts w:asciiTheme="minorHAnsi" w:hAnsiTheme="minorHAnsi"/>
        <w:b/>
      </w:rPr>
    </w:pPr>
    <w:r w:rsidRPr="00A87010">
      <w:rPr>
        <w:rFonts w:asciiTheme="minorHAnsi" w:hAnsiTheme="minorHAnsi"/>
        <w:sz w:val="22"/>
        <w:szCs w:val="22"/>
      </w:rPr>
      <w:tab/>
    </w:r>
    <w:r w:rsidRPr="00F36379">
      <w:rPr>
        <w:rFonts w:asciiTheme="minorHAnsi" w:hAnsiTheme="minorHAnsi"/>
        <w:b/>
      </w:rPr>
      <w:fldChar w:fldCharType="begin"/>
    </w:r>
    <w:r w:rsidRPr="00F36379">
      <w:rPr>
        <w:rFonts w:asciiTheme="minorHAnsi" w:hAnsiTheme="minorHAnsi"/>
        <w:b/>
      </w:rPr>
      <w:instrText xml:space="preserve"> FILENAME  \* Lower  \* MERGEFORMAT </w:instrText>
    </w:r>
    <w:r w:rsidRPr="00F36379">
      <w:rPr>
        <w:rFonts w:asciiTheme="minorHAnsi" w:hAnsiTheme="minorHAnsi"/>
        <w:b/>
      </w:rPr>
      <w:fldChar w:fldCharType="separate"/>
    </w:r>
    <w:r w:rsidRPr="00F36379">
      <w:rPr>
        <w:rFonts w:asciiTheme="minorHAnsi" w:hAnsiTheme="minorHAnsi"/>
        <w:b/>
        <w:noProof/>
      </w:rPr>
      <w:t>Attachment A</w:t>
    </w:r>
    <w:r w:rsidR="00F36379" w:rsidRPr="00F36379">
      <w:rPr>
        <w:rFonts w:asciiTheme="minorHAnsi" w:hAnsiTheme="minorHAnsi"/>
        <w:b/>
        <w:noProof/>
      </w:rPr>
      <w:t>7 --</w:t>
    </w:r>
    <w:r w:rsidRPr="00F36379">
      <w:rPr>
        <w:rFonts w:asciiTheme="minorHAnsi" w:hAnsiTheme="minorHAnsi"/>
        <w:b/>
        <w:noProof/>
      </w:rPr>
      <w:t xml:space="preserve"> Definitions </w:t>
    </w:r>
    <w:r w:rsidR="009B4C55">
      <w:rPr>
        <w:rFonts w:asciiTheme="minorHAnsi" w:hAnsiTheme="minorHAnsi"/>
        <w:b/>
        <w:noProof/>
      </w:rPr>
      <w:t>f</w:t>
    </w:r>
    <w:r w:rsidR="009B4C55" w:rsidRPr="00F36379">
      <w:rPr>
        <w:rFonts w:asciiTheme="minorHAnsi" w:hAnsiTheme="minorHAnsi"/>
        <w:b/>
        <w:noProof/>
      </w:rPr>
      <w:t xml:space="preserve">or Survey </w:t>
    </w:r>
    <w:r w:rsidR="009B4C55" w:rsidRPr="00F36379">
      <w:rPr>
        <w:b/>
        <w:noProof/>
      </w:rPr>
      <w:t>Terms</w:t>
    </w:r>
    <w:r w:rsidRPr="00F36379">
      <w:rPr>
        <w:b/>
        <w:noProof/>
      </w:rPr>
      <w:fldChar w:fldCharType="end"/>
    </w:r>
  </w:p>
  <w:p w14:paraId="20795D5C" w14:textId="77777777" w:rsidR="00F77207" w:rsidRPr="00402CB5" w:rsidRDefault="00F77207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C6547"/>
    <w:multiLevelType w:val="hybridMultilevel"/>
    <w:tmpl w:val="1C2C2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BD"/>
    <w:rsid w:val="000064B9"/>
    <w:rsid w:val="000B4223"/>
    <w:rsid w:val="000D639D"/>
    <w:rsid w:val="00111755"/>
    <w:rsid w:val="001357F8"/>
    <w:rsid w:val="00166DA4"/>
    <w:rsid w:val="001B6095"/>
    <w:rsid w:val="002A76FF"/>
    <w:rsid w:val="002D6CD1"/>
    <w:rsid w:val="00300C5F"/>
    <w:rsid w:val="00320C72"/>
    <w:rsid w:val="003F35B0"/>
    <w:rsid w:val="00402CB5"/>
    <w:rsid w:val="0040606B"/>
    <w:rsid w:val="004946BA"/>
    <w:rsid w:val="004C293B"/>
    <w:rsid w:val="00536C6F"/>
    <w:rsid w:val="00586920"/>
    <w:rsid w:val="00587EA0"/>
    <w:rsid w:val="00641DC9"/>
    <w:rsid w:val="00682740"/>
    <w:rsid w:val="00684D17"/>
    <w:rsid w:val="006C37FC"/>
    <w:rsid w:val="00712F06"/>
    <w:rsid w:val="00726842"/>
    <w:rsid w:val="00743ACE"/>
    <w:rsid w:val="00747052"/>
    <w:rsid w:val="0080500E"/>
    <w:rsid w:val="0092202E"/>
    <w:rsid w:val="00925BB4"/>
    <w:rsid w:val="00987C4B"/>
    <w:rsid w:val="009B4C55"/>
    <w:rsid w:val="009D144A"/>
    <w:rsid w:val="00A1169C"/>
    <w:rsid w:val="00A343B7"/>
    <w:rsid w:val="00A55648"/>
    <w:rsid w:val="00A673E4"/>
    <w:rsid w:val="00A87010"/>
    <w:rsid w:val="00AD0011"/>
    <w:rsid w:val="00AE03ED"/>
    <w:rsid w:val="00AF5353"/>
    <w:rsid w:val="00B576CE"/>
    <w:rsid w:val="00B752BB"/>
    <w:rsid w:val="00B94FDA"/>
    <w:rsid w:val="00BA26BD"/>
    <w:rsid w:val="00BA2D2B"/>
    <w:rsid w:val="00C07239"/>
    <w:rsid w:val="00CB5EDB"/>
    <w:rsid w:val="00D229BB"/>
    <w:rsid w:val="00D25629"/>
    <w:rsid w:val="00EF1F06"/>
    <w:rsid w:val="00F36379"/>
    <w:rsid w:val="00F645DB"/>
    <w:rsid w:val="00F77207"/>
    <w:rsid w:val="00F92AD8"/>
    <w:rsid w:val="00F9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12CF232"/>
  <w15:docId w15:val="{FB9ECD98-D0BE-4C0D-8382-7191DBC0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6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0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010"/>
  </w:style>
  <w:style w:type="paragraph" w:styleId="Footer">
    <w:name w:val="footer"/>
    <w:basedOn w:val="Normal"/>
    <w:link w:val="FooterChar"/>
    <w:uiPriority w:val="99"/>
    <w:unhideWhenUsed/>
    <w:rsid w:val="00A870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010"/>
  </w:style>
  <w:style w:type="paragraph" w:styleId="BalloonText">
    <w:name w:val="Balloon Text"/>
    <w:basedOn w:val="Normal"/>
    <w:link w:val="BalloonTextChar"/>
    <w:uiPriority w:val="99"/>
    <w:semiHidden/>
    <w:unhideWhenUsed/>
    <w:rsid w:val="000064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2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C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C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CB5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684D17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teg5</dc:creator>
  <cp:lastModifiedBy>Bonds, Constance (CDC/OID/NCHHSTP)</cp:lastModifiedBy>
  <cp:revision>2</cp:revision>
  <cp:lastPrinted>2016-08-01T14:10:00Z</cp:lastPrinted>
  <dcterms:created xsi:type="dcterms:W3CDTF">2017-04-07T15:38:00Z</dcterms:created>
  <dcterms:modified xsi:type="dcterms:W3CDTF">2017-04-07T15:38:00Z</dcterms:modified>
</cp:coreProperties>
</file>