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B773" w14:textId="77777777" w:rsidR="00B352B5" w:rsidRPr="002C5366" w:rsidRDefault="00B352B5" w:rsidP="00B352B5">
      <w:pPr>
        <w:ind w:left="720"/>
        <w:jc w:val="center"/>
        <w:rPr>
          <w:b/>
          <w:bCs/>
          <w:sz w:val="24"/>
        </w:rPr>
      </w:pPr>
      <w:bookmarkStart w:id="0" w:name="_GoBack"/>
      <w:bookmarkEnd w:id="0"/>
    </w:p>
    <w:p w14:paraId="430D60F6" w14:textId="77777777" w:rsidR="00B352B5" w:rsidRPr="002C5366" w:rsidRDefault="00B352B5" w:rsidP="00B352B5">
      <w:pPr>
        <w:keepNext/>
        <w:keepLines/>
        <w:jc w:val="center"/>
        <w:outlineLvl w:val="6"/>
        <w:rPr>
          <w:i/>
          <w:iCs/>
          <w:color w:val="404040"/>
          <w:sz w:val="24"/>
        </w:rPr>
      </w:pPr>
      <w:r w:rsidRPr="002C5366">
        <w:rPr>
          <w:b/>
          <w:i/>
          <w:iCs/>
          <w:color w:val="404040"/>
          <w:sz w:val="24"/>
        </w:rPr>
        <w:t>SUPPORTING STATEMENT:  PART A</w:t>
      </w:r>
    </w:p>
    <w:p w14:paraId="734DA152" w14:textId="77777777" w:rsidR="00B352B5" w:rsidRPr="002C5366" w:rsidRDefault="00B352B5" w:rsidP="00B352B5">
      <w:pPr>
        <w:pStyle w:val="BalloonText"/>
        <w:jc w:val="center"/>
        <w:rPr>
          <w:rFonts w:ascii="Times New Roman" w:hAnsi="Times New Roman" w:cs="Times New Roman"/>
          <w:sz w:val="24"/>
          <w:szCs w:val="24"/>
        </w:rPr>
      </w:pPr>
    </w:p>
    <w:p w14:paraId="0432AC79" w14:textId="77777777" w:rsidR="00B352B5" w:rsidRPr="002C5366" w:rsidRDefault="00B352B5" w:rsidP="00B352B5">
      <w:pPr>
        <w:jc w:val="center"/>
        <w:rPr>
          <w:b/>
          <w:bCs/>
          <w:sz w:val="24"/>
        </w:rPr>
      </w:pPr>
    </w:p>
    <w:p w14:paraId="01D4B4CA" w14:textId="77777777" w:rsidR="003F312D" w:rsidRPr="002C5366" w:rsidRDefault="003F312D" w:rsidP="00B352B5">
      <w:pPr>
        <w:jc w:val="center"/>
        <w:rPr>
          <w:b/>
          <w:bCs/>
          <w:sz w:val="24"/>
        </w:rPr>
      </w:pPr>
    </w:p>
    <w:p w14:paraId="582855AA" w14:textId="77777777" w:rsidR="003F312D" w:rsidRPr="002C5366" w:rsidRDefault="003F312D" w:rsidP="00B352B5">
      <w:pPr>
        <w:jc w:val="center"/>
        <w:rPr>
          <w:b/>
          <w:bCs/>
          <w:sz w:val="24"/>
        </w:rPr>
      </w:pPr>
    </w:p>
    <w:p w14:paraId="0EC2C2E2" w14:textId="77777777" w:rsidR="00B352B5" w:rsidRPr="002C5366" w:rsidRDefault="00B352B5" w:rsidP="00B352B5">
      <w:pPr>
        <w:jc w:val="center"/>
        <w:rPr>
          <w:b/>
          <w:sz w:val="24"/>
        </w:rPr>
      </w:pPr>
    </w:p>
    <w:p w14:paraId="60BB10AC" w14:textId="77777777" w:rsidR="00B352B5" w:rsidRPr="002C5366" w:rsidRDefault="00B352B5" w:rsidP="00B352B5">
      <w:pPr>
        <w:jc w:val="center"/>
        <w:rPr>
          <w:sz w:val="24"/>
        </w:rPr>
      </w:pPr>
    </w:p>
    <w:p w14:paraId="037B75A6" w14:textId="070E1A06" w:rsidR="00B352B5" w:rsidRPr="002C5366" w:rsidRDefault="00382D5D" w:rsidP="00B352B5">
      <w:pPr>
        <w:jc w:val="center"/>
        <w:rPr>
          <w:b/>
          <w:sz w:val="24"/>
        </w:rPr>
      </w:pPr>
      <w:r w:rsidRPr="002C5366">
        <w:rPr>
          <w:b/>
          <w:sz w:val="24"/>
        </w:rPr>
        <w:t>October 4, 2017</w:t>
      </w:r>
    </w:p>
    <w:p w14:paraId="325D08A5" w14:textId="77777777" w:rsidR="00B352B5" w:rsidRPr="002C5366" w:rsidRDefault="00B352B5" w:rsidP="00B352B5">
      <w:pPr>
        <w:jc w:val="center"/>
        <w:rPr>
          <w:sz w:val="24"/>
        </w:rPr>
      </w:pPr>
    </w:p>
    <w:p w14:paraId="620455B3" w14:textId="77777777" w:rsidR="003F312D" w:rsidRPr="002C5366" w:rsidRDefault="003F312D" w:rsidP="00B352B5">
      <w:pPr>
        <w:jc w:val="center"/>
        <w:rPr>
          <w:sz w:val="24"/>
        </w:rPr>
      </w:pPr>
    </w:p>
    <w:p w14:paraId="5B589655" w14:textId="77777777" w:rsidR="003F312D" w:rsidRPr="002C5366" w:rsidRDefault="003F312D" w:rsidP="00B352B5">
      <w:pPr>
        <w:jc w:val="center"/>
        <w:rPr>
          <w:sz w:val="24"/>
        </w:rPr>
      </w:pPr>
    </w:p>
    <w:p w14:paraId="708C20B4" w14:textId="77777777" w:rsidR="003F312D" w:rsidRPr="002C5366" w:rsidRDefault="003F312D" w:rsidP="00B352B5">
      <w:pPr>
        <w:jc w:val="center"/>
        <w:rPr>
          <w:sz w:val="24"/>
        </w:rPr>
      </w:pPr>
    </w:p>
    <w:p w14:paraId="4ACF93D3" w14:textId="77777777" w:rsidR="003F312D" w:rsidRPr="002C5366" w:rsidRDefault="003F312D" w:rsidP="00B352B5">
      <w:pPr>
        <w:jc w:val="center"/>
        <w:rPr>
          <w:sz w:val="24"/>
        </w:rPr>
      </w:pPr>
    </w:p>
    <w:p w14:paraId="1866D800" w14:textId="77777777" w:rsidR="003F312D" w:rsidRPr="002C5366" w:rsidRDefault="003F312D" w:rsidP="00B352B5">
      <w:pPr>
        <w:jc w:val="center"/>
        <w:rPr>
          <w:sz w:val="24"/>
        </w:rPr>
      </w:pPr>
    </w:p>
    <w:p w14:paraId="3C794361" w14:textId="77777777" w:rsidR="003F312D" w:rsidRPr="002C5366" w:rsidRDefault="003F312D" w:rsidP="00B352B5">
      <w:pPr>
        <w:jc w:val="center"/>
        <w:rPr>
          <w:sz w:val="24"/>
        </w:rPr>
      </w:pPr>
    </w:p>
    <w:p w14:paraId="131AAFBE" w14:textId="77777777" w:rsidR="003F312D" w:rsidRPr="002C5366" w:rsidRDefault="003F312D" w:rsidP="00B352B5">
      <w:pPr>
        <w:jc w:val="center"/>
        <w:rPr>
          <w:sz w:val="24"/>
        </w:rPr>
      </w:pPr>
    </w:p>
    <w:p w14:paraId="36216348" w14:textId="77777777" w:rsidR="00B352B5" w:rsidRPr="002C5366" w:rsidRDefault="00B352B5" w:rsidP="00B352B5">
      <w:pPr>
        <w:jc w:val="center"/>
        <w:rPr>
          <w:sz w:val="24"/>
        </w:rPr>
      </w:pPr>
    </w:p>
    <w:p w14:paraId="39EA839E" w14:textId="4F4D9883" w:rsidR="00B352B5" w:rsidRPr="002C5366" w:rsidRDefault="00661102" w:rsidP="00B352B5">
      <w:pPr>
        <w:jc w:val="center"/>
        <w:rPr>
          <w:b/>
          <w:bCs/>
          <w:sz w:val="24"/>
        </w:rPr>
      </w:pPr>
      <w:r w:rsidRPr="002C5366">
        <w:rPr>
          <w:b/>
          <w:bCs/>
          <w:sz w:val="24"/>
        </w:rPr>
        <w:t xml:space="preserve">State </w:t>
      </w:r>
      <w:r w:rsidR="00B352B5" w:rsidRPr="002C5366">
        <w:rPr>
          <w:b/>
          <w:bCs/>
          <w:sz w:val="24"/>
        </w:rPr>
        <w:t>Unintentional Drug Overdose Reporting System (</w:t>
      </w:r>
      <w:r w:rsidRPr="002C5366">
        <w:rPr>
          <w:b/>
          <w:bCs/>
          <w:sz w:val="24"/>
        </w:rPr>
        <w:t>S</w:t>
      </w:r>
      <w:r w:rsidR="00B352B5" w:rsidRPr="002C5366">
        <w:rPr>
          <w:b/>
          <w:bCs/>
          <w:sz w:val="24"/>
        </w:rPr>
        <w:t>UDORS)</w:t>
      </w:r>
    </w:p>
    <w:p w14:paraId="74C822A8" w14:textId="77777777" w:rsidR="00B352B5" w:rsidRPr="002C5366" w:rsidRDefault="00B352B5" w:rsidP="00B352B5">
      <w:pPr>
        <w:jc w:val="center"/>
        <w:rPr>
          <w:sz w:val="24"/>
        </w:rPr>
      </w:pPr>
    </w:p>
    <w:p w14:paraId="57547531" w14:textId="77777777" w:rsidR="00B352B5" w:rsidRPr="002C5366" w:rsidRDefault="00B352B5" w:rsidP="00B352B5">
      <w:pPr>
        <w:jc w:val="center"/>
        <w:rPr>
          <w:bCs/>
          <w:sz w:val="24"/>
        </w:rPr>
      </w:pPr>
    </w:p>
    <w:p w14:paraId="6A416BA1" w14:textId="77777777" w:rsidR="003F312D" w:rsidRPr="002C5366" w:rsidRDefault="003F312D" w:rsidP="00B352B5">
      <w:pPr>
        <w:jc w:val="center"/>
        <w:rPr>
          <w:bCs/>
          <w:sz w:val="24"/>
        </w:rPr>
      </w:pPr>
    </w:p>
    <w:p w14:paraId="6ACAEF81" w14:textId="684C5F5C" w:rsidR="003F312D" w:rsidRPr="002C5366" w:rsidRDefault="009E52B1" w:rsidP="00B352B5">
      <w:pPr>
        <w:jc w:val="center"/>
        <w:rPr>
          <w:bCs/>
          <w:sz w:val="24"/>
        </w:rPr>
      </w:pPr>
      <w:r w:rsidRPr="002C5366">
        <w:rPr>
          <w:bCs/>
          <w:sz w:val="24"/>
        </w:rPr>
        <w:t>OMB# 0920-1128</w:t>
      </w:r>
    </w:p>
    <w:p w14:paraId="065316E9" w14:textId="77777777" w:rsidR="003F312D" w:rsidRPr="002C5366" w:rsidRDefault="003F312D" w:rsidP="00B352B5">
      <w:pPr>
        <w:jc w:val="center"/>
        <w:rPr>
          <w:bCs/>
          <w:sz w:val="24"/>
        </w:rPr>
      </w:pPr>
    </w:p>
    <w:p w14:paraId="3CA2A39D" w14:textId="77777777" w:rsidR="003F312D" w:rsidRPr="002C5366" w:rsidRDefault="003F312D" w:rsidP="00B352B5">
      <w:pPr>
        <w:jc w:val="center"/>
        <w:rPr>
          <w:bCs/>
          <w:sz w:val="24"/>
        </w:rPr>
      </w:pPr>
    </w:p>
    <w:p w14:paraId="466B9600" w14:textId="77777777" w:rsidR="003F312D" w:rsidRPr="002C5366" w:rsidRDefault="003F312D" w:rsidP="00B352B5">
      <w:pPr>
        <w:jc w:val="center"/>
        <w:rPr>
          <w:bCs/>
          <w:sz w:val="24"/>
        </w:rPr>
      </w:pPr>
    </w:p>
    <w:p w14:paraId="28666148" w14:textId="77777777" w:rsidR="003F312D" w:rsidRPr="002C5366" w:rsidRDefault="003F312D" w:rsidP="00B352B5">
      <w:pPr>
        <w:jc w:val="center"/>
        <w:rPr>
          <w:bCs/>
          <w:sz w:val="24"/>
        </w:rPr>
      </w:pPr>
    </w:p>
    <w:p w14:paraId="7AAED47B" w14:textId="77777777" w:rsidR="003F312D" w:rsidRPr="002C5366" w:rsidRDefault="003F312D" w:rsidP="00B352B5">
      <w:pPr>
        <w:jc w:val="center"/>
        <w:rPr>
          <w:bCs/>
          <w:sz w:val="24"/>
        </w:rPr>
      </w:pPr>
    </w:p>
    <w:p w14:paraId="201A5DE9" w14:textId="77777777" w:rsidR="003F312D" w:rsidRPr="002C5366" w:rsidRDefault="003F312D" w:rsidP="00B352B5">
      <w:pPr>
        <w:jc w:val="center"/>
        <w:rPr>
          <w:bCs/>
          <w:sz w:val="24"/>
        </w:rPr>
      </w:pPr>
    </w:p>
    <w:p w14:paraId="2E91646D" w14:textId="77777777" w:rsidR="003F312D" w:rsidRPr="002C5366" w:rsidRDefault="003F312D" w:rsidP="00B352B5">
      <w:pPr>
        <w:jc w:val="center"/>
        <w:rPr>
          <w:bCs/>
          <w:sz w:val="24"/>
        </w:rPr>
      </w:pPr>
    </w:p>
    <w:p w14:paraId="1AC66698" w14:textId="77777777" w:rsidR="003F312D" w:rsidRPr="002C5366" w:rsidRDefault="003F312D" w:rsidP="00B352B5">
      <w:pPr>
        <w:jc w:val="center"/>
        <w:rPr>
          <w:bCs/>
          <w:sz w:val="24"/>
        </w:rPr>
      </w:pPr>
    </w:p>
    <w:p w14:paraId="485A8326" w14:textId="77777777" w:rsidR="003F312D" w:rsidRPr="002C5366" w:rsidRDefault="003F312D" w:rsidP="00B352B5">
      <w:pPr>
        <w:jc w:val="center"/>
        <w:rPr>
          <w:bCs/>
          <w:sz w:val="24"/>
        </w:rPr>
      </w:pPr>
    </w:p>
    <w:p w14:paraId="53662FE8" w14:textId="77777777" w:rsidR="003F312D" w:rsidRPr="002C5366" w:rsidRDefault="003F312D" w:rsidP="00B352B5">
      <w:pPr>
        <w:jc w:val="center"/>
        <w:rPr>
          <w:bCs/>
          <w:sz w:val="24"/>
        </w:rPr>
      </w:pPr>
    </w:p>
    <w:p w14:paraId="1248AEBA" w14:textId="77777777" w:rsidR="003F312D" w:rsidRPr="002C5366" w:rsidRDefault="003F312D" w:rsidP="00B352B5">
      <w:pPr>
        <w:jc w:val="center"/>
        <w:rPr>
          <w:bCs/>
          <w:sz w:val="24"/>
        </w:rPr>
      </w:pPr>
    </w:p>
    <w:p w14:paraId="0963C813" w14:textId="77777777" w:rsidR="003F312D" w:rsidRPr="002C5366" w:rsidRDefault="003F312D" w:rsidP="00B352B5">
      <w:pPr>
        <w:jc w:val="center"/>
        <w:rPr>
          <w:bCs/>
          <w:sz w:val="24"/>
        </w:rPr>
      </w:pPr>
    </w:p>
    <w:p w14:paraId="53FF44B6" w14:textId="77777777" w:rsidR="003F312D" w:rsidRPr="002C5366" w:rsidRDefault="003F312D" w:rsidP="00B352B5">
      <w:pPr>
        <w:jc w:val="center"/>
        <w:rPr>
          <w:bCs/>
          <w:sz w:val="24"/>
        </w:rPr>
      </w:pPr>
    </w:p>
    <w:p w14:paraId="02FBE2B9" w14:textId="77777777" w:rsidR="003F312D" w:rsidRPr="002C5366" w:rsidRDefault="003F312D" w:rsidP="00B352B5">
      <w:pPr>
        <w:jc w:val="center"/>
        <w:rPr>
          <w:bCs/>
          <w:sz w:val="24"/>
        </w:rPr>
      </w:pPr>
    </w:p>
    <w:p w14:paraId="14357634" w14:textId="77777777" w:rsidR="003F312D" w:rsidRPr="002C5366" w:rsidRDefault="003F312D" w:rsidP="00B352B5">
      <w:pPr>
        <w:jc w:val="center"/>
        <w:rPr>
          <w:sz w:val="24"/>
        </w:rPr>
      </w:pPr>
    </w:p>
    <w:p w14:paraId="5E20C49F" w14:textId="77777777" w:rsidR="00B352B5" w:rsidRPr="002C5366" w:rsidRDefault="00B352B5" w:rsidP="00B352B5">
      <w:pPr>
        <w:jc w:val="center"/>
        <w:rPr>
          <w:sz w:val="24"/>
        </w:rPr>
      </w:pPr>
    </w:p>
    <w:p w14:paraId="2A23F037" w14:textId="77777777" w:rsidR="00B352B5" w:rsidRPr="002C5366" w:rsidRDefault="00B352B5" w:rsidP="00B352B5">
      <w:pPr>
        <w:jc w:val="center"/>
        <w:rPr>
          <w:sz w:val="24"/>
        </w:rPr>
      </w:pPr>
      <w:r w:rsidRPr="002C5366">
        <w:rPr>
          <w:sz w:val="24"/>
        </w:rPr>
        <w:t>Point of Contact:</w:t>
      </w:r>
    </w:p>
    <w:p w14:paraId="3FC32966" w14:textId="12AFE117" w:rsidR="00B352B5" w:rsidRPr="002C5366" w:rsidRDefault="00CA670F" w:rsidP="00B352B5">
      <w:pPr>
        <w:jc w:val="center"/>
        <w:rPr>
          <w:b/>
          <w:bCs/>
          <w:sz w:val="24"/>
        </w:rPr>
      </w:pPr>
      <w:r w:rsidRPr="002C5366">
        <w:rPr>
          <w:sz w:val="24"/>
        </w:rPr>
        <w:t>Julie O’Donnell</w:t>
      </w:r>
    </w:p>
    <w:p w14:paraId="3D180978" w14:textId="77777777" w:rsidR="00B352B5" w:rsidRPr="002C5366" w:rsidRDefault="00B352B5" w:rsidP="00B352B5">
      <w:pPr>
        <w:jc w:val="center"/>
        <w:rPr>
          <w:sz w:val="24"/>
        </w:rPr>
      </w:pPr>
    </w:p>
    <w:p w14:paraId="5E300B25" w14:textId="77777777" w:rsidR="00B352B5" w:rsidRPr="002C5366" w:rsidRDefault="00B352B5" w:rsidP="00B352B5">
      <w:pPr>
        <w:jc w:val="center"/>
        <w:rPr>
          <w:sz w:val="24"/>
        </w:rPr>
      </w:pPr>
      <w:r w:rsidRPr="002C5366">
        <w:rPr>
          <w:sz w:val="24"/>
        </w:rPr>
        <w:t>Contact Information:</w:t>
      </w:r>
    </w:p>
    <w:p w14:paraId="74288060" w14:textId="77777777" w:rsidR="00B352B5" w:rsidRPr="002C5366" w:rsidRDefault="00B352B5" w:rsidP="00B352B5">
      <w:pPr>
        <w:pStyle w:val="E-mailSignature"/>
        <w:jc w:val="center"/>
        <w:rPr>
          <w:noProof/>
        </w:rPr>
      </w:pPr>
      <w:bookmarkStart w:id="1" w:name="_MailAutoSig"/>
      <w:r w:rsidRPr="002C5366">
        <w:rPr>
          <w:noProof/>
        </w:rPr>
        <w:t>Centers for Disease Control and Prevention</w:t>
      </w:r>
    </w:p>
    <w:p w14:paraId="50D1DF55" w14:textId="77777777" w:rsidR="00B352B5" w:rsidRPr="002C5366" w:rsidRDefault="00B352B5" w:rsidP="00B352B5">
      <w:pPr>
        <w:pStyle w:val="E-mailSignature"/>
        <w:jc w:val="center"/>
        <w:rPr>
          <w:noProof/>
        </w:rPr>
      </w:pPr>
      <w:r w:rsidRPr="002C5366">
        <w:rPr>
          <w:noProof/>
        </w:rPr>
        <w:t>National Center for Injury Prevention and Control</w:t>
      </w:r>
    </w:p>
    <w:p w14:paraId="1E718E7B" w14:textId="1D9E207F" w:rsidR="00B352B5" w:rsidRPr="002C5366" w:rsidRDefault="00B352B5" w:rsidP="00B352B5">
      <w:pPr>
        <w:pStyle w:val="E-mailSignature"/>
        <w:jc w:val="center"/>
        <w:rPr>
          <w:noProof/>
        </w:rPr>
      </w:pPr>
      <w:r w:rsidRPr="002C5366">
        <w:rPr>
          <w:noProof/>
        </w:rPr>
        <w:t>4770 Buford Highway NE  MS F-6</w:t>
      </w:r>
      <w:r w:rsidR="00CA670F" w:rsidRPr="002C5366">
        <w:rPr>
          <w:noProof/>
        </w:rPr>
        <w:t>2</w:t>
      </w:r>
    </w:p>
    <w:p w14:paraId="0573CCEB" w14:textId="77777777" w:rsidR="00B352B5" w:rsidRPr="002C5366" w:rsidRDefault="00B352B5" w:rsidP="00B352B5">
      <w:pPr>
        <w:pStyle w:val="E-mailSignature"/>
        <w:jc w:val="center"/>
        <w:rPr>
          <w:noProof/>
        </w:rPr>
      </w:pPr>
      <w:r w:rsidRPr="002C5366">
        <w:rPr>
          <w:noProof/>
        </w:rPr>
        <w:lastRenderedPageBreak/>
        <w:t>Atlanta, GA 30341-3724</w:t>
      </w:r>
    </w:p>
    <w:p w14:paraId="46890ABE" w14:textId="565165CD" w:rsidR="00B352B5" w:rsidRPr="002C5366" w:rsidRDefault="00B352B5" w:rsidP="00B352B5">
      <w:pPr>
        <w:jc w:val="center"/>
        <w:rPr>
          <w:sz w:val="24"/>
        </w:rPr>
      </w:pPr>
      <w:r w:rsidRPr="002C5366">
        <w:rPr>
          <w:noProof/>
          <w:sz w:val="24"/>
        </w:rPr>
        <w:t xml:space="preserve">phone: </w:t>
      </w:r>
      <w:r w:rsidR="00CA670F" w:rsidRPr="002C5366">
        <w:rPr>
          <w:sz w:val="24"/>
        </w:rPr>
        <w:t>404-498-5005</w:t>
      </w:r>
    </w:p>
    <w:p w14:paraId="126DFDC8" w14:textId="77777777" w:rsidR="00B352B5" w:rsidRPr="002C5366" w:rsidRDefault="00B352B5" w:rsidP="00B352B5">
      <w:pPr>
        <w:pStyle w:val="E-mailSignature"/>
        <w:jc w:val="center"/>
        <w:rPr>
          <w:noProof/>
        </w:rPr>
      </w:pPr>
      <w:r w:rsidRPr="002C5366">
        <w:rPr>
          <w:noProof/>
        </w:rPr>
        <w:t>fax: 770-488-1360</w:t>
      </w:r>
    </w:p>
    <w:p w14:paraId="20ADA492" w14:textId="3448493E" w:rsidR="00B352B5" w:rsidRPr="002C5366" w:rsidRDefault="00B352B5" w:rsidP="00B352B5">
      <w:pPr>
        <w:pStyle w:val="E-mailSignature"/>
        <w:jc w:val="center"/>
        <w:rPr>
          <w:noProof/>
        </w:rPr>
      </w:pPr>
      <w:r w:rsidRPr="002C5366">
        <w:rPr>
          <w:noProof/>
        </w:rPr>
        <w:t>email:</w:t>
      </w:r>
      <w:r w:rsidRPr="002C5366">
        <w:t xml:space="preserve"> </w:t>
      </w:r>
      <w:r w:rsidR="00CA670F" w:rsidRPr="002C5366">
        <w:rPr>
          <w:noProof/>
        </w:rPr>
        <w:t>irh8</w:t>
      </w:r>
      <w:r w:rsidRPr="002C5366">
        <w:rPr>
          <w:noProof/>
        </w:rPr>
        <w:t>@cdc.gov</w:t>
      </w:r>
    </w:p>
    <w:bookmarkEnd w:id="1"/>
    <w:p w14:paraId="408F3062" w14:textId="77777777" w:rsidR="00B352B5" w:rsidRPr="002C5366" w:rsidRDefault="00B352B5" w:rsidP="00B352B5">
      <w:pPr>
        <w:jc w:val="center"/>
        <w:rPr>
          <w:sz w:val="24"/>
        </w:rPr>
      </w:pPr>
      <w:r w:rsidRPr="002C5366">
        <w:rPr>
          <w:b/>
          <w:bCs/>
          <w:sz w:val="24"/>
        </w:rPr>
        <w:br w:type="page"/>
      </w:r>
    </w:p>
    <w:p w14:paraId="503FF40C" w14:textId="77777777" w:rsidR="00B352B5" w:rsidRPr="002C5366" w:rsidRDefault="00B352B5" w:rsidP="00B352B5">
      <w:pPr>
        <w:ind w:firstLine="720"/>
        <w:jc w:val="center"/>
        <w:rPr>
          <w:b/>
          <w:bCs/>
          <w:noProof/>
          <w:sz w:val="24"/>
        </w:rPr>
      </w:pPr>
      <w:r w:rsidRPr="002C5366">
        <w:rPr>
          <w:b/>
          <w:bCs/>
          <w:sz w:val="24"/>
        </w:rPr>
        <w:lastRenderedPageBreak/>
        <w:t>CONTE</w:t>
      </w:r>
      <w:r w:rsidRPr="002C5366">
        <w:rPr>
          <w:b/>
          <w:bCs/>
          <w:noProof/>
          <w:sz w:val="24"/>
        </w:rPr>
        <w:t>NTS</w:t>
      </w:r>
    </w:p>
    <w:p w14:paraId="40823F09" w14:textId="77777777" w:rsidR="00B352B5" w:rsidRPr="002C5366" w:rsidRDefault="00B352B5" w:rsidP="00B352B5">
      <w:pPr>
        <w:pStyle w:val="T0-ChapPgHd"/>
        <w:jc w:val="left"/>
        <w:rPr>
          <w:noProof/>
        </w:rPr>
      </w:pPr>
      <w:r w:rsidRPr="002C5366">
        <w:rPr>
          <w:noProof/>
        </w:rPr>
        <w:t>Section</w:t>
      </w:r>
      <w:r w:rsidRPr="002C5366">
        <w:rPr>
          <w:noProof/>
        </w:rPr>
        <w:tab/>
        <w:t>Page</w:t>
      </w:r>
    </w:p>
    <w:p w14:paraId="5FB90B78" w14:textId="77777777" w:rsidR="00B352B5" w:rsidRPr="002C5366" w:rsidRDefault="00B352B5" w:rsidP="00B352B5">
      <w:pPr>
        <w:pStyle w:val="T0-ChapPgHd"/>
        <w:jc w:val="left"/>
        <w:rPr>
          <w:noProof/>
        </w:rPr>
      </w:pPr>
    </w:p>
    <w:p w14:paraId="1C20904C" w14:textId="77777777" w:rsidR="0020416A" w:rsidRPr="002C5366" w:rsidRDefault="00B352B5" w:rsidP="0020416A">
      <w:pPr>
        <w:pStyle w:val="TOC1"/>
        <w:rPr>
          <w:noProof/>
        </w:rPr>
      </w:pPr>
      <w:r w:rsidRPr="002C5366">
        <w:rPr>
          <w:noProof/>
        </w:rPr>
        <w:tab/>
        <w:t>Summary table</w:t>
      </w:r>
      <w:r w:rsidRPr="002C5366">
        <w:rPr>
          <w:noProof/>
        </w:rPr>
        <w:tab/>
      </w:r>
      <w:r w:rsidRPr="002C5366">
        <w:rPr>
          <w:noProof/>
        </w:rPr>
        <w:tab/>
      </w:r>
      <w:r w:rsidR="00AC2B47" w:rsidRPr="002C5366">
        <w:rPr>
          <w:noProof/>
        </w:rPr>
        <w:t>3</w:t>
      </w:r>
    </w:p>
    <w:p w14:paraId="774BEA25" w14:textId="77777777" w:rsidR="0020416A" w:rsidRPr="002C5366" w:rsidRDefault="0020416A" w:rsidP="0020416A">
      <w:pPr>
        <w:pStyle w:val="TOC1"/>
        <w:rPr>
          <w:noProof/>
        </w:rPr>
      </w:pPr>
    </w:p>
    <w:p w14:paraId="02D00D5C" w14:textId="5B0FA2E8" w:rsidR="00B352B5" w:rsidRPr="002C5366" w:rsidRDefault="00B352B5" w:rsidP="0020416A">
      <w:pPr>
        <w:pStyle w:val="TOC1"/>
        <w:numPr>
          <w:ilvl w:val="0"/>
          <w:numId w:val="36"/>
        </w:numPr>
        <w:rPr>
          <w:noProof/>
        </w:rPr>
      </w:pPr>
      <w:r w:rsidRPr="002C5366">
        <w:rPr>
          <w:noProof/>
        </w:rPr>
        <w:t>Justification</w:t>
      </w:r>
      <w:r w:rsidRPr="002C5366">
        <w:rPr>
          <w:noProof/>
        </w:rPr>
        <w:tab/>
      </w:r>
      <w:r w:rsidRPr="002C5366">
        <w:rPr>
          <w:noProof/>
        </w:rPr>
        <w:tab/>
      </w:r>
      <w:r w:rsidR="000B7D63" w:rsidRPr="002C5366">
        <w:rPr>
          <w:noProof/>
        </w:rPr>
        <w:t>3</w:t>
      </w:r>
    </w:p>
    <w:p w14:paraId="029D292B" w14:textId="77777777" w:rsidR="00B352B5" w:rsidRPr="002C5366" w:rsidRDefault="00B352B5" w:rsidP="00B352B5">
      <w:pPr>
        <w:pStyle w:val="TOC1"/>
        <w:rPr>
          <w:noProof/>
        </w:rPr>
      </w:pPr>
    </w:p>
    <w:p w14:paraId="6240F735" w14:textId="0ED6282C" w:rsidR="00B352B5" w:rsidRPr="002C5366" w:rsidRDefault="00B352B5" w:rsidP="00B352B5">
      <w:pPr>
        <w:pStyle w:val="TOC2"/>
        <w:rPr>
          <w:noProof/>
        </w:rPr>
      </w:pPr>
      <w:r w:rsidRPr="002C5366">
        <w:rPr>
          <w:noProof/>
        </w:rPr>
        <w:t>A.1.</w:t>
      </w:r>
      <w:r w:rsidRPr="002C5366">
        <w:rPr>
          <w:noProof/>
        </w:rPr>
        <w:tab/>
        <w:t>Circumstances Making the Collection of Information Necessary</w:t>
      </w:r>
      <w:r w:rsidRPr="002C5366">
        <w:rPr>
          <w:noProof/>
        </w:rPr>
        <w:tab/>
      </w:r>
      <w:r w:rsidR="000B7D63" w:rsidRPr="002C5366">
        <w:rPr>
          <w:noProof/>
        </w:rPr>
        <w:t>3</w:t>
      </w:r>
    </w:p>
    <w:p w14:paraId="7158A55A" w14:textId="77777777" w:rsidR="00B352B5" w:rsidRPr="002C5366" w:rsidRDefault="00B352B5" w:rsidP="00B352B5">
      <w:pPr>
        <w:pStyle w:val="TOC2"/>
        <w:rPr>
          <w:noProof/>
        </w:rPr>
      </w:pPr>
      <w:r w:rsidRPr="002C5366">
        <w:rPr>
          <w:noProof/>
        </w:rPr>
        <w:t>A.2.</w:t>
      </w:r>
      <w:r w:rsidRPr="002C5366">
        <w:rPr>
          <w:noProof/>
        </w:rPr>
        <w:tab/>
        <w:t>Purpose and Use of Information Collection</w:t>
      </w:r>
      <w:r w:rsidRPr="002C5366">
        <w:rPr>
          <w:noProof/>
        </w:rPr>
        <w:tab/>
      </w:r>
      <w:r w:rsidRPr="002C5366">
        <w:rPr>
          <w:noProof/>
        </w:rPr>
        <w:tab/>
      </w:r>
      <w:r w:rsidR="00AC2B47" w:rsidRPr="002C5366">
        <w:rPr>
          <w:noProof/>
        </w:rPr>
        <w:t>6</w:t>
      </w:r>
    </w:p>
    <w:p w14:paraId="70CC6368" w14:textId="417A49AE" w:rsidR="00B352B5" w:rsidRPr="002C5366" w:rsidRDefault="00B352B5" w:rsidP="00B352B5">
      <w:pPr>
        <w:pStyle w:val="TOC2"/>
        <w:rPr>
          <w:noProof/>
        </w:rPr>
      </w:pPr>
      <w:r w:rsidRPr="002C5366">
        <w:rPr>
          <w:noProof/>
        </w:rPr>
        <w:t>A.3.</w:t>
      </w:r>
      <w:r w:rsidRPr="002C5366">
        <w:rPr>
          <w:noProof/>
        </w:rPr>
        <w:tab/>
        <w:t>Use of Improved Information Technology and Burden Reduction</w:t>
      </w:r>
      <w:r w:rsidRPr="002C5366">
        <w:rPr>
          <w:noProof/>
        </w:rPr>
        <w:tab/>
      </w:r>
      <w:r w:rsidR="000B7D63" w:rsidRPr="002C5366">
        <w:rPr>
          <w:noProof/>
        </w:rPr>
        <w:t>8</w:t>
      </w:r>
    </w:p>
    <w:p w14:paraId="6C0E7468" w14:textId="0F197E3F" w:rsidR="00B352B5" w:rsidRPr="002C5366" w:rsidRDefault="00B352B5" w:rsidP="00B352B5">
      <w:pPr>
        <w:pStyle w:val="TOC2"/>
        <w:rPr>
          <w:noProof/>
        </w:rPr>
      </w:pPr>
      <w:r w:rsidRPr="002C5366">
        <w:rPr>
          <w:noProof/>
        </w:rPr>
        <w:t>A.4.</w:t>
      </w:r>
      <w:r w:rsidRPr="002C5366">
        <w:rPr>
          <w:noProof/>
        </w:rPr>
        <w:tab/>
        <w:t>Efforts to Identify Duplication and Use of Similar Information</w:t>
      </w:r>
      <w:r w:rsidRPr="002C5366">
        <w:rPr>
          <w:noProof/>
        </w:rPr>
        <w:tab/>
      </w:r>
      <w:r w:rsidRPr="002C5366">
        <w:rPr>
          <w:noProof/>
        </w:rPr>
        <w:tab/>
      </w:r>
      <w:r w:rsidR="000B7D63" w:rsidRPr="002C5366">
        <w:rPr>
          <w:noProof/>
        </w:rPr>
        <w:t>9</w:t>
      </w:r>
    </w:p>
    <w:p w14:paraId="01949BB7" w14:textId="5E6A15C7" w:rsidR="00B352B5" w:rsidRPr="002C5366" w:rsidRDefault="00B352B5" w:rsidP="00B352B5">
      <w:pPr>
        <w:pStyle w:val="TOC2"/>
        <w:rPr>
          <w:noProof/>
        </w:rPr>
      </w:pPr>
      <w:r w:rsidRPr="002C5366">
        <w:rPr>
          <w:noProof/>
        </w:rPr>
        <w:t>A.5.</w:t>
      </w:r>
      <w:r w:rsidRPr="002C5366">
        <w:rPr>
          <w:noProof/>
        </w:rPr>
        <w:tab/>
        <w:t>Impact on Small Businesses or Other Small Entities</w:t>
      </w:r>
      <w:r w:rsidRPr="002C5366">
        <w:rPr>
          <w:noProof/>
        </w:rPr>
        <w:tab/>
      </w:r>
      <w:r w:rsidRPr="002C5366">
        <w:rPr>
          <w:noProof/>
        </w:rPr>
        <w:tab/>
      </w:r>
      <w:r w:rsidR="000B7D63" w:rsidRPr="002C5366">
        <w:rPr>
          <w:noProof/>
        </w:rPr>
        <w:t>1</w:t>
      </w:r>
      <w:r w:rsidR="00896016" w:rsidRPr="002C5366">
        <w:rPr>
          <w:noProof/>
        </w:rPr>
        <w:t>1</w:t>
      </w:r>
    </w:p>
    <w:p w14:paraId="3D267E8B" w14:textId="6E76A0AB" w:rsidR="00B352B5" w:rsidRPr="002C5366" w:rsidRDefault="00B352B5" w:rsidP="00B352B5">
      <w:pPr>
        <w:pStyle w:val="TOC2"/>
        <w:rPr>
          <w:noProof/>
        </w:rPr>
      </w:pPr>
      <w:r w:rsidRPr="002C5366">
        <w:rPr>
          <w:noProof/>
        </w:rPr>
        <w:t>A.6.</w:t>
      </w:r>
      <w:r w:rsidRPr="002C5366">
        <w:rPr>
          <w:noProof/>
        </w:rPr>
        <w:tab/>
        <w:t>Consequences of Collecting the Information Less Frequently</w:t>
      </w:r>
      <w:r w:rsidRPr="002C5366">
        <w:rPr>
          <w:noProof/>
        </w:rPr>
        <w:tab/>
      </w:r>
      <w:r w:rsidRPr="002C5366">
        <w:rPr>
          <w:noProof/>
        </w:rPr>
        <w:tab/>
      </w:r>
      <w:r w:rsidR="000B7D63" w:rsidRPr="002C5366">
        <w:rPr>
          <w:noProof/>
        </w:rPr>
        <w:t>11</w:t>
      </w:r>
    </w:p>
    <w:p w14:paraId="08D163C8" w14:textId="77777777" w:rsidR="00B352B5" w:rsidRPr="002C5366" w:rsidRDefault="00B352B5" w:rsidP="00B352B5">
      <w:pPr>
        <w:pStyle w:val="TOC2"/>
        <w:rPr>
          <w:noProof/>
        </w:rPr>
      </w:pPr>
      <w:r w:rsidRPr="002C5366">
        <w:rPr>
          <w:noProof/>
        </w:rPr>
        <w:t>A.7.</w:t>
      </w:r>
      <w:r w:rsidRPr="002C5366">
        <w:rPr>
          <w:noProof/>
        </w:rPr>
        <w:tab/>
        <w:t xml:space="preserve">Special Circumstances Relating to the Guidelines of </w:t>
      </w:r>
    </w:p>
    <w:p w14:paraId="63EDA0F5" w14:textId="41029D0C" w:rsidR="00B352B5" w:rsidRPr="002C5366" w:rsidRDefault="00B352B5" w:rsidP="00B352B5">
      <w:pPr>
        <w:pStyle w:val="TOC2"/>
        <w:rPr>
          <w:noProof/>
        </w:rPr>
      </w:pPr>
      <w:r w:rsidRPr="002C5366">
        <w:rPr>
          <w:noProof/>
        </w:rPr>
        <w:tab/>
        <w:t>5 CFR 1320.5(d)2</w:t>
      </w:r>
      <w:r w:rsidRPr="002C5366">
        <w:rPr>
          <w:noProof/>
        </w:rPr>
        <w:tab/>
      </w:r>
      <w:r w:rsidRPr="002C5366">
        <w:rPr>
          <w:noProof/>
        </w:rPr>
        <w:tab/>
      </w:r>
      <w:r w:rsidR="000B7D63" w:rsidRPr="002C5366">
        <w:rPr>
          <w:noProof/>
        </w:rPr>
        <w:t>11</w:t>
      </w:r>
    </w:p>
    <w:p w14:paraId="2E44C4C6" w14:textId="77777777" w:rsidR="00B352B5" w:rsidRPr="002C5366" w:rsidRDefault="00B352B5" w:rsidP="00B352B5">
      <w:pPr>
        <w:pStyle w:val="TOC2"/>
        <w:rPr>
          <w:noProof/>
        </w:rPr>
      </w:pPr>
      <w:r w:rsidRPr="002C5366">
        <w:rPr>
          <w:noProof/>
        </w:rPr>
        <w:t>A.8.</w:t>
      </w:r>
      <w:r w:rsidRPr="002C5366">
        <w:rPr>
          <w:noProof/>
        </w:rPr>
        <w:tab/>
        <w:t xml:space="preserve">Comments in Response to the Federal Register Notice and </w:t>
      </w:r>
    </w:p>
    <w:p w14:paraId="1F3DBDBE" w14:textId="5C7AD649" w:rsidR="00B352B5" w:rsidRPr="002C5366" w:rsidRDefault="00B352B5" w:rsidP="00B352B5">
      <w:pPr>
        <w:pStyle w:val="TOC2"/>
        <w:rPr>
          <w:noProof/>
        </w:rPr>
      </w:pPr>
      <w:r w:rsidRPr="002C5366">
        <w:rPr>
          <w:noProof/>
        </w:rPr>
        <w:tab/>
        <w:t>Efforts to Consult Outside the Agency</w:t>
      </w:r>
      <w:r w:rsidRPr="002C5366">
        <w:rPr>
          <w:noProof/>
        </w:rPr>
        <w:tab/>
      </w:r>
      <w:r w:rsidRPr="002C5366">
        <w:rPr>
          <w:noProof/>
        </w:rPr>
        <w:tab/>
      </w:r>
      <w:r w:rsidR="000B7D63" w:rsidRPr="002C5366">
        <w:rPr>
          <w:noProof/>
        </w:rPr>
        <w:t>11</w:t>
      </w:r>
    </w:p>
    <w:p w14:paraId="1EA4E563" w14:textId="35127400" w:rsidR="00B352B5" w:rsidRPr="002C5366" w:rsidRDefault="00B352B5" w:rsidP="00B352B5">
      <w:pPr>
        <w:pStyle w:val="TOC2"/>
        <w:rPr>
          <w:noProof/>
        </w:rPr>
      </w:pPr>
      <w:r w:rsidRPr="002C5366">
        <w:rPr>
          <w:noProof/>
        </w:rPr>
        <w:t>A.9.</w:t>
      </w:r>
      <w:r w:rsidRPr="002C5366">
        <w:rPr>
          <w:noProof/>
        </w:rPr>
        <w:tab/>
        <w:t>Explanation of Any Payment or Gift to Respondents</w:t>
      </w:r>
      <w:r w:rsidRPr="002C5366">
        <w:rPr>
          <w:noProof/>
        </w:rPr>
        <w:tab/>
      </w:r>
      <w:r w:rsidRPr="002C5366">
        <w:rPr>
          <w:noProof/>
        </w:rPr>
        <w:tab/>
      </w:r>
      <w:r w:rsidR="000B7D63" w:rsidRPr="002C5366">
        <w:rPr>
          <w:noProof/>
        </w:rPr>
        <w:t>12</w:t>
      </w:r>
    </w:p>
    <w:p w14:paraId="2CF18943" w14:textId="77777777" w:rsidR="00B467F5" w:rsidRPr="002C5366" w:rsidRDefault="00B352B5" w:rsidP="00B352B5">
      <w:pPr>
        <w:pStyle w:val="TOC2"/>
        <w:rPr>
          <w:noProof/>
        </w:rPr>
      </w:pPr>
      <w:r w:rsidRPr="002C5366">
        <w:rPr>
          <w:noProof/>
        </w:rPr>
        <w:t>A.10.</w:t>
      </w:r>
      <w:r w:rsidRPr="002C5366">
        <w:rPr>
          <w:noProof/>
        </w:rPr>
        <w:tab/>
      </w:r>
      <w:r w:rsidR="00B467F5" w:rsidRPr="002C5366">
        <w:rPr>
          <w:noProof/>
        </w:rPr>
        <w:t>Protection of the Privacy  and</w:t>
      </w:r>
      <w:r w:rsidRPr="002C5366">
        <w:rPr>
          <w:noProof/>
        </w:rPr>
        <w:t xml:space="preserve"> Confidentiality </w:t>
      </w:r>
      <w:r w:rsidR="00B467F5" w:rsidRPr="002C5366">
        <w:rPr>
          <w:noProof/>
        </w:rPr>
        <w:t xml:space="preserve">of Information </w:t>
      </w:r>
    </w:p>
    <w:p w14:paraId="3700C5C1" w14:textId="71199477" w:rsidR="00B352B5" w:rsidRPr="002C5366" w:rsidRDefault="00B467F5" w:rsidP="00B352B5">
      <w:pPr>
        <w:pStyle w:val="TOC2"/>
        <w:rPr>
          <w:noProof/>
        </w:rPr>
      </w:pPr>
      <w:r w:rsidRPr="002C5366">
        <w:rPr>
          <w:noProof/>
        </w:rPr>
        <w:tab/>
      </w:r>
      <w:r w:rsidR="00B352B5" w:rsidRPr="002C5366">
        <w:rPr>
          <w:noProof/>
        </w:rPr>
        <w:t xml:space="preserve">Provided  </w:t>
      </w:r>
      <w:r w:rsidR="00493773" w:rsidRPr="002C5366">
        <w:rPr>
          <w:noProof/>
        </w:rPr>
        <w:t xml:space="preserve">by </w:t>
      </w:r>
      <w:r w:rsidR="00B352B5" w:rsidRPr="002C5366">
        <w:rPr>
          <w:noProof/>
        </w:rPr>
        <w:t>Respondents</w:t>
      </w:r>
      <w:r w:rsidR="00B352B5" w:rsidRPr="002C5366">
        <w:rPr>
          <w:noProof/>
        </w:rPr>
        <w:tab/>
      </w:r>
      <w:r w:rsidR="00B352B5" w:rsidRPr="002C5366">
        <w:rPr>
          <w:noProof/>
        </w:rPr>
        <w:tab/>
      </w:r>
      <w:r w:rsidR="000B7D63" w:rsidRPr="002C5366">
        <w:rPr>
          <w:noProof/>
        </w:rPr>
        <w:t>12</w:t>
      </w:r>
    </w:p>
    <w:p w14:paraId="5BE572CF" w14:textId="77777777" w:rsidR="00B467F5" w:rsidRPr="002C5366" w:rsidRDefault="00B352B5" w:rsidP="00B352B5">
      <w:pPr>
        <w:pStyle w:val="TOC2"/>
        <w:rPr>
          <w:noProof/>
        </w:rPr>
      </w:pPr>
      <w:r w:rsidRPr="002C5366">
        <w:rPr>
          <w:noProof/>
        </w:rPr>
        <w:t>A.11.</w:t>
      </w:r>
      <w:r w:rsidRPr="002C5366">
        <w:rPr>
          <w:noProof/>
        </w:rPr>
        <w:tab/>
      </w:r>
      <w:r w:rsidR="00B467F5" w:rsidRPr="002C5366">
        <w:rPr>
          <w:noProof/>
        </w:rPr>
        <w:t xml:space="preserve">Institutional Review Board (IRB) and </w:t>
      </w:r>
      <w:r w:rsidRPr="002C5366">
        <w:rPr>
          <w:noProof/>
        </w:rPr>
        <w:t xml:space="preserve">Justification for Sensitive </w:t>
      </w:r>
    </w:p>
    <w:p w14:paraId="33AF5F32" w14:textId="4B235911" w:rsidR="00B352B5" w:rsidRPr="002C5366" w:rsidRDefault="00B467F5" w:rsidP="00B352B5">
      <w:pPr>
        <w:pStyle w:val="TOC2"/>
        <w:rPr>
          <w:noProof/>
        </w:rPr>
      </w:pPr>
      <w:r w:rsidRPr="002C5366">
        <w:rPr>
          <w:noProof/>
        </w:rPr>
        <w:tab/>
      </w:r>
      <w:r w:rsidR="00B352B5" w:rsidRPr="002C5366">
        <w:rPr>
          <w:noProof/>
        </w:rPr>
        <w:t>Questions</w:t>
      </w:r>
      <w:r w:rsidR="00B352B5" w:rsidRPr="002C5366">
        <w:rPr>
          <w:noProof/>
        </w:rPr>
        <w:tab/>
      </w:r>
      <w:r w:rsidR="00B352B5" w:rsidRPr="002C5366">
        <w:rPr>
          <w:noProof/>
        </w:rPr>
        <w:tab/>
      </w:r>
      <w:r w:rsidR="000B7D63" w:rsidRPr="002C5366">
        <w:rPr>
          <w:noProof/>
        </w:rPr>
        <w:t>13</w:t>
      </w:r>
    </w:p>
    <w:p w14:paraId="69E3D216" w14:textId="42EF1B54" w:rsidR="00B352B5" w:rsidRPr="002C5366" w:rsidRDefault="00B352B5" w:rsidP="00B352B5">
      <w:pPr>
        <w:pStyle w:val="TOC2"/>
        <w:rPr>
          <w:noProof/>
        </w:rPr>
      </w:pPr>
      <w:r w:rsidRPr="002C5366">
        <w:rPr>
          <w:noProof/>
        </w:rPr>
        <w:t>A.12.</w:t>
      </w:r>
      <w:r w:rsidRPr="002C5366">
        <w:rPr>
          <w:noProof/>
        </w:rPr>
        <w:tab/>
        <w:t>Estimates of Annualized Burden Hours and Costs</w:t>
      </w:r>
      <w:r w:rsidRPr="002C5366">
        <w:rPr>
          <w:noProof/>
        </w:rPr>
        <w:tab/>
      </w:r>
      <w:r w:rsidRPr="002C5366">
        <w:rPr>
          <w:noProof/>
        </w:rPr>
        <w:tab/>
      </w:r>
      <w:r w:rsidR="000B7D63" w:rsidRPr="002C5366">
        <w:rPr>
          <w:noProof/>
        </w:rPr>
        <w:t>13</w:t>
      </w:r>
    </w:p>
    <w:p w14:paraId="63FF766C" w14:textId="77777777" w:rsidR="00B352B5" w:rsidRPr="002C5366" w:rsidRDefault="00B352B5" w:rsidP="00B352B5">
      <w:pPr>
        <w:pStyle w:val="TOC2"/>
        <w:rPr>
          <w:noProof/>
        </w:rPr>
      </w:pPr>
      <w:r w:rsidRPr="002C5366">
        <w:rPr>
          <w:noProof/>
        </w:rPr>
        <w:t>A.13.</w:t>
      </w:r>
      <w:r w:rsidRPr="002C5366">
        <w:rPr>
          <w:noProof/>
        </w:rPr>
        <w:tab/>
        <w:t xml:space="preserve">Estimates of Other Total Annual Cost Burden to Respondents </w:t>
      </w:r>
    </w:p>
    <w:p w14:paraId="5A6F04AB" w14:textId="3B240ED5" w:rsidR="00B352B5" w:rsidRPr="002C5366" w:rsidRDefault="00B352B5" w:rsidP="00B352B5">
      <w:pPr>
        <w:pStyle w:val="TOC2"/>
        <w:rPr>
          <w:noProof/>
        </w:rPr>
      </w:pPr>
      <w:r w:rsidRPr="002C5366">
        <w:rPr>
          <w:noProof/>
        </w:rPr>
        <w:tab/>
        <w:t>or Record Keepers</w:t>
      </w:r>
      <w:r w:rsidRPr="002C5366">
        <w:rPr>
          <w:noProof/>
        </w:rPr>
        <w:tab/>
      </w:r>
      <w:r w:rsidRPr="002C5366">
        <w:rPr>
          <w:noProof/>
        </w:rPr>
        <w:tab/>
      </w:r>
      <w:r w:rsidR="00AC2B47" w:rsidRPr="002C5366">
        <w:rPr>
          <w:noProof/>
        </w:rPr>
        <w:t>1</w:t>
      </w:r>
      <w:r w:rsidR="000B7D63" w:rsidRPr="002C5366">
        <w:rPr>
          <w:noProof/>
        </w:rPr>
        <w:t>4</w:t>
      </w:r>
    </w:p>
    <w:p w14:paraId="7013027D" w14:textId="1B3738DB" w:rsidR="00B352B5" w:rsidRPr="002C5366" w:rsidRDefault="00B352B5" w:rsidP="00B352B5">
      <w:pPr>
        <w:pStyle w:val="TOC2"/>
        <w:rPr>
          <w:noProof/>
        </w:rPr>
      </w:pPr>
      <w:r w:rsidRPr="002C5366">
        <w:rPr>
          <w:noProof/>
        </w:rPr>
        <w:t>A.14.</w:t>
      </w:r>
      <w:r w:rsidRPr="002C5366">
        <w:rPr>
          <w:noProof/>
        </w:rPr>
        <w:tab/>
        <w:t>Annualized Cost to the Government</w:t>
      </w:r>
      <w:r w:rsidRPr="002C5366">
        <w:rPr>
          <w:noProof/>
        </w:rPr>
        <w:tab/>
      </w:r>
      <w:r w:rsidRPr="002C5366">
        <w:rPr>
          <w:noProof/>
        </w:rPr>
        <w:tab/>
      </w:r>
      <w:r w:rsidR="000B7D63" w:rsidRPr="002C5366">
        <w:rPr>
          <w:noProof/>
        </w:rPr>
        <w:t>1</w:t>
      </w:r>
      <w:r w:rsidR="00896016" w:rsidRPr="002C5366">
        <w:rPr>
          <w:noProof/>
        </w:rPr>
        <w:t>5</w:t>
      </w:r>
    </w:p>
    <w:p w14:paraId="2453649B" w14:textId="18105675" w:rsidR="00B352B5" w:rsidRPr="002C5366" w:rsidRDefault="00B352B5" w:rsidP="00B352B5">
      <w:pPr>
        <w:pStyle w:val="TOC2"/>
        <w:rPr>
          <w:noProof/>
        </w:rPr>
      </w:pPr>
      <w:r w:rsidRPr="002C5366">
        <w:rPr>
          <w:noProof/>
        </w:rPr>
        <w:t>A.15.</w:t>
      </w:r>
      <w:r w:rsidRPr="002C5366">
        <w:rPr>
          <w:noProof/>
        </w:rPr>
        <w:tab/>
        <w:t>Explanation for Program Changes or Adjustments</w:t>
      </w:r>
      <w:r w:rsidRPr="002C5366">
        <w:rPr>
          <w:noProof/>
        </w:rPr>
        <w:tab/>
      </w:r>
      <w:r w:rsidRPr="002C5366">
        <w:rPr>
          <w:noProof/>
        </w:rPr>
        <w:tab/>
      </w:r>
      <w:r w:rsidR="00AC2B47" w:rsidRPr="002C5366">
        <w:rPr>
          <w:noProof/>
        </w:rPr>
        <w:t>1</w:t>
      </w:r>
      <w:r w:rsidR="00896016" w:rsidRPr="002C5366">
        <w:rPr>
          <w:noProof/>
        </w:rPr>
        <w:t>6</w:t>
      </w:r>
    </w:p>
    <w:p w14:paraId="2E475711" w14:textId="50BBF362" w:rsidR="00B352B5" w:rsidRPr="002C5366" w:rsidRDefault="00B352B5" w:rsidP="00B352B5">
      <w:pPr>
        <w:pStyle w:val="TOC2"/>
        <w:rPr>
          <w:noProof/>
        </w:rPr>
      </w:pPr>
      <w:r w:rsidRPr="002C5366">
        <w:rPr>
          <w:noProof/>
        </w:rPr>
        <w:t>A.16.</w:t>
      </w:r>
      <w:r w:rsidRPr="002C5366">
        <w:rPr>
          <w:noProof/>
        </w:rPr>
        <w:tab/>
        <w:t>Plans for Tabulation and Publication and Project Time Schedule</w:t>
      </w:r>
      <w:r w:rsidRPr="002C5366">
        <w:rPr>
          <w:noProof/>
        </w:rPr>
        <w:tab/>
      </w:r>
      <w:r w:rsidR="000B7D63" w:rsidRPr="002C5366">
        <w:rPr>
          <w:noProof/>
        </w:rPr>
        <w:t>1</w:t>
      </w:r>
      <w:r w:rsidR="00896016" w:rsidRPr="002C5366">
        <w:rPr>
          <w:noProof/>
        </w:rPr>
        <w:t>7</w:t>
      </w:r>
    </w:p>
    <w:p w14:paraId="01E3E8F8" w14:textId="58E3D5F0" w:rsidR="00B352B5" w:rsidRPr="002C5366" w:rsidRDefault="00B352B5" w:rsidP="00B352B5">
      <w:pPr>
        <w:pStyle w:val="TOC2"/>
        <w:rPr>
          <w:noProof/>
        </w:rPr>
      </w:pPr>
      <w:r w:rsidRPr="002C5366">
        <w:rPr>
          <w:noProof/>
        </w:rPr>
        <w:t>A.17.</w:t>
      </w:r>
      <w:r w:rsidRPr="002C5366">
        <w:rPr>
          <w:noProof/>
        </w:rPr>
        <w:tab/>
        <w:t>Reason(s) Display of OMB Expiration Date is Inappropriate</w:t>
      </w:r>
      <w:r w:rsidRPr="002C5366">
        <w:rPr>
          <w:noProof/>
        </w:rPr>
        <w:tab/>
      </w:r>
      <w:r w:rsidRPr="002C5366">
        <w:rPr>
          <w:noProof/>
        </w:rPr>
        <w:tab/>
      </w:r>
      <w:r w:rsidR="00AC2B47" w:rsidRPr="002C5366">
        <w:rPr>
          <w:noProof/>
        </w:rPr>
        <w:t>1</w:t>
      </w:r>
      <w:r w:rsidR="00896016" w:rsidRPr="002C5366">
        <w:rPr>
          <w:noProof/>
        </w:rPr>
        <w:t>7</w:t>
      </w:r>
    </w:p>
    <w:p w14:paraId="1F6D11A4" w14:textId="6778067F" w:rsidR="00B352B5" w:rsidRPr="002C5366" w:rsidRDefault="00B352B5" w:rsidP="00B352B5">
      <w:pPr>
        <w:pStyle w:val="TOC2"/>
        <w:rPr>
          <w:noProof/>
        </w:rPr>
      </w:pPr>
      <w:r w:rsidRPr="002C5366">
        <w:rPr>
          <w:noProof/>
        </w:rPr>
        <w:t>A.18.</w:t>
      </w:r>
      <w:r w:rsidRPr="002C5366">
        <w:rPr>
          <w:noProof/>
        </w:rPr>
        <w:tab/>
        <w:t xml:space="preserve">Exceptions to Certification for Paperwork Reduction Act </w:t>
      </w:r>
    </w:p>
    <w:p w14:paraId="364A861D" w14:textId="1DC3777E" w:rsidR="00B352B5" w:rsidRPr="002C5366" w:rsidRDefault="00B352B5" w:rsidP="00B352B5">
      <w:pPr>
        <w:pStyle w:val="TOC2"/>
        <w:rPr>
          <w:noProof/>
        </w:rPr>
      </w:pPr>
      <w:r w:rsidRPr="002C5366">
        <w:rPr>
          <w:noProof/>
        </w:rPr>
        <w:tab/>
        <w:t>Submissions</w:t>
      </w:r>
      <w:r w:rsidRPr="002C5366">
        <w:rPr>
          <w:noProof/>
        </w:rPr>
        <w:tab/>
      </w:r>
      <w:r w:rsidRPr="002C5366">
        <w:rPr>
          <w:noProof/>
        </w:rPr>
        <w:tab/>
      </w:r>
      <w:r w:rsidR="000B7D63" w:rsidRPr="002C5366">
        <w:rPr>
          <w:noProof/>
        </w:rPr>
        <w:t>1</w:t>
      </w:r>
      <w:r w:rsidR="00896016" w:rsidRPr="002C5366">
        <w:rPr>
          <w:noProof/>
        </w:rPr>
        <w:t>7</w:t>
      </w:r>
    </w:p>
    <w:p w14:paraId="6407E697" w14:textId="77777777" w:rsidR="00B352B5" w:rsidRPr="002C5366" w:rsidRDefault="00B352B5" w:rsidP="00B352B5">
      <w:pPr>
        <w:pStyle w:val="TOC1"/>
        <w:rPr>
          <w:noProof/>
        </w:rPr>
      </w:pPr>
    </w:p>
    <w:p w14:paraId="1E2629D1" w14:textId="77777777" w:rsidR="00B352B5" w:rsidRPr="002C5366" w:rsidRDefault="00B352B5" w:rsidP="00B352B5">
      <w:pPr>
        <w:pStyle w:val="TOC5"/>
        <w:ind w:left="0"/>
        <w:jc w:val="left"/>
        <w:rPr>
          <w:noProof/>
        </w:rPr>
      </w:pPr>
    </w:p>
    <w:p w14:paraId="391EED2D" w14:textId="77777777" w:rsidR="00B352B5" w:rsidRPr="002C5366" w:rsidRDefault="00B352B5" w:rsidP="00B352B5">
      <w:pPr>
        <w:pStyle w:val="TOC5"/>
      </w:pPr>
    </w:p>
    <w:p w14:paraId="727D9E4D" w14:textId="77777777" w:rsidR="00B352B5" w:rsidRPr="002C5366" w:rsidRDefault="00B352B5" w:rsidP="00B352B5">
      <w:pPr>
        <w:pStyle w:val="C2-CtrSglSp"/>
        <w:spacing w:after="100" w:afterAutospacing="1"/>
        <w:jc w:val="left"/>
      </w:pPr>
      <w:r w:rsidRPr="002C5366">
        <w:t>Attachments</w:t>
      </w:r>
    </w:p>
    <w:p w14:paraId="582EF0B3" w14:textId="77777777" w:rsidR="00B352B5" w:rsidRPr="002C5366" w:rsidRDefault="00B352B5" w:rsidP="00B352B5">
      <w:pPr>
        <w:ind w:firstLine="720"/>
        <w:rPr>
          <w:sz w:val="24"/>
        </w:rPr>
      </w:pPr>
      <w:r w:rsidRPr="002C5366">
        <w:rPr>
          <w:sz w:val="24"/>
        </w:rPr>
        <w:t>A</w:t>
      </w:r>
      <w:r w:rsidRPr="002C5366">
        <w:rPr>
          <w:sz w:val="24"/>
        </w:rPr>
        <w:tab/>
        <w:t>Authorizing Legislation: Public Health Service Act</w:t>
      </w:r>
    </w:p>
    <w:p w14:paraId="036F8610" w14:textId="2A70EEAB" w:rsidR="00360835" w:rsidRPr="002C5366" w:rsidRDefault="00B352B5" w:rsidP="00B352B5">
      <w:pPr>
        <w:ind w:firstLine="720"/>
        <w:rPr>
          <w:sz w:val="24"/>
        </w:rPr>
      </w:pPr>
      <w:r w:rsidRPr="002C5366">
        <w:rPr>
          <w:sz w:val="24"/>
        </w:rPr>
        <w:t>B</w:t>
      </w:r>
      <w:r w:rsidRPr="002C5366">
        <w:rPr>
          <w:sz w:val="24"/>
        </w:rPr>
        <w:tab/>
        <w:t>Published 60-Day Federal Register Notice</w:t>
      </w:r>
    </w:p>
    <w:p w14:paraId="5085FE2E" w14:textId="13D0431C" w:rsidR="00712EBB" w:rsidRPr="002C5366" w:rsidRDefault="00712EBB" w:rsidP="00B352B5">
      <w:pPr>
        <w:ind w:firstLine="720"/>
        <w:rPr>
          <w:sz w:val="24"/>
        </w:rPr>
      </w:pPr>
      <w:r w:rsidRPr="002C5366">
        <w:rPr>
          <w:sz w:val="24"/>
        </w:rPr>
        <w:t>B1</w:t>
      </w:r>
      <w:r w:rsidRPr="002C5366">
        <w:rPr>
          <w:sz w:val="24"/>
        </w:rPr>
        <w:tab/>
      </w:r>
      <w:r w:rsidR="00254638" w:rsidRPr="002C5366">
        <w:rPr>
          <w:sz w:val="24"/>
        </w:rPr>
        <w:t>P</w:t>
      </w:r>
      <w:r w:rsidR="00E70480" w:rsidRPr="002C5366">
        <w:rPr>
          <w:sz w:val="24"/>
        </w:rPr>
        <w:t xml:space="preserve">ublic </w:t>
      </w:r>
      <w:r w:rsidRPr="002C5366">
        <w:rPr>
          <w:sz w:val="24"/>
        </w:rPr>
        <w:t>comment</w:t>
      </w:r>
    </w:p>
    <w:p w14:paraId="3F7519AE" w14:textId="77777777" w:rsidR="00635D32" w:rsidRPr="002C5366" w:rsidRDefault="00B352B5" w:rsidP="00635D32">
      <w:pPr>
        <w:rPr>
          <w:sz w:val="24"/>
        </w:rPr>
      </w:pPr>
      <w:r w:rsidRPr="002C5366">
        <w:rPr>
          <w:sz w:val="24"/>
        </w:rPr>
        <w:t xml:space="preserve">      </w:t>
      </w:r>
      <w:r w:rsidRPr="002C5366">
        <w:rPr>
          <w:sz w:val="24"/>
        </w:rPr>
        <w:tab/>
        <w:t>C</w:t>
      </w:r>
      <w:r w:rsidRPr="002C5366">
        <w:rPr>
          <w:sz w:val="24"/>
        </w:rPr>
        <w:tab/>
        <w:t>Institutional Review Board (IRB) documentation</w:t>
      </w:r>
    </w:p>
    <w:p w14:paraId="0A67026E" w14:textId="6EE0BB5E" w:rsidR="00635D32" w:rsidRPr="002C5366" w:rsidRDefault="00635D32" w:rsidP="00635D32">
      <w:pPr>
        <w:ind w:firstLine="720"/>
        <w:rPr>
          <w:sz w:val="24"/>
        </w:rPr>
      </w:pPr>
      <w:r w:rsidRPr="002C5366">
        <w:rPr>
          <w:sz w:val="24"/>
        </w:rPr>
        <w:t>D</w:t>
      </w:r>
      <w:r w:rsidRPr="002C5366">
        <w:rPr>
          <w:sz w:val="24"/>
        </w:rPr>
        <w:tab/>
      </w:r>
      <w:r w:rsidR="00444607" w:rsidRPr="002C5366">
        <w:rPr>
          <w:sz w:val="24"/>
        </w:rPr>
        <w:t>SUDORS</w:t>
      </w:r>
      <w:r w:rsidRPr="002C5366">
        <w:rPr>
          <w:sz w:val="24"/>
        </w:rPr>
        <w:t xml:space="preserve"> Data Elements </w:t>
      </w:r>
    </w:p>
    <w:p w14:paraId="2CD4DDC0" w14:textId="3122BD73" w:rsidR="00635D32" w:rsidRPr="002C5366" w:rsidRDefault="00635D32" w:rsidP="00635D32">
      <w:pPr>
        <w:ind w:firstLine="720"/>
        <w:rPr>
          <w:sz w:val="24"/>
        </w:rPr>
      </w:pPr>
      <w:r w:rsidRPr="002C5366">
        <w:rPr>
          <w:sz w:val="24"/>
        </w:rPr>
        <w:t>E</w:t>
      </w:r>
      <w:r w:rsidRPr="002C5366">
        <w:rPr>
          <w:sz w:val="24"/>
        </w:rPr>
        <w:tab/>
      </w:r>
      <w:r w:rsidR="006B3560" w:rsidRPr="002C5366">
        <w:rPr>
          <w:sz w:val="24"/>
        </w:rPr>
        <w:t xml:space="preserve">Retrieving and refiling records </w:t>
      </w:r>
    </w:p>
    <w:p w14:paraId="37E935D1" w14:textId="27E0A105" w:rsidR="00116560" w:rsidRPr="002C5366" w:rsidRDefault="00116560" w:rsidP="00635D32">
      <w:pPr>
        <w:ind w:firstLine="720"/>
        <w:rPr>
          <w:sz w:val="24"/>
        </w:rPr>
      </w:pPr>
      <w:r w:rsidRPr="002C5366">
        <w:rPr>
          <w:sz w:val="24"/>
        </w:rPr>
        <w:t>F</w:t>
      </w:r>
      <w:r w:rsidRPr="002C5366">
        <w:rPr>
          <w:sz w:val="24"/>
        </w:rPr>
        <w:tab/>
        <w:t>SUDORS Updates Documentation</w:t>
      </w:r>
    </w:p>
    <w:p w14:paraId="7C601BE0" w14:textId="65EBD604" w:rsidR="00472CB3" w:rsidRPr="002C5366" w:rsidRDefault="00472CB3" w:rsidP="00635D32">
      <w:pPr>
        <w:ind w:firstLine="720"/>
        <w:rPr>
          <w:sz w:val="24"/>
        </w:rPr>
      </w:pPr>
      <w:r w:rsidRPr="002C5366">
        <w:rPr>
          <w:sz w:val="24"/>
        </w:rPr>
        <w:t>F1</w:t>
      </w:r>
      <w:r w:rsidRPr="002C5366">
        <w:rPr>
          <w:sz w:val="24"/>
        </w:rPr>
        <w:tab/>
        <w:t>SUDORS Updated Screen Shots</w:t>
      </w:r>
    </w:p>
    <w:p w14:paraId="68C00F5A" w14:textId="504C0EF3" w:rsidR="00723312" w:rsidRPr="002C5366" w:rsidRDefault="00723312" w:rsidP="00635D32">
      <w:pPr>
        <w:ind w:firstLine="720"/>
        <w:rPr>
          <w:sz w:val="24"/>
        </w:rPr>
      </w:pPr>
      <w:r w:rsidRPr="002C5366">
        <w:rPr>
          <w:sz w:val="24"/>
        </w:rPr>
        <w:t>G</w:t>
      </w:r>
      <w:r w:rsidRPr="002C5366">
        <w:rPr>
          <w:sz w:val="24"/>
        </w:rPr>
        <w:tab/>
        <w:t>Privacy Impact Assessment (PIA)</w:t>
      </w:r>
    </w:p>
    <w:p w14:paraId="7D4BD388" w14:textId="77777777" w:rsidR="00B352B5" w:rsidRPr="002C5366" w:rsidRDefault="00B352B5" w:rsidP="00B352B5">
      <w:pPr>
        <w:ind w:firstLine="720"/>
        <w:rPr>
          <w:sz w:val="24"/>
        </w:rPr>
      </w:pPr>
    </w:p>
    <w:p w14:paraId="60FEFEDE" w14:textId="536E2A9D" w:rsidR="001C26B3" w:rsidRPr="002C5366" w:rsidRDefault="00B352B5" w:rsidP="00D54159">
      <w:pPr>
        <w:jc w:val="center"/>
        <w:rPr>
          <w:sz w:val="24"/>
        </w:rPr>
      </w:pPr>
      <w:r w:rsidRPr="002C5366">
        <w:rPr>
          <w:sz w:val="24"/>
        </w:rPr>
        <w:br w:type="page"/>
      </w:r>
    </w:p>
    <w:p w14:paraId="31846B3B" w14:textId="77777777" w:rsidR="00FE7BD6" w:rsidRPr="002C5366" w:rsidRDefault="00FE7BD6" w:rsidP="00FE7BD6">
      <w:pPr>
        <w:rPr>
          <w:sz w:val="24"/>
        </w:rPr>
      </w:pPr>
    </w:p>
    <w:p w14:paraId="40129571" w14:textId="77777777" w:rsidR="00FE7BD6" w:rsidRPr="002C5366" w:rsidRDefault="00FE7BD6" w:rsidP="00FE7BD6">
      <w:pPr>
        <w:rPr>
          <w:b/>
          <w:bCs/>
          <w:sz w:val="24"/>
        </w:rPr>
      </w:pPr>
      <w:r w:rsidRPr="002C5366">
        <w:rPr>
          <w:b/>
          <w:bCs/>
          <w:sz w:val="24"/>
        </w:rPr>
        <w:t>Summary Table</w:t>
      </w:r>
    </w:p>
    <w:p w14:paraId="23FBF62E" w14:textId="77777777" w:rsidR="00613EB7" w:rsidRPr="002C5366" w:rsidRDefault="000E622E" w:rsidP="00FE7BD6">
      <w:pPr>
        <w:rPr>
          <w:b/>
          <w:bCs/>
          <w:sz w:val="24"/>
        </w:rPr>
      </w:pPr>
      <w:r w:rsidRPr="002C5366">
        <w:rPr>
          <w:noProof/>
          <w:sz w:val="24"/>
        </w:rPr>
        <mc:AlternateContent>
          <mc:Choice Requires="wps">
            <w:drawing>
              <wp:anchor distT="45720" distB="45720" distL="114300" distR="114300" simplePos="0" relativeHeight="251658240" behindDoc="0" locked="0" layoutInCell="1" allowOverlap="1" wp14:anchorId="40162910" wp14:editId="6A902B9A">
                <wp:simplePos x="0" y="0"/>
                <wp:positionH relativeFrom="column">
                  <wp:posOffset>247650</wp:posOffset>
                </wp:positionH>
                <wp:positionV relativeFrom="paragraph">
                  <wp:posOffset>144145</wp:posOffset>
                </wp:positionV>
                <wp:extent cx="5034915" cy="488632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4886325"/>
                        </a:xfrm>
                        <a:prstGeom prst="rect">
                          <a:avLst/>
                        </a:prstGeom>
                        <a:solidFill>
                          <a:srgbClr val="FFFFFF"/>
                        </a:solidFill>
                        <a:ln w="9525">
                          <a:solidFill>
                            <a:srgbClr val="000000"/>
                          </a:solidFill>
                          <a:miter lim="800000"/>
                          <a:headEnd/>
                          <a:tailEnd/>
                        </a:ln>
                      </wps:spPr>
                      <wps:txbx>
                        <w:txbxContent>
                          <w:p w14:paraId="196540BC" w14:textId="131610CB" w:rsidR="00BE63D4" w:rsidRPr="00895A90" w:rsidRDefault="00BE63D4" w:rsidP="000C2626">
                            <w:pPr>
                              <w:numPr>
                                <w:ilvl w:val="0"/>
                                <w:numId w:val="23"/>
                              </w:numPr>
                              <w:rPr>
                                <w:sz w:val="24"/>
                              </w:rPr>
                            </w:pPr>
                            <w:r w:rsidRPr="000E6234">
                              <w:rPr>
                                <w:b/>
                                <w:sz w:val="24"/>
                              </w:rPr>
                              <w:t xml:space="preserve">Goal of the study – </w:t>
                            </w:r>
                            <w:r w:rsidRPr="000E6234">
                              <w:rPr>
                                <w:sz w:val="24"/>
                              </w:rPr>
                              <w:t xml:space="preserve">Detect state and local community changes in opioid-related mortality faster and provide in-depth state and local (e.g., county) information on risk factors for fatal overdose that can inform the selection and targeting of interventions in states with high rates of opioid-related overdose deaths.  CDC requests OMB approval for 3 years for this revision to include all 50 states, increasing the burden from the 16 states currently approved. </w:t>
                            </w:r>
                            <w:r w:rsidRPr="00895A90">
                              <w:rPr>
                                <w:sz w:val="24"/>
                              </w:rPr>
                              <w:t>The new states will be funded in August/September 2017 and will need to begin surveillance work and reporting by October 2017 to be in compliance with the deliverable dates in the FOA. In addition, there have been updates to the web-based system to improve performance, functionality, and accessibility, and additional fields have been added to the opioid overdose module to allow for capturing of more detailed information.</w:t>
                            </w:r>
                          </w:p>
                          <w:p w14:paraId="5C7124B7" w14:textId="264076A7" w:rsidR="00BE63D4" w:rsidRPr="00895A90" w:rsidRDefault="00BE63D4" w:rsidP="00C6320A">
                            <w:pPr>
                              <w:numPr>
                                <w:ilvl w:val="0"/>
                                <w:numId w:val="23"/>
                              </w:numPr>
                              <w:rPr>
                                <w:sz w:val="24"/>
                              </w:rPr>
                            </w:pPr>
                            <w:r w:rsidRPr="000E6234">
                              <w:rPr>
                                <w:b/>
                                <w:sz w:val="24"/>
                              </w:rPr>
                              <w:t xml:space="preserve">Intended use of the resulting data- </w:t>
                            </w:r>
                            <w:r w:rsidRPr="000E6234">
                              <w:rPr>
                                <w:sz w:val="24"/>
                              </w:rPr>
                              <w:t xml:space="preserve">Improve identification and response to changes in </w:t>
                            </w:r>
                            <w:r>
                              <w:rPr>
                                <w:sz w:val="24"/>
                              </w:rPr>
                              <w:t xml:space="preserve">fatal unintentional opioid-related overdose trends at the local, </w:t>
                            </w:r>
                            <w:r w:rsidRPr="00895A90">
                              <w:rPr>
                                <w:sz w:val="24"/>
                              </w:rPr>
                              <w:t xml:space="preserve">state, and national level. </w:t>
                            </w:r>
                          </w:p>
                          <w:p w14:paraId="7B9A7810" w14:textId="14D6DAA1" w:rsidR="00BE63D4" w:rsidRPr="003F1F27" w:rsidRDefault="00BE63D4" w:rsidP="000C2626">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Examiner/Coroner reports (ME/C)  as well as death certificates on unintentional opioid-related overdose deaths in their state into a CDC web-based platform.</w:t>
                            </w:r>
                          </w:p>
                          <w:p w14:paraId="4A82992B" w14:textId="3F2B466D" w:rsidR="00BE63D4" w:rsidRDefault="00BE63D4" w:rsidP="000C2626">
                            <w:pPr>
                              <w:numPr>
                                <w:ilvl w:val="0"/>
                                <w:numId w:val="23"/>
                              </w:numPr>
                              <w:rPr>
                                <w:sz w:val="24"/>
                              </w:rPr>
                            </w:pPr>
                            <w:r w:rsidRPr="00204673">
                              <w:rPr>
                                <w:b/>
                                <w:sz w:val="24"/>
                              </w:rPr>
                              <w:t>The subpopulation to be studied</w:t>
                            </w:r>
                            <w:r>
                              <w:rPr>
                                <w:b/>
                                <w:sz w:val="24"/>
                              </w:rPr>
                              <w:t xml:space="preserve"> – </w:t>
                            </w:r>
                            <w:r>
                              <w:rPr>
                                <w:sz w:val="24"/>
                              </w:rPr>
                              <w:t>Individuals who died of an unintentional opioid-related drug overdose</w:t>
                            </w:r>
                          </w:p>
                          <w:p w14:paraId="571437EC" w14:textId="02A86938" w:rsidR="00BE63D4" w:rsidRPr="00962928" w:rsidRDefault="00BE63D4" w:rsidP="00255A88">
                            <w:pPr>
                              <w:numPr>
                                <w:ilvl w:val="0"/>
                                <w:numId w:val="23"/>
                              </w:numPr>
                              <w:rPr>
                                <w:sz w:val="24"/>
                              </w:rPr>
                            </w:pPr>
                            <w:r w:rsidRPr="00AD3604">
                              <w:rPr>
                                <w:b/>
                                <w:sz w:val="24"/>
                              </w:rPr>
                              <w:t xml:space="preserve">How data will be analyzed - </w:t>
                            </w:r>
                            <w:r w:rsidRPr="00AD3604">
                              <w:rPr>
                                <w:sz w:val="24"/>
                              </w:rPr>
                              <w:t>Descriptive analyses such as frequencies and rates.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1.35pt;width:396.45pt;height:38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">
                <v:textbox>
                  <w:txbxContent>
                    <w:p w14:paraId="196540BC" w14:textId="131610CB" w:rsidR="00BE63D4" w:rsidRPr="00895A90" w:rsidRDefault="00BE63D4" w:rsidP="000C2626">
                      <w:pPr>
                        <w:numPr>
                          <w:ilvl w:val="0"/>
                          <w:numId w:val="23"/>
                        </w:numPr>
                        <w:rPr>
                          <w:sz w:val="24"/>
                        </w:rPr>
                      </w:pPr>
                      <w:r w:rsidRPr="000E6234">
                        <w:rPr>
                          <w:b/>
                          <w:sz w:val="24"/>
                        </w:rPr>
                        <w:t xml:space="preserve">Goal of the study – </w:t>
                      </w:r>
                      <w:r w:rsidRPr="000E6234">
                        <w:rPr>
                          <w:sz w:val="24"/>
                        </w:rPr>
                        <w:t xml:space="preserve">Detect state and local community changes in opioid-related mortality faster and provide in-depth state and local (e.g., county) information on risk factors for fatal overdose that can inform the selection and targeting of interventions in states with high rates of opioid-related overdose deaths.  CDC requests OMB approval for 3 years for this revision to include all 50 states, increasing the burden from the 16 states currently approved. </w:t>
                      </w:r>
                      <w:r w:rsidRPr="00895A90">
                        <w:rPr>
                          <w:sz w:val="24"/>
                        </w:rPr>
                        <w:t>The new states will be funded in August/September 2017 and will need to begin surveillance work and reporting by October 2017 to be in compliance with the deliverable dates in the FOA. In addition, there have been updates to the web-based system to improve performance, functionality, and accessibility, and additional fields have been added to the opioid overdose module to allow for capturing of more detailed information.</w:t>
                      </w:r>
                    </w:p>
                    <w:p w14:paraId="5C7124B7" w14:textId="264076A7" w:rsidR="00BE63D4" w:rsidRPr="00895A90" w:rsidRDefault="00BE63D4" w:rsidP="00C6320A">
                      <w:pPr>
                        <w:numPr>
                          <w:ilvl w:val="0"/>
                          <w:numId w:val="23"/>
                        </w:numPr>
                        <w:rPr>
                          <w:sz w:val="24"/>
                        </w:rPr>
                      </w:pPr>
                      <w:r w:rsidRPr="000E6234">
                        <w:rPr>
                          <w:b/>
                          <w:sz w:val="24"/>
                        </w:rPr>
                        <w:t xml:space="preserve">Intended use of the resulting data- </w:t>
                      </w:r>
                      <w:r w:rsidRPr="000E6234">
                        <w:rPr>
                          <w:sz w:val="24"/>
                        </w:rPr>
                        <w:t xml:space="preserve">Improve identification and response to changes in </w:t>
                      </w:r>
                      <w:r>
                        <w:rPr>
                          <w:sz w:val="24"/>
                        </w:rPr>
                        <w:t xml:space="preserve">fatal unintentional opioid-related overdose trends at the local, </w:t>
                      </w:r>
                      <w:r w:rsidRPr="00895A90">
                        <w:rPr>
                          <w:sz w:val="24"/>
                        </w:rPr>
                        <w:t xml:space="preserve">state, and national level. </w:t>
                      </w:r>
                    </w:p>
                    <w:p w14:paraId="7B9A7810" w14:textId="14D6DAA1" w:rsidR="00BE63D4" w:rsidRPr="003F1F27" w:rsidRDefault="00BE63D4" w:rsidP="000C2626">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Examiner/Coroner reports (ME/C)  as well as death certificates on unintentional opioid-related overdose deaths in their state into a CDC web-based platform.</w:t>
                      </w:r>
                    </w:p>
                    <w:p w14:paraId="4A82992B" w14:textId="3F2B466D" w:rsidR="00BE63D4" w:rsidRDefault="00BE63D4" w:rsidP="000C2626">
                      <w:pPr>
                        <w:numPr>
                          <w:ilvl w:val="0"/>
                          <w:numId w:val="23"/>
                        </w:numPr>
                        <w:rPr>
                          <w:sz w:val="24"/>
                        </w:rPr>
                      </w:pPr>
                      <w:r w:rsidRPr="00204673">
                        <w:rPr>
                          <w:b/>
                          <w:sz w:val="24"/>
                        </w:rPr>
                        <w:t>The subpopulation to be studied</w:t>
                      </w:r>
                      <w:r>
                        <w:rPr>
                          <w:b/>
                          <w:sz w:val="24"/>
                        </w:rPr>
                        <w:t xml:space="preserve"> – </w:t>
                      </w:r>
                      <w:r>
                        <w:rPr>
                          <w:sz w:val="24"/>
                        </w:rPr>
                        <w:t>Individuals who died of an unintentional opioid-related drug overdose</w:t>
                      </w:r>
                    </w:p>
                    <w:p w14:paraId="571437EC" w14:textId="02A86938" w:rsidR="00BE63D4" w:rsidRPr="00962928" w:rsidRDefault="00BE63D4" w:rsidP="00255A88">
                      <w:pPr>
                        <w:numPr>
                          <w:ilvl w:val="0"/>
                          <w:numId w:val="23"/>
                        </w:numPr>
                        <w:rPr>
                          <w:sz w:val="24"/>
                        </w:rPr>
                      </w:pPr>
                      <w:r w:rsidRPr="00AD3604">
                        <w:rPr>
                          <w:b/>
                          <w:sz w:val="24"/>
                        </w:rPr>
                        <w:t xml:space="preserve">How data will be analyzed - </w:t>
                      </w:r>
                      <w:r w:rsidRPr="00AD3604">
                        <w:rPr>
                          <w:sz w:val="24"/>
                        </w:rPr>
                        <w:t>Descriptive analyses such as frequencies and rates.</w:t>
                      </w:r>
                    </w:p>
                  </w:txbxContent>
                </v:textbox>
                <w10:wrap type="square"/>
              </v:shape>
            </w:pict>
          </mc:Fallback>
        </mc:AlternateContent>
      </w:r>
    </w:p>
    <w:p w14:paraId="14200C4B" w14:textId="77777777" w:rsidR="001C26B3" w:rsidRPr="002C5366" w:rsidRDefault="001C26B3" w:rsidP="00E912EE">
      <w:pPr>
        <w:rPr>
          <w:sz w:val="24"/>
        </w:rPr>
      </w:pPr>
    </w:p>
    <w:p w14:paraId="2C845AF6" w14:textId="77777777" w:rsidR="00613EB7" w:rsidRPr="002C5366" w:rsidRDefault="00613EB7" w:rsidP="00E912EE">
      <w:pPr>
        <w:rPr>
          <w:sz w:val="24"/>
        </w:rPr>
      </w:pPr>
    </w:p>
    <w:p w14:paraId="6CA24E4E" w14:textId="77777777" w:rsidR="00613EB7" w:rsidRPr="002C5366" w:rsidRDefault="00613EB7" w:rsidP="00E912EE">
      <w:pPr>
        <w:rPr>
          <w:sz w:val="24"/>
        </w:rPr>
      </w:pPr>
    </w:p>
    <w:p w14:paraId="29A2F65B" w14:textId="77777777" w:rsidR="00613EB7" w:rsidRPr="002C5366" w:rsidRDefault="00613EB7" w:rsidP="00E912EE">
      <w:pPr>
        <w:rPr>
          <w:sz w:val="24"/>
        </w:rPr>
      </w:pPr>
    </w:p>
    <w:p w14:paraId="6BD1C9D0" w14:textId="77777777" w:rsidR="00613EB7" w:rsidRPr="002C5366" w:rsidRDefault="00613EB7" w:rsidP="00E912EE">
      <w:pPr>
        <w:rPr>
          <w:sz w:val="24"/>
        </w:rPr>
      </w:pPr>
    </w:p>
    <w:p w14:paraId="6A3818B6" w14:textId="77777777" w:rsidR="00613EB7" w:rsidRPr="002C5366" w:rsidRDefault="00613EB7" w:rsidP="00E912EE">
      <w:pPr>
        <w:rPr>
          <w:sz w:val="24"/>
        </w:rPr>
      </w:pPr>
    </w:p>
    <w:p w14:paraId="0518EA8B" w14:textId="77777777" w:rsidR="00613EB7" w:rsidRPr="002C5366" w:rsidRDefault="00613EB7" w:rsidP="00E912EE">
      <w:pPr>
        <w:rPr>
          <w:sz w:val="24"/>
        </w:rPr>
      </w:pPr>
    </w:p>
    <w:p w14:paraId="27EA839B" w14:textId="77777777" w:rsidR="00613EB7" w:rsidRPr="002C5366" w:rsidRDefault="00613EB7" w:rsidP="00E912EE">
      <w:pPr>
        <w:rPr>
          <w:sz w:val="24"/>
        </w:rPr>
      </w:pPr>
    </w:p>
    <w:p w14:paraId="6AC7921F" w14:textId="77777777" w:rsidR="00613EB7" w:rsidRPr="002C5366" w:rsidRDefault="00613EB7" w:rsidP="00E912EE">
      <w:pPr>
        <w:rPr>
          <w:sz w:val="24"/>
        </w:rPr>
      </w:pPr>
    </w:p>
    <w:p w14:paraId="053D8DAD" w14:textId="77777777" w:rsidR="00613EB7" w:rsidRPr="002C5366" w:rsidRDefault="00613EB7" w:rsidP="00E912EE">
      <w:pPr>
        <w:rPr>
          <w:sz w:val="24"/>
        </w:rPr>
      </w:pPr>
    </w:p>
    <w:p w14:paraId="2570D43B" w14:textId="77777777" w:rsidR="00613EB7" w:rsidRPr="002C5366" w:rsidRDefault="00613EB7" w:rsidP="00E912EE">
      <w:pPr>
        <w:rPr>
          <w:sz w:val="24"/>
        </w:rPr>
      </w:pPr>
    </w:p>
    <w:p w14:paraId="748A9F9E" w14:textId="77777777" w:rsidR="00613EB7" w:rsidRPr="002C5366" w:rsidRDefault="00613EB7" w:rsidP="00E912EE">
      <w:pPr>
        <w:rPr>
          <w:sz w:val="24"/>
        </w:rPr>
      </w:pPr>
    </w:p>
    <w:p w14:paraId="051A557B" w14:textId="77777777" w:rsidR="00613EB7" w:rsidRPr="002C5366" w:rsidRDefault="00613EB7" w:rsidP="00E912EE">
      <w:pPr>
        <w:rPr>
          <w:sz w:val="24"/>
        </w:rPr>
      </w:pPr>
    </w:p>
    <w:p w14:paraId="5E4E0482" w14:textId="77777777" w:rsidR="00613EB7" w:rsidRPr="002C5366" w:rsidRDefault="00613EB7" w:rsidP="00E912EE">
      <w:pPr>
        <w:rPr>
          <w:sz w:val="24"/>
        </w:rPr>
      </w:pPr>
    </w:p>
    <w:p w14:paraId="720FCB3C" w14:textId="77777777" w:rsidR="00613EB7" w:rsidRPr="002C5366" w:rsidRDefault="00613EB7" w:rsidP="00E912EE">
      <w:pPr>
        <w:rPr>
          <w:sz w:val="24"/>
        </w:rPr>
      </w:pPr>
    </w:p>
    <w:p w14:paraId="191FCD9B" w14:textId="77777777" w:rsidR="00D95FC0" w:rsidRPr="002C5366" w:rsidRDefault="00D95FC0" w:rsidP="00E912EE">
      <w:pPr>
        <w:rPr>
          <w:sz w:val="24"/>
        </w:rPr>
      </w:pPr>
    </w:p>
    <w:p w14:paraId="741F6402" w14:textId="77777777" w:rsidR="00D95FC0" w:rsidRPr="002C5366" w:rsidRDefault="00D95FC0" w:rsidP="00E912EE">
      <w:pPr>
        <w:rPr>
          <w:sz w:val="24"/>
        </w:rPr>
      </w:pPr>
    </w:p>
    <w:p w14:paraId="734CA379" w14:textId="77777777" w:rsidR="00D95FC0" w:rsidRPr="002C5366" w:rsidRDefault="00D95FC0" w:rsidP="00E912EE">
      <w:pPr>
        <w:rPr>
          <w:sz w:val="24"/>
        </w:rPr>
      </w:pPr>
    </w:p>
    <w:p w14:paraId="5E2857CF" w14:textId="77777777" w:rsidR="00D95FC0" w:rsidRPr="002C5366" w:rsidRDefault="00D95FC0" w:rsidP="00E912EE">
      <w:pPr>
        <w:rPr>
          <w:sz w:val="24"/>
        </w:rPr>
      </w:pPr>
    </w:p>
    <w:p w14:paraId="62F4BF18" w14:textId="77777777" w:rsidR="00613EB7" w:rsidRPr="002C5366" w:rsidRDefault="00613EB7" w:rsidP="00E912EE">
      <w:pPr>
        <w:rPr>
          <w:sz w:val="24"/>
        </w:rPr>
      </w:pPr>
    </w:p>
    <w:p w14:paraId="6253F720" w14:textId="77777777" w:rsidR="00613EB7" w:rsidRPr="002C5366" w:rsidRDefault="00613EB7" w:rsidP="00E912EE">
      <w:pPr>
        <w:rPr>
          <w:sz w:val="24"/>
        </w:rPr>
      </w:pPr>
    </w:p>
    <w:p w14:paraId="0836AA1A" w14:textId="0C980447" w:rsidR="00D7178D" w:rsidRPr="002C5366" w:rsidRDefault="00D7178D" w:rsidP="00E912EE">
      <w:pPr>
        <w:rPr>
          <w:sz w:val="24"/>
        </w:rPr>
      </w:pPr>
    </w:p>
    <w:p w14:paraId="64EDA9CD" w14:textId="77777777" w:rsidR="00D7178D" w:rsidRPr="002C5366" w:rsidRDefault="00D7178D" w:rsidP="00E912EE">
      <w:pPr>
        <w:rPr>
          <w:sz w:val="24"/>
        </w:rPr>
      </w:pPr>
    </w:p>
    <w:p w14:paraId="1997F1D9" w14:textId="77777777" w:rsidR="00D7178D" w:rsidRPr="002C5366" w:rsidRDefault="00D7178D" w:rsidP="00E912EE">
      <w:pPr>
        <w:rPr>
          <w:sz w:val="24"/>
        </w:rPr>
      </w:pPr>
    </w:p>
    <w:p w14:paraId="2A297798" w14:textId="77777777" w:rsidR="00D7178D" w:rsidRPr="002C5366" w:rsidRDefault="001C26B3" w:rsidP="00D7178D">
      <w:pPr>
        <w:pStyle w:val="Level1"/>
        <w:numPr>
          <w:ilvl w:val="0"/>
          <w:numId w:val="0"/>
        </w:numPr>
        <w:tabs>
          <w:tab w:val="left" w:pos="-1440"/>
        </w:tabs>
        <w:ind w:left="720"/>
        <w:rPr>
          <w:b/>
          <w:bCs/>
          <w:sz w:val="24"/>
        </w:rPr>
      </w:pPr>
      <w:r w:rsidRPr="002C5366">
        <w:rPr>
          <w:b/>
          <w:bCs/>
          <w:sz w:val="24"/>
        </w:rPr>
        <w:t xml:space="preserve"> </w:t>
      </w:r>
    </w:p>
    <w:p w14:paraId="109B5A36" w14:textId="43864223" w:rsidR="000E6234" w:rsidRPr="002C5366" w:rsidRDefault="000E6234" w:rsidP="00D7178D">
      <w:pPr>
        <w:pStyle w:val="Level1"/>
        <w:numPr>
          <w:ilvl w:val="0"/>
          <w:numId w:val="0"/>
        </w:numPr>
        <w:tabs>
          <w:tab w:val="left" w:pos="-1440"/>
        </w:tabs>
        <w:ind w:left="720"/>
        <w:rPr>
          <w:b/>
          <w:bCs/>
          <w:sz w:val="24"/>
        </w:rPr>
      </w:pPr>
    </w:p>
    <w:p w14:paraId="1639D3FD" w14:textId="77777777" w:rsidR="000E6234" w:rsidRPr="002C5366" w:rsidRDefault="000E6234" w:rsidP="00D7178D">
      <w:pPr>
        <w:pStyle w:val="Level1"/>
        <w:numPr>
          <w:ilvl w:val="0"/>
          <w:numId w:val="0"/>
        </w:numPr>
        <w:tabs>
          <w:tab w:val="left" w:pos="-1440"/>
        </w:tabs>
        <w:ind w:left="720"/>
        <w:rPr>
          <w:b/>
          <w:bCs/>
          <w:sz w:val="24"/>
        </w:rPr>
      </w:pPr>
    </w:p>
    <w:p w14:paraId="057CBB75" w14:textId="77777777" w:rsidR="000E6234" w:rsidRPr="002C5366" w:rsidRDefault="000E6234" w:rsidP="00D7178D">
      <w:pPr>
        <w:pStyle w:val="Level1"/>
        <w:numPr>
          <w:ilvl w:val="0"/>
          <w:numId w:val="0"/>
        </w:numPr>
        <w:tabs>
          <w:tab w:val="left" w:pos="-1440"/>
        </w:tabs>
        <w:ind w:left="720"/>
        <w:rPr>
          <w:b/>
          <w:bCs/>
          <w:sz w:val="24"/>
        </w:rPr>
      </w:pPr>
    </w:p>
    <w:p w14:paraId="4A3C66AF" w14:textId="13DDC92E" w:rsidR="001C26B3" w:rsidRPr="002C5366" w:rsidRDefault="001C26B3" w:rsidP="00D7178D">
      <w:pPr>
        <w:pStyle w:val="Level1"/>
        <w:numPr>
          <w:ilvl w:val="0"/>
          <w:numId w:val="4"/>
        </w:numPr>
        <w:tabs>
          <w:tab w:val="clear" w:pos="720"/>
          <w:tab w:val="left" w:pos="-1440"/>
          <w:tab w:val="num" w:pos="360"/>
        </w:tabs>
        <w:ind w:hanging="720"/>
        <w:rPr>
          <w:b/>
          <w:bCs/>
          <w:sz w:val="24"/>
        </w:rPr>
      </w:pPr>
      <w:r w:rsidRPr="002C5366">
        <w:rPr>
          <w:b/>
          <w:bCs/>
          <w:sz w:val="24"/>
        </w:rPr>
        <w:t>Justification</w:t>
      </w:r>
    </w:p>
    <w:p w14:paraId="0A3C1C2C" w14:textId="77777777" w:rsidR="001C26B3" w:rsidRPr="002C5366" w:rsidRDefault="001C26B3">
      <w:pPr>
        <w:rPr>
          <w:sz w:val="24"/>
        </w:rPr>
      </w:pPr>
    </w:p>
    <w:p w14:paraId="3F117A3C" w14:textId="77777777" w:rsidR="001C26B3" w:rsidRPr="002C5366" w:rsidRDefault="001C26B3">
      <w:pPr>
        <w:tabs>
          <w:tab w:val="left" w:pos="-1440"/>
        </w:tabs>
        <w:ind w:left="450" w:hanging="450"/>
        <w:rPr>
          <w:sz w:val="24"/>
        </w:rPr>
      </w:pPr>
      <w:r w:rsidRPr="002C5366">
        <w:rPr>
          <w:b/>
          <w:bCs/>
          <w:sz w:val="24"/>
        </w:rPr>
        <w:t>1.   Circumstances Making the Collection of Information Necessary</w:t>
      </w:r>
    </w:p>
    <w:p w14:paraId="1C8B16C2" w14:textId="77777777" w:rsidR="001C26B3" w:rsidRPr="002C5366" w:rsidRDefault="001C26B3">
      <w:pPr>
        <w:rPr>
          <w:sz w:val="24"/>
        </w:rPr>
      </w:pPr>
    </w:p>
    <w:p w14:paraId="22526A14" w14:textId="03F8A0F1" w:rsidR="003B2888" w:rsidRPr="002C5366" w:rsidRDefault="0052101F" w:rsidP="003B2888">
      <w:pPr>
        <w:rPr>
          <w:sz w:val="24"/>
        </w:rPr>
      </w:pPr>
      <w:r w:rsidRPr="002C5366">
        <w:rPr>
          <w:sz w:val="24"/>
          <w:lang w:val="en"/>
        </w:rPr>
        <w:t xml:space="preserve">The Centers for Disease Control and Prevention (CDC) National Center for Injury Prevention and Control (NCIPC) seeks OMB approval for the </w:t>
      </w:r>
      <w:r w:rsidR="0050590F" w:rsidRPr="002C5366">
        <w:rPr>
          <w:sz w:val="24"/>
          <w:lang w:val="en"/>
        </w:rPr>
        <w:t xml:space="preserve"> revision </w:t>
      </w:r>
      <w:r w:rsidRPr="002C5366">
        <w:rPr>
          <w:sz w:val="24"/>
          <w:lang w:val="en"/>
        </w:rPr>
        <w:t xml:space="preserve"> of </w:t>
      </w:r>
      <w:r w:rsidR="0050590F" w:rsidRPr="002C5366">
        <w:rPr>
          <w:sz w:val="24"/>
          <w:lang w:val="en"/>
        </w:rPr>
        <w:t xml:space="preserve"> the currently approved State Unintentional Drug Overdose Reporting System (SUDORS) - OMB# 0920-1128, expiration date </w:t>
      </w:r>
      <w:r w:rsidR="00A55C23" w:rsidRPr="002C5366">
        <w:rPr>
          <w:sz w:val="24"/>
          <w:lang w:val="en"/>
        </w:rPr>
        <w:t>08/31/2018</w:t>
      </w:r>
      <w:r w:rsidR="00A969F5" w:rsidRPr="002C5366">
        <w:rPr>
          <w:sz w:val="24"/>
          <w:lang w:val="en"/>
        </w:rPr>
        <w:t>.</w:t>
      </w:r>
      <w:r w:rsidR="0050590F" w:rsidRPr="002C5366">
        <w:rPr>
          <w:sz w:val="24"/>
          <w:lang w:val="en"/>
        </w:rPr>
        <w:t xml:space="preserve"> SUDORS</w:t>
      </w:r>
      <w:r w:rsidR="00914FA4" w:rsidRPr="002C5366">
        <w:rPr>
          <w:sz w:val="24"/>
          <w:lang w:val="en"/>
        </w:rPr>
        <w:t xml:space="preserve"> </w:t>
      </w:r>
      <w:r w:rsidR="0050590F" w:rsidRPr="002C5366">
        <w:rPr>
          <w:sz w:val="24"/>
          <w:lang w:val="en"/>
        </w:rPr>
        <w:t>assists with</w:t>
      </w:r>
      <w:r w:rsidR="00A41271" w:rsidRPr="002C5366">
        <w:rPr>
          <w:sz w:val="24"/>
          <w:lang w:val="en"/>
        </w:rPr>
        <w:t xml:space="preserve"> ongoing surveillance of </w:t>
      </w:r>
      <w:r w:rsidR="00143E03" w:rsidRPr="002C5366">
        <w:rPr>
          <w:sz w:val="24"/>
          <w:lang w:val="en"/>
        </w:rPr>
        <w:t xml:space="preserve">fatal unintentional </w:t>
      </w:r>
      <w:r w:rsidR="00BB6131" w:rsidRPr="002C5366">
        <w:rPr>
          <w:sz w:val="24"/>
          <w:lang w:val="en"/>
        </w:rPr>
        <w:t xml:space="preserve">and undetermined </w:t>
      </w:r>
      <w:r w:rsidR="00815539" w:rsidRPr="002C5366">
        <w:rPr>
          <w:sz w:val="24"/>
          <w:lang w:val="en"/>
        </w:rPr>
        <w:t xml:space="preserve">opioid-related </w:t>
      </w:r>
      <w:r w:rsidR="00A41271" w:rsidRPr="002C5366">
        <w:rPr>
          <w:sz w:val="24"/>
          <w:lang w:val="en"/>
        </w:rPr>
        <w:t>drug</w:t>
      </w:r>
      <w:r w:rsidR="0050590F" w:rsidRPr="002C5366">
        <w:rPr>
          <w:sz w:val="24"/>
          <w:lang w:val="en"/>
        </w:rPr>
        <w:t xml:space="preserve"> overdoses</w:t>
      </w:r>
      <w:r w:rsidR="00A41271" w:rsidRPr="002C5366">
        <w:rPr>
          <w:sz w:val="24"/>
          <w:lang w:val="en"/>
        </w:rPr>
        <w:t xml:space="preserve"> </w:t>
      </w:r>
      <w:r w:rsidR="00BC52DB" w:rsidRPr="002C5366">
        <w:rPr>
          <w:sz w:val="24"/>
          <w:lang w:val="en"/>
        </w:rPr>
        <w:t>to support prevention and response efforts in states with a high burden of opi</w:t>
      </w:r>
      <w:r w:rsidR="00740DDF" w:rsidRPr="002C5366">
        <w:rPr>
          <w:sz w:val="24"/>
          <w:lang w:val="en"/>
        </w:rPr>
        <w:t>oid-related overdose</w:t>
      </w:r>
      <w:r w:rsidR="0050590F" w:rsidRPr="002C5366">
        <w:rPr>
          <w:sz w:val="24"/>
          <w:lang w:val="en"/>
        </w:rPr>
        <w:t xml:space="preserve"> morbidity and mortality</w:t>
      </w:r>
      <w:r w:rsidR="00740DDF" w:rsidRPr="002C5366">
        <w:rPr>
          <w:sz w:val="24"/>
          <w:lang w:val="en"/>
        </w:rPr>
        <w:t>.</w:t>
      </w:r>
      <w:r w:rsidR="008011C6" w:rsidRPr="002C5366">
        <w:rPr>
          <w:sz w:val="24"/>
          <w:lang w:val="en"/>
        </w:rPr>
        <w:t xml:space="preserve"> The purpose of the revision is twofold: 1) increase burden hours associated with increasing the number of states using the SUDORS OMB package from the 16 approved to all 50 states; and 2) implement </w:t>
      </w:r>
      <w:r w:rsidR="00C9246A" w:rsidRPr="002C5366">
        <w:rPr>
          <w:sz w:val="24"/>
          <w:lang w:val="en"/>
        </w:rPr>
        <w:t xml:space="preserve">updates to the web-based system to improve performance, functionality, and accessibility as well as </w:t>
      </w:r>
      <w:r w:rsidR="008011C6" w:rsidRPr="002C5366">
        <w:rPr>
          <w:sz w:val="24"/>
          <w:lang w:val="en"/>
        </w:rPr>
        <w:t>minimal revisions to the SUDORS collection instrument.</w:t>
      </w:r>
      <w:r w:rsidR="003B2888" w:rsidRPr="002C5366">
        <w:rPr>
          <w:sz w:val="24"/>
          <w:lang w:val="en"/>
        </w:rPr>
        <w:t xml:space="preserve"> The capacity of SUDORS to collect information about the circumstances of fatal drug overdose that is not available from death certificates provides crucial data to inform more systematic approaches to combat the overdose epidemic. These data will also be key to determine the effectiveness of overdose prevention and treatment strategies. Specifically, this data collection revision seeks to expand SUDORS approval to all 50 states. As the Department of Health and Human Services and the White House pursue national solutions to the opioid crisis, it is vital to have detailed data that reflect the full scope of the opioid crisis across all states to best target and assess policy interventions.</w:t>
      </w:r>
    </w:p>
    <w:p w14:paraId="21768457" w14:textId="55CDE945" w:rsidR="008011C6" w:rsidRPr="002C5366" w:rsidRDefault="008011C6" w:rsidP="0050590F">
      <w:pPr>
        <w:rPr>
          <w:sz w:val="24"/>
          <w:lang w:val="en"/>
        </w:rPr>
      </w:pPr>
    </w:p>
    <w:p w14:paraId="57DE1D6B" w14:textId="77777777" w:rsidR="00F90A3A" w:rsidRPr="002C5366" w:rsidRDefault="00F90A3A" w:rsidP="00F90A3A">
      <w:pPr>
        <w:tabs>
          <w:tab w:val="left" w:pos="360"/>
        </w:tabs>
        <w:ind w:left="360" w:hanging="360"/>
        <w:outlineLvl w:val="0"/>
        <w:rPr>
          <w:sz w:val="24"/>
        </w:rPr>
      </w:pPr>
    </w:p>
    <w:p w14:paraId="1C489D3B" w14:textId="7BB13228" w:rsidR="00F90A3A" w:rsidRPr="002C5366" w:rsidRDefault="00F90A3A" w:rsidP="00F90A3A">
      <w:pPr>
        <w:tabs>
          <w:tab w:val="left" w:pos="360"/>
        </w:tabs>
        <w:ind w:left="360" w:hanging="360"/>
        <w:outlineLvl w:val="0"/>
        <w:rPr>
          <w:sz w:val="24"/>
          <w:u w:val="single"/>
        </w:rPr>
      </w:pPr>
      <w:r w:rsidRPr="002C5366">
        <w:rPr>
          <w:sz w:val="24"/>
        </w:rPr>
        <w:t>Background</w:t>
      </w:r>
    </w:p>
    <w:p w14:paraId="28C49EDA" w14:textId="77777777" w:rsidR="00F90A3A" w:rsidRPr="002C5366" w:rsidRDefault="00F90A3A" w:rsidP="00F90A3A">
      <w:pPr>
        <w:rPr>
          <w:sz w:val="24"/>
          <w:lang w:val="en"/>
        </w:rPr>
      </w:pPr>
    </w:p>
    <w:p w14:paraId="1A0ED070" w14:textId="40B68F6A" w:rsidR="00F90A3A" w:rsidRPr="002C5366" w:rsidRDefault="008F3561" w:rsidP="00F90A3A">
      <w:pPr>
        <w:rPr>
          <w:iCs/>
          <w:sz w:val="24"/>
        </w:rPr>
      </w:pPr>
      <w:r w:rsidRPr="002C5366">
        <w:rPr>
          <w:sz w:val="24"/>
          <w:lang w:val="en"/>
        </w:rPr>
        <w:t>In 2015, there were over 52,000 drug overdose deaths, including over 44,000 unintentional drug overdose deaths, in the United States.</w:t>
      </w:r>
      <w:r w:rsidRPr="002C5366">
        <w:rPr>
          <w:sz w:val="24"/>
        </w:rPr>
        <w:t xml:space="preserve"> </w:t>
      </w:r>
      <w:r w:rsidR="00F90A3A" w:rsidRPr="002C5366">
        <w:rPr>
          <w:sz w:val="24"/>
          <w:lang w:val="en"/>
        </w:rPr>
        <w:t>From 2000 to 2014 nearly half a million persons in the United States have died from drug overdoses</w:t>
      </w:r>
      <w:r w:rsidR="00F90A3A" w:rsidRPr="002C5366">
        <w:rPr>
          <w:rStyle w:val="EndnoteReference"/>
          <w:sz w:val="24"/>
          <w:lang w:val="en"/>
        </w:rPr>
        <w:endnoteReference w:id="2"/>
      </w:r>
      <w:r w:rsidR="00F90A3A" w:rsidRPr="002C5366">
        <w:rPr>
          <w:sz w:val="24"/>
          <w:lang w:val="en"/>
        </w:rPr>
        <w:t>. In 2014, there were approximately one and a half times more drug overdose deaths in the United States than deaths from motor vehicle crashes</w:t>
      </w:r>
      <w:r w:rsidR="00F90A3A" w:rsidRPr="002C5366">
        <w:rPr>
          <w:rStyle w:val="EndnoteReference"/>
          <w:sz w:val="24"/>
          <w:lang w:val="en"/>
        </w:rPr>
        <w:endnoteReference w:id="3"/>
      </w:r>
      <w:r w:rsidR="00F90A3A" w:rsidRPr="002C5366">
        <w:rPr>
          <w:sz w:val="24"/>
          <w:lang w:val="en"/>
        </w:rPr>
        <w:t xml:space="preserve">. </w:t>
      </w:r>
      <w:r w:rsidR="00F90A3A" w:rsidRPr="002C5366">
        <w:rPr>
          <w:iCs/>
          <w:sz w:val="24"/>
        </w:rPr>
        <w:t>In 2014, opioids were involved in 61% of fatal drug overdoses</w:t>
      </w:r>
      <w:r w:rsidR="00F90A3A" w:rsidRPr="002C5366">
        <w:rPr>
          <w:rStyle w:val="EndnoteReference"/>
          <w:sz w:val="24"/>
          <w:lang w:val="en"/>
        </w:rPr>
        <w:endnoteReference w:id="4"/>
      </w:r>
      <w:r w:rsidR="00F90A3A" w:rsidRPr="002C5366">
        <w:rPr>
          <w:iCs/>
          <w:sz w:val="24"/>
        </w:rPr>
        <w:t xml:space="preserve"> and this is a substantial underestimate because the specific drug causing an overdose is not listed on death certificates for 1 in 5 drug overdose deaths</w:t>
      </w:r>
      <w:r w:rsidR="00F90A3A" w:rsidRPr="002C5366">
        <w:rPr>
          <w:rStyle w:val="EndnoteReference"/>
          <w:iCs/>
          <w:sz w:val="24"/>
        </w:rPr>
        <w:endnoteReference w:id="5"/>
      </w:r>
      <w:r w:rsidR="00F90A3A" w:rsidRPr="002C5366">
        <w:rPr>
          <w:iCs/>
          <w:sz w:val="24"/>
          <w:vertAlign w:val="superscript"/>
        </w:rPr>
        <w:t>,</w:t>
      </w:r>
      <w:r w:rsidR="00F90A3A" w:rsidRPr="002C5366">
        <w:rPr>
          <w:rStyle w:val="EndnoteReference"/>
          <w:iCs/>
          <w:sz w:val="24"/>
        </w:rPr>
        <w:endnoteReference w:id="6"/>
      </w:r>
      <w:r w:rsidR="00F90A3A" w:rsidRPr="002C5366">
        <w:rPr>
          <w:iCs/>
          <w:sz w:val="24"/>
        </w:rPr>
        <w:t xml:space="preserve">. </w:t>
      </w:r>
      <w:r w:rsidR="00F90A3A" w:rsidRPr="002C5366">
        <w:rPr>
          <w:sz w:val="24"/>
        </w:rPr>
        <w:t xml:space="preserve">America’s opioid overdose epidemic involves two distinct but interrelated trends: a fifteen-year increase in overdose deaths involving prescription opioid pain relievers </w:t>
      </w:r>
      <w:r w:rsidR="00F90A3A" w:rsidRPr="002C5366">
        <w:rPr>
          <w:iCs/>
          <w:sz w:val="24"/>
        </w:rPr>
        <w:t>(OPR)</w:t>
      </w:r>
      <w:r w:rsidR="00F90A3A" w:rsidRPr="002C5366">
        <w:rPr>
          <w:sz w:val="24"/>
        </w:rPr>
        <w:t xml:space="preserve">, and a recent surge in illicit opioid-related overdose deaths driven largely by heroin. </w:t>
      </w:r>
      <w:r w:rsidR="00F90A3A" w:rsidRPr="002C5366">
        <w:rPr>
          <w:iCs/>
          <w:sz w:val="24"/>
        </w:rPr>
        <w:t>Overdose deaths involving opioids, both OPR and heroin, in the US have quadrupled since 1999, with 28,647 reported fatalities in 2014. Overdose deaths involving opioids increased by 14 percent from 2013 to 2014</w:t>
      </w:r>
      <w:r w:rsidR="00F90A3A" w:rsidRPr="002C5366">
        <w:rPr>
          <w:rStyle w:val="EndnoteReference"/>
          <w:sz w:val="24"/>
        </w:rPr>
        <w:endnoteReference w:id="7"/>
      </w:r>
      <w:r w:rsidR="00F90A3A" w:rsidRPr="002C5366">
        <w:rPr>
          <w:iCs/>
          <w:sz w:val="24"/>
        </w:rPr>
        <w:t xml:space="preserve">. </w:t>
      </w:r>
    </w:p>
    <w:p w14:paraId="455F17DA" w14:textId="77777777" w:rsidR="00F90A3A" w:rsidRPr="002C5366" w:rsidRDefault="00F90A3A" w:rsidP="00F90A3A">
      <w:pPr>
        <w:rPr>
          <w:iCs/>
          <w:sz w:val="24"/>
        </w:rPr>
      </w:pPr>
    </w:p>
    <w:p w14:paraId="6C22E4C1" w14:textId="77777777" w:rsidR="00F90A3A" w:rsidRPr="002C5366" w:rsidRDefault="00F90A3A" w:rsidP="00F90A3A">
      <w:pPr>
        <w:rPr>
          <w:iCs/>
          <w:sz w:val="24"/>
        </w:rPr>
      </w:pPr>
      <w:r w:rsidRPr="002C5366">
        <w:rPr>
          <w:sz w:val="24"/>
        </w:rPr>
        <w:t xml:space="preserve">A surge in OPR-related overdoses deaths has been paralleled and driven by increases in </w:t>
      </w:r>
      <w:r w:rsidRPr="002C5366">
        <w:rPr>
          <w:sz w:val="24"/>
          <w:lang w:val="en"/>
        </w:rPr>
        <w:t xml:space="preserve">OPR prescribing rates which have also </w:t>
      </w:r>
      <w:r w:rsidRPr="002C5366">
        <w:rPr>
          <w:iCs/>
          <w:sz w:val="24"/>
        </w:rPr>
        <w:t>quadrupled since 1999</w:t>
      </w:r>
      <w:r w:rsidRPr="002C5366">
        <w:rPr>
          <w:rStyle w:val="EndnoteReference"/>
          <w:iCs/>
          <w:sz w:val="24"/>
        </w:rPr>
        <w:endnoteReference w:id="8"/>
      </w:r>
      <w:r w:rsidRPr="002C5366">
        <w:rPr>
          <w:sz w:val="24"/>
          <w:lang w:val="en"/>
        </w:rPr>
        <w:t>. Deaths related to natural and semisynthetic opioids, which include the most commonly prescribed OPR, oxycodone and hydrocodone, increased by 9 percent from 2013 to 2014</w:t>
      </w:r>
      <w:r w:rsidRPr="002C5366">
        <w:rPr>
          <w:rStyle w:val="EndnoteReference"/>
          <w:sz w:val="24"/>
        </w:rPr>
        <w:endnoteReference w:id="9"/>
      </w:r>
      <w:r w:rsidRPr="002C5366">
        <w:rPr>
          <w:sz w:val="24"/>
          <w:lang w:val="en"/>
        </w:rPr>
        <w:t xml:space="preserve">. </w:t>
      </w:r>
    </w:p>
    <w:p w14:paraId="11AEA2CC" w14:textId="77777777" w:rsidR="00F90A3A" w:rsidRPr="002C5366" w:rsidRDefault="00F90A3A" w:rsidP="00F90A3A">
      <w:pPr>
        <w:rPr>
          <w:iCs/>
          <w:sz w:val="24"/>
        </w:rPr>
      </w:pPr>
    </w:p>
    <w:p w14:paraId="73A82820" w14:textId="5E04148C" w:rsidR="00F90A3A" w:rsidRPr="002C5366" w:rsidRDefault="00F90A3A" w:rsidP="00F90A3A">
      <w:pPr>
        <w:rPr>
          <w:iCs/>
          <w:sz w:val="24"/>
        </w:rPr>
      </w:pPr>
      <w:r w:rsidRPr="002C5366">
        <w:rPr>
          <w:iCs/>
          <w:sz w:val="24"/>
        </w:rPr>
        <w:t xml:space="preserve">From 2013 to 2014, heroin-related overdose death rates increased by 26 percent and have more than tripled since 2010. </w:t>
      </w:r>
      <w:r w:rsidRPr="002C5366">
        <w:rPr>
          <w:sz w:val="24"/>
          <w:lang w:val="en"/>
        </w:rPr>
        <w:t xml:space="preserve">The recent surge in deaths involving heroin is linked to the misuse of OPR. Past misuse of OPR is the strongest risk factor for heroin initiation and use, specifically among persons who report past-year dependence or </w:t>
      </w:r>
      <w:r w:rsidR="00382D5D" w:rsidRPr="002C5366">
        <w:rPr>
          <w:sz w:val="24"/>
          <w:lang w:val="en"/>
        </w:rPr>
        <w:t>misuse</w:t>
      </w:r>
      <w:r w:rsidRPr="002C5366">
        <w:rPr>
          <w:rStyle w:val="EndnoteReference"/>
          <w:sz w:val="24"/>
          <w:lang w:val="en"/>
        </w:rPr>
        <w:endnoteReference w:id="10"/>
      </w:r>
      <w:r w:rsidRPr="002C5366">
        <w:rPr>
          <w:sz w:val="24"/>
          <w:lang w:val="en"/>
        </w:rPr>
        <w:t>. In addition, the increased availability of heroin, combined with its relatively low price (compared with diverted OPRs) and high purity appear to be major drivers of the upward trend in heroin use and overdose</w:t>
      </w:r>
      <w:r w:rsidRPr="002C5366">
        <w:rPr>
          <w:rStyle w:val="EndnoteReference"/>
          <w:sz w:val="24"/>
          <w:lang w:val="en"/>
        </w:rPr>
        <w:endnoteReference w:id="11"/>
      </w:r>
      <w:r w:rsidRPr="002C5366">
        <w:rPr>
          <w:sz w:val="24"/>
          <w:lang w:val="en"/>
        </w:rPr>
        <w:t xml:space="preserve">. </w:t>
      </w:r>
      <w:r w:rsidRPr="002C5366">
        <w:rPr>
          <w:iCs/>
          <w:sz w:val="24"/>
        </w:rPr>
        <w:t xml:space="preserve">Also, a </w:t>
      </w:r>
      <w:r w:rsidRPr="002C5366">
        <w:rPr>
          <w:sz w:val="24"/>
          <w:lang w:val="en"/>
        </w:rPr>
        <w:t>sharp increase in deaths involving synthetic opioids, excluding methadone, of 80 percent from 2013 to 2014 coincided with law enforcement reports of increased availability of illicitly manufactured fentanyl, a synthetic opioid that is often mixed with or sold as heroin.</w:t>
      </w:r>
      <w:r w:rsidRPr="002C5366">
        <w:rPr>
          <w:iCs/>
          <w:sz w:val="24"/>
        </w:rPr>
        <w:t xml:space="preserve"> </w:t>
      </w:r>
      <w:r w:rsidRPr="002C5366">
        <w:rPr>
          <w:sz w:val="24"/>
          <w:lang w:val="en"/>
        </w:rPr>
        <w:t>Therefore, increases in illicit fentanyl-associated deaths may represent an emerging and troubling feature of the rise in illicit opioid overdoses</w:t>
      </w:r>
      <w:r w:rsidRPr="002C5366">
        <w:rPr>
          <w:rStyle w:val="EndnoteReference"/>
          <w:sz w:val="24"/>
        </w:rPr>
        <w:endnoteReference w:id="12"/>
      </w:r>
      <w:r w:rsidRPr="002C5366">
        <w:rPr>
          <w:sz w:val="24"/>
          <w:vertAlign w:val="superscript"/>
          <w:lang w:val="en"/>
        </w:rPr>
        <w:t>,</w:t>
      </w:r>
      <w:r w:rsidRPr="002C5366">
        <w:rPr>
          <w:rStyle w:val="EndnoteReference"/>
          <w:sz w:val="24"/>
          <w:lang w:val="en"/>
        </w:rPr>
        <w:endnoteReference w:id="13"/>
      </w:r>
    </w:p>
    <w:p w14:paraId="1518406C" w14:textId="77777777" w:rsidR="00F90A3A" w:rsidRPr="002C5366" w:rsidRDefault="00F90A3A" w:rsidP="00F90A3A">
      <w:pPr>
        <w:rPr>
          <w:iCs/>
          <w:sz w:val="24"/>
        </w:rPr>
      </w:pPr>
    </w:p>
    <w:p w14:paraId="5E6C3F2E" w14:textId="7412E7B8" w:rsidR="00F90A3A" w:rsidRPr="002C5366" w:rsidRDefault="00F90A3A" w:rsidP="00F90A3A">
      <w:pPr>
        <w:pStyle w:val="Default"/>
      </w:pPr>
      <w:r w:rsidRPr="002C5366">
        <w:rPr>
          <w:lang w:val="en"/>
        </w:rPr>
        <w:t xml:space="preserve">In an effort to address this problem, multiple national and state initiatives have been launched. The U.S. Department of Health and Human Services (HHS) has made addressing the opioid </w:t>
      </w:r>
      <w:r w:rsidR="00382D5D" w:rsidRPr="002C5366">
        <w:rPr>
          <w:lang w:val="en"/>
        </w:rPr>
        <w:t>misuse</w:t>
      </w:r>
      <w:r w:rsidRPr="002C5366">
        <w:rPr>
          <w:lang w:val="en"/>
        </w:rPr>
        <w:t xml:space="preserve"> problem a high priority and is focused on implementing evidence-based approaches to reduce: 1) opioid overdoses and overdose-related mortality and 2) the prevalence of opioid use disorder</w:t>
      </w:r>
      <w:r w:rsidRPr="002C5366">
        <w:rPr>
          <w:rStyle w:val="EndnoteReference"/>
          <w:lang w:val="en"/>
        </w:rPr>
        <w:endnoteReference w:id="14"/>
      </w:r>
      <w:r w:rsidRPr="002C5366">
        <w:rPr>
          <w:lang w:val="en"/>
        </w:rPr>
        <w:t xml:space="preserve">. As part of this effort, CDC </w:t>
      </w:r>
      <w:r w:rsidR="002B27B2" w:rsidRPr="002C5366">
        <w:rPr>
          <w:lang w:val="en"/>
        </w:rPr>
        <w:t xml:space="preserve">is </w:t>
      </w:r>
      <w:r w:rsidRPr="002C5366">
        <w:rPr>
          <w:lang w:val="en"/>
        </w:rPr>
        <w:t>publishing draft guidelines for prescribing opioids for chronic pain to increase safer prescribing practices</w:t>
      </w:r>
      <w:r w:rsidRPr="002C5366">
        <w:rPr>
          <w:rStyle w:val="EndnoteReference"/>
          <w:lang w:val="en"/>
        </w:rPr>
        <w:endnoteReference w:id="15"/>
      </w:r>
      <w:r w:rsidRPr="002C5366">
        <w:rPr>
          <w:lang w:val="en"/>
        </w:rPr>
        <w:t>. Also, in FY15 CDC funded 16 states through</w:t>
      </w:r>
      <w:r w:rsidRPr="002C5366">
        <w:rPr>
          <w:i/>
          <w:lang w:val="en"/>
        </w:rPr>
        <w:t xml:space="preserve"> Prescription Drug Overdose Prevention for States</w:t>
      </w:r>
      <w:r w:rsidRPr="002C5366">
        <w:rPr>
          <w:lang w:val="en"/>
        </w:rPr>
        <w:t xml:space="preserve"> (CDC-RFA-CE15-1501) to implement, advance and evaluate comprehensive state-level interventions for prevention prescription drug overuse, </w:t>
      </w:r>
      <w:r w:rsidR="00507F0D" w:rsidRPr="002C5366">
        <w:rPr>
          <w:lang w:val="en"/>
        </w:rPr>
        <w:t>misuse</w:t>
      </w:r>
      <w:r w:rsidRPr="002C5366">
        <w:rPr>
          <w:lang w:val="en"/>
        </w:rPr>
        <w:t xml:space="preserve">, and overdose. Interventions of priority address drivers of the prescription drug overdose epidemic, particularly the misuse and inappropriate prescribing of OPR. Finally, states are also responding to the problem as evidenced by the National Governor’s Association convening </w:t>
      </w:r>
      <w:r w:rsidRPr="002C5366">
        <w:t xml:space="preserve">the </w:t>
      </w:r>
      <w:r w:rsidRPr="002C5366">
        <w:rPr>
          <w:i/>
          <w:iCs/>
        </w:rPr>
        <w:t xml:space="preserve">Prescription Drug </w:t>
      </w:r>
      <w:r w:rsidR="00382D5D" w:rsidRPr="002C5366">
        <w:rPr>
          <w:i/>
          <w:iCs/>
        </w:rPr>
        <w:t>Misuse</w:t>
      </w:r>
      <w:r w:rsidRPr="002C5366">
        <w:rPr>
          <w:i/>
          <w:iCs/>
        </w:rPr>
        <w:t xml:space="preserve"> Reduction Policy Academy</w:t>
      </w:r>
      <w:r w:rsidRPr="002C5366">
        <w:rPr>
          <w:rStyle w:val="EndnoteReference"/>
          <w:i/>
          <w:iCs/>
        </w:rPr>
        <w:endnoteReference w:id="16"/>
      </w:r>
      <w:r w:rsidRPr="002C5366">
        <w:t xml:space="preserve">, </w:t>
      </w:r>
      <w:r w:rsidRPr="002C5366">
        <w:rPr>
          <w:lang w:val="en"/>
        </w:rPr>
        <w:t xml:space="preserve"> a state declaring opioid </w:t>
      </w:r>
      <w:r w:rsidR="00382D5D" w:rsidRPr="002C5366">
        <w:rPr>
          <w:lang w:val="en"/>
        </w:rPr>
        <w:t>misuse</w:t>
      </w:r>
      <w:r w:rsidRPr="002C5366">
        <w:rPr>
          <w:lang w:val="en"/>
        </w:rPr>
        <w:t xml:space="preserve"> a public health emergency</w:t>
      </w:r>
      <w:r w:rsidRPr="002C5366">
        <w:rPr>
          <w:rStyle w:val="EndnoteReference"/>
          <w:lang w:val="en"/>
        </w:rPr>
        <w:endnoteReference w:id="17"/>
      </w:r>
      <w:r w:rsidRPr="002C5366">
        <w:rPr>
          <w:lang w:val="en"/>
        </w:rPr>
        <w:t>, a governor dedicated his entire state of union to drug addiction, especially related to opiates</w:t>
      </w:r>
      <w:r w:rsidRPr="002C5366">
        <w:rPr>
          <w:rStyle w:val="EndnoteReference"/>
          <w:lang w:val="en"/>
        </w:rPr>
        <w:endnoteReference w:id="18"/>
      </w:r>
      <w:r w:rsidRPr="002C5366">
        <w:rPr>
          <w:lang w:val="en"/>
        </w:rPr>
        <w:t>, and the President of the Association of State and Territorial Health Officials (ASTHO) challenging its members to reduce the rate of nonmedical use and the number of unintentional overdose deaths involving controlled prescription drugs by 15 percent by 2015</w:t>
      </w:r>
      <w:r w:rsidRPr="002C5366">
        <w:rPr>
          <w:rStyle w:val="EndnoteReference"/>
          <w:lang w:val="en"/>
        </w:rPr>
        <w:endnoteReference w:id="19"/>
      </w:r>
      <w:r w:rsidRPr="002C5366">
        <w:rPr>
          <w:lang w:val="en"/>
        </w:rPr>
        <w:t>.</w:t>
      </w:r>
    </w:p>
    <w:p w14:paraId="79C0C0A4" w14:textId="77777777" w:rsidR="00F90A3A" w:rsidRPr="002C5366" w:rsidRDefault="00F90A3A" w:rsidP="00F90A3A">
      <w:pPr>
        <w:rPr>
          <w:iCs/>
          <w:sz w:val="24"/>
        </w:rPr>
      </w:pPr>
    </w:p>
    <w:p w14:paraId="72AB5A39" w14:textId="77777777" w:rsidR="00F90A3A" w:rsidRPr="002C5366" w:rsidRDefault="00F90A3A" w:rsidP="00F90A3A">
      <w:pPr>
        <w:rPr>
          <w:sz w:val="24"/>
        </w:rPr>
      </w:pPr>
      <w:r w:rsidRPr="002C5366">
        <w:rPr>
          <w:iCs/>
          <w:sz w:val="24"/>
        </w:rPr>
        <w:t xml:space="preserve">The need for improved surveillance of heroin-related overdoses was also recognized in the </w:t>
      </w:r>
      <w:r w:rsidRPr="002C5366">
        <w:rPr>
          <w:sz w:val="24"/>
        </w:rPr>
        <w:t xml:space="preserve">Consolidate Appropriations Act, 2016, </w:t>
      </w:r>
      <w:r w:rsidRPr="002C5366">
        <w:rPr>
          <w:iCs/>
          <w:sz w:val="24"/>
        </w:rPr>
        <w:t xml:space="preserve"> </w:t>
      </w:r>
      <w:r w:rsidRPr="002C5366">
        <w:rPr>
          <w:sz w:val="24"/>
        </w:rPr>
        <w:t xml:space="preserve">H.R. 2029 which provided CDC funding to enhance surveillance of heroin. </w:t>
      </w:r>
      <w:r w:rsidRPr="002C5366">
        <w:rPr>
          <w:iCs/>
          <w:sz w:val="24"/>
        </w:rPr>
        <w:t xml:space="preserve">In order to address the need for surveillance information on opioid-related risk factors, especially heroin, the </w:t>
      </w:r>
      <w:r w:rsidRPr="002C5366">
        <w:rPr>
          <w:bCs/>
          <w:sz w:val="24"/>
        </w:rPr>
        <w:t>State Unintentional Drug Overdose Reporting System (</w:t>
      </w:r>
      <w:r w:rsidRPr="002C5366">
        <w:rPr>
          <w:sz w:val="24"/>
        </w:rPr>
        <w:t xml:space="preserve">SUDORS) supports the collection of data on all opioid-related unintentional fatal drug overdoses including county and zip code of residency and where the overdose occurred with an 8-month time lag (e.g., complete data collection on opioid-related drug overdose deaths occurring from January to June 2017 by February 28, 2018). </w:t>
      </w:r>
    </w:p>
    <w:p w14:paraId="32B12648" w14:textId="77777777" w:rsidR="00F90A3A" w:rsidRPr="002C5366" w:rsidRDefault="00F90A3A" w:rsidP="00F90A3A">
      <w:pPr>
        <w:rPr>
          <w:sz w:val="24"/>
        </w:rPr>
      </w:pPr>
    </w:p>
    <w:p w14:paraId="0BEFCB24" w14:textId="487E13AE" w:rsidR="008E3764" w:rsidRPr="002C5366" w:rsidRDefault="00F90A3A" w:rsidP="00F90A3A">
      <w:pPr>
        <w:rPr>
          <w:sz w:val="24"/>
        </w:rPr>
      </w:pPr>
      <w:r w:rsidRPr="002C5366">
        <w:rPr>
          <w:sz w:val="24"/>
        </w:rPr>
        <w:t>The SUDORS system provides detailed information on risk factors for unintentional and undetermined opioid-related overdose deaths (e.g., recent discharge for residential treatment or prison, recent arrest, recent relapse using opioid-related drugs, no bystanders were present when the overdose occurred, mental health conditions, a surge in adulterated heroin that is especially potent, or new patterns in polysubstance drug use) at the local level (e.g., county and zip code). Having local level data is critical to assist communities to select and target interventions that address the risk factors most prevalent in their communities. Interventions that could be used by communities include distributing naloxone</w:t>
      </w:r>
      <w:r w:rsidRPr="002C5366">
        <w:rPr>
          <w:rStyle w:val="EndnoteReference"/>
          <w:sz w:val="24"/>
        </w:rPr>
        <w:endnoteReference w:id="20"/>
      </w:r>
      <w:r w:rsidRPr="002C5366">
        <w:rPr>
          <w:sz w:val="24"/>
        </w:rPr>
        <w:t xml:space="preserve"> to first responders and community members, enhancing access and use of evidence-based substance use treatment</w:t>
      </w:r>
      <w:r w:rsidRPr="002C5366">
        <w:rPr>
          <w:rStyle w:val="EndnoteReference"/>
          <w:sz w:val="24"/>
        </w:rPr>
        <w:endnoteReference w:id="21"/>
      </w:r>
      <w:r w:rsidRPr="002C5366">
        <w:rPr>
          <w:sz w:val="24"/>
        </w:rPr>
        <w:t>, identifying and disrupting illegal distribution of OPRs through physician offices (i.e., often referred to “pill mills”)</w:t>
      </w:r>
      <w:r w:rsidRPr="002C5366">
        <w:rPr>
          <w:rStyle w:val="EndnoteReference"/>
          <w:sz w:val="24"/>
        </w:rPr>
        <w:endnoteReference w:id="22"/>
      </w:r>
      <w:r w:rsidRPr="002C5366">
        <w:rPr>
          <w:sz w:val="24"/>
        </w:rPr>
        <w:t>, or implementing comprehensive efforts including prescribing guidelines and intensive education of clinicians and community members to promote safer prescribing of opioid pain relievers for chronic non-cancer pain</w:t>
      </w:r>
      <w:r w:rsidRPr="002C5366">
        <w:rPr>
          <w:rStyle w:val="EndnoteReference"/>
          <w:sz w:val="24"/>
        </w:rPr>
        <w:endnoteReference w:id="23"/>
      </w:r>
      <w:r w:rsidRPr="002C5366">
        <w:rPr>
          <w:sz w:val="24"/>
        </w:rPr>
        <w:t>.</w:t>
      </w:r>
    </w:p>
    <w:p w14:paraId="27C5C943" w14:textId="77777777" w:rsidR="00F90A3A" w:rsidRPr="002C5366" w:rsidRDefault="00F90A3A" w:rsidP="00F90A3A">
      <w:pPr>
        <w:rPr>
          <w:sz w:val="24"/>
          <w:lang w:val="en"/>
        </w:rPr>
      </w:pPr>
    </w:p>
    <w:p w14:paraId="7CEB7CEE" w14:textId="48CCBFAF" w:rsidR="008E3764" w:rsidRPr="002C5366" w:rsidRDefault="008011C6" w:rsidP="008E3764">
      <w:pPr>
        <w:rPr>
          <w:sz w:val="24"/>
          <w:lang w:val="en"/>
        </w:rPr>
      </w:pPr>
      <w:r w:rsidRPr="002C5366">
        <w:rPr>
          <w:sz w:val="24"/>
          <w:lang w:val="en"/>
        </w:rPr>
        <w:t>In FY16, CDC was appropriated funds to work with state health departments to improve the timeliness of fatal opioid overdose surveillance by developing the Enhanced State Opioid Overdose Surveillance program (ESOOS; FOA #CE16-1608)</w:t>
      </w:r>
      <w:r w:rsidR="00037468" w:rsidRPr="002C5366">
        <w:rPr>
          <w:sz w:val="24"/>
          <w:lang w:val="en"/>
        </w:rPr>
        <w:t>, with 16 states originally approved</w:t>
      </w:r>
      <w:r w:rsidR="00C9246A" w:rsidRPr="002C5366">
        <w:rPr>
          <w:sz w:val="24"/>
          <w:lang w:val="en"/>
        </w:rPr>
        <w:t xml:space="preserve"> in this OMB application</w:t>
      </w:r>
      <w:r w:rsidR="00037468" w:rsidRPr="002C5366">
        <w:rPr>
          <w:sz w:val="24"/>
          <w:lang w:val="en"/>
        </w:rPr>
        <w:t xml:space="preserve"> and 12 states funded</w:t>
      </w:r>
      <w:r w:rsidRPr="002C5366">
        <w:rPr>
          <w:sz w:val="24"/>
          <w:lang w:val="en"/>
        </w:rPr>
        <w:t xml:space="preserve">. The FOA provides states a delivery schedule for reporting fatal opioid overdoses to CDC using SUDORS. The next data delivery will occur in October 2017. </w:t>
      </w:r>
      <w:r w:rsidR="0050590F" w:rsidRPr="002C5366">
        <w:rPr>
          <w:sz w:val="24"/>
          <w:lang w:val="en"/>
        </w:rPr>
        <w:t xml:space="preserve">In FY17, </w:t>
      </w:r>
      <w:r w:rsidRPr="002C5366">
        <w:rPr>
          <w:sz w:val="24"/>
          <w:lang w:val="en"/>
        </w:rPr>
        <w:t>ESOOS</w:t>
      </w:r>
      <w:r w:rsidR="0070668D" w:rsidRPr="002C5366">
        <w:rPr>
          <w:sz w:val="24"/>
          <w:lang w:val="en"/>
        </w:rPr>
        <w:t xml:space="preserve"> received a significant increase in funding through congressional appropriation to expand </w:t>
      </w:r>
      <w:r w:rsidRPr="002C5366">
        <w:rPr>
          <w:sz w:val="24"/>
          <w:lang w:val="en"/>
        </w:rPr>
        <w:t>the number of states using</w:t>
      </w:r>
      <w:r w:rsidR="0070668D" w:rsidRPr="002C5366">
        <w:rPr>
          <w:sz w:val="24"/>
          <w:lang w:val="en"/>
        </w:rPr>
        <w:t xml:space="preserve"> the SUDORS OMB package for mortality data collection. There is an increased likelihood of obtaining additional appropriated funds in FY18. As a result, CDC requests OMB approval for 3 years for this revision to include all 50 states, increasing the burden from the 16 states currently approved. The new states will be funded in August/September 2017 and will need to begin surveillance work and reporting by October 2017</w:t>
      </w:r>
      <w:r w:rsidR="0050590F" w:rsidRPr="002C5366">
        <w:rPr>
          <w:sz w:val="24"/>
          <w:lang w:val="en"/>
        </w:rPr>
        <w:t xml:space="preserve"> in order to be in compliance with the deliverable dates in the FOA</w:t>
      </w:r>
      <w:r w:rsidR="0070668D" w:rsidRPr="002C5366">
        <w:rPr>
          <w:sz w:val="24"/>
          <w:lang w:val="en"/>
        </w:rPr>
        <w:t>.</w:t>
      </w:r>
      <w:r w:rsidR="008E3764" w:rsidRPr="002C5366">
        <w:rPr>
          <w:sz w:val="24"/>
          <w:lang w:val="en"/>
        </w:rPr>
        <w:t xml:space="preserve"> Burden is calculated only for the public agencies (vital statistics and </w:t>
      </w:r>
      <w:r w:rsidR="00895A90" w:rsidRPr="002C5366">
        <w:rPr>
          <w:sz w:val="24"/>
          <w:lang w:val="en"/>
        </w:rPr>
        <w:t>medical examiners/coroners</w:t>
      </w:r>
      <w:r w:rsidR="008E3764" w:rsidRPr="002C5366">
        <w:rPr>
          <w:sz w:val="24"/>
          <w:lang w:val="en"/>
        </w:rPr>
        <w:t xml:space="preserve">) to retrieve and then refile records. </w:t>
      </w:r>
      <w:r w:rsidR="0010339D" w:rsidRPr="002C5366">
        <w:rPr>
          <w:sz w:val="24"/>
          <w:lang w:val="en"/>
        </w:rPr>
        <w:t xml:space="preserve">The data requested from vital statistics or </w:t>
      </w:r>
      <w:r w:rsidR="00677242" w:rsidRPr="002C5366">
        <w:rPr>
          <w:sz w:val="24"/>
          <w:lang w:val="en"/>
        </w:rPr>
        <w:t>ME/C</w:t>
      </w:r>
      <w:r w:rsidR="0010339D" w:rsidRPr="002C5366">
        <w:rPr>
          <w:sz w:val="24"/>
          <w:lang w:val="en"/>
        </w:rPr>
        <w:t xml:space="preserve"> (i.e., the two parties who incur burden as a result of the data collection) does not change.</w:t>
      </w:r>
    </w:p>
    <w:p w14:paraId="6964F22B" w14:textId="77777777" w:rsidR="008E3764" w:rsidRPr="002C5366" w:rsidRDefault="008E3764" w:rsidP="0050590F">
      <w:pPr>
        <w:rPr>
          <w:sz w:val="24"/>
          <w:lang w:val="en"/>
        </w:rPr>
      </w:pPr>
    </w:p>
    <w:p w14:paraId="68817124" w14:textId="427B29EA" w:rsidR="000331D8" w:rsidRPr="002C5366" w:rsidRDefault="000F23AF" w:rsidP="00A41271">
      <w:pPr>
        <w:rPr>
          <w:sz w:val="24"/>
          <w:lang w:val="en"/>
        </w:rPr>
      </w:pPr>
      <w:r w:rsidRPr="002C5366">
        <w:rPr>
          <w:sz w:val="24"/>
          <w:lang w:val="en"/>
        </w:rPr>
        <w:t>There are minimal change</w:t>
      </w:r>
      <w:r w:rsidR="00AF76BA" w:rsidRPr="002C5366">
        <w:rPr>
          <w:sz w:val="24"/>
          <w:lang w:val="en"/>
        </w:rPr>
        <w:t>s to the collection</w:t>
      </w:r>
      <w:r w:rsidR="00895A90" w:rsidRPr="002C5366">
        <w:rPr>
          <w:sz w:val="24"/>
          <w:lang w:val="en"/>
        </w:rPr>
        <w:t xml:space="preserve"> instrument</w:t>
      </w:r>
      <w:r w:rsidR="00AF76BA" w:rsidRPr="002C5366">
        <w:rPr>
          <w:sz w:val="24"/>
          <w:lang w:val="en"/>
        </w:rPr>
        <w:t xml:space="preserve"> in this revision</w:t>
      </w:r>
      <w:r w:rsidR="0050590F" w:rsidRPr="002C5366">
        <w:rPr>
          <w:sz w:val="24"/>
          <w:lang w:val="en"/>
        </w:rPr>
        <w:t xml:space="preserve">; however, </w:t>
      </w:r>
      <w:r w:rsidR="00895A90" w:rsidRPr="002C5366">
        <w:rPr>
          <w:sz w:val="24"/>
          <w:lang w:val="en"/>
        </w:rPr>
        <w:t>there have been updates to the web-based system to improve performance, functionality, and accessibility</w:t>
      </w:r>
      <w:r w:rsidR="0050590F" w:rsidRPr="002C5366">
        <w:rPr>
          <w:sz w:val="24"/>
          <w:lang w:val="en"/>
        </w:rPr>
        <w:t xml:space="preserve"> for funded states</w:t>
      </w:r>
      <w:r w:rsidR="00AF76BA" w:rsidRPr="002C5366">
        <w:rPr>
          <w:sz w:val="24"/>
          <w:lang w:val="en"/>
        </w:rPr>
        <w:t xml:space="preserve">. </w:t>
      </w:r>
      <w:r w:rsidR="000331D8" w:rsidRPr="002C5366">
        <w:rPr>
          <w:sz w:val="24"/>
          <w:lang w:val="en"/>
        </w:rPr>
        <w:t>Minimal c</w:t>
      </w:r>
      <w:r w:rsidR="0050590F" w:rsidRPr="002C5366">
        <w:rPr>
          <w:sz w:val="24"/>
          <w:lang w:val="en"/>
        </w:rPr>
        <w:t>hanges to the SUDORS module include revisions to question wording and response choices</w:t>
      </w:r>
      <w:r w:rsidR="00037468" w:rsidRPr="002C5366">
        <w:rPr>
          <w:sz w:val="24"/>
          <w:lang w:val="en"/>
        </w:rPr>
        <w:t>,</w:t>
      </w:r>
      <w:r w:rsidR="0050590F" w:rsidRPr="002C5366">
        <w:rPr>
          <w:sz w:val="24"/>
          <w:lang w:val="en"/>
        </w:rPr>
        <w:t xml:space="preserve"> as well as additional </w:t>
      </w:r>
      <w:r w:rsidR="00037468" w:rsidRPr="002C5366">
        <w:rPr>
          <w:sz w:val="24"/>
          <w:lang w:val="en"/>
        </w:rPr>
        <w:t xml:space="preserve">categories available to capture information </w:t>
      </w:r>
      <w:r w:rsidR="00E03628" w:rsidRPr="002C5366">
        <w:rPr>
          <w:sz w:val="24"/>
          <w:lang w:val="en"/>
        </w:rPr>
        <w:t xml:space="preserve">that </w:t>
      </w:r>
      <w:r w:rsidR="00037468" w:rsidRPr="002C5366">
        <w:rPr>
          <w:sz w:val="24"/>
          <w:lang w:val="en"/>
        </w:rPr>
        <w:t xml:space="preserve">previously </w:t>
      </w:r>
      <w:r w:rsidR="00E03628" w:rsidRPr="002C5366">
        <w:rPr>
          <w:sz w:val="24"/>
          <w:lang w:val="en"/>
        </w:rPr>
        <w:t xml:space="preserve">could </w:t>
      </w:r>
      <w:r w:rsidR="00037468" w:rsidRPr="002C5366">
        <w:rPr>
          <w:sz w:val="24"/>
          <w:lang w:val="en"/>
        </w:rPr>
        <w:t xml:space="preserve">only </w:t>
      </w:r>
      <w:r w:rsidR="00E03628" w:rsidRPr="002C5366">
        <w:rPr>
          <w:sz w:val="24"/>
          <w:lang w:val="en"/>
        </w:rPr>
        <w:t xml:space="preserve">be </w:t>
      </w:r>
      <w:r w:rsidR="00037468" w:rsidRPr="002C5366">
        <w:rPr>
          <w:sz w:val="24"/>
          <w:lang w:val="en"/>
        </w:rPr>
        <w:t>captured in a narrative field,</w:t>
      </w:r>
      <w:r w:rsidR="0050590F" w:rsidRPr="002C5366">
        <w:rPr>
          <w:sz w:val="24"/>
          <w:lang w:val="en"/>
        </w:rPr>
        <w:t xml:space="preserve"> to better capture </w:t>
      </w:r>
      <w:r w:rsidR="00D94A43" w:rsidRPr="002C5366">
        <w:rPr>
          <w:sz w:val="24"/>
          <w:lang w:val="en"/>
        </w:rPr>
        <w:t xml:space="preserve">contextual information such as day/time a decedent was last seen alive, whether a decedent had a recent opioid use relapse, evidence of prescription drug use, </w:t>
      </w:r>
      <w:r w:rsidR="00EA61F7" w:rsidRPr="002C5366">
        <w:rPr>
          <w:sz w:val="24"/>
          <w:lang w:val="en"/>
        </w:rPr>
        <w:t xml:space="preserve">and </w:t>
      </w:r>
      <w:r w:rsidR="00D94A43" w:rsidRPr="002C5366">
        <w:rPr>
          <w:sz w:val="24"/>
          <w:lang w:val="en"/>
        </w:rPr>
        <w:t>evidence of rapid overdose</w:t>
      </w:r>
      <w:r w:rsidR="00EA61F7" w:rsidRPr="002C5366">
        <w:rPr>
          <w:sz w:val="24"/>
          <w:lang w:val="en"/>
        </w:rPr>
        <w:t>.</w:t>
      </w:r>
      <w:r w:rsidR="0050590F" w:rsidRPr="002C5366">
        <w:rPr>
          <w:sz w:val="24"/>
          <w:lang w:val="en"/>
        </w:rPr>
        <w:t xml:space="preserve"> </w:t>
      </w:r>
      <w:r w:rsidR="00D94A43" w:rsidRPr="002C5366">
        <w:rPr>
          <w:sz w:val="24"/>
          <w:lang w:val="en"/>
        </w:rPr>
        <w:t xml:space="preserve"> </w:t>
      </w:r>
      <w:r w:rsidRPr="002C5366">
        <w:rPr>
          <w:sz w:val="24"/>
          <w:lang w:val="en"/>
        </w:rPr>
        <w:t xml:space="preserve">These </w:t>
      </w:r>
      <w:r w:rsidR="0050590F" w:rsidRPr="002C5366">
        <w:rPr>
          <w:sz w:val="24"/>
          <w:lang w:val="en"/>
        </w:rPr>
        <w:t>revisions</w:t>
      </w:r>
      <w:r w:rsidRPr="002C5366">
        <w:rPr>
          <w:sz w:val="24"/>
          <w:lang w:val="en"/>
        </w:rPr>
        <w:t xml:space="preserve"> are based on lessons learned from the state program</w:t>
      </w:r>
      <w:r w:rsidR="00677242" w:rsidRPr="002C5366">
        <w:rPr>
          <w:sz w:val="24"/>
          <w:lang w:val="en"/>
        </w:rPr>
        <w:t>s</w:t>
      </w:r>
      <w:r w:rsidRPr="002C5366">
        <w:rPr>
          <w:sz w:val="24"/>
          <w:lang w:val="en"/>
        </w:rPr>
        <w:t xml:space="preserve"> using SUDORS for data collection (Enhanced State Opioid Overdose Surveillance; </w:t>
      </w:r>
      <w:r w:rsidR="00E7182F" w:rsidRPr="002C5366">
        <w:rPr>
          <w:sz w:val="24"/>
          <w:lang w:val="en"/>
        </w:rPr>
        <w:t xml:space="preserve">currently funded </w:t>
      </w:r>
      <w:r w:rsidRPr="002C5366">
        <w:rPr>
          <w:sz w:val="24"/>
          <w:lang w:val="en"/>
        </w:rPr>
        <w:t>ESOOS</w:t>
      </w:r>
      <w:r w:rsidR="00E7182F" w:rsidRPr="002C5366">
        <w:rPr>
          <w:sz w:val="24"/>
          <w:lang w:val="en"/>
        </w:rPr>
        <w:t xml:space="preserve"> awardees</w:t>
      </w:r>
      <w:r w:rsidRPr="002C5366">
        <w:rPr>
          <w:sz w:val="24"/>
          <w:lang w:val="en"/>
        </w:rPr>
        <w:t xml:space="preserve">, from two Epi-Aids in Massachusetts and Ohio, and </w:t>
      </w:r>
      <w:r w:rsidR="00677242" w:rsidRPr="002C5366">
        <w:rPr>
          <w:sz w:val="24"/>
          <w:lang w:val="en"/>
        </w:rPr>
        <w:t xml:space="preserve">from </w:t>
      </w:r>
      <w:r w:rsidRPr="002C5366">
        <w:rPr>
          <w:sz w:val="24"/>
          <w:lang w:val="en"/>
        </w:rPr>
        <w:t>consultations with experts on illicit drug use</w:t>
      </w:r>
      <w:r w:rsidR="00F90A3A" w:rsidRPr="002C5366">
        <w:rPr>
          <w:sz w:val="24"/>
          <w:lang w:val="en"/>
        </w:rPr>
        <w:t>)</w:t>
      </w:r>
      <w:r w:rsidRPr="002C5366">
        <w:rPr>
          <w:sz w:val="24"/>
          <w:lang w:val="en"/>
        </w:rPr>
        <w:t xml:space="preserve">. </w:t>
      </w:r>
      <w:r w:rsidR="00D94A43" w:rsidRPr="002C5366">
        <w:rPr>
          <w:sz w:val="24"/>
          <w:lang w:val="en"/>
        </w:rPr>
        <w:t>Attach</w:t>
      </w:r>
      <w:r w:rsidR="000331D8" w:rsidRPr="002C5366">
        <w:rPr>
          <w:sz w:val="24"/>
          <w:lang w:val="en"/>
        </w:rPr>
        <w:t xml:space="preserve">ment </w:t>
      </w:r>
      <w:r w:rsidR="00677242" w:rsidRPr="002C5366">
        <w:rPr>
          <w:sz w:val="24"/>
          <w:lang w:val="en"/>
        </w:rPr>
        <w:t>F</w:t>
      </w:r>
      <w:r w:rsidR="000331D8" w:rsidRPr="002C5366">
        <w:rPr>
          <w:sz w:val="24"/>
          <w:lang w:val="en"/>
        </w:rPr>
        <w:t xml:space="preserve"> </w:t>
      </w:r>
      <w:r w:rsidR="00723312" w:rsidRPr="002C5366">
        <w:rPr>
          <w:sz w:val="24"/>
          <w:lang w:val="en"/>
        </w:rPr>
        <w:t>(</w:t>
      </w:r>
      <w:r w:rsidR="00677242" w:rsidRPr="002C5366">
        <w:rPr>
          <w:sz w:val="24"/>
          <w:lang w:val="en"/>
        </w:rPr>
        <w:t>the Survey Updates Documentation</w:t>
      </w:r>
      <w:r w:rsidR="00723312" w:rsidRPr="002C5366">
        <w:rPr>
          <w:sz w:val="24"/>
          <w:lang w:val="en"/>
        </w:rPr>
        <w:t xml:space="preserve">) </w:t>
      </w:r>
      <w:r w:rsidR="000331D8" w:rsidRPr="002C5366">
        <w:rPr>
          <w:sz w:val="24"/>
          <w:lang w:val="en"/>
        </w:rPr>
        <w:t>and</w:t>
      </w:r>
      <w:r w:rsidR="00723312" w:rsidRPr="002C5366">
        <w:rPr>
          <w:sz w:val="24"/>
          <w:lang w:val="en"/>
        </w:rPr>
        <w:t xml:space="preserve"> Attachment F</w:t>
      </w:r>
      <w:r w:rsidR="00677242" w:rsidRPr="002C5366">
        <w:rPr>
          <w:sz w:val="24"/>
          <w:lang w:val="en"/>
        </w:rPr>
        <w:t>1</w:t>
      </w:r>
      <w:r w:rsidR="00723312" w:rsidRPr="002C5366">
        <w:rPr>
          <w:sz w:val="24"/>
          <w:lang w:val="en"/>
        </w:rPr>
        <w:t xml:space="preserve"> (</w:t>
      </w:r>
      <w:r w:rsidR="00677242" w:rsidRPr="002C5366">
        <w:rPr>
          <w:sz w:val="24"/>
          <w:lang w:val="en"/>
        </w:rPr>
        <w:t>screenshots</w:t>
      </w:r>
      <w:r w:rsidR="00723312" w:rsidRPr="002C5366">
        <w:rPr>
          <w:sz w:val="24"/>
          <w:lang w:val="en"/>
        </w:rPr>
        <w:t>)</w:t>
      </w:r>
      <w:r w:rsidR="00D94A43" w:rsidRPr="002C5366">
        <w:rPr>
          <w:sz w:val="24"/>
          <w:lang w:val="en"/>
        </w:rPr>
        <w:t xml:space="preserve"> provide a detailed </w:t>
      </w:r>
      <w:r w:rsidR="00EA61F7" w:rsidRPr="002C5366">
        <w:rPr>
          <w:sz w:val="24"/>
          <w:lang w:val="en"/>
        </w:rPr>
        <w:t xml:space="preserve">crosswalk </w:t>
      </w:r>
      <w:r w:rsidR="00D94A43" w:rsidRPr="002C5366">
        <w:rPr>
          <w:sz w:val="24"/>
          <w:lang w:val="en"/>
        </w:rPr>
        <w:t>of current questions and the revisions.</w:t>
      </w:r>
      <w:r w:rsidR="00EA61F7" w:rsidRPr="002C5366">
        <w:rPr>
          <w:sz w:val="24"/>
          <w:lang w:val="en"/>
        </w:rPr>
        <w:t xml:space="preserve"> </w:t>
      </w:r>
      <w:r w:rsidR="00895A90" w:rsidRPr="002C5366">
        <w:rPr>
          <w:sz w:val="24"/>
          <w:lang w:val="en"/>
        </w:rPr>
        <w:t>These changes would not aff</w:t>
      </w:r>
      <w:r w:rsidR="00F94B52" w:rsidRPr="002C5366">
        <w:rPr>
          <w:sz w:val="24"/>
          <w:lang w:val="en"/>
        </w:rPr>
        <w:t>ect burden hours per response. Updates to burden estimates include projected hours for all 50 states</w:t>
      </w:r>
      <w:r w:rsidR="00045937" w:rsidRPr="002C5366">
        <w:rPr>
          <w:sz w:val="24"/>
          <w:lang w:val="en"/>
        </w:rPr>
        <w:t>.</w:t>
      </w:r>
    </w:p>
    <w:p w14:paraId="1058D697" w14:textId="77777777" w:rsidR="001A764F" w:rsidRPr="002C5366" w:rsidRDefault="001A764F" w:rsidP="001A764F">
      <w:pPr>
        <w:rPr>
          <w:sz w:val="24"/>
        </w:rPr>
      </w:pPr>
    </w:p>
    <w:p w14:paraId="1F9D854A" w14:textId="2D65AE06" w:rsidR="001A764F" w:rsidRPr="002C5366" w:rsidRDefault="001A764F" w:rsidP="005A41FD">
      <w:pPr>
        <w:rPr>
          <w:sz w:val="24"/>
        </w:rPr>
      </w:pPr>
      <w:r w:rsidRPr="002C5366">
        <w:rPr>
          <w:sz w:val="24"/>
        </w:rPr>
        <w:t>SUDORS will leverage the existing web-based data collection platform, the National Violent Death Reporting System (NVDRS) OMB# 0920-0607, to collect medical examiner</w:t>
      </w:r>
      <w:r w:rsidR="00EB5BCE" w:rsidRPr="002C5366">
        <w:rPr>
          <w:sz w:val="24"/>
        </w:rPr>
        <w:t xml:space="preserve"> and coroner</w:t>
      </w:r>
      <w:r w:rsidRPr="002C5366">
        <w:rPr>
          <w:sz w:val="24"/>
        </w:rPr>
        <w:t xml:space="preserve"> (</w:t>
      </w:r>
      <w:r w:rsidR="00060430" w:rsidRPr="002C5366">
        <w:rPr>
          <w:sz w:val="24"/>
        </w:rPr>
        <w:t>ME/C</w:t>
      </w:r>
      <w:r w:rsidRPr="002C5366">
        <w:rPr>
          <w:sz w:val="24"/>
        </w:rPr>
        <w:t xml:space="preserve">) information, including toxicology, and death certificate information on unintentional </w:t>
      </w:r>
      <w:r w:rsidR="00677242" w:rsidRPr="002C5366">
        <w:rPr>
          <w:sz w:val="24"/>
        </w:rPr>
        <w:t xml:space="preserve">and undetermined </w:t>
      </w:r>
      <w:r w:rsidRPr="002C5366">
        <w:rPr>
          <w:sz w:val="24"/>
        </w:rPr>
        <w:t xml:space="preserve">fatal drug overdoses. This program </w:t>
      </w:r>
      <w:r w:rsidR="00677242" w:rsidRPr="002C5366">
        <w:rPr>
          <w:sz w:val="24"/>
        </w:rPr>
        <w:t>is</w:t>
      </w:r>
      <w:r w:rsidRPr="002C5366">
        <w:rPr>
          <w:sz w:val="24"/>
        </w:rPr>
        <w:t xml:space="preserve"> authorized under section 301 (a) [42 U.S.C. 241(a)] of the Public Health Service Act and section 391 (a) [42 U.S.C. 280(b)] of the Public Service Health Act</w:t>
      </w:r>
      <w:r w:rsidR="0053743F" w:rsidRPr="002C5366">
        <w:rPr>
          <w:sz w:val="24"/>
        </w:rPr>
        <w:t xml:space="preserve"> </w:t>
      </w:r>
      <w:r w:rsidRPr="002C5366">
        <w:rPr>
          <w:sz w:val="24"/>
        </w:rPr>
        <w:t xml:space="preserve">(See Attachment A). </w:t>
      </w:r>
    </w:p>
    <w:p w14:paraId="78BCC191" w14:textId="77777777" w:rsidR="005B5503" w:rsidRPr="002C5366" w:rsidRDefault="005B5503" w:rsidP="005A41FD">
      <w:pPr>
        <w:rPr>
          <w:sz w:val="24"/>
        </w:rPr>
      </w:pPr>
    </w:p>
    <w:p w14:paraId="7C5ADFBE" w14:textId="3A1153AC" w:rsidR="005B5503" w:rsidRPr="002C5366" w:rsidRDefault="005B5503" w:rsidP="005A41FD">
      <w:pPr>
        <w:rPr>
          <w:sz w:val="24"/>
        </w:rPr>
      </w:pPr>
      <w:r w:rsidRPr="002C5366">
        <w:rPr>
          <w:sz w:val="24"/>
        </w:rPr>
        <w:t xml:space="preserve">OMB’s terms of clearance for the currently approved package were: “Approval for 2 year OMB clearance is granted with the understanding that CDC will provide updates to OMB (via phone teleconference) every 6 months on their progress toward achieving more streamlined and collaborative data collection efforts in coordination with NCHS.” CDC understands that OMB’s </w:t>
      </w:r>
      <w:r w:rsidR="00DA6EFB" w:rsidRPr="002C5366">
        <w:rPr>
          <w:sz w:val="24"/>
        </w:rPr>
        <w:t xml:space="preserve">interest </w:t>
      </w:r>
      <w:r w:rsidRPr="002C5366">
        <w:rPr>
          <w:sz w:val="24"/>
        </w:rPr>
        <w:t xml:space="preserve">is in maximizing the long-term investment </w:t>
      </w:r>
      <w:r w:rsidR="00DA6EFB" w:rsidRPr="002C5366">
        <w:rPr>
          <w:sz w:val="24"/>
        </w:rPr>
        <w:t xml:space="preserve">in </w:t>
      </w:r>
      <w:r w:rsidRPr="002C5366">
        <w:rPr>
          <w:sz w:val="24"/>
        </w:rPr>
        <w:t xml:space="preserve">working with State health departments and medical examiners/coroners to improve the timeliness of fatal opioid overdose surveillance.  </w:t>
      </w:r>
      <w:r w:rsidR="00DA6EFB" w:rsidRPr="002C5366">
        <w:rPr>
          <w:sz w:val="24"/>
        </w:rPr>
        <w:t xml:space="preserve">As such, </w:t>
      </w:r>
      <w:r w:rsidRPr="002C5366">
        <w:rPr>
          <w:sz w:val="24"/>
        </w:rPr>
        <w:t xml:space="preserve">DUIP/NCIPC will continue to devote resources to </w:t>
      </w:r>
      <w:r w:rsidR="00DA6EFB" w:rsidRPr="002C5366">
        <w:rPr>
          <w:sz w:val="24"/>
        </w:rPr>
        <w:t xml:space="preserve">continuing to collaborate with NCHS to improve the quality and </w:t>
      </w:r>
      <w:r w:rsidR="00507F0D" w:rsidRPr="002C5366">
        <w:rPr>
          <w:sz w:val="24"/>
        </w:rPr>
        <w:t>comprehensiveness</w:t>
      </w:r>
      <w:r w:rsidR="00DA6EFB" w:rsidRPr="002C5366">
        <w:rPr>
          <w:sz w:val="24"/>
        </w:rPr>
        <w:t xml:space="preserve"> of </w:t>
      </w:r>
      <w:r w:rsidR="00507F0D" w:rsidRPr="002C5366">
        <w:rPr>
          <w:sz w:val="24"/>
        </w:rPr>
        <w:t>opioid</w:t>
      </w:r>
      <w:r w:rsidR="00DA6EFB" w:rsidRPr="002C5366">
        <w:rPr>
          <w:sz w:val="24"/>
        </w:rPr>
        <w:t xml:space="preserve"> death reporting on State death certificates.</w:t>
      </w:r>
      <w:r w:rsidRPr="002C5366">
        <w:rPr>
          <w:sz w:val="24"/>
        </w:rPr>
        <w:t xml:space="preserve"> </w:t>
      </w:r>
      <w:r w:rsidR="00DA6EFB" w:rsidRPr="002C5366">
        <w:rPr>
          <w:sz w:val="24"/>
        </w:rPr>
        <w:t xml:space="preserve">CDC </w:t>
      </w:r>
      <w:r w:rsidRPr="002C5366">
        <w:rPr>
          <w:sz w:val="24"/>
        </w:rPr>
        <w:t>has uploaded a supplemental document entitled “</w:t>
      </w:r>
      <w:r w:rsidR="00D509B6" w:rsidRPr="002C5366">
        <w:rPr>
          <w:sz w:val="24"/>
        </w:rPr>
        <w:t>CDC Response to SUDORS OMB</w:t>
      </w:r>
      <w:r w:rsidR="00BE63D4" w:rsidRPr="002C5366">
        <w:rPr>
          <w:sz w:val="24"/>
        </w:rPr>
        <w:t xml:space="preserve"> </w:t>
      </w:r>
      <w:r w:rsidR="00D509B6" w:rsidRPr="002C5366">
        <w:rPr>
          <w:sz w:val="24"/>
        </w:rPr>
        <w:t>Request</w:t>
      </w:r>
      <w:r w:rsidRPr="002C5366">
        <w:rPr>
          <w:sz w:val="24"/>
        </w:rPr>
        <w:t>”</w:t>
      </w:r>
      <w:r w:rsidR="00DA6EFB" w:rsidRPr="002C5366">
        <w:rPr>
          <w:sz w:val="24"/>
        </w:rPr>
        <w:t xml:space="preserve"> that explains progress to date</w:t>
      </w:r>
      <w:r w:rsidRPr="002C5366">
        <w:rPr>
          <w:sz w:val="24"/>
        </w:rPr>
        <w:t xml:space="preserve">. </w:t>
      </w:r>
    </w:p>
    <w:p w14:paraId="7B265D90" w14:textId="77777777" w:rsidR="001C26B3" w:rsidRPr="002C5366" w:rsidRDefault="001C26B3">
      <w:pPr>
        <w:rPr>
          <w:sz w:val="24"/>
        </w:rPr>
      </w:pPr>
    </w:p>
    <w:p w14:paraId="09E05EDE" w14:textId="451C4B92" w:rsidR="001C26B3" w:rsidRPr="002C5366" w:rsidRDefault="001C26B3" w:rsidP="00562D90">
      <w:pPr>
        <w:rPr>
          <w:sz w:val="24"/>
        </w:rPr>
      </w:pPr>
      <w:r w:rsidRPr="002C5366">
        <w:rPr>
          <w:b/>
          <w:bCs/>
          <w:sz w:val="24"/>
        </w:rPr>
        <w:t>2.  Purpose and Use of Information Collection</w:t>
      </w:r>
    </w:p>
    <w:p w14:paraId="7FA4205E" w14:textId="77777777" w:rsidR="001C26B3" w:rsidRPr="002C5366" w:rsidRDefault="001C26B3">
      <w:pPr>
        <w:rPr>
          <w:sz w:val="24"/>
        </w:rPr>
      </w:pPr>
    </w:p>
    <w:p w14:paraId="6EE6004F" w14:textId="6E1B3CCE" w:rsidR="009A4735" w:rsidRPr="002C5366" w:rsidRDefault="009A4735" w:rsidP="009A4735">
      <w:pPr>
        <w:rPr>
          <w:sz w:val="24"/>
        </w:rPr>
      </w:pPr>
      <w:r w:rsidRPr="002C5366">
        <w:rPr>
          <w:sz w:val="24"/>
        </w:rPr>
        <w:t xml:space="preserve">The purpose of SUDORS is to generate public health surveillance information on </w:t>
      </w:r>
      <w:r w:rsidR="009C279F" w:rsidRPr="002C5366">
        <w:rPr>
          <w:sz w:val="24"/>
        </w:rPr>
        <w:t xml:space="preserve">unintentional </w:t>
      </w:r>
      <w:r w:rsidR="00895A90" w:rsidRPr="002C5366">
        <w:rPr>
          <w:sz w:val="24"/>
        </w:rPr>
        <w:t xml:space="preserve">and undetermined </w:t>
      </w:r>
      <w:r w:rsidRPr="002C5366">
        <w:rPr>
          <w:sz w:val="24"/>
        </w:rPr>
        <w:t xml:space="preserve">opioid-related drug overdoses across multiple states, within a state, and within local communities to support states and local communities </w:t>
      </w:r>
      <w:r w:rsidR="00677242" w:rsidRPr="002C5366">
        <w:rPr>
          <w:sz w:val="24"/>
        </w:rPr>
        <w:t xml:space="preserve">to </w:t>
      </w:r>
      <w:r w:rsidRPr="002C5366">
        <w:rPr>
          <w:sz w:val="24"/>
        </w:rPr>
        <w:t>select and target intervention strategies that address the risk factors driving fatal opioid-related overdoses in their community. A few examples of how data collected as part of SUDORS could support prevention and response to opioid-related overdoses are provided below. SUDORS data could:</w:t>
      </w:r>
    </w:p>
    <w:p w14:paraId="08A6C419" w14:textId="77777777" w:rsidR="009A4735" w:rsidRPr="002C5366" w:rsidRDefault="009A4735" w:rsidP="009A4735">
      <w:pPr>
        <w:rPr>
          <w:sz w:val="24"/>
        </w:rPr>
      </w:pPr>
    </w:p>
    <w:p w14:paraId="00BDAE0E" w14:textId="08AAC2E2" w:rsidR="009A4735" w:rsidRPr="002C5366" w:rsidRDefault="009A4735" w:rsidP="009A4735">
      <w:pPr>
        <w:pStyle w:val="ListParagraph"/>
        <w:numPr>
          <w:ilvl w:val="0"/>
          <w:numId w:val="32"/>
        </w:numPr>
        <w:rPr>
          <w:rFonts w:ascii="Times New Roman" w:hAnsi="Times New Roman"/>
          <w:b/>
          <w:bCs/>
        </w:rPr>
      </w:pPr>
      <w:r w:rsidRPr="002C5366">
        <w:rPr>
          <w:rFonts w:ascii="Times New Roman" w:hAnsi="Times New Roman"/>
          <w:bCs/>
        </w:rPr>
        <w:t xml:space="preserve">Assist state and local communities </w:t>
      </w:r>
      <w:r w:rsidR="00677242" w:rsidRPr="002C5366">
        <w:rPr>
          <w:rFonts w:ascii="Times New Roman" w:hAnsi="Times New Roman"/>
          <w:bCs/>
        </w:rPr>
        <w:t xml:space="preserve">to </w:t>
      </w:r>
      <w:r w:rsidRPr="002C5366">
        <w:rPr>
          <w:rFonts w:ascii="Times New Roman" w:hAnsi="Times New Roman"/>
          <w:bCs/>
        </w:rPr>
        <w:t>better understand the extent to which opioid-related overdose deaths are related to the misuse of prescription drugs versus use of illicitly produced opioids such as heroin.</w:t>
      </w:r>
      <w:r w:rsidR="0040403E" w:rsidRPr="002C5366">
        <w:rPr>
          <w:rFonts w:ascii="Times New Roman" w:hAnsi="Times New Roman"/>
          <w:bCs/>
        </w:rPr>
        <w:t xml:space="preserve"> This will help better track the burden in trends in opioid-related drug overdoses.</w:t>
      </w:r>
    </w:p>
    <w:p w14:paraId="07CB00B1" w14:textId="79FB1C6A"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bCs/>
        </w:rPr>
        <w:t xml:space="preserve">Toxicology and scene evidence (e.g., drug </w:t>
      </w:r>
      <w:r w:rsidR="007C197E" w:rsidRPr="002C5366">
        <w:rPr>
          <w:rFonts w:ascii="Times New Roman" w:hAnsi="Times New Roman"/>
          <w:bCs/>
        </w:rPr>
        <w:t>paraphernalia</w:t>
      </w:r>
      <w:r w:rsidRPr="002C5366">
        <w:rPr>
          <w:rFonts w:ascii="Times New Roman" w:hAnsi="Times New Roman"/>
          <w:bCs/>
        </w:rPr>
        <w:t xml:space="preserve">) </w:t>
      </w:r>
      <w:r w:rsidR="001E041B" w:rsidRPr="002C5366">
        <w:rPr>
          <w:rFonts w:ascii="Times New Roman" w:hAnsi="Times New Roman"/>
          <w:bCs/>
        </w:rPr>
        <w:t>are often</w:t>
      </w:r>
      <w:r w:rsidRPr="002C5366">
        <w:rPr>
          <w:rFonts w:ascii="Times New Roman" w:hAnsi="Times New Roman"/>
          <w:bCs/>
        </w:rPr>
        <w:t xml:space="preserve"> needed to determine if drug overdoses testing positive for morphine on toxicology are related to the use of prescription morphine or heroin</w:t>
      </w:r>
      <w:r w:rsidR="00F06E9F" w:rsidRPr="002C5366">
        <w:rPr>
          <w:rStyle w:val="EndnoteReference"/>
          <w:rFonts w:ascii="Times New Roman" w:hAnsi="Times New Roman"/>
          <w:bCs/>
        </w:rPr>
        <w:endnoteReference w:id="24"/>
      </w:r>
      <w:r w:rsidRPr="002C5366">
        <w:rPr>
          <w:rFonts w:ascii="Times New Roman" w:hAnsi="Times New Roman"/>
          <w:bCs/>
        </w:rPr>
        <w:t xml:space="preserve">. </w:t>
      </w:r>
    </w:p>
    <w:p w14:paraId="11E64339" w14:textId="4AF98DE7"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bCs/>
        </w:rPr>
        <w:t>A powerful opioid, fentanyl, is produced by pharmacies and also illicitly manufactured. Toxicology tests conducted by ME/Cs cannot determine the source</w:t>
      </w:r>
      <w:r w:rsidR="009C279F" w:rsidRPr="002C5366">
        <w:rPr>
          <w:rStyle w:val="EndnoteReference"/>
          <w:rFonts w:ascii="Times New Roman" w:hAnsi="Times New Roman"/>
        </w:rPr>
        <w:endnoteReference w:id="25"/>
      </w:r>
      <w:r w:rsidRPr="002C5366">
        <w:rPr>
          <w:rFonts w:ascii="Times New Roman" w:hAnsi="Times New Roman"/>
          <w:bCs/>
        </w:rPr>
        <w:t xml:space="preserve">, but scene evidence and full toxicology findings </w:t>
      </w:r>
      <w:r w:rsidR="00682512" w:rsidRPr="002C5366">
        <w:rPr>
          <w:rFonts w:ascii="Times New Roman" w:hAnsi="Times New Roman"/>
        </w:rPr>
        <w:t>(e.g., when mixed with heroin most often occurs with illicitly manufactured heroin) can help distinguish whether the fentanyl was manufactured illicitly or by pharmaceutical companies.</w:t>
      </w:r>
    </w:p>
    <w:p w14:paraId="49AD942C" w14:textId="0E83DA68"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bCs/>
        </w:rPr>
        <w:t xml:space="preserve">ME/C reports will be reviewed to determine whether the overdose was related to substance </w:t>
      </w:r>
      <w:r w:rsidR="00382D5D" w:rsidRPr="002C5366">
        <w:rPr>
          <w:rFonts w:ascii="Times New Roman" w:hAnsi="Times New Roman"/>
          <w:bCs/>
        </w:rPr>
        <w:t>misuse</w:t>
      </w:r>
      <w:r w:rsidRPr="002C5366">
        <w:rPr>
          <w:rFonts w:ascii="Times New Roman" w:hAnsi="Times New Roman"/>
          <w:bCs/>
        </w:rPr>
        <w:t xml:space="preserve">, taking prescribed </w:t>
      </w:r>
      <w:r w:rsidR="009C279F" w:rsidRPr="002C5366">
        <w:rPr>
          <w:rFonts w:ascii="Times New Roman" w:hAnsi="Times New Roman"/>
          <w:bCs/>
        </w:rPr>
        <w:t>OPR</w:t>
      </w:r>
      <w:r w:rsidRPr="002C5366">
        <w:rPr>
          <w:rFonts w:ascii="Times New Roman" w:hAnsi="Times New Roman"/>
          <w:bCs/>
        </w:rPr>
        <w:t xml:space="preserve"> in a manner not prescribed (e.g., taking extra dosages because decedent was feeling pain), or accidental ingestion (e.g., a very young child ingests </w:t>
      </w:r>
      <w:r w:rsidR="00682512" w:rsidRPr="002C5366">
        <w:rPr>
          <w:rFonts w:ascii="Times New Roman" w:hAnsi="Times New Roman"/>
        </w:rPr>
        <w:t xml:space="preserve">a prescribed </w:t>
      </w:r>
      <w:r w:rsidRPr="002C5366">
        <w:rPr>
          <w:rFonts w:ascii="Times New Roman" w:hAnsi="Times New Roman"/>
          <w:bCs/>
        </w:rPr>
        <w:t>opioid or heroin).</w:t>
      </w:r>
    </w:p>
    <w:p w14:paraId="4A84EB56" w14:textId="1E8D7B29" w:rsidR="009C279F" w:rsidRPr="002C5366" w:rsidRDefault="009C279F" w:rsidP="009A4735">
      <w:pPr>
        <w:pStyle w:val="ListParagraph"/>
        <w:numPr>
          <w:ilvl w:val="1"/>
          <w:numId w:val="31"/>
        </w:numPr>
        <w:rPr>
          <w:rFonts w:ascii="Times New Roman" w:hAnsi="Times New Roman"/>
          <w:b/>
          <w:bCs/>
        </w:rPr>
      </w:pPr>
      <w:r w:rsidRPr="002C5366">
        <w:rPr>
          <w:rFonts w:ascii="Times New Roman" w:hAnsi="Times New Roman"/>
          <w:bCs/>
        </w:rPr>
        <w:t>The death certificate does not report the specific drug causing an overdose for about 20 percent of drug overdoses</w:t>
      </w:r>
      <w:r w:rsidRPr="002C5366">
        <w:rPr>
          <w:rStyle w:val="EndnoteReference"/>
          <w:rFonts w:ascii="Times New Roman" w:hAnsi="Times New Roman"/>
          <w:iCs/>
        </w:rPr>
        <w:endnoteReference w:id="26"/>
      </w:r>
      <w:r w:rsidRPr="002C5366">
        <w:rPr>
          <w:rFonts w:ascii="Times New Roman" w:hAnsi="Times New Roman"/>
          <w:bCs/>
        </w:rPr>
        <w:t>.</w:t>
      </w:r>
      <w:r w:rsidR="00235B25" w:rsidRPr="002C5366">
        <w:rPr>
          <w:rFonts w:ascii="Times New Roman" w:hAnsi="Times New Roman"/>
          <w:bCs/>
        </w:rPr>
        <w:t xml:space="preserve"> A portion of this results from the use of general terms such as “narcotic” on the death certificate</w:t>
      </w:r>
      <w:r w:rsidR="00235B25" w:rsidRPr="002C5366">
        <w:rPr>
          <w:rStyle w:val="EndnoteReference"/>
          <w:rFonts w:ascii="Times New Roman" w:hAnsi="Times New Roman"/>
          <w:bCs/>
        </w:rPr>
        <w:endnoteReference w:id="27"/>
      </w:r>
      <w:r w:rsidR="00DF028D" w:rsidRPr="002C5366">
        <w:rPr>
          <w:rFonts w:ascii="Times New Roman" w:hAnsi="Times New Roman"/>
          <w:bCs/>
        </w:rPr>
        <w:t xml:space="preserve">. </w:t>
      </w:r>
      <w:r w:rsidR="007C197E" w:rsidRPr="002C5366">
        <w:rPr>
          <w:rFonts w:ascii="Times New Roman" w:hAnsi="Times New Roman"/>
          <w:bCs/>
        </w:rPr>
        <w:t>Consequently</w:t>
      </w:r>
      <w:r w:rsidR="00DF028D" w:rsidRPr="002C5366">
        <w:rPr>
          <w:rFonts w:ascii="Times New Roman" w:hAnsi="Times New Roman"/>
          <w:bCs/>
        </w:rPr>
        <w:t xml:space="preserve">, reviewing the ME/C report, including toxicology, should improve the classification and thus tracking of opioid-related drug overdose deaths. </w:t>
      </w:r>
    </w:p>
    <w:p w14:paraId="231A2F7E" w14:textId="43F2127F" w:rsidR="009A4735" w:rsidRPr="002C5366" w:rsidRDefault="009A4735" w:rsidP="009A4735">
      <w:pPr>
        <w:pStyle w:val="ListParagraph"/>
        <w:numPr>
          <w:ilvl w:val="0"/>
          <w:numId w:val="31"/>
        </w:numPr>
        <w:rPr>
          <w:rFonts w:ascii="Times New Roman" w:hAnsi="Times New Roman"/>
          <w:b/>
          <w:bCs/>
        </w:rPr>
      </w:pPr>
      <w:r w:rsidRPr="002C5366">
        <w:rPr>
          <w:rFonts w:ascii="Times New Roman" w:hAnsi="Times New Roman"/>
        </w:rPr>
        <w:t xml:space="preserve">Help states target counties and zip codes experiencing increasing opioid-related deaths for the distribution of naloxone, an antidote to opioid overdoses. Expanded naloxone distribution is a major component of the HHS Secretary’s initiative to combat opioid </w:t>
      </w:r>
      <w:r w:rsidR="00382D5D" w:rsidRPr="002C5366">
        <w:rPr>
          <w:rFonts w:ascii="Times New Roman" w:hAnsi="Times New Roman"/>
        </w:rPr>
        <w:t>misuse</w:t>
      </w:r>
      <w:r w:rsidR="001445C5" w:rsidRPr="002C5366">
        <w:rPr>
          <w:rStyle w:val="EndnoteReference"/>
          <w:rFonts w:ascii="Times New Roman" w:hAnsi="Times New Roman"/>
        </w:rPr>
        <w:endnoteReference w:id="28"/>
      </w:r>
      <w:r w:rsidR="001445C5" w:rsidRPr="002C5366">
        <w:rPr>
          <w:rFonts w:ascii="Times New Roman" w:hAnsi="Times New Roman"/>
        </w:rPr>
        <w:t>.</w:t>
      </w:r>
    </w:p>
    <w:p w14:paraId="3E9CCC4A" w14:textId="61352794" w:rsidR="009A4735" w:rsidRPr="002C5366" w:rsidRDefault="009A4735" w:rsidP="005A41FD">
      <w:pPr>
        <w:pStyle w:val="ListParagraph"/>
        <w:numPr>
          <w:ilvl w:val="1"/>
          <w:numId w:val="31"/>
        </w:numPr>
        <w:rPr>
          <w:rFonts w:ascii="Times New Roman" w:hAnsi="Times New Roman"/>
          <w:b/>
          <w:bCs/>
        </w:rPr>
      </w:pPr>
      <w:r w:rsidRPr="002C5366">
        <w:rPr>
          <w:rFonts w:ascii="Times New Roman" w:hAnsi="Times New Roman"/>
        </w:rPr>
        <w:t>Assist states and local communities</w:t>
      </w:r>
      <w:r w:rsidR="00DF5D15" w:rsidRPr="002C5366">
        <w:rPr>
          <w:rFonts w:ascii="Times New Roman" w:hAnsi="Times New Roman"/>
        </w:rPr>
        <w:t xml:space="preserve"> to</w:t>
      </w:r>
      <w:r w:rsidRPr="002C5366">
        <w:rPr>
          <w:rFonts w:ascii="Times New Roman" w:hAnsi="Times New Roman"/>
        </w:rPr>
        <w:t xml:space="preserve"> better implement naloxone distribution programs by tracking challenges to the use of naloxone. For instance</w:t>
      </w:r>
      <w:r w:rsidR="007C197E" w:rsidRPr="002C5366">
        <w:rPr>
          <w:rFonts w:ascii="Times New Roman" w:hAnsi="Times New Roman"/>
        </w:rPr>
        <w:t>, in</w:t>
      </w:r>
      <w:r w:rsidRPr="002C5366">
        <w:rPr>
          <w:rFonts w:ascii="Times New Roman" w:hAnsi="Times New Roman"/>
        </w:rPr>
        <w:t xml:space="preserve"> order for naloxone programs to be effective, bystanders need to recognize the signs of an opioid-overdose, administer naloxone, and/or call 9-1-1 for assistance. SUDORS will track the percent of opioid-related deaths where a bystander was present and when</w:t>
      </w:r>
      <w:r w:rsidR="009C279F" w:rsidRPr="002C5366">
        <w:rPr>
          <w:rFonts w:ascii="Times New Roman" w:hAnsi="Times New Roman"/>
        </w:rPr>
        <w:t xml:space="preserve"> and who</w:t>
      </w:r>
      <w:r w:rsidRPr="002C5366">
        <w:rPr>
          <w:rFonts w:ascii="Times New Roman" w:hAnsi="Times New Roman"/>
        </w:rPr>
        <w:t xml:space="preserve"> </w:t>
      </w:r>
      <w:r w:rsidR="009C279F" w:rsidRPr="002C5366">
        <w:rPr>
          <w:rFonts w:ascii="Times New Roman" w:hAnsi="Times New Roman"/>
        </w:rPr>
        <w:t xml:space="preserve">administered </w:t>
      </w:r>
      <w:r w:rsidRPr="002C5366">
        <w:rPr>
          <w:rFonts w:ascii="Times New Roman" w:hAnsi="Times New Roman"/>
        </w:rPr>
        <w:t>naloxone.</w:t>
      </w:r>
    </w:p>
    <w:p w14:paraId="205612B8" w14:textId="584E0DA1" w:rsidR="009A4735" w:rsidRPr="002C5366" w:rsidRDefault="009A4735" w:rsidP="009A4735">
      <w:pPr>
        <w:pStyle w:val="ListParagraph"/>
        <w:numPr>
          <w:ilvl w:val="0"/>
          <w:numId w:val="31"/>
        </w:numPr>
        <w:rPr>
          <w:rFonts w:ascii="Times New Roman" w:hAnsi="Times New Roman"/>
          <w:b/>
          <w:bCs/>
        </w:rPr>
      </w:pPr>
      <w:r w:rsidRPr="002C5366">
        <w:rPr>
          <w:rFonts w:ascii="Times New Roman" w:hAnsi="Times New Roman"/>
        </w:rPr>
        <w:t xml:space="preserve">Support state and local communities </w:t>
      </w:r>
      <w:r w:rsidR="00677242" w:rsidRPr="002C5366">
        <w:rPr>
          <w:rFonts w:ascii="Times New Roman" w:hAnsi="Times New Roman"/>
        </w:rPr>
        <w:t xml:space="preserve">to </w:t>
      </w:r>
      <w:r w:rsidRPr="002C5366">
        <w:rPr>
          <w:rFonts w:ascii="Times New Roman" w:hAnsi="Times New Roman"/>
        </w:rPr>
        <w:t>identify opportunities to intervene before a fatal overdose occurs by examining the decedents’ contacts with key institutions within a month of the overdose:</w:t>
      </w:r>
    </w:p>
    <w:p w14:paraId="2118DC89" w14:textId="77777777"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rPr>
        <w:t>Track the percent of decedents who were receiving OPRs when the opioid-related overdose occurred,</w:t>
      </w:r>
    </w:p>
    <w:p w14:paraId="51D13661" w14:textId="16601B0C" w:rsidR="009A4735" w:rsidRPr="002C5366" w:rsidRDefault="009A4735" w:rsidP="009A4735">
      <w:pPr>
        <w:pStyle w:val="ListParagraph"/>
        <w:numPr>
          <w:ilvl w:val="1"/>
          <w:numId w:val="31"/>
        </w:numPr>
        <w:rPr>
          <w:rFonts w:ascii="Times New Roman" w:hAnsi="Times New Roman"/>
          <w:bCs/>
        </w:rPr>
      </w:pPr>
      <w:r w:rsidRPr="002C5366">
        <w:rPr>
          <w:rFonts w:ascii="Times New Roman" w:hAnsi="Times New Roman"/>
        </w:rPr>
        <w:t xml:space="preserve">Track the percent of decedents who were receiving substance </w:t>
      </w:r>
      <w:r w:rsidR="00382D5D" w:rsidRPr="002C5366">
        <w:rPr>
          <w:rFonts w:ascii="Times New Roman" w:hAnsi="Times New Roman"/>
        </w:rPr>
        <w:t>misuse</w:t>
      </w:r>
      <w:r w:rsidRPr="002C5366">
        <w:rPr>
          <w:rFonts w:ascii="Times New Roman" w:hAnsi="Times New Roman"/>
        </w:rPr>
        <w:t xml:space="preserve"> treatment </w:t>
      </w:r>
      <w:r w:rsidRPr="002C5366">
        <w:rPr>
          <w:rFonts w:ascii="Times New Roman" w:hAnsi="Times New Roman"/>
          <w:bCs/>
        </w:rPr>
        <w:t>to determine the extent to which access to treatment or access to effective evidence-based treatment are issues. Expansion of Medication-assisted Treatment (MAT) to reduce opioid use disorders and ov</w:t>
      </w:r>
      <w:r w:rsidR="007C197E" w:rsidRPr="002C5366">
        <w:rPr>
          <w:rFonts w:ascii="Times New Roman" w:hAnsi="Times New Roman"/>
          <w:bCs/>
        </w:rPr>
        <w:t xml:space="preserve">erdose is a major  component </w:t>
      </w:r>
      <w:r w:rsidRPr="002C5366">
        <w:rPr>
          <w:rFonts w:ascii="Times New Roman" w:hAnsi="Times New Roman"/>
          <w:bCs/>
        </w:rPr>
        <w:t xml:space="preserve">of the HHS Secretary’s </w:t>
      </w:r>
      <w:r w:rsidR="007C197E" w:rsidRPr="002C5366">
        <w:rPr>
          <w:rFonts w:ascii="Times New Roman" w:hAnsi="Times New Roman"/>
          <w:bCs/>
        </w:rPr>
        <w:t>initiative</w:t>
      </w:r>
      <w:r w:rsidRPr="002C5366">
        <w:rPr>
          <w:rFonts w:ascii="Times New Roman" w:hAnsi="Times New Roman"/>
          <w:bCs/>
        </w:rPr>
        <w:t xml:space="preserve"> to combat opioid </w:t>
      </w:r>
      <w:r w:rsidR="00382D5D" w:rsidRPr="002C5366">
        <w:rPr>
          <w:rFonts w:ascii="Times New Roman" w:hAnsi="Times New Roman"/>
          <w:bCs/>
        </w:rPr>
        <w:t>misuse</w:t>
      </w:r>
      <w:r w:rsidR="001445C5" w:rsidRPr="002C5366">
        <w:rPr>
          <w:rStyle w:val="EndnoteReference"/>
          <w:rFonts w:ascii="Times New Roman" w:hAnsi="Times New Roman"/>
          <w:bCs/>
        </w:rPr>
        <w:endnoteReference w:id="29"/>
      </w:r>
      <w:r w:rsidRPr="002C5366">
        <w:rPr>
          <w:rFonts w:ascii="Times New Roman" w:hAnsi="Times New Roman"/>
          <w:bCs/>
        </w:rPr>
        <w:t>,</w:t>
      </w:r>
    </w:p>
    <w:p w14:paraId="6220136F" w14:textId="77777777"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rPr>
        <w:t>Track the percent of decedents receiving mental health treatment to determine the extent to which people with mental health conditions should be targeted for interventions,</w:t>
      </w:r>
    </w:p>
    <w:p w14:paraId="03966E42" w14:textId="05BF12E8"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rPr>
        <w:t xml:space="preserve">Track the percent of decedents who were released from </w:t>
      </w:r>
      <w:r w:rsidR="007C197E" w:rsidRPr="002C5366">
        <w:rPr>
          <w:rFonts w:ascii="Times New Roman" w:hAnsi="Times New Roman"/>
        </w:rPr>
        <w:t>incarceration</w:t>
      </w:r>
      <w:r w:rsidRPr="002C5366">
        <w:rPr>
          <w:rFonts w:ascii="Times New Roman" w:hAnsi="Times New Roman"/>
        </w:rPr>
        <w:t xml:space="preserve"> within the last month, a risk factor for overdose</w:t>
      </w:r>
      <w:r w:rsidR="009B2836" w:rsidRPr="002C5366">
        <w:rPr>
          <w:rStyle w:val="EndnoteReference"/>
          <w:rFonts w:ascii="Times New Roman" w:hAnsi="Times New Roman"/>
        </w:rPr>
        <w:endnoteReference w:id="30"/>
      </w:r>
      <w:r w:rsidR="0040403E" w:rsidRPr="002C5366">
        <w:rPr>
          <w:rFonts w:ascii="Times New Roman" w:hAnsi="Times New Roman"/>
        </w:rPr>
        <w:t xml:space="preserve">, </w:t>
      </w:r>
    </w:p>
    <w:p w14:paraId="3D1080CA" w14:textId="50E5CCBE" w:rsidR="009A4735" w:rsidRPr="002C5366" w:rsidRDefault="009A4735" w:rsidP="009A4735">
      <w:pPr>
        <w:pStyle w:val="ListParagraph"/>
        <w:numPr>
          <w:ilvl w:val="1"/>
          <w:numId w:val="31"/>
        </w:numPr>
        <w:rPr>
          <w:rFonts w:ascii="Times New Roman" w:hAnsi="Times New Roman"/>
          <w:b/>
          <w:bCs/>
        </w:rPr>
      </w:pPr>
      <w:r w:rsidRPr="002C5366">
        <w:rPr>
          <w:rFonts w:ascii="Times New Roman" w:hAnsi="Times New Roman"/>
        </w:rPr>
        <w:t>Track the percent of decedents who were recently released from residential treatment,</w:t>
      </w:r>
      <w:r w:rsidR="009C279F" w:rsidRPr="002C5366">
        <w:rPr>
          <w:rFonts w:ascii="Times New Roman" w:hAnsi="Times New Roman"/>
        </w:rPr>
        <w:t xml:space="preserve"> a</w:t>
      </w:r>
      <w:r w:rsidRPr="002C5366">
        <w:rPr>
          <w:rFonts w:ascii="Times New Roman" w:hAnsi="Times New Roman"/>
        </w:rPr>
        <w:t xml:space="preserve"> risk factor for overdose</w:t>
      </w:r>
      <w:r w:rsidR="009B2836" w:rsidRPr="002C5366">
        <w:rPr>
          <w:rStyle w:val="EndnoteReference"/>
          <w:rFonts w:ascii="Times New Roman" w:hAnsi="Times New Roman"/>
        </w:rPr>
        <w:endnoteReference w:id="31"/>
      </w:r>
    </w:p>
    <w:p w14:paraId="3D29A2AB" w14:textId="3718E11D" w:rsidR="009A4735" w:rsidRPr="002C5366" w:rsidRDefault="009A4735" w:rsidP="009A4735">
      <w:pPr>
        <w:pStyle w:val="ListParagraph"/>
        <w:numPr>
          <w:ilvl w:val="0"/>
          <w:numId w:val="31"/>
        </w:numPr>
        <w:rPr>
          <w:rFonts w:ascii="Times New Roman" w:hAnsi="Times New Roman"/>
          <w:b/>
          <w:bCs/>
        </w:rPr>
      </w:pPr>
      <w:r w:rsidRPr="002C5366">
        <w:rPr>
          <w:rFonts w:ascii="Times New Roman" w:hAnsi="Times New Roman"/>
        </w:rPr>
        <w:t>Inform state and local health departme</w:t>
      </w:r>
      <w:r w:rsidR="009C279F" w:rsidRPr="002C5366">
        <w:rPr>
          <w:rFonts w:ascii="Times New Roman" w:hAnsi="Times New Roman"/>
        </w:rPr>
        <w:t>nts</w:t>
      </w:r>
      <w:r w:rsidRPr="002C5366">
        <w:rPr>
          <w:rFonts w:ascii="Times New Roman" w:hAnsi="Times New Roman"/>
        </w:rPr>
        <w:t xml:space="preserve"> about shifts in the adulteration of the heroin supply or polysubstance </w:t>
      </w:r>
      <w:r w:rsidR="00382D5D" w:rsidRPr="002C5366">
        <w:rPr>
          <w:rFonts w:ascii="Times New Roman" w:hAnsi="Times New Roman"/>
        </w:rPr>
        <w:t>misuse</w:t>
      </w:r>
      <w:r w:rsidRPr="002C5366">
        <w:rPr>
          <w:rFonts w:ascii="Times New Roman" w:hAnsi="Times New Roman"/>
        </w:rPr>
        <w:t xml:space="preserve"> patterns. Understanding this issue could inform emergency medical response. For instance, recent adulteration of </w:t>
      </w:r>
      <w:r w:rsidR="007C197E" w:rsidRPr="002C5366">
        <w:rPr>
          <w:rFonts w:ascii="Times New Roman" w:hAnsi="Times New Roman"/>
        </w:rPr>
        <w:t>heroin</w:t>
      </w:r>
      <w:r w:rsidRPr="002C5366">
        <w:rPr>
          <w:rFonts w:ascii="Times New Roman" w:hAnsi="Times New Roman"/>
        </w:rPr>
        <w:t xml:space="preserve"> with fentanyl, a power</w:t>
      </w:r>
      <w:r w:rsidR="00CE1416" w:rsidRPr="002C5366">
        <w:rPr>
          <w:rFonts w:ascii="Times New Roman" w:hAnsi="Times New Roman"/>
        </w:rPr>
        <w:t>ful</w:t>
      </w:r>
      <w:r w:rsidRPr="002C5366">
        <w:rPr>
          <w:rFonts w:ascii="Times New Roman" w:hAnsi="Times New Roman"/>
        </w:rPr>
        <w:t xml:space="preserve"> opioid analgesic, may increase the chance of an opioid overdose</w:t>
      </w:r>
      <w:r w:rsidR="00122854" w:rsidRPr="002C5366">
        <w:rPr>
          <w:rFonts w:ascii="Times New Roman" w:hAnsi="Times New Roman"/>
        </w:rPr>
        <w:t xml:space="preserve">, </w:t>
      </w:r>
      <w:r w:rsidRPr="002C5366">
        <w:rPr>
          <w:rFonts w:ascii="Times New Roman" w:hAnsi="Times New Roman"/>
        </w:rPr>
        <w:t>the need for multiple naloxone administrations</w:t>
      </w:r>
      <w:r w:rsidR="00122854" w:rsidRPr="002C5366">
        <w:rPr>
          <w:rFonts w:ascii="Times New Roman" w:hAnsi="Times New Roman"/>
        </w:rPr>
        <w:t>, and the number of fatal opioid overdoses</w:t>
      </w:r>
      <w:r w:rsidR="00F755C1" w:rsidRPr="002C5366">
        <w:rPr>
          <w:rStyle w:val="FootnoteReference"/>
          <w:rFonts w:ascii="Times New Roman" w:hAnsi="Times New Roman"/>
        </w:rPr>
        <w:footnoteReference w:id="2"/>
      </w:r>
      <w:r w:rsidR="00F755C1" w:rsidRPr="002C5366">
        <w:rPr>
          <w:rStyle w:val="EndnoteReference"/>
          <w:rFonts w:ascii="Times New Roman" w:hAnsi="Times New Roman"/>
        </w:rPr>
        <w:endnoteReference w:id="32"/>
      </w:r>
      <w:r w:rsidRPr="002C5366">
        <w:rPr>
          <w:rFonts w:ascii="Times New Roman" w:hAnsi="Times New Roman"/>
        </w:rPr>
        <w:t xml:space="preserve">.  </w:t>
      </w:r>
    </w:p>
    <w:p w14:paraId="608F26B0" w14:textId="28F832F3" w:rsidR="009C279F" w:rsidRPr="002C5366" w:rsidRDefault="009C279F" w:rsidP="009A4735">
      <w:pPr>
        <w:pStyle w:val="ListParagraph"/>
        <w:numPr>
          <w:ilvl w:val="0"/>
          <w:numId w:val="31"/>
        </w:numPr>
        <w:rPr>
          <w:rFonts w:ascii="Times New Roman" w:hAnsi="Times New Roman"/>
          <w:b/>
          <w:bCs/>
        </w:rPr>
      </w:pPr>
      <w:r w:rsidRPr="002C5366">
        <w:rPr>
          <w:rFonts w:ascii="Times New Roman" w:hAnsi="Times New Roman"/>
          <w:bCs/>
        </w:rPr>
        <w:t>Determin</w:t>
      </w:r>
      <w:r w:rsidR="00601361" w:rsidRPr="002C5366">
        <w:rPr>
          <w:rFonts w:ascii="Times New Roman" w:hAnsi="Times New Roman"/>
          <w:bCs/>
        </w:rPr>
        <w:t xml:space="preserve">e whether fatal overdoses are </w:t>
      </w:r>
      <w:r w:rsidRPr="002C5366">
        <w:rPr>
          <w:rFonts w:ascii="Times New Roman" w:hAnsi="Times New Roman"/>
          <w:bCs/>
        </w:rPr>
        <w:t>related to how the drug was taken (e.g., injected, swallowed, sniffed, smoked, etc.) so interventions can target groups most at risk of a fatal overdose.</w:t>
      </w:r>
    </w:p>
    <w:p w14:paraId="04E4064C" w14:textId="753DAF9C" w:rsidR="0000144A" w:rsidRPr="002C5366" w:rsidRDefault="0000144A" w:rsidP="009A4735">
      <w:pPr>
        <w:pStyle w:val="ListParagraph"/>
        <w:numPr>
          <w:ilvl w:val="0"/>
          <w:numId w:val="31"/>
        </w:numPr>
        <w:rPr>
          <w:rFonts w:ascii="Times New Roman" w:hAnsi="Times New Roman"/>
          <w:b/>
          <w:bCs/>
        </w:rPr>
      </w:pPr>
      <w:r w:rsidRPr="002C5366">
        <w:rPr>
          <w:rFonts w:ascii="Times New Roman" w:hAnsi="Times New Roman"/>
        </w:rPr>
        <w:t>Inform national policy by providing in-depth risk factor information</w:t>
      </w:r>
      <w:r w:rsidR="009C279F" w:rsidRPr="002C5366">
        <w:rPr>
          <w:rFonts w:ascii="Times New Roman" w:hAnsi="Times New Roman"/>
        </w:rPr>
        <w:t>, described above,</w:t>
      </w:r>
      <w:r w:rsidRPr="002C5366">
        <w:rPr>
          <w:rFonts w:ascii="Times New Roman" w:hAnsi="Times New Roman"/>
        </w:rPr>
        <w:t xml:space="preserve"> on a subset of states with high </w:t>
      </w:r>
      <w:r w:rsidR="009C279F" w:rsidRPr="002C5366">
        <w:rPr>
          <w:rFonts w:ascii="Times New Roman" w:hAnsi="Times New Roman"/>
        </w:rPr>
        <w:t>rates of drug overdose deaths</w:t>
      </w:r>
      <w:r w:rsidR="0040403E" w:rsidRPr="002C5366">
        <w:rPr>
          <w:rFonts w:ascii="Times New Roman" w:hAnsi="Times New Roman"/>
        </w:rPr>
        <w:t xml:space="preserve"> and better understand variations across high burden states.</w:t>
      </w:r>
    </w:p>
    <w:p w14:paraId="708BD2A9" w14:textId="77777777" w:rsidR="009A4735" w:rsidRPr="002C5366" w:rsidRDefault="009A4735">
      <w:pPr>
        <w:rPr>
          <w:sz w:val="24"/>
        </w:rPr>
      </w:pPr>
    </w:p>
    <w:p w14:paraId="1041139F" w14:textId="78F23C5D" w:rsidR="0033239A" w:rsidRPr="002C5366" w:rsidRDefault="00442344" w:rsidP="0033239A">
      <w:pPr>
        <w:rPr>
          <w:sz w:val="24"/>
        </w:rPr>
      </w:pPr>
      <w:r w:rsidRPr="002C5366">
        <w:rPr>
          <w:sz w:val="24"/>
        </w:rPr>
        <w:t xml:space="preserve">Up to </w:t>
      </w:r>
      <w:r w:rsidR="00D35767" w:rsidRPr="002C5366">
        <w:rPr>
          <w:sz w:val="24"/>
        </w:rPr>
        <w:t>50</w:t>
      </w:r>
      <w:r w:rsidR="0033239A" w:rsidRPr="002C5366">
        <w:rPr>
          <w:sz w:val="24"/>
        </w:rPr>
        <w:t xml:space="preserve"> state health departments </w:t>
      </w:r>
      <w:r w:rsidRPr="002C5366">
        <w:rPr>
          <w:sz w:val="24"/>
        </w:rPr>
        <w:t>will be asked</w:t>
      </w:r>
      <w:r w:rsidR="0033239A" w:rsidRPr="002C5366">
        <w:rPr>
          <w:sz w:val="24"/>
        </w:rPr>
        <w:t xml:space="preserve"> to collect standardized variables from death certificate (DC) and medical examiner and coroner (ME/C)</w:t>
      </w:r>
      <w:r w:rsidR="00C94AC6" w:rsidRPr="002C5366">
        <w:rPr>
          <w:sz w:val="24"/>
        </w:rPr>
        <w:t xml:space="preserve"> </w:t>
      </w:r>
      <w:r w:rsidR="0033239A" w:rsidRPr="002C5366">
        <w:rPr>
          <w:sz w:val="24"/>
        </w:rPr>
        <w:t xml:space="preserve">reports on all unintentional drug overdoses in their </w:t>
      </w:r>
      <w:r w:rsidR="007C197E" w:rsidRPr="002C5366">
        <w:rPr>
          <w:sz w:val="24"/>
        </w:rPr>
        <w:t>jurisdiction</w:t>
      </w:r>
      <w:r w:rsidR="0033239A" w:rsidRPr="002C5366">
        <w:rPr>
          <w:sz w:val="24"/>
        </w:rPr>
        <w:t xml:space="preserve"> with a</w:t>
      </w:r>
      <w:r w:rsidR="00E90035" w:rsidRPr="002C5366">
        <w:rPr>
          <w:sz w:val="24"/>
        </w:rPr>
        <w:t>n</w:t>
      </w:r>
      <w:r w:rsidR="0033239A" w:rsidRPr="002C5366">
        <w:rPr>
          <w:sz w:val="24"/>
        </w:rPr>
        <w:t xml:space="preserve"> 8-month time lag (e.g., complete data collection on opioid-related drug overdose deaths occurring from January to June 2017 by February 28, 2018). </w:t>
      </w:r>
      <w:r w:rsidR="0013725E" w:rsidRPr="002C5366">
        <w:rPr>
          <w:sz w:val="24"/>
        </w:rPr>
        <w:t>T</w:t>
      </w:r>
      <w:r w:rsidR="006B7833" w:rsidRPr="002C5366">
        <w:rPr>
          <w:sz w:val="24"/>
        </w:rPr>
        <w:t xml:space="preserve">he method for selecting </w:t>
      </w:r>
      <w:r w:rsidR="0040403E" w:rsidRPr="002C5366">
        <w:rPr>
          <w:sz w:val="24"/>
        </w:rPr>
        <w:t xml:space="preserve">the states </w:t>
      </w:r>
      <w:r w:rsidR="006B7833" w:rsidRPr="002C5366">
        <w:rPr>
          <w:sz w:val="24"/>
        </w:rPr>
        <w:t>is describ</w:t>
      </w:r>
      <w:r w:rsidR="0040403E" w:rsidRPr="002C5366">
        <w:rPr>
          <w:sz w:val="24"/>
        </w:rPr>
        <w:t>ed</w:t>
      </w:r>
      <w:r w:rsidR="006B7833" w:rsidRPr="002C5366">
        <w:rPr>
          <w:sz w:val="24"/>
        </w:rPr>
        <w:t xml:space="preserve"> </w:t>
      </w:r>
      <w:r w:rsidR="006C5A3B" w:rsidRPr="002C5366">
        <w:rPr>
          <w:sz w:val="24"/>
        </w:rPr>
        <w:t>in</w:t>
      </w:r>
      <w:r w:rsidR="006B7833" w:rsidRPr="002C5366">
        <w:rPr>
          <w:sz w:val="24"/>
        </w:rPr>
        <w:t xml:space="preserve"> detail in Supporting Statement B. </w:t>
      </w:r>
    </w:p>
    <w:p w14:paraId="2DCE41ED" w14:textId="60B27A87" w:rsidR="00C94AC6" w:rsidRPr="002C5366" w:rsidRDefault="00C94AC6" w:rsidP="00C94AC6">
      <w:pPr>
        <w:rPr>
          <w:sz w:val="24"/>
        </w:rPr>
      </w:pPr>
    </w:p>
    <w:p w14:paraId="49D4788F" w14:textId="593BFF12" w:rsidR="007F602F" w:rsidRPr="002C5366" w:rsidRDefault="006B7833" w:rsidP="00375EFE">
      <w:pPr>
        <w:rPr>
          <w:sz w:val="24"/>
        </w:rPr>
      </w:pPr>
      <w:r w:rsidRPr="002C5366">
        <w:rPr>
          <w:sz w:val="24"/>
        </w:rPr>
        <w:t xml:space="preserve">SUDORS will leverage the NVDRS web-based platform to </w:t>
      </w:r>
      <w:r w:rsidR="0013725E" w:rsidRPr="002C5366">
        <w:rPr>
          <w:sz w:val="24"/>
        </w:rPr>
        <w:t xml:space="preserve">collect data on DC and ME/C reports. The web-platform allows importing of DC data and has established protocols for abstracting information on a number of important risk factors for fatal drug overdoses only available in the ME/C report: history of substance </w:t>
      </w:r>
      <w:r w:rsidR="00507F0D" w:rsidRPr="002C5366">
        <w:rPr>
          <w:sz w:val="24"/>
        </w:rPr>
        <w:t>misuse</w:t>
      </w:r>
      <w:r w:rsidR="0013725E" w:rsidRPr="002C5366">
        <w:rPr>
          <w:sz w:val="24"/>
        </w:rPr>
        <w:t>, mental health status, toxicology findings,</w:t>
      </w:r>
      <w:r w:rsidR="0040403E" w:rsidRPr="002C5366">
        <w:rPr>
          <w:sz w:val="24"/>
        </w:rPr>
        <w:t xml:space="preserve"> recent release from an institution, </w:t>
      </w:r>
      <w:r w:rsidR="0013725E" w:rsidRPr="002C5366">
        <w:rPr>
          <w:sz w:val="24"/>
        </w:rPr>
        <w:t xml:space="preserve">and contact with criminal justice. Additional drug overdose specific questions </w:t>
      </w:r>
      <w:r w:rsidR="00E03628" w:rsidRPr="002C5366">
        <w:rPr>
          <w:sz w:val="24"/>
        </w:rPr>
        <w:t xml:space="preserve"> are</w:t>
      </w:r>
      <w:r w:rsidR="00601361" w:rsidRPr="002C5366">
        <w:rPr>
          <w:sz w:val="24"/>
        </w:rPr>
        <w:t xml:space="preserve"> </w:t>
      </w:r>
      <w:r w:rsidR="0013725E" w:rsidRPr="002C5366">
        <w:rPr>
          <w:sz w:val="24"/>
        </w:rPr>
        <w:t xml:space="preserve">added to capture risk factor information specific to drug overdoses such as if and when naloxone was administered, the number of bystanders present when the decedent overdosed, evidence from </w:t>
      </w:r>
      <w:r w:rsidR="007C197E" w:rsidRPr="002C5366">
        <w:rPr>
          <w:sz w:val="24"/>
        </w:rPr>
        <w:t>the scene (e.g., drug paraphernalia</w:t>
      </w:r>
      <w:r w:rsidR="0013725E" w:rsidRPr="002C5366">
        <w:rPr>
          <w:sz w:val="24"/>
        </w:rPr>
        <w:t xml:space="preserve">), and information on recent opioid prescriptions. </w:t>
      </w:r>
    </w:p>
    <w:p w14:paraId="25BD3EFC" w14:textId="77777777" w:rsidR="008F4E22" w:rsidRPr="002C5366" w:rsidRDefault="008F4E22">
      <w:pPr>
        <w:rPr>
          <w:sz w:val="24"/>
        </w:rPr>
      </w:pPr>
    </w:p>
    <w:p w14:paraId="3F5BB71A" w14:textId="73032AD0" w:rsidR="008F4E22" w:rsidRPr="002C5366" w:rsidRDefault="008F4E22" w:rsidP="008F4E22">
      <w:pPr>
        <w:rPr>
          <w:sz w:val="24"/>
        </w:rPr>
      </w:pPr>
      <w:r w:rsidRPr="002C5366">
        <w:rPr>
          <w:sz w:val="24"/>
        </w:rPr>
        <w:t xml:space="preserve">The data collection has at least two limitations. Because the data collection relies on ME/C investigations of fatal drug overdoses which are not standardized across the Unites States, differences may exist in the extent to which different jurisdictions collect information on key circumstances or contributing factors </w:t>
      </w:r>
      <w:r w:rsidR="00D45C64" w:rsidRPr="002C5366">
        <w:rPr>
          <w:sz w:val="24"/>
        </w:rPr>
        <w:t>related to an overdose</w:t>
      </w:r>
      <w:r w:rsidRPr="002C5366">
        <w:rPr>
          <w:sz w:val="24"/>
        </w:rPr>
        <w:t xml:space="preserve"> such as decedent</w:t>
      </w:r>
      <w:r w:rsidR="00D45C64" w:rsidRPr="002C5366">
        <w:rPr>
          <w:sz w:val="24"/>
        </w:rPr>
        <w:t>’</w:t>
      </w:r>
      <w:r w:rsidRPr="002C5366">
        <w:rPr>
          <w:sz w:val="24"/>
        </w:rPr>
        <w:t xml:space="preserve">s history of substance use/treatment or </w:t>
      </w:r>
      <w:r w:rsidR="00B25C4C" w:rsidRPr="002C5366">
        <w:rPr>
          <w:sz w:val="24"/>
        </w:rPr>
        <w:t>controlled substances prescribed to the</w:t>
      </w:r>
      <w:r w:rsidRPr="002C5366">
        <w:rPr>
          <w:sz w:val="24"/>
        </w:rPr>
        <w:t xml:space="preserve"> decedent at time of death. For instance, ME/C in some states have complete access to the controlled substance prescription history of decedents while in other states this information is restricted or not easily accessed. Second, data is abstracted from information collected during a field investigation of the death and not a systematic data collection such as a survey. </w:t>
      </w:r>
    </w:p>
    <w:p w14:paraId="0E627E02" w14:textId="6E0BB5D3" w:rsidR="00A84FDE" w:rsidRPr="002C5366" w:rsidRDefault="007F602F">
      <w:pPr>
        <w:rPr>
          <w:sz w:val="24"/>
        </w:rPr>
      </w:pPr>
      <w:r w:rsidRPr="002C5366">
        <w:rPr>
          <w:sz w:val="24"/>
        </w:rPr>
        <w:t xml:space="preserve">  </w:t>
      </w:r>
    </w:p>
    <w:p w14:paraId="7388C9B9" w14:textId="77777777" w:rsidR="001C26B3" w:rsidRPr="002C5366" w:rsidRDefault="001C26B3">
      <w:pPr>
        <w:tabs>
          <w:tab w:val="left" w:pos="-1440"/>
        </w:tabs>
        <w:ind w:left="1440" w:hanging="1440"/>
        <w:rPr>
          <w:sz w:val="24"/>
        </w:rPr>
      </w:pPr>
      <w:r w:rsidRPr="002C5366">
        <w:rPr>
          <w:b/>
          <w:bCs/>
          <w:sz w:val="24"/>
        </w:rPr>
        <w:t>3.  Use of Improved Information Technology and Burden Reduction</w:t>
      </w:r>
    </w:p>
    <w:p w14:paraId="61AFA47C" w14:textId="77777777" w:rsidR="001C26B3" w:rsidRPr="002C5366" w:rsidRDefault="001C26B3">
      <w:pPr>
        <w:rPr>
          <w:sz w:val="24"/>
        </w:rPr>
      </w:pPr>
    </w:p>
    <w:p w14:paraId="2A4600A4" w14:textId="5CFC816F" w:rsidR="00111175" w:rsidRPr="002C5366" w:rsidRDefault="00307377" w:rsidP="006E69F6">
      <w:pPr>
        <w:rPr>
          <w:sz w:val="24"/>
        </w:rPr>
      </w:pPr>
      <w:r w:rsidRPr="002C5366">
        <w:rPr>
          <w:sz w:val="24"/>
        </w:rPr>
        <w:t>Data entry is</w:t>
      </w:r>
      <w:r w:rsidR="001C26B3" w:rsidRPr="002C5366">
        <w:rPr>
          <w:sz w:val="24"/>
        </w:rPr>
        <w:t xml:space="preserve"> accomplished in</w:t>
      </w:r>
      <w:r w:rsidR="00875A32" w:rsidRPr="002C5366">
        <w:rPr>
          <w:sz w:val="24"/>
        </w:rPr>
        <w:t xml:space="preserve"> state</w:t>
      </w:r>
      <w:r w:rsidR="001C26B3" w:rsidRPr="002C5366">
        <w:rPr>
          <w:sz w:val="24"/>
        </w:rPr>
        <w:t xml:space="preserve"> health dep</w:t>
      </w:r>
      <w:r w:rsidR="00875A32" w:rsidRPr="002C5366">
        <w:rPr>
          <w:sz w:val="24"/>
        </w:rPr>
        <w:t>artment offices or medical examiner</w:t>
      </w:r>
      <w:r w:rsidR="00BA166E" w:rsidRPr="002C5366">
        <w:rPr>
          <w:sz w:val="24"/>
        </w:rPr>
        <w:t xml:space="preserve"> or coroner</w:t>
      </w:r>
      <w:r w:rsidR="00875A32" w:rsidRPr="002C5366">
        <w:rPr>
          <w:sz w:val="24"/>
        </w:rPr>
        <w:t xml:space="preserve"> (</w:t>
      </w:r>
      <w:r w:rsidR="00060430" w:rsidRPr="002C5366">
        <w:rPr>
          <w:sz w:val="24"/>
        </w:rPr>
        <w:t>ME/C</w:t>
      </w:r>
      <w:r w:rsidR="00875A32" w:rsidRPr="002C5366">
        <w:rPr>
          <w:sz w:val="24"/>
        </w:rPr>
        <w:t>) offices</w:t>
      </w:r>
      <w:r w:rsidR="00111175" w:rsidRPr="002C5366">
        <w:rPr>
          <w:sz w:val="24"/>
        </w:rPr>
        <w:t xml:space="preserve"> via the secure</w:t>
      </w:r>
      <w:r w:rsidR="002F5FDE" w:rsidRPr="002C5366">
        <w:rPr>
          <w:sz w:val="24"/>
        </w:rPr>
        <w:t xml:space="preserve"> </w:t>
      </w:r>
      <w:r w:rsidR="006E69F6" w:rsidRPr="002C5366">
        <w:rPr>
          <w:sz w:val="24"/>
        </w:rPr>
        <w:t>NVDRS web-based</w:t>
      </w:r>
      <w:r w:rsidR="002F5FDE" w:rsidRPr="002C5366">
        <w:rPr>
          <w:sz w:val="24"/>
        </w:rPr>
        <w:t xml:space="preserve"> platform</w:t>
      </w:r>
      <w:r w:rsidR="001C26B3" w:rsidRPr="002C5366">
        <w:rPr>
          <w:sz w:val="24"/>
        </w:rPr>
        <w:t xml:space="preserve">.  </w:t>
      </w:r>
      <w:r w:rsidR="00BF130B" w:rsidRPr="002C5366">
        <w:rPr>
          <w:color w:val="000000"/>
          <w:sz w:val="24"/>
        </w:rPr>
        <w:t xml:space="preserve">Data are continuously transmitted via the web to a secure CDC-based server. </w:t>
      </w:r>
      <w:r w:rsidR="00BF130B" w:rsidRPr="002C5366">
        <w:rPr>
          <w:sz w:val="24"/>
        </w:rPr>
        <w:t xml:space="preserve">This has four </w:t>
      </w:r>
      <w:r w:rsidR="006E69F6" w:rsidRPr="002C5366">
        <w:rPr>
          <w:sz w:val="24"/>
        </w:rPr>
        <w:t>advantage</w:t>
      </w:r>
      <w:r w:rsidR="00BF130B" w:rsidRPr="002C5366">
        <w:rPr>
          <w:sz w:val="24"/>
        </w:rPr>
        <w:t>s</w:t>
      </w:r>
      <w:r w:rsidR="00111175" w:rsidRPr="002C5366">
        <w:rPr>
          <w:sz w:val="24"/>
        </w:rPr>
        <w:t>:</w:t>
      </w:r>
    </w:p>
    <w:p w14:paraId="5A935404" w14:textId="77777777" w:rsidR="00111175" w:rsidRPr="002C5366" w:rsidRDefault="00111175" w:rsidP="00111175">
      <w:pPr>
        <w:numPr>
          <w:ilvl w:val="0"/>
          <w:numId w:val="18"/>
        </w:numPr>
        <w:ind w:left="720"/>
        <w:rPr>
          <w:sz w:val="24"/>
        </w:rPr>
      </w:pPr>
      <w:r w:rsidRPr="002C5366">
        <w:rPr>
          <w:sz w:val="24"/>
        </w:rPr>
        <w:t>T</w:t>
      </w:r>
      <w:r w:rsidR="006E69F6" w:rsidRPr="002C5366">
        <w:rPr>
          <w:sz w:val="24"/>
        </w:rPr>
        <w:t>he web-based platform enhances the ability of authorized u</w:t>
      </w:r>
      <w:r w:rsidRPr="002C5366">
        <w:rPr>
          <w:sz w:val="24"/>
        </w:rPr>
        <w:t xml:space="preserve">sers to securely enter the data </w:t>
      </w:r>
      <w:r w:rsidR="006E69F6" w:rsidRPr="002C5366">
        <w:rPr>
          <w:sz w:val="24"/>
        </w:rPr>
        <w:t>from multiple sites or directly from coroner or med</w:t>
      </w:r>
      <w:r w:rsidRPr="002C5366">
        <w:rPr>
          <w:sz w:val="24"/>
        </w:rPr>
        <w:t xml:space="preserve">ical examiner offices. </w:t>
      </w:r>
    </w:p>
    <w:p w14:paraId="610AFF62" w14:textId="0C939635" w:rsidR="009100F1" w:rsidRPr="002C5366" w:rsidRDefault="00111175" w:rsidP="00111175">
      <w:pPr>
        <w:numPr>
          <w:ilvl w:val="0"/>
          <w:numId w:val="18"/>
        </w:numPr>
        <w:ind w:left="720"/>
        <w:rPr>
          <w:sz w:val="24"/>
        </w:rPr>
      </w:pPr>
      <w:r w:rsidRPr="002C5366">
        <w:rPr>
          <w:sz w:val="24"/>
        </w:rPr>
        <w:t>Because states will use the same web-platform to enter information on violent deaths through N</w:t>
      </w:r>
      <w:r w:rsidR="00276039" w:rsidRPr="002C5366">
        <w:rPr>
          <w:sz w:val="24"/>
        </w:rPr>
        <w:t>VDRS and unintentional overdose deaths</w:t>
      </w:r>
      <w:r w:rsidR="009100F1" w:rsidRPr="002C5366">
        <w:rPr>
          <w:sz w:val="24"/>
        </w:rPr>
        <w:t xml:space="preserve"> through </w:t>
      </w:r>
      <w:r w:rsidR="00444607" w:rsidRPr="002C5366">
        <w:rPr>
          <w:sz w:val="24"/>
        </w:rPr>
        <w:t>SUDORS</w:t>
      </w:r>
      <w:r w:rsidRPr="002C5366">
        <w:rPr>
          <w:sz w:val="24"/>
        </w:rPr>
        <w:t>, s</w:t>
      </w:r>
      <w:r w:rsidR="00A359E9" w:rsidRPr="002C5366">
        <w:rPr>
          <w:sz w:val="24"/>
        </w:rPr>
        <w:t xml:space="preserve">tate health departments can increase efficiency and decrease burden by </w:t>
      </w:r>
      <w:r w:rsidR="009100F1" w:rsidRPr="002C5366">
        <w:rPr>
          <w:sz w:val="24"/>
        </w:rPr>
        <w:t>design</w:t>
      </w:r>
      <w:r w:rsidR="00A359E9" w:rsidRPr="002C5366">
        <w:rPr>
          <w:sz w:val="24"/>
        </w:rPr>
        <w:t>ing</w:t>
      </w:r>
      <w:r w:rsidR="0040403E" w:rsidRPr="002C5366">
        <w:rPr>
          <w:sz w:val="24"/>
        </w:rPr>
        <w:t xml:space="preserve"> similar</w:t>
      </w:r>
      <w:r w:rsidR="009100F1" w:rsidRPr="002C5366">
        <w:rPr>
          <w:sz w:val="24"/>
        </w:rPr>
        <w:t xml:space="preserve"> data collection and data abstraction proce</w:t>
      </w:r>
      <w:r w:rsidR="00A359E9" w:rsidRPr="002C5366">
        <w:rPr>
          <w:sz w:val="24"/>
        </w:rPr>
        <w:t>sses across violent and unintentional drug overdose deaths</w:t>
      </w:r>
      <w:r w:rsidR="009100F1" w:rsidRPr="002C5366">
        <w:rPr>
          <w:sz w:val="24"/>
        </w:rPr>
        <w:t>.</w:t>
      </w:r>
    </w:p>
    <w:p w14:paraId="7DF43BF3" w14:textId="77777777" w:rsidR="009100F1" w:rsidRPr="002C5366" w:rsidRDefault="009100F1" w:rsidP="00111175">
      <w:pPr>
        <w:numPr>
          <w:ilvl w:val="0"/>
          <w:numId w:val="18"/>
        </w:numPr>
        <w:ind w:left="720"/>
        <w:rPr>
          <w:sz w:val="24"/>
        </w:rPr>
      </w:pPr>
      <w:r w:rsidRPr="002C5366">
        <w:rPr>
          <w:sz w:val="24"/>
        </w:rPr>
        <w:t xml:space="preserve">Training of new data abstractors is simplified for NVDRS-funded states because they can build on the historical experience of using the NVDRS web platform. </w:t>
      </w:r>
    </w:p>
    <w:p w14:paraId="1DACC1F4" w14:textId="14F6395C" w:rsidR="009100F1" w:rsidRPr="002C5366" w:rsidRDefault="009100F1" w:rsidP="00111175">
      <w:pPr>
        <w:numPr>
          <w:ilvl w:val="0"/>
          <w:numId w:val="18"/>
        </w:numPr>
        <w:ind w:left="720"/>
        <w:rPr>
          <w:sz w:val="24"/>
        </w:rPr>
      </w:pPr>
      <w:r w:rsidRPr="002C5366">
        <w:rPr>
          <w:sz w:val="24"/>
        </w:rPr>
        <w:t xml:space="preserve">States with access to electronic data can reduce data entry burden by using electronic import options for death certificate and </w:t>
      </w:r>
      <w:r w:rsidR="00060430" w:rsidRPr="002C5366">
        <w:rPr>
          <w:sz w:val="24"/>
        </w:rPr>
        <w:t>ME/C</w:t>
      </w:r>
      <w:r w:rsidRPr="002C5366">
        <w:rPr>
          <w:sz w:val="24"/>
        </w:rPr>
        <w:t xml:space="preserve"> data.  </w:t>
      </w:r>
    </w:p>
    <w:p w14:paraId="07997E0B" w14:textId="77777777" w:rsidR="006E69F6" w:rsidRPr="002C5366" w:rsidRDefault="006E69F6" w:rsidP="006E69F6">
      <w:pPr>
        <w:rPr>
          <w:sz w:val="24"/>
        </w:rPr>
      </w:pPr>
    </w:p>
    <w:p w14:paraId="26851BA7" w14:textId="77777777" w:rsidR="001C26B3" w:rsidRPr="002C5366" w:rsidRDefault="00BF130B" w:rsidP="006E69F6">
      <w:pPr>
        <w:rPr>
          <w:sz w:val="24"/>
        </w:rPr>
      </w:pPr>
      <w:r w:rsidRPr="002C5366">
        <w:rPr>
          <w:sz w:val="24"/>
        </w:rPr>
        <w:t xml:space="preserve">The web-based data collection </w:t>
      </w:r>
      <w:r w:rsidR="00995E82" w:rsidRPr="002C5366">
        <w:rPr>
          <w:sz w:val="24"/>
        </w:rPr>
        <w:t xml:space="preserve">platform </w:t>
      </w:r>
      <w:r w:rsidRPr="002C5366">
        <w:rPr>
          <w:sz w:val="24"/>
        </w:rPr>
        <w:t>also improves data quality by providing abstractors easy access to help functions and coding manuals. Also, the interface includes internal validation checks and other quality control measures</w:t>
      </w:r>
      <w:r w:rsidR="00EA6381" w:rsidRPr="002C5366">
        <w:rPr>
          <w:sz w:val="24"/>
        </w:rPr>
        <w:t xml:space="preserve"> that ca</w:t>
      </w:r>
      <w:r w:rsidR="001025FA" w:rsidRPr="002C5366">
        <w:rPr>
          <w:sz w:val="24"/>
        </w:rPr>
        <w:t>pture data entry errors as they occur</w:t>
      </w:r>
      <w:r w:rsidRPr="002C5366">
        <w:rPr>
          <w:sz w:val="24"/>
        </w:rPr>
        <w:t>.</w:t>
      </w:r>
      <w:r w:rsidR="00EA6381" w:rsidRPr="002C5366">
        <w:rPr>
          <w:sz w:val="24"/>
        </w:rPr>
        <w:t xml:space="preserve"> This reduces the bu</w:t>
      </w:r>
      <w:r w:rsidR="001025FA" w:rsidRPr="002C5366">
        <w:rPr>
          <w:sz w:val="24"/>
        </w:rPr>
        <w:t>rden because identifying and fixing errors after data entry is complete is more difficult and timely.</w:t>
      </w:r>
    </w:p>
    <w:p w14:paraId="5B829D39" w14:textId="77777777" w:rsidR="00997058" w:rsidRPr="002C5366" w:rsidRDefault="00997058">
      <w:pPr>
        <w:rPr>
          <w:sz w:val="24"/>
        </w:rPr>
      </w:pPr>
    </w:p>
    <w:p w14:paraId="3CD67F74" w14:textId="77777777" w:rsidR="001C26B3" w:rsidRPr="002C5366" w:rsidRDefault="001C26B3">
      <w:pPr>
        <w:tabs>
          <w:tab w:val="left" w:pos="-1440"/>
        </w:tabs>
        <w:ind w:left="1440" w:hanging="1440"/>
        <w:rPr>
          <w:sz w:val="24"/>
        </w:rPr>
      </w:pPr>
      <w:r w:rsidRPr="002C5366">
        <w:rPr>
          <w:b/>
          <w:bCs/>
          <w:sz w:val="24"/>
        </w:rPr>
        <w:t>4.  Efforts to Identify Duplication and Use of Similar Information</w:t>
      </w:r>
    </w:p>
    <w:p w14:paraId="0BE466A0" w14:textId="77777777" w:rsidR="001C26B3" w:rsidRPr="002C5366" w:rsidRDefault="001C26B3">
      <w:pPr>
        <w:rPr>
          <w:sz w:val="24"/>
        </w:rPr>
      </w:pPr>
    </w:p>
    <w:p w14:paraId="5441C7AA" w14:textId="4B99EAEF" w:rsidR="0084199B" w:rsidRPr="002C5366" w:rsidRDefault="00C407A2" w:rsidP="0084199B">
      <w:pPr>
        <w:rPr>
          <w:sz w:val="24"/>
        </w:rPr>
      </w:pPr>
      <w:r w:rsidRPr="002C5366">
        <w:rPr>
          <w:sz w:val="24"/>
        </w:rPr>
        <w:t xml:space="preserve">There is no similar ongoing surveillance system in existence. </w:t>
      </w:r>
      <w:r w:rsidR="0084199B" w:rsidRPr="002C5366">
        <w:rPr>
          <w:sz w:val="24"/>
        </w:rPr>
        <w:t>Currently, NVDRS does not collect information on unintentional drug overdoses. Even though vital statistics</w:t>
      </w:r>
      <w:r w:rsidR="005362D7" w:rsidRPr="002C5366">
        <w:rPr>
          <w:sz w:val="24"/>
        </w:rPr>
        <w:t xml:space="preserve"> (i.e., death certificates)</w:t>
      </w:r>
      <w:r w:rsidR="0084199B" w:rsidRPr="002C5366">
        <w:rPr>
          <w:sz w:val="24"/>
        </w:rPr>
        <w:t xml:space="preserve"> collects information on drug overdose deaths, </w:t>
      </w:r>
      <w:r w:rsidR="0013725E" w:rsidRPr="002C5366">
        <w:rPr>
          <w:sz w:val="24"/>
        </w:rPr>
        <w:t xml:space="preserve">this information focuses on when and why deaths occurred, but does not provide information on risk factors for the overdose such as recent release from an institution or mental health history. </w:t>
      </w:r>
      <w:r w:rsidR="0084199B" w:rsidRPr="002C5366">
        <w:rPr>
          <w:sz w:val="24"/>
        </w:rPr>
        <w:t xml:space="preserve"> </w:t>
      </w:r>
      <w:r w:rsidR="00444607" w:rsidRPr="002C5366">
        <w:rPr>
          <w:sz w:val="24"/>
        </w:rPr>
        <w:t>SUDORS</w:t>
      </w:r>
      <w:r w:rsidR="001025FA" w:rsidRPr="002C5366">
        <w:rPr>
          <w:sz w:val="24"/>
        </w:rPr>
        <w:t xml:space="preserve"> will be able to abstract more comprehensive</w:t>
      </w:r>
      <w:r w:rsidR="0084199B" w:rsidRPr="002C5366">
        <w:rPr>
          <w:sz w:val="24"/>
        </w:rPr>
        <w:t xml:space="preserve"> drug </w:t>
      </w:r>
      <w:r w:rsidR="00507F0D" w:rsidRPr="002C5366">
        <w:rPr>
          <w:sz w:val="24"/>
        </w:rPr>
        <w:t>misuse</w:t>
      </w:r>
      <w:r w:rsidR="0084199B" w:rsidRPr="002C5366">
        <w:rPr>
          <w:sz w:val="24"/>
        </w:rPr>
        <w:t xml:space="preserve"> histories of decedents and circumstances around their deaths</w:t>
      </w:r>
      <w:r w:rsidR="005362D7" w:rsidRPr="002C5366">
        <w:rPr>
          <w:sz w:val="24"/>
        </w:rPr>
        <w:t xml:space="preserve"> from </w:t>
      </w:r>
      <w:r w:rsidR="00060430" w:rsidRPr="002C5366">
        <w:rPr>
          <w:sz w:val="24"/>
        </w:rPr>
        <w:t>ME/C</w:t>
      </w:r>
      <w:r w:rsidR="005362D7" w:rsidRPr="002C5366">
        <w:rPr>
          <w:sz w:val="24"/>
        </w:rPr>
        <w:t xml:space="preserve"> reports</w:t>
      </w:r>
      <w:r w:rsidR="0084199B" w:rsidRPr="002C5366">
        <w:rPr>
          <w:sz w:val="24"/>
        </w:rPr>
        <w:t>. Additionally, deaths will be directly linked to available toxicology r</w:t>
      </w:r>
      <w:r w:rsidR="001155D7" w:rsidRPr="002C5366">
        <w:rPr>
          <w:sz w:val="24"/>
        </w:rPr>
        <w:t>eports that will provide the</w:t>
      </w:r>
      <w:r w:rsidR="001025FA" w:rsidRPr="002C5366">
        <w:rPr>
          <w:sz w:val="24"/>
        </w:rPr>
        <w:t xml:space="preserve"> most </w:t>
      </w:r>
      <w:r w:rsidR="0084199B" w:rsidRPr="002C5366">
        <w:rPr>
          <w:sz w:val="24"/>
        </w:rPr>
        <w:t>complete view of</w:t>
      </w:r>
      <w:r w:rsidR="005362D7" w:rsidRPr="002C5366">
        <w:rPr>
          <w:sz w:val="24"/>
        </w:rPr>
        <w:t xml:space="preserve"> drugs contributing to an overdose including </w:t>
      </w:r>
      <w:r w:rsidR="0040403E" w:rsidRPr="002C5366">
        <w:rPr>
          <w:sz w:val="24"/>
        </w:rPr>
        <w:t>how the drug was taken</w:t>
      </w:r>
      <w:r w:rsidR="005362D7" w:rsidRPr="002C5366">
        <w:rPr>
          <w:sz w:val="24"/>
        </w:rPr>
        <w:t xml:space="preserve"> (e.g., injection versus smoking</w:t>
      </w:r>
      <w:r w:rsidR="001155D7" w:rsidRPr="002C5366">
        <w:rPr>
          <w:sz w:val="24"/>
        </w:rPr>
        <w:t>)</w:t>
      </w:r>
      <w:r w:rsidR="005362D7" w:rsidRPr="002C5366">
        <w:rPr>
          <w:sz w:val="24"/>
        </w:rPr>
        <w:t xml:space="preserve">. </w:t>
      </w:r>
    </w:p>
    <w:p w14:paraId="7A959FCB" w14:textId="77777777" w:rsidR="00A41271" w:rsidRPr="002C5366" w:rsidRDefault="00A41271" w:rsidP="0084199B">
      <w:pPr>
        <w:rPr>
          <w:sz w:val="24"/>
        </w:rPr>
      </w:pPr>
    </w:p>
    <w:p w14:paraId="0DED989A" w14:textId="77777777" w:rsidR="00153F63" w:rsidRPr="002C5366" w:rsidRDefault="00153F63" w:rsidP="00153F63">
      <w:pPr>
        <w:rPr>
          <w:sz w:val="24"/>
        </w:rPr>
      </w:pPr>
      <w:r w:rsidRPr="002C5366">
        <w:rPr>
          <w:sz w:val="24"/>
        </w:rPr>
        <w:t>SUDORS is using the NVDRS web-based platform because:</w:t>
      </w:r>
    </w:p>
    <w:p w14:paraId="6F041513" w14:textId="77777777" w:rsidR="00153F63" w:rsidRPr="002C5366" w:rsidRDefault="00153F63" w:rsidP="00153F63">
      <w:pPr>
        <w:numPr>
          <w:ilvl w:val="0"/>
          <w:numId w:val="19"/>
        </w:numPr>
        <w:rPr>
          <w:sz w:val="24"/>
        </w:rPr>
      </w:pPr>
      <w:r w:rsidRPr="002C5366">
        <w:rPr>
          <w:sz w:val="24"/>
        </w:rPr>
        <w:t>Using an existing web-based data collection platform instead of creating a new platform substantially reduces development costs, training costs, and burden on states collecting SUDORS data by allowing abstractors to use the same data system to enter both violent deaths and unintentional overdose deaths.</w:t>
      </w:r>
    </w:p>
    <w:p w14:paraId="0AA95E89" w14:textId="77777777" w:rsidR="00153F63" w:rsidRPr="002C5366" w:rsidRDefault="00153F63" w:rsidP="00153F63">
      <w:pPr>
        <w:numPr>
          <w:ilvl w:val="0"/>
          <w:numId w:val="19"/>
        </w:numPr>
        <w:rPr>
          <w:sz w:val="24"/>
        </w:rPr>
      </w:pPr>
      <w:r w:rsidRPr="002C5366">
        <w:rPr>
          <w:sz w:val="24"/>
        </w:rPr>
        <w:t xml:space="preserve">The web-based platform has been designed to support abstraction of standardized data elements from death certificates and ME/C reports that SUDORS will collect (e.g., demographic description of decedents, toxicology reports, location of death). </w:t>
      </w:r>
    </w:p>
    <w:p w14:paraId="1E9C5F26" w14:textId="77777777" w:rsidR="00153F63" w:rsidRPr="002C5366" w:rsidRDefault="00153F63" w:rsidP="00153F63">
      <w:pPr>
        <w:numPr>
          <w:ilvl w:val="0"/>
          <w:numId w:val="19"/>
        </w:numPr>
        <w:rPr>
          <w:sz w:val="24"/>
        </w:rPr>
      </w:pPr>
      <w:r w:rsidRPr="002C5366">
        <w:rPr>
          <w:sz w:val="24"/>
        </w:rPr>
        <w:t xml:space="preserve">Additional questions targeting drug overdose specific risk factors have been developed and rapidly made available to states.   </w:t>
      </w:r>
    </w:p>
    <w:p w14:paraId="6FFB032D" w14:textId="77777777" w:rsidR="00153F63" w:rsidRPr="002C5366" w:rsidRDefault="00153F63" w:rsidP="00153F63">
      <w:pPr>
        <w:rPr>
          <w:sz w:val="24"/>
        </w:rPr>
      </w:pPr>
    </w:p>
    <w:p w14:paraId="0BB5D567" w14:textId="25062289" w:rsidR="00153F63" w:rsidRPr="002C5366" w:rsidRDefault="00153F63" w:rsidP="00153F63">
      <w:pPr>
        <w:rPr>
          <w:sz w:val="24"/>
        </w:rPr>
      </w:pPr>
      <w:r w:rsidRPr="002C5366">
        <w:rPr>
          <w:sz w:val="24"/>
        </w:rPr>
        <w:t xml:space="preserve">SUDORS </w:t>
      </w:r>
      <w:r w:rsidR="00F94B52" w:rsidRPr="002C5366">
        <w:rPr>
          <w:sz w:val="24"/>
        </w:rPr>
        <w:t>is</w:t>
      </w:r>
      <w:r w:rsidRPr="002C5366">
        <w:rPr>
          <w:sz w:val="24"/>
        </w:rPr>
        <w:t xml:space="preserve"> a new data collection instead of an amendment to NVDRS because the purpose of SUDORS is different from NVDRS. This results in the programs having different requirements, imposing different burdens on the public, and becoming more distinct overtime. In order to be effective, SUDORS needs to collect data with an eight month time lag which is substantially faster than current NVDRS. Thus, SUDORS is not collecting law enforcement information which has a long time lag even though NVDRS does collect this information. This means the burden estimates for the two systems will be different. Also, SUDORS can rapidly begin data collection by leveraging the NVDRS system and collecting information on many of the same variables. The information that SUDORS collects is expected to change overtime based on feedback from awardees and key stakeholders</w:t>
      </w:r>
      <w:r w:rsidR="00601361" w:rsidRPr="002C5366">
        <w:rPr>
          <w:sz w:val="24"/>
        </w:rPr>
        <w:t>.</w:t>
      </w:r>
      <w:r w:rsidRPr="002C5366">
        <w:rPr>
          <w:sz w:val="24"/>
        </w:rPr>
        <w:t xml:space="preserve"> This will result in new versions that include additional variables being added and other variables being dropped (i.e., grayed or blanked out in the data entry system). These changes are expected to increasingly make SUDORS and NVDRS variables different. Also, SUDORS may explore additional linkages with data sources such as state prescription drug monitoring programs (i.e., state programs that track all controlled substance prescriptions) that are very relevant to drug overdose, but not as useful to NVDRS. This again would contribute to significant differences in scope and burden estimates of the two systems.</w:t>
      </w:r>
    </w:p>
    <w:p w14:paraId="7D15ABAF" w14:textId="77777777" w:rsidR="00153F63" w:rsidRPr="002C5366" w:rsidRDefault="00153F63" w:rsidP="00153F63">
      <w:pPr>
        <w:rPr>
          <w:sz w:val="24"/>
        </w:rPr>
      </w:pPr>
    </w:p>
    <w:p w14:paraId="2BB48A21" w14:textId="1BCCCDD3" w:rsidR="001C39BD" w:rsidRPr="002C5366" w:rsidRDefault="00B25C4C" w:rsidP="001C39BD">
      <w:pPr>
        <w:tabs>
          <w:tab w:val="left" w:pos="0"/>
        </w:tabs>
        <w:rPr>
          <w:color w:val="000000"/>
          <w:sz w:val="24"/>
        </w:rPr>
      </w:pPr>
      <w:r w:rsidRPr="002C5366">
        <w:rPr>
          <w:sz w:val="24"/>
        </w:rPr>
        <w:t>Currently, in efforts to comply with OMB requirements,</w:t>
      </w:r>
      <w:r w:rsidR="001C39BD" w:rsidRPr="002C5366">
        <w:rPr>
          <w:color w:val="000000"/>
          <w:sz w:val="24"/>
        </w:rPr>
        <w:t xml:space="preserve"> DUIP </w:t>
      </w:r>
      <w:r w:rsidR="00E60129" w:rsidRPr="002C5366">
        <w:rPr>
          <w:color w:val="000000"/>
          <w:sz w:val="24"/>
        </w:rPr>
        <w:t xml:space="preserve">has </w:t>
      </w:r>
      <w:r w:rsidR="001C39BD" w:rsidRPr="002C5366">
        <w:rPr>
          <w:color w:val="000000"/>
          <w:sz w:val="24"/>
        </w:rPr>
        <w:t xml:space="preserve">convened </w:t>
      </w:r>
      <w:r w:rsidR="00E60129" w:rsidRPr="002C5366">
        <w:rPr>
          <w:color w:val="000000"/>
          <w:sz w:val="24"/>
        </w:rPr>
        <w:t xml:space="preserve">several </w:t>
      </w:r>
      <w:r w:rsidR="001C39BD" w:rsidRPr="002C5366">
        <w:rPr>
          <w:color w:val="000000"/>
          <w:sz w:val="24"/>
        </w:rPr>
        <w:t>call</w:t>
      </w:r>
      <w:r w:rsidR="00E60129" w:rsidRPr="002C5366">
        <w:rPr>
          <w:color w:val="000000"/>
          <w:sz w:val="24"/>
        </w:rPr>
        <w:t>s</w:t>
      </w:r>
      <w:r w:rsidR="001C39BD" w:rsidRPr="002C5366">
        <w:rPr>
          <w:color w:val="000000"/>
          <w:sz w:val="24"/>
        </w:rPr>
        <w:t xml:space="preserve"> with NCHS to identify opportu</w:t>
      </w:r>
      <w:r w:rsidR="009C1DD2" w:rsidRPr="002C5366">
        <w:rPr>
          <w:color w:val="000000"/>
          <w:sz w:val="24"/>
        </w:rPr>
        <w:t>nities to enhance collaboration and coordination in collecting ME/C data</w:t>
      </w:r>
      <w:r w:rsidR="001C39BD" w:rsidRPr="002C5366">
        <w:rPr>
          <w:color w:val="000000"/>
          <w:sz w:val="24"/>
        </w:rPr>
        <w:t>.</w:t>
      </w:r>
      <w:r w:rsidR="009C1DD2" w:rsidRPr="002C5366">
        <w:rPr>
          <w:color w:val="000000"/>
          <w:sz w:val="24"/>
        </w:rPr>
        <w:t xml:space="preserve"> Both NCHS and DUIP collect information from ME/C.</w:t>
      </w:r>
      <w:r w:rsidR="001C39BD" w:rsidRPr="002C5366">
        <w:rPr>
          <w:color w:val="000000"/>
          <w:sz w:val="24"/>
        </w:rPr>
        <w:t xml:space="preserve"> </w:t>
      </w:r>
      <w:r w:rsidR="00C56556" w:rsidRPr="002C5366">
        <w:rPr>
          <w:color w:val="000000"/>
          <w:sz w:val="24"/>
        </w:rPr>
        <w:t>As a result of discussions</w:t>
      </w:r>
      <w:r w:rsidR="001C39BD" w:rsidRPr="002C5366">
        <w:rPr>
          <w:color w:val="000000"/>
          <w:sz w:val="24"/>
        </w:rPr>
        <w:t xml:space="preserve">, two action items </w:t>
      </w:r>
      <w:r w:rsidR="009C1DD2" w:rsidRPr="002C5366">
        <w:rPr>
          <w:color w:val="000000"/>
          <w:sz w:val="24"/>
        </w:rPr>
        <w:t xml:space="preserve">described below were identified </w:t>
      </w:r>
      <w:r w:rsidR="00C56556" w:rsidRPr="002C5366">
        <w:rPr>
          <w:color w:val="000000"/>
          <w:sz w:val="24"/>
        </w:rPr>
        <w:t>and begun</w:t>
      </w:r>
      <w:r w:rsidR="009C1DD2" w:rsidRPr="002C5366">
        <w:rPr>
          <w:color w:val="000000"/>
          <w:sz w:val="24"/>
        </w:rPr>
        <w:t>.</w:t>
      </w:r>
    </w:p>
    <w:p w14:paraId="4823D1E1" w14:textId="77777777" w:rsidR="001C39BD" w:rsidRPr="002C5366" w:rsidRDefault="001C39BD" w:rsidP="001C39BD">
      <w:pPr>
        <w:tabs>
          <w:tab w:val="left" w:pos="0"/>
        </w:tabs>
        <w:rPr>
          <w:color w:val="000000"/>
          <w:sz w:val="24"/>
        </w:rPr>
      </w:pPr>
    </w:p>
    <w:p w14:paraId="21377FEE" w14:textId="77E23EB4" w:rsidR="001C39BD" w:rsidRPr="002C5366" w:rsidRDefault="001C39BD" w:rsidP="001C39BD">
      <w:pPr>
        <w:pStyle w:val="ListParagraph"/>
        <w:numPr>
          <w:ilvl w:val="0"/>
          <w:numId w:val="37"/>
        </w:numPr>
        <w:contextualSpacing w:val="0"/>
        <w:rPr>
          <w:rFonts w:ascii="Times New Roman" w:hAnsi="Times New Roman"/>
        </w:rPr>
      </w:pPr>
      <w:r w:rsidRPr="002C5366">
        <w:rPr>
          <w:rFonts w:ascii="Times New Roman" w:hAnsi="Times New Roman"/>
        </w:rPr>
        <w:t xml:space="preserve">DUIP and NCHS </w:t>
      </w:r>
      <w:r w:rsidR="00C56556" w:rsidRPr="002C5366">
        <w:rPr>
          <w:rFonts w:ascii="Times New Roman" w:hAnsi="Times New Roman"/>
        </w:rPr>
        <w:t xml:space="preserve">are </w:t>
      </w:r>
      <w:r w:rsidRPr="002C5366">
        <w:rPr>
          <w:rFonts w:ascii="Times New Roman" w:hAnsi="Times New Roman"/>
        </w:rPr>
        <w:t>explor</w:t>
      </w:r>
      <w:r w:rsidR="00C56556" w:rsidRPr="002C5366">
        <w:rPr>
          <w:rFonts w:ascii="Times New Roman" w:hAnsi="Times New Roman"/>
        </w:rPr>
        <w:t>ing</w:t>
      </w:r>
      <w:r w:rsidRPr="002C5366">
        <w:rPr>
          <w:rFonts w:ascii="Times New Roman" w:hAnsi="Times New Roman"/>
        </w:rPr>
        <w:t xml:space="preserve"> collaborations between the grantees of the </w:t>
      </w:r>
      <w:r w:rsidR="00831B7E" w:rsidRPr="002C5366">
        <w:rPr>
          <w:rFonts w:ascii="Times New Roman" w:hAnsi="Times New Roman"/>
        </w:rPr>
        <w:t>ESOOS</w:t>
      </w:r>
      <w:r w:rsidRPr="002C5366">
        <w:rPr>
          <w:rFonts w:ascii="Times New Roman" w:hAnsi="Times New Roman"/>
        </w:rPr>
        <w:t xml:space="preserve"> program and grantees of the NCHS Vital Statistics program aimed at improving the quality of data on cause of death on death certificates. </w:t>
      </w:r>
      <w:r w:rsidR="00831B7E" w:rsidRPr="002C5366">
        <w:rPr>
          <w:rFonts w:ascii="Times New Roman" w:hAnsi="Times New Roman"/>
        </w:rPr>
        <w:t>Specifically, we are working to i</w:t>
      </w:r>
      <w:r w:rsidRPr="002C5366">
        <w:rPr>
          <w:rFonts w:ascii="Times New Roman" w:hAnsi="Times New Roman"/>
        </w:rPr>
        <w:t>dentify 1 or 2 states that are funded by both NCHS and DUIP to explore what data are collected, prioritize which data could be shared across systems, and identify better ways to share/link data and make systems interoperable.</w:t>
      </w:r>
    </w:p>
    <w:p w14:paraId="6933831B" w14:textId="7277B0B6" w:rsidR="001C39BD" w:rsidRPr="002C5366" w:rsidRDefault="001C39BD" w:rsidP="001C39BD">
      <w:pPr>
        <w:pStyle w:val="ListParagraph"/>
        <w:numPr>
          <w:ilvl w:val="1"/>
          <w:numId w:val="37"/>
        </w:numPr>
        <w:contextualSpacing w:val="0"/>
        <w:rPr>
          <w:rFonts w:ascii="Times New Roman" w:hAnsi="Times New Roman"/>
        </w:rPr>
      </w:pPr>
      <w:r w:rsidRPr="002C5366">
        <w:rPr>
          <w:rFonts w:ascii="Times New Roman" w:hAnsi="Times New Roman"/>
        </w:rPr>
        <w:t xml:space="preserve">DUIP </w:t>
      </w:r>
      <w:r w:rsidR="00C56556" w:rsidRPr="002C5366">
        <w:rPr>
          <w:rFonts w:ascii="Times New Roman" w:hAnsi="Times New Roman"/>
        </w:rPr>
        <w:t xml:space="preserve">has </w:t>
      </w:r>
      <w:r w:rsidRPr="002C5366">
        <w:rPr>
          <w:rFonts w:ascii="Times New Roman" w:hAnsi="Times New Roman"/>
        </w:rPr>
        <w:t>sh</w:t>
      </w:r>
      <w:r w:rsidR="009C1DD2" w:rsidRPr="002C5366">
        <w:rPr>
          <w:rFonts w:ascii="Times New Roman" w:hAnsi="Times New Roman"/>
        </w:rPr>
        <w:t>are</w:t>
      </w:r>
      <w:r w:rsidR="00C56556" w:rsidRPr="002C5366">
        <w:rPr>
          <w:rFonts w:ascii="Times New Roman" w:hAnsi="Times New Roman"/>
        </w:rPr>
        <w:t>d</w:t>
      </w:r>
      <w:r w:rsidR="009C1DD2" w:rsidRPr="002C5366">
        <w:rPr>
          <w:rFonts w:ascii="Times New Roman" w:hAnsi="Times New Roman"/>
        </w:rPr>
        <w:t xml:space="preserve"> with NCHS the list of funded states </w:t>
      </w:r>
      <w:r w:rsidRPr="002C5366">
        <w:rPr>
          <w:rFonts w:ascii="Times New Roman" w:hAnsi="Times New Roman"/>
        </w:rPr>
        <w:t>under the Enhanced State Surveillance of Opioid-Involved Morbidity and Mortality Program</w:t>
      </w:r>
      <w:r w:rsidR="00C56556" w:rsidRPr="002C5366">
        <w:rPr>
          <w:rFonts w:ascii="Times New Roman" w:hAnsi="Times New Roman"/>
        </w:rPr>
        <w:t>, to</w:t>
      </w:r>
      <w:r w:rsidRPr="002C5366">
        <w:rPr>
          <w:rFonts w:ascii="Times New Roman" w:hAnsi="Times New Roman"/>
        </w:rPr>
        <w:t xml:space="preserve"> identify states that are funded by both NCHS and DUIP programs that could collaborate on discussions to identify data that are critical for meeting joint goals and explore methods for enhancing quality, speed or reporting, and interoperability. As part of this process, DUIP and NCHS </w:t>
      </w:r>
      <w:r w:rsidR="00C56556" w:rsidRPr="002C5366">
        <w:rPr>
          <w:rFonts w:ascii="Times New Roman" w:hAnsi="Times New Roman"/>
        </w:rPr>
        <w:t xml:space="preserve">are </w:t>
      </w:r>
      <w:r w:rsidRPr="002C5366">
        <w:rPr>
          <w:rFonts w:ascii="Times New Roman" w:hAnsi="Times New Roman"/>
        </w:rPr>
        <w:t>identify</w:t>
      </w:r>
      <w:r w:rsidR="00C56556" w:rsidRPr="002C5366">
        <w:rPr>
          <w:rFonts w:ascii="Times New Roman" w:hAnsi="Times New Roman"/>
        </w:rPr>
        <w:t>ing</w:t>
      </w:r>
      <w:r w:rsidRPr="002C5366">
        <w:rPr>
          <w:rFonts w:ascii="Times New Roman" w:hAnsi="Times New Roman"/>
        </w:rPr>
        <w:t xml:space="preserve"> and support</w:t>
      </w:r>
      <w:r w:rsidR="00C56556" w:rsidRPr="002C5366">
        <w:rPr>
          <w:rFonts w:ascii="Times New Roman" w:hAnsi="Times New Roman"/>
        </w:rPr>
        <w:t>ing</w:t>
      </w:r>
      <w:r w:rsidRPr="002C5366">
        <w:rPr>
          <w:rFonts w:ascii="Times New Roman" w:hAnsi="Times New Roman"/>
        </w:rPr>
        <w:t xml:space="preserve"> state interest in collaboration.</w:t>
      </w:r>
      <w:r w:rsidRPr="002C5366">
        <w:rPr>
          <w:rFonts w:ascii="Times New Roman" w:hAnsi="Times New Roman"/>
          <w:strike/>
        </w:rPr>
        <w:t xml:space="preserve"> </w:t>
      </w:r>
    </w:p>
    <w:p w14:paraId="7839A51B" w14:textId="0E7994D4" w:rsidR="001C39BD" w:rsidRPr="002C5366" w:rsidRDefault="001C39BD" w:rsidP="001C39BD">
      <w:pPr>
        <w:pStyle w:val="ListParagraph"/>
        <w:numPr>
          <w:ilvl w:val="1"/>
          <w:numId w:val="37"/>
        </w:numPr>
        <w:contextualSpacing w:val="0"/>
        <w:rPr>
          <w:rFonts w:ascii="Times New Roman" w:hAnsi="Times New Roman"/>
        </w:rPr>
      </w:pPr>
      <w:r w:rsidRPr="002C5366">
        <w:rPr>
          <w:rFonts w:ascii="Times New Roman" w:hAnsi="Times New Roman"/>
        </w:rPr>
        <w:t xml:space="preserve">DUIP </w:t>
      </w:r>
      <w:r w:rsidR="00B63F75" w:rsidRPr="002C5366">
        <w:rPr>
          <w:rFonts w:ascii="Times New Roman" w:hAnsi="Times New Roman"/>
        </w:rPr>
        <w:t xml:space="preserve">will </w:t>
      </w:r>
      <w:r w:rsidR="00C56556" w:rsidRPr="002C5366">
        <w:rPr>
          <w:rFonts w:ascii="Times New Roman" w:hAnsi="Times New Roman"/>
        </w:rPr>
        <w:t xml:space="preserve">continue to have </w:t>
      </w:r>
      <w:r w:rsidR="00B63F75" w:rsidRPr="002C5366">
        <w:rPr>
          <w:rFonts w:ascii="Times New Roman" w:hAnsi="Times New Roman"/>
        </w:rPr>
        <w:t>regular meetings with</w:t>
      </w:r>
      <w:r w:rsidRPr="002C5366">
        <w:rPr>
          <w:rFonts w:ascii="Times New Roman" w:hAnsi="Times New Roman"/>
        </w:rPr>
        <w:t xml:space="preserve"> NCHS</w:t>
      </w:r>
      <w:r w:rsidR="00B63F75" w:rsidRPr="002C5366">
        <w:rPr>
          <w:rFonts w:ascii="Times New Roman" w:hAnsi="Times New Roman"/>
        </w:rPr>
        <w:t xml:space="preserve"> to discuss lessons learned from their respective meetings </w:t>
      </w:r>
      <w:r w:rsidR="00601361" w:rsidRPr="002C5366">
        <w:rPr>
          <w:rFonts w:ascii="Times New Roman" w:hAnsi="Times New Roman"/>
        </w:rPr>
        <w:t>with</w:t>
      </w:r>
      <w:r w:rsidR="00B63F75" w:rsidRPr="002C5366">
        <w:rPr>
          <w:rFonts w:ascii="Times New Roman" w:hAnsi="Times New Roman"/>
        </w:rPr>
        <w:t xml:space="preserve"> awardees and opportunities for coordination.</w:t>
      </w:r>
      <w:r w:rsidRPr="002C5366">
        <w:rPr>
          <w:rFonts w:ascii="Times New Roman" w:hAnsi="Times New Roman"/>
        </w:rPr>
        <w:t xml:space="preserve"> </w:t>
      </w:r>
    </w:p>
    <w:p w14:paraId="4A3060B3" w14:textId="77777777" w:rsidR="00B77D1C" w:rsidRPr="002C5366" w:rsidRDefault="00B77D1C" w:rsidP="0084199B">
      <w:pPr>
        <w:rPr>
          <w:sz w:val="24"/>
        </w:rPr>
      </w:pPr>
    </w:p>
    <w:p w14:paraId="6B5FA22B" w14:textId="694F31C6" w:rsidR="00B77D1C" w:rsidRPr="002C5366" w:rsidRDefault="00C56556" w:rsidP="00601361">
      <w:pPr>
        <w:pStyle w:val="ListParagraph"/>
        <w:numPr>
          <w:ilvl w:val="0"/>
          <w:numId w:val="37"/>
        </w:numPr>
        <w:rPr>
          <w:rFonts w:ascii="Times New Roman" w:hAnsi="Times New Roman"/>
        </w:rPr>
      </w:pPr>
      <w:r w:rsidRPr="002C5366">
        <w:rPr>
          <w:rFonts w:ascii="Times New Roman" w:hAnsi="Times New Roman"/>
        </w:rPr>
        <w:t xml:space="preserve">DUIP and NCHS are funding a project involving Occupational Research and Assessment (ORA) in association with both the National Association of Medical Examiners and the International Association of Coroners &amp; Medical Examiners that was looking to create, implement and conduct a </w:t>
      </w:r>
      <w:r w:rsidR="0016756F" w:rsidRPr="002C5366">
        <w:rPr>
          <w:rFonts w:ascii="Times New Roman" w:hAnsi="Times New Roman"/>
        </w:rPr>
        <w:t xml:space="preserve">proof-of-concept project directed toward helping address accurate real-time data reporting of drug mortality data. This project would utilize a </w:t>
      </w:r>
      <w:r w:rsidRPr="002C5366">
        <w:rPr>
          <w:rFonts w:ascii="Times New Roman" w:hAnsi="Times New Roman"/>
        </w:rPr>
        <w:t>pilot-test of ME/C data interface</w:t>
      </w:r>
      <w:r w:rsidR="00601361" w:rsidRPr="002C5366">
        <w:rPr>
          <w:rFonts w:ascii="Times New Roman" w:hAnsi="Times New Roman"/>
        </w:rPr>
        <w:t>s</w:t>
      </w:r>
      <w:r w:rsidRPr="002C5366">
        <w:rPr>
          <w:rFonts w:ascii="Times New Roman" w:hAnsi="Times New Roman"/>
        </w:rPr>
        <w:t xml:space="preserve"> for 5 medical examiner offices that use MDILog or VertiQ electronic case management system</w:t>
      </w:r>
      <w:r w:rsidR="0016756F" w:rsidRPr="002C5366">
        <w:rPr>
          <w:rFonts w:ascii="Times New Roman" w:hAnsi="Times New Roman"/>
        </w:rPr>
        <w:t xml:space="preserve">, and would help set specifications (e.g., export schema for toxicology data) for ME/C software interfaces going forward to ensure that ME/C data are made available in a consistent, scalable, and secure manner. </w:t>
      </w:r>
      <w:r w:rsidRPr="002C5366">
        <w:rPr>
          <w:rFonts w:ascii="Times New Roman" w:hAnsi="Times New Roman"/>
        </w:rPr>
        <w:t xml:space="preserve">We are expecting a second detailed proposal </w:t>
      </w:r>
      <w:r w:rsidR="0016756F" w:rsidRPr="002C5366">
        <w:rPr>
          <w:rFonts w:ascii="Times New Roman" w:hAnsi="Times New Roman"/>
        </w:rPr>
        <w:t>soon</w:t>
      </w:r>
      <w:r w:rsidRPr="002C5366">
        <w:rPr>
          <w:rFonts w:ascii="Times New Roman" w:hAnsi="Times New Roman"/>
        </w:rPr>
        <w:t>. This is a superior approach than a state collaboration because it leverages a large existing el</w:t>
      </w:r>
      <w:r w:rsidR="0016756F" w:rsidRPr="002C5366">
        <w:rPr>
          <w:rFonts w:ascii="Times New Roman" w:hAnsi="Times New Roman"/>
        </w:rPr>
        <w:t>ectronic case management system</w:t>
      </w:r>
      <w:r w:rsidRPr="002C5366">
        <w:rPr>
          <w:rFonts w:ascii="Times New Roman" w:hAnsi="Times New Roman"/>
        </w:rPr>
        <w:t xml:space="preserve"> and this pilot project has the potential to be scaled up</w:t>
      </w:r>
      <w:r w:rsidR="0016756F" w:rsidRPr="002C5366">
        <w:rPr>
          <w:rFonts w:ascii="Times New Roman" w:hAnsi="Times New Roman"/>
        </w:rPr>
        <w:t>.</w:t>
      </w:r>
    </w:p>
    <w:p w14:paraId="5F75225F" w14:textId="77777777" w:rsidR="001C39BD" w:rsidRPr="002C5366" w:rsidRDefault="001C39BD" w:rsidP="0084199B">
      <w:pPr>
        <w:rPr>
          <w:sz w:val="24"/>
        </w:rPr>
      </w:pPr>
    </w:p>
    <w:p w14:paraId="5BBFA85B" w14:textId="702E3CCE" w:rsidR="006E0D62" w:rsidRPr="002C5366" w:rsidRDefault="00E24E27" w:rsidP="0084199B">
      <w:pPr>
        <w:rPr>
          <w:sz w:val="24"/>
        </w:rPr>
      </w:pPr>
      <w:r w:rsidRPr="002C5366">
        <w:rPr>
          <w:sz w:val="24"/>
        </w:rPr>
        <w:t xml:space="preserve">DUIP also </w:t>
      </w:r>
      <w:r w:rsidR="009C1DD2" w:rsidRPr="002C5366">
        <w:rPr>
          <w:sz w:val="24"/>
        </w:rPr>
        <w:t xml:space="preserve">strongly </w:t>
      </w:r>
      <w:r w:rsidRPr="002C5366">
        <w:rPr>
          <w:sz w:val="24"/>
        </w:rPr>
        <w:t xml:space="preserve">encourages states funded through </w:t>
      </w:r>
      <w:r w:rsidR="003B15A4" w:rsidRPr="002C5366">
        <w:rPr>
          <w:sz w:val="24"/>
        </w:rPr>
        <w:t>ESOOS</w:t>
      </w:r>
      <w:r w:rsidRPr="002C5366">
        <w:rPr>
          <w:sz w:val="24"/>
        </w:rPr>
        <w:t xml:space="preserve"> to provide resources to </w:t>
      </w:r>
      <w:r w:rsidR="009C1DD2" w:rsidRPr="002C5366">
        <w:rPr>
          <w:sz w:val="24"/>
        </w:rPr>
        <w:t xml:space="preserve">their state vital statistics program to </w:t>
      </w:r>
      <w:r w:rsidRPr="002C5366">
        <w:rPr>
          <w:sz w:val="24"/>
        </w:rPr>
        <w:t>support improveme</w:t>
      </w:r>
      <w:r w:rsidR="00601361" w:rsidRPr="002C5366">
        <w:rPr>
          <w:sz w:val="24"/>
        </w:rPr>
        <w:t>nts in the collections of death</w:t>
      </w:r>
      <w:r w:rsidRPr="002C5366">
        <w:rPr>
          <w:sz w:val="24"/>
        </w:rPr>
        <w:t xml:space="preserve"> certificate and </w:t>
      </w:r>
      <w:r w:rsidR="00601361" w:rsidRPr="002C5366">
        <w:rPr>
          <w:sz w:val="24"/>
        </w:rPr>
        <w:t>ME/C</w:t>
      </w:r>
      <w:r w:rsidR="009C1DD2" w:rsidRPr="002C5366">
        <w:rPr>
          <w:sz w:val="24"/>
        </w:rPr>
        <w:t xml:space="preserve"> data</w:t>
      </w:r>
      <w:r w:rsidRPr="002C5366">
        <w:rPr>
          <w:sz w:val="24"/>
        </w:rPr>
        <w:t xml:space="preserve"> in their state.</w:t>
      </w:r>
      <w:r w:rsidR="00C077E0" w:rsidRPr="002C5366">
        <w:rPr>
          <w:sz w:val="24"/>
        </w:rPr>
        <w:t xml:space="preserve"> DUIP will also review state approaches to collecting death certificate and ME/C data to identify possible new strategies for enhancing coordination of DUIP and NCHS’s efforts.</w:t>
      </w:r>
    </w:p>
    <w:p w14:paraId="233E0210" w14:textId="77777777" w:rsidR="009E7ECD" w:rsidRPr="002C5366" w:rsidRDefault="009E7ECD" w:rsidP="00F5556F">
      <w:pPr>
        <w:tabs>
          <w:tab w:val="left" w:pos="0"/>
        </w:tabs>
        <w:rPr>
          <w:color w:val="000000"/>
          <w:sz w:val="24"/>
        </w:rPr>
      </w:pPr>
    </w:p>
    <w:p w14:paraId="0610FF33" w14:textId="0C931D6F" w:rsidR="0001334B" w:rsidRPr="002C5366" w:rsidRDefault="00C54E1E" w:rsidP="00F5556F">
      <w:pPr>
        <w:tabs>
          <w:tab w:val="left" w:pos="0"/>
        </w:tabs>
        <w:rPr>
          <w:color w:val="000000"/>
          <w:sz w:val="24"/>
        </w:rPr>
      </w:pPr>
      <w:r w:rsidRPr="002C5366">
        <w:rPr>
          <w:color w:val="000000"/>
          <w:sz w:val="24"/>
        </w:rPr>
        <w:t xml:space="preserve">In addition to extensive </w:t>
      </w:r>
      <w:r w:rsidR="0029701C" w:rsidRPr="002C5366">
        <w:rPr>
          <w:color w:val="000000"/>
          <w:sz w:val="24"/>
        </w:rPr>
        <w:t>consultation</w:t>
      </w:r>
      <w:r w:rsidRPr="002C5366">
        <w:rPr>
          <w:color w:val="000000"/>
          <w:sz w:val="24"/>
        </w:rPr>
        <w:t xml:space="preserve">, including in-person </w:t>
      </w:r>
      <w:r w:rsidR="0029701C" w:rsidRPr="002C5366">
        <w:rPr>
          <w:color w:val="000000"/>
          <w:sz w:val="24"/>
        </w:rPr>
        <w:t>meetings</w:t>
      </w:r>
      <w:r w:rsidRPr="002C5366">
        <w:rPr>
          <w:color w:val="000000"/>
          <w:sz w:val="24"/>
        </w:rPr>
        <w:t xml:space="preserve"> and phone calls, with the Division of Violence Prevention at CDC about </w:t>
      </w:r>
      <w:r w:rsidR="0029701C" w:rsidRPr="002C5366">
        <w:rPr>
          <w:color w:val="000000"/>
          <w:sz w:val="24"/>
        </w:rPr>
        <w:t>integrating</w:t>
      </w:r>
      <w:r w:rsidRPr="002C5366">
        <w:rPr>
          <w:color w:val="000000"/>
          <w:sz w:val="24"/>
        </w:rPr>
        <w:t xml:space="preserve"> </w:t>
      </w:r>
      <w:r w:rsidR="00444607" w:rsidRPr="002C5366">
        <w:rPr>
          <w:color w:val="000000"/>
          <w:sz w:val="24"/>
        </w:rPr>
        <w:t>SUDORS</w:t>
      </w:r>
      <w:r w:rsidRPr="002C5366">
        <w:rPr>
          <w:color w:val="000000"/>
          <w:sz w:val="24"/>
        </w:rPr>
        <w:t xml:space="preserve"> into NVDRS, w</w:t>
      </w:r>
      <w:r w:rsidR="00AE3559" w:rsidRPr="002C5366">
        <w:rPr>
          <w:color w:val="000000"/>
          <w:sz w:val="24"/>
        </w:rPr>
        <w:t>e also</w:t>
      </w:r>
      <w:r w:rsidRPr="002C5366">
        <w:rPr>
          <w:color w:val="000000"/>
          <w:sz w:val="24"/>
        </w:rPr>
        <w:t xml:space="preserve"> consulted </w:t>
      </w:r>
      <w:r w:rsidR="007C197E" w:rsidRPr="002C5366">
        <w:rPr>
          <w:color w:val="000000"/>
          <w:sz w:val="24"/>
        </w:rPr>
        <w:t>with SAMHSA</w:t>
      </w:r>
      <w:r w:rsidR="00AE3559" w:rsidRPr="002C5366">
        <w:rPr>
          <w:color w:val="000000"/>
          <w:sz w:val="24"/>
        </w:rPr>
        <w:t xml:space="preserve"> </w:t>
      </w:r>
      <w:r w:rsidRPr="002C5366">
        <w:rPr>
          <w:color w:val="000000"/>
          <w:sz w:val="24"/>
        </w:rPr>
        <w:t xml:space="preserve">by phone about </w:t>
      </w:r>
      <w:r w:rsidR="0029701C" w:rsidRPr="002C5366">
        <w:rPr>
          <w:color w:val="000000"/>
          <w:sz w:val="24"/>
        </w:rPr>
        <w:t>their previous</w:t>
      </w:r>
      <w:r w:rsidRPr="002C5366">
        <w:rPr>
          <w:color w:val="000000"/>
          <w:sz w:val="24"/>
        </w:rPr>
        <w:t xml:space="preserve"> data collection through the </w:t>
      </w:r>
      <w:r w:rsidRPr="002C5366">
        <w:rPr>
          <w:sz w:val="24"/>
        </w:rPr>
        <w:t xml:space="preserve">Drug </w:t>
      </w:r>
      <w:r w:rsidR="00382D5D" w:rsidRPr="002C5366">
        <w:rPr>
          <w:sz w:val="24"/>
        </w:rPr>
        <w:t>Misuse</w:t>
      </w:r>
      <w:r w:rsidRPr="002C5366">
        <w:rPr>
          <w:sz w:val="24"/>
        </w:rPr>
        <w:t xml:space="preserve"> Warning Network Medical Examiner/Coroner (ME/C)</w:t>
      </w:r>
      <w:r w:rsidRPr="002C5366">
        <w:rPr>
          <w:color w:val="000000"/>
          <w:sz w:val="24"/>
        </w:rPr>
        <w:t xml:space="preserve">. </w:t>
      </w:r>
    </w:p>
    <w:p w14:paraId="077822E7" w14:textId="77777777" w:rsidR="0001334B" w:rsidRPr="002C5366" w:rsidRDefault="0001334B" w:rsidP="00F5556F">
      <w:pPr>
        <w:tabs>
          <w:tab w:val="left" w:pos="0"/>
        </w:tabs>
        <w:rPr>
          <w:color w:val="000000"/>
          <w:sz w:val="24"/>
        </w:rPr>
      </w:pPr>
    </w:p>
    <w:p w14:paraId="70943B82" w14:textId="77777777" w:rsidR="00896016" w:rsidRPr="002C5366" w:rsidRDefault="00896016" w:rsidP="00F5556F">
      <w:pPr>
        <w:tabs>
          <w:tab w:val="left" w:pos="0"/>
        </w:tabs>
        <w:rPr>
          <w:color w:val="000000"/>
          <w:sz w:val="24"/>
        </w:rPr>
      </w:pPr>
    </w:p>
    <w:p w14:paraId="235352BF" w14:textId="77777777" w:rsidR="001C26B3" w:rsidRPr="002C5366" w:rsidRDefault="001C26B3">
      <w:pPr>
        <w:tabs>
          <w:tab w:val="left" w:pos="-1440"/>
        </w:tabs>
        <w:ind w:left="720" w:hanging="720"/>
        <w:rPr>
          <w:color w:val="000000"/>
          <w:sz w:val="24"/>
        </w:rPr>
      </w:pPr>
      <w:r w:rsidRPr="002C5366">
        <w:rPr>
          <w:b/>
          <w:bCs/>
          <w:color w:val="000000"/>
          <w:sz w:val="24"/>
        </w:rPr>
        <w:t>5.  Impact on Small Businesses or Other Small Entities</w:t>
      </w:r>
    </w:p>
    <w:p w14:paraId="4E9A2507" w14:textId="77777777" w:rsidR="001C26B3" w:rsidRPr="002C5366" w:rsidRDefault="001C26B3">
      <w:pPr>
        <w:rPr>
          <w:color w:val="000000"/>
          <w:sz w:val="24"/>
        </w:rPr>
      </w:pPr>
    </w:p>
    <w:p w14:paraId="0A8B6DDD" w14:textId="77777777" w:rsidR="001C26B3" w:rsidRPr="002C5366" w:rsidRDefault="001C26B3">
      <w:pPr>
        <w:rPr>
          <w:color w:val="000000"/>
          <w:sz w:val="24"/>
        </w:rPr>
      </w:pPr>
      <w:r w:rsidRPr="002C5366">
        <w:rPr>
          <w:color w:val="000000"/>
          <w:sz w:val="24"/>
        </w:rPr>
        <w:t>This study does not impact small businesses or other small entities.  It impacts public agencies such as health departments, and medical examiner/corone</w:t>
      </w:r>
      <w:r w:rsidR="00307377" w:rsidRPr="002C5366">
        <w:rPr>
          <w:color w:val="000000"/>
          <w:sz w:val="24"/>
        </w:rPr>
        <w:t>r offices, whose records are</w:t>
      </w:r>
      <w:r w:rsidRPr="002C5366">
        <w:rPr>
          <w:color w:val="000000"/>
          <w:sz w:val="24"/>
        </w:rPr>
        <w:t xml:space="preserve"> accessed in the course of data collection.  </w:t>
      </w:r>
    </w:p>
    <w:p w14:paraId="53619A04" w14:textId="77777777" w:rsidR="00BB6BFE" w:rsidRPr="002C5366" w:rsidRDefault="00BB6BFE">
      <w:pPr>
        <w:rPr>
          <w:color w:val="000000"/>
          <w:sz w:val="24"/>
        </w:rPr>
      </w:pPr>
    </w:p>
    <w:p w14:paraId="625E7D58" w14:textId="77777777" w:rsidR="001C26B3" w:rsidRPr="002C5366" w:rsidRDefault="001C26B3">
      <w:pPr>
        <w:tabs>
          <w:tab w:val="left" w:pos="-1440"/>
        </w:tabs>
        <w:ind w:left="1440" w:hanging="1440"/>
        <w:rPr>
          <w:color w:val="000000"/>
          <w:sz w:val="24"/>
        </w:rPr>
      </w:pPr>
      <w:r w:rsidRPr="002C5366">
        <w:rPr>
          <w:b/>
          <w:bCs/>
          <w:color w:val="000000"/>
          <w:sz w:val="24"/>
        </w:rPr>
        <w:t>6.  Consequences of Collecting the Information Less Frequently</w:t>
      </w:r>
    </w:p>
    <w:p w14:paraId="5DFB7667" w14:textId="77777777" w:rsidR="001C26B3" w:rsidRPr="002C5366" w:rsidRDefault="001C26B3">
      <w:pPr>
        <w:rPr>
          <w:sz w:val="24"/>
        </w:rPr>
      </w:pPr>
    </w:p>
    <w:p w14:paraId="12FA3AAB" w14:textId="635B0E6E" w:rsidR="00012184" w:rsidRPr="002C5366" w:rsidRDefault="00A717F7">
      <w:pPr>
        <w:rPr>
          <w:sz w:val="24"/>
          <w:lang w:val="en"/>
        </w:rPr>
      </w:pPr>
      <w:r w:rsidRPr="002C5366">
        <w:rPr>
          <w:sz w:val="24"/>
          <w:lang w:val="en"/>
        </w:rPr>
        <w:t>The rapid changes in opioid-related drug overdose on a yearly basis such as the 26% increase in heroin-related overdose deaths from 2013 to 201</w:t>
      </w:r>
      <w:r w:rsidR="00712D2F" w:rsidRPr="002C5366">
        <w:rPr>
          <w:sz w:val="24"/>
          <w:lang w:val="en"/>
        </w:rPr>
        <w:t>4</w:t>
      </w:r>
      <w:r w:rsidR="00562E20" w:rsidRPr="002C5366">
        <w:rPr>
          <w:rStyle w:val="EndnoteReference"/>
          <w:sz w:val="24"/>
        </w:rPr>
        <w:endnoteReference w:id="33"/>
      </w:r>
      <w:r w:rsidRPr="002C5366">
        <w:rPr>
          <w:sz w:val="24"/>
          <w:lang w:val="en"/>
        </w:rPr>
        <w:t xml:space="preserve">, highlight the need for timely data collection to support ongoing national, state, and local efforts to reduce opioid-related morbidity and mortality.  The current system is striving to collect data with an 8-month time lag </w:t>
      </w:r>
      <w:r w:rsidRPr="002C5366">
        <w:rPr>
          <w:sz w:val="24"/>
        </w:rPr>
        <w:t>(e.g., complete data collection on opioid-related drug overdose deaths occurring from January to June 2017 by February 28, 2018).</w:t>
      </w:r>
      <w:r w:rsidR="00627080" w:rsidRPr="002C5366">
        <w:rPr>
          <w:sz w:val="24"/>
        </w:rPr>
        <w:t xml:space="preserve"> </w:t>
      </w:r>
      <w:r w:rsidRPr="002C5366">
        <w:rPr>
          <w:sz w:val="24"/>
        </w:rPr>
        <w:t xml:space="preserve"> </w:t>
      </w:r>
    </w:p>
    <w:p w14:paraId="24A95F28" w14:textId="77777777" w:rsidR="001D2CE2" w:rsidRPr="002C5366" w:rsidRDefault="001D2CE2">
      <w:pPr>
        <w:rPr>
          <w:sz w:val="24"/>
          <w:lang w:val="en"/>
        </w:rPr>
      </w:pPr>
    </w:p>
    <w:p w14:paraId="10B43B61" w14:textId="3745850D" w:rsidR="001D2CE2" w:rsidRPr="002C5366" w:rsidRDefault="0098071B">
      <w:pPr>
        <w:rPr>
          <w:sz w:val="24"/>
          <w:lang w:val="en"/>
        </w:rPr>
      </w:pPr>
      <w:r w:rsidRPr="002C5366">
        <w:rPr>
          <w:sz w:val="24"/>
          <w:lang w:val="en"/>
        </w:rPr>
        <w:t xml:space="preserve">If </w:t>
      </w:r>
      <w:r w:rsidR="00444607" w:rsidRPr="002C5366">
        <w:rPr>
          <w:sz w:val="24"/>
          <w:lang w:val="en"/>
        </w:rPr>
        <w:t>SUDORS</w:t>
      </w:r>
      <w:r w:rsidRPr="002C5366">
        <w:rPr>
          <w:sz w:val="24"/>
          <w:lang w:val="en"/>
        </w:rPr>
        <w:t xml:space="preserve"> information is not collected, consistent</w:t>
      </w:r>
      <w:r w:rsidR="00CC4496" w:rsidRPr="002C5366">
        <w:rPr>
          <w:sz w:val="24"/>
          <w:lang w:val="en"/>
        </w:rPr>
        <w:t xml:space="preserve"> in-depth information on the circumstances related to </w:t>
      </w:r>
      <w:r w:rsidR="0057625C" w:rsidRPr="002C5366">
        <w:rPr>
          <w:sz w:val="24"/>
          <w:lang w:val="en"/>
        </w:rPr>
        <w:t xml:space="preserve">unintentional </w:t>
      </w:r>
      <w:r w:rsidR="00CC4496" w:rsidRPr="002C5366">
        <w:rPr>
          <w:sz w:val="24"/>
          <w:lang w:val="en"/>
        </w:rPr>
        <w:t xml:space="preserve">drug overdose deaths will not be available and this will inhibit targeting of prevention efforts. Additionally, </w:t>
      </w:r>
      <w:r w:rsidR="00444607" w:rsidRPr="002C5366">
        <w:rPr>
          <w:sz w:val="24"/>
          <w:lang w:val="en"/>
        </w:rPr>
        <w:t>SUDORS</w:t>
      </w:r>
      <w:r w:rsidR="00CC4496" w:rsidRPr="002C5366">
        <w:rPr>
          <w:sz w:val="24"/>
          <w:lang w:val="en"/>
        </w:rPr>
        <w:t xml:space="preserve"> will work to provide preliminary drug overdose death counts within </w:t>
      </w:r>
      <w:r w:rsidR="003C49D6" w:rsidRPr="002C5366">
        <w:rPr>
          <w:sz w:val="24"/>
          <w:lang w:val="en"/>
        </w:rPr>
        <w:t>8 months</w:t>
      </w:r>
      <w:r w:rsidR="00A717F7" w:rsidRPr="002C5366">
        <w:rPr>
          <w:sz w:val="24"/>
          <w:lang w:val="en"/>
        </w:rPr>
        <w:t xml:space="preserve"> </w:t>
      </w:r>
      <w:r w:rsidR="00A717F7" w:rsidRPr="002C5366">
        <w:rPr>
          <w:sz w:val="24"/>
        </w:rPr>
        <w:t>(e.g., complete data collection on opioid-related drug overdose deaths occurring from January to June 2017 by February 28, 2018)</w:t>
      </w:r>
      <w:r w:rsidR="003C49D6" w:rsidRPr="002C5366">
        <w:rPr>
          <w:sz w:val="24"/>
          <w:lang w:val="en"/>
        </w:rPr>
        <w:t xml:space="preserve"> which is faster </w:t>
      </w:r>
      <w:r w:rsidR="00FC040C" w:rsidRPr="002C5366">
        <w:rPr>
          <w:sz w:val="24"/>
          <w:lang w:val="en"/>
        </w:rPr>
        <w:t>than</w:t>
      </w:r>
      <w:r w:rsidR="003C49D6" w:rsidRPr="002C5366">
        <w:rPr>
          <w:sz w:val="24"/>
          <w:lang w:val="en"/>
        </w:rPr>
        <w:t xml:space="preserve"> current estimates from vital statistics</w:t>
      </w:r>
      <w:r w:rsidR="00C77F3F" w:rsidRPr="002C5366">
        <w:rPr>
          <w:sz w:val="24"/>
          <w:lang w:val="en"/>
        </w:rPr>
        <w:t xml:space="preserve"> which</w:t>
      </w:r>
      <w:r w:rsidR="006B3069" w:rsidRPr="002C5366">
        <w:rPr>
          <w:sz w:val="24"/>
          <w:lang w:val="en"/>
        </w:rPr>
        <w:t xml:space="preserve"> has a time lag of a year or more.</w:t>
      </w:r>
      <w:r w:rsidR="00B06512" w:rsidRPr="002C5366">
        <w:rPr>
          <w:sz w:val="24"/>
          <w:lang w:val="en"/>
        </w:rPr>
        <w:t xml:space="preserve"> This will allow better tracking of </w:t>
      </w:r>
      <w:r w:rsidR="001C11B2" w:rsidRPr="002C5366">
        <w:rPr>
          <w:sz w:val="24"/>
          <w:lang w:val="en"/>
        </w:rPr>
        <w:t>the impact</w:t>
      </w:r>
      <w:r w:rsidR="002E3147" w:rsidRPr="002C5366">
        <w:rPr>
          <w:sz w:val="24"/>
          <w:lang w:val="en"/>
        </w:rPr>
        <w:t xml:space="preserve"> of</w:t>
      </w:r>
      <w:r w:rsidR="001C11B2" w:rsidRPr="002C5366">
        <w:rPr>
          <w:sz w:val="24"/>
          <w:lang w:val="en"/>
        </w:rPr>
        <w:t xml:space="preserve"> </w:t>
      </w:r>
      <w:r w:rsidR="00B06512" w:rsidRPr="002C5366">
        <w:rPr>
          <w:sz w:val="24"/>
          <w:lang w:val="en"/>
        </w:rPr>
        <w:t>current prevention initiatives</w:t>
      </w:r>
      <w:r w:rsidR="001C11B2" w:rsidRPr="002C5366">
        <w:rPr>
          <w:sz w:val="24"/>
          <w:lang w:val="en"/>
        </w:rPr>
        <w:t>.</w:t>
      </w:r>
      <w:r w:rsidR="00627080" w:rsidRPr="002C5366">
        <w:rPr>
          <w:sz w:val="24"/>
          <w:lang w:val="en"/>
        </w:rPr>
        <w:t xml:space="preserve"> D</w:t>
      </w:r>
      <w:r w:rsidR="00627080" w:rsidRPr="002C5366">
        <w:rPr>
          <w:sz w:val="24"/>
        </w:rPr>
        <w:t>elays in data collection would impede the ability of the ESOOS program to obtain more rapid mortality data that can inform deployment of prevention and intervention strategies to address the ongoing opioid epidemic and be responsive to the congressional intent of the program funding.</w:t>
      </w:r>
    </w:p>
    <w:p w14:paraId="6D56B467" w14:textId="77777777" w:rsidR="00CA62EF" w:rsidRPr="002C5366" w:rsidRDefault="00CA62EF">
      <w:pPr>
        <w:rPr>
          <w:color w:val="000000"/>
          <w:sz w:val="24"/>
        </w:rPr>
      </w:pPr>
    </w:p>
    <w:p w14:paraId="54187606" w14:textId="77777777" w:rsidR="001C26B3" w:rsidRPr="002C5366" w:rsidRDefault="001C26B3">
      <w:pPr>
        <w:tabs>
          <w:tab w:val="left" w:pos="-1440"/>
        </w:tabs>
        <w:ind w:left="1440" w:hanging="1440"/>
        <w:rPr>
          <w:color w:val="000000"/>
          <w:sz w:val="24"/>
        </w:rPr>
      </w:pPr>
      <w:r w:rsidRPr="002C5366">
        <w:rPr>
          <w:b/>
          <w:bCs/>
          <w:color w:val="000000"/>
          <w:sz w:val="24"/>
        </w:rPr>
        <w:t>7.  Special Circumstances Relating to the Guidelines of 5 CFR 1320.5</w:t>
      </w:r>
    </w:p>
    <w:p w14:paraId="4974A570" w14:textId="77777777" w:rsidR="001C26B3" w:rsidRPr="002C5366" w:rsidRDefault="001C26B3">
      <w:pPr>
        <w:rPr>
          <w:color w:val="000000"/>
          <w:sz w:val="24"/>
        </w:rPr>
      </w:pPr>
    </w:p>
    <w:p w14:paraId="1AFB8AB0" w14:textId="77777777" w:rsidR="001C26B3" w:rsidRPr="002C5366" w:rsidRDefault="00CA62EF">
      <w:pPr>
        <w:rPr>
          <w:color w:val="000000"/>
          <w:sz w:val="24"/>
        </w:rPr>
      </w:pPr>
      <w:r w:rsidRPr="002C5366">
        <w:rPr>
          <w:sz w:val="24"/>
        </w:rPr>
        <w:t>This data collection complies fully with the guidelines in 5CFR 1</w:t>
      </w:r>
      <w:r w:rsidR="00EA2013" w:rsidRPr="002C5366">
        <w:rPr>
          <w:sz w:val="24"/>
        </w:rPr>
        <w:t>32</w:t>
      </w:r>
      <w:r w:rsidRPr="002C5366">
        <w:rPr>
          <w:sz w:val="24"/>
        </w:rPr>
        <w:t>0.5</w:t>
      </w:r>
      <w:r w:rsidR="001C26B3" w:rsidRPr="002C5366">
        <w:rPr>
          <w:color w:val="000000"/>
          <w:sz w:val="24"/>
        </w:rPr>
        <w:t xml:space="preserve">.  </w:t>
      </w:r>
    </w:p>
    <w:p w14:paraId="218A3DC6" w14:textId="77777777" w:rsidR="00BB6BFE" w:rsidRPr="002C5366" w:rsidRDefault="00BB6BFE">
      <w:pPr>
        <w:rPr>
          <w:b/>
          <w:bCs/>
          <w:color w:val="000000"/>
          <w:sz w:val="24"/>
        </w:rPr>
      </w:pPr>
    </w:p>
    <w:p w14:paraId="4F709D4F" w14:textId="77777777" w:rsidR="00CA62EF" w:rsidRPr="002C5366" w:rsidRDefault="001C26B3">
      <w:pPr>
        <w:tabs>
          <w:tab w:val="left" w:pos="-1440"/>
        </w:tabs>
        <w:ind w:left="1440" w:hanging="1440"/>
        <w:rPr>
          <w:b/>
          <w:bCs/>
          <w:color w:val="000000"/>
          <w:sz w:val="24"/>
        </w:rPr>
      </w:pPr>
      <w:r w:rsidRPr="002C5366">
        <w:rPr>
          <w:b/>
          <w:bCs/>
          <w:color w:val="000000"/>
          <w:sz w:val="24"/>
        </w:rPr>
        <w:t>8.  Comments in Response to the Federal Register Notice</w:t>
      </w:r>
      <w:r w:rsidR="00CA62EF" w:rsidRPr="002C5366">
        <w:rPr>
          <w:b/>
          <w:bCs/>
          <w:color w:val="000000"/>
          <w:sz w:val="24"/>
        </w:rPr>
        <w:t xml:space="preserve"> and Efforts to Consult Outside</w:t>
      </w:r>
    </w:p>
    <w:p w14:paraId="2E4FCB5F" w14:textId="77777777" w:rsidR="001C26B3" w:rsidRPr="002C5366" w:rsidRDefault="001C26B3" w:rsidP="00CA62EF">
      <w:pPr>
        <w:tabs>
          <w:tab w:val="left" w:pos="-1440"/>
        </w:tabs>
        <w:ind w:left="1440" w:hanging="1170"/>
        <w:rPr>
          <w:color w:val="000000"/>
          <w:sz w:val="24"/>
        </w:rPr>
      </w:pPr>
      <w:r w:rsidRPr="002C5366">
        <w:rPr>
          <w:b/>
          <w:bCs/>
          <w:color w:val="000000"/>
          <w:sz w:val="24"/>
        </w:rPr>
        <w:t>the Agency</w:t>
      </w:r>
    </w:p>
    <w:p w14:paraId="4639D606" w14:textId="77777777" w:rsidR="001C26B3" w:rsidRPr="002C5366" w:rsidRDefault="001C26B3">
      <w:pPr>
        <w:rPr>
          <w:color w:val="000000"/>
          <w:sz w:val="24"/>
        </w:rPr>
      </w:pPr>
    </w:p>
    <w:p w14:paraId="33D48E34" w14:textId="77777777" w:rsidR="00AE3559" w:rsidRPr="002C5366" w:rsidRDefault="00AE3559" w:rsidP="00AE3559">
      <w:pPr>
        <w:numPr>
          <w:ilvl w:val="0"/>
          <w:numId w:val="22"/>
        </w:numPr>
        <w:tabs>
          <w:tab w:val="left" w:pos="0"/>
        </w:tabs>
        <w:rPr>
          <w:sz w:val="24"/>
        </w:rPr>
      </w:pPr>
      <w:r w:rsidRPr="002C5366">
        <w:rPr>
          <w:sz w:val="24"/>
        </w:rPr>
        <w:t xml:space="preserve">Federal Register Notice </w:t>
      </w:r>
    </w:p>
    <w:p w14:paraId="7C603B8D" w14:textId="10A5B13F" w:rsidR="005869A7" w:rsidRPr="002C5366" w:rsidRDefault="002E3147" w:rsidP="00F5556F">
      <w:pPr>
        <w:tabs>
          <w:tab w:val="left" w:pos="0"/>
        </w:tabs>
        <w:ind w:left="720"/>
        <w:rPr>
          <w:sz w:val="24"/>
        </w:rPr>
      </w:pPr>
      <w:r w:rsidRPr="002C5366">
        <w:rPr>
          <w:sz w:val="24"/>
        </w:rPr>
        <w:t xml:space="preserve">A </w:t>
      </w:r>
      <w:r w:rsidR="00E31C0C" w:rsidRPr="002C5366">
        <w:rPr>
          <w:sz w:val="24"/>
        </w:rPr>
        <w:t xml:space="preserve">60-day Federal Register Notice was published in the Federal Register on </w:t>
      </w:r>
      <w:r w:rsidR="002376F0" w:rsidRPr="002C5366">
        <w:rPr>
          <w:sz w:val="24"/>
        </w:rPr>
        <w:t xml:space="preserve">August, 14, 2015, </w:t>
      </w:r>
      <w:r w:rsidR="00E31C0C" w:rsidRPr="002C5366">
        <w:rPr>
          <w:sz w:val="24"/>
        </w:rPr>
        <w:t xml:space="preserve">vol. </w:t>
      </w:r>
      <w:r w:rsidR="002376F0" w:rsidRPr="002C5366">
        <w:rPr>
          <w:sz w:val="24"/>
        </w:rPr>
        <w:t xml:space="preserve">80, </w:t>
      </w:r>
      <w:r w:rsidR="00E31C0C" w:rsidRPr="002C5366">
        <w:rPr>
          <w:sz w:val="24"/>
        </w:rPr>
        <w:t xml:space="preserve">No. </w:t>
      </w:r>
      <w:r w:rsidR="002376F0" w:rsidRPr="002C5366">
        <w:rPr>
          <w:sz w:val="24"/>
        </w:rPr>
        <w:t>157</w:t>
      </w:r>
      <w:r w:rsidR="005869A7" w:rsidRPr="002C5366">
        <w:rPr>
          <w:sz w:val="24"/>
        </w:rPr>
        <w:t xml:space="preserve">, pp. </w:t>
      </w:r>
      <w:r w:rsidR="002376F0" w:rsidRPr="002C5366">
        <w:rPr>
          <w:sz w:val="24"/>
        </w:rPr>
        <w:t xml:space="preserve">48861-48862 </w:t>
      </w:r>
      <w:r w:rsidR="005869A7" w:rsidRPr="002C5366">
        <w:rPr>
          <w:sz w:val="24"/>
        </w:rPr>
        <w:t xml:space="preserve"> (Attachment B</w:t>
      </w:r>
      <w:r w:rsidR="00AE3559" w:rsidRPr="002C5366">
        <w:rPr>
          <w:sz w:val="24"/>
        </w:rPr>
        <w:t>)</w:t>
      </w:r>
      <w:r w:rsidR="002376F0" w:rsidRPr="002C5366">
        <w:rPr>
          <w:sz w:val="24"/>
        </w:rPr>
        <w:t>. CDC received one non-substanti</w:t>
      </w:r>
      <w:r w:rsidRPr="002C5366">
        <w:rPr>
          <w:sz w:val="24"/>
        </w:rPr>
        <w:t>ve</w:t>
      </w:r>
      <w:r w:rsidR="002376F0" w:rsidRPr="002C5366">
        <w:rPr>
          <w:sz w:val="24"/>
        </w:rPr>
        <w:t xml:space="preserve"> comment (Attachment B1) and replied with a standard CDC response.</w:t>
      </w:r>
      <w:r w:rsidR="00A46113" w:rsidRPr="002C5366">
        <w:rPr>
          <w:sz w:val="24"/>
        </w:rPr>
        <w:t xml:space="preserve"> OMB waived the requirement for a 60-day Federal Register Notice for this revision request </w:t>
      </w:r>
      <w:r w:rsidR="009437E7" w:rsidRPr="002C5366">
        <w:rPr>
          <w:sz w:val="24"/>
        </w:rPr>
        <w:t xml:space="preserve">because the scope of the data collection remains the same, and other than the burden estimate, the original 60-day FRN generally still holds for this updated data collection; the primary change is that there is an increase from 12 states to 50 states participating in the data collection. </w:t>
      </w:r>
    </w:p>
    <w:p w14:paraId="12D98830" w14:textId="77777777" w:rsidR="00AE3559" w:rsidRPr="002C5366" w:rsidRDefault="00AE3559" w:rsidP="00F5556F">
      <w:pPr>
        <w:tabs>
          <w:tab w:val="left" w:pos="0"/>
        </w:tabs>
        <w:ind w:left="720"/>
        <w:rPr>
          <w:color w:val="000000"/>
          <w:sz w:val="24"/>
        </w:rPr>
      </w:pPr>
    </w:p>
    <w:p w14:paraId="3E4A4592" w14:textId="77777777" w:rsidR="00AE3559" w:rsidRPr="002C5366" w:rsidRDefault="00AE3559" w:rsidP="005869A7">
      <w:pPr>
        <w:numPr>
          <w:ilvl w:val="0"/>
          <w:numId w:val="22"/>
        </w:numPr>
        <w:tabs>
          <w:tab w:val="left" w:pos="0"/>
        </w:tabs>
        <w:rPr>
          <w:sz w:val="24"/>
        </w:rPr>
      </w:pPr>
      <w:r w:rsidRPr="002C5366">
        <w:rPr>
          <w:sz w:val="24"/>
        </w:rPr>
        <w:t xml:space="preserve">Efforts to Consult Outside the Agency </w:t>
      </w:r>
    </w:p>
    <w:p w14:paraId="18320803" w14:textId="4988B19A" w:rsidR="00BD1BDD" w:rsidRPr="002C5366" w:rsidRDefault="001C26B3" w:rsidP="00EF0AE3">
      <w:pPr>
        <w:tabs>
          <w:tab w:val="left" w:pos="0"/>
        </w:tabs>
        <w:ind w:left="720"/>
        <w:rPr>
          <w:color w:val="000000"/>
          <w:sz w:val="24"/>
          <w:vertAlign w:val="superscript"/>
        </w:rPr>
      </w:pPr>
      <w:r w:rsidRPr="002C5366">
        <w:rPr>
          <w:color w:val="000000"/>
          <w:sz w:val="24"/>
        </w:rPr>
        <w:t>N</w:t>
      </w:r>
      <w:r w:rsidR="0055607E" w:rsidRPr="002C5366">
        <w:rPr>
          <w:color w:val="000000"/>
          <w:sz w:val="24"/>
        </w:rPr>
        <w:t xml:space="preserve">CIPC consulted with the </w:t>
      </w:r>
      <w:r w:rsidR="00807A1C" w:rsidRPr="002C5366">
        <w:rPr>
          <w:color w:val="000000"/>
          <w:sz w:val="24"/>
        </w:rPr>
        <w:t>current</w:t>
      </w:r>
      <w:r w:rsidR="0055607E" w:rsidRPr="002C5366">
        <w:rPr>
          <w:color w:val="000000"/>
          <w:sz w:val="24"/>
        </w:rPr>
        <w:t>ly funded</w:t>
      </w:r>
      <w:r w:rsidR="00807A1C" w:rsidRPr="002C5366">
        <w:rPr>
          <w:color w:val="000000"/>
          <w:sz w:val="24"/>
        </w:rPr>
        <w:t xml:space="preserve"> NVDRS states to learn and build upon the extensive work alrea</w:t>
      </w:r>
      <w:r w:rsidR="005869A7" w:rsidRPr="002C5366">
        <w:rPr>
          <w:color w:val="000000"/>
          <w:sz w:val="24"/>
        </w:rPr>
        <w:t xml:space="preserve">dy performed to establish NVDRS. </w:t>
      </w:r>
      <w:r w:rsidR="00F27413" w:rsidRPr="002C5366">
        <w:rPr>
          <w:color w:val="000000"/>
          <w:sz w:val="24"/>
        </w:rPr>
        <w:t xml:space="preserve">Multiple phone calls were conducted with </w:t>
      </w:r>
      <w:r w:rsidR="00D64AAF" w:rsidRPr="002C5366">
        <w:rPr>
          <w:color w:val="000000"/>
          <w:sz w:val="24"/>
        </w:rPr>
        <w:t xml:space="preserve">two </w:t>
      </w:r>
      <w:r w:rsidR="00F27413" w:rsidRPr="002C5366">
        <w:rPr>
          <w:color w:val="000000"/>
          <w:sz w:val="24"/>
        </w:rPr>
        <w:t xml:space="preserve">NVDRS states that had collected </w:t>
      </w:r>
      <w:r w:rsidR="00060430" w:rsidRPr="002C5366">
        <w:rPr>
          <w:color w:val="000000"/>
          <w:sz w:val="24"/>
        </w:rPr>
        <w:t>ME/C</w:t>
      </w:r>
      <w:r w:rsidR="00F27413" w:rsidRPr="002C5366">
        <w:rPr>
          <w:color w:val="000000"/>
          <w:sz w:val="24"/>
        </w:rPr>
        <w:t xml:space="preserve"> data on </w:t>
      </w:r>
      <w:r w:rsidR="00D64AAF" w:rsidRPr="002C5366">
        <w:rPr>
          <w:color w:val="000000"/>
          <w:sz w:val="24"/>
        </w:rPr>
        <w:t xml:space="preserve">unintentional drug overdoses or were planning to in the near future. In addition, feedback on </w:t>
      </w:r>
      <w:r w:rsidR="00A717F7" w:rsidRPr="002C5366">
        <w:rPr>
          <w:color w:val="000000"/>
          <w:sz w:val="24"/>
        </w:rPr>
        <w:t>new risk factors to include in the data collection were</w:t>
      </w:r>
      <w:r w:rsidR="00D64AAF" w:rsidRPr="002C5366">
        <w:rPr>
          <w:color w:val="000000"/>
          <w:sz w:val="24"/>
        </w:rPr>
        <w:t xml:space="preserve"> solicited from all NVDRS states.</w:t>
      </w:r>
      <w:r w:rsidR="00E33A4F" w:rsidRPr="002C5366">
        <w:rPr>
          <w:color w:val="000000"/>
          <w:sz w:val="24"/>
        </w:rPr>
        <w:t xml:space="preserve"> Finally, intensive consultation with states </w:t>
      </w:r>
      <w:r w:rsidR="007C197E" w:rsidRPr="002C5366">
        <w:rPr>
          <w:color w:val="000000"/>
          <w:sz w:val="24"/>
        </w:rPr>
        <w:t>during</w:t>
      </w:r>
      <w:r w:rsidR="00E33A4F" w:rsidRPr="002C5366">
        <w:rPr>
          <w:color w:val="000000"/>
          <w:sz w:val="24"/>
        </w:rPr>
        <w:t xml:space="preserve"> </w:t>
      </w:r>
      <w:r w:rsidR="00056790" w:rsidRPr="002C5366">
        <w:rPr>
          <w:color w:val="000000"/>
          <w:sz w:val="24"/>
        </w:rPr>
        <w:t xml:space="preserve">Epi-Aid responses to drug overdose outbreaks </w:t>
      </w:r>
      <w:r w:rsidR="00E33A4F" w:rsidRPr="002C5366">
        <w:rPr>
          <w:color w:val="000000"/>
          <w:sz w:val="24"/>
        </w:rPr>
        <w:t>highlighted important questions and strengths and limitations of data sourc</w:t>
      </w:r>
      <w:r w:rsidR="002F6674" w:rsidRPr="002C5366">
        <w:rPr>
          <w:color w:val="000000"/>
          <w:sz w:val="24"/>
        </w:rPr>
        <w:t>es</w:t>
      </w:r>
      <w:r w:rsidR="004325F7" w:rsidRPr="002C5366">
        <w:rPr>
          <w:rStyle w:val="EndnoteReference"/>
          <w:color w:val="000000"/>
          <w:sz w:val="24"/>
        </w:rPr>
        <w:endnoteReference w:id="34"/>
      </w:r>
      <w:r w:rsidR="00900375" w:rsidRPr="002C5366">
        <w:rPr>
          <w:color w:val="000000"/>
          <w:sz w:val="24"/>
          <w:vertAlign w:val="superscript"/>
        </w:rPr>
        <w:t>,</w:t>
      </w:r>
      <w:r w:rsidR="00CA6E11" w:rsidRPr="002C5366">
        <w:rPr>
          <w:rStyle w:val="EndnoteReference"/>
          <w:color w:val="000000"/>
          <w:sz w:val="24"/>
        </w:rPr>
        <w:endnoteReference w:id="35"/>
      </w:r>
      <w:r w:rsidR="00EF0AE3" w:rsidRPr="002C5366">
        <w:rPr>
          <w:color w:val="000000"/>
          <w:sz w:val="24"/>
        </w:rPr>
        <w:t>.</w:t>
      </w:r>
    </w:p>
    <w:p w14:paraId="0C796E65" w14:textId="77777777" w:rsidR="00EF0AE3" w:rsidRPr="002C5366" w:rsidRDefault="00EF0AE3" w:rsidP="00BD1BDD">
      <w:pPr>
        <w:tabs>
          <w:tab w:val="left" w:pos="0"/>
        </w:tabs>
        <w:ind w:left="720"/>
        <w:rPr>
          <w:color w:val="000000"/>
          <w:sz w:val="24"/>
        </w:rPr>
      </w:pPr>
    </w:p>
    <w:p w14:paraId="4566ED17" w14:textId="70FE6114" w:rsidR="00BD1BDD" w:rsidRPr="002C5366" w:rsidRDefault="00EF4DB5" w:rsidP="00BD1BDD">
      <w:pPr>
        <w:tabs>
          <w:tab w:val="left" w:pos="0"/>
        </w:tabs>
        <w:ind w:left="720"/>
        <w:rPr>
          <w:color w:val="000000"/>
          <w:sz w:val="24"/>
        </w:rPr>
      </w:pPr>
      <w:r w:rsidRPr="002C5366">
        <w:rPr>
          <w:color w:val="000000"/>
          <w:sz w:val="24"/>
        </w:rPr>
        <w:t xml:space="preserve">The drug overdose questions related to use of prescription opioids </w:t>
      </w:r>
      <w:r w:rsidR="007C197E" w:rsidRPr="002C5366">
        <w:rPr>
          <w:color w:val="000000"/>
          <w:sz w:val="24"/>
        </w:rPr>
        <w:t>are informed</w:t>
      </w:r>
      <w:r w:rsidRPr="002C5366">
        <w:rPr>
          <w:color w:val="000000"/>
          <w:sz w:val="24"/>
        </w:rPr>
        <w:t xml:space="preserve"> by</w:t>
      </w:r>
      <w:r w:rsidR="007C197E" w:rsidRPr="002C5366">
        <w:rPr>
          <w:color w:val="000000"/>
          <w:sz w:val="24"/>
        </w:rPr>
        <w:t xml:space="preserve"> two consultations</w:t>
      </w:r>
      <w:r w:rsidR="00EF0AE3" w:rsidRPr="002C5366">
        <w:rPr>
          <w:color w:val="000000"/>
          <w:sz w:val="24"/>
        </w:rPr>
        <w:t xml:space="preserve">. First, CDC engaged in </w:t>
      </w:r>
      <w:r w:rsidRPr="002C5366">
        <w:rPr>
          <w:color w:val="000000"/>
          <w:sz w:val="24"/>
        </w:rPr>
        <w:t xml:space="preserve">intensive </w:t>
      </w:r>
      <w:r w:rsidR="007C197E" w:rsidRPr="002C5366">
        <w:rPr>
          <w:color w:val="000000"/>
          <w:sz w:val="24"/>
        </w:rPr>
        <w:t>consultation</w:t>
      </w:r>
      <w:r w:rsidRPr="002C5366">
        <w:rPr>
          <w:color w:val="000000"/>
          <w:sz w:val="24"/>
        </w:rPr>
        <w:t xml:space="preserve"> with experts and the public </w:t>
      </w:r>
      <w:r w:rsidR="00EF0AE3" w:rsidRPr="002C5366">
        <w:rPr>
          <w:color w:val="000000"/>
          <w:sz w:val="24"/>
        </w:rPr>
        <w:t>as part of an effort to write</w:t>
      </w:r>
      <w:r w:rsidRPr="002C5366">
        <w:rPr>
          <w:color w:val="000000"/>
          <w:sz w:val="24"/>
        </w:rPr>
        <w:t xml:space="preserve"> guidelines </w:t>
      </w:r>
      <w:r w:rsidR="00EF0AE3" w:rsidRPr="002C5366">
        <w:rPr>
          <w:color w:val="000000"/>
          <w:sz w:val="24"/>
        </w:rPr>
        <w:t xml:space="preserve">for </w:t>
      </w:r>
      <w:r w:rsidRPr="002C5366">
        <w:rPr>
          <w:sz w:val="24"/>
          <w:lang w:val="en"/>
        </w:rPr>
        <w:t>prescribing opioids for chronic pain.</w:t>
      </w:r>
      <w:r w:rsidR="00BD1BDD" w:rsidRPr="002C5366">
        <w:rPr>
          <w:sz w:val="24"/>
          <w:lang w:val="en"/>
        </w:rPr>
        <w:t xml:space="preserve"> An in-depth description of the process and draft guidelines are available at: </w:t>
      </w:r>
      <w:hyperlink r:id="rId13" w:history="1">
        <w:r w:rsidR="00BD1BDD" w:rsidRPr="002C5366">
          <w:rPr>
            <w:rStyle w:val="Hyperlink"/>
            <w:sz w:val="24"/>
            <w:lang w:val="en"/>
          </w:rPr>
          <w:t>http://www.cdc.gov/drugoverdose/prescribing/guideline.html</w:t>
        </w:r>
      </w:hyperlink>
      <w:r w:rsidR="00BD1BDD" w:rsidRPr="002C5366">
        <w:rPr>
          <w:sz w:val="24"/>
          <w:lang w:val="en"/>
        </w:rPr>
        <w:t>.</w:t>
      </w:r>
      <w:r w:rsidR="00EF0AE3" w:rsidRPr="002C5366">
        <w:rPr>
          <w:sz w:val="24"/>
          <w:lang w:val="en"/>
        </w:rPr>
        <w:t xml:space="preserve"> Second</w:t>
      </w:r>
      <w:r w:rsidR="00BD1BDD" w:rsidRPr="002C5366">
        <w:rPr>
          <w:sz w:val="24"/>
          <w:lang w:val="en"/>
        </w:rPr>
        <w:t>, CDC has consulted extensively with the Brandeis Center for Excellence</w:t>
      </w:r>
      <w:r w:rsidR="00EF0AE3" w:rsidRPr="002C5366">
        <w:rPr>
          <w:sz w:val="24"/>
          <w:lang w:val="en"/>
        </w:rPr>
        <w:t>, a leader in analyzing prescription data,</w:t>
      </w:r>
      <w:r w:rsidR="00BD1BDD" w:rsidRPr="002C5366">
        <w:rPr>
          <w:sz w:val="24"/>
          <w:lang w:val="en"/>
        </w:rPr>
        <w:t xml:space="preserve"> on appropriate metrics to detect inappropriate or higher risk opioid prescribing practices</w:t>
      </w:r>
      <w:r w:rsidR="00BD1BDD" w:rsidRPr="002C5366">
        <w:rPr>
          <w:rStyle w:val="EndnoteReference"/>
          <w:sz w:val="24"/>
          <w:lang w:val="en"/>
        </w:rPr>
        <w:endnoteReference w:id="36"/>
      </w:r>
      <w:r w:rsidR="00BD1BDD" w:rsidRPr="002C5366">
        <w:rPr>
          <w:sz w:val="24"/>
          <w:lang w:val="en"/>
        </w:rPr>
        <w:t>.</w:t>
      </w:r>
    </w:p>
    <w:p w14:paraId="48CD0D24" w14:textId="77777777" w:rsidR="00EF4DB5" w:rsidRPr="002C5366" w:rsidRDefault="00EF4DB5" w:rsidP="00EF0AE3">
      <w:pPr>
        <w:tabs>
          <w:tab w:val="left" w:pos="0"/>
        </w:tabs>
        <w:rPr>
          <w:color w:val="000000"/>
          <w:sz w:val="24"/>
        </w:rPr>
      </w:pPr>
    </w:p>
    <w:p w14:paraId="45202BE6" w14:textId="29CA7D4B" w:rsidR="00056790" w:rsidRPr="002C5366" w:rsidRDefault="00056790" w:rsidP="00F5556F">
      <w:pPr>
        <w:tabs>
          <w:tab w:val="left" w:pos="0"/>
        </w:tabs>
        <w:ind w:left="720"/>
        <w:rPr>
          <w:color w:val="000000"/>
          <w:sz w:val="24"/>
        </w:rPr>
      </w:pPr>
      <w:r w:rsidRPr="002C5366">
        <w:rPr>
          <w:color w:val="000000"/>
          <w:sz w:val="24"/>
        </w:rPr>
        <w:t xml:space="preserve">The current project </w:t>
      </w:r>
      <w:r w:rsidR="00E33A4F" w:rsidRPr="002C5366">
        <w:rPr>
          <w:color w:val="000000"/>
          <w:sz w:val="24"/>
        </w:rPr>
        <w:t xml:space="preserve">also </w:t>
      </w:r>
      <w:r w:rsidRPr="002C5366">
        <w:rPr>
          <w:color w:val="000000"/>
          <w:sz w:val="24"/>
        </w:rPr>
        <w:t xml:space="preserve">builds on the work performed </w:t>
      </w:r>
      <w:r w:rsidR="00E33A4F" w:rsidRPr="002C5366">
        <w:rPr>
          <w:color w:val="000000"/>
          <w:sz w:val="24"/>
        </w:rPr>
        <w:t>and external consultation performed by NVDRS when the NVDRS web-system was designed.</w:t>
      </w:r>
      <w:r w:rsidRPr="002C5366">
        <w:rPr>
          <w:color w:val="000000"/>
          <w:sz w:val="24"/>
        </w:rPr>
        <w:t xml:space="preserve"> </w:t>
      </w:r>
    </w:p>
    <w:p w14:paraId="0B749B8E" w14:textId="77777777" w:rsidR="00BB6BFE" w:rsidRPr="002C5366" w:rsidRDefault="00BB6BFE">
      <w:pPr>
        <w:rPr>
          <w:color w:val="000000"/>
          <w:sz w:val="24"/>
          <w:lang w:val="pl-PL"/>
        </w:rPr>
      </w:pPr>
    </w:p>
    <w:p w14:paraId="13804C16" w14:textId="77777777" w:rsidR="001C26B3" w:rsidRPr="002C5366" w:rsidRDefault="001C26B3">
      <w:pPr>
        <w:tabs>
          <w:tab w:val="left" w:pos="-1440"/>
        </w:tabs>
        <w:ind w:left="1440" w:hanging="1440"/>
        <w:rPr>
          <w:color w:val="000000"/>
          <w:sz w:val="24"/>
        </w:rPr>
      </w:pPr>
      <w:r w:rsidRPr="002C5366">
        <w:rPr>
          <w:b/>
          <w:bCs/>
          <w:color w:val="000000"/>
          <w:sz w:val="24"/>
        </w:rPr>
        <w:t>9.  Explanation of Any Payment or Gift to Respondents</w:t>
      </w:r>
    </w:p>
    <w:p w14:paraId="3BF3B5FE" w14:textId="77777777" w:rsidR="001C26B3" w:rsidRPr="002C5366" w:rsidRDefault="001C26B3">
      <w:pPr>
        <w:rPr>
          <w:color w:val="000000"/>
          <w:sz w:val="24"/>
        </w:rPr>
      </w:pPr>
    </w:p>
    <w:p w14:paraId="0F99AE7D" w14:textId="77777777" w:rsidR="0070166D" w:rsidRPr="002C5366" w:rsidRDefault="0082743A">
      <w:pPr>
        <w:rPr>
          <w:sz w:val="24"/>
        </w:rPr>
      </w:pPr>
      <w:r w:rsidRPr="002C5366">
        <w:rPr>
          <w:sz w:val="24"/>
        </w:rPr>
        <w:t>No incentives, payments or gifts will be provided to survey participants</w:t>
      </w:r>
      <w:r w:rsidR="00B26C82" w:rsidRPr="002C5366">
        <w:rPr>
          <w:sz w:val="24"/>
        </w:rPr>
        <w:t xml:space="preserve"> </w:t>
      </w:r>
    </w:p>
    <w:p w14:paraId="26D3ECBA" w14:textId="77777777" w:rsidR="00BB6BFE" w:rsidRPr="002C5366" w:rsidRDefault="00BB6BFE">
      <w:pPr>
        <w:rPr>
          <w:color w:val="000000"/>
          <w:sz w:val="24"/>
        </w:rPr>
      </w:pPr>
    </w:p>
    <w:p w14:paraId="2B2D544B" w14:textId="2702E916" w:rsidR="001C26B3" w:rsidRPr="002C5366" w:rsidRDefault="001C26B3" w:rsidP="00493773">
      <w:pPr>
        <w:tabs>
          <w:tab w:val="left" w:pos="-1440"/>
        </w:tabs>
        <w:rPr>
          <w:b/>
          <w:bCs/>
          <w:color w:val="000000"/>
          <w:sz w:val="24"/>
        </w:rPr>
      </w:pPr>
      <w:r w:rsidRPr="002C5366">
        <w:rPr>
          <w:b/>
          <w:bCs/>
          <w:color w:val="000000"/>
          <w:sz w:val="24"/>
        </w:rPr>
        <w:t xml:space="preserve">10.  </w:t>
      </w:r>
      <w:r w:rsidR="00493773" w:rsidRPr="002C5366">
        <w:rPr>
          <w:b/>
          <w:bCs/>
          <w:color w:val="000000"/>
          <w:sz w:val="24"/>
        </w:rPr>
        <w:t xml:space="preserve">Protection of the Privacy and Confidentiality of Information Provided  by Respondents </w:t>
      </w:r>
    </w:p>
    <w:p w14:paraId="050787FB" w14:textId="77777777" w:rsidR="00917768" w:rsidRPr="002C5366" w:rsidRDefault="00917768" w:rsidP="00860CFD">
      <w:pPr>
        <w:rPr>
          <w:sz w:val="24"/>
        </w:rPr>
      </w:pPr>
      <w:bookmarkStart w:id="2" w:name="OLE_LINK2"/>
      <w:bookmarkStart w:id="3" w:name="OLE_LINK3"/>
    </w:p>
    <w:p w14:paraId="2CC52660" w14:textId="151684B8" w:rsidR="004D4CCE" w:rsidRPr="002C5366" w:rsidRDefault="004D4CCE" w:rsidP="004D4CCE">
      <w:pPr>
        <w:pStyle w:val="BodyTextIndent2"/>
        <w:spacing w:line="240" w:lineRule="auto"/>
        <w:ind w:left="0"/>
        <w:rPr>
          <w:sz w:val="24"/>
        </w:rPr>
      </w:pPr>
      <w:r w:rsidRPr="002C5366">
        <w:rPr>
          <w:sz w:val="24"/>
        </w:rPr>
        <w:t>This submission has been reviewed by the NCIPC’s Information Systems Security Officer, who has determined that the Privacy Act does not apply</w:t>
      </w:r>
      <w:r w:rsidR="00ED47F5" w:rsidRPr="002C5366">
        <w:rPr>
          <w:sz w:val="24"/>
        </w:rPr>
        <w:t xml:space="preserve"> for SUDORS</w:t>
      </w:r>
      <w:r w:rsidR="00BE6DC2" w:rsidRPr="002C5366">
        <w:rPr>
          <w:sz w:val="24"/>
        </w:rPr>
        <w:t xml:space="preserve">. </w:t>
      </w:r>
      <w:r w:rsidRPr="002C5366">
        <w:rPr>
          <w:sz w:val="24"/>
        </w:rPr>
        <w:t>SUD</w:t>
      </w:r>
      <w:r w:rsidR="006C2AAA" w:rsidRPr="002C5366">
        <w:rPr>
          <w:sz w:val="24"/>
        </w:rPr>
        <w:t>OR</w:t>
      </w:r>
      <w:r w:rsidRPr="002C5366">
        <w:rPr>
          <w:sz w:val="24"/>
        </w:rPr>
        <w:t>S</w:t>
      </w:r>
      <w:r w:rsidR="00ED47F5" w:rsidRPr="002C5366">
        <w:rPr>
          <w:sz w:val="24"/>
        </w:rPr>
        <w:t xml:space="preserve"> is housed within the NVDRS web-based system. The NVDRS system has a current</w:t>
      </w:r>
      <w:r w:rsidRPr="002C5366">
        <w:rPr>
          <w:sz w:val="24"/>
        </w:rPr>
        <w:t xml:space="preserve"> Authorization to Operate. The Privacy Impact Assessment (PIA) is attached (Attachment G).</w:t>
      </w:r>
    </w:p>
    <w:p w14:paraId="0CF86DA5" w14:textId="580CB299" w:rsidR="001C26B3" w:rsidRPr="002C5366" w:rsidRDefault="00E3328F" w:rsidP="001933EB">
      <w:pPr>
        <w:rPr>
          <w:color w:val="000000"/>
          <w:sz w:val="24"/>
        </w:rPr>
      </w:pPr>
      <w:r w:rsidRPr="002C5366">
        <w:rPr>
          <w:sz w:val="24"/>
          <w:lang w:val="en"/>
        </w:rPr>
        <w:t xml:space="preserve">Although sensitive information will be collected by state health departments (the respondents), all personally identifying information </w:t>
      </w:r>
      <w:r w:rsidR="007573FF" w:rsidRPr="002C5366">
        <w:rPr>
          <w:sz w:val="24"/>
          <w:lang w:val="en"/>
        </w:rPr>
        <w:t>is</w:t>
      </w:r>
      <w:r w:rsidRPr="002C5366">
        <w:rPr>
          <w:sz w:val="24"/>
          <w:lang w:val="en"/>
        </w:rPr>
        <w:t xml:space="preserve"> stripped from the files before the case-level data is sent to CDC.  Only selected staff working in the state </w:t>
      </w:r>
      <w:r w:rsidR="00444607" w:rsidRPr="002C5366">
        <w:rPr>
          <w:sz w:val="24"/>
          <w:lang w:val="en"/>
        </w:rPr>
        <w:t>SUDORS</w:t>
      </w:r>
      <w:r w:rsidR="000352EC" w:rsidRPr="002C5366">
        <w:rPr>
          <w:sz w:val="24"/>
          <w:lang w:val="en"/>
        </w:rPr>
        <w:t xml:space="preserve"> </w:t>
      </w:r>
      <w:r w:rsidRPr="002C5366">
        <w:rPr>
          <w:sz w:val="24"/>
          <w:lang w:val="en"/>
        </w:rPr>
        <w:t xml:space="preserve">program will have access to state information.  </w:t>
      </w:r>
      <w:r w:rsidR="00860CFD" w:rsidRPr="002C5366">
        <w:rPr>
          <w:sz w:val="24"/>
          <w:lang w:val="en"/>
        </w:rPr>
        <w:t xml:space="preserve">States will treat their data in a secure manner and protect it with all applicable state laws for the protection of public health surveillance information. </w:t>
      </w:r>
      <w:bookmarkEnd w:id="2"/>
      <w:bookmarkEnd w:id="3"/>
    </w:p>
    <w:p w14:paraId="31931508" w14:textId="77777777" w:rsidR="001D6E06" w:rsidRPr="002C5366" w:rsidRDefault="001D6E06" w:rsidP="001D6E06">
      <w:pPr>
        <w:pStyle w:val="Level1"/>
        <w:numPr>
          <w:ilvl w:val="0"/>
          <w:numId w:val="0"/>
        </w:numPr>
        <w:tabs>
          <w:tab w:val="left" w:pos="-1440"/>
        </w:tabs>
        <w:ind w:left="720" w:hanging="720"/>
        <w:outlineLvl w:val="9"/>
        <w:rPr>
          <w:sz w:val="24"/>
        </w:rPr>
      </w:pPr>
    </w:p>
    <w:p w14:paraId="729A8F52" w14:textId="6391B4FB" w:rsidR="00B6661B" w:rsidRPr="002C5366" w:rsidRDefault="00B6661B" w:rsidP="00B6661B">
      <w:pPr>
        <w:pStyle w:val="ListParagraph"/>
        <w:ind w:left="0"/>
        <w:rPr>
          <w:rFonts w:ascii="Times New Roman" w:hAnsi="Times New Roman"/>
        </w:rPr>
      </w:pPr>
      <w:r w:rsidRPr="002C5366">
        <w:rPr>
          <w:rFonts w:ascii="Times New Roman" w:hAnsi="Times New Roman"/>
        </w:rPr>
        <w:t xml:space="preserve">This surveillance system is coordinated and funded at the federal level, but is dependent on separate data collection efforts in each state managed by the state health departments or their bona fide agent. Data from </w:t>
      </w:r>
      <w:r w:rsidR="00D719B1" w:rsidRPr="002C5366">
        <w:rPr>
          <w:rFonts w:ascii="Times New Roman" w:hAnsi="Times New Roman"/>
        </w:rPr>
        <w:t xml:space="preserve">the participating </w:t>
      </w:r>
      <w:r w:rsidR="00040A00" w:rsidRPr="002C5366">
        <w:rPr>
          <w:rFonts w:ascii="Times New Roman" w:hAnsi="Times New Roman"/>
        </w:rPr>
        <w:t>50</w:t>
      </w:r>
      <w:r w:rsidR="005D0B71" w:rsidRPr="002C5366">
        <w:rPr>
          <w:rFonts w:ascii="Times New Roman" w:hAnsi="Times New Roman"/>
        </w:rPr>
        <w:t xml:space="preserve"> </w:t>
      </w:r>
      <w:r w:rsidRPr="002C5366">
        <w:rPr>
          <w:rFonts w:ascii="Times New Roman" w:hAnsi="Times New Roman"/>
        </w:rPr>
        <w:t xml:space="preserve">states will be entered in the NVDRS web-based platform maintained by CDC. </w:t>
      </w:r>
      <w:r w:rsidRPr="002C5366">
        <w:rPr>
          <w:rFonts w:ascii="Times New Roman" w:hAnsi="Times New Roman"/>
          <w:color w:val="000000"/>
        </w:rPr>
        <w:t xml:space="preserve">Data will be continuously transmitted via the web to a secure CDC-based server. </w:t>
      </w:r>
      <w:r w:rsidRPr="002C5366">
        <w:rPr>
          <w:rFonts w:ascii="Times New Roman" w:hAnsi="Times New Roman"/>
        </w:rPr>
        <w:t xml:space="preserve">The data collection will integrate the same validation and security measures implemented by NVDRS. Also, CDC will provide state project personnel coding training to help increase data quality.  </w:t>
      </w:r>
    </w:p>
    <w:p w14:paraId="2E793E91" w14:textId="77777777" w:rsidR="00B6661B" w:rsidRPr="002C5366" w:rsidRDefault="00B6661B" w:rsidP="00B6661B">
      <w:pPr>
        <w:pStyle w:val="ListParagraph"/>
        <w:ind w:left="0"/>
        <w:rPr>
          <w:rFonts w:ascii="Times New Roman" w:hAnsi="Times New Roman"/>
        </w:rPr>
      </w:pPr>
    </w:p>
    <w:p w14:paraId="7C620B3A" w14:textId="7E77DF37" w:rsidR="00FC7BEA" w:rsidRPr="002C5366" w:rsidRDefault="00AF746F" w:rsidP="00933380">
      <w:pPr>
        <w:rPr>
          <w:sz w:val="24"/>
        </w:rPr>
      </w:pPr>
      <w:r w:rsidRPr="002C5366">
        <w:rPr>
          <w:sz w:val="24"/>
        </w:rPr>
        <w:t>CDC and state health departments will conduct analyses of the data and share aggregate results with the public</w:t>
      </w:r>
      <w:r w:rsidR="00E33A4F" w:rsidRPr="002C5366">
        <w:rPr>
          <w:sz w:val="24"/>
        </w:rPr>
        <w:t xml:space="preserve"> through a public use data set</w:t>
      </w:r>
      <w:r w:rsidRPr="002C5366">
        <w:rPr>
          <w:sz w:val="24"/>
        </w:rPr>
        <w:t xml:space="preserve">. </w:t>
      </w:r>
      <w:r w:rsidR="009D0D2E" w:rsidRPr="002C5366">
        <w:rPr>
          <w:sz w:val="24"/>
        </w:rPr>
        <w:t xml:space="preserve">States will only enter de-identified information into the CDC run web-based platform. Thus, the proposed data collection will have little or no effect on the respondent’s privacy. </w:t>
      </w:r>
      <w:r w:rsidR="00B14736" w:rsidRPr="002C5366">
        <w:rPr>
          <w:sz w:val="24"/>
        </w:rPr>
        <w:t xml:space="preserve">Data from all states will be entered in the NVDRS web-based platform maintained by CDC. </w:t>
      </w:r>
      <w:r w:rsidR="00933380" w:rsidRPr="002C5366">
        <w:rPr>
          <w:sz w:val="24"/>
        </w:rPr>
        <w:t>This is secondary data and is dependent on separate data collection efforts in each state managed by the state health departments or their bona fide agent.</w:t>
      </w:r>
      <w:r w:rsidRPr="002C5366">
        <w:rPr>
          <w:sz w:val="24"/>
        </w:rPr>
        <w:t xml:space="preserve"> </w:t>
      </w:r>
    </w:p>
    <w:p w14:paraId="5855A602" w14:textId="77777777" w:rsidR="00933380" w:rsidRPr="002C5366" w:rsidRDefault="00933380" w:rsidP="00933380">
      <w:pPr>
        <w:rPr>
          <w:sz w:val="24"/>
        </w:rPr>
      </w:pPr>
    </w:p>
    <w:p w14:paraId="68CE70F8" w14:textId="386A6B29" w:rsidR="001933EB" w:rsidRPr="002C5366" w:rsidRDefault="001933EB" w:rsidP="001933EB">
      <w:pPr>
        <w:rPr>
          <w:color w:val="000000"/>
          <w:sz w:val="24"/>
        </w:rPr>
      </w:pPr>
      <w:r w:rsidRPr="002C5366">
        <w:rPr>
          <w:sz w:val="24"/>
          <w:lang w:val="en"/>
        </w:rPr>
        <w:t>To ensure</w:t>
      </w:r>
      <w:r w:rsidR="001C39BD" w:rsidRPr="002C5366">
        <w:rPr>
          <w:sz w:val="24"/>
          <w:lang w:val="en"/>
        </w:rPr>
        <w:t xml:space="preserve"> </w:t>
      </w:r>
      <w:r w:rsidR="00EB34B6" w:rsidRPr="002C5366">
        <w:rPr>
          <w:color w:val="000000"/>
          <w:sz w:val="24"/>
        </w:rPr>
        <w:t>security of the data</w:t>
      </w:r>
      <w:r w:rsidRPr="002C5366">
        <w:rPr>
          <w:color w:val="000000"/>
          <w:sz w:val="24"/>
        </w:rPr>
        <w:t>, a number of procedures will be implemented</w:t>
      </w:r>
      <w:r w:rsidR="00FA0056" w:rsidRPr="002C5366">
        <w:rPr>
          <w:color w:val="000000"/>
          <w:sz w:val="24"/>
        </w:rPr>
        <w:t xml:space="preserve">: </w:t>
      </w:r>
    </w:p>
    <w:p w14:paraId="52D0B68E" w14:textId="77777777" w:rsidR="00FA0056" w:rsidRPr="002C5366" w:rsidRDefault="00FA0056" w:rsidP="00FA0056">
      <w:pPr>
        <w:numPr>
          <w:ilvl w:val="0"/>
          <w:numId w:val="26"/>
        </w:numPr>
        <w:rPr>
          <w:sz w:val="24"/>
        </w:rPr>
      </w:pPr>
      <w:r w:rsidRPr="002C5366">
        <w:rPr>
          <w:sz w:val="24"/>
        </w:rPr>
        <w:t>Data is maintained securely throughout the data collection and data processing phases.</w:t>
      </w:r>
    </w:p>
    <w:p w14:paraId="2BF844F9" w14:textId="1CE68671" w:rsidR="00FA0056" w:rsidRPr="002C5366" w:rsidRDefault="00FA0056" w:rsidP="00FA0056">
      <w:pPr>
        <w:numPr>
          <w:ilvl w:val="0"/>
          <w:numId w:val="26"/>
        </w:numPr>
        <w:rPr>
          <w:sz w:val="24"/>
        </w:rPr>
      </w:pPr>
      <w:r w:rsidRPr="002C5366">
        <w:rPr>
          <w:sz w:val="24"/>
        </w:rPr>
        <w:t>Data is stored on a secure CDC-based server accessed via a secure web platform.</w:t>
      </w:r>
      <w:r w:rsidR="003D63A3" w:rsidRPr="002C5366">
        <w:rPr>
          <w:sz w:val="24"/>
        </w:rPr>
        <w:t xml:space="preserve"> Authorized state users will be able to download de-identified datasets.</w:t>
      </w:r>
      <w:r w:rsidRPr="002C5366">
        <w:rPr>
          <w:sz w:val="24"/>
        </w:rPr>
        <w:t xml:space="preserve">  </w:t>
      </w:r>
    </w:p>
    <w:p w14:paraId="6E7AC0B2" w14:textId="70BEDFF6" w:rsidR="00FA0056" w:rsidRPr="002C5366" w:rsidRDefault="00FA0056" w:rsidP="00FA0056">
      <w:pPr>
        <w:numPr>
          <w:ilvl w:val="0"/>
          <w:numId w:val="26"/>
        </w:numPr>
        <w:rPr>
          <w:sz w:val="24"/>
        </w:rPr>
      </w:pPr>
      <w:r w:rsidRPr="002C5366">
        <w:rPr>
          <w:sz w:val="24"/>
        </w:rPr>
        <w:t>Supplemental data (i.e., any information not included in the web-based system) by state health departments such as paper abstraction worksheets or additional information collected on drug overdose deaths</w:t>
      </w:r>
      <w:r w:rsidR="003D63A3" w:rsidRPr="002C5366">
        <w:rPr>
          <w:sz w:val="24"/>
        </w:rPr>
        <w:t xml:space="preserve"> </w:t>
      </w:r>
      <w:r w:rsidR="007C197E" w:rsidRPr="002C5366">
        <w:rPr>
          <w:sz w:val="24"/>
        </w:rPr>
        <w:t>will be</w:t>
      </w:r>
      <w:r w:rsidRPr="002C5366">
        <w:rPr>
          <w:sz w:val="24"/>
        </w:rPr>
        <w:t xml:space="preserve"> stored at the state level in secured computers that reside within state health department firewalls. Such information will never be sent from the state to the CDC or to a CDC contractor.</w:t>
      </w:r>
    </w:p>
    <w:p w14:paraId="763F6E5D" w14:textId="77777777" w:rsidR="00FA0056" w:rsidRPr="002C5366" w:rsidRDefault="00FA0056" w:rsidP="00FA0056">
      <w:pPr>
        <w:numPr>
          <w:ilvl w:val="0"/>
          <w:numId w:val="26"/>
        </w:numPr>
        <w:rPr>
          <w:sz w:val="24"/>
        </w:rPr>
      </w:pPr>
      <w:r w:rsidRPr="002C5366">
        <w:rPr>
          <w:sz w:val="24"/>
        </w:rPr>
        <w:t>The CDC web system does not store personal identifying information such as names, address, SSN, or date of birth.</w:t>
      </w:r>
    </w:p>
    <w:p w14:paraId="7A79CFCE" w14:textId="274E1798" w:rsidR="00FA0056" w:rsidRPr="002C5366" w:rsidRDefault="00444607" w:rsidP="00FA0056">
      <w:pPr>
        <w:numPr>
          <w:ilvl w:val="0"/>
          <w:numId w:val="26"/>
        </w:numPr>
        <w:rPr>
          <w:sz w:val="24"/>
        </w:rPr>
      </w:pPr>
      <w:r w:rsidRPr="002C5366">
        <w:rPr>
          <w:sz w:val="24"/>
        </w:rPr>
        <w:t>SUDORS</w:t>
      </w:r>
      <w:r w:rsidR="00FA0056" w:rsidRPr="002C5366">
        <w:rPr>
          <w:sz w:val="24"/>
        </w:rPr>
        <w:t xml:space="preserve"> follows NCHS guidelines on suppression of small sample sizes in data tabulations </w:t>
      </w:r>
      <w:r w:rsidR="003D63A3" w:rsidRPr="002C5366">
        <w:rPr>
          <w:sz w:val="24"/>
        </w:rPr>
        <w:t xml:space="preserve">(e.g., not report any information that involves 10 or fewer people) </w:t>
      </w:r>
      <w:r w:rsidR="00FA0056" w:rsidRPr="002C5366">
        <w:rPr>
          <w:sz w:val="24"/>
        </w:rPr>
        <w:t>to prevent the inadvertent identification of an individual through the combination of various demographic characteristics</w:t>
      </w:r>
      <w:r w:rsidR="003D63A3" w:rsidRPr="002C5366">
        <w:rPr>
          <w:sz w:val="24"/>
        </w:rPr>
        <w:t>.</w:t>
      </w:r>
      <w:r w:rsidR="00FA0056" w:rsidRPr="002C5366">
        <w:rPr>
          <w:sz w:val="24"/>
        </w:rPr>
        <w:t xml:space="preserve"> </w:t>
      </w:r>
    </w:p>
    <w:p w14:paraId="2E2612F0" w14:textId="77777777" w:rsidR="009D0D2E" w:rsidRPr="002C5366" w:rsidRDefault="009D0D2E" w:rsidP="00C41AF4">
      <w:pPr>
        <w:ind w:left="1440"/>
        <w:rPr>
          <w:sz w:val="24"/>
        </w:rPr>
      </w:pPr>
    </w:p>
    <w:p w14:paraId="7FCFEF48" w14:textId="25E7FD54" w:rsidR="001C26B3" w:rsidRPr="002C5366" w:rsidRDefault="001C26B3" w:rsidP="005A41FD">
      <w:pPr>
        <w:tabs>
          <w:tab w:val="left" w:pos="-1440"/>
        </w:tabs>
        <w:rPr>
          <w:b/>
          <w:bCs/>
          <w:color w:val="000000"/>
          <w:sz w:val="24"/>
        </w:rPr>
      </w:pPr>
      <w:r w:rsidRPr="002C5366">
        <w:rPr>
          <w:b/>
          <w:bCs/>
          <w:color w:val="000000"/>
          <w:sz w:val="24"/>
        </w:rPr>
        <w:t xml:space="preserve">11.  </w:t>
      </w:r>
      <w:r w:rsidR="002F553A" w:rsidRPr="002C5366">
        <w:rPr>
          <w:b/>
          <w:bCs/>
          <w:color w:val="000000"/>
          <w:sz w:val="24"/>
        </w:rPr>
        <w:t>Institutional Review Board (IRB) and Justification for Sensitive Questions</w:t>
      </w:r>
    </w:p>
    <w:p w14:paraId="671B921E" w14:textId="77777777" w:rsidR="001C26B3" w:rsidRPr="002C5366" w:rsidRDefault="001C26B3">
      <w:pPr>
        <w:rPr>
          <w:sz w:val="24"/>
        </w:rPr>
      </w:pPr>
    </w:p>
    <w:p w14:paraId="5C6E6AE4" w14:textId="4D5193CE" w:rsidR="006818A3" w:rsidRPr="002C5366" w:rsidRDefault="006818A3" w:rsidP="006818A3">
      <w:pPr>
        <w:rPr>
          <w:sz w:val="24"/>
        </w:rPr>
      </w:pPr>
      <w:r w:rsidRPr="002C5366">
        <w:rPr>
          <w:sz w:val="24"/>
        </w:rPr>
        <w:t xml:space="preserve">The CDC National Center for Injury Prevention and Control’s OMB and human subject’s liaison has determined that </w:t>
      </w:r>
      <w:r w:rsidR="004D4CCE" w:rsidRPr="002C5366">
        <w:rPr>
          <w:sz w:val="24"/>
        </w:rPr>
        <w:t xml:space="preserve">the </w:t>
      </w:r>
      <w:r w:rsidR="004D4CCE" w:rsidRPr="002C5366">
        <w:rPr>
          <w:sz w:val="24"/>
          <w:lang w:val="en"/>
        </w:rPr>
        <w:t xml:space="preserve">activity is not research and </w:t>
      </w:r>
      <w:r w:rsidRPr="002C5366">
        <w:rPr>
          <w:sz w:val="24"/>
        </w:rPr>
        <w:t>IRB approval is not needed. Human participants will not be used (Attachment C)</w:t>
      </w:r>
    </w:p>
    <w:p w14:paraId="13079462" w14:textId="77777777" w:rsidR="006818A3" w:rsidRPr="002C5366" w:rsidRDefault="006818A3" w:rsidP="00AC3E9C">
      <w:pPr>
        <w:rPr>
          <w:sz w:val="24"/>
        </w:rPr>
      </w:pPr>
    </w:p>
    <w:p w14:paraId="27C17792" w14:textId="36E74013" w:rsidR="0052151F" w:rsidRPr="002C5366" w:rsidRDefault="001C26B3" w:rsidP="00AC3E9C">
      <w:pPr>
        <w:rPr>
          <w:b/>
          <w:bCs/>
          <w:color w:val="000000"/>
          <w:sz w:val="24"/>
        </w:rPr>
      </w:pPr>
      <w:r w:rsidRPr="002C5366">
        <w:rPr>
          <w:sz w:val="24"/>
        </w:rPr>
        <w:t xml:space="preserve">No sensitive questions are asked directly to </w:t>
      </w:r>
      <w:r w:rsidR="00440C50" w:rsidRPr="002C5366">
        <w:rPr>
          <w:sz w:val="24"/>
        </w:rPr>
        <w:t>witnesses of</w:t>
      </w:r>
      <w:r w:rsidRPr="002C5366">
        <w:rPr>
          <w:sz w:val="24"/>
        </w:rPr>
        <w:t xml:space="preserve"> </w:t>
      </w:r>
      <w:r w:rsidR="00241BFC" w:rsidRPr="002C5366">
        <w:rPr>
          <w:sz w:val="24"/>
        </w:rPr>
        <w:t xml:space="preserve">fatal </w:t>
      </w:r>
      <w:r w:rsidR="000352EC" w:rsidRPr="002C5366">
        <w:rPr>
          <w:sz w:val="24"/>
        </w:rPr>
        <w:t>unintentional drug overdose</w:t>
      </w:r>
      <w:r w:rsidRPr="002C5366">
        <w:rPr>
          <w:sz w:val="24"/>
        </w:rPr>
        <w:t xml:space="preserve"> or their next of kin.  Information on sensitive issues, e.g., menta</w:t>
      </w:r>
      <w:r w:rsidR="00291D95" w:rsidRPr="002C5366">
        <w:rPr>
          <w:sz w:val="24"/>
        </w:rPr>
        <w:t xml:space="preserve">l illness and substance </w:t>
      </w:r>
      <w:r w:rsidR="00382D5D" w:rsidRPr="002C5366">
        <w:rPr>
          <w:sz w:val="24"/>
        </w:rPr>
        <w:t>misuse</w:t>
      </w:r>
      <w:r w:rsidR="00291D95" w:rsidRPr="002C5366">
        <w:rPr>
          <w:sz w:val="24"/>
        </w:rPr>
        <w:t>, has already been collected by state and local governments</w:t>
      </w:r>
      <w:r w:rsidR="00440C50" w:rsidRPr="002C5366">
        <w:rPr>
          <w:sz w:val="24"/>
        </w:rPr>
        <w:t xml:space="preserve"> by ME/C through the death scene investigation process</w:t>
      </w:r>
      <w:r w:rsidR="00291D95" w:rsidRPr="002C5366">
        <w:rPr>
          <w:sz w:val="24"/>
        </w:rPr>
        <w:t>.</w:t>
      </w:r>
      <w:r w:rsidR="006449CF" w:rsidRPr="002C5366">
        <w:rPr>
          <w:sz w:val="24"/>
        </w:rPr>
        <w:t xml:space="preserve"> </w:t>
      </w:r>
      <w:r w:rsidR="00444607" w:rsidRPr="002C5366">
        <w:rPr>
          <w:sz w:val="24"/>
        </w:rPr>
        <w:t>SUDORS</w:t>
      </w:r>
      <w:r w:rsidR="00BE2AC0" w:rsidRPr="002C5366">
        <w:rPr>
          <w:sz w:val="24"/>
        </w:rPr>
        <w:t xml:space="preserve"> </w:t>
      </w:r>
      <w:r w:rsidR="00291D95" w:rsidRPr="002C5366">
        <w:rPr>
          <w:sz w:val="24"/>
        </w:rPr>
        <w:t xml:space="preserve">is funding states to abstract and record this information in a standardized format to enhance </w:t>
      </w:r>
      <w:r w:rsidR="006449CF" w:rsidRPr="002C5366">
        <w:rPr>
          <w:sz w:val="24"/>
        </w:rPr>
        <w:t>comparability</w:t>
      </w:r>
      <w:r w:rsidR="00241BFC" w:rsidRPr="002C5366">
        <w:rPr>
          <w:sz w:val="24"/>
        </w:rPr>
        <w:t xml:space="preserve"> and facilitate analysis</w:t>
      </w:r>
      <w:r w:rsidR="00291D95" w:rsidRPr="002C5366">
        <w:rPr>
          <w:sz w:val="24"/>
        </w:rPr>
        <w:t xml:space="preserve">. </w:t>
      </w:r>
    </w:p>
    <w:p w14:paraId="4414DA61" w14:textId="77777777" w:rsidR="0052151F" w:rsidRPr="002C5366" w:rsidRDefault="0052151F" w:rsidP="00AC3E9C">
      <w:pPr>
        <w:rPr>
          <w:b/>
          <w:bCs/>
          <w:color w:val="000000"/>
          <w:sz w:val="24"/>
        </w:rPr>
      </w:pPr>
    </w:p>
    <w:p w14:paraId="6F0A99DF" w14:textId="77777777" w:rsidR="001C26B3" w:rsidRPr="002C5366" w:rsidRDefault="00B14736" w:rsidP="00AC3E9C">
      <w:pPr>
        <w:rPr>
          <w:color w:val="000000"/>
          <w:sz w:val="24"/>
        </w:rPr>
      </w:pPr>
      <w:r w:rsidRPr="002C5366">
        <w:rPr>
          <w:b/>
          <w:bCs/>
          <w:color w:val="000000"/>
          <w:sz w:val="24"/>
        </w:rPr>
        <w:t>1</w:t>
      </w:r>
      <w:r w:rsidR="001C26B3" w:rsidRPr="002C5366">
        <w:rPr>
          <w:b/>
          <w:bCs/>
          <w:color w:val="000000"/>
          <w:sz w:val="24"/>
        </w:rPr>
        <w:t>2.  A.</w:t>
      </w:r>
      <w:r w:rsidR="001C26B3" w:rsidRPr="002C5366">
        <w:rPr>
          <w:b/>
          <w:bCs/>
          <w:color w:val="000000"/>
          <w:sz w:val="24"/>
        </w:rPr>
        <w:tab/>
        <w:t xml:space="preserve"> Estimates of Annualized Burden Hours and Costs</w:t>
      </w:r>
    </w:p>
    <w:p w14:paraId="04BDE9AA" w14:textId="77777777" w:rsidR="001C26B3" w:rsidRPr="002C5366" w:rsidRDefault="001C26B3">
      <w:pPr>
        <w:keepNext/>
        <w:keepLines/>
        <w:rPr>
          <w:color w:val="000000"/>
          <w:sz w:val="24"/>
        </w:rPr>
      </w:pPr>
    </w:p>
    <w:p w14:paraId="78B87CCA" w14:textId="1731E472" w:rsidR="005129DC" w:rsidRPr="002C5366" w:rsidRDefault="00562D90" w:rsidP="005129DC">
      <w:pPr>
        <w:rPr>
          <w:sz w:val="24"/>
        </w:rPr>
      </w:pPr>
      <w:r w:rsidRPr="002C5366">
        <w:rPr>
          <w:sz w:val="24"/>
        </w:rPr>
        <w:t xml:space="preserve">There are no standard paper data collection forms to be used by states because states will be abstracting information from electronic or paper vital statistics or </w:t>
      </w:r>
      <w:r w:rsidR="00060430" w:rsidRPr="002C5366">
        <w:rPr>
          <w:sz w:val="24"/>
        </w:rPr>
        <w:t>ME/C</w:t>
      </w:r>
      <w:r w:rsidRPr="002C5366">
        <w:rPr>
          <w:sz w:val="24"/>
        </w:rPr>
        <w:t xml:space="preserve"> records into the CDC web-based data system. </w:t>
      </w:r>
      <w:r w:rsidR="005129DC" w:rsidRPr="002C5366">
        <w:rPr>
          <w:sz w:val="24"/>
        </w:rPr>
        <w:t xml:space="preserve">Although no data system currently collects the proposed information on unintentional drug overdoses, similar data collection efforts on violent deaths conducted by NVDRS were used to estimate burden. NVDRS has approximately 10 years of experience working with 18 funded states to inform its estimates of annualized burden hours and costs.  </w:t>
      </w:r>
    </w:p>
    <w:p w14:paraId="1E938709" w14:textId="77777777" w:rsidR="005129DC" w:rsidRPr="002C5366" w:rsidRDefault="005129DC">
      <w:pPr>
        <w:keepLines/>
        <w:rPr>
          <w:color w:val="000000"/>
          <w:sz w:val="24"/>
        </w:rPr>
      </w:pPr>
    </w:p>
    <w:p w14:paraId="426ED3CF" w14:textId="06EEB6FD" w:rsidR="005129DC" w:rsidRPr="002C5366" w:rsidRDefault="001C26B3">
      <w:pPr>
        <w:keepLines/>
        <w:rPr>
          <w:sz w:val="24"/>
        </w:rPr>
      </w:pPr>
      <w:r w:rsidRPr="002C5366">
        <w:rPr>
          <w:sz w:val="24"/>
        </w:rPr>
        <w:t>The burden was estimated as follows</w:t>
      </w:r>
      <w:r w:rsidR="005129DC" w:rsidRPr="002C5366">
        <w:rPr>
          <w:sz w:val="24"/>
        </w:rPr>
        <w:t>:</w:t>
      </w:r>
    </w:p>
    <w:p w14:paraId="288113B5" w14:textId="19BE7267" w:rsidR="005129DC" w:rsidRPr="002C5366" w:rsidRDefault="00737BF6" w:rsidP="005A41FD">
      <w:pPr>
        <w:pStyle w:val="ListParagraph"/>
        <w:numPr>
          <w:ilvl w:val="0"/>
          <w:numId w:val="34"/>
        </w:numPr>
        <w:rPr>
          <w:rFonts w:ascii="Times New Roman" w:eastAsia="Times New Roman" w:hAnsi="Times New Roman"/>
        </w:rPr>
      </w:pPr>
      <w:r w:rsidRPr="002C5366">
        <w:rPr>
          <w:rFonts w:ascii="Times New Roman" w:eastAsia="Times New Roman" w:hAnsi="Times New Roman"/>
        </w:rPr>
        <w:t xml:space="preserve">The burden was </w:t>
      </w:r>
      <w:r w:rsidR="00040A00" w:rsidRPr="002C5366">
        <w:rPr>
          <w:rFonts w:ascii="Times New Roman" w:eastAsia="Times New Roman" w:hAnsi="Times New Roman"/>
        </w:rPr>
        <w:t xml:space="preserve">originally </w:t>
      </w:r>
      <w:r w:rsidRPr="002C5366">
        <w:rPr>
          <w:rFonts w:ascii="Times New Roman" w:eastAsia="Times New Roman" w:hAnsi="Times New Roman"/>
        </w:rPr>
        <w:t>calculated for 16 states with the highest drug overdose death rates</w:t>
      </w:r>
      <w:r w:rsidR="005129DC" w:rsidRPr="002C5366">
        <w:rPr>
          <w:rFonts w:ascii="Times New Roman" w:eastAsia="Times New Roman" w:hAnsi="Times New Roman"/>
        </w:rPr>
        <w:t xml:space="preserve"> in 2014</w:t>
      </w:r>
      <w:r w:rsidRPr="002C5366">
        <w:rPr>
          <w:rFonts w:ascii="Times New Roman" w:eastAsia="Times New Roman" w:hAnsi="Times New Roman"/>
        </w:rPr>
        <w:t xml:space="preserve">. These 16 states </w:t>
      </w:r>
      <w:r w:rsidR="009F26D5" w:rsidRPr="002C5366">
        <w:rPr>
          <w:rFonts w:ascii="Times New Roman" w:eastAsia="Times New Roman" w:hAnsi="Times New Roman"/>
        </w:rPr>
        <w:t xml:space="preserve">(West Virginia, New Mexico, New Hampshire, Kentucky, Ohio, Rhode Island, Utah, Pennsylvania, Delaware, Oklahoma, Tennessee, Wyoming, Massachusetts, Nevada, Missouri, and Indiana) </w:t>
      </w:r>
      <w:r w:rsidRPr="002C5366">
        <w:rPr>
          <w:rFonts w:ascii="Times New Roman" w:eastAsia="Times New Roman" w:hAnsi="Times New Roman"/>
        </w:rPr>
        <w:t>reported</w:t>
      </w:r>
      <w:r w:rsidR="005129DC" w:rsidRPr="002C5366">
        <w:rPr>
          <w:rFonts w:ascii="Times New Roman" w:eastAsia="Times New Roman" w:hAnsi="Times New Roman"/>
        </w:rPr>
        <w:t xml:space="preserve"> 14,013</w:t>
      </w:r>
      <w:r w:rsidRPr="002C5366">
        <w:rPr>
          <w:rFonts w:ascii="Times New Roman" w:eastAsia="Times New Roman" w:hAnsi="Times New Roman"/>
        </w:rPr>
        <w:t xml:space="preserve"> unintentional drug overdose deaths in 2014</w:t>
      </w:r>
      <w:r w:rsidR="005129DC" w:rsidRPr="002C5366">
        <w:rPr>
          <w:rFonts w:ascii="Times New Roman" w:eastAsia="Times New Roman" w:hAnsi="Times New Roman"/>
        </w:rPr>
        <w:t>, or an average of 875.8 deaths per state</w:t>
      </w:r>
      <w:r w:rsidRPr="002C5366">
        <w:rPr>
          <w:rFonts w:ascii="Times New Roman" w:eastAsia="Times New Roman" w:hAnsi="Times New Roman"/>
        </w:rPr>
        <w:t xml:space="preserve">. </w:t>
      </w:r>
      <w:r w:rsidR="00040A00" w:rsidRPr="002C5366">
        <w:rPr>
          <w:rFonts w:ascii="Times New Roman" w:eastAsia="Times New Roman" w:hAnsi="Times New Roman"/>
        </w:rPr>
        <w:t>Updates to our burden estimates include projected hours for all 50 states.</w:t>
      </w:r>
      <w:r w:rsidR="00CC6398" w:rsidRPr="002C5366">
        <w:rPr>
          <w:rFonts w:ascii="Times New Roman" w:eastAsia="Times New Roman" w:hAnsi="Times New Roman"/>
        </w:rPr>
        <w:t xml:space="preserve"> In 2015, across all 50 states, 33,</w:t>
      </w:r>
      <w:r w:rsidR="00895A90" w:rsidRPr="002C5366">
        <w:rPr>
          <w:rFonts w:ascii="Times New Roman" w:eastAsia="Times New Roman" w:hAnsi="Times New Roman"/>
        </w:rPr>
        <w:t>0</w:t>
      </w:r>
      <w:r w:rsidR="00F5210A" w:rsidRPr="002C5366">
        <w:rPr>
          <w:rFonts w:ascii="Times New Roman" w:eastAsia="Times New Roman" w:hAnsi="Times New Roman"/>
        </w:rPr>
        <w:t>91</w:t>
      </w:r>
      <w:r w:rsidR="00CC6398" w:rsidRPr="002C5366">
        <w:rPr>
          <w:rFonts w:ascii="Times New Roman" w:eastAsia="Times New Roman" w:hAnsi="Times New Roman"/>
        </w:rPr>
        <w:t xml:space="preserve"> drug overdose deaths involved an opioid</w:t>
      </w:r>
      <w:r w:rsidR="00940093" w:rsidRPr="002C5366">
        <w:rPr>
          <w:rFonts w:ascii="Times New Roman" w:eastAsia="Times New Roman" w:hAnsi="Times New Roman"/>
        </w:rPr>
        <w:t>.</w:t>
      </w:r>
    </w:p>
    <w:p w14:paraId="4C875503" w14:textId="15655B03" w:rsidR="00D16DF4" w:rsidRPr="002C5366" w:rsidRDefault="00040A00" w:rsidP="0093145C">
      <w:pPr>
        <w:pStyle w:val="ListParagraph"/>
        <w:numPr>
          <w:ilvl w:val="0"/>
          <w:numId w:val="34"/>
        </w:numPr>
        <w:rPr>
          <w:rFonts w:ascii="Times New Roman" w:hAnsi="Times New Roman"/>
        </w:rPr>
      </w:pPr>
      <w:r w:rsidRPr="002C5366">
        <w:rPr>
          <w:rFonts w:ascii="Times New Roman" w:eastAsia="Times New Roman" w:hAnsi="Times New Roman"/>
        </w:rPr>
        <w:t xml:space="preserve">To develop the burden estimates for all 50 states we </w:t>
      </w:r>
      <w:r w:rsidR="00F5210A" w:rsidRPr="002C5366">
        <w:rPr>
          <w:rFonts w:ascii="Times New Roman" w:eastAsia="Times New Roman" w:hAnsi="Times New Roman"/>
        </w:rPr>
        <w:t xml:space="preserve">estimated </w:t>
      </w:r>
      <w:r w:rsidRPr="002C5366">
        <w:rPr>
          <w:rFonts w:ascii="Times New Roman" w:eastAsia="Times New Roman" w:hAnsi="Times New Roman"/>
        </w:rPr>
        <w:t>t</w:t>
      </w:r>
      <w:r w:rsidR="001C26B3" w:rsidRPr="002C5366">
        <w:rPr>
          <w:rFonts w:ascii="Times New Roman" w:eastAsia="Times New Roman" w:hAnsi="Times New Roman"/>
        </w:rPr>
        <w:t>he number of hours</w:t>
      </w:r>
      <w:r w:rsidR="00B427CF" w:rsidRPr="002C5366">
        <w:rPr>
          <w:rFonts w:ascii="Times New Roman" w:eastAsia="Times New Roman" w:hAnsi="Times New Roman"/>
        </w:rPr>
        <w:t xml:space="preserve"> </w:t>
      </w:r>
      <w:r w:rsidR="001C26B3" w:rsidRPr="002C5366">
        <w:rPr>
          <w:rFonts w:ascii="Times New Roman" w:eastAsia="Times New Roman" w:hAnsi="Times New Roman"/>
        </w:rPr>
        <w:t>per</w:t>
      </w:r>
      <w:r w:rsidR="005129DC" w:rsidRPr="002C5366">
        <w:rPr>
          <w:rFonts w:ascii="Times New Roman" w:eastAsia="Times New Roman" w:hAnsi="Times New Roman"/>
        </w:rPr>
        <w:t xml:space="preserve"> </w:t>
      </w:r>
      <w:r w:rsidR="00737BF6" w:rsidRPr="002C5366">
        <w:rPr>
          <w:rFonts w:ascii="Times New Roman" w:eastAsia="Times New Roman" w:hAnsi="Times New Roman"/>
        </w:rPr>
        <w:t>reported</w:t>
      </w:r>
      <w:r w:rsidR="005129DC" w:rsidRPr="002C5366">
        <w:rPr>
          <w:rFonts w:ascii="Times New Roman" w:eastAsia="Times New Roman" w:hAnsi="Times New Roman"/>
        </w:rPr>
        <w:t xml:space="preserve"> unintentional </w:t>
      </w:r>
      <w:r w:rsidR="00F5210A" w:rsidRPr="002C5366">
        <w:rPr>
          <w:rFonts w:ascii="Times New Roman" w:eastAsia="Times New Roman" w:hAnsi="Times New Roman"/>
        </w:rPr>
        <w:t xml:space="preserve">opioid-involved overdose </w:t>
      </w:r>
      <w:r w:rsidR="005129DC" w:rsidRPr="002C5366">
        <w:rPr>
          <w:rFonts w:ascii="Times New Roman" w:eastAsia="Times New Roman" w:hAnsi="Times New Roman"/>
        </w:rPr>
        <w:t xml:space="preserve">death in the </w:t>
      </w:r>
      <w:r w:rsidR="00524C93" w:rsidRPr="002C5366">
        <w:rPr>
          <w:rFonts w:ascii="Times New Roman" w:eastAsia="Times New Roman" w:hAnsi="Times New Roman"/>
        </w:rPr>
        <w:t>50</w:t>
      </w:r>
      <w:r w:rsidR="005129DC" w:rsidRPr="002C5366">
        <w:rPr>
          <w:rFonts w:ascii="Times New Roman" w:eastAsia="Times New Roman" w:hAnsi="Times New Roman"/>
        </w:rPr>
        <w:t xml:space="preserve"> targeted states (i.e., </w:t>
      </w:r>
      <w:r w:rsidR="00524C93" w:rsidRPr="002C5366">
        <w:rPr>
          <w:rFonts w:ascii="Times New Roman" w:eastAsia="Times New Roman" w:hAnsi="Times New Roman"/>
        </w:rPr>
        <w:t>33,</w:t>
      </w:r>
      <w:r w:rsidR="00611D6A" w:rsidRPr="002C5366">
        <w:rPr>
          <w:rFonts w:ascii="Times New Roman" w:eastAsia="Times New Roman" w:hAnsi="Times New Roman"/>
        </w:rPr>
        <w:t>091</w:t>
      </w:r>
      <w:r w:rsidR="00DE62B5" w:rsidRPr="002C5366">
        <w:rPr>
          <w:rFonts w:ascii="Times New Roman" w:eastAsia="Times New Roman" w:hAnsi="Times New Roman"/>
        </w:rPr>
        <w:t xml:space="preserve"> in 2015</w:t>
      </w:r>
      <w:r w:rsidR="00737BF6" w:rsidRPr="002C5366">
        <w:rPr>
          <w:rFonts w:ascii="Times New Roman" w:eastAsia="Times New Roman" w:hAnsi="Times New Roman"/>
        </w:rPr>
        <w:t xml:space="preserve">) </w:t>
      </w:r>
      <w:r w:rsidR="001C26B3" w:rsidRPr="002C5366">
        <w:rPr>
          <w:rFonts w:ascii="Times New Roman" w:eastAsia="Times New Roman" w:hAnsi="Times New Roman"/>
        </w:rPr>
        <w:t xml:space="preserve">required for the public agencies </w:t>
      </w:r>
      <w:r w:rsidR="00BA78EC" w:rsidRPr="002C5366">
        <w:rPr>
          <w:rFonts w:ascii="Times New Roman" w:eastAsia="Times New Roman" w:hAnsi="Times New Roman"/>
        </w:rPr>
        <w:t xml:space="preserve">(vital statistics and </w:t>
      </w:r>
      <w:r w:rsidR="00060430" w:rsidRPr="002C5366">
        <w:rPr>
          <w:rFonts w:ascii="Times New Roman" w:eastAsia="Times New Roman" w:hAnsi="Times New Roman"/>
        </w:rPr>
        <w:t>ME/C</w:t>
      </w:r>
      <w:r w:rsidR="00BA78EC" w:rsidRPr="002C5366">
        <w:rPr>
          <w:rFonts w:ascii="Times New Roman" w:eastAsia="Times New Roman" w:hAnsi="Times New Roman"/>
        </w:rPr>
        <w:t xml:space="preserve">) </w:t>
      </w:r>
      <w:r w:rsidR="001C26B3" w:rsidRPr="002C5366">
        <w:rPr>
          <w:rFonts w:ascii="Times New Roman" w:eastAsia="Times New Roman" w:hAnsi="Times New Roman"/>
        </w:rPr>
        <w:t xml:space="preserve">to retrieve and then refile their records </w:t>
      </w:r>
      <w:r w:rsidR="00F5210A" w:rsidRPr="002C5366">
        <w:rPr>
          <w:rFonts w:ascii="Times New Roman" w:eastAsia="Times New Roman" w:hAnsi="Times New Roman"/>
        </w:rPr>
        <w:t xml:space="preserve">to be </w:t>
      </w:r>
      <w:r w:rsidR="000F1AF4" w:rsidRPr="002C5366">
        <w:rPr>
          <w:rFonts w:ascii="Times New Roman" w:eastAsia="Times New Roman" w:hAnsi="Times New Roman"/>
        </w:rPr>
        <w:t>about 0.5 hours (</w:t>
      </w:r>
      <w:r w:rsidR="001C26B3" w:rsidRPr="002C5366">
        <w:rPr>
          <w:rFonts w:ascii="Times New Roman" w:eastAsia="Times New Roman" w:hAnsi="Times New Roman"/>
        </w:rPr>
        <w:t>0.</w:t>
      </w:r>
      <w:r w:rsidR="008550B7" w:rsidRPr="002C5366">
        <w:rPr>
          <w:rFonts w:ascii="Times New Roman" w:eastAsia="Times New Roman" w:hAnsi="Times New Roman"/>
        </w:rPr>
        <w:t xml:space="preserve">25 </w:t>
      </w:r>
      <w:r w:rsidR="001C26B3" w:rsidRPr="002C5366">
        <w:rPr>
          <w:rFonts w:ascii="Times New Roman" w:eastAsia="Times New Roman" w:hAnsi="Times New Roman"/>
        </w:rPr>
        <w:t>hours per death</w:t>
      </w:r>
      <w:r w:rsidR="000F1AF4" w:rsidRPr="002C5366">
        <w:rPr>
          <w:rFonts w:ascii="Times New Roman" w:eastAsia="Times New Roman" w:hAnsi="Times New Roman"/>
        </w:rPr>
        <w:t xml:space="preserve"> for vital statistics and 0.25 hours for </w:t>
      </w:r>
      <w:r w:rsidR="00060430" w:rsidRPr="002C5366">
        <w:rPr>
          <w:rFonts w:ascii="Times New Roman" w:eastAsia="Times New Roman" w:hAnsi="Times New Roman"/>
        </w:rPr>
        <w:t>ME/C</w:t>
      </w:r>
      <w:r w:rsidR="000F1AF4" w:rsidRPr="002C5366">
        <w:rPr>
          <w:rFonts w:ascii="Times New Roman" w:eastAsia="Times New Roman" w:hAnsi="Times New Roman"/>
        </w:rPr>
        <w:t xml:space="preserve"> reports)</w:t>
      </w:r>
      <w:r w:rsidR="001C26B3" w:rsidRPr="002C5366">
        <w:rPr>
          <w:rFonts w:ascii="Times New Roman" w:eastAsia="Times New Roman" w:hAnsi="Times New Roman"/>
        </w:rPr>
        <w:t>.</w:t>
      </w:r>
      <w:r w:rsidR="000F1AF4" w:rsidRPr="002C5366">
        <w:rPr>
          <w:rFonts w:ascii="Times New Roman" w:eastAsia="Times New Roman" w:hAnsi="Times New Roman"/>
        </w:rPr>
        <w:t xml:space="preserve"> </w:t>
      </w:r>
      <w:r w:rsidR="00CE45BF" w:rsidRPr="002C5366">
        <w:rPr>
          <w:rFonts w:ascii="Times New Roman" w:eastAsia="Times New Roman" w:hAnsi="Times New Roman"/>
        </w:rPr>
        <w:t xml:space="preserve">Expanded use of electronic vital statistics and ME/C systems should reduce this burden over time. </w:t>
      </w:r>
    </w:p>
    <w:p w14:paraId="68115817" w14:textId="2C14B374" w:rsidR="00AC3B96" w:rsidRPr="002C5366" w:rsidRDefault="00AC3B96" w:rsidP="00942799">
      <w:pPr>
        <w:rPr>
          <w:sz w:val="24"/>
        </w:rPr>
      </w:pPr>
    </w:p>
    <w:p w14:paraId="3135260F" w14:textId="215C3CC8" w:rsidR="00AC3B96" w:rsidRPr="002C5366" w:rsidRDefault="00AC3B96" w:rsidP="00942799">
      <w:pPr>
        <w:rPr>
          <w:sz w:val="24"/>
        </w:rPr>
      </w:pPr>
      <w:r w:rsidRPr="002C5366">
        <w:rPr>
          <w:sz w:val="24"/>
        </w:rPr>
        <w:t>The estimated annual burden hours request for th</w:t>
      </w:r>
      <w:r w:rsidR="00BE63D4" w:rsidRPr="002C5366">
        <w:rPr>
          <w:sz w:val="24"/>
        </w:rPr>
        <w:t>i</w:t>
      </w:r>
      <w:r w:rsidRPr="002C5366">
        <w:rPr>
          <w:sz w:val="24"/>
        </w:rPr>
        <w:t>s approval are 16,550, with an increase from the previously 7,008 burden hours approved.</w:t>
      </w:r>
    </w:p>
    <w:p w14:paraId="27940A53" w14:textId="77777777" w:rsidR="00AC3B96" w:rsidRPr="002C5366" w:rsidRDefault="00AC3B96">
      <w:pPr>
        <w:rPr>
          <w:sz w:val="24"/>
        </w:rPr>
      </w:pPr>
    </w:p>
    <w:p w14:paraId="7ED5393D" w14:textId="2EB3175D" w:rsidR="00166659" w:rsidRPr="002C5366" w:rsidRDefault="001C26B3">
      <w:pPr>
        <w:rPr>
          <w:sz w:val="24"/>
        </w:rPr>
      </w:pPr>
      <w:r w:rsidRPr="002C5366">
        <w:rPr>
          <w:sz w:val="24"/>
        </w:rPr>
        <w:t>Estimated Annualized Respondent Burden Hours</w:t>
      </w:r>
    </w:p>
    <w:p w14:paraId="5501E19B" w14:textId="77777777" w:rsidR="00F473A2" w:rsidRPr="002C5366" w:rsidRDefault="00F473A2" w:rsidP="00F473A2">
      <w:pPr>
        <w:rPr>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374"/>
        <w:gridCol w:w="1443"/>
        <w:gridCol w:w="1474"/>
        <w:gridCol w:w="1519"/>
        <w:gridCol w:w="1202"/>
      </w:tblGrid>
      <w:tr w:rsidR="00F473A2" w:rsidRPr="002C5366" w14:paraId="5BA2712D"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4438C84E" w14:textId="77777777" w:rsidR="00F473A2" w:rsidRPr="002C5366" w:rsidRDefault="00F473A2">
            <w:pPr>
              <w:rPr>
                <w:sz w:val="24"/>
              </w:rPr>
            </w:pPr>
            <w:r w:rsidRPr="002C5366">
              <w:rPr>
                <w:sz w:val="24"/>
              </w:rPr>
              <w:t>Type of Respondent</w:t>
            </w:r>
          </w:p>
        </w:tc>
        <w:tc>
          <w:tcPr>
            <w:tcW w:w="1374" w:type="dxa"/>
            <w:tcBorders>
              <w:top w:val="single" w:sz="4" w:space="0" w:color="auto"/>
              <w:left w:val="single" w:sz="4" w:space="0" w:color="auto"/>
              <w:bottom w:val="single" w:sz="4" w:space="0" w:color="auto"/>
              <w:right w:val="single" w:sz="4" w:space="0" w:color="auto"/>
            </w:tcBorders>
            <w:hideMark/>
          </w:tcPr>
          <w:p w14:paraId="51693FBC" w14:textId="77777777" w:rsidR="00F473A2" w:rsidRPr="002C5366" w:rsidRDefault="00F473A2">
            <w:pPr>
              <w:rPr>
                <w:sz w:val="24"/>
              </w:rPr>
            </w:pPr>
            <w:r w:rsidRPr="002C5366">
              <w:rPr>
                <w:sz w:val="24"/>
              </w:rPr>
              <w:t>Form Name</w:t>
            </w:r>
          </w:p>
        </w:tc>
        <w:tc>
          <w:tcPr>
            <w:tcW w:w="1443" w:type="dxa"/>
            <w:tcBorders>
              <w:top w:val="single" w:sz="4" w:space="0" w:color="auto"/>
              <w:left w:val="single" w:sz="4" w:space="0" w:color="auto"/>
              <w:bottom w:val="single" w:sz="4" w:space="0" w:color="auto"/>
              <w:right w:val="single" w:sz="4" w:space="0" w:color="auto"/>
            </w:tcBorders>
            <w:hideMark/>
          </w:tcPr>
          <w:p w14:paraId="4DBF029C" w14:textId="77777777" w:rsidR="00F473A2" w:rsidRPr="002C5366" w:rsidRDefault="00F473A2">
            <w:pPr>
              <w:rPr>
                <w:sz w:val="24"/>
              </w:rPr>
            </w:pPr>
            <w:r w:rsidRPr="002C5366">
              <w:rPr>
                <w:sz w:val="24"/>
              </w:rPr>
              <w:t>No. of Respondents</w:t>
            </w:r>
          </w:p>
        </w:tc>
        <w:tc>
          <w:tcPr>
            <w:tcW w:w="1474" w:type="dxa"/>
            <w:tcBorders>
              <w:top w:val="single" w:sz="4" w:space="0" w:color="auto"/>
              <w:left w:val="single" w:sz="4" w:space="0" w:color="auto"/>
              <w:bottom w:val="single" w:sz="4" w:space="0" w:color="auto"/>
              <w:right w:val="single" w:sz="4" w:space="0" w:color="auto"/>
            </w:tcBorders>
            <w:hideMark/>
          </w:tcPr>
          <w:p w14:paraId="33D4096B" w14:textId="77777777" w:rsidR="00F473A2" w:rsidRPr="002C5366" w:rsidRDefault="00F473A2">
            <w:pPr>
              <w:rPr>
                <w:sz w:val="24"/>
              </w:rPr>
            </w:pPr>
            <w:r w:rsidRPr="002C5366">
              <w:rPr>
                <w:sz w:val="24"/>
              </w:rPr>
              <w:t>Total No. of Responses per Respondent</w:t>
            </w:r>
          </w:p>
        </w:tc>
        <w:tc>
          <w:tcPr>
            <w:tcW w:w="1519" w:type="dxa"/>
            <w:tcBorders>
              <w:top w:val="single" w:sz="4" w:space="0" w:color="auto"/>
              <w:left w:val="single" w:sz="4" w:space="0" w:color="auto"/>
              <w:bottom w:val="single" w:sz="4" w:space="0" w:color="auto"/>
              <w:right w:val="single" w:sz="4" w:space="0" w:color="auto"/>
            </w:tcBorders>
            <w:hideMark/>
          </w:tcPr>
          <w:p w14:paraId="687A132D" w14:textId="77777777" w:rsidR="00F473A2" w:rsidRPr="002C5366" w:rsidRDefault="00F473A2">
            <w:pPr>
              <w:rPr>
                <w:sz w:val="24"/>
              </w:rPr>
            </w:pPr>
            <w:r w:rsidRPr="002C5366">
              <w:rPr>
                <w:sz w:val="24"/>
              </w:rPr>
              <w:t xml:space="preserve">Average Burden per Response </w:t>
            </w:r>
          </w:p>
          <w:p w14:paraId="2E3EA63A" w14:textId="77777777" w:rsidR="00F473A2" w:rsidRPr="002C5366" w:rsidRDefault="00F473A2">
            <w:pPr>
              <w:rPr>
                <w:sz w:val="24"/>
              </w:rPr>
            </w:pPr>
            <w:r w:rsidRPr="002C5366">
              <w:rPr>
                <w:sz w:val="24"/>
              </w:rPr>
              <w:t>(in hours)</w:t>
            </w:r>
          </w:p>
        </w:tc>
        <w:tc>
          <w:tcPr>
            <w:tcW w:w="1202" w:type="dxa"/>
            <w:tcBorders>
              <w:top w:val="single" w:sz="4" w:space="0" w:color="auto"/>
              <w:left w:val="single" w:sz="4" w:space="0" w:color="auto"/>
              <w:bottom w:val="single" w:sz="4" w:space="0" w:color="auto"/>
              <w:right w:val="single" w:sz="4" w:space="0" w:color="auto"/>
            </w:tcBorders>
            <w:hideMark/>
          </w:tcPr>
          <w:p w14:paraId="347BC2BB" w14:textId="77777777" w:rsidR="00F473A2" w:rsidRPr="002C5366" w:rsidRDefault="00F473A2">
            <w:pPr>
              <w:rPr>
                <w:sz w:val="24"/>
              </w:rPr>
            </w:pPr>
            <w:r w:rsidRPr="002C5366">
              <w:rPr>
                <w:sz w:val="24"/>
              </w:rPr>
              <w:t>Total Burden Hours</w:t>
            </w:r>
          </w:p>
          <w:p w14:paraId="0AEA5A9A" w14:textId="77777777" w:rsidR="00F473A2" w:rsidRPr="002C5366" w:rsidRDefault="00F473A2">
            <w:pPr>
              <w:rPr>
                <w:sz w:val="24"/>
              </w:rPr>
            </w:pPr>
            <w:r w:rsidRPr="002C5366">
              <w:rPr>
                <w:sz w:val="24"/>
              </w:rPr>
              <w:t>(in hours)</w:t>
            </w:r>
          </w:p>
        </w:tc>
      </w:tr>
      <w:tr w:rsidR="00524C93" w:rsidRPr="002C5366" w14:paraId="378737D8"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01DCC423" w14:textId="77777777" w:rsidR="00F473A2" w:rsidRPr="002C5366" w:rsidRDefault="00F473A2">
            <w:pPr>
              <w:rPr>
                <w:sz w:val="24"/>
              </w:rPr>
            </w:pPr>
            <w:r w:rsidRPr="002C5366">
              <w:rPr>
                <w:sz w:val="24"/>
              </w:rPr>
              <w:t>Public Agencies</w:t>
            </w:r>
          </w:p>
        </w:tc>
        <w:tc>
          <w:tcPr>
            <w:tcW w:w="1374" w:type="dxa"/>
            <w:tcBorders>
              <w:top w:val="single" w:sz="4" w:space="0" w:color="auto"/>
              <w:left w:val="single" w:sz="4" w:space="0" w:color="auto"/>
              <w:bottom w:val="single" w:sz="4" w:space="0" w:color="auto"/>
              <w:right w:val="single" w:sz="4" w:space="0" w:color="auto"/>
            </w:tcBorders>
            <w:hideMark/>
          </w:tcPr>
          <w:p w14:paraId="0D5D1EB4" w14:textId="4C1C416E" w:rsidR="00F473A2" w:rsidRPr="002C5366" w:rsidRDefault="00F473A2" w:rsidP="00782D28">
            <w:pPr>
              <w:rPr>
                <w:sz w:val="24"/>
              </w:rPr>
            </w:pPr>
            <w:r w:rsidRPr="002C5366">
              <w:rPr>
                <w:sz w:val="24"/>
              </w:rPr>
              <w:t>Retrieving and refil</w:t>
            </w:r>
            <w:r w:rsidR="00782D28" w:rsidRPr="002C5366">
              <w:rPr>
                <w:sz w:val="24"/>
              </w:rPr>
              <w:t>ing</w:t>
            </w:r>
            <w:r w:rsidRPr="002C5366">
              <w:rPr>
                <w:sz w:val="24"/>
              </w:rPr>
              <w:t xml:space="preserve"> records</w:t>
            </w:r>
            <w:r w:rsidR="00C62B18" w:rsidRPr="002C5366">
              <w:rPr>
                <w:sz w:val="24"/>
              </w:rPr>
              <w:t xml:space="preserve"> (Att. E)</w:t>
            </w:r>
          </w:p>
        </w:tc>
        <w:tc>
          <w:tcPr>
            <w:tcW w:w="1443" w:type="dxa"/>
            <w:tcBorders>
              <w:top w:val="single" w:sz="4" w:space="0" w:color="auto"/>
              <w:left w:val="single" w:sz="4" w:space="0" w:color="auto"/>
              <w:bottom w:val="single" w:sz="4" w:space="0" w:color="auto"/>
              <w:right w:val="single" w:sz="4" w:space="0" w:color="auto"/>
            </w:tcBorders>
            <w:hideMark/>
          </w:tcPr>
          <w:p w14:paraId="486F8468" w14:textId="4698A76E" w:rsidR="00F473A2" w:rsidRPr="002C5366" w:rsidRDefault="008803ED">
            <w:pPr>
              <w:rPr>
                <w:sz w:val="24"/>
              </w:rPr>
            </w:pPr>
            <w:r w:rsidRPr="002C5366">
              <w:rPr>
                <w:sz w:val="24"/>
              </w:rPr>
              <w:t>50</w:t>
            </w:r>
          </w:p>
        </w:tc>
        <w:tc>
          <w:tcPr>
            <w:tcW w:w="1474" w:type="dxa"/>
            <w:tcBorders>
              <w:top w:val="single" w:sz="4" w:space="0" w:color="auto"/>
              <w:left w:val="single" w:sz="4" w:space="0" w:color="auto"/>
              <w:bottom w:val="single" w:sz="4" w:space="0" w:color="auto"/>
              <w:right w:val="single" w:sz="4" w:space="0" w:color="auto"/>
            </w:tcBorders>
            <w:hideMark/>
          </w:tcPr>
          <w:p w14:paraId="79377048" w14:textId="73B704A1" w:rsidR="00F473A2" w:rsidRPr="002C5366" w:rsidRDefault="00524C93" w:rsidP="00524C93">
            <w:pPr>
              <w:rPr>
                <w:sz w:val="24"/>
              </w:rPr>
            </w:pPr>
            <w:r w:rsidRPr="002C5366">
              <w:rPr>
                <w:sz w:val="24"/>
              </w:rPr>
              <w:t>6</w:t>
            </w:r>
            <w:r w:rsidR="008B4630" w:rsidRPr="002C5366">
              <w:rPr>
                <w:sz w:val="24"/>
              </w:rPr>
              <w:t>62</w:t>
            </w:r>
          </w:p>
        </w:tc>
        <w:tc>
          <w:tcPr>
            <w:tcW w:w="1519" w:type="dxa"/>
            <w:tcBorders>
              <w:top w:val="single" w:sz="4" w:space="0" w:color="auto"/>
              <w:left w:val="single" w:sz="4" w:space="0" w:color="auto"/>
              <w:bottom w:val="single" w:sz="4" w:space="0" w:color="auto"/>
              <w:right w:val="single" w:sz="4" w:space="0" w:color="auto"/>
            </w:tcBorders>
            <w:hideMark/>
          </w:tcPr>
          <w:p w14:paraId="5EDB6693" w14:textId="77777777" w:rsidR="00F473A2" w:rsidRPr="002C5366" w:rsidRDefault="00F473A2">
            <w:pPr>
              <w:rPr>
                <w:sz w:val="24"/>
              </w:rPr>
            </w:pPr>
            <w:r w:rsidRPr="002C5366">
              <w:rPr>
                <w:sz w:val="24"/>
              </w:rPr>
              <w:t>30/60</w:t>
            </w:r>
          </w:p>
        </w:tc>
        <w:tc>
          <w:tcPr>
            <w:tcW w:w="1202" w:type="dxa"/>
            <w:tcBorders>
              <w:top w:val="single" w:sz="4" w:space="0" w:color="auto"/>
              <w:left w:val="single" w:sz="4" w:space="0" w:color="auto"/>
              <w:bottom w:val="single" w:sz="4" w:space="0" w:color="auto"/>
              <w:right w:val="single" w:sz="4" w:space="0" w:color="auto"/>
            </w:tcBorders>
            <w:hideMark/>
          </w:tcPr>
          <w:p w14:paraId="21FB0F50" w14:textId="6B1089D4" w:rsidR="00F473A2" w:rsidRPr="002C5366" w:rsidRDefault="00524C93" w:rsidP="00524C93">
            <w:pPr>
              <w:rPr>
                <w:sz w:val="24"/>
              </w:rPr>
            </w:pPr>
            <w:r w:rsidRPr="002C5366">
              <w:rPr>
                <w:sz w:val="24"/>
              </w:rPr>
              <w:t>16</w:t>
            </w:r>
            <w:r w:rsidR="005129DC" w:rsidRPr="002C5366">
              <w:rPr>
                <w:sz w:val="24"/>
              </w:rPr>
              <w:t>,</w:t>
            </w:r>
            <w:r w:rsidR="008B4630" w:rsidRPr="002C5366">
              <w:rPr>
                <w:sz w:val="24"/>
              </w:rPr>
              <w:t>5</w:t>
            </w:r>
            <w:r w:rsidRPr="002C5366">
              <w:rPr>
                <w:sz w:val="24"/>
              </w:rPr>
              <w:t>50</w:t>
            </w:r>
          </w:p>
        </w:tc>
      </w:tr>
      <w:tr w:rsidR="00F473A2" w:rsidRPr="002C5366" w14:paraId="7F78D55B"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597633C2" w14:textId="77777777" w:rsidR="00F473A2" w:rsidRPr="002C5366" w:rsidRDefault="00F473A2">
            <w:pPr>
              <w:rPr>
                <w:sz w:val="24"/>
              </w:rPr>
            </w:pPr>
            <w:r w:rsidRPr="002C5366">
              <w:rPr>
                <w:sz w:val="24"/>
              </w:rPr>
              <w:t>Total</w:t>
            </w:r>
          </w:p>
        </w:tc>
        <w:tc>
          <w:tcPr>
            <w:tcW w:w="5810" w:type="dxa"/>
            <w:gridSpan w:val="4"/>
            <w:tcBorders>
              <w:top w:val="single" w:sz="4" w:space="0" w:color="auto"/>
              <w:left w:val="single" w:sz="4" w:space="0" w:color="auto"/>
              <w:bottom w:val="single" w:sz="4" w:space="0" w:color="auto"/>
              <w:right w:val="single" w:sz="4" w:space="0" w:color="auto"/>
            </w:tcBorders>
          </w:tcPr>
          <w:p w14:paraId="26AC6E99" w14:textId="77777777" w:rsidR="00F473A2" w:rsidRPr="002C5366" w:rsidRDefault="00F473A2">
            <w:pPr>
              <w:rPr>
                <w:sz w:val="24"/>
              </w:rPr>
            </w:pPr>
          </w:p>
        </w:tc>
        <w:tc>
          <w:tcPr>
            <w:tcW w:w="1202" w:type="dxa"/>
            <w:tcBorders>
              <w:top w:val="single" w:sz="4" w:space="0" w:color="auto"/>
              <w:left w:val="single" w:sz="4" w:space="0" w:color="auto"/>
              <w:bottom w:val="single" w:sz="4" w:space="0" w:color="auto"/>
              <w:right w:val="single" w:sz="4" w:space="0" w:color="auto"/>
            </w:tcBorders>
            <w:hideMark/>
          </w:tcPr>
          <w:p w14:paraId="401BA43F" w14:textId="1719ED2C" w:rsidR="00F473A2" w:rsidRPr="002C5366" w:rsidRDefault="00524C93" w:rsidP="00524C93">
            <w:pPr>
              <w:rPr>
                <w:sz w:val="24"/>
              </w:rPr>
            </w:pPr>
            <w:r w:rsidRPr="002C5366">
              <w:rPr>
                <w:sz w:val="24"/>
              </w:rPr>
              <w:t>16</w:t>
            </w:r>
            <w:r w:rsidR="00F473A2" w:rsidRPr="002C5366">
              <w:rPr>
                <w:sz w:val="24"/>
              </w:rPr>
              <w:t>,</w:t>
            </w:r>
            <w:r w:rsidR="008B4630" w:rsidRPr="002C5366">
              <w:rPr>
                <w:sz w:val="24"/>
              </w:rPr>
              <w:t>5</w:t>
            </w:r>
            <w:r w:rsidRPr="002C5366">
              <w:rPr>
                <w:sz w:val="24"/>
              </w:rPr>
              <w:t>50</w:t>
            </w:r>
          </w:p>
        </w:tc>
      </w:tr>
    </w:tbl>
    <w:p w14:paraId="599E0768" w14:textId="77777777" w:rsidR="003D04BE" w:rsidRPr="002C5366" w:rsidRDefault="003D04BE">
      <w:pPr>
        <w:rPr>
          <w:sz w:val="24"/>
        </w:rPr>
      </w:pPr>
    </w:p>
    <w:p w14:paraId="1E8F0AA8" w14:textId="77777777" w:rsidR="001C26B3" w:rsidRPr="002C5366" w:rsidRDefault="001C26B3">
      <w:pPr>
        <w:rPr>
          <w:sz w:val="24"/>
        </w:rPr>
      </w:pPr>
      <w:r w:rsidRPr="002C5366">
        <w:rPr>
          <w:sz w:val="24"/>
        </w:rPr>
        <w:t>12.  B. Estimated Annualized Respondent Burden Costs:</w:t>
      </w:r>
    </w:p>
    <w:p w14:paraId="70989BC1" w14:textId="77777777" w:rsidR="001C26B3" w:rsidRPr="002C5366" w:rsidRDefault="001C26B3">
      <w:pPr>
        <w:rPr>
          <w:sz w:val="24"/>
        </w:rPr>
      </w:pPr>
    </w:p>
    <w:p w14:paraId="299C3B51" w14:textId="59707555" w:rsidR="00F473A2" w:rsidRPr="002C5366" w:rsidRDefault="00761CE2" w:rsidP="00F473A2">
      <w:pPr>
        <w:rPr>
          <w:sz w:val="24"/>
        </w:rPr>
      </w:pPr>
      <w:r w:rsidRPr="002C5366">
        <w:rPr>
          <w:sz w:val="24"/>
        </w:rPr>
        <w:t xml:space="preserve">The staff who are retrieving records will vary substantially across organizations because administrative staff may pull records in large ME/C </w:t>
      </w:r>
      <w:r w:rsidR="00EB6505" w:rsidRPr="002C5366">
        <w:rPr>
          <w:sz w:val="24"/>
        </w:rPr>
        <w:t xml:space="preserve">or vital statistics </w:t>
      </w:r>
      <w:r w:rsidRPr="002C5366">
        <w:rPr>
          <w:sz w:val="24"/>
        </w:rPr>
        <w:t>offices while in some smaller counties elected coroners may pull records. Thus, the average of hourly salary of federal, state, and local government employees was used or $25.56</w:t>
      </w:r>
      <w:r w:rsidR="00D91188" w:rsidRPr="002C5366">
        <w:rPr>
          <w:rStyle w:val="EndnoteReference"/>
          <w:sz w:val="24"/>
        </w:rPr>
        <w:endnoteReference w:id="37"/>
      </w:r>
      <w:r w:rsidRPr="002C5366">
        <w:rPr>
          <w:sz w:val="24"/>
        </w:rPr>
        <w:t xml:space="preserve">. </w:t>
      </w:r>
      <w:r w:rsidR="00E34828" w:rsidRPr="002C5366">
        <w:rPr>
          <w:sz w:val="24"/>
        </w:rPr>
        <w:t>Public Agencies who retrieve and refile records es</w:t>
      </w:r>
      <w:r w:rsidR="00810CEB" w:rsidRPr="002C5366">
        <w:rPr>
          <w:sz w:val="24"/>
        </w:rPr>
        <w:t>timate costs at [</w:t>
      </w:r>
      <w:r w:rsidR="00524C93" w:rsidRPr="002C5366">
        <w:rPr>
          <w:sz w:val="24"/>
        </w:rPr>
        <w:t>16,</w:t>
      </w:r>
      <w:r w:rsidR="008B4630" w:rsidRPr="002C5366">
        <w:rPr>
          <w:sz w:val="24"/>
        </w:rPr>
        <w:t>5</w:t>
      </w:r>
      <w:r w:rsidR="00524C93" w:rsidRPr="002C5366">
        <w:rPr>
          <w:sz w:val="24"/>
        </w:rPr>
        <w:t>50</w:t>
      </w:r>
      <w:r w:rsidR="000E06CF" w:rsidRPr="002C5366">
        <w:rPr>
          <w:sz w:val="24"/>
        </w:rPr>
        <w:t xml:space="preserve"> burden hours</w:t>
      </w:r>
      <w:r w:rsidR="00CF1778" w:rsidRPr="002C5366">
        <w:rPr>
          <w:sz w:val="24"/>
        </w:rPr>
        <w:t xml:space="preserve"> </w:t>
      </w:r>
      <w:r w:rsidRPr="002C5366">
        <w:rPr>
          <w:sz w:val="24"/>
        </w:rPr>
        <w:t>x $25.56</w:t>
      </w:r>
      <w:r w:rsidR="00810CEB" w:rsidRPr="002C5366">
        <w:rPr>
          <w:sz w:val="24"/>
        </w:rPr>
        <w:t>/hour] = $</w:t>
      </w:r>
      <w:r w:rsidR="00524C93" w:rsidRPr="002C5366">
        <w:rPr>
          <w:sz w:val="24"/>
        </w:rPr>
        <w:t>4</w:t>
      </w:r>
      <w:r w:rsidR="008B4630" w:rsidRPr="002C5366">
        <w:rPr>
          <w:sz w:val="24"/>
        </w:rPr>
        <w:t>2</w:t>
      </w:r>
      <w:r w:rsidR="00524C93" w:rsidRPr="002C5366">
        <w:rPr>
          <w:sz w:val="24"/>
        </w:rPr>
        <w:t>3,</w:t>
      </w:r>
      <w:r w:rsidR="008B4630" w:rsidRPr="002C5366">
        <w:rPr>
          <w:sz w:val="24"/>
        </w:rPr>
        <w:t>018</w:t>
      </w:r>
      <w:r w:rsidR="00E34828" w:rsidRPr="002C5366">
        <w:rPr>
          <w:sz w:val="24"/>
        </w:rPr>
        <w:t>.</w:t>
      </w:r>
      <w:r w:rsidR="001C26B3" w:rsidRPr="002C5366">
        <w:rPr>
          <w:sz w:val="24"/>
        </w:rPr>
        <w:t xml:space="preserve">  In some cases, state health departments may subcontract with the public agencies or otherwise find a way to defray these costs.</w:t>
      </w:r>
    </w:p>
    <w:p w14:paraId="699C642C" w14:textId="77777777" w:rsidR="00F473A2" w:rsidRPr="002C5366" w:rsidRDefault="00F473A2" w:rsidP="00F473A2">
      <w:pPr>
        <w:rPr>
          <w:sz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3"/>
        <w:gridCol w:w="1382"/>
        <w:gridCol w:w="1366"/>
        <w:gridCol w:w="1119"/>
        <w:gridCol w:w="896"/>
        <w:gridCol w:w="1896"/>
      </w:tblGrid>
      <w:tr w:rsidR="00F473A2" w:rsidRPr="002C5366" w14:paraId="7CF94E88"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2FBBCC58" w14:textId="77777777" w:rsidR="00F473A2" w:rsidRPr="002C5366" w:rsidRDefault="00F473A2">
            <w:pPr>
              <w:ind w:hanging="18"/>
              <w:rPr>
                <w:sz w:val="24"/>
              </w:rPr>
            </w:pPr>
            <w:r w:rsidRPr="002C5366">
              <w:rPr>
                <w:sz w:val="24"/>
              </w:rPr>
              <w:t>Type of Respondent</w:t>
            </w:r>
          </w:p>
        </w:tc>
        <w:tc>
          <w:tcPr>
            <w:tcW w:w="1443" w:type="dxa"/>
            <w:tcBorders>
              <w:top w:val="single" w:sz="4" w:space="0" w:color="auto"/>
              <w:left w:val="single" w:sz="4" w:space="0" w:color="auto"/>
              <w:bottom w:val="single" w:sz="4" w:space="0" w:color="auto"/>
              <w:right w:val="single" w:sz="4" w:space="0" w:color="auto"/>
            </w:tcBorders>
            <w:hideMark/>
          </w:tcPr>
          <w:p w14:paraId="529B1612" w14:textId="77777777" w:rsidR="00F473A2" w:rsidRPr="002C5366" w:rsidRDefault="00F473A2">
            <w:pPr>
              <w:rPr>
                <w:sz w:val="24"/>
              </w:rPr>
            </w:pPr>
            <w:r w:rsidRPr="002C5366">
              <w:rPr>
                <w:sz w:val="24"/>
              </w:rPr>
              <w:t>No. of Respondents</w:t>
            </w:r>
          </w:p>
        </w:tc>
        <w:tc>
          <w:tcPr>
            <w:tcW w:w="1382" w:type="dxa"/>
            <w:tcBorders>
              <w:top w:val="single" w:sz="4" w:space="0" w:color="auto"/>
              <w:left w:val="single" w:sz="4" w:space="0" w:color="auto"/>
              <w:bottom w:val="single" w:sz="4" w:space="0" w:color="auto"/>
              <w:right w:val="single" w:sz="4" w:space="0" w:color="auto"/>
            </w:tcBorders>
            <w:hideMark/>
          </w:tcPr>
          <w:p w14:paraId="22AAA308" w14:textId="77777777" w:rsidR="00F473A2" w:rsidRPr="002C5366" w:rsidRDefault="00F473A2">
            <w:pPr>
              <w:rPr>
                <w:sz w:val="24"/>
              </w:rPr>
            </w:pPr>
            <w:r w:rsidRPr="002C5366">
              <w:rPr>
                <w:sz w:val="24"/>
              </w:rPr>
              <w:t>No. of Responses per Respondent</w:t>
            </w:r>
          </w:p>
        </w:tc>
        <w:tc>
          <w:tcPr>
            <w:tcW w:w="1366" w:type="dxa"/>
            <w:tcBorders>
              <w:top w:val="single" w:sz="4" w:space="0" w:color="auto"/>
              <w:left w:val="single" w:sz="4" w:space="0" w:color="auto"/>
              <w:bottom w:val="single" w:sz="4" w:space="0" w:color="auto"/>
              <w:right w:val="single" w:sz="4" w:space="0" w:color="auto"/>
            </w:tcBorders>
            <w:hideMark/>
          </w:tcPr>
          <w:p w14:paraId="073D325E" w14:textId="77777777" w:rsidR="00F473A2" w:rsidRPr="002C5366" w:rsidRDefault="00F473A2">
            <w:pPr>
              <w:rPr>
                <w:sz w:val="24"/>
              </w:rPr>
            </w:pPr>
            <w:r w:rsidRPr="002C5366">
              <w:rPr>
                <w:sz w:val="24"/>
              </w:rPr>
              <w:t xml:space="preserve">Average Burden per Response </w:t>
            </w:r>
          </w:p>
          <w:p w14:paraId="51C1E610" w14:textId="77777777" w:rsidR="00F473A2" w:rsidRPr="002C5366" w:rsidRDefault="00F473A2">
            <w:pPr>
              <w:rPr>
                <w:sz w:val="24"/>
              </w:rPr>
            </w:pPr>
            <w:r w:rsidRPr="002C5366">
              <w:rPr>
                <w:sz w:val="24"/>
              </w:rPr>
              <w:t>(in hours)</w:t>
            </w:r>
          </w:p>
        </w:tc>
        <w:tc>
          <w:tcPr>
            <w:tcW w:w="1119" w:type="dxa"/>
            <w:tcBorders>
              <w:top w:val="single" w:sz="4" w:space="0" w:color="auto"/>
              <w:left w:val="single" w:sz="4" w:space="0" w:color="auto"/>
              <w:bottom w:val="single" w:sz="4" w:space="0" w:color="auto"/>
              <w:right w:val="single" w:sz="4" w:space="0" w:color="auto"/>
            </w:tcBorders>
            <w:hideMark/>
          </w:tcPr>
          <w:p w14:paraId="16A3CA35" w14:textId="77777777" w:rsidR="00F473A2" w:rsidRPr="002C5366" w:rsidRDefault="00F473A2">
            <w:pPr>
              <w:rPr>
                <w:sz w:val="24"/>
              </w:rPr>
            </w:pPr>
            <w:r w:rsidRPr="002C5366">
              <w:rPr>
                <w:sz w:val="24"/>
              </w:rPr>
              <w:t>Total Burden Hours</w:t>
            </w:r>
          </w:p>
        </w:tc>
        <w:tc>
          <w:tcPr>
            <w:tcW w:w="896" w:type="dxa"/>
            <w:tcBorders>
              <w:top w:val="single" w:sz="4" w:space="0" w:color="auto"/>
              <w:left w:val="single" w:sz="4" w:space="0" w:color="auto"/>
              <w:bottom w:val="single" w:sz="4" w:space="0" w:color="auto"/>
              <w:right w:val="single" w:sz="4" w:space="0" w:color="auto"/>
            </w:tcBorders>
            <w:hideMark/>
          </w:tcPr>
          <w:p w14:paraId="2491174A" w14:textId="77777777" w:rsidR="00F473A2" w:rsidRPr="002C5366" w:rsidRDefault="00F473A2">
            <w:pPr>
              <w:rPr>
                <w:sz w:val="24"/>
              </w:rPr>
            </w:pPr>
            <w:r w:rsidRPr="002C5366">
              <w:rPr>
                <w:sz w:val="24"/>
              </w:rPr>
              <w:t>Hourly Wage Rate</w:t>
            </w:r>
          </w:p>
        </w:tc>
        <w:tc>
          <w:tcPr>
            <w:tcW w:w="1896" w:type="dxa"/>
            <w:tcBorders>
              <w:top w:val="single" w:sz="4" w:space="0" w:color="auto"/>
              <w:left w:val="single" w:sz="4" w:space="0" w:color="auto"/>
              <w:bottom w:val="single" w:sz="4" w:space="0" w:color="auto"/>
              <w:right w:val="single" w:sz="4" w:space="0" w:color="auto"/>
            </w:tcBorders>
            <w:hideMark/>
          </w:tcPr>
          <w:p w14:paraId="6D374906" w14:textId="77777777" w:rsidR="00F473A2" w:rsidRPr="002C5366" w:rsidRDefault="00F473A2">
            <w:pPr>
              <w:rPr>
                <w:sz w:val="24"/>
              </w:rPr>
            </w:pPr>
            <w:r w:rsidRPr="002C5366">
              <w:rPr>
                <w:sz w:val="24"/>
              </w:rPr>
              <w:t>Total Respondent Cost</w:t>
            </w:r>
          </w:p>
        </w:tc>
      </w:tr>
      <w:tr w:rsidR="00524C93" w:rsidRPr="002C5366" w14:paraId="0CF4C52E"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0346B238" w14:textId="77777777" w:rsidR="00F473A2" w:rsidRPr="002C5366" w:rsidRDefault="00F473A2">
            <w:pPr>
              <w:rPr>
                <w:sz w:val="24"/>
              </w:rPr>
            </w:pPr>
            <w:r w:rsidRPr="002C5366">
              <w:rPr>
                <w:sz w:val="24"/>
              </w:rPr>
              <w:t xml:space="preserve">Public Agencies </w:t>
            </w:r>
          </w:p>
        </w:tc>
        <w:tc>
          <w:tcPr>
            <w:tcW w:w="1443" w:type="dxa"/>
            <w:tcBorders>
              <w:top w:val="single" w:sz="4" w:space="0" w:color="auto"/>
              <w:left w:val="single" w:sz="4" w:space="0" w:color="auto"/>
              <w:bottom w:val="single" w:sz="4" w:space="0" w:color="auto"/>
              <w:right w:val="single" w:sz="4" w:space="0" w:color="auto"/>
            </w:tcBorders>
            <w:hideMark/>
          </w:tcPr>
          <w:p w14:paraId="4A2FB6BB" w14:textId="4A5219E4" w:rsidR="00F473A2" w:rsidRPr="002C5366" w:rsidRDefault="00991B04">
            <w:pPr>
              <w:rPr>
                <w:sz w:val="24"/>
              </w:rPr>
            </w:pPr>
            <w:r w:rsidRPr="002C5366">
              <w:rPr>
                <w:sz w:val="24"/>
              </w:rPr>
              <w:t>50</w:t>
            </w:r>
          </w:p>
        </w:tc>
        <w:tc>
          <w:tcPr>
            <w:tcW w:w="1382" w:type="dxa"/>
            <w:tcBorders>
              <w:top w:val="single" w:sz="4" w:space="0" w:color="auto"/>
              <w:left w:val="single" w:sz="4" w:space="0" w:color="auto"/>
              <w:bottom w:val="single" w:sz="4" w:space="0" w:color="auto"/>
              <w:right w:val="single" w:sz="4" w:space="0" w:color="auto"/>
            </w:tcBorders>
            <w:hideMark/>
          </w:tcPr>
          <w:p w14:paraId="2381FA1B" w14:textId="751001D0" w:rsidR="00F473A2" w:rsidRPr="002C5366" w:rsidRDefault="00B663BC" w:rsidP="00524C93">
            <w:pPr>
              <w:rPr>
                <w:sz w:val="24"/>
              </w:rPr>
            </w:pPr>
            <w:r w:rsidRPr="002C5366">
              <w:rPr>
                <w:sz w:val="24"/>
              </w:rPr>
              <w:t>662</w:t>
            </w:r>
          </w:p>
        </w:tc>
        <w:tc>
          <w:tcPr>
            <w:tcW w:w="1366" w:type="dxa"/>
            <w:tcBorders>
              <w:top w:val="single" w:sz="4" w:space="0" w:color="auto"/>
              <w:left w:val="single" w:sz="4" w:space="0" w:color="auto"/>
              <w:bottom w:val="single" w:sz="4" w:space="0" w:color="auto"/>
              <w:right w:val="single" w:sz="4" w:space="0" w:color="auto"/>
            </w:tcBorders>
            <w:hideMark/>
          </w:tcPr>
          <w:p w14:paraId="4C64A3F1" w14:textId="77777777" w:rsidR="00F473A2" w:rsidRPr="002C5366" w:rsidRDefault="00F473A2">
            <w:pPr>
              <w:rPr>
                <w:sz w:val="24"/>
              </w:rPr>
            </w:pPr>
            <w:r w:rsidRPr="002C5366">
              <w:rPr>
                <w:sz w:val="24"/>
              </w:rPr>
              <w:t>30/60</w:t>
            </w:r>
          </w:p>
        </w:tc>
        <w:tc>
          <w:tcPr>
            <w:tcW w:w="1119" w:type="dxa"/>
            <w:tcBorders>
              <w:top w:val="single" w:sz="4" w:space="0" w:color="auto"/>
              <w:left w:val="single" w:sz="4" w:space="0" w:color="auto"/>
              <w:bottom w:val="single" w:sz="4" w:space="0" w:color="auto"/>
              <w:right w:val="single" w:sz="4" w:space="0" w:color="auto"/>
            </w:tcBorders>
            <w:hideMark/>
          </w:tcPr>
          <w:p w14:paraId="4BF22EFD" w14:textId="187A5F9B" w:rsidR="00F473A2" w:rsidRPr="002C5366" w:rsidRDefault="00524C93" w:rsidP="00524C93">
            <w:pPr>
              <w:rPr>
                <w:sz w:val="24"/>
              </w:rPr>
            </w:pPr>
            <w:r w:rsidRPr="002C5366">
              <w:rPr>
                <w:sz w:val="24"/>
              </w:rPr>
              <w:t>16,</w:t>
            </w:r>
            <w:r w:rsidR="008B4630" w:rsidRPr="002C5366">
              <w:rPr>
                <w:sz w:val="24"/>
              </w:rPr>
              <w:t>5</w:t>
            </w:r>
            <w:r w:rsidRPr="002C5366">
              <w:rPr>
                <w:sz w:val="24"/>
              </w:rPr>
              <w:t>50</w:t>
            </w:r>
          </w:p>
        </w:tc>
        <w:tc>
          <w:tcPr>
            <w:tcW w:w="896" w:type="dxa"/>
            <w:tcBorders>
              <w:top w:val="single" w:sz="4" w:space="0" w:color="auto"/>
              <w:left w:val="single" w:sz="4" w:space="0" w:color="auto"/>
              <w:bottom w:val="single" w:sz="4" w:space="0" w:color="auto"/>
              <w:right w:val="single" w:sz="4" w:space="0" w:color="auto"/>
            </w:tcBorders>
            <w:hideMark/>
          </w:tcPr>
          <w:p w14:paraId="250182F8" w14:textId="37BA57C9" w:rsidR="00F473A2" w:rsidRPr="002C5366" w:rsidRDefault="00F473A2" w:rsidP="00AF1CFB">
            <w:pPr>
              <w:rPr>
                <w:sz w:val="24"/>
              </w:rPr>
            </w:pPr>
            <w:r w:rsidRPr="002C5366">
              <w:rPr>
                <w:sz w:val="24"/>
              </w:rPr>
              <w:t>$</w:t>
            </w:r>
            <w:r w:rsidR="00AF1CFB" w:rsidRPr="002C5366">
              <w:rPr>
                <w:sz w:val="24"/>
              </w:rPr>
              <w:t>25.56</w:t>
            </w:r>
          </w:p>
        </w:tc>
        <w:tc>
          <w:tcPr>
            <w:tcW w:w="1896" w:type="dxa"/>
            <w:tcBorders>
              <w:top w:val="single" w:sz="4" w:space="0" w:color="auto"/>
              <w:left w:val="single" w:sz="4" w:space="0" w:color="auto"/>
              <w:bottom w:val="single" w:sz="4" w:space="0" w:color="auto"/>
              <w:right w:val="single" w:sz="4" w:space="0" w:color="auto"/>
            </w:tcBorders>
            <w:hideMark/>
          </w:tcPr>
          <w:p w14:paraId="460A1C84" w14:textId="2C437D78" w:rsidR="00F473A2" w:rsidRPr="002C5366" w:rsidRDefault="00F473A2" w:rsidP="007150E8">
            <w:pPr>
              <w:rPr>
                <w:sz w:val="24"/>
              </w:rPr>
            </w:pPr>
            <w:r w:rsidRPr="002C5366">
              <w:rPr>
                <w:sz w:val="24"/>
              </w:rPr>
              <w:t>$</w:t>
            </w:r>
            <w:r w:rsidR="00524C93" w:rsidRPr="002C5366">
              <w:rPr>
                <w:sz w:val="24"/>
              </w:rPr>
              <w:t>4</w:t>
            </w:r>
            <w:r w:rsidR="008B4630" w:rsidRPr="002C5366">
              <w:rPr>
                <w:sz w:val="24"/>
              </w:rPr>
              <w:t>2</w:t>
            </w:r>
            <w:r w:rsidR="00524C93" w:rsidRPr="002C5366">
              <w:rPr>
                <w:sz w:val="24"/>
              </w:rPr>
              <w:t>3,</w:t>
            </w:r>
            <w:r w:rsidR="008B4630" w:rsidRPr="002C5366">
              <w:rPr>
                <w:sz w:val="24"/>
              </w:rPr>
              <w:t>018</w:t>
            </w:r>
          </w:p>
        </w:tc>
      </w:tr>
      <w:tr w:rsidR="00F473A2" w:rsidRPr="002C5366" w14:paraId="5F9C3EFE"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253D254B" w14:textId="77777777" w:rsidR="00F473A2" w:rsidRPr="002C5366" w:rsidRDefault="00F473A2">
            <w:pPr>
              <w:rPr>
                <w:sz w:val="24"/>
              </w:rPr>
            </w:pPr>
            <w:r w:rsidRPr="002C5366">
              <w:rPr>
                <w:sz w:val="24"/>
              </w:rPr>
              <w:t>Total</w:t>
            </w:r>
          </w:p>
        </w:tc>
        <w:tc>
          <w:tcPr>
            <w:tcW w:w="6206" w:type="dxa"/>
            <w:gridSpan w:val="5"/>
            <w:tcBorders>
              <w:top w:val="single" w:sz="4" w:space="0" w:color="auto"/>
              <w:left w:val="single" w:sz="4" w:space="0" w:color="auto"/>
              <w:bottom w:val="single" w:sz="4" w:space="0" w:color="auto"/>
              <w:right w:val="single" w:sz="4" w:space="0" w:color="auto"/>
            </w:tcBorders>
          </w:tcPr>
          <w:p w14:paraId="35CC6ED6" w14:textId="77777777" w:rsidR="00F473A2" w:rsidRPr="002C5366" w:rsidRDefault="00F473A2">
            <w:pPr>
              <w:rPr>
                <w:sz w:val="24"/>
              </w:rPr>
            </w:pPr>
          </w:p>
        </w:tc>
        <w:tc>
          <w:tcPr>
            <w:tcW w:w="1896" w:type="dxa"/>
            <w:tcBorders>
              <w:top w:val="single" w:sz="4" w:space="0" w:color="auto"/>
              <w:left w:val="single" w:sz="4" w:space="0" w:color="auto"/>
              <w:bottom w:val="single" w:sz="4" w:space="0" w:color="auto"/>
              <w:right w:val="single" w:sz="4" w:space="0" w:color="auto"/>
            </w:tcBorders>
            <w:hideMark/>
          </w:tcPr>
          <w:p w14:paraId="7EC4D13E" w14:textId="0DE4BCC9" w:rsidR="00F473A2" w:rsidRPr="002C5366" w:rsidRDefault="00A47E0B">
            <w:pPr>
              <w:rPr>
                <w:sz w:val="24"/>
              </w:rPr>
            </w:pPr>
            <w:r w:rsidRPr="002C5366">
              <w:rPr>
                <w:sz w:val="24"/>
              </w:rPr>
              <w:t>$</w:t>
            </w:r>
            <w:r w:rsidR="008B4630" w:rsidRPr="002C5366">
              <w:rPr>
                <w:sz w:val="24"/>
              </w:rPr>
              <w:t>423,018</w:t>
            </w:r>
          </w:p>
        </w:tc>
      </w:tr>
    </w:tbl>
    <w:p w14:paraId="08297FB4" w14:textId="77777777" w:rsidR="00EC7AFD" w:rsidRPr="002C5366" w:rsidRDefault="00EC7AFD" w:rsidP="007E0BE1">
      <w:pPr>
        <w:tabs>
          <w:tab w:val="left" w:pos="-1440"/>
        </w:tabs>
        <w:rPr>
          <w:b/>
          <w:bCs/>
          <w:color w:val="0070C0"/>
          <w:sz w:val="24"/>
        </w:rPr>
      </w:pPr>
    </w:p>
    <w:p w14:paraId="3B14BF4F" w14:textId="77777777" w:rsidR="007E0BE1" w:rsidRPr="002C5366" w:rsidRDefault="007E0BE1" w:rsidP="007E0BE1">
      <w:pPr>
        <w:tabs>
          <w:tab w:val="left" w:pos="-1440"/>
        </w:tabs>
        <w:rPr>
          <w:b/>
          <w:bCs/>
          <w:sz w:val="24"/>
        </w:rPr>
      </w:pPr>
      <w:r w:rsidRPr="002C5366">
        <w:rPr>
          <w:b/>
          <w:bCs/>
          <w:sz w:val="24"/>
        </w:rPr>
        <w:t xml:space="preserve">13.  </w:t>
      </w:r>
      <w:r w:rsidR="001C26B3" w:rsidRPr="002C5366">
        <w:rPr>
          <w:b/>
          <w:bCs/>
          <w:sz w:val="24"/>
        </w:rPr>
        <w:t xml:space="preserve">Estimates of Other Total Annual Cost Burden to Respondents or Record </w:t>
      </w:r>
    </w:p>
    <w:p w14:paraId="25FC05E7" w14:textId="77777777" w:rsidR="001C26B3" w:rsidRPr="002C5366" w:rsidRDefault="007E0BE1" w:rsidP="007E0BE1">
      <w:pPr>
        <w:tabs>
          <w:tab w:val="left" w:pos="-1440"/>
        </w:tabs>
        <w:ind w:left="360"/>
        <w:rPr>
          <w:sz w:val="24"/>
        </w:rPr>
      </w:pPr>
      <w:r w:rsidRPr="002C5366">
        <w:rPr>
          <w:b/>
          <w:bCs/>
          <w:sz w:val="24"/>
        </w:rPr>
        <w:t>K</w:t>
      </w:r>
      <w:r w:rsidR="001C26B3" w:rsidRPr="002C5366">
        <w:rPr>
          <w:b/>
          <w:bCs/>
          <w:sz w:val="24"/>
        </w:rPr>
        <w:t>eepers</w:t>
      </w:r>
    </w:p>
    <w:p w14:paraId="507B3E57" w14:textId="77777777" w:rsidR="001C26B3" w:rsidRPr="002C5366" w:rsidRDefault="001C26B3" w:rsidP="00A46821">
      <w:pPr>
        <w:jc w:val="right"/>
        <w:rPr>
          <w:sz w:val="24"/>
        </w:rPr>
      </w:pPr>
    </w:p>
    <w:p w14:paraId="23137E20" w14:textId="77777777" w:rsidR="001C26B3" w:rsidRPr="002C5366" w:rsidRDefault="00D12E46">
      <w:pPr>
        <w:rPr>
          <w:sz w:val="24"/>
        </w:rPr>
      </w:pPr>
      <w:r w:rsidRPr="002C5366">
        <w:rPr>
          <w:sz w:val="24"/>
        </w:rPr>
        <w:t>Respondents will incur no capital or maintenance costs.</w:t>
      </w:r>
    </w:p>
    <w:p w14:paraId="3DDA6864" w14:textId="77777777" w:rsidR="0059564B" w:rsidRPr="002C5366" w:rsidRDefault="0059564B">
      <w:pPr>
        <w:rPr>
          <w:sz w:val="24"/>
        </w:rPr>
      </w:pPr>
    </w:p>
    <w:p w14:paraId="21D65CCD" w14:textId="70D489BD" w:rsidR="003B15A4" w:rsidRPr="002C5366" w:rsidRDefault="003B15A4">
      <w:pPr>
        <w:rPr>
          <w:sz w:val="24"/>
        </w:rPr>
      </w:pPr>
    </w:p>
    <w:p w14:paraId="7EE3AB33" w14:textId="77777777" w:rsidR="001C26B3" w:rsidRPr="002C5366" w:rsidRDefault="001C26B3">
      <w:pPr>
        <w:tabs>
          <w:tab w:val="left" w:pos="-1440"/>
        </w:tabs>
        <w:ind w:left="1440" w:hanging="1440"/>
        <w:rPr>
          <w:sz w:val="24"/>
        </w:rPr>
      </w:pPr>
      <w:r w:rsidRPr="002C5366">
        <w:rPr>
          <w:b/>
          <w:bCs/>
          <w:sz w:val="24"/>
        </w:rPr>
        <w:t>14.  Annualized Cost to the Government</w:t>
      </w:r>
    </w:p>
    <w:p w14:paraId="7F2BD2C9" w14:textId="77777777" w:rsidR="001C26B3" w:rsidRPr="002C5366" w:rsidRDefault="001C26B3">
      <w:pPr>
        <w:rPr>
          <w:sz w:val="24"/>
        </w:rPr>
      </w:pPr>
    </w:p>
    <w:p w14:paraId="4F42749C" w14:textId="77777777" w:rsidR="001C26B3" w:rsidRPr="002C5366" w:rsidRDefault="001C26B3">
      <w:pPr>
        <w:rPr>
          <w:sz w:val="24"/>
        </w:rPr>
      </w:pPr>
      <w:r w:rsidRPr="002C5366">
        <w:rPr>
          <w:sz w:val="24"/>
        </w:rPr>
        <w:t>These costs fall into several categories, listed below:</w:t>
      </w:r>
    </w:p>
    <w:p w14:paraId="317EE4C7" w14:textId="77777777" w:rsidR="0093145C" w:rsidRPr="002C5366" w:rsidRDefault="0093145C">
      <w:pPr>
        <w:rPr>
          <w:sz w:val="24"/>
        </w:rPr>
      </w:pPr>
    </w:p>
    <w:p w14:paraId="6C1B81EE" w14:textId="77777777" w:rsidR="0093145C" w:rsidRPr="002C5366" w:rsidRDefault="0093145C">
      <w:pPr>
        <w:rPr>
          <w:sz w:val="24"/>
        </w:rPr>
      </w:pPr>
    </w:p>
    <w:p w14:paraId="43806DCC" w14:textId="77777777" w:rsidR="00746538" w:rsidRPr="002C5366" w:rsidRDefault="00746538">
      <w:pPr>
        <w:rPr>
          <w:sz w:val="24"/>
        </w:rPr>
      </w:pPr>
    </w:p>
    <w:p w14:paraId="0E3EDA6E" w14:textId="77777777" w:rsidR="001C26B3" w:rsidRPr="002C5366" w:rsidRDefault="001C26B3">
      <w:pPr>
        <w:pStyle w:val="Heading3"/>
        <w:rPr>
          <w:sz w:val="24"/>
        </w:rPr>
      </w:pPr>
      <w:r w:rsidRPr="002C5366">
        <w:rPr>
          <w:sz w:val="24"/>
        </w:rPr>
        <w:t>Contractor phases, tasks, and estimated costs</w:t>
      </w:r>
    </w:p>
    <w:p w14:paraId="1C4E5587" w14:textId="77777777" w:rsidR="00746538" w:rsidRPr="002C5366" w:rsidRDefault="00746538" w:rsidP="00746538">
      <w:pPr>
        <w:rPr>
          <w:sz w:val="24"/>
        </w:rPr>
      </w:pPr>
    </w:p>
    <w:tbl>
      <w:tblPr>
        <w:tblW w:w="8685" w:type="dxa"/>
        <w:jc w:val="center"/>
        <w:tblLayout w:type="fixed"/>
        <w:tblCellMar>
          <w:left w:w="120" w:type="dxa"/>
          <w:right w:w="120" w:type="dxa"/>
        </w:tblCellMar>
        <w:tblLook w:val="0000" w:firstRow="0" w:lastRow="0" w:firstColumn="0" w:lastColumn="0" w:noHBand="0" w:noVBand="0"/>
      </w:tblPr>
      <w:tblGrid>
        <w:gridCol w:w="7065"/>
        <w:gridCol w:w="1620"/>
      </w:tblGrid>
      <w:tr w:rsidR="001C26B3" w:rsidRPr="002C5366" w14:paraId="65B354D1"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2BED28D" w14:textId="77777777" w:rsidR="001C26B3" w:rsidRPr="002C5366" w:rsidRDefault="001C26B3">
            <w:pPr>
              <w:spacing w:line="120" w:lineRule="exact"/>
              <w:rPr>
                <w:sz w:val="24"/>
              </w:rPr>
            </w:pPr>
          </w:p>
          <w:p w14:paraId="0DA02778" w14:textId="77777777" w:rsidR="001C26B3" w:rsidRPr="002C5366" w:rsidRDefault="001C26B3">
            <w:pPr>
              <w:spacing w:after="58"/>
              <w:jc w:val="center"/>
              <w:rPr>
                <w:b/>
                <w:bCs/>
                <w:sz w:val="24"/>
              </w:rPr>
            </w:pPr>
            <w:r w:rsidRPr="002C5366">
              <w:rPr>
                <w:b/>
                <w:bCs/>
                <w:sz w:val="24"/>
              </w:rPr>
              <w:t>LABOR</w:t>
            </w:r>
          </w:p>
        </w:tc>
        <w:tc>
          <w:tcPr>
            <w:tcW w:w="1620" w:type="dxa"/>
            <w:tcBorders>
              <w:top w:val="single" w:sz="7" w:space="0" w:color="000000"/>
              <w:left w:val="single" w:sz="7" w:space="0" w:color="000000"/>
              <w:bottom w:val="single" w:sz="7" w:space="0" w:color="000000"/>
              <w:right w:val="single" w:sz="7" w:space="0" w:color="000000"/>
            </w:tcBorders>
          </w:tcPr>
          <w:p w14:paraId="5416DB91" w14:textId="77777777" w:rsidR="001C26B3" w:rsidRPr="002C5366" w:rsidRDefault="001C26B3">
            <w:pPr>
              <w:spacing w:line="120" w:lineRule="exact"/>
              <w:rPr>
                <w:b/>
                <w:bCs/>
                <w:sz w:val="24"/>
              </w:rPr>
            </w:pPr>
          </w:p>
          <w:p w14:paraId="0BF233A1" w14:textId="77777777" w:rsidR="001C26B3" w:rsidRPr="002C5366" w:rsidRDefault="001C26B3">
            <w:pPr>
              <w:spacing w:after="58"/>
              <w:jc w:val="center"/>
              <w:rPr>
                <w:b/>
                <w:bCs/>
                <w:sz w:val="24"/>
              </w:rPr>
            </w:pPr>
            <w:r w:rsidRPr="002C5366">
              <w:rPr>
                <w:b/>
                <w:bCs/>
                <w:sz w:val="24"/>
              </w:rPr>
              <w:t>COST</w:t>
            </w:r>
          </w:p>
        </w:tc>
      </w:tr>
      <w:tr w:rsidR="001C26B3" w:rsidRPr="002C5366" w14:paraId="155AE12A"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BC9D202" w14:textId="77777777" w:rsidR="001C26B3" w:rsidRPr="002C5366" w:rsidRDefault="001C26B3">
            <w:pPr>
              <w:spacing w:line="120" w:lineRule="exact"/>
              <w:rPr>
                <w:b/>
                <w:bCs/>
                <w:sz w:val="24"/>
              </w:rPr>
            </w:pPr>
          </w:p>
          <w:p w14:paraId="788A68C5" w14:textId="77777777" w:rsidR="001C26B3" w:rsidRPr="002C5366" w:rsidRDefault="004E28D5">
            <w:pPr>
              <w:spacing w:after="58"/>
              <w:rPr>
                <w:sz w:val="24"/>
              </w:rPr>
            </w:pPr>
            <w:r w:rsidRPr="002C5366">
              <w:rPr>
                <w:sz w:val="24"/>
              </w:rPr>
              <w:t xml:space="preserve">MISO </w:t>
            </w:r>
            <w:r w:rsidR="004E3D49" w:rsidRPr="002C5366">
              <w:rPr>
                <w:sz w:val="24"/>
              </w:rPr>
              <w:t>contract for maintenance</w:t>
            </w:r>
            <w:r w:rsidR="001C26B3" w:rsidRPr="002C5366">
              <w:rPr>
                <w:sz w:val="24"/>
              </w:rPr>
              <w:t xml:space="preserve"> of the data collection software</w:t>
            </w:r>
          </w:p>
        </w:tc>
        <w:tc>
          <w:tcPr>
            <w:tcW w:w="1620" w:type="dxa"/>
            <w:tcBorders>
              <w:top w:val="single" w:sz="7" w:space="0" w:color="000000"/>
              <w:left w:val="single" w:sz="7" w:space="0" w:color="000000"/>
              <w:bottom w:val="single" w:sz="7" w:space="0" w:color="000000"/>
              <w:right w:val="single" w:sz="7" w:space="0" w:color="000000"/>
            </w:tcBorders>
          </w:tcPr>
          <w:p w14:paraId="70E249CB" w14:textId="77777777" w:rsidR="001C26B3" w:rsidRPr="002C5366" w:rsidRDefault="001C26B3">
            <w:pPr>
              <w:spacing w:line="120" w:lineRule="exact"/>
              <w:rPr>
                <w:sz w:val="24"/>
              </w:rPr>
            </w:pPr>
          </w:p>
          <w:p w14:paraId="3435F73E" w14:textId="77777777" w:rsidR="001C26B3" w:rsidRPr="002C5366" w:rsidRDefault="001C26B3" w:rsidP="00D91B33">
            <w:pPr>
              <w:spacing w:after="58"/>
              <w:jc w:val="right"/>
              <w:rPr>
                <w:sz w:val="24"/>
              </w:rPr>
            </w:pPr>
            <w:r w:rsidRPr="002C5366">
              <w:rPr>
                <w:sz w:val="24"/>
              </w:rPr>
              <w:t>$</w:t>
            </w:r>
            <w:r w:rsidR="00D91B33" w:rsidRPr="002C5366">
              <w:rPr>
                <w:sz w:val="24"/>
              </w:rPr>
              <w:t>100,000</w:t>
            </w:r>
          </w:p>
        </w:tc>
      </w:tr>
      <w:tr w:rsidR="001C26B3" w:rsidRPr="002C5366" w14:paraId="1097457C"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5A7CC15A" w14:textId="77777777" w:rsidR="001C26B3" w:rsidRPr="002C5366" w:rsidRDefault="001C26B3">
            <w:pPr>
              <w:spacing w:line="120" w:lineRule="exact"/>
              <w:rPr>
                <w:sz w:val="24"/>
              </w:rPr>
            </w:pPr>
          </w:p>
          <w:p w14:paraId="7F128344" w14:textId="77777777" w:rsidR="001C26B3" w:rsidRPr="002C5366" w:rsidRDefault="004E3D49">
            <w:pPr>
              <w:spacing w:after="58"/>
              <w:rPr>
                <w:sz w:val="24"/>
              </w:rPr>
            </w:pPr>
            <w:r w:rsidRPr="002C5366">
              <w:rPr>
                <w:sz w:val="24"/>
              </w:rPr>
              <w:t>Contracts and cooperative agreements with national data partners</w:t>
            </w:r>
          </w:p>
        </w:tc>
        <w:tc>
          <w:tcPr>
            <w:tcW w:w="1620" w:type="dxa"/>
            <w:tcBorders>
              <w:top w:val="single" w:sz="7" w:space="0" w:color="000000"/>
              <w:left w:val="single" w:sz="7" w:space="0" w:color="000000"/>
              <w:bottom w:val="single" w:sz="7" w:space="0" w:color="000000"/>
              <w:right w:val="single" w:sz="7" w:space="0" w:color="000000"/>
            </w:tcBorders>
          </w:tcPr>
          <w:p w14:paraId="0442C549" w14:textId="77777777" w:rsidR="001C26B3" w:rsidRPr="002C5366" w:rsidRDefault="00EE14FA">
            <w:pPr>
              <w:spacing w:after="58"/>
              <w:jc w:val="right"/>
              <w:rPr>
                <w:sz w:val="24"/>
              </w:rPr>
            </w:pPr>
            <w:r w:rsidRPr="002C5366">
              <w:rPr>
                <w:sz w:val="24"/>
              </w:rPr>
              <w:t>$</w:t>
            </w:r>
            <w:r w:rsidR="00C602A0" w:rsidRPr="002C5366">
              <w:rPr>
                <w:sz w:val="24"/>
              </w:rPr>
              <w:t>50</w:t>
            </w:r>
            <w:r w:rsidR="004E3D49" w:rsidRPr="002C5366">
              <w:rPr>
                <w:sz w:val="24"/>
              </w:rPr>
              <w:t>,000</w:t>
            </w:r>
          </w:p>
        </w:tc>
      </w:tr>
      <w:tr w:rsidR="001C26B3" w:rsidRPr="002C5366" w14:paraId="4076C87F"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16514FDC" w14:textId="77777777" w:rsidR="001C26B3" w:rsidRPr="002C5366" w:rsidRDefault="001C26B3">
            <w:pPr>
              <w:spacing w:line="120" w:lineRule="exact"/>
              <w:rPr>
                <w:sz w:val="24"/>
              </w:rPr>
            </w:pPr>
          </w:p>
          <w:p w14:paraId="48716C09" w14:textId="77777777" w:rsidR="001C26B3" w:rsidRPr="002C5366" w:rsidRDefault="001C26B3">
            <w:pPr>
              <w:spacing w:after="58"/>
              <w:jc w:val="center"/>
              <w:rPr>
                <w:sz w:val="24"/>
              </w:rPr>
            </w:pPr>
            <w:r w:rsidRPr="002C5366">
              <w:rPr>
                <w:b/>
                <w:bCs/>
                <w:sz w:val="24"/>
              </w:rPr>
              <w:t>Other Direct Costs</w:t>
            </w:r>
          </w:p>
        </w:tc>
        <w:tc>
          <w:tcPr>
            <w:tcW w:w="1620" w:type="dxa"/>
            <w:tcBorders>
              <w:top w:val="single" w:sz="7" w:space="0" w:color="000000"/>
              <w:left w:val="single" w:sz="7" w:space="0" w:color="000000"/>
              <w:bottom w:val="single" w:sz="7" w:space="0" w:color="000000"/>
              <w:right w:val="single" w:sz="7" w:space="0" w:color="000000"/>
            </w:tcBorders>
          </w:tcPr>
          <w:p w14:paraId="424A6930" w14:textId="77777777" w:rsidR="001C26B3" w:rsidRPr="002C5366" w:rsidRDefault="001C26B3">
            <w:pPr>
              <w:spacing w:line="120" w:lineRule="exact"/>
              <w:rPr>
                <w:sz w:val="24"/>
              </w:rPr>
            </w:pPr>
          </w:p>
          <w:p w14:paraId="3BB24110" w14:textId="77777777" w:rsidR="001C26B3" w:rsidRPr="002C5366" w:rsidRDefault="001C26B3">
            <w:pPr>
              <w:spacing w:after="58"/>
              <w:rPr>
                <w:sz w:val="24"/>
              </w:rPr>
            </w:pPr>
          </w:p>
        </w:tc>
      </w:tr>
      <w:tr w:rsidR="001C26B3" w:rsidRPr="002C5366" w14:paraId="227E91C8"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7F68721" w14:textId="77777777" w:rsidR="001C26B3" w:rsidRPr="002C5366" w:rsidRDefault="001C26B3">
            <w:pPr>
              <w:spacing w:line="120" w:lineRule="exact"/>
              <w:rPr>
                <w:sz w:val="24"/>
              </w:rPr>
            </w:pPr>
          </w:p>
          <w:p w14:paraId="37AAD268" w14:textId="77777777" w:rsidR="001C26B3" w:rsidRPr="002C5366" w:rsidRDefault="001C26B3">
            <w:pPr>
              <w:spacing w:after="58"/>
              <w:rPr>
                <w:sz w:val="24"/>
              </w:rPr>
            </w:pPr>
            <w:r w:rsidRPr="002C5366">
              <w:rPr>
                <w:sz w:val="24"/>
              </w:rPr>
              <w:t>Subcontractors</w:t>
            </w:r>
          </w:p>
        </w:tc>
        <w:tc>
          <w:tcPr>
            <w:tcW w:w="1620" w:type="dxa"/>
            <w:tcBorders>
              <w:top w:val="single" w:sz="7" w:space="0" w:color="000000"/>
              <w:left w:val="single" w:sz="7" w:space="0" w:color="000000"/>
              <w:bottom w:val="single" w:sz="7" w:space="0" w:color="000000"/>
              <w:right w:val="single" w:sz="7" w:space="0" w:color="000000"/>
            </w:tcBorders>
          </w:tcPr>
          <w:p w14:paraId="2F56BC52" w14:textId="77777777" w:rsidR="001C26B3" w:rsidRPr="002C5366" w:rsidRDefault="001C26B3">
            <w:pPr>
              <w:spacing w:line="120" w:lineRule="exact"/>
              <w:rPr>
                <w:sz w:val="24"/>
              </w:rPr>
            </w:pPr>
          </w:p>
          <w:p w14:paraId="2D8355C7" w14:textId="77777777" w:rsidR="001C26B3" w:rsidRPr="002C5366" w:rsidRDefault="001C26B3">
            <w:pPr>
              <w:spacing w:after="58"/>
              <w:jc w:val="right"/>
              <w:rPr>
                <w:sz w:val="24"/>
              </w:rPr>
            </w:pPr>
            <w:r w:rsidRPr="002C5366">
              <w:rPr>
                <w:sz w:val="24"/>
              </w:rPr>
              <w:t>$</w:t>
            </w:r>
            <w:r w:rsidR="00981F89" w:rsidRPr="002C5366">
              <w:rPr>
                <w:sz w:val="24"/>
              </w:rPr>
              <w:t>0</w:t>
            </w:r>
          </w:p>
        </w:tc>
      </w:tr>
      <w:tr w:rsidR="001C26B3" w:rsidRPr="002C5366" w14:paraId="42503392"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6CAB5B01" w14:textId="77777777" w:rsidR="001C26B3" w:rsidRPr="002C5366" w:rsidRDefault="001C26B3">
            <w:pPr>
              <w:spacing w:line="120" w:lineRule="exact"/>
              <w:rPr>
                <w:sz w:val="24"/>
              </w:rPr>
            </w:pPr>
          </w:p>
          <w:p w14:paraId="04CF1BCB" w14:textId="77777777" w:rsidR="001C26B3" w:rsidRPr="002C5366" w:rsidRDefault="001C26B3">
            <w:pPr>
              <w:spacing w:after="58"/>
              <w:rPr>
                <w:sz w:val="24"/>
              </w:rPr>
            </w:pPr>
            <w:r w:rsidRPr="002C5366">
              <w:rPr>
                <w:sz w:val="24"/>
              </w:rPr>
              <w:t>Travel and subsistence</w:t>
            </w:r>
          </w:p>
        </w:tc>
        <w:tc>
          <w:tcPr>
            <w:tcW w:w="1620" w:type="dxa"/>
            <w:tcBorders>
              <w:top w:val="single" w:sz="7" w:space="0" w:color="000000"/>
              <w:left w:val="single" w:sz="7" w:space="0" w:color="000000"/>
              <w:bottom w:val="single" w:sz="7" w:space="0" w:color="000000"/>
              <w:right w:val="single" w:sz="7" w:space="0" w:color="000000"/>
            </w:tcBorders>
          </w:tcPr>
          <w:p w14:paraId="1869F9EA" w14:textId="77777777" w:rsidR="001C26B3" w:rsidRPr="002C5366" w:rsidRDefault="001C26B3">
            <w:pPr>
              <w:spacing w:line="120" w:lineRule="exact"/>
              <w:rPr>
                <w:sz w:val="24"/>
              </w:rPr>
            </w:pPr>
          </w:p>
          <w:p w14:paraId="34A53E34" w14:textId="77777777" w:rsidR="001C26B3" w:rsidRPr="002C5366" w:rsidRDefault="001C26B3">
            <w:pPr>
              <w:spacing w:after="58"/>
              <w:jc w:val="right"/>
              <w:rPr>
                <w:sz w:val="24"/>
              </w:rPr>
            </w:pPr>
            <w:r w:rsidRPr="002C5366">
              <w:rPr>
                <w:sz w:val="24"/>
              </w:rPr>
              <w:t>$</w:t>
            </w:r>
            <w:r w:rsidR="00981F89" w:rsidRPr="002C5366">
              <w:rPr>
                <w:sz w:val="24"/>
              </w:rPr>
              <w:t>0</w:t>
            </w:r>
          </w:p>
        </w:tc>
      </w:tr>
      <w:tr w:rsidR="001C26B3" w:rsidRPr="002C5366" w14:paraId="06376ED5"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19D74A59" w14:textId="77777777" w:rsidR="001C26B3" w:rsidRPr="002C5366" w:rsidRDefault="001C26B3">
            <w:pPr>
              <w:spacing w:line="120" w:lineRule="exact"/>
              <w:rPr>
                <w:sz w:val="24"/>
              </w:rPr>
            </w:pPr>
          </w:p>
          <w:p w14:paraId="734BF7CB" w14:textId="77777777" w:rsidR="001C26B3" w:rsidRPr="002C5366" w:rsidRDefault="001C26B3">
            <w:pPr>
              <w:spacing w:after="58"/>
              <w:jc w:val="center"/>
              <w:rPr>
                <w:sz w:val="24"/>
              </w:rPr>
            </w:pPr>
            <w:r w:rsidRPr="002C5366">
              <w:rPr>
                <w:b/>
                <w:bCs/>
                <w:sz w:val="24"/>
              </w:rPr>
              <w:t>Total Estimated Contract Costs</w:t>
            </w:r>
          </w:p>
        </w:tc>
        <w:tc>
          <w:tcPr>
            <w:tcW w:w="1620" w:type="dxa"/>
            <w:tcBorders>
              <w:top w:val="single" w:sz="7" w:space="0" w:color="000000"/>
              <w:left w:val="single" w:sz="7" w:space="0" w:color="000000"/>
              <w:bottom w:val="single" w:sz="7" w:space="0" w:color="000000"/>
              <w:right w:val="single" w:sz="7" w:space="0" w:color="000000"/>
            </w:tcBorders>
          </w:tcPr>
          <w:p w14:paraId="446E212E" w14:textId="77777777" w:rsidR="001C26B3" w:rsidRPr="002C5366" w:rsidRDefault="001C26B3">
            <w:pPr>
              <w:spacing w:line="120" w:lineRule="exact"/>
              <w:rPr>
                <w:sz w:val="24"/>
              </w:rPr>
            </w:pPr>
          </w:p>
          <w:p w14:paraId="4FFBB40E" w14:textId="77777777" w:rsidR="001C26B3" w:rsidRPr="002C5366" w:rsidRDefault="001C26B3" w:rsidP="00D91B33">
            <w:pPr>
              <w:spacing w:after="58"/>
              <w:jc w:val="right"/>
              <w:rPr>
                <w:sz w:val="24"/>
              </w:rPr>
            </w:pPr>
            <w:r w:rsidRPr="002C5366">
              <w:rPr>
                <w:b/>
                <w:bCs/>
                <w:sz w:val="24"/>
              </w:rPr>
              <w:t>$</w:t>
            </w:r>
            <w:r w:rsidR="00D91B33" w:rsidRPr="002C5366">
              <w:rPr>
                <w:b/>
                <w:bCs/>
                <w:sz w:val="24"/>
              </w:rPr>
              <w:t>150,000</w:t>
            </w:r>
          </w:p>
        </w:tc>
      </w:tr>
    </w:tbl>
    <w:p w14:paraId="17A38A84" w14:textId="77777777" w:rsidR="00EA2013" w:rsidRPr="002C5366" w:rsidRDefault="00EA2013">
      <w:pPr>
        <w:rPr>
          <w:b/>
          <w:bCs/>
          <w:sz w:val="24"/>
          <w:u w:val="single"/>
        </w:rPr>
      </w:pPr>
    </w:p>
    <w:p w14:paraId="0E9A06EA" w14:textId="77777777" w:rsidR="001C26B3" w:rsidRPr="002C5366" w:rsidRDefault="001C26B3">
      <w:pPr>
        <w:rPr>
          <w:b/>
          <w:bCs/>
          <w:sz w:val="24"/>
          <w:u w:val="single"/>
        </w:rPr>
      </w:pPr>
      <w:r w:rsidRPr="002C5366">
        <w:rPr>
          <w:b/>
          <w:bCs/>
          <w:sz w:val="24"/>
          <w:u w:val="single"/>
        </w:rPr>
        <w:t>Government costs</w:t>
      </w:r>
    </w:p>
    <w:p w14:paraId="4607FFF8" w14:textId="77777777" w:rsidR="00746538" w:rsidRPr="002C5366" w:rsidRDefault="00746538">
      <w:pPr>
        <w:rPr>
          <w:b/>
          <w:bCs/>
          <w:sz w:val="24"/>
        </w:rPr>
      </w:pPr>
    </w:p>
    <w:tbl>
      <w:tblPr>
        <w:tblW w:w="8701" w:type="dxa"/>
        <w:jc w:val="center"/>
        <w:tblLayout w:type="fixed"/>
        <w:tblCellMar>
          <w:left w:w="120" w:type="dxa"/>
          <w:right w:w="120" w:type="dxa"/>
        </w:tblCellMar>
        <w:tblLook w:val="0000" w:firstRow="0" w:lastRow="0" w:firstColumn="0" w:lastColumn="0" w:noHBand="0" w:noVBand="0"/>
      </w:tblPr>
      <w:tblGrid>
        <w:gridCol w:w="2362"/>
        <w:gridCol w:w="4230"/>
        <w:gridCol w:w="2109"/>
      </w:tblGrid>
      <w:tr w:rsidR="001C26B3" w:rsidRPr="002C5366" w14:paraId="20107805"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01DF08E" w14:textId="77777777" w:rsidR="001C26B3" w:rsidRPr="002C5366" w:rsidRDefault="001C26B3">
            <w:pPr>
              <w:spacing w:line="120" w:lineRule="exact"/>
              <w:rPr>
                <w:sz w:val="24"/>
              </w:rPr>
            </w:pPr>
          </w:p>
          <w:p w14:paraId="67A23C85" w14:textId="77777777" w:rsidR="001C26B3" w:rsidRPr="002C5366" w:rsidRDefault="001C26B3">
            <w:pPr>
              <w:spacing w:after="58"/>
              <w:jc w:val="center"/>
              <w:rPr>
                <w:b/>
                <w:bCs/>
                <w:sz w:val="24"/>
              </w:rPr>
            </w:pPr>
            <w:r w:rsidRPr="002C5366">
              <w:rPr>
                <w:b/>
                <w:bCs/>
                <w:sz w:val="24"/>
              </w:rPr>
              <w:t>Personnel</w:t>
            </w:r>
          </w:p>
        </w:tc>
        <w:tc>
          <w:tcPr>
            <w:tcW w:w="4230" w:type="dxa"/>
            <w:tcBorders>
              <w:top w:val="single" w:sz="7" w:space="0" w:color="000000"/>
              <w:left w:val="single" w:sz="7" w:space="0" w:color="000000"/>
              <w:bottom w:val="single" w:sz="7" w:space="0" w:color="000000"/>
              <w:right w:val="single" w:sz="7" w:space="0" w:color="000000"/>
            </w:tcBorders>
          </w:tcPr>
          <w:p w14:paraId="55F8985A" w14:textId="77777777" w:rsidR="001C26B3" w:rsidRPr="002C5366" w:rsidRDefault="001C26B3">
            <w:pPr>
              <w:spacing w:line="120" w:lineRule="exact"/>
              <w:rPr>
                <w:b/>
                <w:bCs/>
                <w:sz w:val="24"/>
              </w:rPr>
            </w:pPr>
          </w:p>
          <w:p w14:paraId="3CF98CF6" w14:textId="77777777" w:rsidR="001C26B3" w:rsidRPr="002C5366" w:rsidRDefault="001C26B3">
            <w:pPr>
              <w:spacing w:after="58"/>
              <w:jc w:val="center"/>
              <w:rPr>
                <w:b/>
                <w:bCs/>
                <w:sz w:val="24"/>
              </w:rPr>
            </w:pPr>
            <w:r w:rsidRPr="002C5366">
              <w:rPr>
                <w:b/>
                <w:bCs/>
                <w:sz w:val="24"/>
              </w:rPr>
              <w:t>Tasks</w:t>
            </w:r>
          </w:p>
        </w:tc>
        <w:tc>
          <w:tcPr>
            <w:tcW w:w="2109" w:type="dxa"/>
            <w:tcBorders>
              <w:top w:val="single" w:sz="7" w:space="0" w:color="000000"/>
              <w:left w:val="single" w:sz="7" w:space="0" w:color="000000"/>
              <w:bottom w:val="single" w:sz="7" w:space="0" w:color="000000"/>
              <w:right w:val="single" w:sz="7" w:space="0" w:color="000000"/>
            </w:tcBorders>
          </w:tcPr>
          <w:p w14:paraId="4CA19228" w14:textId="77777777" w:rsidR="001C26B3" w:rsidRPr="002C5366" w:rsidRDefault="001C26B3">
            <w:pPr>
              <w:spacing w:line="120" w:lineRule="exact"/>
              <w:rPr>
                <w:b/>
                <w:bCs/>
                <w:sz w:val="24"/>
              </w:rPr>
            </w:pPr>
          </w:p>
          <w:p w14:paraId="6D70EBBC" w14:textId="77777777" w:rsidR="001C26B3" w:rsidRPr="002C5366" w:rsidRDefault="001C26B3">
            <w:pPr>
              <w:spacing w:after="58"/>
              <w:jc w:val="center"/>
              <w:rPr>
                <w:b/>
                <w:bCs/>
                <w:sz w:val="24"/>
              </w:rPr>
            </w:pPr>
            <w:r w:rsidRPr="002C5366">
              <w:rPr>
                <w:b/>
                <w:bCs/>
                <w:sz w:val="24"/>
              </w:rPr>
              <w:t>Avg. cost/yr</w:t>
            </w:r>
          </w:p>
        </w:tc>
      </w:tr>
      <w:tr w:rsidR="00DD740E" w:rsidRPr="002C5366" w14:paraId="15841EEE"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2D920DF" w14:textId="77777777" w:rsidR="00DD740E" w:rsidRPr="002C5366" w:rsidRDefault="00DD740E" w:rsidP="002849A9">
            <w:pPr>
              <w:spacing w:line="120" w:lineRule="exact"/>
              <w:rPr>
                <w:b/>
                <w:bCs/>
                <w:sz w:val="24"/>
              </w:rPr>
            </w:pPr>
          </w:p>
          <w:p w14:paraId="4ECEE8AC" w14:textId="6557ACF4" w:rsidR="00DD740E" w:rsidRPr="002C5366" w:rsidRDefault="00DD740E" w:rsidP="002849A9">
            <w:pPr>
              <w:spacing w:after="58"/>
              <w:rPr>
                <w:sz w:val="24"/>
              </w:rPr>
            </w:pPr>
            <w:r w:rsidRPr="002C5366">
              <w:rPr>
                <w:sz w:val="24"/>
              </w:rPr>
              <w:t>Senior Scientist</w:t>
            </w:r>
            <w:r w:rsidR="00F53791" w:rsidRPr="002C5366">
              <w:rPr>
                <w:sz w:val="24"/>
              </w:rPr>
              <w:t xml:space="preserve"> </w:t>
            </w:r>
            <w:r w:rsidR="000C1898" w:rsidRPr="002C5366">
              <w:rPr>
                <w:sz w:val="24"/>
              </w:rPr>
              <w:t>(50% time)</w:t>
            </w:r>
          </w:p>
        </w:tc>
        <w:tc>
          <w:tcPr>
            <w:tcW w:w="4230" w:type="dxa"/>
            <w:tcBorders>
              <w:top w:val="single" w:sz="7" w:space="0" w:color="000000"/>
              <w:left w:val="single" w:sz="7" w:space="0" w:color="000000"/>
              <w:bottom w:val="single" w:sz="7" w:space="0" w:color="000000"/>
              <w:right w:val="single" w:sz="7" w:space="0" w:color="000000"/>
            </w:tcBorders>
          </w:tcPr>
          <w:p w14:paraId="72C0EA45" w14:textId="77777777" w:rsidR="00DD740E" w:rsidRPr="002C5366" w:rsidRDefault="00DD740E" w:rsidP="002849A9">
            <w:pPr>
              <w:spacing w:line="120" w:lineRule="exact"/>
              <w:rPr>
                <w:sz w:val="24"/>
              </w:rPr>
            </w:pPr>
          </w:p>
          <w:p w14:paraId="6DE84676" w14:textId="77777777" w:rsidR="00DD740E" w:rsidRPr="002C5366" w:rsidRDefault="00DD740E" w:rsidP="002849A9">
            <w:pPr>
              <w:spacing w:after="58"/>
              <w:rPr>
                <w:sz w:val="24"/>
              </w:rPr>
            </w:pPr>
            <w:r w:rsidRPr="002C5366">
              <w:rPr>
                <w:sz w:val="24"/>
              </w:rPr>
              <w:t>Program oversight</w:t>
            </w:r>
          </w:p>
        </w:tc>
        <w:tc>
          <w:tcPr>
            <w:tcW w:w="2109" w:type="dxa"/>
            <w:tcBorders>
              <w:top w:val="single" w:sz="7" w:space="0" w:color="000000"/>
              <w:left w:val="single" w:sz="7" w:space="0" w:color="000000"/>
              <w:bottom w:val="single" w:sz="7" w:space="0" w:color="000000"/>
              <w:right w:val="single" w:sz="7" w:space="0" w:color="000000"/>
            </w:tcBorders>
          </w:tcPr>
          <w:p w14:paraId="02E3FE34" w14:textId="77777777" w:rsidR="00DD740E" w:rsidRPr="002C5366" w:rsidRDefault="00DD740E" w:rsidP="000D5B59">
            <w:pPr>
              <w:spacing w:line="120" w:lineRule="exact"/>
              <w:rPr>
                <w:sz w:val="24"/>
              </w:rPr>
            </w:pPr>
          </w:p>
          <w:p w14:paraId="7F9BC291" w14:textId="0140D077" w:rsidR="00DD740E" w:rsidRPr="002C5366" w:rsidRDefault="00DD740E">
            <w:pPr>
              <w:spacing w:after="58"/>
              <w:jc w:val="right"/>
              <w:rPr>
                <w:sz w:val="24"/>
              </w:rPr>
            </w:pPr>
            <w:r w:rsidRPr="002C5366">
              <w:rPr>
                <w:sz w:val="24"/>
              </w:rPr>
              <w:t>$</w:t>
            </w:r>
            <w:r w:rsidR="000C1898" w:rsidRPr="002C5366">
              <w:rPr>
                <w:sz w:val="24"/>
              </w:rPr>
              <w:t>52,500</w:t>
            </w:r>
          </w:p>
        </w:tc>
      </w:tr>
      <w:tr w:rsidR="00DD740E" w:rsidRPr="002C5366" w14:paraId="12EC882C"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08A34A62" w14:textId="77777777" w:rsidR="00DD740E" w:rsidRPr="002C5366" w:rsidRDefault="00DD740E">
            <w:pPr>
              <w:spacing w:line="120" w:lineRule="exact"/>
              <w:rPr>
                <w:b/>
                <w:bCs/>
                <w:sz w:val="24"/>
              </w:rPr>
            </w:pPr>
          </w:p>
          <w:p w14:paraId="7B6954BC" w14:textId="022282ED" w:rsidR="00DD740E" w:rsidRPr="002C5366" w:rsidRDefault="00D40E30">
            <w:pPr>
              <w:spacing w:after="58"/>
              <w:rPr>
                <w:sz w:val="24"/>
              </w:rPr>
            </w:pPr>
            <w:r w:rsidRPr="002C5366">
              <w:rPr>
                <w:sz w:val="24"/>
              </w:rPr>
              <w:t>2</w:t>
            </w:r>
            <w:r w:rsidR="00DD740E" w:rsidRPr="002C5366">
              <w:rPr>
                <w:sz w:val="24"/>
              </w:rPr>
              <w:t xml:space="preserve"> Epidemiologist</w:t>
            </w:r>
          </w:p>
        </w:tc>
        <w:tc>
          <w:tcPr>
            <w:tcW w:w="4230" w:type="dxa"/>
            <w:tcBorders>
              <w:top w:val="single" w:sz="7" w:space="0" w:color="000000"/>
              <w:left w:val="single" w:sz="7" w:space="0" w:color="000000"/>
              <w:bottom w:val="single" w:sz="7" w:space="0" w:color="000000"/>
              <w:right w:val="single" w:sz="7" w:space="0" w:color="000000"/>
            </w:tcBorders>
          </w:tcPr>
          <w:p w14:paraId="12E4A6E9" w14:textId="77777777" w:rsidR="00DD740E" w:rsidRPr="002C5366" w:rsidRDefault="00DD740E">
            <w:pPr>
              <w:spacing w:line="120" w:lineRule="exact"/>
              <w:rPr>
                <w:sz w:val="24"/>
              </w:rPr>
            </w:pPr>
          </w:p>
          <w:p w14:paraId="68E400CC" w14:textId="77777777" w:rsidR="00DD740E" w:rsidRPr="002C5366" w:rsidRDefault="00DD740E">
            <w:pPr>
              <w:spacing w:after="58"/>
              <w:rPr>
                <w:sz w:val="24"/>
              </w:rPr>
            </w:pPr>
            <w:r w:rsidRPr="002C5366">
              <w:rPr>
                <w:sz w:val="24"/>
              </w:rPr>
              <w:t>Technical assistance and data usage</w:t>
            </w:r>
          </w:p>
        </w:tc>
        <w:tc>
          <w:tcPr>
            <w:tcW w:w="2109" w:type="dxa"/>
            <w:tcBorders>
              <w:top w:val="single" w:sz="7" w:space="0" w:color="000000"/>
              <w:left w:val="single" w:sz="7" w:space="0" w:color="000000"/>
              <w:bottom w:val="single" w:sz="7" w:space="0" w:color="000000"/>
              <w:right w:val="single" w:sz="7" w:space="0" w:color="000000"/>
            </w:tcBorders>
          </w:tcPr>
          <w:p w14:paraId="0DFF8F3E" w14:textId="77777777" w:rsidR="00DD740E" w:rsidRPr="002C5366" w:rsidRDefault="00DD740E" w:rsidP="000D5B59">
            <w:pPr>
              <w:spacing w:line="120" w:lineRule="exact"/>
              <w:rPr>
                <w:sz w:val="24"/>
              </w:rPr>
            </w:pPr>
          </w:p>
          <w:p w14:paraId="2026FE0A" w14:textId="0105630B" w:rsidR="00DD740E" w:rsidRPr="002C5366" w:rsidRDefault="00DD740E" w:rsidP="00D40E30">
            <w:pPr>
              <w:spacing w:after="58"/>
              <w:jc w:val="right"/>
              <w:rPr>
                <w:sz w:val="24"/>
              </w:rPr>
            </w:pPr>
            <w:r w:rsidRPr="002C5366">
              <w:rPr>
                <w:sz w:val="24"/>
              </w:rPr>
              <w:t>$</w:t>
            </w:r>
            <w:r w:rsidR="00D40E30" w:rsidRPr="002C5366">
              <w:rPr>
                <w:sz w:val="24"/>
              </w:rPr>
              <w:t>182,400</w:t>
            </w:r>
          </w:p>
        </w:tc>
      </w:tr>
      <w:tr w:rsidR="00DD740E" w:rsidRPr="002C5366" w14:paraId="7A9EFC65"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730BEDA" w14:textId="77777777" w:rsidR="00DD740E" w:rsidRPr="002C5366" w:rsidRDefault="00DD740E">
            <w:pPr>
              <w:spacing w:line="120" w:lineRule="exact"/>
              <w:rPr>
                <w:sz w:val="24"/>
              </w:rPr>
            </w:pPr>
          </w:p>
          <w:p w14:paraId="441673E2" w14:textId="32451880" w:rsidR="00DD740E" w:rsidRPr="002C5366" w:rsidRDefault="00D40E30">
            <w:pPr>
              <w:spacing w:after="58"/>
              <w:rPr>
                <w:sz w:val="24"/>
              </w:rPr>
            </w:pPr>
            <w:r w:rsidRPr="002C5366">
              <w:rPr>
                <w:sz w:val="24"/>
              </w:rPr>
              <w:t xml:space="preserve">3 </w:t>
            </w:r>
            <w:r w:rsidR="00DD740E" w:rsidRPr="002C5366">
              <w:rPr>
                <w:sz w:val="24"/>
              </w:rPr>
              <w:t>Public Health Advisors</w:t>
            </w:r>
          </w:p>
        </w:tc>
        <w:tc>
          <w:tcPr>
            <w:tcW w:w="4230" w:type="dxa"/>
            <w:tcBorders>
              <w:top w:val="single" w:sz="7" w:space="0" w:color="000000"/>
              <w:left w:val="single" w:sz="7" w:space="0" w:color="000000"/>
              <w:bottom w:val="single" w:sz="7" w:space="0" w:color="000000"/>
              <w:right w:val="single" w:sz="7" w:space="0" w:color="000000"/>
            </w:tcBorders>
          </w:tcPr>
          <w:p w14:paraId="2C6871E8" w14:textId="77777777" w:rsidR="00DD740E" w:rsidRPr="002C5366" w:rsidRDefault="00DD740E">
            <w:pPr>
              <w:spacing w:line="120" w:lineRule="exact"/>
              <w:rPr>
                <w:sz w:val="24"/>
              </w:rPr>
            </w:pPr>
          </w:p>
          <w:p w14:paraId="3DE68BBA" w14:textId="77777777" w:rsidR="00DD740E" w:rsidRPr="002C5366" w:rsidRDefault="00DD740E">
            <w:pPr>
              <w:spacing w:after="58"/>
              <w:rPr>
                <w:sz w:val="24"/>
              </w:rPr>
            </w:pPr>
            <w:r w:rsidRPr="002C5366">
              <w:rPr>
                <w:sz w:val="24"/>
              </w:rPr>
              <w:t>Programmatic, budgetary, administrative management &amp; oversight</w:t>
            </w:r>
          </w:p>
        </w:tc>
        <w:tc>
          <w:tcPr>
            <w:tcW w:w="2109" w:type="dxa"/>
            <w:tcBorders>
              <w:top w:val="single" w:sz="7" w:space="0" w:color="000000"/>
              <w:left w:val="single" w:sz="7" w:space="0" w:color="000000"/>
              <w:bottom w:val="single" w:sz="7" w:space="0" w:color="000000"/>
              <w:right w:val="single" w:sz="7" w:space="0" w:color="000000"/>
            </w:tcBorders>
          </w:tcPr>
          <w:p w14:paraId="508B2C1F" w14:textId="77777777" w:rsidR="00DD740E" w:rsidRPr="002C5366" w:rsidRDefault="00DD740E" w:rsidP="000D5B59">
            <w:pPr>
              <w:spacing w:line="120" w:lineRule="exact"/>
              <w:rPr>
                <w:sz w:val="24"/>
              </w:rPr>
            </w:pPr>
          </w:p>
          <w:p w14:paraId="06287B08" w14:textId="1FC9C2F7" w:rsidR="00DD740E" w:rsidRPr="002C5366" w:rsidRDefault="00BA1A67" w:rsidP="00761191">
            <w:pPr>
              <w:spacing w:after="58"/>
              <w:jc w:val="right"/>
              <w:rPr>
                <w:sz w:val="24"/>
              </w:rPr>
            </w:pPr>
            <w:r w:rsidRPr="002C5366">
              <w:rPr>
                <w:sz w:val="24"/>
              </w:rPr>
              <w:t>$</w:t>
            </w:r>
            <w:r w:rsidR="00D40E30" w:rsidRPr="002C5366">
              <w:rPr>
                <w:sz w:val="24"/>
              </w:rPr>
              <w:t>282,225</w:t>
            </w:r>
          </w:p>
          <w:p w14:paraId="5A04863F" w14:textId="77777777" w:rsidR="00761191" w:rsidRPr="002C5366" w:rsidRDefault="00761191" w:rsidP="00761191">
            <w:pPr>
              <w:spacing w:after="58"/>
              <w:jc w:val="right"/>
              <w:rPr>
                <w:sz w:val="24"/>
              </w:rPr>
            </w:pPr>
          </w:p>
        </w:tc>
      </w:tr>
      <w:tr w:rsidR="00DD740E" w:rsidRPr="002C5366" w14:paraId="452256CD" w14:textId="77777777" w:rsidTr="00F658DF">
        <w:trPr>
          <w:trHeight w:val="864"/>
          <w:jc w:val="center"/>
        </w:trPr>
        <w:tc>
          <w:tcPr>
            <w:tcW w:w="2362" w:type="dxa"/>
            <w:tcBorders>
              <w:top w:val="single" w:sz="7" w:space="0" w:color="000000"/>
              <w:left w:val="single" w:sz="7" w:space="0" w:color="000000"/>
              <w:bottom w:val="single" w:sz="7" w:space="0" w:color="000000"/>
              <w:right w:val="single" w:sz="7" w:space="0" w:color="000000"/>
            </w:tcBorders>
          </w:tcPr>
          <w:p w14:paraId="4045A2E8" w14:textId="77777777" w:rsidR="00DD740E" w:rsidRPr="002C5366" w:rsidRDefault="00DD740E" w:rsidP="002849A9">
            <w:pPr>
              <w:spacing w:line="120" w:lineRule="exact"/>
              <w:rPr>
                <w:sz w:val="24"/>
              </w:rPr>
            </w:pPr>
          </w:p>
          <w:p w14:paraId="4A876DA1" w14:textId="7A238F56" w:rsidR="000C1898" w:rsidRPr="002C5366" w:rsidRDefault="00DD740E" w:rsidP="002849A9">
            <w:pPr>
              <w:rPr>
                <w:sz w:val="24"/>
              </w:rPr>
            </w:pPr>
            <w:r w:rsidRPr="002C5366">
              <w:rPr>
                <w:sz w:val="24"/>
              </w:rPr>
              <w:t>Public Health Analyst</w:t>
            </w:r>
          </w:p>
        </w:tc>
        <w:tc>
          <w:tcPr>
            <w:tcW w:w="4230" w:type="dxa"/>
            <w:tcBorders>
              <w:top w:val="single" w:sz="7" w:space="0" w:color="000000"/>
              <w:left w:val="single" w:sz="7" w:space="0" w:color="000000"/>
              <w:bottom w:val="single" w:sz="7" w:space="0" w:color="000000"/>
              <w:right w:val="single" w:sz="7" w:space="0" w:color="000000"/>
            </w:tcBorders>
          </w:tcPr>
          <w:p w14:paraId="4885A10A" w14:textId="77777777" w:rsidR="00DD740E" w:rsidRPr="002C5366" w:rsidRDefault="00DD740E" w:rsidP="002849A9">
            <w:pPr>
              <w:spacing w:line="120" w:lineRule="exact"/>
              <w:rPr>
                <w:sz w:val="24"/>
              </w:rPr>
            </w:pPr>
          </w:p>
          <w:p w14:paraId="497FD785" w14:textId="77777777" w:rsidR="00DD740E" w:rsidRPr="002C5366" w:rsidRDefault="00DD740E" w:rsidP="002849A9">
            <w:pPr>
              <w:rPr>
                <w:sz w:val="24"/>
              </w:rPr>
            </w:pPr>
            <w:r w:rsidRPr="002C5366">
              <w:rPr>
                <w:sz w:val="24"/>
              </w:rPr>
              <w:t>Data quality assurance</w:t>
            </w:r>
          </w:p>
        </w:tc>
        <w:tc>
          <w:tcPr>
            <w:tcW w:w="2109" w:type="dxa"/>
            <w:tcBorders>
              <w:top w:val="single" w:sz="7" w:space="0" w:color="000000"/>
              <w:left w:val="single" w:sz="7" w:space="0" w:color="000000"/>
              <w:bottom w:val="single" w:sz="7" w:space="0" w:color="000000"/>
              <w:right w:val="single" w:sz="7" w:space="0" w:color="000000"/>
            </w:tcBorders>
          </w:tcPr>
          <w:p w14:paraId="487BEFD1" w14:textId="77777777" w:rsidR="00DD740E" w:rsidRPr="002C5366" w:rsidRDefault="00DD740E" w:rsidP="000D5B59">
            <w:pPr>
              <w:spacing w:line="120" w:lineRule="exact"/>
              <w:rPr>
                <w:sz w:val="24"/>
              </w:rPr>
            </w:pPr>
          </w:p>
          <w:p w14:paraId="55AC1159" w14:textId="77777777" w:rsidR="00DD740E" w:rsidRPr="002C5366" w:rsidRDefault="00DD740E" w:rsidP="002849A9">
            <w:pPr>
              <w:jc w:val="right"/>
              <w:rPr>
                <w:sz w:val="24"/>
              </w:rPr>
            </w:pPr>
            <w:r w:rsidRPr="002C5366">
              <w:rPr>
                <w:sz w:val="24"/>
              </w:rPr>
              <w:t>$80,000</w:t>
            </w:r>
          </w:p>
        </w:tc>
      </w:tr>
      <w:tr w:rsidR="00DD740E" w:rsidRPr="002C5366" w14:paraId="08B8305C"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F0C07B7" w14:textId="045578BF" w:rsidR="00DD740E" w:rsidRPr="002C5366" w:rsidRDefault="000C1898">
            <w:pPr>
              <w:spacing w:after="58"/>
              <w:rPr>
                <w:sz w:val="24"/>
              </w:rPr>
            </w:pPr>
            <w:r w:rsidRPr="002C5366">
              <w:rPr>
                <w:sz w:val="24"/>
              </w:rPr>
              <w:t>3% cost of living adjustment over 3-years</w:t>
            </w:r>
          </w:p>
        </w:tc>
        <w:tc>
          <w:tcPr>
            <w:tcW w:w="4230" w:type="dxa"/>
            <w:tcBorders>
              <w:top w:val="single" w:sz="7" w:space="0" w:color="000000"/>
              <w:left w:val="single" w:sz="7" w:space="0" w:color="000000"/>
              <w:bottom w:val="single" w:sz="7" w:space="0" w:color="000000"/>
              <w:right w:val="single" w:sz="7" w:space="0" w:color="000000"/>
            </w:tcBorders>
          </w:tcPr>
          <w:p w14:paraId="0CF79142" w14:textId="77777777" w:rsidR="00DD740E" w:rsidRPr="002C5366" w:rsidRDefault="00DD740E">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564DFB8D" w14:textId="1A4936C1" w:rsidR="00761191" w:rsidRPr="002C5366" w:rsidRDefault="000C1898" w:rsidP="0055419B">
            <w:pPr>
              <w:spacing w:after="58"/>
              <w:jc w:val="right"/>
              <w:rPr>
                <w:sz w:val="24"/>
              </w:rPr>
            </w:pPr>
            <w:r w:rsidRPr="002C5366">
              <w:rPr>
                <w:sz w:val="24"/>
              </w:rPr>
              <w:t>$</w:t>
            </w:r>
            <w:r w:rsidR="0055419B" w:rsidRPr="002C5366">
              <w:rPr>
                <w:sz w:val="24"/>
              </w:rPr>
              <w:t>17,914</w:t>
            </w:r>
          </w:p>
        </w:tc>
      </w:tr>
      <w:tr w:rsidR="00324201" w:rsidRPr="002C5366" w14:paraId="760E2014"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659B5E1" w14:textId="30CC4B58" w:rsidR="00324201" w:rsidRPr="002C5366" w:rsidRDefault="00324201">
            <w:pPr>
              <w:spacing w:after="58"/>
              <w:rPr>
                <w:b/>
                <w:sz w:val="24"/>
              </w:rPr>
            </w:pPr>
            <w:r w:rsidRPr="002C5366">
              <w:rPr>
                <w:b/>
                <w:sz w:val="24"/>
              </w:rPr>
              <w:t>Sub-total</w:t>
            </w:r>
          </w:p>
        </w:tc>
        <w:tc>
          <w:tcPr>
            <w:tcW w:w="4230" w:type="dxa"/>
            <w:tcBorders>
              <w:top w:val="single" w:sz="7" w:space="0" w:color="000000"/>
              <w:left w:val="single" w:sz="7" w:space="0" w:color="000000"/>
              <w:bottom w:val="single" w:sz="7" w:space="0" w:color="000000"/>
              <w:right w:val="single" w:sz="7" w:space="0" w:color="000000"/>
            </w:tcBorders>
          </w:tcPr>
          <w:p w14:paraId="2AA35760" w14:textId="77777777" w:rsidR="00324201" w:rsidRPr="002C5366" w:rsidRDefault="00324201">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575BC129" w14:textId="05C6465C" w:rsidR="00324201" w:rsidRPr="002C5366" w:rsidRDefault="00324201" w:rsidP="0055419B">
            <w:pPr>
              <w:spacing w:after="58"/>
              <w:jc w:val="right"/>
              <w:rPr>
                <w:b/>
                <w:sz w:val="24"/>
              </w:rPr>
            </w:pPr>
            <w:r w:rsidRPr="002C5366">
              <w:rPr>
                <w:b/>
                <w:sz w:val="24"/>
              </w:rPr>
              <w:t>$</w:t>
            </w:r>
            <w:r w:rsidR="0055419B" w:rsidRPr="002C5366">
              <w:rPr>
                <w:b/>
                <w:sz w:val="24"/>
              </w:rPr>
              <w:t>615,039</w:t>
            </w:r>
          </w:p>
        </w:tc>
      </w:tr>
      <w:tr w:rsidR="00324201" w:rsidRPr="002C5366" w14:paraId="24F26296"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6F18578" w14:textId="69473B2D" w:rsidR="00324201" w:rsidRPr="002C5366" w:rsidRDefault="00324201">
            <w:pPr>
              <w:spacing w:after="58"/>
              <w:rPr>
                <w:sz w:val="24"/>
              </w:rPr>
            </w:pPr>
            <w:r w:rsidRPr="002C5366">
              <w:rPr>
                <w:sz w:val="24"/>
              </w:rPr>
              <w:t>Contract Costs</w:t>
            </w:r>
          </w:p>
        </w:tc>
        <w:tc>
          <w:tcPr>
            <w:tcW w:w="4230" w:type="dxa"/>
            <w:tcBorders>
              <w:top w:val="single" w:sz="7" w:space="0" w:color="000000"/>
              <w:left w:val="single" w:sz="7" w:space="0" w:color="000000"/>
              <w:bottom w:val="single" w:sz="7" w:space="0" w:color="000000"/>
              <w:right w:val="single" w:sz="7" w:space="0" w:color="000000"/>
            </w:tcBorders>
          </w:tcPr>
          <w:p w14:paraId="4A9A1D24" w14:textId="77777777" w:rsidR="00324201" w:rsidRPr="002C5366" w:rsidRDefault="00324201">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155CD209" w14:textId="6CB60D2E" w:rsidR="00324201" w:rsidRPr="002C5366" w:rsidRDefault="00324201" w:rsidP="00761191">
            <w:pPr>
              <w:spacing w:after="58"/>
              <w:jc w:val="right"/>
              <w:rPr>
                <w:sz w:val="24"/>
              </w:rPr>
            </w:pPr>
            <w:r w:rsidRPr="002C5366">
              <w:rPr>
                <w:sz w:val="24"/>
              </w:rPr>
              <w:t>$150,000</w:t>
            </w:r>
          </w:p>
        </w:tc>
      </w:tr>
      <w:tr w:rsidR="00324201" w:rsidRPr="002C5366" w14:paraId="01B8FCF1"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01BCDAA1" w14:textId="1F2483C4" w:rsidR="00324201" w:rsidRPr="002C5366" w:rsidRDefault="00324201">
            <w:pPr>
              <w:spacing w:after="58"/>
              <w:rPr>
                <w:b/>
                <w:sz w:val="24"/>
              </w:rPr>
            </w:pPr>
            <w:r w:rsidRPr="002C5366">
              <w:rPr>
                <w:b/>
                <w:sz w:val="24"/>
              </w:rPr>
              <w:t>Total</w:t>
            </w:r>
          </w:p>
        </w:tc>
        <w:tc>
          <w:tcPr>
            <w:tcW w:w="4230" w:type="dxa"/>
            <w:tcBorders>
              <w:top w:val="single" w:sz="7" w:space="0" w:color="000000"/>
              <w:left w:val="single" w:sz="7" w:space="0" w:color="000000"/>
              <w:bottom w:val="single" w:sz="7" w:space="0" w:color="000000"/>
              <w:right w:val="single" w:sz="7" w:space="0" w:color="000000"/>
            </w:tcBorders>
          </w:tcPr>
          <w:p w14:paraId="451C0690" w14:textId="77777777" w:rsidR="00324201" w:rsidRPr="002C5366" w:rsidRDefault="00324201">
            <w:pPr>
              <w:spacing w:after="58"/>
              <w:rPr>
                <w:b/>
                <w:sz w:val="24"/>
              </w:rPr>
            </w:pPr>
          </w:p>
        </w:tc>
        <w:tc>
          <w:tcPr>
            <w:tcW w:w="2109" w:type="dxa"/>
            <w:tcBorders>
              <w:top w:val="single" w:sz="7" w:space="0" w:color="000000"/>
              <w:left w:val="single" w:sz="7" w:space="0" w:color="000000"/>
              <w:bottom w:val="single" w:sz="7" w:space="0" w:color="000000"/>
              <w:right w:val="single" w:sz="7" w:space="0" w:color="000000"/>
            </w:tcBorders>
          </w:tcPr>
          <w:p w14:paraId="5F34A55E" w14:textId="06CAC8A5" w:rsidR="00324201" w:rsidRPr="002C5366" w:rsidRDefault="00AA7C56" w:rsidP="0055419B">
            <w:pPr>
              <w:spacing w:after="58"/>
              <w:jc w:val="right"/>
              <w:rPr>
                <w:b/>
                <w:sz w:val="24"/>
              </w:rPr>
            </w:pPr>
            <w:r w:rsidRPr="002C5366">
              <w:rPr>
                <w:b/>
                <w:sz w:val="24"/>
              </w:rPr>
              <w:t>$</w:t>
            </w:r>
            <w:r w:rsidR="0055419B" w:rsidRPr="002C5366">
              <w:rPr>
                <w:b/>
                <w:sz w:val="24"/>
              </w:rPr>
              <w:t>765,039</w:t>
            </w:r>
          </w:p>
        </w:tc>
      </w:tr>
    </w:tbl>
    <w:p w14:paraId="1D23EEA0" w14:textId="77777777" w:rsidR="001C26B3" w:rsidRPr="002C5366" w:rsidRDefault="001C26B3">
      <w:pPr>
        <w:rPr>
          <w:sz w:val="24"/>
        </w:rPr>
      </w:pPr>
    </w:p>
    <w:p w14:paraId="06862242" w14:textId="2C800F46" w:rsidR="001C26B3" w:rsidRPr="002C5366" w:rsidRDefault="001C26B3">
      <w:pPr>
        <w:rPr>
          <w:sz w:val="24"/>
        </w:rPr>
      </w:pPr>
      <w:r w:rsidRPr="002C5366">
        <w:rPr>
          <w:sz w:val="24"/>
        </w:rPr>
        <w:t>Total annual contractual and government staff costs are approximately $</w:t>
      </w:r>
      <w:r w:rsidR="00A9081F" w:rsidRPr="002C5366">
        <w:rPr>
          <w:sz w:val="24"/>
        </w:rPr>
        <w:t>765,039</w:t>
      </w:r>
      <w:r w:rsidR="007C197E" w:rsidRPr="002C5366">
        <w:rPr>
          <w:sz w:val="24"/>
        </w:rPr>
        <w:t>.</w:t>
      </w:r>
      <w:r w:rsidR="00746538" w:rsidRPr="002C5366">
        <w:rPr>
          <w:sz w:val="24"/>
        </w:rPr>
        <w:t xml:space="preserve"> </w:t>
      </w:r>
      <w:r w:rsidR="000C1898" w:rsidRPr="002C5366">
        <w:rPr>
          <w:sz w:val="24"/>
        </w:rPr>
        <w:t>This is a three</w:t>
      </w:r>
      <w:r w:rsidR="001E544D" w:rsidRPr="002C5366">
        <w:rPr>
          <w:sz w:val="24"/>
        </w:rPr>
        <w:t xml:space="preserve"> year</w:t>
      </w:r>
      <w:r w:rsidR="000C1898" w:rsidRPr="002C5366">
        <w:rPr>
          <w:sz w:val="24"/>
        </w:rPr>
        <w:t xml:space="preserve"> project</w:t>
      </w:r>
      <w:r w:rsidRPr="002C5366">
        <w:rPr>
          <w:sz w:val="24"/>
        </w:rPr>
        <w:t xml:space="preserve">.  The total cost over </w:t>
      </w:r>
      <w:r w:rsidR="000C1898" w:rsidRPr="002C5366">
        <w:rPr>
          <w:sz w:val="24"/>
        </w:rPr>
        <w:t>three</w:t>
      </w:r>
      <w:r w:rsidRPr="002C5366">
        <w:rPr>
          <w:sz w:val="24"/>
        </w:rPr>
        <w:t xml:space="preserve"> years for contractual and government staff will be </w:t>
      </w:r>
      <w:r w:rsidR="000C1898" w:rsidRPr="002C5366">
        <w:rPr>
          <w:sz w:val="24"/>
        </w:rPr>
        <w:t>three times the annual budget.</w:t>
      </w:r>
    </w:p>
    <w:p w14:paraId="62DCDEF1" w14:textId="77777777" w:rsidR="001C26B3" w:rsidRPr="002C5366" w:rsidRDefault="001C26B3">
      <w:pPr>
        <w:rPr>
          <w:b/>
          <w:bCs/>
          <w:sz w:val="24"/>
        </w:rPr>
      </w:pPr>
    </w:p>
    <w:p w14:paraId="1AF62F4F" w14:textId="77777777" w:rsidR="003B15A4" w:rsidRPr="002C5366" w:rsidRDefault="003B15A4">
      <w:pPr>
        <w:rPr>
          <w:b/>
          <w:bCs/>
          <w:sz w:val="24"/>
        </w:rPr>
      </w:pPr>
    </w:p>
    <w:p w14:paraId="4E61C0C1" w14:textId="77777777" w:rsidR="001C26B3" w:rsidRPr="002C5366" w:rsidRDefault="001C26B3">
      <w:pPr>
        <w:tabs>
          <w:tab w:val="left" w:pos="-1440"/>
        </w:tabs>
        <w:ind w:left="1440" w:hanging="1440"/>
        <w:rPr>
          <w:sz w:val="24"/>
        </w:rPr>
      </w:pPr>
      <w:r w:rsidRPr="002C5366">
        <w:rPr>
          <w:b/>
          <w:bCs/>
          <w:sz w:val="24"/>
        </w:rPr>
        <w:t>15.  Explanation for Program Changes or Adjustments</w:t>
      </w:r>
    </w:p>
    <w:p w14:paraId="172C99F6" w14:textId="77777777" w:rsidR="001C26B3" w:rsidRPr="002C5366" w:rsidRDefault="001C26B3">
      <w:pPr>
        <w:rPr>
          <w:sz w:val="24"/>
        </w:rPr>
      </w:pPr>
    </w:p>
    <w:p w14:paraId="40E580D1" w14:textId="352E9550" w:rsidR="00723312" w:rsidRPr="002C5366" w:rsidRDefault="00723312" w:rsidP="00723312">
      <w:pPr>
        <w:rPr>
          <w:sz w:val="24"/>
        </w:rPr>
      </w:pPr>
      <w:r w:rsidRPr="002C5366">
        <w:rPr>
          <w:sz w:val="24"/>
        </w:rPr>
        <w:t>There are minimal changes to the collection instrument in this revision; however, there have been updates to the web-based system to improve performance, functionality, and accessibility for funded states. Minimal changes to the SUDORS module include revisions to question wording and response choices as well as additional items to better capture contextual information such as day/time a decedent was last seen alive, whether a decedent had a recent opioid use relapse, evidence of prescription drug use, and evidence of rapid overdose.  These revisions are based on lessons learned from currently funded ESOOS awardees, from two Epi-Aids in Massachusetts and Ohio, and consultations with experts on illici</w:t>
      </w:r>
      <w:r w:rsidR="00F5210A" w:rsidRPr="002C5366">
        <w:rPr>
          <w:sz w:val="24"/>
        </w:rPr>
        <w:t>t drug use. Attachment F</w:t>
      </w:r>
      <w:r w:rsidRPr="002C5366">
        <w:rPr>
          <w:sz w:val="24"/>
        </w:rPr>
        <w:t xml:space="preserve"> (</w:t>
      </w:r>
      <w:r w:rsidR="00F5210A" w:rsidRPr="002C5366">
        <w:rPr>
          <w:sz w:val="24"/>
        </w:rPr>
        <w:t>the Survey Updates Documentation</w:t>
      </w:r>
      <w:r w:rsidRPr="002C5366">
        <w:rPr>
          <w:sz w:val="24"/>
        </w:rPr>
        <w:t>) and Attachment F</w:t>
      </w:r>
      <w:r w:rsidR="00F5210A" w:rsidRPr="002C5366">
        <w:rPr>
          <w:sz w:val="24"/>
        </w:rPr>
        <w:t>1</w:t>
      </w:r>
      <w:r w:rsidRPr="002C5366">
        <w:rPr>
          <w:sz w:val="24"/>
        </w:rPr>
        <w:t xml:space="preserve"> (</w:t>
      </w:r>
      <w:r w:rsidR="00F5210A" w:rsidRPr="002C5366">
        <w:rPr>
          <w:sz w:val="24"/>
        </w:rPr>
        <w:t>screenshots</w:t>
      </w:r>
      <w:r w:rsidRPr="002C5366">
        <w:rPr>
          <w:sz w:val="24"/>
        </w:rPr>
        <w:t>) provide a detailed crosswalk of current questions and the revisions. These changes would not a</w:t>
      </w:r>
      <w:r w:rsidR="0093145C" w:rsidRPr="002C5366">
        <w:rPr>
          <w:sz w:val="24"/>
        </w:rPr>
        <w:t xml:space="preserve">ffect burden hours per response. </w:t>
      </w:r>
      <w:r w:rsidR="00C9246A" w:rsidRPr="002C5366">
        <w:rPr>
          <w:sz w:val="24"/>
        </w:rPr>
        <w:t>Not all categories are required, and not all categories will be used for each death; use depends on information and evidence specific to each death record (i.e., built in skip-patterns)</w:t>
      </w:r>
      <w:r w:rsidR="00F93655" w:rsidRPr="002C5366">
        <w:rPr>
          <w:sz w:val="24"/>
        </w:rPr>
        <w:t xml:space="preserve">. Previously, the information that will be captured by the new categories could only be captured by entering text in the narrative field. </w:t>
      </w:r>
      <w:r w:rsidRPr="002C5366">
        <w:rPr>
          <w:sz w:val="24"/>
        </w:rPr>
        <w:t>Examples of the minimal changes are below:</w:t>
      </w:r>
    </w:p>
    <w:p w14:paraId="5E4F637A" w14:textId="37441212" w:rsidR="00723312" w:rsidRPr="002C5366" w:rsidRDefault="00723312" w:rsidP="00723312">
      <w:pPr>
        <w:pStyle w:val="ListParagraph"/>
        <w:numPr>
          <w:ilvl w:val="0"/>
          <w:numId w:val="40"/>
        </w:numPr>
        <w:contextualSpacing w:val="0"/>
        <w:rPr>
          <w:rFonts w:ascii="Times New Roman" w:hAnsi="Times New Roman"/>
        </w:rPr>
      </w:pPr>
      <w:r w:rsidRPr="002C5366">
        <w:rPr>
          <w:rFonts w:ascii="Times New Roman" w:hAnsi="Times New Roman"/>
        </w:rPr>
        <w:t>Due to limited funding at program start-up, a number of the items used drop down responses that only allowed abstractors to enter one response. This revision changes the structure of the items so an abstractor could select multiple responses when necessary. For example, an original item includes a drop down box for options under “</w:t>
      </w:r>
      <w:r w:rsidR="009357EB" w:rsidRPr="002C5366">
        <w:rPr>
          <w:rFonts w:ascii="Times New Roman" w:hAnsi="Times New Roman"/>
        </w:rPr>
        <w:t xml:space="preserve">Naloxone/opioid antagonist administered” where only one item can be selected and the revised item includes a check boxes for all that apply that include several responses (see “response to drug overdose” section in Attachment </w:t>
      </w:r>
      <w:r w:rsidR="00F5210A" w:rsidRPr="002C5366">
        <w:rPr>
          <w:rFonts w:ascii="Times New Roman" w:hAnsi="Times New Roman"/>
        </w:rPr>
        <w:t>F1</w:t>
      </w:r>
      <w:r w:rsidR="009357EB" w:rsidRPr="002C5366">
        <w:rPr>
          <w:rFonts w:ascii="Times New Roman" w:hAnsi="Times New Roman"/>
        </w:rPr>
        <w:t>).</w:t>
      </w:r>
    </w:p>
    <w:p w14:paraId="26A82021" w14:textId="496028F9" w:rsidR="00723312" w:rsidRPr="002C5366" w:rsidRDefault="009357EB" w:rsidP="00723312">
      <w:pPr>
        <w:pStyle w:val="ListParagraph"/>
        <w:numPr>
          <w:ilvl w:val="0"/>
          <w:numId w:val="40"/>
        </w:numPr>
        <w:contextualSpacing w:val="0"/>
        <w:rPr>
          <w:rFonts w:ascii="Times New Roman" w:hAnsi="Times New Roman"/>
        </w:rPr>
      </w:pPr>
      <w:r w:rsidRPr="002C5366">
        <w:rPr>
          <w:rFonts w:ascii="Times New Roman" w:hAnsi="Times New Roman"/>
        </w:rPr>
        <w:t>R</w:t>
      </w:r>
      <w:r w:rsidR="00723312" w:rsidRPr="002C5366">
        <w:rPr>
          <w:rFonts w:ascii="Times New Roman" w:hAnsi="Times New Roman"/>
        </w:rPr>
        <w:t>eview and use of the items revealed that more nuanced responses were needed for some questions. For instance, the revised screen lists all methods for using drugs (injection, ingestion, sniffing/snorting, smoking, etc.) while the previous</w:t>
      </w:r>
      <w:r w:rsidRPr="002C5366">
        <w:rPr>
          <w:rFonts w:ascii="Times New Roman" w:hAnsi="Times New Roman"/>
        </w:rPr>
        <w:t xml:space="preserve"> screen omitted some categories (see “route of drug exposure/administration” section in Attachment </w:t>
      </w:r>
      <w:r w:rsidR="00F5210A" w:rsidRPr="002C5366">
        <w:rPr>
          <w:rFonts w:ascii="Times New Roman" w:hAnsi="Times New Roman"/>
        </w:rPr>
        <w:t>F1</w:t>
      </w:r>
      <w:r w:rsidRPr="002C5366">
        <w:rPr>
          <w:rFonts w:ascii="Times New Roman" w:hAnsi="Times New Roman"/>
        </w:rPr>
        <w:t>).</w:t>
      </w:r>
    </w:p>
    <w:p w14:paraId="1AE55F8B" w14:textId="76364480" w:rsidR="00723312" w:rsidRPr="002C5366" w:rsidRDefault="00723312" w:rsidP="00723312">
      <w:pPr>
        <w:pStyle w:val="ListParagraph"/>
        <w:numPr>
          <w:ilvl w:val="0"/>
          <w:numId w:val="40"/>
        </w:numPr>
        <w:contextualSpacing w:val="0"/>
        <w:rPr>
          <w:rFonts w:ascii="Times New Roman" w:hAnsi="Times New Roman"/>
        </w:rPr>
      </w:pPr>
      <w:r w:rsidRPr="002C5366">
        <w:rPr>
          <w:rFonts w:ascii="Times New Roman" w:hAnsi="Times New Roman"/>
        </w:rPr>
        <w:t>In order to capture information on some key variables such as presence of illicit drugs, additional items were added to help abstractors recognize death scene characteristics commonly associated with illicit drug use such as drug</w:t>
      </w:r>
      <w:r w:rsidR="009357EB" w:rsidRPr="002C5366">
        <w:rPr>
          <w:rFonts w:ascii="Times New Roman" w:hAnsi="Times New Roman"/>
        </w:rPr>
        <w:t xml:space="preserve"> powders and drug paraphernalia (see “illicit or prescription drugs” section in Attachment </w:t>
      </w:r>
      <w:r w:rsidR="00F5210A" w:rsidRPr="002C5366">
        <w:rPr>
          <w:rFonts w:ascii="Times New Roman" w:hAnsi="Times New Roman"/>
        </w:rPr>
        <w:t>F1</w:t>
      </w:r>
      <w:r w:rsidR="009357EB" w:rsidRPr="002C5366">
        <w:rPr>
          <w:rFonts w:ascii="Times New Roman" w:hAnsi="Times New Roman"/>
        </w:rPr>
        <w:t>).</w:t>
      </w:r>
    </w:p>
    <w:p w14:paraId="6C8F0AE5" w14:textId="3CFC6924" w:rsidR="00723312" w:rsidRPr="002C5366" w:rsidRDefault="00723312" w:rsidP="00723312">
      <w:pPr>
        <w:pStyle w:val="ListParagraph"/>
        <w:numPr>
          <w:ilvl w:val="0"/>
          <w:numId w:val="40"/>
        </w:numPr>
        <w:contextualSpacing w:val="0"/>
        <w:rPr>
          <w:rFonts w:ascii="Times New Roman" w:hAnsi="Times New Roman"/>
        </w:rPr>
      </w:pPr>
      <w:r w:rsidRPr="002C5366">
        <w:rPr>
          <w:rFonts w:ascii="Times New Roman" w:hAnsi="Times New Roman"/>
        </w:rPr>
        <w:t>A major finding of the Epi-Aid investigation</w:t>
      </w:r>
      <w:r w:rsidR="009357EB" w:rsidRPr="002C5366">
        <w:rPr>
          <w:rFonts w:ascii="Times New Roman" w:hAnsi="Times New Roman"/>
        </w:rPr>
        <w:t>s</w:t>
      </w:r>
      <w:r w:rsidRPr="002C5366">
        <w:rPr>
          <w:rFonts w:ascii="Times New Roman" w:hAnsi="Times New Roman"/>
        </w:rPr>
        <w:t xml:space="preserve"> was that new illicit drugs were causing opioid-related overdoses to progress very quickly. Consequently, items were ad</w:t>
      </w:r>
      <w:r w:rsidR="009357EB" w:rsidRPr="002C5366">
        <w:rPr>
          <w:rFonts w:ascii="Times New Roman" w:hAnsi="Times New Roman"/>
        </w:rPr>
        <w:t xml:space="preserve">ded to capture this information (see “scene indications of drug use” section in Attachment </w:t>
      </w:r>
      <w:r w:rsidR="00F5210A" w:rsidRPr="002C5366">
        <w:rPr>
          <w:rFonts w:ascii="Times New Roman" w:hAnsi="Times New Roman"/>
        </w:rPr>
        <w:t>F1</w:t>
      </w:r>
      <w:r w:rsidR="009357EB" w:rsidRPr="002C5366">
        <w:rPr>
          <w:rFonts w:ascii="Times New Roman" w:hAnsi="Times New Roman"/>
        </w:rPr>
        <w:t>).</w:t>
      </w:r>
    </w:p>
    <w:p w14:paraId="14726B40" w14:textId="77777777" w:rsidR="000F23AF" w:rsidRPr="002C5366" w:rsidRDefault="000F23AF" w:rsidP="000F23AF">
      <w:pPr>
        <w:rPr>
          <w:sz w:val="24"/>
        </w:rPr>
      </w:pPr>
    </w:p>
    <w:p w14:paraId="6BAB57D4" w14:textId="5A0FEB36" w:rsidR="000F23AF" w:rsidRPr="002C5366" w:rsidRDefault="000F23AF" w:rsidP="000F23AF">
      <w:pPr>
        <w:rPr>
          <w:sz w:val="24"/>
        </w:rPr>
      </w:pPr>
      <w:r w:rsidRPr="002C5366">
        <w:rPr>
          <w:sz w:val="24"/>
        </w:rPr>
        <w:t xml:space="preserve">The purpose of the SUDORS data collection and the ESOOS program is to obtain more timely mortality data than is available through vital statistics. </w:t>
      </w:r>
      <w:r w:rsidR="009357EB" w:rsidRPr="002C5366">
        <w:rPr>
          <w:sz w:val="24"/>
        </w:rPr>
        <w:t xml:space="preserve">The specific charge in FY16 and FY17 is for the ESOOS program to work with state health departments to improve the timeliness of fatal opioid overdose surveillance. Funded state health departments are required by the FOA to </w:t>
      </w:r>
      <w:r w:rsidR="009357EB" w:rsidRPr="002C5366">
        <w:rPr>
          <w:sz w:val="24"/>
          <w:lang w:val="en"/>
        </w:rPr>
        <w:t>provide CDC via SUDORS preliminary drug overdose death counts within 8 months which is faster than current estimates from vital statistics which has a time lag of a year or more. This allows better tracking of the impact of current prevention initiatives. However, d</w:t>
      </w:r>
      <w:r w:rsidRPr="002C5366">
        <w:rPr>
          <w:sz w:val="24"/>
        </w:rPr>
        <w:t>elays in data collection impede the ability of the ESOOS program to obtain more rapid mortality data that can inform deployment of prevention and intervention strategies to address the ongoing opioid epidemic and be responsive to the congressional intent of the program funding.</w:t>
      </w:r>
    </w:p>
    <w:p w14:paraId="1F2B4E43" w14:textId="77777777" w:rsidR="003F00A6" w:rsidRPr="002C5366" w:rsidRDefault="003F00A6">
      <w:pPr>
        <w:rPr>
          <w:sz w:val="24"/>
        </w:rPr>
      </w:pPr>
    </w:p>
    <w:p w14:paraId="5B661F81" w14:textId="77777777" w:rsidR="001C26B3" w:rsidRPr="002C5366" w:rsidRDefault="001C26B3">
      <w:pPr>
        <w:tabs>
          <w:tab w:val="left" w:pos="-1440"/>
        </w:tabs>
        <w:ind w:left="1440" w:hanging="1440"/>
        <w:rPr>
          <w:sz w:val="24"/>
        </w:rPr>
      </w:pPr>
      <w:r w:rsidRPr="002C5366">
        <w:rPr>
          <w:b/>
          <w:bCs/>
          <w:sz w:val="24"/>
        </w:rPr>
        <w:t>16.  Plans for Tabulation and Publication and Project Time Schedule</w:t>
      </w:r>
    </w:p>
    <w:p w14:paraId="77D3766B" w14:textId="77777777" w:rsidR="001C26B3" w:rsidRPr="002C5366" w:rsidRDefault="001C26B3">
      <w:pPr>
        <w:ind w:firstLine="720"/>
        <w:rPr>
          <w:sz w:val="24"/>
        </w:rPr>
      </w:pPr>
    </w:p>
    <w:p w14:paraId="0672EFEB" w14:textId="6B2C0DC5" w:rsidR="001C26B3" w:rsidRPr="002C5366" w:rsidRDefault="001C26B3">
      <w:pPr>
        <w:rPr>
          <w:sz w:val="24"/>
        </w:rPr>
      </w:pPr>
      <w:r w:rsidRPr="002C5366">
        <w:rPr>
          <w:sz w:val="24"/>
        </w:rPr>
        <w:t xml:space="preserve">Data aggregated across states will be presented in tabulations of outcomes such as </w:t>
      </w:r>
      <w:r w:rsidR="00FE51C8" w:rsidRPr="002C5366">
        <w:rPr>
          <w:sz w:val="24"/>
        </w:rPr>
        <w:t xml:space="preserve">prescription </w:t>
      </w:r>
      <w:r w:rsidR="000D0CB2" w:rsidRPr="002C5366">
        <w:rPr>
          <w:sz w:val="24"/>
        </w:rPr>
        <w:t>opioid and heroin overdose rates</w:t>
      </w:r>
      <w:r w:rsidRPr="002C5366">
        <w:rPr>
          <w:sz w:val="24"/>
        </w:rPr>
        <w:t xml:space="preserve">.   These will be released in CDC publications such as </w:t>
      </w:r>
      <w:r w:rsidRPr="002C5366">
        <w:rPr>
          <w:i/>
          <w:iCs/>
          <w:sz w:val="24"/>
        </w:rPr>
        <w:t>MMWR</w:t>
      </w:r>
      <w:r w:rsidRPr="002C5366">
        <w:rPr>
          <w:sz w:val="24"/>
        </w:rPr>
        <w:t xml:space="preserve"> or in other</w:t>
      </w:r>
      <w:r w:rsidR="00260769" w:rsidRPr="002C5366">
        <w:rPr>
          <w:sz w:val="24"/>
        </w:rPr>
        <w:t xml:space="preserve"> </w:t>
      </w:r>
      <w:r w:rsidRPr="002C5366">
        <w:rPr>
          <w:sz w:val="24"/>
        </w:rPr>
        <w:t>peer-reviewed public</w:t>
      </w:r>
      <w:r w:rsidR="00114C17" w:rsidRPr="002C5366">
        <w:rPr>
          <w:sz w:val="24"/>
        </w:rPr>
        <w:t xml:space="preserve">ations.  </w:t>
      </w:r>
    </w:p>
    <w:p w14:paraId="0E264113" w14:textId="77777777" w:rsidR="00B77D1C" w:rsidRPr="002C5366" w:rsidRDefault="00B77D1C">
      <w:pPr>
        <w:ind w:firstLine="720"/>
        <w:rPr>
          <w:sz w:val="24"/>
        </w:rPr>
      </w:pPr>
    </w:p>
    <w:p w14:paraId="5549B0C2" w14:textId="77777777" w:rsidR="00875EB4" w:rsidRPr="002C5366" w:rsidRDefault="00875EB4" w:rsidP="0014160B">
      <w:pPr>
        <w:rPr>
          <w:sz w:val="24"/>
        </w:rPr>
      </w:pPr>
      <w:r w:rsidRPr="002C5366">
        <w:rPr>
          <w:sz w:val="24"/>
        </w:rPr>
        <w:t>Time Schedule</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136"/>
      </w:tblGrid>
      <w:tr w:rsidR="00875EB4" w:rsidRPr="002C5366" w14:paraId="73FEA24B" w14:textId="77777777" w:rsidTr="00761191">
        <w:tc>
          <w:tcPr>
            <w:tcW w:w="5040" w:type="dxa"/>
            <w:shd w:val="clear" w:color="auto" w:fill="auto"/>
          </w:tcPr>
          <w:p w14:paraId="070EF8CB" w14:textId="77777777" w:rsidR="00875EB4" w:rsidRPr="002C5366" w:rsidRDefault="00875EB4" w:rsidP="0094592D">
            <w:pPr>
              <w:spacing w:line="120" w:lineRule="exact"/>
              <w:rPr>
                <w:sz w:val="24"/>
              </w:rPr>
            </w:pPr>
          </w:p>
          <w:p w14:paraId="646B46F4" w14:textId="77777777" w:rsidR="00875EB4" w:rsidRPr="002C5366" w:rsidRDefault="00875EB4" w:rsidP="0094592D">
            <w:pPr>
              <w:spacing w:after="58"/>
              <w:jc w:val="center"/>
              <w:rPr>
                <w:b/>
                <w:sz w:val="24"/>
              </w:rPr>
            </w:pPr>
            <w:r w:rsidRPr="002C5366">
              <w:rPr>
                <w:b/>
                <w:sz w:val="24"/>
              </w:rPr>
              <w:t>Task</w:t>
            </w:r>
          </w:p>
        </w:tc>
        <w:tc>
          <w:tcPr>
            <w:tcW w:w="4136" w:type="dxa"/>
            <w:shd w:val="clear" w:color="auto" w:fill="auto"/>
          </w:tcPr>
          <w:p w14:paraId="028DFC39" w14:textId="77777777" w:rsidR="00875EB4" w:rsidRPr="002C5366" w:rsidRDefault="00875EB4" w:rsidP="0094592D">
            <w:pPr>
              <w:spacing w:line="120" w:lineRule="exact"/>
              <w:rPr>
                <w:sz w:val="24"/>
              </w:rPr>
            </w:pPr>
          </w:p>
          <w:p w14:paraId="1C11DAAB" w14:textId="77777777" w:rsidR="00875EB4" w:rsidRPr="002C5366" w:rsidRDefault="00875EB4" w:rsidP="0094592D">
            <w:pPr>
              <w:spacing w:after="58"/>
              <w:jc w:val="center"/>
              <w:rPr>
                <w:b/>
                <w:sz w:val="24"/>
              </w:rPr>
            </w:pPr>
            <w:r w:rsidRPr="002C5366">
              <w:rPr>
                <w:b/>
                <w:sz w:val="24"/>
              </w:rPr>
              <w:t>Time Period</w:t>
            </w:r>
          </w:p>
        </w:tc>
      </w:tr>
      <w:tr w:rsidR="00875EB4" w:rsidRPr="002C5366" w14:paraId="693D59AE" w14:textId="77777777" w:rsidTr="00761191">
        <w:tc>
          <w:tcPr>
            <w:tcW w:w="5040" w:type="dxa"/>
            <w:shd w:val="clear" w:color="auto" w:fill="auto"/>
          </w:tcPr>
          <w:p w14:paraId="0AA515BB" w14:textId="14193987" w:rsidR="00875EB4" w:rsidRPr="002C5366" w:rsidRDefault="00875EB4" w:rsidP="000B6883">
            <w:pPr>
              <w:spacing w:after="58"/>
              <w:rPr>
                <w:sz w:val="24"/>
              </w:rPr>
            </w:pPr>
            <w:r w:rsidRPr="002C5366">
              <w:rPr>
                <w:sz w:val="24"/>
              </w:rPr>
              <w:t>Preliminary analysis files</w:t>
            </w:r>
            <w:r w:rsidR="00761191" w:rsidRPr="002C5366">
              <w:rPr>
                <w:sz w:val="24"/>
              </w:rPr>
              <w:t xml:space="preserve">, including counts of </w:t>
            </w:r>
            <w:r w:rsidR="000B6883" w:rsidRPr="002C5366">
              <w:rPr>
                <w:sz w:val="24"/>
              </w:rPr>
              <w:t xml:space="preserve">unintentional </w:t>
            </w:r>
            <w:r w:rsidR="00761191" w:rsidRPr="002C5366">
              <w:rPr>
                <w:sz w:val="24"/>
              </w:rPr>
              <w:t xml:space="preserve">drug overdose based on vital statistics and </w:t>
            </w:r>
            <w:r w:rsidR="00060430" w:rsidRPr="002C5366">
              <w:rPr>
                <w:sz w:val="24"/>
              </w:rPr>
              <w:t>ME/C</w:t>
            </w:r>
            <w:r w:rsidR="00761191" w:rsidRPr="002C5366">
              <w:rPr>
                <w:sz w:val="24"/>
              </w:rPr>
              <w:t xml:space="preserve"> reports</w:t>
            </w:r>
          </w:p>
        </w:tc>
        <w:tc>
          <w:tcPr>
            <w:tcW w:w="4136" w:type="dxa"/>
            <w:shd w:val="clear" w:color="auto" w:fill="auto"/>
          </w:tcPr>
          <w:p w14:paraId="7A3F4B6C" w14:textId="26C0A65E" w:rsidR="00875EB4" w:rsidRPr="002C5366" w:rsidRDefault="000C1898" w:rsidP="0094592D">
            <w:pPr>
              <w:spacing w:after="58"/>
              <w:rPr>
                <w:sz w:val="24"/>
              </w:rPr>
            </w:pPr>
            <w:r w:rsidRPr="002C5366">
              <w:rPr>
                <w:sz w:val="24"/>
              </w:rPr>
              <w:t>8</w:t>
            </w:r>
            <w:r w:rsidR="000D0CB2" w:rsidRPr="002C5366">
              <w:rPr>
                <w:sz w:val="24"/>
              </w:rPr>
              <w:t xml:space="preserve"> months</w:t>
            </w:r>
          </w:p>
        </w:tc>
      </w:tr>
      <w:tr w:rsidR="00875EB4" w:rsidRPr="002C5366" w14:paraId="73F1EF8D" w14:textId="77777777" w:rsidTr="00761191">
        <w:tc>
          <w:tcPr>
            <w:tcW w:w="5040" w:type="dxa"/>
            <w:shd w:val="clear" w:color="auto" w:fill="auto"/>
          </w:tcPr>
          <w:p w14:paraId="71A65454" w14:textId="77777777" w:rsidR="00875EB4" w:rsidRPr="002C5366" w:rsidRDefault="00875EB4" w:rsidP="0094592D">
            <w:pPr>
              <w:spacing w:after="58"/>
              <w:rPr>
                <w:sz w:val="24"/>
              </w:rPr>
            </w:pPr>
            <w:r w:rsidRPr="002C5366">
              <w:rPr>
                <w:sz w:val="24"/>
              </w:rPr>
              <w:t>Final analysis files</w:t>
            </w:r>
            <w:r w:rsidR="000B6883" w:rsidRPr="002C5366">
              <w:rPr>
                <w:sz w:val="24"/>
              </w:rPr>
              <w:t xml:space="preserve"> prepared</w:t>
            </w:r>
          </w:p>
        </w:tc>
        <w:tc>
          <w:tcPr>
            <w:tcW w:w="4136" w:type="dxa"/>
            <w:shd w:val="clear" w:color="auto" w:fill="auto"/>
          </w:tcPr>
          <w:p w14:paraId="14FE1ED8" w14:textId="47BB3213" w:rsidR="00875EB4" w:rsidRPr="002C5366" w:rsidRDefault="000D0CB2" w:rsidP="0094592D">
            <w:pPr>
              <w:spacing w:after="58"/>
              <w:rPr>
                <w:sz w:val="24"/>
              </w:rPr>
            </w:pPr>
            <w:r w:rsidRPr="002C5366">
              <w:rPr>
                <w:sz w:val="24"/>
              </w:rPr>
              <w:t>1</w:t>
            </w:r>
            <w:r w:rsidR="000C1898" w:rsidRPr="002C5366">
              <w:rPr>
                <w:sz w:val="24"/>
              </w:rPr>
              <w:t>2</w:t>
            </w:r>
            <w:r w:rsidRPr="002C5366">
              <w:rPr>
                <w:sz w:val="24"/>
              </w:rPr>
              <w:t xml:space="preserve"> months</w:t>
            </w:r>
          </w:p>
        </w:tc>
      </w:tr>
      <w:tr w:rsidR="00875EB4" w:rsidRPr="002C5366" w14:paraId="66B4CC5B" w14:textId="77777777" w:rsidTr="00761191">
        <w:tc>
          <w:tcPr>
            <w:tcW w:w="5040" w:type="dxa"/>
            <w:shd w:val="clear" w:color="auto" w:fill="auto"/>
          </w:tcPr>
          <w:p w14:paraId="237FDF13" w14:textId="77777777" w:rsidR="00875EB4" w:rsidRPr="002C5366" w:rsidRDefault="00A8052B" w:rsidP="00875EB4">
            <w:pPr>
              <w:rPr>
                <w:sz w:val="24"/>
              </w:rPr>
            </w:pPr>
            <w:r w:rsidRPr="002C5366">
              <w:rPr>
                <w:sz w:val="24"/>
              </w:rPr>
              <w:t>Restricted Access Data files</w:t>
            </w:r>
          </w:p>
        </w:tc>
        <w:tc>
          <w:tcPr>
            <w:tcW w:w="4136" w:type="dxa"/>
            <w:shd w:val="clear" w:color="auto" w:fill="auto"/>
          </w:tcPr>
          <w:p w14:paraId="7B9D9046" w14:textId="77777777" w:rsidR="00875EB4" w:rsidRPr="002C5366" w:rsidRDefault="000D0CB2" w:rsidP="00875EB4">
            <w:pPr>
              <w:rPr>
                <w:sz w:val="24"/>
              </w:rPr>
            </w:pPr>
            <w:r w:rsidRPr="002C5366">
              <w:rPr>
                <w:sz w:val="24"/>
              </w:rPr>
              <w:t>18 months</w:t>
            </w:r>
          </w:p>
        </w:tc>
      </w:tr>
      <w:tr w:rsidR="00A8052B" w:rsidRPr="002C5366" w14:paraId="515D5019" w14:textId="77777777" w:rsidTr="00761191">
        <w:trPr>
          <w:trHeight w:val="395"/>
        </w:trPr>
        <w:tc>
          <w:tcPr>
            <w:tcW w:w="5040" w:type="dxa"/>
            <w:shd w:val="clear" w:color="auto" w:fill="auto"/>
          </w:tcPr>
          <w:p w14:paraId="4110B3DF" w14:textId="77777777" w:rsidR="00A8052B" w:rsidRPr="002C5366" w:rsidRDefault="000D0CB2" w:rsidP="00875EB4">
            <w:pPr>
              <w:rPr>
                <w:sz w:val="24"/>
              </w:rPr>
            </w:pPr>
            <w:r w:rsidRPr="002C5366">
              <w:rPr>
                <w:sz w:val="24"/>
              </w:rPr>
              <w:t>Publications such as MMWR</w:t>
            </w:r>
          </w:p>
        </w:tc>
        <w:tc>
          <w:tcPr>
            <w:tcW w:w="4136" w:type="dxa"/>
            <w:shd w:val="clear" w:color="auto" w:fill="auto"/>
          </w:tcPr>
          <w:p w14:paraId="38D152AC" w14:textId="77777777" w:rsidR="00A8052B" w:rsidRPr="002C5366" w:rsidRDefault="00EA2E8A" w:rsidP="00875EB4">
            <w:pPr>
              <w:rPr>
                <w:sz w:val="24"/>
              </w:rPr>
            </w:pPr>
            <w:r w:rsidRPr="002C5366">
              <w:rPr>
                <w:sz w:val="24"/>
              </w:rPr>
              <w:t>At least one article per year</w:t>
            </w:r>
          </w:p>
        </w:tc>
      </w:tr>
    </w:tbl>
    <w:p w14:paraId="03D6B118" w14:textId="77777777" w:rsidR="00875EB4" w:rsidRPr="002C5366" w:rsidRDefault="00875EB4" w:rsidP="00875EB4">
      <w:pPr>
        <w:ind w:firstLine="90"/>
        <w:rPr>
          <w:sz w:val="24"/>
        </w:rPr>
      </w:pPr>
    </w:p>
    <w:p w14:paraId="5E54894F" w14:textId="1104C10E" w:rsidR="00D03292" w:rsidRPr="002C5366" w:rsidRDefault="00EE7143">
      <w:pPr>
        <w:pStyle w:val="BodyText2"/>
      </w:pPr>
      <w:r w:rsidRPr="002C5366">
        <w:t>Initial reports will</w:t>
      </w:r>
      <w:r w:rsidR="001C26B3" w:rsidRPr="002C5366">
        <w:t xml:space="preserve"> include crude and age-adjuste</w:t>
      </w:r>
      <w:r w:rsidR="00D03292" w:rsidRPr="002C5366">
        <w:t>d</w:t>
      </w:r>
      <w:r w:rsidR="00133716" w:rsidRPr="002C5366">
        <w:t xml:space="preserve"> rates</w:t>
      </w:r>
      <w:r w:rsidR="00D03292" w:rsidRPr="002C5366">
        <w:t xml:space="preserve"> </w:t>
      </w:r>
      <w:r w:rsidR="001C26B3" w:rsidRPr="002C5366">
        <w:t xml:space="preserve">for </w:t>
      </w:r>
      <w:r w:rsidR="00242135" w:rsidRPr="002C5366">
        <w:t>unintentional drug overdose, overdose</w:t>
      </w:r>
      <w:r w:rsidR="00761191" w:rsidRPr="002C5366">
        <w:t>s related to opioid pain relievers (OPR)</w:t>
      </w:r>
      <w:r w:rsidR="00242135" w:rsidRPr="002C5366">
        <w:t>, and overdose</w:t>
      </w:r>
      <w:r w:rsidR="00761191" w:rsidRPr="002C5366">
        <w:t>s related to heroin</w:t>
      </w:r>
      <w:r w:rsidR="00D03292" w:rsidRPr="002C5366">
        <w:t xml:space="preserve"> by state</w:t>
      </w:r>
      <w:r w:rsidR="001C26B3" w:rsidRPr="002C5366">
        <w:t>.  Sex, r</w:t>
      </w:r>
      <w:r w:rsidR="00761191" w:rsidRPr="002C5366">
        <w:t>ace, and age-specific rates will</w:t>
      </w:r>
      <w:r w:rsidRPr="002C5366">
        <w:t xml:space="preserve"> </w:t>
      </w:r>
      <w:r w:rsidR="00F87F18" w:rsidRPr="002C5366">
        <w:t xml:space="preserve">be </w:t>
      </w:r>
      <w:r w:rsidR="001C26B3" w:rsidRPr="002C5366">
        <w:t>presented</w:t>
      </w:r>
      <w:r w:rsidR="005C211D" w:rsidRPr="002C5366">
        <w:t xml:space="preserve"> as well as preliminary toxicology findings</w:t>
      </w:r>
      <w:r w:rsidR="001C26B3" w:rsidRPr="002C5366">
        <w:t xml:space="preserve">.   </w:t>
      </w:r>
      <w:r w:rsidR="00761191" w:rsidRPr="002C5366">
        <w:t xml:space="preserve">Final analyses will </w:t>
      </w:r>
      <w:r w:rsidR="006449CF" w:rsidRPr="002C5366">
        <w:t>include</w:t>
      </w:r>
      <w:r w:rsidR="00D03292" w:rsidRPr="002C5366">
        <w:t xml:space="preserve"> description of drugs contributing to </w:t>
      </w:r>
      <w:r w:rsidR="00931FDF" w:rsidRPr="002C5366">
        <w:t xml:space="preserve">overdose </w:t>
      </w:r>
      <w:r w:rsidR="00D03292" w:rsidRPr="002C5366">
        <w:t>deaths and description of</w:t>
      </w:r>
      <w:r w:rsidR="001C26B3" w:rsidRPr="002C5366">
        <w:t xml:space="preserve"> </w:t>
      </w:r>
      <w:r w:rsidR="00931FDF" w:rsidRPr="002C5366">
        <w:t xml:space="preserve">key </w:t>
      </w:r>
      <w:r w:rsidR="00D03292" w:rsidRPr="002C5366">
        <w:t>circumstances (</w:t>
      </w:r>
      <w:r w:rsidR="001C26B3" w:rsidRPr="002C5366">
        <w:t>e</w:t>
      </w:r>
      <w:r w:rsidR="00D03292" w:rsidRPr="002C5366">
        <w:t>.</w:t>
      </w:r>
      <w:r w:rsidR="001C26B3" w:rsidRPr="002C5366">
        <w:t>g</w:t>
      </w:r>
      <w:r w:rsidR="00D03292" w:rsidRPr="002C5366">
        <w:t>.</w:t>
      </w:r>
      <w:r w:rsidR="001C26B3" w:rsidRPr="002C5366">
        <w:t>, a histo</w:t>
      </w:r>
      <w:r w:rsidRPr="002C5366">
        <w:t xml:space="preserve">ry of substance </w:t>
      </w:r>
      <w:r w:rsidR="00507F0D" w:rsidRPr="002C5366">
        <w:t>misuse</w:t>
      </w:r>
      <w:r w:rsidR="00931FDF" w:rsidRPr="002C5366">
        <w:t xml:space="preserve"> and route of administration</w:t>
      </w:r>
      <w:r w:rsidR="00D03292" w:rsidRPr="002C5366">
        <w:t>)</w:t>
      </w:r>
      <w:r w:rsidR="001C26B3" w:rsidRPr="002C5366">
        <w:t>.</w:t>
      </w:r>
      <w:r w:rsidR="000C1898" w:rsidRPr="002C5366">
        <w:t xml:space="preserve"> In depth analyses of how risk factors vary by county and county </w:t>
      </w:r>
      <w:r w:rsidR="007C197E" w:rsidRPr="002C5366">
        <w:t>characteristics</w:t>
      </w:r>
      <w:r w:rsidR="000C1898" w:rsidRPr="002C5366">
        <w:t xml:space="preserve"> will also be conducted.</w:t>
      </w:r>
      <w:r w:rsidR="001C26B3" w:rsidRPr="002C5366">
        <w:t xml:space="preserve"> In later years, time trends will be shown</w:t>
      </w:r>
      <w:r w:rsidR="000C1898" w:rsidRPr="002C5366">
        <w:t>.</w:t>
      </w:r>
    </w:p>
    <w:p w14:paraId="6C248040" w14:textId="77777777" w:rsidR="00D03292" w:rsidRPr="002C5366" w:rsidRDefault="00D03292">
      <w:pPr>
        <w:pStyle w:val="BodyText2"/>
      </w:pPr>
    </w:p>
    <w:p w14:paraId="4F590E4F" w14:textId="77777777" w:rsidR="001C26B3" w:rsidRPr="002C5366" w:rsidRDefault="001C26B3">
      <w:pPr>
        <w:pStyle w:val="BodyText2"/>
      </w:pPr>
      <w:r w:rsidRPr="002C5366">
        <w:t>No sophisticated statistical techniques</w:t>
      </w:r>
      <w:r w:rsidR="00761191" w:rsidRPr="002C5366">
        <w:t xml:space="preserve"> such as statistical weighting</w:t>
      </w:r>
      <w:r w:rsidRPr="002C5366">
        <w:t xml:space="preserve"> will be required to display this surveillance data</w:t>
      </w:r>
      <w:r w:rsidR="00761191" w:rsidRPr="002C5366">
        <w:t xml:space="preserve"> because all unintentional drug overdose deaths in a state are collected</w:t>
      </w:r>
      <w:r w:rsidR="009F03DF" w:rsidRPr="002C5366">
        <w:t xml:space="preserve"> (i.e., this is a census of unintentional drug overdose deaths)</w:t>
      </w:r>
      <w:r w:rsidRPr="002C5366">
        <w:t>.</w:t>
      </w:r>
    </w:p>
    <w:p w14:paraId="2686DEAB" w14:textId="77777777" w:rsidR="0020100F" w:rsidRPr="002C5366" w:rsidRDefault="0020100F">
      <w:pPr>
        <w:tabs>
          <w:tab w:val="left" w:pos="-1440"/>
        </w:tabs>
        <w:ind w:left="1440" w:hanging="1440"/>
        <w:rPr>
          <w:b/>
          <w:bCs/>
          <w:sz w:val="24"/>
        </w:rPr>
      </w:pPr>
    </w:p>
    <w:p w14:paraId="1F19042A" w14:textId="77777777" w:rsidR="001C26B3" w:rsidRPr="002C5366" w:rsidRDefault="001C26B3">
      <w:pPr>
        <w:tabs>
          <w:tab w:val="left" w:pos="-1440"/>
        </w:tabs>
        <w:ind w:left="1440" w:hanging="1440"/>
        <w:rPr>
          <w:sz w:val="24"/>
        </w:rPr>
      </w:pPr>
      <w:r w:rsidRPr="002C5366">
        <w:rPr>
          <w:b/>
          <w:bCs/>
          <w:sz w:val="24"/>
        </w:rPr>
        <w:t>17.  Reason(s) Display of OMB Expiration Date Is Inappropriate</w:t>
      </w:r>
    </w:p>
    <w:p w14:paraId="1DC18205" w14:textId="77777777" w:rsidR="001C26B3" w:rsidRPr="002C5366" w:rsidRDefault="001C26B3">
      <w:pPr>
        <w:rPr>
          <w:sz w:val="24"/>
        </w:rPr>
      </w:pPr>
    </w:p>
    <w:p w14:paraId="23A5CD97" w14:textId="6928F58A" w:rsidR="001C26B3" w:rsidRPr="002C5366" w:rsidRDefault="001C26B3">
      <w:pPr>
        <w:rPr>
          <w:sz w:val="24"/>
        </w:rPr>
      </w:pPr>
      <w:r w:rsidRPr="002C5366">
        <w:rPr>
          <w:sz w:val="24"/>
        </w:rPr>
        <w:t>There</w:t>
      </w:r>
      <w:r w:rsidR="00E42196" w:rsidRPr="002C5366">
        <w:rPr>
          <w:sz w:val="24"/>
        </w:rPr>
        <w:t xml:space="preserve"> are</w:t>
      </w:r>
      <w:r w:rsidRPr="002C5366">
        <w:rPr>
          <w:sz w:val="24"/>
        </w:rPr>
        <w:t xml:space="preserve"> no</w:t>
      </w:r>
      <w:r w:rsidR="002070F7" w:rsidRPr="002C5366">
        <w:rPr>
          <w:sz w:val="24"/>
        </w:rPr>
        <w:t xml:space="preserve"> standard</w:t>
      </w:r>
      <w:r w:rsidR="00E42196" w:rsidRPr="002C5366">
        <w:rPr>
          <w:sz w:val="24"/>
        </w:rPr>
        <w:t xml:space="preserve"> paper</w:t>
      </w:r>
      <w:r w:rsidRPr="002C5366">
        <w:rPr>
          <w:sz w:val="24"/>
        </w:rPr>
        <w:t xml:space="preserve"> data collection forms to be used by states</w:t>
      </w:r>
      <w:r w:rsidR="005C211D" w:rsidRPr="002C5366">
        <w:rPr>
          <w:sz w:val="24"/>
        </w:rPr>
        <w:t xml:space="preserve"> because states will be abstracting information from electronic or paper vital statistics or </w:t>
      </w:r>
      <w:r w:rsidR="00060430" w:rsidRPr="002C5366">
        <w:rPr>
          <w:sz w:val="24"/>
        </w:rPr>
        <w:t>ME/C</w:t>
      </w:r>
      <w:r w:rsidR="005C211D" w:rsidRPr="002C5366">
        <w:rPr>
          <w:sz w:val="24"/>
        </w:rPr>
        <w:t xml:space="preserve"> records</w:t>
      </w:r>
      <w:r w:rsidR="00D03292" w:rsidRPr="002C5366">
        <w:rPr>
          <w:sz w:val="24"/>
        </w:rPr>
        <w:t xml:space="preserve"> into the CDC web-based data system</w:t>
      </w:r>
      <w:r w:rsidRPr="002C5366">
        <w:rPr>
          <w:sz w:val="24"/>
        </w:rPr>
        <w:t>.</w:t>
      </w:r>
      <w:r w:rsidR="00D03292" w:rsidRPr="002C5366">
        <w:rPr>
          <w:sz w:val="24"/>
        </w:rPr>
        <w:t xml:space="preserve"> </w:t>
      </w:r>
      <w:r w:rsidR="002070F7" w:rsidRPr="002C5366">
        <w:rPr>
          <w:sz w:val="24"/>
        </w:rPr>
        <w:t>States may print out paper copies of the abstracti</w:t>
      </w:r>
      <w:r w:rsidR="00D03292" w:rsidRPr="002C5366">
        <w:rPr>
          <w:sz w:val="24"/>
        </w:rPr>
        <w:t xml:space="preserve">on forms that they can modify. </w:t>
      </w:r>
      <w:r w:rsidR="002070F7" w:rsidRPr="002C5366">
        <w:rPr>
          <w:sz w:val="24"/>
        </w:rPr>
        <w:t>That will then be inputted into the</w:t>
      </w:r>
      <w:r w:rsidR="005C211D" w:rsidRPr="002C5366">
        <w:rPr>
          <w:sz w:val="24"/>
        </w:rPr>
        <w:t xml:space="preserve"> NVDRS web-based</w:t>
      </w:r>
      <w:r w:rsidR="002070F7" w:rsidRPr="002C5366">
        <w:rPr>
          <w:sz w:val="24"/>
        </w:rPr>
        <w:t xml:space="preserve"> software database.</w:t>
      </w:r>
      <w:r w:rsidR="005C211D" w:rsidRPr="002C5366">
        <w:rPr>
          <w:sz w:val="24"/>
        </w:rPr>
        <w:t xml:space="preserve"> </w:t>
      </w:r>
      <w:r w:rsidR="00761191" w:rsidRPr="002C5366">
        <w:rPr>
          <w:sz w:val="24"/>
        </w:rPr>
        <w:t>The OMB expiration date will be</w:t>
      </w:r>
      <w:r w:rsidRPr="002C5366">
        <w:rPr>
          <w:sz w:val="24"/>
        </w:rPr>
        <w:t xml:space="preserve"> displayed on the opening sc</w:t>
      </w:r>
      <w:r w:rsidR="00761191" w:rsidRPr="002C5366">
        <w:rPr>
          <w:sz w:val="24"/>
        </w:rPr>
        <w:t>reen of the NVDRS web-based software</w:t>
      </w:r>
      <w:r w:rsidR="003835A8" w:rsidRPr="002C5366">
        <w:rPr>
          <w:sz w:val="24"/>
        </w:rPr>
        <w:t>.</w:t>
      </w:r>
    </w:p>
    <w:p w14:paraId="2ACCD02E" w14:textId="77777777" w:rsidR="00AC2B47" w:rsidRPr="002C5366" w:rsidRDefault="00AC2B47" w:rsidP="000C5936">
      <w:pPr>
        <w:keepNext/>
        <w:keepLines/>
        <w:widowControl/>
        <w:tabs>
          <w:tab w:val="left" w:pos="-1440"/>
        </w:tabs>
        <w:rPr>
          <w:b/>
          <w:bCs/>
          <w:sz w:val="24"/>
        </w:rPr>
      </w:pPr>
    </w:p>
    <w:p w14:paraId="0E5B42A4" w14:textId="77777777" w:rsidR="001C26B3" w:rsidRPr="002C5366" w:rsidRDefault="001C26B3" w:rsidP="000C5936">
      <w:pPr>
        <w:keepNext/>
        <w:keepLines/>
        <w:widowControl/>
        <w:tabs>
          <w:tab w:val="left" w:pos="-1440"/>
        </w:tabs>
        <w:rPr>
          <w:sz w:val="24"/>
        </w:rPr>
      </w:pPr>
      <w:r w:rsidRPr="002C5366">
        <w:rPr>
          <w:b/>
          <w:bCs/>
          <w:sz w:val="24"/>
        </w:rPr>
        <w:t>18.  Exceptions to Certification for Paperwork Reduction Act Submissions</w:t>
      </w:r>
    </w:p>
    <w:p w14:paraId="5E183D75" w14:textId="77777777" w:rsidR="001C26B3" w:rsidRPr="002C5366" w:rsidRDefault="001C26B3">
      <w:pPr>
        <w:keepNext/>
        <w:keepLines/>
        <w:widowControl/>
        <w:rPr>
          <w:sz w:val="24"/>
        </w:rPr>
      </w:pPr>
    </w:p>
    <w:p w14:paraId="4E08BD46" w14:textId="4099ECBE" w:rsidR="006342E7" w:rsidRPr="002C5366" w:rsidRDefault="001C26B3" w:rsidP="00B77D1C">
      <w:pPr>
        <w:keepLines/>
        <w:widowControl/>
        <w:rPr>
          <w:sz w:val="24"/>
        </w:rPr>
      </w:pPr>
      <w:r w:rsidRPr="002C5366">
        <w:rPr>
          <w:sz w:val="24"/>
        </w:rPr>
        <w:t>This collection of information involves no exception to the Certification for Paperwork Reduction Act Submissions.</w:t>
      </w:r>
    </w:p>
    <w:sectPr w:rsidR="006342E7" w:rsidRPr="002C5366" w:rsidSect="003712EB">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7DAA" w14:textId="77777777" w:rsidR="00BE63D4" w:rsidRDefault="00BE63D4">
      <w:r>
        <w:separator/>
      </w:r>
    </w:p>
  </w:endnote>
  <w:endnote w:type="continuationSeparator" w:id="0">
    <w:p w14:paraId="348A5D29" w14:textId="77777777" w:rsidR="00BE63D4" w:rsidRDefault="00BE63D4">
      <w:r>
        <w:continuationSeparator/>
      </w:r>
    </w:p>
  </w:endnote>
  <w:endnote w:type="continuationNotice" w:id="1">
    <w:p w14:paraId="08EA98B2" w14:textId="77777777" w:rsidR="00BE63D4" w:rsidRDefault="00BE63D4"/>
  </w:endnote>
  <w:endnote w:id="2">
    <w:p w14:paraId="64BE59B4"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&lt;EndNote&gt;&lt;Cite&gt;&lt;Author&gt;Gladden&lt;/Author&gt;&lt;Year&gt;2016&lt;/Year&gt;&lt;RecNum&gt;1&lt;/RecNum&gt;&lt;DisplayText&gt;Rudd, R. A., et al. (2016). &amp;quot;Increase in Drug and opioid Overdose Deaths - United States, 2000-2014.&amp;quot; &lt;style face="underline"&gt;Morbidity and Mortality Wekkly Report&lt;/style&gt; &lt;style face="bold"&gt;64&lt;/style&gt;(50): 1378-1382.&amp;#xD;&amp;#x9;&lt;/DisplayText&gt;&lt;record&gt;&lt;rec-number&gt;1&lt;/rec-number&gt;&lt;foreign-keys&gt;&lt;key app="EN" db-id="rr0ev9z2i5rafvefstmxt9riwttsrfsrwvar" timestamp="1454619196"&gt;1&lt;/key&gt;&lt;/foreign-keys&gt;&lt;ref-type name="Journal Article"&gt;17&lt;/ref-type&gt;&lt;contributors&gt;&lt;authors&gt;&lt;author&gt;Rose A. Rudd&lt;/author&gt;&lt;author&gt;Noah Aleshire &lt;/author&gt;&lt;author&gt; Jon Zibbell  &lt;/author&gt;&lt;author&gt;R. Matthew Gladden&lt;/author&gt;&lt;/authors&gt;&lt;/contributors&gt;&lt;titles&gt;&lt;title&gt;Increase in Drug and opioid Overdose Deaths - United States, 2000-2014&lt;/title&gt;&lt;secondary-title&gt;Morbidity and Mortality Wekkly Report&lt;/secondary-title&gt;&lt;/titles&gt;&lt;periodical&gt;&lt;full-title&gt;Morbidity and Mortality Wekkly Report&lt;/full-title&gt;&lt;/periodical&gt;&lt;pages&gt;1378-82&lt;/pages&gt;&lt;volume&gt;64&lt;/volume&gt;&lt;number&gt;50&lt;/number&gt;&lt;dates&gt;&lt;year&gt;2016&lt;/year&gt;&lt;pub-dates&gt;&lt;date&gt;January 1, 2016&lt;/date&gt;&lt;/pub-dates&gt;&lt;/dates&gt;&lt;urls&gt;&lt;/urls&gt;&lt;electronic-resource-num&gt;10.15585/mmwr.mm6450a3&lt;/electronic-resource-num&gt;&lt;/record&gt;&lt;/Cite&gt;&lt;/EndNote&gt;</w:instrText>
      </w:r>
      <w:r>
        <w:fldChar w:fldCharType="separate"/>
      </w:r>
      <w:r>
        <w:rPr>
          <w:noProof/>
        </w:rPr>
        <w:t xml:space="preserve">Rudd, R. A., et al. (2016). "Increase in Drug and opioid Overdose Deaths - United States, 2000-2014." </w:t>
      </w:r>
      <w:r w:rsidRPr="00C170B5">
        <w:rPr>
          <w:noProof/>
          <w:u w:val="single"/>
        </w:rPr>
        <w:t>Morbidity and Mortality Wekkly Report</w:t>
      </w:r>
      <w:r>
        <w:rPr>
          <w:noProof/>
        </w:rPr>
        <w:t xml:space="preserve"> </w:t>
      </w:r>
      <w:r w:rsidRPr="00C170B5">
        <w:rPr>
          <w:b/>
          <w:noProof/>
        </w:rPr>
        <w:t>64</w:t>
      </w:r>
      <w:r>
        <w:rPr>
          <w:noProof/>
        </w:rPr>
        <w:t>(50): 1378-1382.</w:t>
      </w:r>
    </w:p>
    <w:p w14:paraId="758440CE" w14:textId="77777777" w:rsidR="00BE63D4" w:rsidRDefault="00BE63D4" w:rsidP="00F90A3A">
      <w:pPr>
        <w:pStyle w:val="EndnoteText"/>
      </w:pPr>
      <w:r>
        <w:rPr>
          <w:noProof/>
        </w:rPr>
        <w:tab/>
      </w:r>
      <w:r>
        <w:fldChar w:fldCharType="end"/>
      </w:r>
    </w:p>
  </w:endnote>
  <w:endnote w:id="3">
    <w:p w14:paraId="6DB706AF" w14:textId="77777777" w:rsidR="00BE63D4" w:rsidRDefault="00BE63D4" w:rsidP="00F90A3A">
      <w:pPr>
        <w:pStyle w:val="EndnoteText"/>
        <w:rPr>
          <w:lang w:val="en"/>
        </w:rPr>
      </w:pPr>
      <w:r>
        <w:rPr>
          <w:rStyle w:val="EndnoteReference"/>
        </w:rPr>
        <w:endnoteRef/>
      </w:r>
      <w:r>
        <w:t xml:space="preserve"> </w:t>
      </w:r>
      <w:r>
        <w:rPr>
          <w:lang w:val="en"/>
        </w:rPr>
        <w:t xml:space="preserve">CDC. Wide-ranging online data for epidemiologic research (WONDER). Atlanta, GA: CDC, National Center for Health Statistics; 2015. Available at </w:t>
      </w:r>
      <w:hyperlink r:id="rId1" w:history="1">
        <w:r>
          <w:rPr>
            <w:rStyle w:val="Hyperlink"/>
            <w:lang w:val="en"/>
          </w:rPr>
          <w:t>http://wonder.cdc.gov</w:t>
        </w:r>
      </w:hyperlink>
      <w:r>
        <w:rPr>
          <w:lang w:val="en"/>
        </w:rPr>
        <w:t>.</w:t>
      </w:r>
    </w:p>
    <w:p w14:paraId="21885E7D" w14:textId="77777777" w:rsidR="00BE63D4" w:rsidRDefault="00BE63D4" w:rsidP="00F90A3A">
      <w:pPr>
        <w:pStyle w:val="EndnoteText"/>
      </w:pPr>
    </w:p>
  </w:endnote>
  <w:endnote w:id="4">
    <w:p w14:paraId="079D9F14" w14:textId="77777777" w:rsidR="00BE63D4" w:rsidRDefault="00BE63D4" w:rsidP="00F90A3A">
      <w:pPr>
        <w:pStyle w:val="EndnoteText"/>
        <w:rPr>
          <w:lang w:val="en"/>
        </w:rPr>
      </w:pPr>
      <w:r>
        <w:rPr>
          <w:rStyle w:val="EndnoteReference"/>
        </w:rPr>
        <w:endnoteRef/>
      </w:r>
      <w:r>
        <w:t xml:space="preserve"> </w:t>
      </w:r>
      <w:r>
        <w:rPr>
          <w:lang w:val="en"/>
        </w:rPr>
        <w:t xml:space="preserve">CDC. Wide-ranging online data for epidemiologic research (WONDER). Atlanta, GA: CDC, National Center for Health Statistics; 2015. Available at </w:t>
      </w:r>
      <w:hyperlink r:id="rId2" w:history="1">
        <w:r>
          <w:rPr>
            <w:rStyle w:val="Hyperlink"/>
            <w:lang w:val="en"/>
          </w:rPr>
          <w:t>http://wonder.cdc.gov</w:t>
        </w:r>
      </w:hyperlink>
      <w:r>
        <w:rPr>
          <w:lang w:val="en"/>
        </w:rPr>
        <w:t>.</w:t>
      </w:r>
    </w:p>
    <w:p w14:paraId="44EC888C" w14:textId="77777777" w:rsidR="00BE63D4" w:rsidRDefault="00BE63D4" w:rsidP="00F90A3A">
      <w:pPr>
        <w:pStyle w:val="EndnoteText"/>
      </w:pPr>
    </w:p>
  </w:endnote>
  <w:endnote w:id="5">
    <w:p w14:paraId="413F4B3C"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3436179C" w14:textId="77777777" w:rsidR="00BE63D4" w:rsidRDefault="00BE63D4" w:rsidP="00F90A3A">
      <w:pPr>
        <w:pStyle w:val="EndnoteText"/>
      </w:pPr>
      <w:r>
        <w:rPr>
          <w:noProof/>
        </w:rPr>
        <w:tab/>
      </w:r>
      <w:r>
        <w:fldChar w:fldCharType="end"/>
      </w:r>
    </w:p>
  </w:endnote>
  <w:endnote w:id="6">
    <w:p w14:paraId="1A349B35"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&lt;EndNote&gt;&lt;Cite&gt;&lt;Author&gt;Warner&lt;/Author&gt;&lt;Year&gt;2013&lt;/Year&gt;&lt;RecNum&gt;4&lt;/RecNum&gt;&lt;DisplayText&gt;Warner, M., et al. (2013). &amp;quot;State variation in certifying manner of death and drugs involved in drug intoxication deaths.&amp;quot; &lt;style face="underline"&gt;Academic Forensic Pathology&lt;/style&gt; &lt;style face="bold"&gt;3&lt;/style&gt;(2): 231-237.&amp;#xD;&amp;#x9;&lt;/DisplayText&gt;&lt;record&gt;&lt;rec-number&gt;4&lt;/rec-number&gt;&lt;foreign-keys&gt;&lt;key app="EN" db-id="rr0ev9z2i5rafvefstmxt9riwttsrfsrwvar" timestamp="1454622330"&gt;4&lt;/key&gt;&lt;/foreign-keys&gt;&lt;ref-type name="Journal Article"&gt;17&lt;/ref-type&gt;&lt;contributors&gt;&lt;authors&gt;&lt;author&gt;Margaret Warner&lt;/author&gt;&lt;author&gt;Leonard J. Paulozzi&lt;/author&gt;&lt;author&gt;Kurt B. Nolte&lt;/author&gt;&lt;author&gt;Gregory G. Davis&lt;/author&gt;&lt;author&gt;Lewis S. Nelson&lt;/author&gt;&lt;/authors&gt;&lt;/contributors&gt;&lt;titles&gt;&lt;title&gt;State variation in certifying manner of death and drugs involved in drug intoxication deaths&lt;/title&gt;&lt;secondary-title&gt;Academic Forensic Pathology&lt;/secondary-title&gt;&lt;/titles&gt;&lt;periodical&gt;&lt;full-title&gt;Academic Forensic Pathology&lt;/full-title&gt;&lt;/periodical&gt;&lt;pages&gt;231-237&lt;/pages&gt;&lt;volume&gt;3&lt;/volume&gt;&lt;number&gt;2&lt;/number&gt;&lt;dates&gt;&lt;year&gt;2013&lt;/year&gt;&lt;/dates&gt;&lt;urls&gt;&lt;/urls&gt;&lt;/record&gt;&lt;/Cite&gt;&lt;/EndNote&gt;</w:instrText>
      </w:r>
      <w:r>
        <w:fldChar w:fldCharType="separate"/>
      </w:r>
      <w:r>
        <w:rPr>
          <w:noProof/>
        </w:rPr>
        <w:t xml:space="preserve">Warner, M., et al. (2013). "State variation in certifying manner of death and drugs involved in drug intoxication deaths." </w:t>
      </w:r>
      <w:r w:rsidRPr="005975A9">
        <w:rPr>
          <w:noProof/>
          <w:u w:val="single"/>
        </w:rPr>
        <w:t>Academic Forensic Pathology</w:t>
      </w:r>
      <w:r>
        <w:rPr>
          <w:noProof/>
        </w:rPr>
        <w:t xml:space="preserve"> </w:t>
      </w:r>
      <w:r w:rsidRPr="005975A9">
        <w:rPr>
          <w:b/>
          <w:noProof/>
        </w:rPr>
        <w:t>3</w:t>
      </w:r>
      <w:r>
        <w:rPr>
          <w:noProof/>
        </w:rPr>
        <w:t>(2): 231-237.</w:t>
      </w:r>
    </w:p>
    <w:p w14:paraId="6F330A6E" w14:textId="77777777" w:rsidR="00BE63D4" w:rsidRDefault="00BE63D4" w:rsidP="00F90A3A">
      <w:pPr>
        <w:pStyle w:val="EndnoteText"/>
      </w:pPr>
      <w:r>
        <w:rPr>
          <w:noProof/>
        </w:rPr>
        <w:tab/>
      </w:r>
      <w:r>
        <w:fldChar w:fldCharType="end"/>
      </w:r>
    </w:p>
  </w:endnote>
  <w:endnote w:id="7">
    <w:p w14:paraId="1424176C" w14:textId="77777777" w:rsidR="00BE63D4" w:rsidRDefault="00BE63D4" w:rsidP="00F90A3A">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47A34EA5" w14:textId="77777777" w:rsidR="00BE63D4" w:rsidRDefault="00BE63D4" w:rsidP="00F90A3A">
      <w:pPr>
        <w:pStyle w:val="EndnoteText"/>
      </w:pPr>
      <w:r>
        <w:rPr>
          <w:noProof/>
        </w:rPr>
        <w:tab/>
      </w:r>
    </w:p>
  </w:endnote>
  <w:endnote w:id="8">
    <w:p w14:paraId="5F0CE38F"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&lt;EndNote&gt;&lt;Cite&gt;&lt;Author&gt;Paulozzi&lt;/Author&gt;&lt;Year&gt;2011&lt;/Year&gt;&lt;RecNum&gt;5&lt;/RecNum&gt;&lt;DisplayText&gt;Paulozzi, L. J., et al. (2011). &amp;quot;Vital Signs: Overdose of prescription opioid pain relievers - United States, 1999-2008.&amp;quot; &lt;style face="underline"&gt;Morbidity and Mortality Weekly Report&lt;/style&gt; &lt;style face="bold"&gt;60&lt;/style&gt;(43): 1487-1492.&amp;#xD;&amp;#x9;&lt;/DisplayText&gt;&lt;record&gt;&lt;rec-number&gt;5&lt;/rec-number&gt;&lt;foreign-keys&gt;&lt;key app="EN" db-id="rr0ev9z2i5rafvefstmxt9riwttsrfsrwvar" timestamp="1454686032"&gt;5&lt;/key&gt;&lt;/foreign-keys&gt;&lt;ref-type name="Journal Article"&gt;17&lt;/ref-type&gt;&lt;contributors&gt;&lt;authors&gt;&lt;author&gt;Leonard J. Paulozzi&lt;/author&gt;&lt;author&gt;Christoper M. Jones&lt;/author&gt;&lt;author&gt;Karin A Mack&lt;/author&gt;&lt;author&gt;Rose A. Rudd &lt;/author&gt;&lt;/authors&gt;&lt;/contributors&gt;&lt;titles&gt;&lt;title&gt;Vital Signs: Overdose of prescription opioid pain relievers - United States, 1999-2008&lt;/title&gt;&lt;secondary-title&gt;Morbidity and Mortality Weekly Report&lt;/secondary-title&gt;&lt;/titles&gt;&lt;periodical&gt;&lt;full-title&gt;Morbidity and Mortality Weekly Report&lt;/full-title&gt;&lt;/periodical&gt;&lt;pages&gt;1487-1492&lt;/pages&gt;&lt;volume&gt;60&lt;/volume&gt;&lt;number&gt;43&lt;/number&gt;&lt;dates&gt;&lt;year&gt;2011&lt;/year&gt;&lt;/dates&gt;&lt;urls&gt;&lt;/urls&gt;&lt;/record&gt;&lt;/Cite&gt;&lt;/EndNote&gt;</w:instrText>
      </w:r>
      <w:r>
        <w:fldChar w:fldCharType="separate"/>
      </w:r>
      <w:r>
        <w:rPr>
          <w:noProof/>
        </w:rPr>
        <w:t xml:space="preserve">Paulozzi, L. J., et al. (2011). "Vital Signs: Overdose of prescription opioid pain relievers - United States, 1999-2008." </w:t>
      </w:r>
      <w:r w:rsidRPr="00EC31FB">
        <w:rPr>
          <w:noProof/>
          <w:u w:val="single"/>
        </w:rPr>
        <w:t>Morbidity and Mortality Weekly Report</w:t>
      </w:r>
      <w:r>
        <w:rPr>
          <w:noProof/>
        </w:rPr>
        <w:t xml:space="preserve"> </w:t>
      </w:r>
      <w:r w:rsidRPr="00EC31FB">
        <w:rPr>
          <w:b/>
          <w:noProof/>
        </w:rPr>
        <w:t>60</w:t>
      </w:r>
      <w:r>
        <w:rPr>
          <w:noProof/>
        </w:rPr>
        <w:t>(43): 1487-1492.</w:t>
      </w:r>
    </w:p>
    <w:p w14:paraId="0C82DA11" w14:textId="77777777" w:rsidR="00BE63D4" w:rsidRDefault="00BE63D4" w:rsidP="00F90A3A">
      <w:pPr>
        <w:pStyle w:val="EndnoteText"/>
      </w:pPr>
      <w:r>
        <w:rPr>
          <w:noProof/>
        </w:rPr>
        <w:tab/>
      </w:r>
      <w:r>
        <w:fldChar w:fldCharType="end"/>
      </w:r>
    </w:p>
  </w:endnote>
  <w:endnote w:id="9">
    <w:p w14:paraId="12F46DFC" w14:textId="77777777" w:rsidR="00BE63D4" w:rsidRDefault="00BE63D4" w:rsidP="00F90A3A">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462C0BAD" w14:textId="77777777" w:rsidR="00BE63D4" w:rsidRDefault="00BE63D4" w:rsidP="00F90A3A">
      <w:pPr>
        <w:pStyle w:val="EndnoteText"/>
      </w:pPr>
      <w:r>
        <w:rPr>
          <w:noProof/>
        </w:rPr>
        <w:tab/>
      </w:r>
    </w:p>
  </w:endnote>
  <w:endnote w:id="10">
    <w:p w14:paraId="22C8CF5B" w14:textId="77777777" w:rsidR="00BE63D4" w:rsidRDefault="00BE63D4" w:rsidP="00F90A3A">
      <w:pPr>
        <w:pStyle w:val="EndnoteText"/>
        <w:rPr>
          <w:noProof/>
        </w:rPr>
      </w:pPr>
      <w:r>
        <w:rPr>
          <w:rStyle w:val="EndnoteReference"/>
        </w:rPr>
        <w:endnoteRef/>
      </w:r>
      <w:r w:rsidRPr="00027C81">
        <w:rPr>
          <w:lang w:val="es-CO"/>
        </w:rPr>
        <w:t xml:space="preserve"> </w:t>
      </w:r>
      <w:r>
        <w:fldChar w:fldCharType="begin"/>
      </w:r>
      <w:r w:rsidRPr="00027C81">
        <w:rPr>
          <w:lang w:val="es-CO"/>
        </w:rPr>
        <w:instrText xml:space="preserve"> ADDIN EN.CITE &lt;EndNote&gt;&lt;Cite&gt;&lt;Author&gt;Jones&lt;/Author&gt;&lt;Year&gt;2015&lt;/Year&gt;&lt;RecNum&gt;6&lt;/RecNum&gt;&lt;DisplayText&gt;Jones, C. M., et al. (2015). &amp;quot;Vital Signs: Demographic and substance use trends among heroin users - United States, 2002-2013.&amp;quot; &lt;style face="underline"&gt;Morbidity and Mortality Weekly Report&lt;/style&gt; &lt;style face="bold"&gt;64&lt;/style&gt;(26): 719-725.&amp;#xD;&amp;#x9;&lt;/DisplayText&gt;&lt;record&gt;&lt;rec-number&gt;6&lt;/rec-number&gt;&lt;foreign-keys&gt;&lt;key app="EN" db-id="rr0ev9z2i5rafvefstmxt9riwttsrfsrwvar" timestamp="1454686308"&gt;6&lt;/key&gt;&lt;/foreign-keys&gt;&lt;ref-type name="Journal Article"&gt;17&lt;/ref-type&gt;&lt;contributors&gt;&lt;authors&gt;&lt;author&gt;Christopher M. Jones&lt;/author&gt;&lt;author&gt;Joseph Logan&lt;/author&gt;&lt;author&gt;R. Matthew Gladden&lt;/author&gt;&lt;author&gt;Michele K. Bohm&lt;/author&gt;&lt;/authors&gt;&lt;/contributors&gt;&lt;titles&gt;&lt;title&gt;Vital Signs: Demographic and substance use trends among heroin users - United States, 2002-2013&lt;/title&gt;&lt;secondary-title&gt;Morbidity and Mortality Weekly Report&lt;/secondary-title&gt;&lt;/titles&gt;&lt;periodical&gt;&lt;full-title&gt;Morbidity and Mortality Weekly Report&lt;/full-title&gt;&lt;/periodical&gt;&lt;pages&gt;719-725&lt;/pages&gt;&lt;volume&gt;64&lt;/volume&gt;&lt;number&gt;26&lt;/number&gt;&lt;dates&gt;&lt;year&gt;2015&lt;/year&gt;&lt;/dates&gt;&lt;urls&gt;&lt;/urls&gt;&lt;/record&gt;&lt;/Cite&gt;&lt;/EndNote&gt;</w:instrText>
      </w:r>
      <w:r>
        <w:fldChar w:fldCharType="separate"/>
      </w:r>
      <w:r w:rsidRPr="00027C81">
        <w:rPr>
          <w:noProof/>
          <w:lang w:val="es-CO"/>
        </w:rPr>
        <w:t xml:space="preserve">Jones, C. M., et al. </w:t>
      </w:r>
      <w:r>
        <w:rPr>
          <w:noProof/>
        </w:rPr>
        <w:t xml:space="preserve">(2015). "Vital Signs: Demographic and substance use trends among heroin users - United States, 2002-2013." </w:t>
      </w:r>
      <w:r w:rsidRPr="00CF3F20">
        <w:rPr>
          <w:noProof/>
          <w:u w:val="single"/>
        </w:rPr>
        <w:t>Morbidity and Mortality Weekly Report</w:t>
      </w:r>
      <w:r>
        <w:rPr>
          <w:noProof/>
        </w:rPr>
        <w:t xml:space="preserve"> </w:t>
      </w:r>
      <w:r w:rsidRPr="00CF3F20">
        <w:rPr>
          <w:b/>
          <w:noProof/>
        </w:rPr>
        <w:t>64</w:t>
      </w:r>
      <w:r>
        <w:rPr>
          <w:noProof/>
        </w:rPr>
        <w:t>(26): 719-725.</w:t>
      </w:r>
    </w:p>
    <w:p w14:paraId="0CC791EE" w14:textId="77777777" w:rsidR="00BE63D4" w:rsidRDefault="00BE63D4" w:rsidP="00F90A3A">
      <w:pPr>
        <w:pStyle w:val="EndnoteText"/>
      </w:pPr>
      <w:r>
        <w:rPr>
          <w:noProof/>
        </w:rPr>
        <w:tab/>
      </w:r>
      <w:r>
        <w:fldChar w:fldCharType="end"/>
      </w:r>
    </w:p>
  </w:endnote>
  <w:endnote w:id="11">
    <w:p w14:paraId="5F360FF5"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&lt;EndNote&gt;&lt;Cite&gt;&lt;Author&gt;Cicero&lt;/Author&gt;&lt;Year&gt;2014&lt;/Year&gt;&lt;RecNum&gt;7&lt;/RecNum&gt;&lt;DisplayText&gt;Cicero, T., et al. (2014). &amp;quot;The changing face of heroin use in the United States: A restrospective analysis of the past 50 years.&amp;quot; &lt;style face="underline"&gt;Journal of the America Medical Association Psychiatry&lt;/style&gt; &lt;style face="bold"&gt;71&lt;/style&gt;(7): 821-826.&amp;#xD;&amp;#x9;&lt;/DisplayText&gt;&lt;record&gt;&lt;rec-number&gt;7&lt;/rec-number&gt;&lt;foreign-keys&gt;&lt;key app="EN" db-id="rr0ev9z2i5rafvefstmxt9riwttsrfsrwvar" timestamp="1454687553"&gt;7&lt;/key&gt;&lt;/foreign-keys&gt;&lt;ref-type name="Journal Article"&gt;17&lt;/ref-type&gt;&lt;contributors&gt;&lt;authors&gt;&lt;author&gt;TJ Cicero&lt;/author&gt;&lt;author&gt;MS Ellis&lt;/author&gt;&lt;author&gt;HL Surratt&lt;/author&gt;&lt;author&gt;SP Kurtz&lt;/author&gt;&lt;/authors&gt;&lt;/contributors&gt;&lt;titles&gt;&lt;title&gt;The changing face of heroin use in the United States: A restrospective analysis of the past 50 years&lt;/title&gt;&lt;secondary-title&gt;Journal of the America Medical Association Psychiatry&lt;/secondary-title&gt;&lt;/titles&gt;&lt;periodical&gt;&lt;full-title&gt;Journal of the America Medical Association Psychiatry&lt;/full-title&gt;&lt;/periodical&gt;&lt;pages&gt;821-826&lt;/pages&gt;&lt;volume&gt;71&lt;/volume&gt;&lt;number&gt;7&lt;/number&gt;&lt;dates&gt;&lt;year&gt;2014&lt;/year&gt;&lt;/dates&gt;&lt;urls&gt;&lt;/urls&gt;&lt;electronic-resource-num&gt;10.1001/jamapsychiatry.2014.366&lt;/electronic-resource-num&gt;&lt;/record&gt;&lt;/Cite&gt;&lt;/EndNote&gt;</w:instrText>
      </w:r>
      <w:r>
        <w:fldChar w:fldCharType="separate"/>
      </w:r>
      <w:r>
        <w:rPr>
          <w:noProof/>
        </w:rPr>
        <w:t xml:space="preserve">Cicero, T., et al. (2014). "The changing face of heroin use in the United States: A restrospective analysis of the past 50 years." </w:t>
      </w:r>
      <w:r w:rsidRPr="00200581">
        <w:rPr>
          <w:noProof/>
          <w:u w:val="single"/>
        </w:rPr>
        <w:t>Journal of the America Medical Association Psychiatry</w:t>
      </w:r>
      <w:r>
        <w:rPr>
          <w:noProof/>
        </w:rPr>
        <w:t xml:space="preserve"> </w:t>
      </w:r>
      <w:r w:rsidRPr="00200581">
        <w:rPr>
          <w:b/>
          <w:noProof/>
        </w:rPr>
        <w:t>71</w:t>
      </w:r>
      <w:r>
        <w:rPr>
          <w:noProof/>
        </w:rPr>
        <w:t>(7): 821-826.</w:t>
      </w:r>
    </w:p>
    <w:p w14:paraId="380F0232" w14:textId="77777777" w:rsidR="00BE63D4" w:rsidRDefault="00BE63D4" w:rsidP="00F90A3A">
      <w:pPr>
        <w:pStyle w:val="EndnoteText"/>
      </w:pPr>
      <w:r>
        <w:rPr>
          <w:noProof/>
        </w:rPr>
        <w:tab/>
      </w:r>
      <w:r>
        <w:fldChar w:fldCharType="end"/>
      </w:r>
    </w:p>
  </w:endnote>
  <w:endnote w:id="12">
    <w:p w14:paraId="32D409FD" w14:textId="77777777" w:rsidR="00BE63D4" w:rsidRDefault="00BE63D4" w:rsidP="00F90A3A">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0B8FEFE0" w14:textId="77777777" w:rsidR="00BE63D4" w:rsidRDefault="00BE63D4" w:rsidP="00F90A3A">
      <w:pPr>
        <w:pStyle w:val="EndnoteText"/>
      </w:pPr>
      <w:r>
        <w:rPr>
          <w:noProof/>
        </w:rPr>
        <w:tab/>
      </w:r>
    </w:p>
  </w:endnote>
  <w:endnote w:id="13">
    <w:p w14:paraId="2BF22A5C"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&lt;EndNote&gt;&lt;Cite&gt;&lt;Author&gt;Centers for Disease Control and Prevention&lt;/Author&gt;&lt;RecNum&gt;17&lt;/RecNum&gt;&lt;DisplayText&gt;Centers for Disease Control and Prevention (October 26, 2015). &amp;quot;CDC Health Advisory: Increases in fentanyl drug confiscations and fentanyl-related overdose fatalities.&amp;quot; &lt;style face="underline"&gt;HAN&lt;/style&gt; CDCHAN-00384. Retrieved February 5, 2016, from http://emergency.cdc.gov/han/han00384.asp.&amp;#xD;&amp;#x9;&lt;/DisplayText&gt;&lt;record&gt;&lt;rec-number&gt;17&lt;/rec-number&gt;&lt;foreign-keys&gt;&lt;key app="EN" db-id="rr0ev9z2i5rafvefstmxt9riwttsrfsrwvar" timestamp="1454694682"&gt;17&lt;/key&gt;&lt;/foreign-keys&gt;&lt;ref-type name="Web Page"&gt;12&lt;/ref-type&gt;&lt;contributors&gt;&lt;authors&gt;&lt;author&gt;Centers for Disease Control and Prevention,&lt;/author&gt;&lt;/authors&gt;&lt;/contributors&gt;&lt;titles&gt;&lt;title&gt;CDC Health Advisory: Increases in fentanyl drug confiscations and fentanyl-related overdose fatalities&lt;/title&gt;&lt;secondary-title&gt;HAN&lt;/secondary-title&gt;&lt;/titles&gt;&lt;volume&gt;2016&lt;/volume&gt;&lt;number&gt;February 5&lt;/number&gt;&lt;edition&gt;CDCHAN-00384&lt;/edition&gt;&lt;dates&gt;&lt;pub-dates&gt;&lt;date&gt;October 26, 2015&lt;/date&gt;&lt;/pub-dates&gt;&lt;/dates&gt;&lt;publisher&gt;CDC&lt;/publisher&gt;&lt;urls&gt;&lt;related-urls&gt;&lt;url&gt;http://emergency.cdc.gov/han/han00384.asp&lt;/url&gt;&lt;/related-urls&gt;&lt;/urls&gt;&lt;/record&gt;&lt;/Cite&gt;&lt;/EndNote&gt;</w:instrText>
      </w:r>
      <w:r>
        <w:fldChar w:fldCharType="separate"/>
      </w:r>
      <w:r>
        <w:rPr>
          <w:noProof/>
        </w:rPr>
        <w:t xml:space="preserve">Centers for Disease Control and Prevention (October 26, 2015). "CDC Health Advisory: Increases in fentanyl drug confiscations and fentanyl-related overdose fatalities." </w:t>
      </w:r>
      <w:r w:rsidRPr="00EB6505">
        <w:rPr>
          <w:noProof/>
          <w:u w:val="single"/>
        </w:rPr>
        <w:t>HAN</w:t>
      </w:r>
      <w:r>
        <w:rPr>
          <w:noProof/>
        </w:rPr>
        <w:t xml:space="preserve"> CDCHAN-00384. Retrieved February 5, 2016, from http://emergency.cdc.gov/han/han00384.asp.</w:t>
      </w:r>
    </w:p>
    <w:p w14:paraId="044FD7ED" w14:textId="77777777" w:rsidR="00BE63D4" w:rsidRDefault="00BE63D4" w:rsidP="00F90A3A">
      <w:pPr>
        <w:pStyle w:val="EndnoteText"/>
      </w:pPr>
      <w:r>
        <w:rPr>
          <w:noProof/>
        </w:rPr>
        <w:tab/>
      </w:r>
      <w:r>
        <w:fldChar w:fldCharType="end"/>
      </w:r>
    </w:p>
  </w:endnote>
  <w:endnote w:id="14">
    <w:p w14:paraId="061B6409" w14:textId="77777777" w:rsidR="00BE63D4" w:rsidRDefault="00BE63D4" w:rsidP="00F90A3A">
      <w:pPr>
        <w:pStyle w:val="EndnoteText"/>
      </w:pPr>
      <w:r>
        <w:rPr>
          <w:rStyle w:val="EndnoteReference"/>
        </w:rPr>
        <w:endnoteRef/>
      </w:r>
      <w:r>
        <w:t xml:space="preserve"> A description of the HHS Secretary’s initiative to combat opioid abuse is available at: </w:t>
      </w:r>
      <w:hyperlink r:id="rId3" w:history="1">
        <w:r w:rsidRPr="00401D3D">
          <w:rPr>
            <w:rStyle w:val="Hyperlink"/>
          </w:rPr>
          <w:t>http://aspe.hhs.gov/sp/reports/2015/OpioidInitiative/ib_OpioidInitiative.cfm</w:t>
        </w:r>
      </w:hyperlink>
      <w:r>
        <w:t xml:space="preserve"> </w:t>
      </w:r>
    </w:p>
    <w:p w14:paraId="63D964F0" w14:textId="77777777" w:rsidR="00BE63D4" w:rsidRDefault="00BE63D4" w:rsidP="00F90A3A">
      <w:pPr>
        <w:pStyle w:val="EndnoteText"/>
      </w:pPr>
    </w:p>
  </w:endnote>
  <w:endnote w:id="15">
    <w:p w14:paraId="260249D1" w14:textId="77777777" w:rsidR="00BE63D4" w:rsidRDefault="00BE63D4" w:rsidP="00F90A3A">
      <w:pPr>
        <w:pStyle w:val="EndnoteText"/>
        <w:rPr>
          <w:lang w:val="en"/>
        </w:rPr>
      </w:pPr>
      <w:r>
        <w:rPr>
          <w:rStyle w:val="EndnoteReference"/>
        </w:rPr>
        <w:endnoteRef/>
      </w:r>
      <w:r>
        <w:t xml:space="preserve"> Draft guidelines can be accessed at </w:t>
      </w:r>
      <w:hyperlink r:id="rId4" w:history="1">
        <w:r>
          <w:rPr>
            <w:rStyle w:val="Hyperlink"/>
            <w:lang w:val="en"/>
          </w:rPr>
          <w:t>http://www.cdc.gov/drugoverdose/prescribing/guideline.html</w:t>
        </w:r>
      </w:hyperlink>
      <w:r>
        <w:rPr>
          <w:lang w:val="en"/>
        </w:rPr>
        <w:t>.</w:t>
      </w:r>
    </w:p>
    <w:p w14:paraId="40D6AFB7" w14:textId="77777777" w:rsidR="00BE63D4" w:rsidRDefault="00BE63D4" w:rsidP="00F90A3A">
      <w:pPr>
        <w:pStyle w:val="EndnoteText"/>
      </w:pPr>
    </w:p>
  </w:endnote>
  <w:endnote w:id="16">
    <w:p w14:paraId="071FE2B0"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&lt;EndNote&gt;&lt;Cite&gt;&lt;Author&gt;NGA&lt;/Author&gt;&lt;Year&gt;2014&lt;/Year&gt;&lt;RecNum&gt;8&lt;/RecNum&gt;&lt;DisplayText&gt;NGA (2014). &amp;quot;Reducing prescription drug abuse: Lessons learned from an NGA Policy Academy &amp;quot;. Retrieved February 5, 2016, from http://www.nga.org/files/live/sites/NGA/files/pdf/2014/1402ReducingPrescriptionDrugAbuse-Paper.pdf.&amp;#xD;&amp;#x9;&lt;/DisplayText&gt;&lt;record&gt;&lt;rec-number&gt;8&lt;/rec-number&gt;&lt;foreign-keys&gt;&lt;key app="EN" db-id="rr0ev9z2i5rafvefstmxt9riwttsrfsrwvar" timestamp="1454688888"&gt;8&lt;/key&gt;&lt;/foreign-keys&gt;&lt;ref-type name="Web Page"&gt;12&lt;/ref-type&gt;&lt;contributors&gt;&lt;authors&gt;&lt;author&gt;NGA&lt;/author&gt;&lt;/authors&gt;&lt;/contributors&gt;&lt;titles&gt;&lt;title&gt;Reducing prescription drug abuse: Lessons learned from an NGA Policy Academy &lt;/title&gt;&lt;/titles&gt;&lt;volume&gt;2016&lt;/volume&gt;&lt;number&gt;February 5&lt;/number&gt;&lt;dates&gt;&lt;year&gt;2014&lt;/year&gt;&lt;/dates&gt;&lt;publisher&gt;National Governors Association&lt;/publisher&gt;&lt;urls&gt;&lt;related-urls&gt;&lt;url&gt;http://www.nga.org/files/live/sites/NGA/files/pdf/2014/1402ReducingPrescriptionDrugAbuse-Paper.pdf&lt;/url&gt;&lt;/related-urls&gt;&lt;/urls&gt;&lt;/record&gt;&lt;/Cite&gt;&lt;/EndNote&gt;</w:instrText>
      </w:r>
      <w:r>
        <w:fldChar w:fldCharType="separate"/>
      </w:r>
      <w:r>
        <w:rPr>
          <w:noProof/>
        </w:rPr>
        <w:t>NGA (2014). "Reducing prescription drug abuse: Lessons learned from an NGA Policy Academy ". Retrieved February 5, 2016, from http://www.nga.org/files/live/sites/NGA/files/pdf/2014/1402ReducingPrescriptionDrugAbuse-Paper.pdf.</w:t>
      </w:r>
    </w:p>
    <w:p w14:paraId="6D48404B" w14:textId="77777777" w:rsidR="00BE63D4" w:rsidRDefault="00BE63D4" w:rsidP="00F90A3A">
      <w:pPr>
        <w:pStyle w:val="EndnoteText"/>
      </w:pPr>
      <w:r>
        <w:rPr>
          <w:noProof/>
        </w:rPr>
        <w:tab/>
      </w:r>
      <w:r>
        <w:fldChar w:fldCharType="end"/>
      </w:r>
    </w:p>
  </w:endnote>
  <w:endnote w:id="17">
    <w:p w14:paraId="07D76C98"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&lt;EndNote&gt;&lt;Cite&gt;&lt;Author&gt;MacQuarrie&lt;/Author&gt;&lt;RecNum&gt;9&lt;/RecNum&gt;&lt;DisplayText&gt;MacQuarrie, B. (March 27, 2014). &amp;quot;Governor declares an emergency on opiate abuse.&amp;quot; &lt;style face="underline"&gt;Boston Globe&lt;/style&gt; March 27, 2014. Retrieved February 5, 2016, from https://www.bostonglobe.com/metro/2014/03/27/with-heroin-overdoses-rise-gov-patrick-declares-public-health-emergency-mass/hOajTIJNKnSHKAnWjZ6wYL/story.html.&amp;#xD;&amp;#x9;&lt;/DisplayText&gt;&lt;record&gt;&lt;rec-number&gt;9&lt;/rec-number&gt;&lt;foreign-keys&gt;&lt;key app="EN" db-id="rr0ev9z2i5rafvefstmxt9riwttsrfsrwvar" timestamp="1454689504"&gt;9&lt;/key&gt;&lt;/foreign-keys&gt;&lt;ref-type name="Web Page"&gt;12&lt;/ref-type&gt;&lt;contributors&gt;&lt;authors&gt;&lt;author&gt;Brian MacQuarrie&lt;/author&gt;&lt;/authors&gt;&lt;/contributors&gt;&lt;titles&gt;&lt;title&gt;Governor declares an emergency on opiate abuse&lt;/title&gt;&lt;secondary-title&gt;Boston Globe&lt;/secondary-title&gt;&lt;/titles&gt;&lt;volume&gt;2016&lt;/volume&gt;&lt;number&gt;February 5&lt;/number&gt;&lt;edition&gt;March 27, 2014&lt;/edition&gt;&lt;dates&gt;&lt;pub-dates&gt;&lt;date&gt;March 27, 2014&lt;/date&gt;&lt;/pub-dates&gt;&lt;/dates&gt;&lt;urls&gt;&lt;related-urls&gt;&lt;url&gt;https://www.bostonglobe.com/metro/2014/03/27/with-heroin-overdoses-rise-gov-patrick-declares-public-health-emergency-mass/hOajTIJNKnSHKAnWjZ6wYL/story.html&lt;/url&gt;&lt;/related-urls&gt;&lt;/urls&gt;&lt;/record&gt;&lt;/Cite&gt;&lt;/EndNote&gt;</w:instrText>
      </w:r>
      <w:r>
        <w:fldChar w:fldCharType="separate"/>
      </w:r>
      <w:r>
        <w:rPr>
          <w:noProof/>
        </w:rPr>
        <w:t xml:space="preserve">MacQuarrie, B. (March 27, 2014). "Governor declares an emergency on opiate abuse." </w:t>
      </w:r>
      <w:r w:rsidRPr="00811D47">
        <w:rPr>
          <w:noProof/>
          <w:u w:val="single"/>
        </w:rPr>
        <w:t>Boston Globe</w:t>
      </w:r>
      <w:r>
        <w:rPr>
          <w:noProof/>
        </w:rPr>
        <w:t xml:space="preserve"> March 27, 2014. Retrieved February 5, 2016, from https://www.bostonglobe.com/metro/2014/03/27/with-heroin-overdoses-rise-gov-patrick-declares-public-health-emergency-mass/hOajTIJNKnSHKAnWjZ6wYL/story.html.</w:t>
      </w:r>
    </w:p>
    <w:p w14:paraId="6E6DB3B2" w14:textId="77777777" w:rsidR="00BE63D4" w:rsidRDefault="00BE63D4" w:rsidP="00F90A3A">
      <w:pPr>
        <w:pStyle w:val="EndnoteText"/>
      </w:pPr>
      <w:r>
        <w:rPr>
          <w:noProof/>
        </w:rPr>
        <w:tab/>
      </w:r>
      <w:r>
        <w:fldChar w:fldCharType="end"/>
      </w:r>
    </w:p>
  </w:endnote>
  <w:endnote w:id="18">
    <w:p w14:paraId="0193A183"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&lt;EndNote&gt;&lt;Cite&gt;&lt;Author&gt;Woodruff&lt;/Author&gt;&lt;RecNum&gt;10&lt;/RecNum&gt;&lt;DisplayText&gt;Woodruff, J. (January 9, 2014). &amp;quot;Vermont governor confronts deadly heroin crisis as public health problem.&amp;quot; Retrieved February 5, 2016, from http://www.pbs.org/newshour/bb/nation-jan-june14-heroin_01-09/.&amp;#xD;&amp;#x9;&lt;/DisplayText&gt;&lt;record&gt;&lt;rec-number&gt;10&lt;/rec-number&gt;&lt;foreign-keys&gt;&lt;key app="EN" db-id="rr0ev9z2i5rafvefstmxt9riwttsrfsrwvar" timestamp="1454690321"&gt;10&lt;/key&gt;&lt;/foreign-keys&gt;&lt;ref-type name="Web Page"&gt;12&lt;/ref-type&gt;&lt;contributors&gt;&lt;authors&gt;&lt;author&gt;Judy Woodruff&lt;/author&gt;&lt;/authors&gt;&lt;/contributors&gt;&lt;titles&gt;&lt;title&gt;Vermont governor confronts deadly heroin crisis as public health problem&lt;/title&gt;&lt;/titles&gt;&lt;volume&gt;2016&lt;/volume&gt;&lt;number&gt;February 5&lt;/number&gt;&lt;dates&gt;&lt;pub-dates&gt;&lt;date&gt;January 9, 2014&lt;/date&gt;&lt;/pub-dates&gt;&lt;/dates&gt;&lt;publisher&gt;PBS Newshour&lt;/publisher&gt;&lt;urls&gt;&lt;related-urls&gt;&lt;url&gt;http://www.pbs.org/newshour/bb/nation-jan-june14-heroin_01-09/&lt;/url&gt;&lt;/related-urls&gt;&lt;/urls&gt;&lt;/record&gt;&lt;/Cite&gt;&lt;/EndNote&gt;</w:instrText>
      </w:r>
      <w:r>
        <w:fldChar w:fldCharType="separate"/>
      </w:r>
      <w:r>
        <w:rPr>
          <w:noProof/>
        </w:rPr>
        <w:t>Woodruff, J. (January 9, 2014). "Vermont governor confronts deadly heroin crisis as public health problem." Retrieved February 5, 2016, from http://www.pbs.org/newshour/bb/nation-jan-june14-heroin_01-09/.</w:t>
      </w:r>
    </w:p>
    <w:p w14:paraId="17A7DD28" w14:textId="77777777" w:rsidR="00BE63D4" w:rsidRDefault="00BE63D4" w:rsidP="00F90A3A">
      <w:pPr>
        <w:pStyle w:val="EndnoteText"/>
      </w:pPr>
      <w:r>
        <w:rPr>
          <w:noProof/>
        </w:rPr>
        <w:tab/>
      </w:r>
      <w:r>
        <w:fldChar w:fldCharType="end"/>
      </w:r>
    </w:p>
  </w:endnote>
  <w:endnote w:id="19">
    <w:p w14:paraId="1DDC14B6"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&lt;EndNote&gt;&lt;Cite&gt;&lt;Author&gt;ASTHO&lt;/Author&gt;&lt;Year&gt;2013&lt;/Year&gt;&lt;RecNum&gt;11&lt;/RecNum&gt;&lt;DisplayText&gt;ASTHO (2013). &amp;quot;ATHO President&amp;apos;s Challenge 2014: 15 by 15: Reduce prescription drug abuse and deaths 15% by 2015.&amp;quot; Retrieved February 5, 2016, from http://www.astho.org/rx/2014-presidents-challenge-fact-sheet/.&amp;#xD;&amp;#x9;&lt;/DisplayText&gt;&lt;record&gt;&lt;rec-number&gt;11&lt;/rec-number&gt;&lt;foreign-keys&gt;&lt;key app="EN" db-id="rr0ev9z2i5rafvefstmxt9riwttsrfsrwvar" timestamp="1454690974"&gt;11&lt;/key&gt;&lt;/foreign-keys&gt;&lt;ref-type name="Web Page"&gt;12&lt;/ref-type&gt;&lt;contributors&gt;&lt;authors&gt;&lt;author&gt;ASTHO&lt;/author&gt;&lt;/authors&gt;&lt;/contributors&gt;&lt;titles&gt;&lt;title&gt;ATHO President&amp;apos;s Challenge 2014: 15 by 15: Reduce prescription drug abuse and deaths 15% by 2015&lt;/title&gt;&lt;/titles&gt;&lt;volume&gt;2016&lt;/volume&gt;&lt;number&gt;February 5&lt;/number&gt;&lt;dates&gt;&lt;year&gt;2013&lt;/year&gt;&lt;/dates&gt;&lt;urls&gt;&lt;related-urls&gt;&lt;url&gt;http://www.astho.org/rx/2014-presidents-challenge-fact-sheet/&lt;/url&gt;&lt;/related-urls&gt;&lt;/urls&gt;&lt;/record&gt;&lt;/Cite&gt;&lt;/EndNote&gt;</w:instrText>
      </w:r>
      <w:r>
        <w:fldChar w:fldCharType="separate"/>
      </w:r>
      <w:r>
        <w:rPr>
          <w:noProof/>
        </w:rPr>
        <w:t>ASTHO (2013). "ATHO President's Challenge 2014: 15 by 15: Reduce prescription drug abuse and deaths 15% by 2015." Retrieved February 5, 2016, from http://www.astho.org/rx/2014-presidents-challenge-fact-sheet/.</w:t>
      </w:r>
    </w:p>
    <w:p w14:paraId="1F134C8B" w14:textId="77777777" w:rsidR="00BE63D4" w:rsidRDefault="00BE63D4" w:rsidP="00F90A3A">
      <w:pPr>
        <w:pStyle w:val="EndnoteText"/>
      </w:pPr>
      <w:r>
        <w:rPr>
          <w:noProof/>
        </w:rPr>
        <w:tab/>
      </w:r>
      <w:r>
        <w:fldChar w:fldCharType="end"/>
      </w:r>
    </w:p>
  </w:endnote>
  <w:endnote w:id="20">
    <w:p w14:paraId="426C3817" w14:textId="77777777" w:rsidR="00BE63D4" w:rsidRDefault="00BE63D4" w:rsidP="00F90A3A">
      <w:pPr>
        <w:pStyle w:val="EndnoteText"/>
        <w:rPr>
          <w:rStyle w:val="Hyperlink"/>
        </w:rPr>
      </w:pPr>
      <w:r>
        <w:rPr>
          <w:rStyle w:val="EndnoteReference"/>
        </w:rPr>
        <w:endnoteRef/>
      </w:r>
      <w:r>
        <w:t xml:space="preserve"> A description of the HHS Secretary’s initiative to combat opioid abuse is available at: </w:t>
      </w:r>
      <w:hyperlink r:id="rId5" w:history="1">
        <w:r w:rsidRPr="00401D3D">
          <w:rPr>
            <w:rStyle w:val="Hyperlink"/>
          </w:rPr>
          <w:t>http://aspe.hhs.gov/sp/reports/2015/OpioidInitiative/ib_OpioidInitiative.cfm</w:t>
        </w:r>
      </w:hyperlink>
    </w:p>
    <w:p w14:paraId="4CB0A668" w14:textId="77777777" w:rsidR="00BE63D4" w:rsidRDefault="00BE63D4" w:rsidP="00F90A3A">
      <w:pPr>
        <w:pStyle w:val="EndnoteText"/>
      </w:pPr>
    </w:p>
  </w:endnote>
  <w:endnote w:id="21">
    <w:p w14:paraId="2FECB00F" w14:textId="77777777" w:rsidR="00BE63D4" w:rsidRDefault="00BE63D4" w:rsidP="00F90A3A">
      <w:pPr>
        <w:pStyle w:val="EndnoteText"/>
        <w:rPr>
          <w:rStyle w:val="Hyperlink"/>
        </w:rPr>
      </w:pPr>
      <w:r>
        <w:rPr>
          <w:rStyle w:val="EndnoteReference"/>
        </w:rPr>
        <w:endnoteRef/>
      </w:r>
      <w:r>
        <w:t xml:space="preserve"> A description of the HHS Secretary’s initiative to combat opioid abuse is available at: </w:t>
      </w:r>
      <w:hyperlink r:id="rId6" w:history="1">
        <w:r w:rsidRPr="00401D3D">
          <w:rPr>
            <w:rStyle w:val="Hyperlink"/>
          </w:rPr>
          <w:t>http://aspe.hhs.gov/sp/reports/2015/OpioidInitiative/ib_OpioidInitiative.cfm</w:t>
        </w:r>
      </w:hyperlink>
    </w:p>
    <w:p w14:paraId="262B05D8" w14:textId="77777777" w:rsidR="00BE63D4" w:rsidRDefault="00BE63D4" w:rsidP="00F90A3A">
      <w:pPr>
        <w:pStyle w:val="EndnoteText"/>
      </w:pPr>
    </w:p>
  </w:endnote>
  <w:endnote w:id="22">
    <w:p w14:paraId="5B8BF381"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&lt;EndNote&gt;&lt;Cite&gt;&lt;Author&gt;Johnson&lt;/Author&gt;&lt;Year&gt;2014&lt;/Year&gt;&lt;RecNum&gt;12&lt;/RecNum&gt;&lt;DisplayText&gt;Johnson, H., et al. (2014). &amp;quot;Decline in drug overdose deaths after state policy changes - Florida, 2010-2012.&amp;quot; &lt;style face="underline"&gt;Morbidity and Mortality Weekly Report&lt;/style&gt; &lt;style face="bold"&gt;63&lt;/style&gt;(26): 569-574.&amp;#xD;&amp;#x9;&lt;/DisplayText&gt;&lt;record&gt;&lt;rec-number&gt;12&lt;/rec-number&gt;&lt;foreign-keys&gt;&lt;key app="EN" db-id="rr0ev9z2i5rafvefstmxt9riwttsrfsrwvar" timestamp="1454691818"&gt;12&lt;/key&gt;&lt;/foreign-keys&gt;&lt;ref-type name="Journal Article"&gt;17&lt;/ref-type&gt;&lt;contributors&gt;&lt;authors&gt;&lt;author&gt;Hal Johnson&lt;/author&gt;&lt;author&gt;Leonard Paulozzi&lt;/author&gt;&lt;author&gt;Christina Porucznik&lt;/author&gt;&lt;author&gt;Karin Mack&lt;/author&gt;&lt;author&gt;Blake Herter&lt;/author&gt;&lt;/authors&gt;&lt;/contributors&gt;&lt;titles&gt;&lt;title&gt;Decline in drug overdose deaths after state policy changes - Florida, 2010-2012&lt;/title&gt;&lt;secondary-title&gt;Morbidity and Mortality Weekly Report&lt;/secondary-title&gt;&lt;/titles&gt;&lt;periodical&gt;&lt;full-title&gt;Morbidity and Mortality Weekly Report&lt;/full-title&gt;&lt;/periodical&gt;&lt;pages&gt;569-574&lt;/pages&gt;&lt;volume&gt;63&lt;/volume&gt;&lt;number&gt;26&lt;/number&gt;&lt;dates&gt;&lt;year&gt;2014&lt;/year&gt;&lt;/dates&gt;&lt;urls&gt;&lt;/urls&gt;&lt;/record&gt;&lt;/Cite&gt;&lt;/EndNote&gt;</w:instrText>
      </w:r>
      <w:r>
        <w:fldChar w:fldCharType="separate"/>
      </w:r>
      <w:r>
        <w:rPr>
          <w:noProof/>
        </w:rPr>
        <w:t xml:space="preserve">Johnson, H., et al. (2014). "Decline in drug overdose deaths after state policy changes - Florida, 2010-2012." </w:t>
      </w:r>
      <w:r w:rsidRPr="00F90563">
        <w:rPr>
          <w:noProof/>
          <w:u w:val="single"/>
        </w:rPr>
        <w:t>Morbidity and Mortality Weekly Report</w:t>
      </w:r>
      <w:r>
        <w:rPr>
          <w:noProof/>
        </w:rPr>
        <w:t xml:space="preserve"> </w:t>
      </w:r>
      <w:r w:rsidRPr="00F90563">
        <w:rPr>
          <w:b/>
          <w:noProof/>
        </w:rPr>
        <w:t>63</w:t>
      </w:r>
      <w:r>
        <w:rPr>
          <w:noProof/>
        </w:rPr>
        <w:t>(26): 569-574.</w:t>
      </w:r>
    </w:p>
    <w:p w14:paraId="23097302" w14:textId="77777777" w:rsidR="00BE63D4" w:rsidRDefault="00BE63D4" w:rsidP="00F90A3A">
      <w:pPr>
        <w:pStyle w:val="EndnoteText"/>
      </w:pPr>
      <w:r>
        <w:rPr>
          <w:noProof/>
        </w:rPr>
        <w:tab/>
      </w:r>
      <w:r>
        <w:fldChar w:fldCharType="end"/>
      </w:r>
    </w:p>
  </w:endnote>
  <w:endnote w:id="23">
    <w:p w14:paraId="3C8DD0B8" w14:textId="77777777" w:rsidR="00BE63D4" w:rsidRDefault="00BE63D4" w:rsidP="00F90A3A">
      <w:pPr>
        <w:pStyle w:val="EndnoteText"/>
        <w:rPr>
          <w:noProof/>
        </w:rPr>
      </w:pPr>
      <w:r>
        <w:rPr>
          <w:rStyle w:val="EndnoteReference"/>
        </w:rPr>
        <w:endnoteRef/>
      </w:r>
      <w:r>
        <w:t xml:space="preserve"> </w:t>
      </w:r>
      <w:r>
        <w:fldChar w:fldCharType="begin"/>
      </w:r>
      <w:r>
        <w:instrText xml:space="preserve"> ADDIN EN.CITE &lt;EndNote&gt;&lt;Cite&gt;&lt;Author&gt;Paone&lt;/Author&gt;&lt;Year&gt;2015&lt;/Year&gt;&lt;RecNum&gt;13&lt;/RecNum&gt;&lt;DisplayText&gt;Paone, D., et al. (2015). &amp;quot;Decrease in rate of opioid analgesic overdose deaths.&amp;quot; Ibid. &lt;style face="bold"&gt;64&lt;/style&gt;(18): 491-494.&amp;#xD;&amp;#x9;&lt;/DisplayText&gt;&lt;record&gt;&lt;rec-number&gt;13&lt;/rec-number&gt;&lt;foreign-keys&gt;&lt;key app="EN" db-id="rr0ev9z2i5rafvefstmxt9riwttsrfsrwvar" timestamp="1454692199"&gt;13&lt;/key&gt;&lt;/foreign-keys&gt;&lt;ref-type name="Journal Article"&gt;17&lt;/ref-type&gt;&lt;contributors&gt;&lt;authors&gt;&lt;author&gt;Denise Paone&lt;/author&gt;&lt;author&gt;Ellenie Tuazon&lt;/author&gt;&lt;author&gt;Jessica Kattan&lt;/author&gt;&lt;author&gt;Michelle L. Nolan&lt;/author&gt;&lt;author&gt;Daniella Bradley O&amp;apos;Brien&lt;/author&gt;&lt;author&gt;Deborah Dowell&lt;/author&gt;&lt;author&gt;Thomas A. Farley&lt;/author&gt;&lt;author&gt;Hillary V. Kunins&lt;/author&gt;&lt;/authors&gt;&lt;/contributors&gt;&lt;titles&gt;&lt;title&gt;Decrease in rate of opioid analgesic overdose deaths&lt;/title&gt;&lt;secondary-title&gt;Morbidity and Mortality Weekly Report&lt;/secondary-title&gt;&lt;/titles&gt;&lt;periodical&gt;&lt;full-title&gt;Morbidity and Mortality Weekly Report&lt;/full-title&gt;&lt;/periodical&gt;&lt;pages&gt;491-494&lt;/pages&gt;&lt;volume&gt;64&lt;/volume&gt;&lt;number&gt;18&lt;/number&gt;&lt;dates&gt;&lt;year&gt;2015&lt;/year&gt;&lt;/dates&gt;&lt;urls&gt;&lt;/urls&gt;&lt;/record&gt;&lt;/Cite&gt;&lt;/EndNote&gt;</w:instrText>
      </w:r>
      <w:r>
        <w:fldChar w:fldCharType="separate"/>
      </w:r>
      <w:r>
        <w:rPr>
          <w:noProof/>
        </w:rPr>
        <w:t xml:space="preserve">Paone, D., et al. (2015). "Decrease in rate of opioid analgesic overdose deaths." Ibid. </w:t>
      </w:r>
      <w:r w:rsidRPr="00293BFE">
        <w:rPr>
          <w:b/>
          <w:noProof/>
        </w:rPr>
        <w:t>64</w:t>
      </w:r>
      <w:r>
        <w:rPr>
          <w:noProof/>
        </w:rPr>
        <w:t>(18): 491-494.</w:t>
      </w:r>
    </w:p>
    <w:p w14:paraId="278CF724" w14:textId="77777777" w:rsidR="00BE63D4" w:rsidRDefault="00BE63D4" w:rsidP="00F90A3A">
      <w:pPr>
        <w:pStyle w:val="EndnoteText"/>
      </w:pPr>
      <w:r>
        <w:rPr>
          <w:noProof/>
        </w:rPr>
        <w:tab/>
      </w:r>
      <w:r>
        <w:fldChar w:fldCharType="end"/>
      </w:r>
    </w:p>
  </w:endnote>
  <w:endnote w:id="24">
    <w:p w14:paraId="635C5BC1" w14:textId="38A002F5"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&lt;EndNote&gt;&lt;Cite&gt;&lt;Author&gt;Harruff&lt;/Author&gt;&lt;Year&gt;2015&lt;/Year&gt;&lt;RecNum&gt;14&lt;/RecNum&gt;&lt;DisplayText&gt;Harruff, R. C., et al. (2015). &amp;quot;Tracking the opioid drug overdose epidemic in King County, Washington using an improved methodology for certifying heroin-related deaths.&amp;quot; &lt;style face="underline"&gt;Academy of Forensic Pathology&lt;/style&gt; &lt;style face="bold"&gt;5&lt;/style&gt;(3): 499-506.&amp;#xD;&amp;#x9;&lt;/DisplayText&gt;&lt;record&gt;&lt;rec-number&gt;14&lt;/rec-number&gt;&lt;foreign-keys&gt;&lt;key app="EN" db-id="rr0ev9z2i5rafvefstmxt9riwttsrfsrwvar" timestamp="1454693029"&gt;14&lt;/key&gt;&lt;/foreign-keys&gt;&lt;ref-type name="Journal Article"&gt;17&lt;/ref-type&gt;&lt;contributors&gt;&lt;authors&gt;&lt;author&gt;Richard C. Harruff&lt;/author&gt;&lt;author&gt;Fiona J. Couper&lt;/author&gt;&lt;author&gt;Caleb J. Banta-Green&lt;/author&gt;&lt;/authors&gt;&lt;/contributors&gt;&lt;titles&gt;&lt;title&gt;Tracking the opioid drug overdose epidemic in King County, Washington using an improved methodology for certifying heroin-related deaths&lt;/title&gt;&lt;secondary-title&gt;Academy of Forensic Pathology&lt;/secondary-title&gt;&lt;/titles&gt;&lt;periodical&gt;&lt;full-title&gt;Academy of Forensic Pathology&lt;/full-title&gt;&lt;/periodical&gt;&lt;pages&gt;499-506&lt;/pages&gt;&lt;volume&gt;5&lt;/volume&gt;&lt;number&gt;3&lt;/number&gt;&lt;dates&gt;&lt;year&gt;2015&lt;/year&gt;&lt;/dates&gt;&lt;urls&gt;&lt;/urls&gt;&lt;/record&gt;&lt;/Cite&gt;&lt;/EndNote&gt;</w:instrText>
      </w:r>
      <w:r>
        <w:fldChar w:fldCharType="separate"/>
      </w:r>
      <w:r>
        <w:rPr>
          <w:noProof/>
        </w:rPr>
        <w:t xml:space="preserve">Harruff, R. C., et al. (2015). "Tracking the opioid drug overdose epidemic in King County, Washington using an improved methodology for certifying heroin-related deaths." </w:t>
      </w:r>
      <w:r w:rsidRPr="001E041B">
        <w:rPr>
          <w:noProof/>
          <w:u w:val="single"/>
        </w:rPr>
        <w:t>Academy of Forensic Pathology</w:t>
      </w:r>
      <w:r>
        <w:rPr>
          <w:noProof/>
        </w:rPr>
        <w:t xml:space="preserve"> </w:t>
      </w:r>
      <w:r w:rsidRPr="001E041B">
        <w:rPr>
          <w:b/>
          <w:noProof/>
        </w:rPr>
        <w:t>5</w:t>
      </w:r>
      <w:r>
        <w:rPr>
          <w:noProof/>
        </w:rPr>
        <w:t>(3): 499-506.</w:t>
      </w:r>
    </w:p>
    <w:p w14:paraId="2D17F197" w14:textId="6938ED4E" w:rsidR="00BE63D4" w:rsidRDefault="00BE63D4">
      <w:pPr>
        <w:pStyle w:val="EndnoteText"/>
      </w:pPr>
      <w:r>
        <w:rPr>
          <w:noProof/>
        </w:rPr>
        <w:tab/>
      </w:r>
      <w:r>
        <w:fldChar w:fldCharType="end"/>
      </w:r>
    </w:p>
  </w:endnote>
  <w:endnote w:id="25">
    <w:p w14:paraId="41398E92" w14:textId="77777777" w:rsidR="00BE63D4" w:rsidRDefault="00BE63D4" w:rsidP="009C279F">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581F4E7B" w14:textId="77777777" w:rsidR="00BE63D4" w:rsidRDefault="00BE63D4" w:rsidP="009C279F">
      <w:pPr>
        <w:pStyle w:val="EndnoteText"/>
      </w:pPr>
      <w:r>
        <w:rPr>
          <w:noProof/>
        </w:rPr>
        <w:tab/>
      </w:r>
    </w:p>
  </w:endnote>
  <w:endnote w:id="26">
    <w:p w14:paraId="04FFB6D1" w14:textId="77777777" w:rsidR="00BE63D4" w:rsidRDefault="00BE63D4" w:rsidP="009C279F">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6115135D" w14:textId="77777777" w:rsidR="00BE63D4" w:rsidRDefault="00BE63D4" w:rsidP="009C279F">
      <w:pPr>
        <w:pStyle w:val="EndnoteText"/>
      </w:pPr>
      <w:r>
        <w:rPr>
          <w:noProof/>
        </w:rPr>
        <w:tab/>
      </w:r>
      <w:r>
        <w:fldChar w:fldCharType="end"/>
      </w:r>
    </w:p>
  </w:endnote>
  <w:endnote w:id="27">
    <w:p w14:paraId="112A9505" w14:textId="4FFDE70B"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&lt;EndNote&gt;&lt;Cite&gt;&lt;Author&gt;Slavova&lt;/Author&gt;&lt;Year&gt;2015&lt;/Year&gt;&lt;RecNum&gt;18&lt;/RecNum&gt;&lt;DisplayText&gt;Slavova, S., et al. (2015). &amp;quot;Drug overdose deaths: Let&amp;apos;s get specific.&amp;quot; &lt;style face="underline"&gt;Public Health Report&lt;/style&gt; &lt;style face="bold"&gt;130&lt;/style&gt;(July-August 2015): 339-342.&amp;#xD;&amp;#x9;&lt;/DisplayText&gt;&lt;record&gt;&lt;rec-number&gt;18&lt;/rec-number&gt;&lt;foreign-keys&gt;&lt;key app="EN" db-id="rr0ev9z2i5rafvefstmxt9riwttsrfsrwvar" timestamp="1454700474"&gt;18&lt;/key&gt;&lt;/foreign-keys&gt;&lt;ref-type name="Journal Article"&gt;17&lt;/ref-type&gt;&lt;contributors&gt;&lt;authors&gt;&lt;author&gt;S. Slavova&lt;/author&gt;&lt;author&gt;D. Bardley O&amp;apos;Brien&lt;/author&gt;&lt;author&gt;K. Creppage&lt;/author&gt;&lt;author&gt;D Dao&lt;/author&gt;&lt;author&gt;A Fondario&lt;/author&gt;&lt;author&gt;E Haile&lt;/author&gt;&lt;author&gt;B Hume&lt;/author&gt;&lt;author&gt;T.W. Largo&lt;/author&gt;&lt;author&gt;C. Nguyen&lt;/author&gt;&lt;author&gt;J. C. Dabel&lt;/author&gt;&lt;author&gt;D. Wright&lt;/author&gt;&lt;/authors&gt;&lt;/contributors&gt;&lt;titles&gt;&lt;title&gt;Drug overdose deaths: Let&amp;apos;s get specific&lt;/title&gt;&lt;secondary-title&gt;Public Health Report&lt;/secondary-title&gt;&lt;/titles&gt;&lt;periodical&gt;&lt;full-title&gt;Public Health Report&lt;/full-title&gt;&lt;/periodical&gt;&lt;pages&gt;339-342&lt;/pages&gt;&lt;volume&gt;130&lt;/volume&gt;&lt;number&gt;July-August 2015&lt;/number&gt;&lt;dates&gt;&lt;year&gt;2015&lt;/year&gt;&lt;/dates&gt;&lt;urls&gt;&lt;/urls&gt;&lt;/record&gt;&lt;/Cite&gt;&lt;/EndNote&gt;</w:instrText>
      </w:r>
      <w:r>
        <w:fldChar w:fldCharType="separate"/>
      </w:r>
      <w:r>
        <w:rPr>
          <w:noProof/>
        </w:rPr>
        <w:t xml:space="preserve">Slavova, S., et al. (2015). "Drug overdose deaths: Let's get specific." </w:t>
      </w:r>
      <w:r w:rsidRPr="00235B25">
        <w:rPr>
          <w:noProof/>
          <w:u w:val="single"/>
        </w:rPr>
        <w:t>Public Health Report</w:t>
      </w:r>
      <w:r>
        <w:rPr>
          <w:noProof/>
        </w:rPr>
        <w:t xml:space="preserve"> </w:t>
      </w:r>
      <w:r w:rsidRPr="00235B25">
        <w:rPr>
          <w:b/>
          <w:noProof/>
        </w:rPr>
        <w:t>130</w:t>
      </w:r>
      <w:r>
        <w:rPr>
          <w:noProof/>
        </w:rPr>
        <w:t>(July-August 2015): 339-342.</w:t>
      </w:r>
    </w:p>
    <w:p w14:paraId="47A11415" w14:textId="29A38FF3" w:rsidR="00BE63D4" w:rsidRDefault="00BE63D4">
      <w:pPr>
        <w:pStyle w:val="EndnoteText"/>
      </w:pPr>
      <w:r>
        <w:rPr>
          <w:noProof/>
        </w:rPr>
        <w:tab/>
      </w:r>
      <w:r>
        <w:fldChar w:fldCharType="end"/>
      </w:r>
    </w:p>
  </w:endnote>
  <w:endnote w:id="28">
    <w:p w14:paraId="430DE906" w14:textId="77777777" w:rsidR="00BE63D4" w:rsidRDefault="00BE63D4" w:rsidP="001445C5">
      <w:pPr>
        <w:pStyle w:val="EndnoteText"/>
        <w:rPr>
          <w:rStyle w:val="Hyperlink"/>
        </w:rPr>
      </w:pPr>
      <w:r>
        <w:rPr>
          <w:rStyle w:val="EndnoteReference"/>
        </w:rPr>
        <w:endnoteRef/>
      </w:r>
      <w:r>
        <w:t xml:space="preserve"> A description of the HHS Secretary’s initiative to combat opioid abuse is available at: </w:t>
      </w:r>
      <w:hyperlink r:id="rId7" w:history="1">
        <w:r w:rsidRPr="00401D3D">
          <w:rPr>
            <w:rStyle w:val="Hyperlink"/>
          </w:rPr>
          <w:t>http://aspe.hhs.gov/sp/reports/2015/OpioidInitiative/ib_OpioidInitiative.cfm</w:t>
        </w:r>
      </w:hyperlink>
    </w:p>
    <w:p w14:paraId="7C205218" w14:textId="66169076" w:rsidR="00BE63D4" w:rsidRDefault="00BE63D4">
      <w:pPr>
        <w:pStyle w:val="EndnoteText"/>
      </w:pPr>
    </w:p>
  </w:endnote>
  <w:endnote w:id="29">
    <w:p w14:paraId="4D3E61CF" w14:textId="77777777" w:rsidR="00BE63D4" w:rsidRDefault="00BE63D4" w:rsidP="001445C5">
      <w:pPr>
        <w:pStyle w:val="EndnoteText"/>
        <w:rPr>
          <w:rStyle w:val="Hyperlink"/>
        </w:rPr>
      </w:pPr>
      <w:r>
        <w:rPr>
          <w:rStyle w:val="EndnoteReference"/>
        </w:rPr>
        <w:endnoteRef/>
      </w:r>
      <w:r>
        <w:t xml:space="preserve"> A description of the HHS Secretary’s initiative to combat opioid abuse is available at: </w:t>
      </w:r>
      <w:hyperlink r:id="rId8" w:history="1">
        <w:r w:rsidRPr="00401D3D">
          <w:rPr>
            <w:rStyle w:val="Hyperlink"/>
          </w:rPr>
          <w:t>http://aspe.hhs.gov/sp/reports/2015/OpioidInitiative/ib_OpioidInitiative.cfm</w:t>
        </w:r>
      </w:hyperlink>
    </w:p>
    <w:p w14:paraId="392DA7FB" w14:textId="295032F6" w:rsidR="00BE63D4" w:rsidRDefault="00BE63D4">
      <w:pPr>
        <w:pStyle w:val="EndnoteText"/>
      </w:pPr>
    </w:p>
  </w:endnote>
  <w:endnote w:id="30">
    <w:p w14:paraId="6178CDA4" w14:textId="7D46D874"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&lt;EndNote&gt;&lt;Cite&gt;&lt;Author&gt;Binswanger&lt;/Author&gt;&lt;Year&gt;2015&lt;/Year&gt;&lt;RecNum&gt;15&lt;/RecNum&gt;&lt;DisplayText&gt;Binswanger, I., et al. (2015). &amp;quot;Clinical risk factors for death after release from prison in Washington State: A nested case control study.&amp;quot; &lt;style face="underline"&gt;Addiction&lt;/style&gt; &lt;style face="bold"&gt;October 7, 2015&lt;/style&gt;.&amp;#xD;&amp;#x9;&lt;/DisplayText&gt;&lt;record&gt;&lt;rec-number&gt;15&lt;/rec-number&gt;&lt;foreign-keys&gt;&lt;key app="EN" db-id="rr0ev9z2i5rafvefstmxt9riwttsrfsrwvar" timestamp="1454693770"&gt;15&lt;/key&gt;&lt;/foreign-keys&gt;&lt;ref-type name="Journal Article"&gt;17&lt;/ref-type&gt;&lt;contributors&gt;&lt;authors&gt;&lt;author&gt;IA Binswanger&lt;/author&gt;&lt;author&gt;MF Stern&lt;/author&gt;&lt;author&gt;TE Yamashita&lt;/author&gt;&lt;author&gt;SR Mueller&lt;/author&gt;&lt;author&gt;TP Baggett&lt;/author&gt;&lt;author&gt;PJ Blatchford&lt;/author&gt;&lt;/authors&gt;&lt;/contributors&gt;&lt;titles&gt;&lt;title&gt;Clinical risk factors for death after release from prison in Washington State: A nested case control study&lt;/title&gt;&lt;secondary-title&gt;Addiction&lt;/secondary-title&gt;&lt;/titles&gt;&lt;periodical&gt;&lt;full-title&gt;Addiction&lt;/full-title&gt;&lt;/periodical&gt;&lt;volume&gt;October 7, 2015&lt;/volume&gt;&lt;dates&gt;&lt;year&gt;2015&lt;/year&gt;&lt;pub-dates&gt;&lt;date&gt;October 7, 2015&lt;/date&gt;&lt;/pub-dates&gt;&lt;/dates&gt;&lt;urls&gt;&lt;/urls&gt;&lt;electronic-resource-num&gt;10.1111/add.13200&lt;/electronic-resource-num&gt;&lt;/record&gt;&lt;/Cite&gt;&lt;/EndNote&gt;</w:instrText>
      </w:r>
      <w:r>
        <w:fldChar w:fldCharType="separate"/>
      </w:r>
      <w:r>
        <w:rPr>
          <w:noProof/>
        </w:rPr>
        <w:t xml:space="preserve">Binswanger, I., et al. (2015). "Clinical risk factors for death after release from prison in Washington State: A nested case control study." </w:t>
      </w:r>
      <w:r w:rsidRPr="009B2836">
        <w:rPr>
          <w:noProof/>
          <w:u w:val="single"/>
        </w:rPr>
        <w:t>Addiction</w:t>
      </w:r>
      <w:r>
        <w:rPr>
          <w:noProof/>
        </w:rPr>
        <w:t xml:space="preserve"> </w:t>
      </w:r>
      <w:r w:rsidRPr="009B2836">
        <w:rPr>
          <w:b/>
          <w:noProof/>
        </w:rPr>
        <w:t>October 7, 2015</w:t>
      </w:r>
      <w:r>
        <w:rPr>
          <w:noProof/>
        </w:rPr>
        <w:t>.</w:t>
      </w:r>
    </w:p>
    <w:p w14:paraId="0324395B" w14:textId="7275F434" w:rsidR="00BE63D4" w:rsidRDefault="00BE63D4">
      <w:pPr>
        <w:pStyle w:val="EndnoteText"/>
      </w:pPr>
      <w:r>
        <w:rPr>
          <w:noProof/>
        </w:rPr>
        <w:tab/>
      </w:r>
      <w:r>
        <w:fldChar w:fldCharType="end"/>
      </w:r>
    </w:p>
  </w:endnote>
  <w:endnote w:id="31">
    <w:p w14:paraId="02222D8D" w14:textId="640A4ABC"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&lt;EndNote&gt;&lt;Cite&gt;&lt;Author&gt;Ravndal&lt;/Author&gt;&lt;Year&gt;2010&lt;/Year&gt;&lt;RecNum&gt;16&lt;/RecNum&gt;&lt;DisplayText&gt;Ravndal, E. and E. Amundsen (2010). &amp;quot;Mortality among drug users after discharge from inpatient treatment: An 8-year prospective study.&amp;quot; &lt;style face="underline"&gt;Drug and Alcohol Dependence&lt;/style&gt; &lt;style face="bold"&gt;108&lt;/style&gt;(1-2): 65-69.&amp;#xD;&amp;#x9;&lt;/DisplayText&gt;&lt;record&gt;&lt;rec-number&gt;16&lt;/rec-number&gt;&lt;foreign-keys&gt;&lt;key app="EN" db-id="rr0ev9z2i5rafvefstmxt9riwttsrfsrwvar" timestamp="1454694219"&gt;16&lt;/key&gt;&lt;/foreign-keys&gt;&lt;ref-type name="Journal Article"&gt;17&lt;/ref-type&gt;&lt;contributors&gt;&lt;authors&gt;&lt;author&gt;E Ravndal&lt;/author&gt;&lt;author&gt;EJ Amundsen&lt;/author&gt;&lt;/authors&gt;&lt;/contributors&gt;&lt;titles&gt;&lt;title&gt;Mortality among drug users after discharge from inpatient treatment: An 8-year prospective study&lt;/title&gt;&lt;secondary-title&gt;Drug and Alcohol Dependence&lt;/secondary-title&gt;&lt;/titles&gt;&lt;periodical&gt;&lt;full-title&gt;Drug and Alcohol Dependence&lt;/full-title&gt;&lt;/periodical&gt;&lt;pages&gt;65-69&lt;/pages&gt;&lt;volume&gt;108&lt;/volume&gt;&lt;number&gt;1-2&lt;/number&gt;&lt;dates&gt;&lt;year&gt;2010&lt;/year&gt;&lt;/dates&gt;&lt;urls&gt;&lt;/urls&gt;&lt;/record&gt;&lt;/Cite&gt;&lt;/EndNote&gt;</w:instrText>
      </w:r>
      <w:r>
        <w:fldChar w:fldCharType="separate"/>
      </w:r>
      <w:r>
        <w:rPr>
          <w:noProof/>
        </w:rPr>
        <w:t xml:space="preserve">Ravndal, E. and E. Amundsen (2010). "Mortality among drug users after discharge from inpatient treatment: An 8-year prospective study." </w:t>
      </w:r>
      <w:r w:rsidRPr="00F50CDB">
        <w:rPr>
          <w:noProof/>
          <w:u w:val="single"/>
        </w:rPr>
        <w:t>Drug and Alcohol Dependence</w:t>
      </w:r>
      <w:r>
        <w:rPr>
          <w:noProof/>
        </w:rPr>
        <w:t xml:space="preserve"> </w:t>
      </w:r>
      <w:r w:rsidRPr="00F50CDB">
        <w:rPr>
          <w:b/>
          <w:noProof/>
        </w:rPr>
        <w:t>108</w:t>
      </w:r>
      <w:r>
        <w:rPr>
          <w:noProof/>
        </w:rPr>
        <w:t>(1-2): 65-69.</w:t>
      </w:r>
    </w:p>
    <w:p w14:paraId="1D777A24" w14:textId="743A2501" w:rsidR="00BE63D4" w:rsidRDefault="00BE63D4">
      <w:pPr>
        <w:pStyle w:val="EndnoteText"/>
      </w:pPr>
      <w:r>
        <w:rPr>
          <w:noProof/>
        </w:rPr>
        <w:tab/>
      </w:r>
      <w:r>
        <w:fldChar w:fldCharType="end"/>
      </w:r>
    </w:p>
  </w:endnote>
  <w:endnote w:id="32">
    <w:p w14:paraId="0AB30FC5" w14:textId="2F07FD23"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&lt;EndNote&gt;&lt;Cite&gt;&lt;Author&gt;Centers for Disease Control and Prevention&lt;/Author&gt;&lt;RecNum&gt;17&lt;/RecNum&gt;&lt;DisplayText&gt;Centers for Disease Control and Prevention (October 26, 2015). &amp;quot;CDC Health Advisory: Increases in fentanyl drug confiscations and fentanyl-related overdose fatalities.&amp;quot; &lt;style face="underline"&gt;HAN&lt;/style&gt; CDCHAN-00384. Retrieved February 5, 2016, from http://emergency.cdc.gov/han/han00384.asp.&amp;#xD;&amp;#x9;&lt;/DisplayText&gt;&lt;record&gt;&lt;rec-number&gt;17&lt;/rec-number&gt;&lt;foreign-keys&gt;&lt;key app="EN" db-id="rr0ev9z2i5rafvefstmxt9riwttsrfsrwvar" timestamp="1454694682"&gt;17&lt;/key&gt;&lt;/foreign-keys&gt;&lt;ref-type name="Web Page"&gt;12&lt;/ref-type&gt;&lt;contributors&gt;&lt;authors&gt;&lt;author&gt;Centers for Disease Control and Prevention,&lt;/author&gt;&lt;/authors&gt;&lt;/contributors&gt;&lt;titles&gt;&lt;title&gt;CDC Health Advisory: Increases in fentanyl drug confiscations and fentanyl-related overdose fatalities&lt;/title&gt;&lt;secondary-title&gt;HAN&lt;/secondary-title&gt;&lt;/titles&gt;&lt;volume&gt;2016&lt;/volume&gt;&lt;number&gt;February 5&lt;/number&gt;&lt;edition&gt;CDCHAN-00384&lt;/edition&gt;&lt;dates&gt;&lt;pub-dates&gt;&lt;date&gt;October 26, 2015&lt;/date&gt;&lt;/pub-dates&gt;&lt;/dates&gt;&lt;publisher&gt;CDC&lt;/publisher&gt;&lt;urls&gt;&lt;related-urls&gt;&lt;url&gt;http://emergency.cdc.gov/han/han00384.asp&lt;/url&gt;&lt;/related-urls&gt;&lt;/urls&gt;&lt;/record&gt;&lt;/Cite&gt;&lt;/EndNote&gt;</w:instrText>
      </w:r>
      <w:r>
        <w:fldChar w:fldCharType="separate"/>
      </w:r>
      <w:r>
        <w:rPr>
          <w:noProof/>
        </w:rPr>
        <w:t xml:space="preserve">Centers for Disease Control and Prevention (October 26, 2015). "CDC Health Advisory: Increases in fentanyl drug confiscations and fentanyl-related overdose fatalities." </w:t>
      </w:r>
      <w:r w:rsidRPr="00EB6505">
        <w:rPr>
          <w:noProof/>
          <w:u w:val="single"/>
        </w:rPr>
        <w:t>HAN</w:t>
      </w:r>
      <w:r>
        <w:rPr>
          <w:noProof/>
        </w:rPr>
        <w:t xml:space="preserve"> CDCHAN-00384. Retrieved February 5, 2016, from http://emergency.cdc.gov/han/han00384.asp.</w:t>
      </w:r>
    </w:p>
    <w:p w14:paraId="28A358E3" w14:textId="1270A813" w:rsidR="00BE63D4" w:rsidRDefault="00BE63D4">
      <w:pPr>
        <w:pStyle w:val="EndnoteText"/>
      </w:pPr>
      <w:r>
        <w:rPr>
          <w:noProof/>
        </w:rPr>
        <w:tab/>
      </w:r>
      <w:r>
        <w:fldChar w:fldCharType="end"/>
      </w:r>
    </w:p>
  </w:endnote>
  <w:endnote w:id="33">
    <w:p w14:paraId="7759C471" w14:textId="0CC0BD08" w:rsidR="00BE63D4" w:rsidRDefault="00BE63D4" w:rsidP="00562E20">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w:t>
      </w:r>
      <w:r>
        <w:rPr>
          <w:noProof/>
          <w:u w:val="single"/>
        </w:rPr>
        <w:t>e</w:t>
      </w:r>
      <w:r w:rsidRPr="0015697B">
        <w:rPr>
          <w:noProof/>
          <w:u w:val="single"/>
        </w:rPr>
        <w:t>kly Report</w:t>
      </w:r>
      <w:r>
        <w:rPr>
          <w:noProof/>
        </w:rPr>
        <w:t xml:space="preserve"> </w:t>
      </w:r>
      <w:r w:rsidRPr="0015697B">
        <w:rPr>
          <w:b/>
          <w:noProof/>
        </w:rPr>
        <w:t>64</w:t>
      </w:r>
      <w:r>
        <w:rPr>
          <w:noProof/>
        </w:rPr>
        <w:t>(50): 1378-1382.</w:t>
      </w:r>
    </w:p>
    <w:p w14:paraId="49D21072" w14:textId="77777777" w:rsidR="00BE63D4" w:rsidRDefault="00BE63D4" w:rsidP="00562E20">
      <w:pPr>
        <w:pStyle w:val="EndnoteText"/>
      </w:pPr>
      <w:r>
        <w:rPr>
          <w:noProof/>
        </w:rPr>
        <w:tab/>
      </w:r>
    </w:p>
  </w:endnote>
  <w:endnote w:id="34">
    <w:p w14:paraId="5C978E06" w14:textId="36681DEF"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&lt;EndNote&gt;&lt;Cite&gt;&lt;Author&gt;Paulozzi&lt;/Author&gt;&lt;Year&gt;2009&lt;/Year&gt;&lt;RecNum&gt;19&lt;/RecNum&gt;&lt;DisplayText&gt;Paulozzi, L., et al. (2009). &amp;quot;A comparison of drug overdose deaths involving methadone and other opioid analgesics in West Virginia.&amp;quot; &lt;style face="underline"&gt;Addiction&lt;/style&gt; &lt;style face="bold"&gt;104&lt;/style&gt;(9): 1541-1548.&amp;#xD;&amp;#x9;&lt;/DisplayText&gt;&lt;record&gt;&lt;rec-number&gt;19&lt;/rec-number&gt;&lt;foreign-keys&gt;&lt;key app="EN" db-id="rr0ev9z2i5rafvefstmxt9riwttsrfsrwvar" timestamp="1454701699"&gt;19&lt;/key&gt;&lt;/foreign-keys&gt;&lt;ref-type name="Journal Article"&gt;17&lt;/ref-type&gt;&lt;contributors&gt;&lt;authors&gt;&lt;author&gt;LJ Paulozzi&lt;/author&gt;&lt;author&gt;JE Logan&lt;/author&gt;&lt;author&gt;AJ Hall&lt;/author&gt;&lt;author&gt;E McKinstry&lt;/author&gt;&lt;author&gt;JA Kaplan&lt;/author&gt;&lt;author&gt;AE Crosby&lt;/author&gt;&lt;/authors&gt;&lt;/contributors&gt;&lt;titles&gt;&lt;title&gt;A comparison of drug overdose deaths involving methadone and other opioid analgesics in West Virginia&lt;/title&gt;&lt;secondary-title&gt;Addiction&lt;/secondary-title&gt;&lt;/titles&gt;&lt;periodical&gt;&lt;full-title&gt;Addiction&lt;/full-title&gt;&lt;/periodical&gt;&lt;pages&gt;1541-1548&lt;/pages&gt;&lt;volume&gt;104&lt;/volume&gt;&lt;number&gt;9&lt;/number&gt;&lt;dates&gt;&lt;year&gt;2009&lt;/year&gt;&lt;/dates&gt;&lt;urls&gt;&lt;/urls&gt;&lt;electronic-resource-num&gt;10.1111/j.1360-0443.2009.02650.&lt;/electronic-resource-num&gt;&lt;/record&gt;&lt;/Cite&gt;&lt;/EndNote&gt;</w:instrText>
      </w:r>
      <w:r>
        <w:fldChar w:fldCharType="separate"/>
      </w:r>
      <w:r>
        <w:rPr>
          <w:noProof/>
        </w:rPr>
        <w:t xml:space="preserve">Paulozzi, L., et al. (2009). "A comparison of drug overdose deaths involving methadone and other opioid analgesics in West Virginia." </w:t>
      </w:r>
      <w:r w:rsidRPr="004325F7">
        <w:rPr>
          <w:noProof/>
          <w:u w:val="single"/>
        </w:rPr>
        <w:t>Addiction</w:t>
      </w:r>
      <w:r>
        <w:rPr>
          <w:noProof/>
        </w:rPr>
        <w:t xml:space="preserve"> </w:t>
      </w:r>
      <w:r w:rsidRPr="004325F7">
        <w:rPr>
          <w:b/>
          <w:noProof/>
        </w:rPr>
        <w:t>104</w:t>
      </w:r>
      <w:r>
        <w:rPr>
          <w:noProof/>
        </w:rPr>
        <w:t>(9): 1541-1548.</w:t>
      </w:r>
    </w:p>
    <w:p w14:paraId="3227903A" w14:textId="3D306528" w:rsidR="00BE63D4" w:rsidRDefault="00BE63D4">
      <w:pPr>
        <w:pStyle w:val="EndnoteText"/>
      </w:pPr>
      <w:r>
        <w:rPr>
          <w:noProof/>
        </w:rPr>
        <w:tab/>
      </w:r>
      <w:r>
        <w:fldChar w:fldCharType="end"/>
      </w:r>
    </w:p>
  </w:endnote>
  <w:endnote w:id="35">
    <w:p w14:paraId="55D3F463" w14:textId="09065D60"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&lt;EndNote&gt;&lt;Cite&gt;&lt;Author&gt;Mercado-Crespo&lt;/Author&gt;&lt;Year&gt;2014&lt;/Year&gt;&lt;RecNum&gt;20&lt;/RecNum&gt;&lt;DisplayText&gt;Mercado-Crespo, M. C., et al. (2014). &amp;quot;Notes from the Field: Increase in fentanyl-related overdose deaths - Rhode Island, November 2013 - March 2014.&amp;quot; &lt;style face="underline"&gt;Morbidity and Mortality Weekly Report&lt;/style&gt; &lt;style face="bold"&gt;63&lt;/style&gt;(24): 531.&amp;#xD;&amp;#x9;&lt;/DisplayText&gt;&lt;record&gt;&lt;rec-number&gt;20&lt;/rec-number&gt;&lt;foreign-keys&gt;&lt;key app="EN" db-id="rr0ev9z2i5rafvefstmxt9riwttsrfsrwvar" timestamp="1454701949"&gt;20&lt;/key&gt;&lt;/foreign-keys&gt;&lt;ref-type name="Journal Article"&gt;17&lt;/ref-type&gt;&lt;contributors&gt;&lt;authors&gt;&lt;author&gt;M.C. Mercado-Crespo&lt;/author&gt;&lt;author&gt;S.A. Sumner&lt;/author&gt;&lt;author&gt;M. Bridget Spelke&lt;/author&gt;&lt;author&gt;D.E. Sugerman&lt;/author&gt;&lt;author&gt;C. Stanley&lt;/author&gt;&lt;/authors&gt;&lt;/contributors&gt;&lt;titles&gt;&lt;title&gt;Notes from the Field: Increase in fentanyl-related overdose deaths - Rhode Island, November 2013 - March 2014&lt;/title&gt;&lt;secondary-title&gt;Morbidity and Mortality Weekly Report&lt;/secondary-title&gt;&lt;/titles&gt;&lt;periodical&gt;&lt;full-title&gt;Morbidity and Mortality Weekly Report&lt;/full-title&gt;&lt;/periodical&gt;&lt;pages&gt;531&lt;/pages&gt;&lt;volume&gt;63&lt;/volume&gt;&lt;number&gt;24&lt;/number&gt;&lt;dates&gt;&lt;year&gt;2014&lt;/year&gt;&lt;/dates&gt;&lt;urls&gt;&lt;/urls&gt;&lt;/record&gt;&lt;/Cite&gt;&lt;/EndNote&gt;</w:instrText>
      </w:r>
      <w:r>
        <w:fldChar w:fldCharType="separate"/>
      </w:r>
      <w:r>
        <w:rPr>
          <w:noProof/>
        </w:rPr>
        <w:t xml:space="preserve">Mercado-Crespo, M. C., et al. (2014). "Notes from the Field: Increase in fentanyl-related overdose deaths - Rhode Island, November 2013 - March 2014." </w:t>
      </w:r>
      <w:r w:rsidRPr="00EB6505">
        <w:rPr>
          <w:noProof/>
          <w:u w:val="single"/>
        </w:rPr>
        <w:t>Morbidity and Mortality Weekly Report</w:t>
      </w:r>
      <w:r>
        <w:rPr>
          <w:noProof/>
        </w:rPr>
        <w:t xml:space="preserve"> </w:t>
      </w:r>
      <w:r w:rsidRPr="00EB6505">
        <w:rPr>
          <w:b/>
          <w:noProof/>
        </w:rPr>
        <w:t>63</w:t>
      </w:r>
      <w:r>
        <w:rPr>
          <w:noProof/>
        </w:rPr>
        <w:t>(24): 531.</w:t>
      </w:r>
    </w:p>
    <w:p w14:paraId="15D4995B" w14:textId="3F534EDC" w:rsidR="00BE63D4" w:rsidRDefault="00BE63D4">
      <w:pPr>
        <w:pStyle w:val="EndnoteText"/>
      </w:pPr>
      <w:r>
        <w:rPr>
          <w:noProof/>
        </w:rPr>
        <w:tab/>
      </w:r>
      <w:r>
        <w:fldChar w:fldCharType="end"/>
      </w:r>
    </w:p>
  </w:endnote>
  <w:endnote w:id="36">
    <w:p w14:paraId="1949D963" w14:textId="38532B52" w:rsidR="00BE63D4" w:rsidRDefault="00BE63D4">
      <w:pPr>
        <w:pStyle w:val="EndnoteText"/>
      </w:pPr>
      <w:r>
        <w:rPr>
          <w:rStyle w:val="EndnoteReference"/>
        </w:rPr>
        <w:endnoteRef/>
      </w:r>
      <w:r>
        <w:t xml:space="preserve"> Information on the Brandeis Center for Excellence is available at: </w:t>
      </w:r>
      <w:hyperlink r:id="rId9" w:history="1">
        <w:r w:rsidRPr="00033C4E">
          <w:rPr>
            <w:rStyle w:val="Hyperlink"/>
          </w:rPr>
          <w:t>http://www.pdmpexcellence.org/</w:t>
        </w:r>
      </w:hyperlink>
      <w:r>
        <w:t xml:space="preserve"> </w:t>
      </w:r>
    </w:p>
    <w:p w14:paraId="43446ACA" w14:textId="77777777" w:rsidR="00BE63D4" w:rsidRDefault="00BE63D4">
      <w:pPr>
        <w:pStyle w:val="EndnoteText"/>
      </w:pPr>
    </w:p>
  </w:endnote>
  <w:endnote w:id="37">
    <w:p w14:paraId="2254990B" w14:textId="7A29E58E" w:rsidR="00BE63D4" w:rsidRDefault="00BE63D4">
      <w:pPr>
        <w:pStyle w:val="EndnoteText"/>
        <w:rPr>
          <w:noProof/>
        </w:rPr>
      </w:pPr>
      <w:r>
        <w:rPr>
          <w:rStyle w:val="EndnoteReference"/>
        </w:rPr>
        <w:endnoteRef/>
      </w:r>
      <w:r>
        <w:t xml:space="preserve"> </w:t>
      </w:r>
      <w:r>
        <w:fldChar w:fldCharType="begin"/>
      </w:r>
      <w:r>
        <w:instrText xml:space="preserve"> ADDIN EN.CITE &lt;EndNote&gt;&lt;Cite&gt;&lt;Author&gt;Bureau of Labor Statistics&lt;/Author&gt;&lt;Year&gt;May 2014&lt;/Year&gt;&lt;RecNum&gt;27&lt;/RecNum&gt;&lt;DisplayText&gt;Bureau of Labor Statistics (May 2014). &amp;quot;Occupational employment statistics: National industry-specific and by ownership.&amp;quot; Retrieved February 4, 2016, from http://www.bls.gov/oes/.&amp;#xD;&amp;#x9;&lt;/DisplayText&gt;&lt;record&gt;&lt;rec-number&gt;27&lt;/rec-number&gt;&lt;foreign-keys&gt;&lt;key app="EN" db-id="rr0ev9z2i5rafvefstmxt9riwttsrfsrwvar" timestamp="1455296599"&gt;27&lt;/key&gt;&lt;/foreign-keys&gt;&lt;ref-type name="Web Page"&gt;12&lt;/ref-type&gt;&lt;contributors&gt;&lt;authors&gt;&lt;author&gt;Bureau of Labor Statistics,&lt;/author&gt;&lt;/authors&gt;&lt;/contributors&gt;&lt;titles&gt;&lt;title&gt;Occupational employment statistics: National industry-specific and by ownership&lt;/title&gt;&lt;/titles&gt;&lt;volume&gt;2016&lt;/volume&gt;&lt;number&gt;February 4&lt;/number&gt;&lt;dates&gt;&lt;year&gt;May 2014&lt;/year&gt;&lt;/dates&gt;&lt;publisher&gt;United States Department of Labor&lt;/publisher&gt;&lt;urls&gt;&lt;related-urls&gt;&lt;url&gt;http://www.bls.gov/oes/&lt;/url&gt;&lt;/related-urls&gt;&lt;/urls&gt;&lt;/record&gt;&lt;/Cite&gt;&lt;/EndNote&gt;</w:instrText>
      </w:r>
      <w:r>
        <w:fldChar w:fldCharType="separate"/>
      </w:r>
      <w:r>
        <w:rPr>
          <w:noProof/>
        </w:rPr>
        <w:t>Bureau of Labor Statistics (May 2014). "Occupational employment statistics: National industry-specific and by ownership." Retrieved February 4, 2016, from http://www.bls.gov/oes/.</w:t>
      </w:r>
    </w:p>
    <w:p w14:paraId="4BE38411" w14:textId="227FEED9" w:rsidR="00BE63D4" w:rsidRDefault="00BE63D4">
      <w:pPr>
        <w:pStyle w:val="EndnoteText"/>
      </w:pPr>
      <w:r>
        <w:rPr>
          <w:noProof/>
        </w:rPr>
        <w:tab/>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83B7" w14:textId="77777777" w:rsidR="00BE63D4" w:rsidRDefault="00BE63D4">
    <w:pPr>
      <w:spacing w:line="240" w:lineRule="exact"/>
    </w:pPr>
  </w:p>
  <w:p w14:paraId="2CFABBC1" w14:textId="5A982F81" w:rsidR="00BE63D4" w:rsidRDefault="00BE63D4">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7327D0">
      <w:rPr>
        <w:noProof/>
        <w:sz w:val="24"/>
      </w:rPr>
      <w:t>1</w:t>
    </w:r>
    <w:r>
      <w:rPr>
        <w:sz w:val="24"/>
      </w:rPr>
      <w:fldChar w:fldCharType="end"/>
    </w:r>
  </w:p>
  <w:p w14:paraId="2A019E67" w14:textId="77777777" w:rsidR="00BE63D4" w:rsidRDefault="00BE63D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DBA79" w14:textId="77777777" w:rsidR="00BE63D4" w:rsidRDefault="00BE63D4">
      <w:r>
        <w:separator/>
      </w:r>
    </w:p>
  </w:footnote>
  <w:footnote w:type="continuationSeparator" w:id="0">
    <w:p w14:paraId="482F0BE6" w14:textId="77777777" w:rsidR="00BE63D4" w:rsidRDefault="00BE63D4">
      <w:r>
        <w:continuationSeparator/>
      </w:r>
    </w:p>
  </w:footnote>
  <w:footnote w:type="continuationNotice" w:id="1">
    <w:p w14:paraId="1DF0E969" w14:textId="77777777" w:rsidR="00BE63D4" w:rsidRDefault="00BE63D4"/>
  </w:footnote>
  <w:footnote w:id="2">
    <w:p w14:paraId="518B82B1" w14:textId="047A3696" w:rsidR="00BE63D4" w:rsidRPr="00E93A8A" w:rsidRDefault="00BE63D4" w:rsidP="00E93A8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020FDC"/>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4804B66"/>
    <w:multiLevelType w:val="hybridMultilevel"/>
    <w:tmpl w:val="A9C43B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622740D"/>
    <w:multiLevelType w:val="hybridMultilevel"/>
    <w:tmpl w:val="A918A24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52D44"/>
    <w:multiLevelType w:val="hybridMultilevel"/>
    <w:tmpl w:val="8DC2C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0">
    <w:nsid w:val="0B880114"/>
    <w:multiLevelType w:val="hybridMultilevel"/>
    <w:tmpl w:val="156E61E0"/>
    <w:lvl w:ilvl="0" w:tplc="5BD672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E9652C6"/>
    <w:multiLevelType w:val="hybridMultilevel"/>
    <w:tmpl w:val="63341C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EBB4C13"/>
    <w:multiLevelType w:val="hybridMultilevel"/>
    <w:tmpl w:val="926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D00F4A"/>
    <w:multiLevelType w:val="hybridMultilevel"/>
    <w:tmpl w:val="C2861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AC79A4"/>
    <w:multiLevelType w:val="hybridMultilevel"/>
    <w:tmpl w:val="DAC4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EF0736"/>
    <w:multiLevelType w:val="hybridMultilevel"/>
    <w:tmpl w:val="E416D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530123"/>
    <w:multiLevelType w:val="hybridMultilevel"/>
    <w:tmpl w:val="7D301F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17F24842"/>
    <w:multiLevelType w:val="hybridMultilevel"/>
    <w:tmpl w:val="31CA8CF0"/>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B2F1F38"/>
    <w:multiLevelType w:val="hybridMultilevel"/>
    <w:tmpl w:val="AD981904"/>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B080A95"/>
    <w:multiLevelType w:val="hybridMultilevel"/>
    <w:tmpl w:val="6A9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15ADE"/>
    <w:multiLevelType w:val="hybridMultilevel"/>
    <w:tmpl w:val="3FDAF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F4522CF"/>
    <w:multiLevelType w:val="hybridMultilevel"/>
    <w:tmpl w:val="6AEAFD6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1115E5"/>
    <w:multiLevelType w:val="hybridMultilevel"/>
    <w:tmpl w:val="CC487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3063FF"/>
    <w:multiLevelType w:val="hybridMultilevel"/>
    <w:tmpl w:val="F726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36312FBC"/>
    <w:multiLevelType w:val="hybridMultilevel"/>
    <w:tmpl w:val="29F89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8765656"/>
    <w:multiLevelType w:val="hybridMultilevel"/>
    <w:tmpl w:val="023E5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57308D"/>
    <w:multiLevelType w:val="hybridMultilevel"/>
    <w:tmpl w:val="AD0E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355A9B"/>
    <w:multiLevelType w:val="hybridMultilevel"/>
    <w:tmpl w:val="F6247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B540DA"/>
    <w:multiLevelType w:val="hybridMultilevel"/>
    <w:tmpl w:val="C4F2E964"/>
    <w:lvl w:ilvl="0" w:tplc="421EEA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A9311A"/>
    <w:multiLevelType w:val="hybridMultilevel"/>
    <w:tmpl w:val="E72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43452"/>
    <w:multiLevelType w:val="hybridMultilevel"/>
    <w:tmpl w:val="5AE8DE66"/>
    <w:lvl w:ilvl="0" w:tplc="5D68C0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0C84F7A"/>
    <w:multiLevelType w:val="hybridMultilevel"/>
    <w:tmpl w:val="66B0F7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491038C"/>
    <w:multiLevelType w:val="hybridMultilevel"/>
    <w:tmpl w:val="950A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1D7B25"/>
    <w:multiLevelType w:val="hybridMultilevel"/>
    <w:tmpl w:val="8CECA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B93395"/>
    <w:multiLevelType w:val="hybridMultilevel"/>
    <w:tmpl w:val="3086CB8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EFC2BF1"/>
    <w:multiLevelType w:val="hybridMultilevel"/>
    <w:tmpl w:val="EBD4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961D44"/>
    <w:multiLevelType w:val="hybridMultilevel"/>
    <w:tmpl w:val="F888307A"/>
    <w:lvl w:ilvl="0" w:tplc="4E56AD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54A2D"/>
    <w:multiLevelType w:val="hybridMultilevel"/>
    <w:tmpl w:val="D57E03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881D5E"/>
    <w:multiLevelType w:val="hybridMultilevel"/>
    <w:tmpl w:val="70944066"/>
    <w:lvl w:ilvl="0" w:tplc="C6E83F3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B6221C"/>
    <w:multiLevelType w:val="hybridMultilevel"/>
    <w:tmpl w:val="125A7390"/>
    <w:lvl w:ilvl="0" w:tplc="B4B8A6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41"/>
  </w:num>
  <w:num w:numId="5">
    <w:abstractNumId w:val="11"/>
  </w:num>
  <w:num w:numId="6">
    <w:abstractNumId w:val="38"/>
  </w:num>
  <w:num w:numId="7">
    <w:abstractNumId w:val="9"/>
  </w:num>
  <w:num w:numId="8">
    <w:abstractNumId w:val="25"/>
  </w:num>
  <w:num w:numId="9">
    <w:abstractNumId w:val="6"/>
  </w:num>
  <w:num w:numId="10">
    <w:abstractNumId w:val="42"/>
  </w:num>
  <w:num w:numId="11">
    <w:abstractNumId w:val="32"/>
  </w:num>
  <w:num w:numId="12">
    <w:abstractNumId w:val="14"/>
  </w:num>
  <w:num w:numId="13">
    <w:abstractNumId w:val="27"/>
  </w:num>
  <w:num w:numId="14">
    <w:abstractNumId w:val="35"/>
  </w:num>
  <w:num w:numId="15">
    <w:abstractNumId w:val="23"/>
  </w:num>
  <w:num w:numId="16">
    <w:abstractNumId w:val="37"/>
  </w:num>
  <w:num w:numId="17">
    <w:abstractNumId w:val="20"/>
  </w:num>
  <w:num w:numId="18">
    <w:abstractNumId w:val="12"/>
  </w:num>
  <w:num w:numId="19">
    <w:abstractNumId w:val="30"/>
  </w:num>
  <w:num w:numId="20">
    <w:abstractNumId w:val="18"/>
  </w:num>
  <w:num w:numId="21">
    <w:abstractNumId w:val="22"/>
  </w:num>
  <w:num w:numId="22">
    <w:abstractNumId w:val="7"/>
  </w:num>
  <w:num w:numId="23">
    <w:abstractNumId w:val="28"/>
  </w:num>
  <w:num w:numId="24">
    <w:abstractNumId w:val="29"/>
  </w:num>
  <w:num w:numId="25">
    <w:abstractNumId w:val="19"/>
  </w:num>
  <w:num w:numId="26">
    <w:abstractNumId w:val="13"/>
  </w:num>
  <w:num w:numId="27">
    <w:abstractNumId w:val="39"/>
  </w:num>
  <w:num w:numId="28">
    <w:abstractNumId w:va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4"/>
  </w:num>
  <w:num w:numId="32">
    <w:abstractNumId w:val="24"/>
  </w:num>
  <w:num w:numId="33">
    <w:abstractNumId w:val="15"/>
  </w:num>
  <w:num w:numId="34">
    <w:abstractNumId w:val="16"/>
  </w:num>
  <w:num w:numId="35">
    <w:abstractNumId w:val="10"/>
  </w:num>
  <w:num w:numId="36">
    <w:abstractNumId w:val="43"/>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hideGrammaticalErrors/>
  <w:activeWritingStyle w:appName="MSWord" w:lang="es-CO"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7&lt;/item&gt;&lt;/record-ids&gt;&lt;/item&gt;&lt;/Libraries&gt;"/>
  </w:docVars>
  <w:rsids>
    <w:rsidRoot w:val="00981F89"/>
    <w:rsid w:val="000005C2"/>
    <w:rsid w:val="0000144A"/>
    <w:rsid w:val="000056FD"/>
    <w:rsid w:val="00007979"/>
    <w:rsid w:val="00012184"/>
    <w:rsid w:val="00012AA1"/>
    <w:rsid w:val="0001334B"/>
    <w:rsid w:val="00013A86"/>
    <w:rsid w:val="00022C32"/>
    <w:rsid w:val="000253B0"/>
    <w:rsid w:val="00026862"/>
    <w:rsid w:val="00027C81"/>
    <w:rsid w:val="00032386"/>
    <w:rsid w:val="000330E8"/>
    <w:rsid w:val="0003313F"/>
    <w:rsid w:val="000331D8"/>
    <w:rsid w:val="00034B77"/>
    <w:rsid w:val="000352EC"/>
    <w:rsid w:val="00037468"/>
    <w:rsid w:val="00040A00"/>
    <w:rsid w:val="00042BBA"/>
    <w:rsid w:val="00045937"/>
    <w:rsid w:val="000508CC"/>
    <w:rsid w:val="00053354"/>
    <w:rsid w:val="00056790"/>
    <w:rsid w:val="00060430"/>
    <w:rsid w:val="0006043D"/>
    <w:rsid w:val="0006051E"/>
    <w:rsid w:val="00060BAC"/>
    <w:rsid w:val="00061B2C"/>
    <w:rsid w:val="00063D09"/>
    <w:rsid w:val="00067644"/>
    <w:rsid w:val="00070C5F"/>
    <w:rsid w:val="00070FDD"/>
    <w:rsid w:val="0007248B"/>
    <w:rsid w:val="0007287B"/>
    <w:rsid w:val="00072A7D"/>
    <w:rsid w:val="000735DE"/>
    <w:rsid w:val="00076D0B"/>
    <w:rsid w:val="00076DAC"/>
    <w:rsid w:val="00077899"/>
    <w:rsid w:val="00081714"/>
    <w:rsid w:val="000823BC"/>
    <w:rsid w:val="00082F93"/>
    <w:rsid w:val="000830DA"/>
    <w:rsid w:val="00084365"/>
    <w:rsid w:val="00090DCE"/>
    <w:rsid w:val="00090EB2"/>
    <w:rsid w:val="000912DC"/>
    <w:rsid w:val="00092846"/>
    <w:rsid w:val="00097D57"/>
    <w:rsid w:val="000A163E"/>
    <w:rsid w:val="000A67CA"/>
    <w:rsid w:val="000B4D41"/>
    <w:rsid w:val="000B6883"/>
    <w:rsid w:val="000B6B79"/>
    <w:rsid w:val="000B7CCA"/>
    <w:rsid w:val="000B7D63"/>
    <w:rsid w:val="000C1898"/>
    <w:rsid w:val="000C2626"/>
    <w:rsid w:val="000C5506"/>
    <w:rsid w:val="000C5936"/>
    <w:rsid w:val="000D0CB2"/>
    <w:rsid w:val="000D5B59"/>
    <w:rsid w:val="000E06CF"/>
    <w:rsid w:val="000E233B"/>
    <w:rsid w:val="000E30F4"/>
    <w:rsid w:val="000E383C"/>
    <w:rsid w:val="000E3DCB"/>
    <w:rsid w:val="000E622E"/>
    <w:rsid w:val="000E6234"/>
    <w:rsid w:val="000E655A"/>
    <w:rsid w:val="000E658C"/>
    <w:rsid w:val="000F1AF4"/>
    <w:rsid w:val="000F23AF"/>
    <w:rsid w:val="000F2622"/>
    <w:rsid w:val="000F4791"/>
    <w:rsid w:val="000F48D1"/>
    <w:rsid w:val="000F5D62"/>
    <w:rsid w:val="000F5DC2"/>
    <w:rsid w:val="000F6178"/>
    <w:rsid w:val="000F6452"/>
    <w:rsid w:val="000F7167"/>
    <w:rsid w:val="000F7977"/>
    <w:rsid w:val="000F7CCA"/>
    <w:rsid w:val="001025FA"/>
    <w:rsid w:val="0010339D"/>
    <w:rsid w:val="00103E92"/>
    <w:rsid w:val="00107563"/>
    <w:rsid w:val="00111175"/>
    <w:rsid w:val="0011121C"/>
    <w:rsid w:val="0011281B"/>
    <w:rsid w:val="0011434F"/>
    <w:rsid w:val="00114C17"/>
    <w:rsid w:val="001155D7"/>
    <w:rsid w:val="001159D4"/>
    <w:rsid w:val="00115E2D"/>
    <w:rsid w:val="00116560"/>
    <w:rsid w:val="001165D9"/>
    <w:rsid w:val="00122854"/>
    <w:rsid w:val="00133716"/>
    <w:rsid w:val="00134FD8"/>
    <w:rsid w:val="00136723"/>
    <w:rsid w:val="0013725E"/>
    <w:rsid w:val="001406E1"/>
    <w:rsid w:val="0014160B"/>
    <w:rsid w:val="00142097"/>
    <w:rsid w:val="001424A6"/>
    <w:rsid w:val="00143E03"/>
    <w:rsid w:val="00144066"/>
    <w:rsid w:val="001445C5"/>
    <w:rsid w:val="001520CD"/>
    <w:rsid w:val="00153906"/>
    <w:rsid w:val="00153F63"/>
    <w:rsid w:val="00155D32"/>
    <w:rsid w:val="0015697B"/>
    <w:rsid w:val="00160037"/>
    <w:rsid w:val="00165D67"/>
    <w:rsid w:val="00166659"/>
    <w:rsid w:val="0016756F"/>
    <w:rsid w:val="001703AE"/>
    <w:rsid w:val="00170C5A"/>
    <w:rsid w:val="00171D71"/>
    <w:rsid w:val="001720E0"/>
    <w:rsid w:val="00174186"/>
    <w:rsid w:val="00176263"/>
    <w:rsid w:val="001779E6"/>
    <w:rsid w:val="00180A27"/>
    <w:rsid w:val="00180C6D"/>
    <w:rsid w:val="001828CC"/>
    <w:rsid w:val="00183B25"/>
    <w:rsid w:val="001843DB"/>
    <w:rsid w:val="00185370"/>
    <w:rsid w:val="00187C18"/>
    <w:rsid w:val="00190437"/>
    <w:rsid w:val="00192397"/>
    <w:rsid w:val="001933EB"/>
    <w:rsid w:val="001936CA"/>
    <w:rsid w:val="00193932"/>
    <w:rsid w:val="00193B08"/>
    <w:rsid w:val="001941C3"/>
    <w:rsid w:val="001947FB"/>
    <w:rsid w:val="001966E6"/>
    <w:rsid w:val="0019734F"/>
    <w:rsid w:val="001979F2"/>
    <w:rsid w:val="001A3347"/>
    <w:rsid w:val="001A5C50"/>
    <w:rsid w:val="001A764F"/>
    <w:rsid w:val="001B1941"/>
    <w:rsid w:val="001B1D24"/>
    <w:rsid w:val="001B24FE"/>
    <w:rsid w:val="001B3B12"/>
    <w:rsid w:val="001B3FB3"/>
    <w:rsid w:val="001B449C"/>
    <w:rsid w:val="001B56D7"/>
    <w:rsid w:val="001B7C72"/>
    <w:rsid w:val="001C04E8"/>
    <w:rsid w:val="001C11B2"/>
    <w:rsid w:val="001C2321"/>
    <w:rsid w:val="001C26B3"/>
    <w:rsid w:val="001C39BD"/>
    <w:rsid w:val="001C39C2"/>
    <w:rsid w:val="001C4933"/>
    <w:rsid w:val="001C542C"/>
    <w:rsid w:val="001C5C31"/>
    <w:rsid w:val="001C6CDA"/>
    <w:rsid w:val="001D088A"/>
    <w:rsid w:val="001D0E07"/>
    <w:rsid w:val="001D25CD"/>
    <w:rsid w:val="001D285E"/>
    <w:rsid w:val="001D2CE2"/>
    <w:rsid w:val="001D5857"/>
    <w:rsid w:val="001D6E06"/>
    <w:rsid w:val="001D7D94"/>
    <w:rsid w:val="001E01B1"/>
    <w:rsid w:val="001E041B"/>
    <w:rsid w:val="001E1D56"/>
    <w:rsid w:val="001E376F"/>
    <w:rsid w:val="001E3CD0"/>
    <w:rsid w:val="001E3DE8"/>
    <w:rsid w:val="001E544D"/>
    <w:rsid w:val="001E6E7C"/>
    <w:rsid w:val="001F2977"/>
    <w:rsid w:val="001F3B06"/>
    <w:rsid w:val="001F50ED"/>
    <w:rsid w:val="001F68D5"/>
    <w:rsid w:val="00200581"/>
    <w:rsid w:val="00200953"/>
    <w:rsid w:val="00200955"/>
    <w:rsid w:val="0020100F"/>
    <w:rsid w:val="00202279"/>
    <w:rsid w:val="0020416A"/>
    <w:rsid w:val="0020473F"/>
    <w:rsid w:val="002070F7"/>
    <w:rsid w:val="0021214D"/>
    <w:rsid w:val="00212CB7"/>
    <w:rsid w:val="00212DF2"/>
    <w:rsid w:val="00216A45"/>
    <w:rsid w:val="00223ABC"/>
    <w:rsid w:val="00225B25"/>
    <w:rsid w:val="00233795"/>
    <w:rsid w:val="002349D0"/>
    <w:rsid w:val="00235B25"/>
    <w:rsid w:val="002376F0"/>
    <w:rsid w:val="002412CA"/>
    <w:rsid w:val="00241BFC"/>
    <w:rsid w:val="00242135"/>
    <w:rsid w:val="00242F37"/>
    <w:rsid w:val="00244437"/>
    <w:rsid w:val="0024693D"/>
    <w:rsid w:val="00253A4E"/>
    <w:rsid w:val="00254638"/>
    <w:rsid w:val="00254A16"/>
    <w:rsid w:val="002553D0"/>
    <w:rsid w:val="00255A88"/>
    <w:rsid w:val="00260769"/>
    <w:rsid w:val="0026230C"/>
    <w:rsid w:val="0026285F"/>
    <w:rsid w:val="0026663B"/>
    <w:rsid w:val="00274D46"/>
    <w:rsid w:val="002757B5"/>
    <w:rsid w:val="00276039"/>
    <w:rsid w:val="002821DC"/>
    <w:rsid w:val="00283242"/>
    <w:rsid w:val="002849A9"/>
    <w:rsid w:val="0028647B"/>
    <w:rsid w:val="002864E5"/>
    <w:rsid w:val="00287EAF"/>
    <w:rsid w:val="00291D95"/>
    <w:rsid w:val="00292A0B"/>
    <w:rsid w:val="00293BFE"/>
    <w:rsid w:val="0029701C"/>
    <w:rsid w:val="002A1E50"/>
    <w:rsid w:val="002B1C8A"/>
    <w:rsid w:val="002B27B2"/>
    <w:rsid w:val="002B6607"/>
    <w:rsid w:val="002C177C"/>
    <w:rsid w:val="002C1F9F"/>
    <w:rsid w:val="002C5366"/>
    <w:rsid w:val="002C7990"/>
    <w:rsid w:val="002D153A"/>
    <w:rsid w:val="002D1A9C"/>
    <w:rsid w:val="002D32ED"/>
    <w:rsid w:val="002D372A"/>
    <w:rsid w:val="002D3B86"/>
    <w:rsid w:val="002E3147"/>
    <w:rsid w:val="002E357A"/>
    <w:rsid w:val="002F41BB"/>
    <w:rsid w:val="002F553A"/>
    <w:rsid w:val="002F5FDE"/>
    <w:rsid w:val="002F6674"/>
    <w:rsid w:val="002F66D7"/>
    <w:rsid w:val="002F724A"/>
    <w:rsid w:val="0030391D"/>
    <w:rsid w:val="00307377"/>
    <w:rsid w:val="003129EC"/>
    <w:rsid w:val="00313771"/>
    <w:rsid w:val="00314835"/>
    <w:rsid w:val="00315F3F"/>
    <w:rsid w:val="003174F7"/>
    <w:rsid w:val="00320FC4"/>
    <w:rsid w:val="00321357"/>
    <w:rsid w:val="00324201"/>
    <w:rsid w:val="0032461C"/>
    <w:rsid w:val="00331834"/>
    <w:rsid w:val="0033239A"/>
    <w:rsid w:val="0033502E"/>
    <w:rsid w:val="00336E1F"/>
    <w:rsid w:val="00343240"/>
    <w:rsid w:val="00343B4A"/>
    <w:rsid w:val="003452FF"/>
    <w:rsid w:val="003476B7"/>
    <w:rsid w:val="003479DC"/>
    <w:rsid w:val="00350F32"/>
    <w:rsid w:val="0035299D"/>
    <w:rsid w:val="00353668"/>
    <w:rsid w:val="00354C7E"/>
    <w:rsid w:val="00355C8A"/>
    <w:rsid w:val="00360835"/>
    <w:rsid w:val="0036228A"/>
    <w:rsid w:val="003635C8"/>
    <w:rsid w:val="003639F6"/>
    <w:rsid w:val="00365040"/>
    <w:rsid w:val="00367FA3"/>
    <w:rsid w:val="003712EB"/>
    <w:rsid w:val="00373B77"/>
    <w:rsid w:val="00375EFE"/>
    <w:rsid w:val="0037758A"/>
    <w:rsid w:val="00381849"/>
    <w:rsid w:val="003825AD"/>
    <w:rsid w:val="00382789"/>
    <w:rsid w:val="00382D5D"/>
    <w:rsid w:val="003835A8"/>
    <w:rsid w:val="00383FA4"/>
    <w:rsid w:val="00386021"/>
    <w:rsid w:val="0038636F"/>
    <w:rsid w:val="003863F8"/>
    <w:rsid w:val="00387A11"/>
    <w:rsid w:val="003962C6"/>
    <w:rsid w:val="00396FFF"/>
    <w:rsid w:val="003A0FEA"/>
    <w:rsid w:val="003A352F"/>
    <w:rsid w:val="003A5AD1"/>
    <w:rsid w:val="003A67BE"/>
    <w:rsid w:val="003B15A4"/>
    <w:rsid w:val="003B2888"/>
    <w:rsid w:val="003B4C6B"/>
    <w:rsid w:val="003B7482"/>
    <w:rsid w:val="003C0AA2"/>
    <w:rsid w:val="003C0EBE"/>
    <w:rsid w:val="003C3384"/>
    <w:rsid w:val="003C49D6"/>
    <w:rsid w:val="003C4C22"/>
    <w:rsid w:val="003C6D33"/>
    <w:rsid w:val="003C71BA"/>
    <w:rsid w:val="003C7A8C"/>
    <w:rsid w:val="003D04BE"/>
    <w:rsid w:val="003D0A37"/>
    <w:rsid w:val="003D63A3"/>
    <w:rsid w:val="003D729C"/>
    <w:rsid w:val="003E1E0B"/>
    <w:rsid w:val="003E2B05"/>
    <w:rsid w:val="003E4565"/>
    <w:rsid w:val="003E7311"/>
    <w:rsid w:val="003F00A6"/>
    <w:rsid w:val="003F1CA5"/>
    <w:rsid w:val="003F1F27"/>
    <w:rsid w:val="003F1F40"/>
    <w:rsid w:val="003F1FE2"/>
    <w:rsid w:val="003F312D"/>
    <w:rsid w:val="003F33B3"/>
    <w:rsid w:val="003F59C0"/>
    <w:rsid w:val="004018AA"/>
    <w:rsid w:val="00402206"/>
    <w:rsid w:val="004030A9"/>
    <w:rsid w:val="0040403E"/>
    <w:rsid w:val="0040482F"/>
    <w:rsid w:val="0040601C"/>
    <w:rsid w:val="00410F61"/>
    <w:rsid w:val="00411962"/>
    <w:rsid w:val="0041355F"/>
    <w:rsid w:val="00416B4A"/>
    <w:rsid w:val="004178D4"/>
    <w:rsid w:val="00420268"/>
    <w:rsid w:val="0042256F"/>
    <w:rsid w:val="004232A7"/>
    <w:rsid w:val="004233E2"/>
    <w:rsid w:val="00424F7F"/>
    <w:rsid w:val="0042560A"/>
    <w:rsid w:val="00425F99"/>
    <w:rsid w:val="004270D0"/>
    <w:rsid w:val="0042752E"/>
    <w:rsid w:val="004325F7"/>
    <w:rsid w:val="00432DDB"/>
    <w:rsid w:val="004353A6"/>
    <w:rsid w:val="0043566E"/>
    <w:rsid w:val="00437376"/>
    <w:rsid w:val="00440C50"/>
    <w:rsid w:val="00442344"/>
    <w:rsid w:val="00444607"/>
    <w:rsid w:val="00444DDF"/>
    <w:rsid w:val="00446585"/>
    <w:rsid w:val="0044660F"/>
    <w:rsid w:val="004518C9"/>
    <w:rsid w:val="0045208A"/>
    <w:rsid w:val="00456B87"/>
    <w:rsid w:val="00457F1F"/>
    <w:rsid w:val="004605B0"/>
    <w:rsid w:val="00461682"/>
    <w:rsid w:val="00462640"/>
    <w:rsid w:val="0046477E"/>
    <w:rsid w:val="00465C79"/>
    <w:rsid w:val="004702BC"/>
    <w:rsid w:val="004715FA"/>
    <w:rsid w:val="00472CB3"/>
    <w:rsid w:val="0047400F"/>
    <w:rsid w:val="00474899"/>
    <w:rsid w:val="00483171"/>
    <w:rsid w:val="00485329"/>
    <w:rsid w:val="00485EEB"/>
    <w:rsid w:val="00493075"/>
    <w:rsid w:val="00493773"/>
    <w:rsid w:val="00495D00"/>
    <w:rsid w:val="004A0C3F"/>
    <w:rsid w:val="004A1F26"/>
    <w:rsid w:val="004B1074"/>
    <w:rsid w:val="004B2F5C"/>
    <w:rsid w:val="004B531A"/>
    <w:rsid w:val="004B5BB2"/>
    <w:rsid w:val="004B6E75"/>
    <w:rsid w:val="004C1E09"/>
    <w:rsid w:val="004C2DC9"/>
    <w:rsid w:val="004C49EB"/>
    <w:rsid w:val="004C622E"/>
    <w:rsid w:val="004C7738"/>
    <w:rsid w:val="004D01A8"/>
    <w:rsid w:val="004D01C7"/>
    <w:rsid w:val="004D0E35"/>
    <w:rsid w:val="004D1A94"/>
    <w:rsid w:val="004D2D5C"/>
    <w:rsid w:val="004D4CCE"/>
    <w:rsid w:val="004D75E2"/>
    <w:rsid w:val="004E1EB3"/>
    <w:rsid w:val="004E28D5"/>
    <w:rsid w:val="004E2AE5"/>
    <w:rsid w:val="004E2D2D"/>
    <w:rsid w:val="004E3BF8"/>
    <w:rsid w:val="004E3D49"/>
    <w:rsid w:val="004E73CE"/>
    <w:rsid w:val="004F7B46"/>
    <w:rsid w:val="0050590F"/>
    <w:rsid w:val="00507A0C"/>
    <w:rsid w:val="00507F0D"/>
    <w:rsid w:val="00512274"/>
    <w:rsid w:val="005129DC"/>
    <w:rsid w:val="005137B5"/>
    <w:rsid w:val="00514176"/>
    <w:rsid w:val="0051593D"/>
    <w:rsid w:val="005167C8"/>
    <w:rsid w:val="00517773"/>
    <w:rsid w:val="0052101F"/>
    <w:rsid w:val="0052151F"/>
    <w:rsid w:val="00522A94"/>
    <w:rsid w:val="00522E96"/>
    <w:rsid w:val="00524C93"/>
    <w:rsid w:val="005268DB"/>
    <w:rsid w:val="00526A3D"/>
    <w:rsid w:val="00527440"/>
    <w:rsid w:val="005362D7"/>
    <w:rsid w:val="0053743F"/>
    <w:rsid w:val="005374C3"/>
    <w:rsid w:val="00540843"/>
    <w:rsid w:val="00542796"/>
    <w:rsid w:val="005431D5"/>
    <w:rsid w:val="00544FD4"/>
    <w:rsid w:val="00547FE2"/>
    <w:rsid w:val="00553129"/>
    <w:rsid w:val="0055419B"/>
    <w:rsid w:val="005556BC"/>
    <w:rsid w:val="00555B49"/>
    <w:rsid w:val="0055607E"/>
    <w:rsid w:val="00556483"/>
    <w:rsid w:val="00556DF1"/>
    <w:rsid w:val="005572C7"/>
    <w:rsid w:val="005578C8"/>
    <w:rsid w:val="00562D90"/>
    <w:rsid w:val="00562E20"/>
    <w:rsid w:val="00565D64"/>
    <w:rsid w:val="00566139"/>
    <w:rsid w:val="00572471"/>
    <w:rsid w:val="0057290D"/>
    <w:rsid w:val="00572D66"/>
    <w:rsid w:val="0057320F"/>
    <w:rsid w:val="005745B7"/>
    <w:rsid w:val="0057625C"/>
    <w:rsid w:val="00580E02"/>
    <w:rsid w:val="00580ECF"/>
    <w:rsid w:val="00583F13"/>
    <w:rsid w:val="00584CDA"/>
    <w:rsid w:val="00585B5E"/>
    <w:rsid w:val="005869A7"/>
    <w:rsid w:val="00590963"/>
    <w:rsid w:val="005922EA"/>
    <w:rsid w:val="0059564B"/>
    <w:rsid w:val="00595731"/>
    <w:rsid w:val="00596F4A"/>
    <w:rsid w:val="005975A9"/>
    <w:rsid w:val="005A0CE3"/>
    <w:rsid w:val="005A3C22"/>
    <w:rsid w:val="005A41FD"/>
    <w:rsid w:val="005A69BB"/>
    <w:rsid w:val="005B072B"/>
    <w:rsid w:val="005B0B23"/>
    <w:rsid w:val="005B5503"/>
    <w:rsid w:val="005C1E04"/>
    <w:rsid w:val="005C211D"/>
    <w:rsid w:val="005C70E9"/>
    <w:rsid w:val="005C7FA9"/>
    <w:rsid w:val="005D0B71"/>
    <w:rsid w:val="005D0E9C"/>
    <w:rsid w:val="005D17F3"/>
    <w:rsid w:val="005D435E"/>
    <w:rsid w:val="005D603E"/>
    <w:rsid w:val="005E06A2"/>
    <w:rsid w:val="005E0D1C"/>
    <w:rsid w:val="005E1050"/>
    <w:rsid w:val="005E205D"/>
    <w:rsid w:val="005E54B8"/>
    <w:rsid w:val="005F39C4"/>
    <w:rsid w:val="005F6669"/>
    <w:rsid w:val="00601361"/>
    <w:rsid w:val="006021D8"/>
    <w:rsid w:val="00602FEC"/>
    <w:rsid w:val="006043CE"/>
    <w:rsid w:val="006048CD"/>
    <w:rsid w:val="0060662F"/>
    <w:rsid w:val="006071E8"/>
    <w:rsid w:val="00611D6A"/>
    <w:rsid w:val="00611F4B"/>
    <w:rsid w:val="00612465"/>
    <w:rsid w:val="00613EB7"/>
    <w:rsid w:val="006150E9"/>
    <w:rsid w:val="006154EA"/>
    <w:rsid w:val="00615C24"/>
    <w:rsid w:val="00616867"/>
    <w:rsid w:val="0062066D"/>
    <w:rsid w:val="006235F7"/>
    <w:rsid w:val="00623FDA"/>
    <w:rsid w:val="00627080"/>
    <w:rsid w:val="00630022"/>
    <w:rsid w:val="00630032"/>
    <w:rsid w:val="00632057"/>
    <w:rsid w:val="00633967"/>
    <w:rsid w:val="006342E7"/>
    <w:rsid w:val="00635B17"/>
    <w:rsid w:val="00635D32"/>
    <w:rsid w:val="00636CAA"/>
    <w:rsid w:val="006401ED"/>
    <w:rsid w:val="006449CF"/>
    <w:rsid w:val="00644FE2"/>
    <w:rsid w:val="00651FFB"/>
    <w:rsid w:val="006521E7"/>
    <w:rsid w:val="00652864"/>
    <w:rsid w:val="00654498"/>
    <w:rsid w:val="00656AFE"/>
    <w:rsid w:val="00656E6F"/>
    <w:rsid w:val="00660795"/>
    <w:rsid w:val="00661102"/>
    <w:rsid w:val="00664823"/>
    <w:rsid w:val="00672679"/>
    <w:rsid w:val="006742AA"/>
    <w:rsid w:val="00675045"/>
    <w:rsid w:val="00676CA9"/>
    <w:rsid w:val="00677242"/>
    <w:rsid w:val="006818A3"/>
    <w:rsid w:val="00682512"/>
    <w:rsid w:val="006848DF"/>
    <w:rsid w:val="006865AE"/>
    <w:rsid w:val="006906B8"/>
    <w:rsid w:val="00691018"/>
    <w:rsid w:val="00692276"/>
    <w:rsid w:val="00692B47"/>
    <w:rsid w:val="006973C1"/>
    <w:rsid w:val="006A1A81"/>
    <w:rsid w:val="006A5441"/>
    <w:rsid w:val="006A6AA0"/>
    <w:rsid w:val="006A7EB6"/>
    <w:rsid w:val="006A7FF3"/>
    <w:rsid w:val="006B001A"/>
    <w:rsid w:val="006B26BA"/>
    <w:rsid w:val="006B2F41"/>
    <w:rsid w:val="006B3069"/>
    <w:rsid w:val="006B3560"/>
    <w:rsid w:val="006B5064"/>
    <w:rsid w:val="006B7833"/>
    <w:rsid w:val="006C23CB"/>
    <w:rsid w:val="006C2AAA"/>
    <w:rsid w:val="006C403A"/>
    <w:rsid w:val="006C5528"/>
    <w:rsid w:val="006C5A3B"/>
    <w:rsid w:val="006C5AA0"/>
    <w:rsid w:val="006C7B13"/>
    <w:rsid w:val="006D2067"/>
    <w:rsid w:val="006D22BF"/>
    <w:rsid w:val="006D3999"/>
    <w:rsid w:val="006D3BCD"/>
    <w:rsid w:val="006E0D62"/>
    <w:rsid w:val="006E16AB"/>
    <w:rsid w:val="006E479E"/>
    <w:rsid w:val="006E61B5"/>
    <w:rsid w:val="006E69F6"/>
    <w:rsid w:val="006E7FA7"/>
    <w:rsid w:val="006F4350"/>
    <w:rsid w:val="006F526B"/>
    <w:rsid w:val="006F5A09"/>
    <w:rsid w:val="006F6B37"/>
    <w:rsid w:val="006F6BE0"/>
    <w:rsid w:val="0070166D"/>
    <w:rsid w:val="0070240D"/>
    <w:rsid w:val="00702555"/>
    <w:rsid w:val="0070460D"/>
    <w:rsid w:val="00704E07"/>
    <w:rsid w:val="00705C93"/>
    <w:rsid w:val="007063D1"/>
    <w:rsid w:val="0070668D"/>
    <w:rsid w:val="007068A9"/>
    <w:rsid w:val="00707AA3"/>
    <w:rsid w:val="00712D2F"/>
    <w:rsid w:val="00712EBB"/>
    <w:rsid w:val="007150E8"/>
    <w:rsid w:val="00723312"/>
    <w:rsid w:val="007238DD"/>
    <w:rsid w:val="007259B1"/>
    <w:rsid w:val="00727ABD"/>
    <w:rsid w:val="00727E39"/>
    <w:rsid w:val="007305AA"/>
    <w:rsid w:val="00730B19"/>
    <w:rsid w:val="00731D16"/>
    <w:rsid w:val="007327D0"/>
    <w:rsid w:val="00733009"/>
    <w:rsid w:val="0073542D"/>
    <w:rsid w:val="00735506"/>
    <w:rsid w:val="00737BF6"/>
    <w:rsid w:val="00740DDF"/>
    <w:rsid w:val="00742F9A"/>
    <w:rsid w:val="00746538"/>
    <w:rsid w:val="00750E67"/>
    <w:rsid w:val="00752B2D"/>
    <w:rsid w:val="00755412"/>
    <w:rsid w:val="00755603"/>
    <w:rsid w:val="007573FF"/>
    <w:rsid w:val="00761191"/>
    <w:rsid w:val="00761A04"/>
    <w:rsid w:val="00761CE2"/>
    <w:rsid w:val="007638E4"/>
    <w:rsid w:val="007648C0"/>
    <w:rsid w:val="007652FF"/>
    <w:rsid w:val="00765BF8"/>
    <w:rsid w:val="00765FFA"/>
    <w:rsid w:val="007662D9"/>
    <w:rsid w:val="00766DEB"/>
    <w:rsid w:val="00773BB0"/>
    <w:rsid w:val="00775449"/>
    <w:rsid w:val="00775B85"/>
    <w:rsid w:val="00782D28"/>
    <w:rsid w:val="00782ED7"/>
    <w:rsid w:val="00785445"/>
    <w:rsid w:val="00785B68"/>
    <w:rsid w:val="0079011F"/>
    <w:rsid w:val="00792F03"/>
    <w:rsid w:val="0079379B"/>
    <w:rsid w:val="0079589A"/>
    <w:rsid w:val="00796030"/>
    <w:rsid w:val="007A0988"/>
    <w:rsid w:val="007A1020"/>
    <w:rsid w:val="007A1DF8"/>
    <w:rsid w:val="007A2053"/>
    <w:rsid w:val="007A2A2D"/>
    <w:rsid w:val="007B1598"/>
    <w:rsid w:val="007B1B30"/>
    <w:rsid w:val="007B43E0"/>
    <w:rsid w:val="007B719D"/>
    <w:rsid w:val="007B7E41"/>
    <w:rsid w:val="007C065D"/>
    <w:rsid w:val="007C0DA0"/>
    <w:rsid w:val="007C197E"/>
    <w:rsid w:val="007C2C60"/>
    <w:rsid w:val="007C44FD"/>
    <w:rsid w:val="007C5FB8"/>
    <w:rsid w:val="007C62E4"/>
    <w:rsid w:val="007D07B7"/>
    <w:rsid w:val="007D1DFF"/>
    <w:rsid w:val="007D3D03"/>
    <w:rsid w:val="007D4260"/>
    <w:rsid w:val="007E0BE1"/>
    <w:rsid w:val="007E27BD"/>
    <w:rsid w:val="007E2A6F"/>
    <w:rsid w:val="007E4975"/>
    <w:rsid w:val="007F5628"/>
    <w:rsid w:val="007F602F"/>
    <w:rsid w:val="007F76C9"/>
    <w:rsid w:val="008011C6"/>
    <w:rsid w:val="00805E4B"/>
    <w:rsid w:val="00807A1C"/>
    <w:rsid w:val="00810CEB"/>
    <w:rsid w:val="00811D47"/>
    <w:rsid w:val="008133EC"/>
    <w:rsid w:val="00814CE3"/>
    <w:rsid w:val="00815539"/>
    <w:rsid w:val="00815545"/>
    <w:rsid w:val="008219C2"/>
    <w:rsid w:val="00821A17"/>
    <w:rsid w:val="00822D39"/>
    <w:rsid w:val="00822E85"/>
    <w:rsid w:val="0082455B"/>
    <w:rsid w:val="0082483D"/>
    <w:rsid w:val="0082743A"/>
    <w:rsid w:val="00831196"/>
    <w:rsid w:val="00831B7E"/>
    <w:rsid w:val="0083203C"/>
    <w:rsid w:val="0083715C"/>
    <w:rsid w:val="0084199B"/>
    <w:rsid w:val="00847235"/>
    <w:rsid w:val="008473B1"/>
    <w:rsid w:val="00847F6B"/>
    <w:rsid w:val="00853F48"/>
    <w:rsid w:val="00854735"/>
    <w:rsid w:val="008550B7"/>
    <w:rsid w:val="00860CFD"/>
    <w:rsid w:val="008614EF"/>
    <w:rsid w:val="0086548D"/>
    <w:rsid w:val="008657B7"/>
    <w:rsid w:val="0086770D"/>
    <w:rsid w:val="00875A32"/>
    <w:rsid w:val="00875EB4"/>
    <w:rsid w:val="008803ED"/>
    <w:rsid w:val="00883EF5"/>
    <w:rsid w:val="00885256"/>
    <w:rsid w:val="008878A9"/>
    <w:rsid w:val="00891318"/>
    <w:rsid w:val="0089150C"/>
    <w:rsid w:val="00892C58"/>
    <w:rsid w:val="00892DDF"/>
    <w:rsid w:val="00893CC8"/>
    <w:rsid w:val="00895A90"/>
    <w:rsid w:val="00896016"/>
    <w:rsid w:val="008A4183"/>
    <w:rsid w:val="008A6E3B"/>
    <w:rsid w:val="008B4630"/>
    <w:rsid w:val="008B6387"/>
    <w:rsid w:val="008B67D0"/>
    <w:rsid w:val="008C359F"/>
    <w:rsid w:val="008C3D77"/>
    <w:rsid w:val="008C6ECB"/>
    <w:rsid w:val="008D3ADF"/>
    <w:rsid w:val="008D43EE"/>
    <w:rsid w:val="008D586A"/>
    <w:rsid w:val="008D6849"/>
    <w:rsid w:val="008E0B71"/>
    <w:rsid w:val="008E3764"/>
    <w:rsid w:val="008E65F6"/>
    <w:rsid w:val="008F0A0F"/>
    <w:rsid w:val="008F26C8"/>
    <w:rsid w:val="008F3561"/>
    <w:rsid w:val="008F3C68"/>
    <w:rsid w:val="008F49FD"/>
    <w:rsid w:val="008F4E22"/>
    <w:rsid w:val="008F63EC"/>
    <w:rsid w:val="008F663F"/>
    <w:rsid w:val="008F76CB"/>
    <w:rsid w:val="00900375"/>
    <w:rsid w:val="00901909"/>
    <w:rsid w:val="00904FA7"/>
    <w:rsid w:val="009100F1"/>
    <w:rsid w:val="00913C1F"/>
    <w:rsid w:val="00914FA4"/>
    <w:rsid w:val="00917768"/>
    <w:rsid w:val="00921C60"/>
    <w:rsid w:val="00922FBC"/>
    <w:rsid w:val="009262D2"/>
    <w:rsid w:val="0093145C"/>
    <w:rsid w:val="00931517"/>
    <w:rsid w:val="00931FDF"/>
    <w:rsid w:val="00933380"/>
    <w:rsid w:val="00934FA9"/>
    <w:rsid w:val="009357EB"/>
    <w:rsid w:val="00940093"/>
    <w:rsid w:val="00942799"/>
    <w:rsid w:val="009437E7"/>
    <w:rsid w:val="0094592D"/>
    <w:rsid w:val="00946B54"/>
    <w:rsid w:val="00950743"/>
    <w:rsid w:val="00951A33"/>
    <w:rsid w:val="0095522B"/>
    <w:rsid w:val="00956A05"/>
    <w:rsid w:val="0096090C"/>
    <w:rsid w:val="00962928"/>
    <w:rsid w:val="00962BB4"/>
    <w:rsid w:val="00963CA9"/>
    <w:rsid w:val="009709BD"/>
    <w:rsid w:val="00971282"/>
    <w:rsid w:val="009721EE"/>
    <w:rsid w:val="00976245"/>
    <w:rsid w:val="0098071B"/>
    <w:rsid w:val="0098122B"/>
    <w:rsid w:val="00981F89"/>
    <w:rsid w:val="009837F2"/>
    <w:rsid w:val="00984EAC"/>
    <w:rsid w:val="00986509"/>
    <w:rsid w:val="009900EB"/>
    <w:rsid w:val="00991620"/>
    <w:rsid w:val="00991B04"/>
    <w:rsid w:val="00992562"/>
    <w:rsid w:val="00992FBE"/>
    <w:rsid w:val="00995E82"/>
    <w:rsid w:val="00996920"/>
    <w:rsid w:val="00997058"/>
    <w:rsid w:val="009A2665"/>
    <w:rsid w:val="009A4735"/>
    <w:rsid w:val="009A72DB"/>
    <w:rsid w:val="009A7BED"/>
    <w:rsid w:val="009B02CD"/>
    <w:rsid w:val="009B0390"/>
    <w:rsid w:val="009B1D02"/>
    <w:rsid w:val="009B2836"/>
    <w:rsid w:val="009B439D"/>
    <w:rsid w:val="009B5F0E"/>
    <w:rsid w:val="009B7C87"/>
    <w:rsid w:val="009C1339"/>
    <w:rsid w:val="009C1DD2"/>
    <w:rsid w:val="009C279F"/>
    <w:rsid w:val="009C77F2"/>
    <w:rsid w:val="009D040E"/>
    <w:rsid w:val="009D0D2E"/>
    <w:rsid w:val="009D2BA4"/>
    <w:rsid w:val="009D4D14"/>
    <w:rsid w:val="009D5723"/>
    <w:rsid w:val="009D6CFB"/>
    <w:rsid w:val="009E1F01"/>
    <w:rsid w:val="009E3349"/>
    <w:rsid w:val="009E52B1"/>
    <w:rsid w:val="009E5ADE"/>
    <w:rsid w:val="009E5D1F"/>
    <w:rsid w:val="009E616F"/>
    <w:rsid w:val="009E636C"/>
    <w:rsid w:val="009E657F"/>
    <w:rsid w:val="009E795F"/>
    <w:rsid w:val="009E7ECD"/>
    <w:rsid w:val="009F03DF"/>
    <w:rsid w:val="009F1605"/>
    <w:rsid w:val="009F1838"/>
    <w:rsid w:val="009F231A"/>
    <w:rsid w:val="009F26D5"/>
    <w:rsid w:val="009F5222"/>
    <w:rsid w:val="009F6198"/>
    <w:rsid w:val="00A03599"/>
    <w:rsid w:val="00A0517A"/>
    <w:rsid w:val="00A110AD"/>
    <w:rsid w:val="00A12229"/>
    <w:rsid w:val="00A13072"/>
    <w:rsid w:val="00A166FF"/>
    <w:rsid w:val="00A21EF5"/>
    <w:rsid w:val="00A26361"/>
    <w:rsid w:val="00A266F1"/>
    <w:rsid w:val="00A307BC"/>
    <w:rsid w:val="00A3176A"/>
    <w:rsid w:val="00A33021"/>
    <w:rsid w:val="00A359E9"/>
    <w:rsid w:val="00A372CC"/>
    <w:rsid w:val="00A3738D"/>
    <w:rsid w:val="00A41271"/>
    <w:rsid w:val="00A4496B"/>
    <w:rsid w:val="00A46113"/>
    <w:rsid w:val="00A46821"/>
    <w:rsid w:val="00A47CCD"/>
    <w:rsid w:val="00A47E0B"/>
    <w:rsid w:val="00A55C23"/>
    <w:rsid w:val="00A609B1"/>
    <w:rsid w:val="00A67CED"/>
    <w:rsid w:val="00A717F7"/>
    <w:rsid w:val="00A72097"/>
    <w:rsid w:val="00A72CFB"/>
    <w:rsid w:val="00A76A47"/>
    <w:rsid w:val="00A770B8"/>
    <w:rsid w:val="00A8052B"/>
    <w:rsid w:val="00A832B9"/>
    <w:rsid w:val="00A84FDE"/>
    <w:rsid w:val="00A85045"/>
    <w:rsid w:val="00A866C3"/>
    <w:rsid w:val="00A9081F"/>
    <w:rsid w:val="00A926A9"/>
    <w:rsid w:val="00A95324"/>
    <w:rsid w:val="00A969F5"/>
    <w:rsid w:val="00A97AFD"/>
    <w:rsid w:val="00AA1786"/>
    <w:rsid w:val="00AA2CDF"/>
    <w:rsid w:val="00AA7C56"/>
    <w:rsid w:val="00AB1520"/>
    <w:rsid w:val="00AB2E7A"/>
    <w:rsid w:val="00AB4F68"/>
    <w:rsid w:val="00AC03A3"/>
    <w:rsid w:val="00AC0DC7"/>
    <w:rsid w:val="00AC12A4"/>
    <w:rsid w:val="00AC282D"/>
    <w:rsid w:val="00AC2B47"/>
    <w:rsid w:val="00AC3115"/>
    <w:rsid w:val="00AC3B96"/>
    <w:rsid w:val="00AC3E9C"/>
    <w:rsid w:val="00AC4DE4"/>
    <w:rsid w:val="00AD026C"/>
    <w:rsid w:val="00AD2A31"/>
    <w:rsid w:val="00AD3604"/>
    <w:rsid w:val="00AD5FEC"/>
    <w:rsid w:val="00AD6AB2"/>
    <w:rsid w:val="00AD6F7D"/>
    <w:rsid w:val="00AD7CA0"/>
    <w:rsid w:val="00AE0CA3"/>
    <w:rsid w:val="00AE3559"/>
    <w:rsid w:val="00AE3581"/>
    <w:rsid w:val="00AE4198"/>
    <w:rsid w:val="00AE52F4"/>
    <w:rsid w:val="00AE5A96"/>
    <w:rsid w:val="00AE605F"/>
    <w:rsid w:val="00AE70D4"/>
    <w:rsid w:val="00AE7863"/>
    <w:rsid w:val="00AF156F"/>
    <w:rsid w:val="00AF19B4"/>
    <w:rsid w:val="00AF1CFB"/>
    <w:rsid w:val="00AF2692"/>
    <w:rsid w:val="00AF47B7"/>
    <w:rsid w:val="00AF7095"/>
    <w:rsid w:val="00AF746F"/>
    <w:rsid w:val="00AF76BA"/>
    <w:rsid w:val="00AF7A4F"/>
    <w:rsid w:val="00B001B7"/>
    <w:rsid w:val="00B04A8B"/>
    <w:rsid w:val="00B05C47"/>
    <w:rsid w:val="00B06512"/>
    <w:rsid w:val="00B10F7C"/>
    <w:rsid w:val="00B140DE"/>
    <w:rsid w:val="00B14736"/>
    <w:rsid w:val="00B14D25"/>
    <w:rsid w:val="00B15105"/>
    <w:rsid w:val="00B21134"/>
    <w:rsid w:val="00B21F6E"/>
    <w:rsid w:val="00B22F39"/>
    <w:rsid w:val="00B242F8"/>
    <w:rsid w:val="00B24BEE"/>
    <w:rsid w:val="00B25C4C"/>
    <w:rsid w:val="00B26C82"/>
    <w:rsid w:val="00B30081"/>
    <w:rsid w:val="00B33F2B"/>
    <w:rsid w:val="00B352B5"/>
    <w:rsid w:val="00B406A5"/>
    <w:rsid w:val="00B41FF3"/>
    <w:rsid w:val="00B427CF"/>
    <w:rsid w:val="00B43851"/>
    <w:rsid w:val="00B467F5"/>
    <w:rsid w:val="00B47C4B"/>
    <w:rsid w:val="00B5082F"/>
    <w:rsid w:val="00B61E66"/>
    <w:rsid w:val="00B63F75"/>
    <w:rsid w:val="00B646E9"/>
    <w:rsid w:val="00B658CF"/>
    <w:rsid w:val="00B663BC"/>
    <w:rsid w:val="00B6661B"/>
    <w:rsid w:val="00B66707"/>
    <w:rsid w:val="00B74459"/>
    <w:rsid w:val="00B74C1F"/>
    <w:rsid w:val="00B7582F"/>
    <w:rsid w:val="00B7767E"/>
    <w:rsid w:val="00B77D1C"/>
    <w:rsid w:val="00B80596"/>
    <w:rsid w:val="00B91132"/>
    <w:rsid w:val="00B92721"/>
    <w:rsid w:val="00B97356"/>
    <w:rsid w:val="00BA1468"/>
    <w:rsid w:val="00BA166E"/>
    <w:rsid w:val="00BA1A67"/>
    <w:rsid w:val="00BA3E9B"/>
    <w:rsid w:val="00BA4181"/>
    <w:rsid w:val="00BA43CC"/>
    <w:rsid w:val="00BA78EC"/>
    <w:rsid w:val="00BA7DC8"/>
    <w:rsid w:val="00BB43ED"/>
    <w:rsid w:val="00BB5359"/>
    <w:rsid w:val="00BB6131"/>
    <w:rsid w:val="00BB6BFE"/>
    <w:rsid w:val="00BC3372"/>
    <w:rsid w:val="00BC52DB"/>
    <w:rsid w:val="00BD1BDD"/>
    <w:rsid w:val="00BD2326"/>
    <w:rsid w:val="00BD33F2"/>
    <w:rsid w:val="00BE05C5"/>
    <w:rsid w:val="00BE1381"/>
    <w:rsid w:val="00BE170A"/>
    <w:rsid w:val="00BE1C72"/>
    <w:rsid w:val="00BE2170"/>
    <w:rsid w:val="00BE2AC0"/>
    <w:rsid w:val="00BE63D4"/>
    <w:rsid w:val="00BE6DC2"/>
    <w:rsid w:val="00BE734F"/>
    <w:rsid w:val="00BF130B"/>
    <w:rsid w:val="00BF1B15"/>
    <w:rsid w:val="00C00D04"/>
    <w:rsid w:val="00C0394F"/>
    <w:rsid w:val="00C059BA"/>
    <w:rsid w:val="00C077E0"/>
    <w:rsid w:val="00C12E86"/>
    <w:rsid w:val="00C131FA"/>
    <w:rsid w:val="00C13C69"/>
    <w:rsid w:val="00C170B5"/>
    <w:rsid w:val="00C22587"/>
    <w:rsid w:val="00C23C67"/>
    <w:rsid w:val="00C25975"/>
    <w:rsid w:val="00C2768E"/>
    <w:rsid w:val="00C33BD4"/>
    <w:rsid w:val="00C33D19"/>
    <w:rsid w:val="00C34012"/>
    <w:rsid w:val="00C3506A"/>
    <w:rsid w:val="00C35109"/>
    <w:rsid w:val="00C36FCA"/>
    <w:rsid w:val="00C407A2"/>
    <w:rsid w:val="00C41AF4"/>
    <w:rsid w:val="00C439E5"/>
    <w:rsid w:val="00C50B16"/>
    <w:rsid w:val="00C53291"/>
    <w:rsid w:val="00C53E58"/>
    <w:rsid w:val="00C54C3D"/>
    <w:rsid w:val="00C54E1E"/>
    <w:rsid w:val="00C56556"/>
    <w:rsid w:val="00C57874"/>
    <w:rsid w:val="00C602A0"/>
    <w:rsid w:val="00C62B18"/>
    <w:rsid w:val="00C6320A"/>
    <w:rsid w:val="00C75228"/>
    <w:rsid w:val="00C77F3F"/>
    <w:rsid w:val="00C80265"/>
    <w:rsid w:val="00C81815"/>
    <w:rsid w:val="00C82037"/>
    <w:rsid w:val="00C8297A"/>
    <w:rsid w:val="00C83029"/>
    <w:rsid w:val="00C83BF9"/>
    <w:rsid w:val="00C84971"/>
    <w:rsid w:val="00C8575D"/>
    <w:rsid w:val="00C858C4"/>
    <w:rsid w:val="00C86A74"/>
    <w:rsid w:val="00C86CBD"/>
    <w:rsid w:val="00C90C0B"/>
    <w:rsid w:val="00C9246A"/>
    <w:rsid w:val="00C94AC6"/>
    <w:rsid w:val="00C972CF"/>
    <w:rsid w:val="00CA17F4"/>
    <w:rsid w:val="00CA3FE1"/>
    <w:rsid w:val="00CA4E55"/>
    <w:rsid w:val="00CA573C"/>
    <w:rsid w:val="00CA62EF"/>
    <w:rsid w:val="00CA670F"/>
    <w:rsid w:val="00CA6E11"/>
    <w:rsid w:val="00CB0732"/>
    <w:rsid w:val="00CB1BD6"/>
    <w:rsid w:val="00CB3154"/>
    <w:rsid w:val="00CB5E01"/>
    <w:rsid w:val="00CB5FCE"/>
    <w:rsid w:val="00CB7B63"/>
    <w:rsid w:val="00CC11BE"/>
    <w:rsid w:val="00CC3044"/>
    <w:rsid w:val="00CC4496"/>
    <w:rsid w:val="00CC603E"/>
    <w:rsid w:val="00CC6398"/>
    <w:rsid w:val="00CD118B"/>
    <w:rsid w:val="00CD1B97"/>
    <w:rsid w:val="00CD40A3"/>
    <w:rsid w:val="00CD564F"/>
    <w:rsid w:val="00CD570B"/>
    <w:rsid w:val="00CD5B27"/>
    <w:rsid w:val="00CD7160"/>
    <w:rsid w:val="00CE1416"/>
    <w:rsid w:val="00CE45BF"/>
    <w:rsid w:val="00CE6540"/>
    <w:rsid w:val="00CE68F7"/>
    <w:rsid w:val="00CE6CB1"/>
    <w:rsid w:val="00CE758F"/>
    <w:rsid w:val="00CF1778"/>
    <w:rsid w:val="00CF28CA"/>
    <w:rsid w:val="00CF3F20"/>
    <w:rsid w:val="00CF70C3"/>
    <w:rsid w:val="00CF71E7"/>
    <w:rsid w:val="00D006BF"/>
    <w:rsid w:val="00D01C0B"/>
    <w:rsid w:val="00D02008"/>
    <w:rsid w:val="00D02955"/>
    <w:rsid w:val="00D03292"/>
    <w:rsid w:val="00D065BE"/>
    <w:rsid w:val="00D07B2E"/>
    <w:rsid w:val="00D11CA2"/>
    <w:rsid w:val="00D1235F"/>
    <w:rsid w:val="00D12602"/>
    <w:rsid w:val="00D12E46"/>
    <w:rsid w:val="00D1356F"/>
    <w:rsid w:val="00D16DF4"/>
    <w:rsid w:val="00D2051B"/>
    <w:rsid w:val="00D21668"/>
    <w:rsid w:val="00D24DD4"/>
    <w:rsid w:val="00D30922"/>
    <w:rsid w:val="00D31A88"/>
    <w:rsid w:val="00D34199"/>
    <w:rsid w:val="00D35767"/>
    <w:rsid w:val="00D36278"/>
    <w:rsid w:val="00D40E30"/>
    <w:rsid w:val="00D43EDE"/>
    <w:rsid w:val="00D45C64"/>
    <w:rsid w:val="00D460AD"/>
    <w:rsid w:val="00D47543"/>
    <w:rsid w:val="00D509B6"/>
    <w:rsid w:val="00D51CAF"/>
    <w:rsid w:val="00D5410C"/>
    <w:rsid w:val="00D54159"/>
    <w:rsid w:val="00D565A5"/>
    <w:rsid w:val="00D61D5E"/>
    <w:rsid w:val="00D64AAF"/>
    <w:rsid w:val="00D7178D"/>
    <w:rsid w:val="00D719B1"/>
    <w:rsid w:val="00D75EA1"/>
    <w:rsid w:val="00D76BC8"/>
    <w:rsid w:val="00D81BD9"/>
    <w:rsid w:val="00D83E79"/>
    <w:rsid w:val="00D84310"/>
    <w:rsid w:val="00D86732"/>
    <w:rsid w:val="00D91188"/>
    <w:rsid w:val="00D91B33"/>
    <w:rsid w:val="00D91D63"/>
    <w:rsid w:val="00D9271C"/>
    <w:rsid w:val="00D94A43"/>
    <w:rsid w:val="00D95FC0"/>
    <w:rsid w:val="00DA0C8D"/>
    <w:rsid w:val="00DA1465"/>
    <w:rsid w:val="00DA2D13"/>
    <w:rsid w:val="00DA4ECA"/>
    <w:rsid w:val="00DA6EFB"/>
    <w:rsid w:val="00DA734F"/>
    <w:rsid w:val="00DB101B"/>
    <w:rsid w:val="00DB2040"/>
    <w:rsid w:val="00DB3A6D"/>
    <w:rsid w:val="00DC0746"/>
    <w:rsid w:val="00DC3D3B"/>
    <w:rsid w:val="00DC47C2"/>
    <w:rsid w:val="00DC6790"/>
    <w:rsid w:val="00DC7848"/>
    <w:rsid w:val="00DD674A"/>
    <w:rsid w:val="00DD740E"/>
    <w:rsid w:val="00DD74A1"/>
    <w:rsid w:val="00DE1313"/>
    <w:rsid w:val="00DE143F"/>
    <w:rsid w:val="00DE44B1"/>
    <w:rsid w:val="00DE62B5"/>
    <w:rsid w:val="00DF01C2"/>
    <w:rsid w:val="00DF028D"/>
    <w:rsid w:val="00DF2651"/>
    <w:rsid w:val="00DF4E50"/>
    <w:rsid w:val="00DF5D15"/>
    <w:rsid w:val="00DF5DDE"/>
    <w:rsid w:val="00E03628"/>
    <w:rsid w:val="00E0557E"/>
    <w:rsid w:val="00E05A40"/>
    <w:rsid w:val="00E13E44"/>
    <w:rsid w:val="00E17F07"/>
    <w:rsid w:val="00E247B2"/>
    <w:rsid w:val="00E24E27"/>
    <w:rsid w:val="00E25CA7"/>
    <w:rsid w:val="00E2607A"/>
    <w:rsid w:val="00E31C0C"/>
    <w:rsid w:val="00E3328F"/>
    <w:rsid w:val="00E33A4F"/>
    <w:rsid w:val="00E33FE8"/>
    <w:rsid w:val="00E34828"/>
    <w:rsid w:val="00E3492D"/>
    <w:rsid w:val="00E37F46"/>
    <w:rsid w:val="00E42196"/>
    <w:rsid w:val="00E4582E"/>
    <w:rsid w:val="00E4742F"/>
    <w:rsid w:val="00E475CD"/>
    <w:rsid w:val="00E47D30"/>
    <w:rsid w:val="00E50A10"/>
    <w:rsid w:val="00E54F87"/>
    <w:rsid w:val="00E573F8"/>
    <w:rsid w:val="00E60129"/>
    <w:rsid w:val="00E63D18"/>
    <w:rsid w:val="00E63E2D"/>
    <w:rsid w:val="00E6743A"/>
    <w:rsid w:val="00E70480"/>
    <w:rsid w:val="00E7182F"/>
    <w:rsid w:val="00E73394"/>
    <w:rsid w:val="00E7626E"/>
    <w:rsid w:val="00E762DD"/>
    <w:rsid w:val="00E765D7"/>
    <w:rsid w:val="00E7661A"/>
    <w:rsid w:val="00E773F3"/>
    <w:rsid w:val="00E7777B"/>
    <w:rsid w:val="00E84526"/>
    <w:rsid w:val="00E90035"/>
    <w:rsid w:val="00E912EE"/>
    <w:rsid w:val="00E93A8A"/>
    <w:rsid w:val="00E95E3C"/>
    <w:rsid w:val="00E969AA"/>
    <w:rsid w:val="00EA2013"/>
    <w:rsid w:val="00EA2E8A"/>
    <w:rsid w:val="00EA61F7"/>
    <w:rsid w:val="00EA6381"/>
    <w:rsid w:val="00EB1161"/>
    <w:rsid w:val="00EB34B6"/>
    <w:rsid w:val="00EB5BCE"/>
    <w:rsid w:val="00EB5F00"/>
    <w:rsid w:val="00EB6505"/>
    <w:rsid w:val="00EB73B2"/>
    <w:rsid w:val="00EC1CD0"/>
    <w:rsid w:val="00EC31FB"/>
    <w:rsid w:val="00EC589A"/>
    <w:rsid w:val="00EC7AFD"/>
    <w:rsid w:val="00ED47F5"/>
    <w:rsid w:val="00ED5CB8"/>
    <w:rsid w:val="00EE14FA"/>
    <w:rsid w:val="00EE2363"/>
    <w:rsid w:val="00EE4A13"/>
    <w:rsid w:val="00EE6BE6"/>
    <w:rsid w:val="00EE7143"/>
    <w:rsid w:val="00EF044F"/>
    <w:rsid w:val="00EF0AE3"/>
    <w:rsid w:val="00EF2502"/>
    <w:rsid w:val="00EF4DB5"/>
    <w:rsid w:val="00F00A29"/>
    <w:rsid w:val="00F021D2"/>
    <w:rsid w:val="00F0281B"/>
    <w:rsid w:val="00F039DD"/>
    <w:rsid w:val="00F06E9F"/>
    <w:rsid w:val="00F07F17"/>
    <w:rsid w:val="00F139F5"/>
    <w:rsid w:val="00F15954"/>
    <w:rsid w:val="00F15A4C"/>
    <w:rsid w:val="00F21489"/>
    <w:rsid w:val="00F2165B"/>
    <w:rsid w:val="00F2266D"/>
    <w:rsid w:val="00F23B60"/>
    <w:rsid w:val="00F27413"/>
    <w:rsid w:val="00F27FD5"/>
    <w:rsid w:val="00F31C7A"/>
    <w:rsid w:val="00F32409"/>
    <w:rsid w:val="00F334DC"/>
    <w:rsid w:val="00F3635D"/>
    <w:rsid w:val="00F473A2"/>
    <w:rsid w:val="00F50CDB"/>
    <w:rsid w:val="00F51A4B"/>
    <w:rsid w:val="00F51CED"/>
    <w:rsid w:val="00F5210A"/>
    <w:rsid w:val="00F53791"/>
    <w:rsid w:val="00F540BF"/>
    <w:rsid w:val="00F5556F"/>
    <w:rsid w:val="00F568D6"/>
    <w:rsid w:val="00F60150"/>
    <w:rsid w:val="00F610C4"/>
    <w:rsid w:val="00F6219B"/>
    <w:rsid w:val="00F62202"/>
    <w:rsid w:val="00F658DF"/>
    <w:rsid w:val="00F66551"/>
    <w:rsid w:val="00F66AC8"/>
    <w:rsid w:val="00F66B4F"/>
    <w:rsid w:val="00F70B9A"/>
    <w:rsid w:val="00F755C1"/>
    <w:rsid w:val="00F76A26"/>
    <w:rsid w:val="00F851E3"/>
    <w:rsid w:val="00F862B0"/>
    <w:rsid w:val="00F87F18"/>
    <w:rsid w:val="00F90563"/>
    <w:rsid w:val="00F90A3A"/>
    <w:rsid w:val="00F93655"/>
    <w:rsid w:val="00F937FD"/>
    <w:rsid w:val="00F94B52"/>
    <w:rsid w:val="00F95924"/>
    <w:rsid w:val="00FA0056"/>
    <w:rsid w:val="00FB0B46"/>
    <w:rsid w:val="00FB254A"/>
    <w:rsid w:val="00FB4767"/>
    <w:rsid w:val="00FC040C"/>
    <w:rsid w:val="00FC0CE3"/>
    <w:rsid w:val="00FC2B01"/>
    <w:rsid w:val="00FC489E"/>
    <w:rsid w:val="00FC4A7A"/>
    <w:rsid w:val="00FC528C"/>
    <w:rsid w:val="00FC5BB1"/>
    <w:rsid w:val="00FC7BEA"/>
    <w:rsid w:val="00FD200F"/>
    <w:rsid w:val="00FD2FEF"/>
    <w:rsid w:val="00FD5CD2"/>
    <w:rsid w:val="00FD6C2F"/>
    <w:rsid w:val="00FE51C8"/>
    <w:rsid w:val="00FE76BB"/>
    <w:rsid w:val="00FE7BD6"/>
    <w:rsid w:val="00FF0F94"/>
    <w:rsid w:val="00FF5DE3"/>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2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semiHidden/>
    <w:rsid w:val="00A84FDE"/>
    <w:rPr>
      <w:sz w:val="16"/>
      <w:szCs w:val="16"/>
    </w:rPr>
  </w:style>
  <w:style w:type="paragraph" w:styleId="CommentText">
    <w:name w:val="annotation text"/>
    <w:basedOn w:val="Normal"/>
    <w:link w:val="CommentTextChar"/>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semiHidden/>
    <w:rsid w:val="00A84FDE"/>
    <w:rPr>
      <w:sz w:val="16"/>
      <w:szCs w:val="16"/>
    </w:rPr>
  </w:style>
  <w:style w:type="paragraph" w:styleId="CommentText">
    <w:name w:val="annotation text"/>
    <w:basedOn w:val="Normal"/>
    <w:link w:val="CommentTextChar"/>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5368">
      <w:bodyDiv w:val="1"/>
      <w:marLeft w:val="0"/>
      <w:marRight w:val="0"/>
      <w:marTop w:val="0"/>
      <w:marBottom w:val="0"/>
      <w:divBdr>
        <w:top w:val="none" w:sz="0" w:space="0" w:color="auto"/>
        <w:left w:val="none" w:sz="0" w:space="0" w:color="auto"/>
        <w:bottom w:val="none" w:sz="0" w:space="0" w:color="auto"/>
        <w:right w:val="none" w:sz="0" w:space="0" w:color="auto"/>
      </w:divBdr>
    </w:div>
    <w:div w:id="730734265">
      <w:bodyDiv w:val="1"/>
      <w:marLeft w:val="0"/>
      <w:marRight w:val="0"/>
      <w:marTop w:val="0"/>
      <w:marBottom w:val="0"/>
      <w:divBdr>
        <w:top w:val="none" w:sz="0" w:space="0" w:color="auto"/>
        <w:left w:val="none" w:sz="0" w:space="0" w:color="auto"/>
        <w:bottom w:val="none" w:sz="0" w:space="0" w:color="auto"/>
        <w:right w:val="none" w:sz="0" w:space="0" w:color="auto"/>
      </w:divBdr>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1143085076">
      <w:bodyDiv w:val="1"/>
      <w:marLeft w:val="0"/>
      <w:marRight w:val="0"/>
      <w:marTop w:val="0"/>
      <w:marBottom w:val="0"/>
      <w:divBdr>
        <w:top w:val="none" w:sz="0" w:space="0" w:color="auto"/>
        <w:left w:val="none" w:sz="0" w:space="0" w:color="auto"/>
        <w:bottom w:val="none" w:sz="0" w:space="0" w:color="auto"/>
        <w:right w:val="none" w:sz="0" w:space="0" w:color="auto"/>
      </w:divBdr>
    </w:div>
    <w:div w:id="1225415434">
      <w:bodyDiv w:val="1"/>
      <w:marLeft w:val="0"/>
      <w:marRight w:val="0"/>
      <w:marTop w:val="0"/>
      <w:marBottom w:val="0"/>
      <w:divBdr>
        <w:top w:val="none" w:sz="0" w:space="0" w:color="auto"/>
        <w:left w:val="none" w:sz="0" w:space="0" w:color="auto"/>
        <w:bottom w:val="none" w:sz="0" w:space="0" w:color="auto"/>
        <w:right w:val="none" w:sz="0" w:space="0" w:color="auto"/>
      </w:divBdr>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283196961">
      <w:bodyDiv w:val="1"/>
      <w:marLeft w:val="0"/>
      <w:marRight w:val="0"/>
      <w:marTop w:val="0"/>
      <w:marBottom w:val="0"/>
      <w:divBdr>
        <w:top w:val="none" w:sz="0" w:space="0" w:color="auto"/>
        <w:left w:val="none" w:sz="0" w:space="0" w:color="auto"/>
        <w:bottom w:val="none" w:sz="0" w:space="0" w:color="auto"/>
        <w:right w:val="none" w:sz="0" w:space="0" w:color="auto"/>
      </w:divBdr>
    </w:div>
    <w:div w:id="1390495070">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539321107">
      <w:bodyDiv w:val="1"/>
      <w:marLeft w:val="0"/>
      <w:marRight w:val="0"/>
      <w:marTop w:val="0"/>
      <w:marBottom w:val="0"/>
      <w:divBdr>
        <w:top w:val="none" w:sz="0" w:space="0" w:color="auto"/>
        <w:left w:val="none" w:sz="0" w:space="0" w:color="auto"/>
        <w:bottom w:val="none" w:sz="0" w:space="0" w:color="auto"/>
        <w:right w:val="none" w:sz="0" w:space="0" w:color="auto"/>
      </w:divBdr>
    </w:div>
    <w:div w:id="1624577341">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891839469">
      <w:bodyDiv w:val="1"/>
      <w:marLeft w:val="0"/>
      <w:marRight w:val="0"/>
      <w:marTop w:val="0"/>
      <w:marBottom w:val="0"/>
      <w:divBdr>
        <w:top w:val="none" w:sz="0" w:space="0" w:color="auto"/>
        <w:left w:val="none" w:sz="0" w:space="0" w:color="auto"/>
        <w:bottom w:val="none" w:sz="0" w:space="0" w:color="auto"/>
        <w:right w:val="none" w:sz="0" w:space="0" w:color="auto"/>
      </w:divBdr>
    </w:div>
    <w:div w:id="19219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drugoverdose/prescribing/guidelin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aspe.hhs.gov/sp/reports/2015/OpioidInitiative/ib_OpioidInitiative.cfm" TargetMode="External"/><Relationship Id="rId3" Type="http://schemas.openxmlformats.org/officeDocument/2006/relationships/hyperlink" Target="http://aspe.hhs.gov/sp/reports/2015/OpioidInitiative/ib_OpioidInitiative.cfm" TargetMode="External"/><Relationship Id="rId7" Type="http://schemas.openxmlformats.org/officeDocument/2006/relationships/hyperlink" Target="http://aspe.hhs.gov/sp/reports/2015/OpioidInitiative/ib_OpioidInitiative.cfm" TargetMode="External"/><Relationship Id="rId2" Type="http://schemas.openxmlformats.org/officeDocument/2006/relationships/hyperlink" Target="http://wonder.cdc.gov/" TargetMode="External"/><Relationship Id="rId1" Type="http://schemas.openxmlformats.org/officeDocument/2006/relationships/hyperlink" Target="http://wonder.cdc.gov/" TargetMode="External"/><Relationship Id="rId6" Type="http://schemas.openxmlformats.org/officeDocument/2006/relationships/hyperlink" Target="http://aspe.hhs.gov/sp/reports/2015/OpioidInitiative/ib_OpioidInitiative.cfm" TargetMode="External"/><Relationship Id="rId5" Type="http://schemas.openxmlformats.org/officeDocument/2006/relationships/hyperlink" Target="http://aspe.hhs.gov/sp/reports/2015/OpioidInitiative/ib_OpioidInitiative.cfm" TargetMode="External"/><Relationship Id="rId4" Type="http://schemas.openxmlformats.org/officeDocument/2006/relationships/hyperlink" Target="http://www.cdc.gov/drugoverdose/prescribing/guideline.html" TargetMode="External"/><Relationship Id="rId9" Type="http://schemas.openxmlformats.org/officeDocument/2006/relationships/hyperlink" Target="http://www.pdmpexcel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VUADPPQRPPK6-1564171637-338</_dlc_DocId>
    <_dlc_DocIdUrl xmlns="004a172f-e16f-4887-a47b-3990e8128e1e">
      <Url>https://esp.cdc.gov/sites/ncipc/DUIP/hstsb/_layouts/15/DocIdRedir.aspx?ID=VUADPPQRPPK6-1564171637-338</Url>
      <Description>VUADPPQRPPK6-1564171637-338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0730-D692-406C-825F-3936052874B2}">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004a172f-e16f-4887-a47b-3990e8128e1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EE5EF2-5F7C-48FA-B76D-18458EB0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4.xml><?xml version="1.0" encoding="utf-8"?>
<ds:datastoreItem xmlns:ds="http://schemas.openxmlformats.org/officeDocument/2006/customXml" ds:itemID="{90537E08-8E2A-4274-967F-CA830F28B69A}">
  <ds:schemaRefs>
    <ds:schemaRef ds:uri="http://schemas.microsoft.com/sharepoint/v3/contenttype/forms"/>
  </ds:schemaRefs>
</ds:datastoreItem>
</file>

<file path=customXml/itemProps5.xml><?xml version="1.0" encoding="utf-8"?>
<ds:datastoreItem xmlns:ds="http://schemas.openxmlformats.org/officeDocument/2006/customXml" ds:itemID="{F213CDFD-8143-4D71-9D08-CE5E701C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6926</Words>
  <Characters>39484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46318</CharactersWithSpaces>
  <SharedDoc>false</SharedDoc>
  <HLinks>
    <vt:vector size="42" baseType="variant">
      <vt:variant>
        <vt:i4>1310799</vt:i4>
      </vt:variant>
      <vt:variant>
        <vt:i4>6</vt:i4>
      </vt:variant>
      <vt:variant>
        <vt:i4>0</vt:i4>
      </vt:variant>
      <vt:variant>
        <vt:i4>5</vt:i4>
      </vt:variant>
      <vt:variant>
        <vt:lpwstr>http://www.cdc.gov/mmwr/preview/mmwrhtml/mm6324a3.htm</vt:lpwstr>
      </vt:variant>
      <vt:variant>
        <vt:lpwstr/>
      </vt:variant>
      <vt:variant>
        <vt:i4>131081</vt:i4>
      </vt:variant>
      <vt:variant>
        <vt:i4>3</vt:i4>
      </vt:variant>
      <vt:variant>
        <vt:i4>0</vt:i4>
      </vt:variant>
      <vt:variant>
        <vt:i4>5</vt:i4>
      </vt:variant>
      <vt:variant>
        <vt:lpwstr>http://www.cdc.gov/mmwr/preview/mmwrhtml/mm5729a1.htm : Describes a multi-state fentanyl</vt:lpwstr>
      </vt:variant>
      <vt:variant>
        <vt:lpwstr/>
      </vt:variant>
      <vt:variant>
        <vt:i4>1310803</vt:i4>
      </vt:variant>
      <vt:variant>
        <vt:i4>0</vt:i4>
      </vt:variant>
      <vt:variant>
        <vt:i4>0</vt:i4>
      </vt:variant>
      <vt:variant>
        <vt:i4>5</vt:i4>
      </vt:variant>
      <vt:variant>
        <vt:lpwstr>C:\Users\IDY6\AppData\Local\Microsoft\Windows\Temporary Internet Files\Content.Outlook\079ZML9Q\A comparison of drug overdose deaths involving methadone and other opioid analgesics in West Virginia</vt:lpwstr>
      </vt:variant>
      <vt:variant>
        <vt:lpwstr/>
      </vt:variant>
      <vt:variant>
        <vt:i4>2359368</vt:i4>
      </vt:variant>
      <vt:variant>
        <vt:i4>9</vt:i4>
      </vt:variant>
      <vt:variant>
        <vt:i4>0</vt:i4>
      </vt:variant>
      <vt:variant>
        <vt:i4>5</vt:i4>
      </vt:variant>
      <vt:variant>
        <vt:lpwstr>http://webappa.cdc.gov/sasweb/ncipc/mortrate10_us.html</vt:lpwstr>
      </vt:variant>
      <vt:variant>
        <vt:lpwstr/>
      </vt:variant>
      <vt:variant>
        <vt:i4>7667736</vt:i4>
      </vt:variant>
      <vt:variant>
        <vt:i4>6</vt:i4>
      </vt:variant>
      <vt:variant>
        <vt:i4>0</vt:i4>
      </vt:variant>
      <vt:variant>
        <vt:i4>5</vt:i4>
      </vt:variant>
      <vt:variant>
        <vt:lpwstr>http://aspe.hhs.gov/sp/reports/2015/OpioidInitiative/ib_OpioidInitiative.cfm</vt:lpwstr>
      </vt:variant>
      <vt:variant>
        <vt:lpwstr/>
      </vt:variant>
      <vt:variant>
        <vt:i4>1376336</vt:i4>
      </vt:variant>
      <vt:variant>
        <vt:i4>3</vt:i4>
      </vt:variant>
      <vt:variant>
        <vt:i4>0</vt:i4>
      </vt:variant>
      <vt:variant>
        <vt:i4>5</vt:i4>
      </vt:variant>
      <vt:variant>
        <vt:lpwstr>http://www.samhsa.gov/data/sites/default/files/DAWNMEAnnualReport2010/DAWNMEAnnualReport2010/DAWN-ME-AnnualReport2010.htm</vt:lpwstr>
      </vt:variant>
      <vt:variant>
        <vt:lpwstr/>
      </vt:variant>
      <vt:variant>
        <vt:i4>7667736</vt:i4>
      </vt:variant>
      <vt:variant>
        <vt:i4>0</vt:i4>
      </vt:variant>
      <vt:variant>
        <vt:i4>0</vt:i4>
      </vt:variant>
      <vt:variant>
        <vt:i4>5</vt:i4>
      </vt:variant>
      <vt:variant>
        <vt:lpwstr>http://aspe.hhs.gov/sp/reports/2015/OpioidInitiative/ib_OpioidInitiative.cfm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CDC User</dc:creator>
  <cp:keywords/>
  <cp:lastModifiedBy>SYSTEM</cp:lastModifiedBy>
  <cp:revision>2</cp:revision>
  <cp:lastPrinted>2015-07-17T19:32:00Z</cp:lastPrinted>
  <dcterms:created xsi:type="dcterms:W3CDTF">2017-10-06T15:20:00Z</dcterms:created>
  <dcterms:modified xsi:type="dcterms:W3CDTF">2017-10-06T15:20:00Z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bbdd91a3-b218-4855-8666-9fc7926f70b6</vt:lpwstr>
  </property>
  <property fmtid="{D5CDD505-2E9C-101B-9397-08002B2CF9AE}" pid="3" name="ContentTypeId">
    <vt:lpwstr>0x010100EBD83616BFDCEF4E91B1E5120BDC4550</vt:lpwstr>
  </property>
</Properties>
</file>