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DBC0A6" w14:textId="77777777" w:rsidR="00BA1A0C" w:rsidRPr="00C45431" w:rsidRDefault="009B3794" w:rsidP="00CE5AA9">
      <w:pPr>
        <w:tabs>
          <w:tab w:val="center" w:pos="4680"/>
        </w:tabs>
        <w:spacing w:before="120"/>
        <w:jc w:val="center"/>
        <w:rPr>
          <w:rFonts w:ascii="Arial" w:hAnsi="Arial" w:cs="Arial"/>
          <w:b/>
          <w:bCs/>
          <w:sz w:val="32"/>
          <w:szCs w:val="32"/>
        </w:rPr>
      </w:pPr>
      <w:r w:rsidRPr="00C45431">
        <w:rPr>
          <w:rFonts w:ascii="Arial" w:hAnsi="Arial" w:cs="Arial"/>
          <w:b/>
          <w:bCs/>
          <w:sz w:val="32"/>
          <w:szCs w:val="32"/>
        </w:rPr>
        <w:t xml:space="preserve">Supporting Statement </w:t>
      </w:r>
      <w:r w:rsidR="00BA1A0C" w:rsidRPr="00C45431">
        <w:rPr>
          <w:rFonts w:ascii="Arial" w:hAnsi="Arial" w:cs="Arial"/>
          <w:b/>
          <w:bCs/>
          <w:sz w:val="32"/>
          <w:szCs w:val="32"/>
        </w:rPr>
        <w:t>A</w:t>
      </w:r>
    </w:p>
    <w:p w14:paraId="12DBC0A7" w14:textId="77777777" w:rsidR="00BA1A0C" w:rsidRPr="00C45431" w:rsidRDefault="00BA1A0C" w:rsidP="00CE5AA9">
      <w:pPr>
        <w:tabs>
          <w:tab w:val="center" w:pos="4680"/>
        </w:tabs>
        <w:spacing w:before="120"/>
        <w:jc w:val="center"/>
        <w:rPr>
          <w:rFonts w:ascii="Arial" w:hAnsi="Arial" w:cs="Arial"/>
          <w:b/>
          <w:bCs/>
          <w:sz w:val="32"/>
          <w:szCs w:val="32"/>
        </w:rPr>
      </w:pPr>
    </w:p>
    <w:p w14:paraId="4BB332D3" w14:textId="77777777" w:rsidR="0093647C" w:rsidRPr="0041606D" w:rsidRDefault="0093647C" w:rsidP="0093647C">
      <w:pPr>
        <w:jc w:val="center"/>
        <w:rPr>
          <w:rFonts w:ascii="Arial" w:hAnsi="Arial" w:cs="Arial"/>
          <w:b/>
          <w:sz w:val="28"/>
          <w:szCs w:val="28"/>
        </w:rPr>
      </w:pPr>
      <w:r w:rsidRPr="0041606D">
        <w:rPr>
          <w:rFonts w:ascii="Arial" w:hAnsi="Arial" w:cs="Arial"/>
          <w:b/>
          <w:sz w:val="28"/>
          <w:szCs w:val="28"/>
        </w:rPr>
        <w:t xml:space="preserve">Teaching Health Centers Graduate Medical Education (THCGME) Program Reconciliation Tool  </w:t>
      </w:r>
    </w:p>
    <w:p w14:paraId="12DBC0A9" w14:textId="77777777" w:rsidR="00BA1A0C" w:rsidRPr="00C45431" w:rsidRDefault="00BA1A0C" w:rsidP="00CE5AA9">
      <w:pPr>
        <w:tabs>
          <w:tab w:val="center" w:pos="4680"/>
        </w:tabs>
        <w:spacing w:before="120"/>
        <w:jc w:val="center"/>
        <w:rPr>
          <w:rFonts w:ascii="Arial" w:hAnsi="Arial" w:cs="Arial"/>
          <w:b/>
          <w:bCs/>
          <w:sz w:val="32"/>
          <w:szCs w:val="32"/>
        </w:rPr>
      </w:pPr>
    </w:p>
    <w:p w14:paraId="2C570A2F" w14:textId="77A5847E" w:rsidR="0093647C" w:rsidRDefault="00BA1A0C" w:rsidP="00AE7D2D">
      <w:pPr>
        <w:tabs>
          <w:tab w:val="center" w:pos="4680"/>
        </w:tabs>
        <w:spacing w:before="120"/>
        <w:jc w:val="center"/>
        <w:rPr>
          <w:b/>
          <w:bCs/>
        </w:rPr>
      </w:pPr>
      <w:r w:rsidRPr="00C45431">
        <w:rPr>
          <w:rFonts w:ascii="Arial" w:hAnsi="Arial" w:cs="Arial"/>
          <w:b/>
          <w:bCs/>
          <w:sz w:val="32"/>
          <w:szCs w:val="32"/>
        </w:rPr>
        <w:t>OMB Control No. 09</w:t>
      </w:r>
      <w:r w:rsidR="00E34A1F" w:rsidRPr="00C45431">
        <w:rPr>
          <w:rFonts w:ascii="Arial" w:hAnsi="Arial" w:cs="Arial"/>
          <w:b/>
          <w:bCs/>
          <w:sz w:val="32"/>
          <w:szCs w:val="32"/>
        </w:rPr>
        <w:t>15</w:t>
      </w:r>
      <w:r w:rsidRPr="00C45431">
        <w:rPr>
          <w:rFonts w:ascii="Arial" w:hAnsi="Arial" w:cs="Arial"/>
          <w:b/>
          <w:bCs/>
          <w:sz w:val="32"/>
          <w:szCs w:val="32"/>
        </w:rPr>
        <w:t>-</w:t>
      </w:r>
      <w:r w:rsidR="0093647C">
        <w:rPr>
          <w:rFonts w:ascii="Arial" w:hAnsi="Arial" w:cs="Arial"/>
          <w:b/>
          <w:bCs/>
          <w:sz w:val="32"/>
          <w:szCs w:val="32"/>
        </w:rPr>
        <w:t>0342</w:t>
      </w:r>
      <w:r w:rsidR="00BC051A">
        <w:rPr>
          <w:rFonts w:ascii="Arial" w:hAnsi="Arial" w:cs="Arial"/>
          <w:b/>
          <w:bCs/>
          <w:sz w:val="32"/>
          <w:szCs w:val="32"/>
        </w:rPr>
        <w:t xml:space="preserve"> (</w:t>
      </w:r>
      <w:r w:rsidR="005E03FF">
        <w:rPr>
          <w:rFonts w:ascii="Arial" w:hAnsi="Arial" w:cs="Arial"/>
          <w:b/>
          <w:bCs/>
          <w:sz w:val="32"/>
          <w:szCs w:val="32"/>
        </w:rPr>
        <w:t>Extension</w:t>
      </w:r>
      <w:r w:rsidR="0093647C">
        <w:rPr>
          <w:rFonts w:ascii="Arial" w:hAnsi="Arial" w:cs="Arial"/>
          <w:b/>
          <w:bCs/>
          <w:sz w:val="32"/>
          <w:szCs w:val="32"/>
        </w:rPr>
        <w:t>)</w:t>
      </w:r>
    </w:p>
    <w:p w14:paraId="12DBC0AB" w14:textId="77777777" w:rsidR="00BA1A0C" w:rsidRPr="00C45431" w:rsidRDefault="00BA1A0C" w:rsidP="0093647C">
      <w:pPr>
        <w:tabs>
          <w:tab w:val="center" w:pos="4680"/>
        </w:tabs>
        <w:spacing w:before="120"/>
        <w:jc w:val="center"/>
        <w:rPr>
          <w:rFonts w:ascii="Arial" w:hAnsi="Arial" w:cs="Arial"/>
          <w:b/>
          <w:bCs/>
          <w:sz w:val="32"/>
          <w:szCs w:val="32"/>
        </w:rPr>
      </w:pPr>
    </w:p>
    <w:p w14:paraId="12DBC0AC" w14:textId="77777777" w:rsidR="009B3794" w:rsidRPr="00C45431" w:rsidRDefault="009B3794" w:rsidP="00CE5AA9">
      <w:pPr>
        <w:tabs>
          <w:tab w:val="center" w:pos="4680"/>
        </w:tabs>
        <w:spacing w:before="120"/>
        <w:jc w:val="center"/>
        <w:rPr>
          <w:rFonts w:ascii="Arial" w:hAnsi="Arial" w:cs="Arial"/>
          <w:b/>
          <w:bCs/>
          <w:sz w:val="32"/>
          <w:szCs w:val="32"/>
        </w:rPr>
      </w:pPr>
    </w:p>
    <w:p w14:paraId="12DBC0AD" w14:textId="0AAAF735" w:rsidR="009B3794" w:rsidRPr="00C45431" w:rsidRDefault="00DE3A45" w:rsidP="00CE5AA9">
      <w:pPr>
        <w:spacing w:before="120"/>
        <w:rPr>
          <w:rFonts w:ascii="Arial" w:hAnsi="Arial" w:cs="Arial"/>
          <w:b/>
          <w:sz w:val="24"/>
        </w:rPr>
      </w:pPr>
      <w:r w:rsidRPr="00C45431">
        <w:rPr>
          <w:rFonts w:ascii="Arial" w:hAnsi="Arial" w:cs="Arial"/>
          <w:b/>
          <w:sz w:val="24"/>
        </w:rPr>
        <w:t>Terms of Clearance</w:t>
      </w:r>
      <w:r w:rsidR="00BA1A0C" w:rsidRPr="00C45431">
        <w:rPr>
          <w:rFonts w:ascii="Arial" w:hAnsi="Arial" w:cs="Arial"/>
          <w:b/>
          <w:sz w:val="24"/>
        </w:rPr>
        <w:t>:</w:t>
      </w:r>
      <w:r w:rsidR="00BA1A0C" w:rsidRPr="00C45431">
        <w:rPr>
          <w:rFonts w:ascii="Arial" w:hAnsi="Arial" w:cs="Arial"/>
          <w:sz w:val="24"/>
        </w:rPr>
        <w:t xml:space="preserve">  </w:t>
      </w:r>
      <w:r w:rsidR="000004D0">
        <w:rPr>
          <w:rFonts w:ascii="Arial" w:hAnsi="Arial" w:cs="Arial"/>
          <w:sz w:val="24"/>
        </w:rPr>
        <w:t xml:space="preserve">None </w:t>
      </w:r>
    </w:p>
    <w:p w14:paraId="12DBC0AE" w14:textId="77777777" w:rsidR="009B3794" w:rsidRPr="00C45431" w:rsidRDefault="009B3794" w:rsidP="00CA3DA6">
      <w:pPr>
        <w:spacing w:before="120"/>
        <w:rPr>
          <w:rFonts w:ascii="Arial" w:hAnsi="Arial" w:cs="Arial"/>
          <w:b/>
          <w:bCs/>
          <w:sz w:val="24"/>
        </w:rPr>
      </w:pPr>
      <w:r w:rsidRPr="00C45431">
        <w:rPr>
          <w:rFonts w:ascii="Arial" w:hAnsi="Arial" w:cs="Arial"/>
          <w:b/>
          <w:bCs/>
          <w:sz w:val="24"/>
        </w:rPr>
        <w:t>A.</w:t>
      </w:r>
      <w:r w:rsidRPr="00C45431">
        <w:rPr>
          <w:rFonts w:ascii="Arial" w:hAnsi="Arial" w:cs="Arial"/>
          <w:b/>
          <w:bCs/>
          <w:sz w:val="24"/>
        </w:rPr>
        <w:tab/>
        <w:t>Justification</w:t>
      </w:r>
    </w:p>
    <w:p w14:paraId="12DBC0AF"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Circumstances Making the Collection of Information Necessary</w:t>
      </w:r>
    </w:p>
    <w:p w14:paraId="473B63D3" w14:textId="1DEED68E" w:rsidR="0093647C" w:rsidRPr="00AE7D2D" w:rsidRDefault="0093647C" w:rsidP="0093647C">
      <w:pPr>
        <w:rPr>
          <w:rFonts w:ascii="Arial" w:eastAsia="Cambria" w:hAnsi="Arial" w:cs="Arial"/>
          <w:sz w:val="24"/>
        </w:rPr>
      </w:pPr>
      <w:r w:rsidRPr="00AE7D2D">
        <w:rPr>
          <w:rFonts w:ascii="Arial" w:hAnsi="Arial" w:cs="Arial"/>
          <w:sz w:val="24"/>
        </w:rPr>
        <w:t xml:space="preserve">This is a request for </w:t>
      </w:r>
      <w:r w:rsidR="0041606D">
        <w:rPr>
          <w:rFonts w:ascii="Arial" w:hAnsi="Arial" w:cs="Arial"/>
          <w:sz w:val="24"/>
        </w:rPr>
        <w:t xml:space="preserve">the </w:t>
      </w:r>
      <w:r w:rsidRPr="00AE7D2D">
        <w:rPr>
          <w:rFonts w:ascii="Arial" w:hAnsi="Arial" w:cs="Arial"/>
          <w:sz w:val="24"/>
        </w:rPr>
        <w:t>Office of Management and Budget (OMB) approval to utilize the Teaching Health Center</w:t>
      </w:r>
      <w:r w:rsidR="0041606D">
        <w:rPr>
          <w:rFonts w:ascii="Arial" w:hAnsi="Arial" w:cs="Arial"/>
          <w:sz w:val="24"/>
        </w:rPr>
        <w:t>s</w:t>
      </w:r>
      <w:r w:rsidRPr="00AE7D2D">
        <w:rPr>
          <w:rFonts w:ascii="Arial" w:hAnsi="Arial" w:cs="Arial"/>
          <w:sz w:val="24"/>
        </w:rPr>
        <w:t xml:space="preserve"> Graduate Medical Education (THCGME) Program Reconciliation Tool.  The Reconciliation Tool is used </w:t>
      </w:r>
      <w:r w:rsidRPr="00AE7D2D">
        <w:rPr>
          <w:rFonts w:ascii="Arial" w:eastAsia="Cambria" w:hAnsi="Arial" w:cs="Arial"/>
          <w:sz w:val="24"/>
        </w:rPr>
        <w:t xml:space="preserve">to reconcile the number of residency positions supported by the </w:t>
      </w:r>
      <w:r w:rsidR="0041606D">
        <w:rPr>
          <w:rFonts w:ascii="Arial" w:eastAsia="Cambria" w:hAnsi="Arial" w:cs="Arial"/>
          <w:sz w:val="24"/>
        </w:rPr>
        <w:t xml:space="preserve">THCGME </w:t>
      </w:r>
      <w:r w:rsidRPr="00AE7D2D">
        <w:rPr>
          <w:rFonts w:ascii="Arial" w:eastAsia="Cambria" w:hAnsi="Arial" w:cs="Arial"/>
          <w:sz w:val="24"/>
        </w:rPr>
        <w:t>Program (</w:t>
      </w:r>
      <w:r w:rsidR="0041606D">
        <w:rPr>
          <w:rFonts w:ascii="Arial" w:eastAsia="Cambria" w:hAnsi="Arial" w:cs="Arial"/>
          <w:sz w:val="24"/>
        </w:rPr>
        <w:t>A</w:t>
      </w:r>
      <w:r w:rsidRPr="00AE7D2D">
        <w:rPr>
          <w:rFonts w:ascii="Arial" w:eastAsia="Cambria" w:hAnsi="Arial" w:cs="Arial"/>
          <w:sz w:val="24"/>
        </w:rPr>
        <w:t>ttachment 1).  This payment program is authorized under section 340H of the Public Health Service Act</w:t>
      </w:r>
      <w:r w:rsidR="004A4EFF">
        <w:rPr>
          <w:rFonts w:ascii="Arial" w:eastAsia="Cambria" w:hAnsi="Arial" w:cs="Arial"/>
          <w:sz w:val="24"/>
        </w:rPr>
        <w:t>.</w:t>
      </w:r>
      <w:r w:rsidR="00263D32" w:rsidRPr="00AE7D2D">
        <w:rPr>
          <w:rFonts w:ascii="Arial" w:hAnsi="Arial" w:cs="Arial"/>
          <w:sz w:val="24"/>
        </w:rPr>
        <w:t xml:space="preserve">   </w:t>
      </w:r>
    </w:p>
    <w:p w14:paraId="4C7166B9" w14:textId="77777777" w:rsidR="0093647C" w:rsidRPr="00AE7D2D" w:rsidRDefault="0093647C" w:rsidP="0093647C">
      <w:pPr>
        <w:rPr>
          <w:rFonts w:ascii="Arial" w:hAnsi="Arial" w:cs="Arial"/>
          <w:sz w:val="24"/>
        </w:rPr>
      </w:pPr>
      <w:r w:rsidRPr="00AE7D2D">
        <w:rPr>
          <w:rFonts w:ascii="Arial" w:hAnsi="Arial" w:cs="Arial"/>
          <w:sz w:val="24"/>
        </w:rPr>
        <w:t xml:space="preserve"> </w:t>
      </w:r>
    </w:p>
    <w:p w14:paraId="5908B798" w14:textId="7FE09F0C" w:rsidR="0093647C" w:rsidRDefault="0093647C" w:rsidP="005F573B">
      <w:pPr>
        <w:pStyle w:val="ListParagraph"/>
        <w:ind w:left="0"/>
        <w:rPr>
          <w:rFonts w:ascii="Arial" w:hAnsi="Arial" w:cs="Arial"/>
          <w:sz w:val="24"/>
        </w:rPr>
      </w:pPr>
      <w:r w:rsidRPr="00AE7D2D">
        <w:rPr>
          <w:rFonts w:ascii="Arial" w:hAnsi="Arial" w:cs="Arial"/>
          <w:sz w:val="24"/>
        </w:rPr>
        <w:t>THCGME is an initiative to promote primary care residency training in community-based settings.  The majority of residency t</w:t>
      </w:r>
      <w:bookmarkStart w:id="0" w:name="_GoBack"/>
      <w:bookmarkEnd w:id="0"/>
      <w:r w:rsidRPr="00AE7D2D">
        <w:rPr>
          <w:rFonts w:ascii="Arial" w:hAnsi="Arial" w:cs="Arial"/>
          <w:sz w:val="24"/>
        </w:rPr>
        <w:t xml:space="preserve">raining in the United States is funded by Centers for Medicare and Medicaid (CMS) reimbursement payments to teaching hospitals.  In the THCGME </w:t>
      </w:r>
      <w:r w:rsidR="005F573B" w:rsidRPr="00AE7D2D">
        <w:rPr>
          <w:rFonts w:ascii="Arial" w:hAnsi="Arial" w:cs="Arial"/>
          <w:sz w:val="24"/>
        </w:rPr>
        <w:t>model,</w:t>
      </w:r>
      <w:r w:rsidRPr="00AE7D2D">
        <w:rPr>
          <w:rFonts w:ascii="Arial" w:hAnsi="Arial" w:cs="Arial"/>
          <w:sz w:val="24"/>
        </w:rPr>
        <w:t xml:space="preserve"> funding goes directly to eligible Health Centers, </w:t>
      </w:r>
      <w:r w:rsidRPr="00AE7D2D">
        <w:rPr>
          <w:rStyle w:val="CommentReference"/>
          <w:rFonts w:ascii="Arial" w:hAnsi="Arial" w:cs="Arial"/>
          <w:sz w:val="24"/>
          <w:szCs w:val="24"/>
        </w:rPr>
        <w:t>a</w:t>
      </w:r>
      <w:r w:rsidRPr="00AE7D2D">
        <w:rPr>
          <w:rFonts w:ascii="Arial" w:hAnsi="Arial" w:cs="Arial"/>
          <w:sz w:val="24"/>
        </w:rPr>
        <w:t>llowing the Health Center to sponsor primary care training directly in the community.  The program supports training for primary care residents (including residents in family medicine, internal medicine, pediatrics, internal medicine-pediatrics, obstetrics and gynecology, psychiatry, general dentistry, pediatric dentistry, and geriatrics) in community-based ambulatory patient care settings.  The statute allows Teaching Health Centers (THC) to receive payments for both direct and indirect costs associated with training residents in community-based ambulatory patient care centers.  Direct payments are designed to compensate el</w:t>
      </w:r>
      <w:r w:rsidR="00572DA1" w:rsidRPr="00AE7D2D">
        <w:rPr>
          <w:rFonts w:ascii="Arial" w:hAnsi="Arial" w:cs="Arial"/>
          <w:sz w:val="24"/>
        </w:rPr>
        <w:t xml:space="preserve">igible </w:t>
      </w:r>
      <w:r w:rsidR="00572DA1">
        <w:rPr>
          <w:rFonts w:ascii="Arial" w:hAnsi="Arial" w:cs="Arial"/>
          <w:sz w:val="24"/>
        </w:rPr>
        <w:t>T</w:t>
      </w:r>
      <w:r w:rsidR="00572DA1" w:rsidRPr="00AE7D2D">
        <w:rPr>
          <w:rFonts w:ascii="Arial" w:hAnsi="Arial" w:cs="Arial"/>
          <w:sz w:val="24"/>
        </w:rPr>
        <w:t>H</w:t>
      </w:r>
      <w:r w:rsidR="00572DA1">
        <w:rPr>
          <w:rFonts w:ascii="Arial" w:hAnsi="Arial" w:cs="Arial"/>
          <w:sz w:val="24"/>
        </w:rPr>
        <w:t>C</w:t>
      </w:r>
      <w:r w:rsidRPr="00AE7D2D">
        <w:rPr>
          <w:rFonts w:ascii="Arial" w:hAnsi="Arial" w:cs="Arial"/>
          <w:sz w:val="24"/>
        </w:rPr>
        <w:t xml:space="preserve">s for those expenses directly associated with resident training, while indirect payments are intended to compensate for the additional costs of training residents in such programs.  </w:t>
      </w:r>
    </w:p>
    <w:p w14:paraId="04C3AC39" w14:textId="07194AE6" w:rsidR="00F765F4" w:rsidRDefault="00F765F4" w:rsidP="0093647C">
      <w:pPr>
        <w:rPr>
          <w:rFonts w:ascii="Arial" w:hAnsi="Arial" w:cs="Arial"/>
          <w:sz w:val="24"/>
        </w:rPr>
      </w:pPr>
    </w:p>
    <w:p w14:paraId="3E783156" w14:textId="496DA2B3" w:rsidR="0093647C" w:rsidRPr="00AE7D2D" w:rsidRDefault="00F765F4" w:rsidP="0093647C">
      <w:pPr>
        <w:pStyle w:val="ListParagraph"/>
        <w:ind w:left="0"/>
        <w:rPr>
          <w:rFonts w:ascii="Arial" w:hAnsi="Arial" w:cs="Arial"/>
          <w:sz w:val="24"/>
        </w:rPr>
      </w:pPr>
      <w:r w:rsidRPr="009344D0">
        <w:rPr>
          <w:rFonts w:ascii="Arial" w:hAnsi="Arial" w:cs="Arial"/>
          <w:sz w:val="24"/>
        </w:rPr>
        <w:t xml:space="preserve">THCGME </w:t>
      </w:r>
      <w:r w:rsidR="00B20AFD">
        <w:rPr>
          <w:rFonts w:ascii="Arial" w:hAnsi="Arial" w:cs="Arial"/>
          <w:sz w:val="24"/>
        </w:rPr>
        <w:t>p</w:t>
      </w:r>
      <w:r w:rsidRPr="009344D0">
        <w:rPr>
          <w:rFonts w:ascii="Arial" w:hAnsi="Arial" w:cs="Arial"/>
          <w:sz w:val="24"/>
        </w:rPr>
        <w:t xml:space="preserve">ayments are made at the beginning of the academic year; however, the statute section 340E(f) of the Public Health Service Act requires the Secretary to determine any changes to the number of residents reported by the THC in order to determine the final amount payable to the THC for both direct expense and indirect expense amounts.  Based on such determination, the Secretary is also required to recoup any overpayments. HRSA will use the information gathered by the instrument to inform the THCGME payment reconciliation process at the end of each academic year. Without approval, there is no alternative method for the Program to collect this information and carry out the statutorily mandated reconciliation process. </w:t>
      </w:r>
    </w:p>
    <w:p w14:paraId="12DBC0B4"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Purpose and Use of Information Collection</w:t>
      </w:r>
    </w:p>
    <w:p w14:paraId="3B631733" w14:textId="345405B8" w:rsidR="008563BD" w:rsidRPr="00AE7D2D" w:rsidRDefault="008563BD" w:rsidP="008563BD">
      <w:pPr>
        <w:spacing w:before="120"/>
        <w:rPr>
          <w:rFonts w:ascii="Arial" w:hAnsi="Arial" w:cs="Arial"/>
          <w:sz w:val="24"/>
        </w:rPr>
      </w:pPr>
      <w:r w:rsidRPr="00AE7D2D">
        <w:rPr>
          <w:rFonts w:ascii="Arial" w:hAnsi="Arial" w:cs="Arial"/>
          <w:sz w:val="24"/>
        </w:rPr>
        <w:t>There are two main purposes for this reco</w:t>
      </w:r>
      <w:r w:rsidR="00572DA1" w:rsidRPr="00AE7D2D">
        <w:rPr>
          <w:rFonts w:ascii="Arial" w:hAnsi="Arial" w:cs="Arial"/>
          <w:sz w:val="24"/>
        </w:rPr>
        <w:t xml:space="preserve">nciliation instrument.  First, to </w:t>
      </w:r>
      <w:r w:rsidR="005800EE" w:rsidRPr="00AE7D2D">
        <w:rPr>
          <w:rFonts w:ascii="Arial" w:hAnsi="Arial" w:cs="Arial"/>
          <w:sz w:val="24"/>
        </w:rPr>
        <w:t>confirm that</w:t>
      </w:r>
      <w:r w:rsidR="00572DA1" w:rsidRPr="00AE7D2D">
        <w:rPr>
          <w:rFonts w:ascii="Arial" w:hAnsi="Arial" w:cs="Arial"/>
          <w:sz w:val="24"/>
        </w:rPr>
        <w:t xml:space="preserve"> THCs</w:t>
      </w:r>
      <w:r w:rsidRPr="00AE7D2D">
        <w:rPr>
          <w:rFonts w:ascii="Arial" w:hAnsi="Arial" w:cs="Arial"/>
          <w:sz w:val="24"/>
        </w:rPr>
        <w:t xml:space="preserve"> are training the number and percentage of F</w:t>
      </w:r>
      <w:r w:rsidR="005800EE" w:rsidRPr="00AE7D2D">
        <w:rPr>
          <w:rFonts w:ascii="Arial" w:hAnsi="Arial" w:cs="Arial"/>
          <w:sz w:val="24"/>
        </w:rPr>
        <w:t xml:space="preserve">ull </w:t>
      </w:r>
      <w:r w:rsidRPr="00AE7D2D">
        <w:rPr>
          <w:rFonts w:ascii="Arial" w:hAnsi="Arial" w:cs="Arial"/>
          <w:sz w:val="24"/>
        </w:rPr>
        <w:t>T</w:t>
      </w:r>
      <w:r w:rsidR="005800EE" w:rsidRPr="00AE7D2D">
        <w:rPr>
          <w:rFonts w:ascii="Arial" w:hAnsi="Arial" w:cs="Arial"/>
          <w:sz w:val="24"/>
        </w:rPr>
        <w:t xml:space="preserve">ime </w:t>
      </w:r>
      <w:r w:rsidRPr="00AE7D2D">
        <w:rPr>
          <w:rFonts w:ascii="Arial" w:hAnsi="Arial" w:cs="Arial"/>
          <w:sz w:val="24"/>
        </w:rPr>
        <w:t>E</w:t>
      </w:r>
      <w:r w:rsidR="005800EE" w:rsidRPr="00AE7D2D">
        <w:rPr>
          <w:rFonts w:ascii="Arial" w:hAnsi="Arial" w:cs="Arial"/>
          <w:sz w:val="24"/>
        </w:rPr>
        <w:t>quivalent (FTE)</w:t>
      </w:r>
      <w:r w:rsidRPr="00AE7D2D">
        <w:rPr>
          <w:rFonts w:ascii="Arial" w:hAnsi="Arial" w:cs="Arial"/>
          <w:sz w:val="24"/>
        </w:rPr>
        <w:t xml:space="preserve"> primary care </w:t>
      </w:r>
      <w:r w:rsidR="005800EE" w:rsidRPr="00AE7D2D">
        <w:rPr>
          <w:rFonts w:ascii="Arial" w:hAnsi="Arial" w:cs="Arial"/>
          <w:sz w:val="24"/>
        </w:rPr>
        <w:t xml:space="preserve">and dentistry </w:t>
      </w:r>
      <w:r w:rsidRPr="00AE7D2D">
        <w:rPr>
          <w:rFonts w:ascii="Arial" w:hAnsi="Arial" w:cs="Arial"/>
          <w:sz w:val="24"/>
        </w:rPr>
        <w:t>resi</w:t>
      </w:r>
      <w:r w:rsidR="005800EE" w:rsidRPr="00AE7D2D">
        <w:rPr>
          <w:rFonts w:ascii="Arial" w:hAnsi="Arial" w:cs="Arial"/>
          <w:sz w:val="24"/>
        </w:rPr>
        <w:t>dents that they reported at</w:t>
      </w:r>
      <w:r w:rsidR="00572DA1" w:rsidRPr="00AE7D2D">
        <w:rPr>
          <w:rFonts w:ascii="Arial" w:hAnsi="Arial" w:cs="Arial"/>
          <w:sz w:val="24"/>
        </w:rPr>
        <w:t xml:space="preserve"> the beginning of the academic year.  </w:t>
      </w:r>
    </w:p>
    <w:p w14:paraId="6E36BAC0" w14:textId="5A55E6B3" w:rsidR="008563BD" w:rsidRPr="00AE7D2D" w:rsidRDefault="008563BD" w:rsidP="008563BD">
      <w:pPr>
        <w:spacing w:before="120"/>
        <w:rPr>
          <w:rFonts w:ascii="Arial" w:hAnsi="Arial" w:cs="Arial"/>
          <w:sz w:val="24"/>
        </w:rPr>
      </w:pPr>
      <w:r w:rsidRPr="00AE7D2D">
        <w:rPr>
          <w:rFonts w:ascii="Arial" w:hAnsi="Arial" w:cs="Arial"/>
          <w:sz w:val="24"/>
        </w:rPr>
        <w:t>Second, the reconciliat</w:t>
      </w:r>
      <w:r w:rsidR="00572DA1" w:rsidRPr="00AE7D2D">
        <w:rPr>
          <w:rFonts w:ascii="Arial" w:hAnsi="Arial" w:cs="Arial"/>
          <w:sz w:val="24"/>
        </w:rPr>
        <w:t>ion instrument requires THC</w:t>
      </w:r>
      <w:r w:rsidRPr="00AE7D2D">
        <w:rPr>
          <w:rFonts w:ascii="Arial" w:hAnsi="Arial" w:cs="Arial"/>
          <w:sz w:val="24"/>
        </w:rPr>
        <w:t>s to report the</w:t>
      </w:r>
      <w:r w:rsidR="00BC051A" w:rsidRPr="00AE7D2D">
        <w:rPr>
          <w:rFonts w:ascii="Arial" w:hAnsi="Arial" w:cs="Arial"/>
          <w:sz w:val="24"/>
        </w:rPr>
        <w:t xml:space="preserve"> percentage of any resident FTE</w:t>
      </w:r>
      <w:r w:rsidR="00BC051A">
        <w:rPr>
          <w:rFonts w:ascii="Arial" w:hAnsi="Arial" w:cs="Arial"/>
          <w:sz w:val="24"/>
        </w:rPr>
        <w:t xml:space="preserve">, </w:t>
      </w:r>
      <w:r w:rsidRPr="00AE7D2D">
        <w:rPr>
          <w:rFonts w:ascii="Arial" w:hAnsi="Arial" w:cs="Arial"/>
          <w:sz w:val="24"/>
        </w:rPr>
        <w:t>which is being claimed by other payment sources including but not limited to Medicare GME, Medicaid, and other federal payers. THCGME award recipients must also report, to the best of their knowledg</w:t>
      </w:r>
      <w:r w:rsidR="00BC051A" w:rsidRPr="00AE7D2D">
        <w:rPr>
          <w:rFonts w:ascii="Arial" w:hAnsi="Arial" w:cs="Arial"/>
          <w:sz w:val="24"/>
        </w:rPr>
        <w:t>e, the number of residents</w:t>
      </w:r>
      <w:r w:rsidRPr="00AE7D2D">
        <w:rPr>
          <w:rFonts w:ascii="Arial" w:hAnsi="Arial" w:cs="Arial"/>
          <w:sz w:val="24"/>
        </w:rPr>
        <w:t xml:space="preserve"> trained at hospitals below their Medicare reside</w:t>
      </w:r>
      <w:r w:rsidR="00BC051A" w:rsidRPr="00AE7D2D">
        <w:rPr>
          <w:rFonts w:ascii="Arial" w:hAnsi="Arial" w:cs="Arial"/>
          <w:sz w:val="24"/>
        </w:rPr>
        <w:t xml:space="preserve">nt cap. This information </w:t>
      </w:r>
      <w:r w:rsidR="00BC051A">
        <w:rPr>
          <w:rFonts w:ascii="Arial" w:hAnsi="Arial" w:cs="Arial"/>
          <w:sz w:val="24"/>
        </w:rPr>
        <w:t>is</w:t>
      </w:r>
      <w:r w:rsidRPr="00AE7D2D">
        <w:rPr>
          <w:rFonts w:ascii="Arial" w:hAnsi="Arial" w:cs="Arial"/>
          <w:sz w:val="24"/>
        </w:rPr>
        <w:t xml:space="preserve"> used to ensure that there are no duplicate Federal payments for THC resident training.    </w:t>
      </w:r>
    </w:p>
    <w:p w14:paraId="12DBC0B9" w14:textId="77777777" w:rsidR="009B3794" w:rsidRPr="00C45431" w:rsidRDefault="009B3794" w:rsidP="00CA3DA6">
      <w:pPr>
        <w:numPr>
          <w:ilvl w:val="0"/>
          <w:numId w:val="2"/>
        </w:numPr>
        <w:tabs>
          <w:tab w:val="clear" w:pos="1080"/>
          <w:tab w:val="num" w:pos="360"/>
        </w:tabs>
        <w:spacing w:before="240"/>
        <w:ind w:left="360"/>
        <w:rPr>
          <w:rFonts w:ascii="Arial" w:hAnsi="Arial" w:cs="Arial"/>
          <w:sz w:val="24"/>
        </w:rPr>
      </w:pPr>
      <w:r w:rsidRPr="00C45431">
        <w:rPr>
          <w:rFonts w:ascii="Arial" w:hAnsi="Arial" w:cs="Arial"/>
          <w:b/>
          <w:sz w:val="24"/>
          <w:u w:val="single"/>
        </w:rPr>
        <w:t>Use of Improved Information Technology and Burden Reduction</w:t>
      </w:r>
    </w:p>
    <w:p w14:paraId="12DBC0BD" w14:textId="79A64F5F" w:rsidR="009B3794" w:rsidRPr="00C45431" w:rsidRDefault="008563BD" w:rsidP="0041606D">
      <w:pPr>
        <w:spacing w:before="120"/>
        <w:rPr>
          <w:rFonts w:ascii="Arial" w:hAnsi="Arial" w:cs="Arial"/>
          <w:sz w:val="24"/>
        </w:rPr>
      </w:pPr>
      <w:r w:rsidRPr="00AE7D2D">
        <w:rPr>
          <w:rFonts w:ascii="Arial" w:eastAsia="Calibri" w:hAnsi="Arial" w:cs="Arial"/>
          <w:sz w:val="24"/>
        </w:rPr>
        <w:t>HRSA will collect reconciliation data via the Electronic Handbook (EHB) to reduce grantee burden and improve data quality.  Every effort was taken to design the tool to collect the least, but appropriate, amount of data needed to reconcile number of FTE po</w:t>
      </w:r>
      <w:r w:rsidR="00F765F4" w:rsidRPr="00AE7D2D">
        <w:rPr>
          <w:rFonts w:ascii="Arial" w:eastAsia="Calibri" w:hAnsi="Arial" w:cs="Arial"/>
          <w:sz w:val="24"/>
        </w:rPr>
        <w:t xml:space="preserve">sitions.  </w:t>
      </w:r>
      <w:r w:rsidR="00F765F4">
        <w:rPr>
          <w:rFonts w:ascii="Arial" w:eastAsia="Calibri" w:hAnsi="Arial" w:cs="Arial"/>
          <w:sz w:val="24"/>
        </w:rPr>
        <w:t xml:space="preserve">According to </w:t>
      </w:r>
      <w:r w:rsidRPr="00AE7D2D">
        <w:rPr>
          <w:rFonts w:ascii="Arial" w:eastAsia="Calibri" w:hAnsi="Arial" w:cs="Arial"/>
          <w:sz w:val="24"/>
        </w:rPr>
        <w:t>THCGME award recipients, the data r</w:t>
      </w:r>
      <w:r w:rsidR="00F765F4" w:rsidRPr="00AE7D2D">
        <w:rPr>
          <w:rFonts w:ascii="Arial" w:eastAsia="Calibri" w:hAnsi="Arial" w:cs="Arial"/>
          <w:sz w:val="24"/>
        </w:rPr>
        <w:t>equested are not</w:t>
      </w:r>
      <w:r w:rsidRPr="00AE7D2D">
        <w:rPr>
          <w:rFonts w:ascii="Arial" w:eastAsia="Calibri" w:hAnsi="Arial" w:cs="Arial"/>
          <w:sz w:val="24"/>
        </w:rPr>
        <w:t xml:space="preserve"> burdensome and are readily available.  All THCGME award recipients will be required use the electronic Reconciliation Tool as part of their award requirements. </w:t>
      </w:r>
    </w:p>
    <w:p w14:paraId="12DBC0BE"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Efforts to  Identify Duplication and Use of Similar Information</w:t>
      </w:r>
    </w:p>
    <w:p w14:paraId="12DBC0BF" w14:textId="7C19CE40" w:rsidR="009B3794" w:rsidRPr="00C45431" w:rsidRDefault="008563BD" w:rsidP="00CA3DA6">
      <w:pPr>
        <w:spacing w:before="120"/>
        <w:rPr>
          <w:rFonts w:ascii="Arial" w:hAnsi="Arial" w:cs="Arial"/>
          <w:b/>
          <w:sz w:val="24"/>
        </w:rPr>
      </w:pPr>
      <w:r w:rsidRPr="008563BD">
        <w:rPr>
          <w:rFonts w:ascii="Arial" w:hAnsi="Arial" w:cs="Arial"/>
          <w:sz w:val="24"/>
        </w:rPr>
        <w:t xml:space="preserve">The information gathered </w:t>
      </w:r>
      <w:r w:rsidR="003B4081">
        <w:rPr>
          <w:rFonts w:ascii="Arial" w:hAnsi="Arial" w:cs="Arial"/>
          <w:sz w:val="24"/>
        </w:rPr>
        <w:t xml:space="preserve">in the Reconciliation Tool </w:t>
      </w:r>
      <w:r w:rsidR="00D263C3">
        <w:rPr>
          <w:rFonts w:ascii="Arial" w:hAnsi="Arial" w:cs="Arial"/>
          <w:sz w:val="24"/>
        </w:rPr>
        <w:t xml:space="preserve">is </w:t>
      </w:r>
      <w:r w:rsidR="003B4081">
        <w:rPr>
          <w:rFonts w:ascii="Arial" w:hAnsi="Arial" w:cs="Arial"/>
          <w:sz w:val="24"/>
        </w:rPr>
        <w:t xml:space="preserve">used </w:t>
      </w:r>
      <w:r w:rsidRPr="008563BD">
        <w:rPr>
          <w:rFonts w:ascii="Arial" w:hAnsi="Arial" w:cs="Arial"/>
          <w:sz w:val="24"/>
        </w:rPr>
        <w:t xml:space="preserve">to reconcile the number of </w:t>
      </w:r>
      <w:r w:rsidR="00626CE7">
        <w:rPr>
          <w:rFonts w:ascii="Arial" w:hAnsi="Arial" w:cs="Arial"/>
          <w:sz w:val="24"/>
        </w:rPr>
        <w:t xml:space="preserve">resident </w:t>
      </w:r>
      <w:r w:rsidRPr="008563BD">
        <w:rPr>
          <w:rFonts w:ascii="Arial" w:hAnsi="Arial" w:cs="Arial"/>
          <w:sz w:val="24"/>
        </w:rPr>
        <w:t xml:space="preserve">FTEs </w:t>
      </w:r>
      <w:r w:rsidR="00626CE7">
        <w:rPr>
          <w:rFonts w:ascii="Arial" w:hAnsi="Arial" w:cs="Arial"/>
          <w:sz w:val="24"/>
        </w:rPr>
        <w:t xml:space="preserve">reported by award </w:t>
      </w:r>
      <w:r w:rsidR="00D263C3">
        <w:rPr>
          <w:rFonts w:ascii="Arial" w:hAnsi="Arial" w:cs="Arial"/>
          <w:sz w:val="24"/>
        </w:rPr>
        <w:t>recipients</w:t>
      </w:r>
      <w:r w:rsidR="00626CE7">
        <w:rPr>
          <w:rFonts w:ascii="Arial" w:hAnsi="Arial" w:cs="Arial"/>
          <w:sz w:val="24"/>
        </w:rPr>
        <w:t xml:space="preserve"> </w:t>
      </w:r>
      <w:r w:rsidRPr="008563BD">
        <w:rPr>
          <w:rFonts w:ascii="Arial" w:hAnsi="Arial" w:cs="Arial"/>
          <w:sz w:val="24"/>
        </w:rPr>
        <w:t xml:space="preserve">funded </w:t>
      </w:r>
      <w:r w:rsidR="003B4081">
        <w:rPr>
          <w:rFonts w:ascii="Arial" w:hAnsi="Arial" w:cs="Arial"/>
          <w:sz w:val="24"/>
        </w:rPr>
        <w:t>by the THCGME program</w:t>
      </w:r>
      <w:r w:rsidR="00626CE7">
        <w:rPr>
          <w:rFonts w:ascii="Arial" w:hAnsi="Arial" w:cs="Arial"/>
          <w:sz w:val="24"/>
        </w:rPr>
        <w:t xml:space="preserve">. </w:t>
      </w:r>
      <w:r w:rsidR="00D263C3">
        <w:rPr>
          <w:rFonts w:ascii="Arial" w:hAnsi="Arial" w:cs="Arial"/>
          <w:sz w:val="24"/>
        </w:rPr>
        <w:t>The information</w:t>
      </w:r>
      <w:r w:rsidR="003B4081">
        <w:rPr>
          <w:rFonts w:ascii="Arial" w:hAnsi="Arial" w:cs="Arial"/>
          <w:sz w:val="24"/>
        </w:rPr>
        <w:t xml:space="preserve"> </w:t>
      </w:r>
      <w:r w:rsidRPr="008563BD">
        <w:rPr>
          <w:rFonts w:ascii="Arial" w:hAnsi="Arial" w:cs="Arial"/>
          <w:sz w:val="24"/>
        </w:rPr>
        <w:t>is not collected by other HHS agencie</w:t>
      </w:r>
      <w:r w:rsidR="00D263C3">
        <w:rPr>
          <w:rFonts w:ascii="Arial" w:hAnsi="Arial" w:cs="Arial"/>
          <w:sz w:val="24"/>
        </w:rPr>
        <w:t>s or data collection systems.  The data is</w:t>
      </w:r>
      <w:r w:rsidRPr="008563BD">
        <w:rPr>
          <w:rFonts w:ascii="Arial" w:hAnsi="Arial" w:cs="Arial"/>
          <w:sz w:val="24"/>
        </w:rPr>
        <w:t xml:space="preserve"> requested annually in accordance with the statue. </w:t>
      </w:r>
    </w:p>
    <w:p w14:paraId="12DBC0C0" w14:textId="77777777" w:rsidR="009B3794" w:rsidRPr="00C45431" w:rsidRDefault="009B3794" w:rsidP="00CA3DA6">
      <w:pPr>
        <w:numPr>
          <w:ilvl w:val="0"/>
          <w:numId w:val="2"/>
        </w:numPr>
        <w:tabs>
          <w:tab w:val="clear" w:pos="1080"/>
          <w:tab w:val="num" w:pos="360"/>
        </w:tabs>
        <w:spacing w:before="240"/>
        <w:ind w:left="360"/>
        <w:rPr>
          <w:rFonts w:ascii="Arial" w:hAnsi="Arial" w:cs="Arial"/>
          <w:color w:val="000000"/>
          <w:sz w:val="24"/>
        </w:rPr>
      </w:pPr>
      <w:r w:rsidRPr="00C45431">
        <w:rPr>
          <w:rFonts w:ascii="Arial" w:hAnsi="Arial" w:cs="Arial"/>
          <w:b/>
          <w:sz w:val="24"/>
          <w:u w:val="single"/>
        </w:rPr>
        <w:t>Impact on Small Businesses or Other Small Entities</w:t>
      </w:r>
    </w:p>
    <w:p w14:paraId="6715BA67" w14:textId="76872B22" w:rsidR="008563BD" w:rsidRDefault="008563BD" w:rsidP="008563BD">
      <w:pPr>
        <w:spacing w:line="480" w:lineRule="auto"/>
        <w:rPr>
          <w:rFonts w:ascii="Arial" w:hAnsi="Arial" w:cs="Arial"/>
          <w:sz w:val="24"/>
        </w:rPr>
      </w:pPr>
      <w:r w:rsidRPr="00AE7D2D">
        <w:rPr>
          <w:rFonts w:ascii="Arial" w:hAnsi="Arial" w:cs="Arial"/>
          <w:sz w:val="24"/>
        </w:rPr>
        <w:t xml:space="preserve">No small businesses will be involved. </w:t>
      </w:r>
    </w:p>
    <w:p w14:paraId="12DBC0C6" w14:textId="2111B025"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Consequences of Collecting the Information Less Frequent</w:t>
      </w:r>
      <w:r w:rsidR="001325B2" w:rsidRPr="00C45431">
        <w:rPr>
          <w:rFonts w:ascii="Arial" w:hAnsi="Arial" w:cs="Arial"/>
          <w:b/>
          <w:sz w:val="24"/>
          <w:u w:val="single"/>
        </w:rPr>
        <w:t>ly</w:t>
      </w:r>
    </w:p>
    <w:p w14:paraId="24453ED5" w14:textId="2D4CF5EE" w:rsidR="00073073" w:rsidRPr="00AE7D2D" w:rsidRDefault="00073073" w:rsidP="00073073">
      <w:pPr>
        <w:rPr>
          <w:rFonts w:ascii="Arial" w:hAnsi="Arial" w:cs="Arial"/>
          <w:sz w:val="24"/>
        </w:rPr>
      </w:pPr>
      <w:r w:rsidRPr="00AE7D2D">
        <w:rPr>
          <w:rFonts w:ascii="Arial" w:hAnsi="Arial" w:cs="Arial"/>
          <w:sz w:val="24"/>
        </w:rPr>
        <w:t>There are legal consequences to collecting the information less frequently.  Respondents will complete the Reconciliation Tool annually to satisfy the legislative requirement in Section 340H (f) of the Public Health Service Act, which requires annual reconciliation of direct and indirect payments. If collection of the data is not conducted or is conducted less frequently than annually the THCGME award recipients will not be in compliance with the law.</w:t>
      </w:r>
    </w:p>
    <w:p w14:paraId="12DBC0CA" w14:textId="444C3BBE" w:rsidR="009B3794" w:rsidRPr="00C45431" w:rsidRDefault="009B3794" w:rsidP="00A16295">
      <w:pPr>
        <w:widowControl/>
        <w:autoSpaceDE/>
        <w:autoSpaceDN/>
        <w:adjustRightInd/>
        <w:spacing w:before="120"/>
        <w:ind w:left="360"/>
        <w:rPr>
          <w:rFonts w:ascii="Arial" w:hAnsi="Arial" w:cs="Arial"/>
          <w:sz w:val="24"/>
        </w:rPr>
      </w:pPr>
      <w:r w:rsidRPr="00C45431">
        <w:rPr>
          <w:rFonts w:ascii="Arial" w:hAnsi="Arial" w:cs="Arial"/>
          <w:sz w:val="24"/>
        </w:rPr>
        <w:tab/>
      </w:r>
    </w:p>
    <w:p w14:paraId="12DBC0CB"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Special Circumstances Relating to the Guidelines of 5 CFR 1320.5</w:t>
      </w:r>
    </w:p>
    <w:p w14:paraId="12DBC0D4" w14:textId="0CBD16D1" w:rsidR="009B3794" w:rsidRPr="00AE7D2D" w:rsidRDefault="00627FFD" w:rsidP="00A16295">
      <w:pPr>
        <w:widowControl/>
        <w:spacing w:before="120"/>
        <w:rPr>
          <w:rFonts w:ascii="Arial" w:hAnsi="Arial" w:cs="Arial"/>
          <w:sz w:val="24"/>
        </w:rPr>
      </w:pPr>
      <w:r w:rsidRPr="00AE7D2D">
        <w:rPr>
          <w:rFonts w:ascii="Arial" w:hAnsi="Arial" w:cs="Arial"/>
          <w:sz w:val="24"/>
        </w:rPr>
        <w:t>T</w:t>
      </w:r>
      <w:r w:rsidR="009B3794" w:rsidRPr="00AE7D2D">
        <w:rPr>
          <w:rFonts w:ascii="Arial" w:hAnsi="Arial" w:cs="Arial"/>
          <w:sz w:val="24"/>
        </w:rPr>
        <w:t>he request fully complies with the regulation.</w:t>
      </w:r>
    </w:p>
    <w:p w14:paraId="12DBC0D5"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iCs/>
          <w:sz w:val="24"/>
          <w:u w:val="single"/>
        </w:rPr>
        <w:t>Comments in Response to the Federal Register</w:t>
      </w:r>
      <w:r w:rsidRPr="00C45431">
        <w:rPr>
          <w:rFonts w:ascii="Arial" w:hAnsi="Arial" w:cs="Arial"/>
          <w:b/>
          <w:sz w:val="24"/>
          <w:u w:val="single"/>
        </w:rPr>
        <w:t xml:space="preserve"> Notice/Outside Consultation</w:t>
      </w:r>
    </w:p>
    <w:p w14:paraId="12DBC0D6" w14:textId="77777777" w:rsidR="00DE3A45" w:rsidRPr="00C45431" w:rsidRDefault="00DE3A45" w:rsidP="00CA3DA6">
      <w:pPr>
        <w:spacing w:before="120"/>
        <w:rPr>
          <w:rFonts w:ascii="Arial" w:hAnsi="Arial" w:cs="Arial"/>
          <w:b/>
          <w:sz w:val="28"/>
          <w:szCs w:val="28"/>
        </w:rPr>
      </w:pPr>
      <w:r w:rsidRPr="00C45431">
        <w:rPr>
          <w:rFonts w:ascii="Arial" w:hAnsi="Arial" w:cs="Arial"/>
          <w:b/>
          <w:sz w:val="28"/>
          <w:szCs w:val="28"/>
        </w:rPr>
        <w:t>Section 8A:</w:t>
      </w:r>
    </w:p>
    <w:p w14:paraId="15F8732E" w14:textId="702CB442" w:rsidR="00073073" w:rsidRPr="00AE7D2D" w:rsidRDefault="00073073" w:rsidP="00073073">
      <w:pPr>
        <w:rPr>
          <w:rFonts w:ascii="Arial" w:hAnsi="Arial" w:cs="Arial"/>
          <w:sz w:val="24"/>
        </w:rPr>
      </w:pPr>
      <w:r w:rsidRPr="00AE7D2D">
        <w:rPr>
          <w:rFonts w:ascii="Arial" w:hAnsi="Arial" w:cs="Arial"/>
          <w:sz w:val="24"/>
        </w:rPr>
        <w:t xml:space="preserve">A 60-day Federal Register Notice was published in the Federal Register on </w:t>
      </w:r>
      <w:r w:rsidR="002E6FA6" w:rsidRPr="00AE7D2D">
        <w:rPr>
          <w:rFonts w:ascii="Arial" w:hAnsi="Arial" w:cs="Arial"/>
          <w:sz w:val="24"/>
        </w:rPr>
        <w:t>March 27, 2017, Vol. 82, No. 57; pp. 15229</w:t>
      </w:r>
      <w:r w:rsidR="00781149">
        <w:rPr>
          <w:rFonts w:ascii="Arial" w:hAnsi="Arial" w:cs="Arial"/>
          <w:sz w:val="24"/>
        </w:rPr>
        <w:t xml:space="preserve">. </w:t>
      </w:r>
      <w:r w:rsidRPr="00AE7D2D">
        <w:rPr>
          <w:rFonts w:ascii="Arial" w:hAnsi="Arial" w:cs="Arial"/>
          <w:sz w:val="24"/>
        </w:rPr>
        <w:t xml:space="preserve"> </w:t>
      </w:r>
      <w:r w:rsidR="00D263C3" w:rsidRPr="00AE7D2D">
        <w:rPr>
          <w:rFonts w:ascii="Arial" w:hAnsi="Arial" w:cs="Arial"/>
          <w:sz w:val="24"/>
        </w:rPr>
        <w:t xml:space="preserve">There </w:t>
      </w:r>
      <w:r w:rsidRPr="00AE7D2D">
        <w:rPr>
          <w:rFonts w:ascii="Arial" w:hAnsi="Arial" w:cs="Arial"/>
          <w:sz w:val="24"/>
        </w:rPr>
        <w:t>were no public comments.</w:t>
      </w:r>
    </w:p>
    <w:p w14:paraId="555C0BC5" w14:textId="77777777" w:rsidR="00EB1DE5" w:rsidRDefault="00EB1DE5" w:rsidP="00AE7D2D">
      <w:pPr>
        <w:spacing w:before="120"/>
        <w:rPr>
          <w:rFonts w:ascii="Arial" w:hAnsi="Arial" w:cs="Arial"/>
          <w:b/>
          <w:sz w:val="28"/>
          <w:szCs w:val="28"/>
        </w:rPr>
      </w:pPr>
    </w:p>
    <w:p w14:paraId="12DBC0DB" w14:textId="1EAC5C42" w:rsidR="009B3794" w:rsidRDefault="00DE3A45" w:rsidP="00AE7D2D">
      <w:pPr>
        <w:spacing w:before="120"/>
        <w:rPr>
          <w:rFonts w:eastAsia="Calibri"/>
          <w:sz w:val="22"/>
          <w:szCs w:val="22"/>
        </w:rPr>
      </w:pPr>
      <w:r w:rsidRPr="00C45431">
        <w:rPr>
          <w:rFonts w:ascii="Arial" w:hAnsi="Arial" w:cs="Arial"/>
          <w:b/>
          <w:sz w:val="28"/>
          <w:szCs w:val="28"/>
        </w:rPr>
        <w:t>Section 8B:</w:t>
      </w:r>
      <w:r w:rsidR="00EB1DE5">
        <w:rPr>
          <w:rFonts w:ascii="Arial" w:hAnsi="Arial" w:cs="Arial"/>
          <w:b/>
          <w:sz w:val="28"/>
          <w:szCs w:val="28"/>
        </w:rPr>
        <w:t xml:space="preserve"> </w:t>
      </w:r>
      <w:r w:rsidR="00073073" w:rsidRPr="00AE7D2D">
        <w:rPr>
          <w:rFonts w:ascii="Arial" w:eastAsia="Calibri" w:hAnsi="Arial" w:cs="Arial"/>
          <w:color w:val="000000"/>
          <w:sz w:val="24"/>
        </w:rPr>
        <w:t xml:space="preserve">The following THCGME program award recipients </w:t>
      </w:r>
      <w:r w:rsidR="00073073" w:rsidRPr="00AE7D2D">
        <w:rPr>
          <w:rFonts w:ascii="Arial" w:eastAsia="Calibri" w:hAnsi="Arial" w:cs="Arial"/>
          <w:sz w:val="24"/>
        </w:rPr>
        <w:t>were consulted on the burden of completing the THCGME Reconciliation Tool.  The consultations were administered in March 2017.</w:t>
      </w:r>
      <w:r w:rsidR="00073073" w:rsidRPr="00073073">
        <w:rPr>
          <w:rFonts w:eastAsia="Calibri"/>
          <w:sz w:val="22"/>
          <w:szCs w:val="22"/>
        </w:rPr>
        <w:t xml:space="preserve"> </w:t>
      </w:r>
    </w:p>
    <w:p w14:paraId="799A960C" w14:textId="77777777" w:rsidR="00776749" w:rsidRDefault="00776749" w:rsidP="00AE7D2D">
      <w:pPr>
        <w:spacing w:before="120"/>
        <w:rPr>
          <w:rFonts w:ascii="Arial" w:hAnsi="Arial" w:cs="Arial"/>
          <w:sz w:val="24"/>
        </w:rPr>
      </w:pPr>
    </w:p>
    <w:tbl>
      <w:tblPr>
        <w:tblW w:w="990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44"/>
        <w:gridCol w:w="1944"/>
        <w:gridCol w:w="1944"/>
        <w:gridCol w:w="2448"/>
        <w:gridCol w:w="1620"/>
      </w:tblGrid>
      <w:tr w:rsidR="007B43CB" w:rsidRPr="00776749" w14:paraId="4E68BF60" w14:textId="77777777" w:rsidTr="009344D0">
        <w:trPr>
          <w:trHeight w:val="1611"/>
        </w:trPr>
        <w:tc>
          <w:tcPr>
            <w:tcW w:w="1944" w:type="dxa"/>
          </w:tcPr>
          <w:p w14:paraId="3A236B6F" w14:textId="4CFE39BD" w:rsidR="007B43CB" w:rsidRPr="004A4EFF" w:rsidRDefault="007B43CB" w:rsidP="009344D0">
            <w:pPr>
              <w:rPr>
                <w:rFonts w:eastAsia="Cambria" w:cs="Calibri"/>
                <w:sz w:val="22"/>
              </w:rPr>
            </w:pPr>
            <w:r w:rsidRPr="004A4EFF">
              <w:rPr>
                <w:rFonts w:eastAsia="Cambria" w:cs="Calibri"/>
                <w:sz w:val="22"/>
              </w:rPr>
              <w:t xml:space="preserve">Grace Scire </w:t>
            </w:r>
          </w:p>
        </w:tc>
        <w:tc>
          <w:tcPr>
            <w:tcW w:w="1944" w:type="dxa"/>
          </w:tcPr>
          <w:p w14:paraId="7BDD6161" w14:textId="127D15F5" w:rsidR="007B43CB" w:rsidRPr="004A4EFF" w:rsidRDefault="007B43CB" w:rsidP="009344D0">
            <w:pPr>
              <w:rPr>
                <w:rFonts w:eastAsia="Cambria" w:cs="Calibri"/>
                <w:sz w:val="22"/>
              </w:rPr>
            </w:pPr>
            <w:r w:rsidRPr="004A4EFF">
              <w:rPr>
                <w:rFonts w:eastAsia="Cambria" w:cs="Calibri"/>
                <w:sz w:val="22"/>
              </w:rPr>
              <w:t xml:space="preserve">Program Manager </w:t>
            </w:r>
          </w:p>
        </w:tc>
        <w:tc>
          <w:tcPr>
            <w:tcW w:w="1944" w:type="dxa"/>
          </w:tcPr>
          <w:p w14:paraId="76EDC131" w14:textId="5BE13309" w:rsidR="007B43CB" w:rsidRPr="004A4EFF" w:rsidRDefault="007B43CB" w:rsidP="009344D0">
            <w:pPr>
              <w:rPr>
                <w:rFonts w:eastAsia="Cambria" w:cs="Calibri"/>
                <w:sz w:val="22"/>
              </w:rPr>
            </w:pPr>
            <w:r w:rsidRPr="004A4EFF">
              <w:rPr>
                <w:rFonts w:eastAsia="Cambria" w:cs="Calibri"/>
                <w:sz w:val="22"/>
              </w:rPr>
              <w:t>(203)</w:t>
            </w:r>
            <w:r w:rsidR="0041606D">
              <w:rPr>
                <w:rFonts w:eastAsia="Cambria" w:cs="Calibri"/>
                <w:sz w:val="22"/>
              </w:rPr>
              <w:t xml:space="preserve"> </w:t>
            </w:r>
            <w:r w:rsidRPr="004A4EFF">
              <w:rPr>
                <w:rFonts w:eastAsia="Cambria" w:cs="Calibri"/>
                <w:sz w:val="22"/>
              </w:rPr>
              <w:t>743-0100</w:t>
            </w:r>
          </w:p>
        </w:tc>
        <w:tc>
          <w:tcPr>
            <w:tcW w:w="2448" w:type="dxa"/>
          </w:tcPr>
          <w:p w14:paraId="1A1977DA" w14:textId="5628D5B5" w:rsidR="007B43CB" w:rsidRPr="004A4EFF" w:rsidRDefault="00E837E0" w:rsidP="009344D0">
            <w:pPr>
              <w:rPr>
                <w:rFonts w:eastAsia="Cambria" w:cs="Calibri"/>
                <w:sz w:val="22"/>
              </w:rPr>
            </w:pPr>
            <w:hyperlink r:id="rId11" w:history="1">
              <w:r w:rsidR="007B43CB" w:rsidRPr="004A4EFF">
                <w:rPr>
                  <w:rStyle w:val="Hyperlink"/>
                  <w:rFonts w:eastAsia="Cambria" w:cs="Calibri"/>
                  <w:sz w:val="22"/>
                </w:rPr>
                <w:t>scireg@ct-instittue.org</w:t>
              </w:r>
            </w:hyperlink>
            <w:r w:rsidR="007B43CB" w:rsidRPr="004A4EFF">
              <w:rPr>
                <w:rFonts w:eastAsia="Cambria" w:cs="Calibri"/>
                <w:sz w:val="22"/>
              </w:rPr>
              <w:t xml:space="preserve"> </w:t>
            </w:r>
          </w:p>
        </w:tc>
        <w:tc>
          <w:tcPr>
            <w:tcW w:w="1620" w:type="dxa"/>
          </w:tcPr>
          <w:p w14:paraId="5E17B432" w14:textId="4B654611" w:rsidR="007B43CB" w:rsidRPr="004A4EFF" w:rsidRDefault="007B43CB" w:rsidP="009344D0">
            <w:pPr>
              <w:rPr>
                <w:rFonts w:eastAsia="Cambria" w:cs="Calibri"/>
                <w:sz w:val="22"/>
              </w:rPr>
            </w:pPr>
            <w:r w:rsidRPr="004A4EFF">
              <w:rPr>
                <w:rFonts w:eastAsia="Cambria" w:cs="Calibri"/>
                <w:sz w:val="22"/>
              </w:rPr>
              <w:t xml:space="preserve">Connecticut Institute for Communities, Inc. </w:t>
            </w:r>
          </w:p>
        </w:tc>
      </w:tr>
      <w:tr w:rsidR="007B43CB" w:rsidRPr="00776749" w14:paraId="75CD4E06" w14:textId="77777777" w:rsidTr="009344D0">
        <w:trPr>
          <w:trHeight w:val="1611"/>
        </w:trPr>
        <w:tc>
          <w:tcPr>
            <w:tcW w:w="1944" w:type="dxa"/>
          </w:tcPr>
          <w:p w14:paraId="23829E38" w14:textId="14BEF270" w:rsidR="007B43CB" w:rsidRPr="004A4EFF" w:rsidRDefault="007B43CB" w:rsidP="009344D0">
            <w:pPr>
              <w:rPr>
                <w:rFonts w:eastAsia="Cambria" w:cs="Calibri"/>
                <w:sz w:val="22"/>
              </w:rPr>
            </w:pPr>
            <w:r w:rsidRPr="004A4EFF">
              <w:rPr>
                <w:rFonts w:eastAsia="Cambria" w:cs="Calibri"/>
                <w:sz w:val="22"/>
              </w:rPr>
              <w:t xml:space="preserve">Tracey Eberhart </w:t>
            </w:r>
          </w:p>
        </w:tc>
        <w:tc>
          <w:tcPr>
            <w:tcW w:w="1944" w:type="dxa"/>
          </w:tcPr>
          <w:p w14:paraId="64FC83BD" w14:textId="77777777" w:rsidR="007B43CB" w:rsidRPr="004A4EFF" w:rsidRDefault="007B43CB" w:rsidP="009344D0">
            <w:pPr>
              <w:rPr>
                <w:rFonts w:eastAsia="Cambria" w:cs="Calibri"/>
                <w:sz w:val="22"/>
              </w:rPr>
            </w:pPr>
            <w:r w:rsidRPr="004A4EFF">
              <w:rPr>
                <w:rFonts w:eastAsia="Cambria" w:cs="Calibri"/>
                <w:sz w:val="22"/>
              </w:rPr>
              <w:t>Program Coordinator</w:t>
            </w:r>
          </w:p>
        </w:tc>
        <w:tc>
          <w:tcPr>
            <w:tcW w:w="1944" w:type="dxa"/>
          </w:tcPr>
          <w:p w14:paraId="4656C8BE" w14:textId="2E339629" w:rsidR="007B43CB" w:rsidRPr="004A4EFF" w:rsidRDefault="007B43CB" w:rsidP="009344D0">
            <w:pPr>
              <w:rPr>
                <w:rFonts w:eastAsia="Cambria" w:cs="Calibri"/>
                <w:sz w:val="22"/>
              </w:rPr>
            </w:pPr>
            <w:r w:rsidRPr="004A4EFF">
              <w:rPr>
                <w:rFonts w:eastAsia="Cambria" w:cs="Calibri"/>
                <w:sz w:val="22"/>
              </w:rPr>
              <w:t>(724) 324-2629</w:t>
            </w:r>
          </w:p>
        </w:tc>
        <w:tc>
          <w:tcPr>
            <w:tcW w:w="2448" w:type="dxa"/>
          </w:tcPr>
          <w:p w14:paraId="0A600E1F" w14:textId="3B1B6075" w:rsidR="007B43CB" w:rsidRPr="004A4EFF" w:rsidRDefault="00E837E0" w:rsidP="009344D0">
            <w:pPr>
              <w:rPr>
                <w:rFonts w:eastAsia="Cambria" w:cs="Calibri"/>
                <w:sz w:val="22"/>
              </w:rPr>
            </w:pPr>
            <w:hyperlink r:id="rId12" w:history="1">
              <w:r w:rsidR="007B43CB" w:rsidRPr="004A4EFF">
                <w:rPr>
                  <w:rStyle w:val="Hyperlink"/>
                  <w:rFonts w:eastAsia="Cambria" w:cs="Calibri"/>
                  <w:sz w:val="22"/>
                </w:rPr>
                <w:t>teberhart@cornerstoneccare.com</w:t>
              </w:r>
            </w:hyperlink>
            <w:r w:rsidR="007B43CB" w:rsidRPr="004A4EFF">
              <w:rPr>
                <w:rFonts w:eastAsia="Cambria" w:cs="Calibri"/>
                <w:color w:val="0000FF"/>
                <w:sz w:val="22"/>
                <w:u w:val="single"/>
              </w:rPr>
              <w:t xml:space="preserve"> </w:t>
            </w:r>
          </w:p>
          <w:p w14:paraId="220A80B9" w14:textId="77777777" w:rsidR="007B43CB" w:rsidRPr="004A4EFF" w:rsidRDefault="007B43CB" w:rsidP="009344D0">
            <w:pPr>
              <w:rPr>
                <w:rFonts w:eastAsia="Cambria" w:cs="Calibri"/>
                <w:sz w:val="22"/>
              </w:rPr>
            </w:pPr>
          </w:p>
        </w:tc>
        <w:tc>
          <w:tcPr>
            <w:tcW w:w="1620" w:type="dxa"/>
          </w:tcPr>
          <w:p w14:paraId="07F8FB4C" w14:textId="2C1252D7" w:rsidR="007B43CB" w:rsidRPr="004A4EFF" w:rsidRDefault="007B43CB" w:rsidP="009344D0">
            <w:pPr>
              <w:rPr>
                <w:rFonts w:eastAsia="Cambria" w:cs="Calibri"/>
                <w:sz w:val="22"/>
              </w:rPr>
            </w:pPr>
            <w:r w:rsidRPr="004A4EFF">
              <w:rPr>
                <w:rFonts w:eastAsia="Cambria" w:cs="Calibri"/>
                <w:sz w:val="22"/>
              </w:rPr>
              <w:t xml:space="preserve">Cornerstone Care, Inc. </w:t>
            </w:r>
          </w:p>
        </w:tc>
      </w:tr>
      <w:tr w:rsidR="007B43CB" w:rsidRPr="00776749" w14:paraId="571B5B0B" w14:textId="77777777" w:rsidTr="009344D0">
        <w:trPr>
          <w:trHeight w:val="1611"/>
        </w:trPr>
        <w:tc>
          <w:tcPr>
            <w:tcW w:w="1944" w:type="dxa"/>
          </w:tcPr>
          <w:p w14:paraId="60373DF4" w14:textId="48E0488C" w:rsidR="007B43CB" w:rsidRPr="004A4EFF" w:rsidRDefault="005D038C" w:rsidP="009344D0">
            <w:pPr>
              <w:rPr>
                <w:rFonts w:eastAsia="Cambria" w:cs="Calibri"/>
                <w:sz w:val="22"/>
              </w:rPr>
            </w:pPr>
            <w:r w:rsidRPr="004A4EFF">
              <w:rPr>
                <w:rFonts w:eastAsia="Cambria" w:cs="Calibri"/>
                <w:sz w:val="22"/>
              </w:rPr>
              <w:t xml:space="preserve">Amanda Castillo </w:t>
            </w:r>
          </w:p>
        </w:tc>
        <w:tc>
          <w:tcPr>
            <w:tcW w:w="1944" w:type="dxa"/>
          </w:tcPr>
          <w:p w14:paraId="4250AA8F" w14:textId="623253BB" w:rsidR="007B43CB" w:rsidRPr="004A4EFF" w:rsidRDefault="007B43CB" w:rsidP="009344D0">
            <w:pPr>
              <w:rPr>
                <w:rFonts w:eastAsia="Cambria" w:cs="Calibri"/>
                <w:sz w:val="22"/>
              </w:rPr>
            </w:pPr>
            <w:r w:rsidRPr="004A4EFF">
              <w:rPr>
                <w:rFonts w:eastAsia="Cambria" w:cs="Calibri"/>
                <w:sz w:val="22"/>
              </w:rPr>
              <w:t xml:space="preserve">Program Coordinator </w:t>
            </w:r>
          </w:p>
        </w:tc>
        <w:tc>
          <w:tcPr>
            <w:tcW w:w="1944" w:type="dxa"/>
          </w:tcPr>
          <w:p w14:paraId="2BABFF86" w14:textId="05B377C9" w:rsidR="007B43CB" w:rsidRPr="004A4EFF" w:rsidRDefault="007B43CB" w:rsidP="009344D0">
            <w:pPr>
              <w:rPr>
                <w:rFonts w:eastAsia="Cambria" w:cs="Calibri"/>
                <w:sz w:val="22"/>
              </w:rPr>
            </w:pPr>
            <w:r w:rsidRPr="004A4EFF">
              <w:rPr>
                <w:rFonts w:eastAsia="Cambria" w:cs="Calibri"/>
                <w:sz w:val="22"/>
              </w:rPr>
              <w:t>(575)</w:t>
            </w:r>
            <w:r w:rsidR="0041606D">
              <w:rPr>
                <w:rFonts w:eastAsia="Cambria" w:cs="Calibri"/>
                <w:sz w:val="22"/>
              </w:rPr>
              <w:t xml:space="preserve"> </w:t>
            </w:r>
            <w:r w:rsidRPr="004A4EFF">
              <w:rPr>
                <w:rFonts w:eastAsia="Cambria" w:cs="Calibri"/>
                <w:sz w:val="22"/>
              </w:rPr>
              <w:t xml:space="preserve">388-1511 ext. 2744 </w:t>
            </w:r>
          </w:p>
          <w:p w14:paraId="00768DC7" w14:textId="77777777" w:rsidR="007B43CB" w:rsidRPr="004A4EFF" w:rsidRDefault="007B43CB" w:rsidP="009344D0">
            <w:pPr>
              <w:rPr>
                <w:rFonts w:eastAsia="Cambria" w:cs="Calibri"/>
                <w:sz w:val="22"/>
              </w:rPr>
            </w:pPr>
          </w:p>
        </w:tc>
        <w:tc>
          <w:tcPr>
            <w:tcW w:w="2448" w:type="dxa"/>
          </w:tcPr>
          <w:p w14:paraId="5F29B374" w14:textId="01F4CE3D" w:rsidR="007B43CB" w:rsidRPr="004A4EFF" w:rsidRDefault="00E837E0" w:rsidP="009344D0">
            <w:pPr>
              <w:rPr>
                <w:rFonts w:eastAsia="Cambria" w:cs="Calibri"/>
                <w:sz w:val="22"/>
                <w:u w:val="single"/>
              </w:rPr>
            </w:pPr>
            <w:hyperlink r:id="rId13" w:history="1">
              <w:r w:rsidR="005D038C" w:rsidRPr="004A4EFF">
                <w:rPr>
                  <w:rStyle w:val="Hyperlink"/>
                  <w:rFonts w:eastAsia="Cambria" w:cs="Calibri"/>
                  <w:sz w:val="22"/>
                </w:rPr>
                <w:t>acastillo@hmsnm.org</w:t>
              </w:r>
            </w:hyperlink>
            <w:r w:rsidR="005D038C" w:rsidRPr="004A4EFF">
              <w:rPr>
                <w:rFonts w:eastAsia="Cambria" w:cs="Calibri"/>
                <w:color w:val="0000FF"/>
                <w:sz w:val="22"/>
                <w:u w:val="single"/>
              </w:rPr>
              <w:t xml:space="preserve"> </w:t>
            </w:r>
          </w:p>
          <w:p w14:paraId="5DD650C4" w14:textId="77777777" w:rsidR="007B43CB" w:rsidRPr="004A4EFF" w:rsidRDefault="007B43CB" w:rsidP="009344D0">
            <w:pPr>
              <w:rPr>
                <w:rFonts w:eastAsia="Cambria" w:cs="Calibri"/>
                <w:sz w:val="22"/>
              </w:rPr>
            </w:pPr>
          </w:p>
        </w:tc>
        <w:tc>
          <w:tcPr>
            <w:tcW w:w="1620" w:type="dxa"/>
          </w:tcPr>
          <w:p w14:paraId="01E55C87" w14:textId="5FD8ADDF" w:rsidR="007B43CB" w:rsidRPr="004A4EFF" w:rsidRDefault="005D038C" w:rsidP="009344D0">
            <w:pPr>
              <w:rPr>
                <w:rFonts w:eastAsia="Cambria" w:cs="Calibri"/>
                <w:sz w:val="22"/>
              </w:rPr>
            </w:pPr>
            <w:r w:rsidRPr="004A4EFF">
              <w:rPr>
                <w:rFonts w:eastAsia="Cambria" w:cs="Calibri"/>
                <w:sz w:val="22"/>
              </w:rPr>
              <w:t xml:space="preserve">Hidalgo Medical Services </w:t>
            </w:r>
          </w:p>
        </w:tc>
      </w:tr>
      <w:tr w:rsidR="007B43CB" w:rsidRPr="00776749" w14:paraId="5FAD9C0E" w14:textId="77777777" w:rsidTr="009344D0">
        <w:trPr>
          <w:trHeight w:val="1611"/>
        </w:trPr>
        <w:tc>
          <w:tcPr>
            <w:tcW w:w="1944" w:type="dxa"/>
          </w:tcPr>
          <w:p w14:paraId="4F809116" w14:textId="728EE954" w:rsidR="007B43CB" w:rsidRPr="004A4EFF" w:rsidRDefault="005D038C" w:rsidP="009344D0">
            <w:pPr>
              <w:rPr>
                <w:rFonts w:eastAsia="Cambria" w:cs="Calibri"/>
                <w:sz w:val="22"/>
              </w:rPr>
            </w:pPr>
            <w:r w:rsidRPr="004A4EFF">
              <w:rPr>
                <w:rFonts w:eastAsia="Cambria" w:cs="Calibri"/>
                <w:sz w:val="22"/>
              </w:rPr>
              <w:t xml:space="preserve">Danette Roberts </w:t>
            </w:r>
          </w:p>
        </w:tc>
        <w:tc>
          <w:tcPr>
            <w:tcW w:w="1944" w:type="dxa"/>
          </w:tcPr>
          <w:p w14:paraId="124ACC8A" w14:textId="6A5AED25" w:rsidR="007B43CB" w:rsidRPr="004A4EFF" w:rsidRDefault="005D038C" w:rsidP="009344D0">
            <w:pPr>
              <w:rPr>
                <w:rFonts w:eastAsia="Cambria" w:cs="Calibri"/>
                <w:sz w:val="22"/>
              </w:rPr>
            </w:pPr>
            <w:r w:rsidRPr="004A4EFF">
              <w:rPr>
                <w:rFonts w:eastAsia="Cambria" w:cs="Calibri"/>
                <w:sz w:val="22"/>
              </w:rPr>
              <w:t xml:space="preserve">Director </w:t>
            </w:r>
          </w:p>
        </w:tc>
        <w:tc>
          <w:tcPr>
            <w:tcW w:w="1944" w:type="dxa"/>
          </w:tcPr>
          <w:p w14:paraId="5A9591EA" w14:textId="5968E02F" w:rsidR="007B43CB" w:rsidRPr="004A4EFF" w:rsidRDefault="005D038C" w:rsidP="009344D0">
            <w:pPr>
              <w:rPr>
                <w:rFonts w:eastAsia="Cambria" w:cs="Calibri"/>
                <w:sz w:val="22"/>
              </w:rPr>
            </w:pPr>
            <w:r w:rsidRPr="004A4EFF">
              <w:rPr>
                <w:rFonts w:eastAsia="Cambria" w:cs="Calibri"/>
                <w:sz w:val="22"/>
              </w:rPr>
              <w:t>(208)</w:t>
            </w:r>
            <w:r w:rsidR="0041606D">
              <w:rPr>
                <w:rFonts w:eastAsia="Cambria" w:cs="Calibri"/>
                <w:sz w:val="22"/>
              </w:rPr>
              <w:t xml:space="preserve"> </w:t>
            </w:r>
            <w:r w:rsidRPr="004A4EFF">
              <w:rPr>
                <w:rFonts w:eastAsia="Cambria" w:cs="Calibri"/>
                <w:sz w:val="22"/>
              </w:rPr>
              <w:t>782-3791</w:t>
            </w:r>
          </w:p>
        </w:tc>
        <w:tc>
          <w:tcPr>
            <w:tcW w:w="2448" w:type="dxa"/>
          </w:tcPr>
          <w:p w14:paraId="370B984C" w14:textId="14A78E4E" w:rsidR="007B43CB" w:rsidRPr="004A4EFF" w:rsidRDefault="00E837E0" w:rsidP="00934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s="Calibri"/>
                <w:sz w:val="22"/>
              </w:rPr>
            </w:pPr>
            <w:hyperlink r:id="rId14" w:history="1">
              <w:r w:rsidR="005D038C" w:rsidRPr="004A4EFF">
                <w:rPr>
                  <w:rStyle w:val="Hyperlink"/>
                  <w:rFonts w:eastAsia="Cambria" w:cs="Calibri"/>
                  <w:sz w:val="22"/>
                </w:rPr>
                <w:t>droberts@binghammemorial.org</w:t>
              </w:r>
            </w:hyperlink>
            <w:r w:rsidR="005D038C" w:rsidRPr="004A4EFF">
              <w:rPr>
                <w:rFonts w:eastAsia="Cambria" w:cs="Calibri"/>
                <w:color w:val="0000FF"/>
                <w:sz w:val="22"/>
                <w:u w:val="single"/>
              </w:rPr>
              <w:t xml:space="preserve"> </w:t>
            </w:r>
          </w:p>
          <w:p w14:paraId="52DE70BA" w14:textId="77777777" w:rsidR="007B43CB" w:rsidRPr="004A4EFF" w:rsidRDefault="007B43CB" w:rsidP="009344D0">
            <w:pPr>
              <w:rPr>
                <w:rFonts w:eastAsia="Cambria" w:cs="Calibri"/>
                <w:sz w:val="22"/>
                <w:u w:val="single"/>
              </w:rPr>
            </w:pPr>
          </w:p>
        </w:tc>
        <w:tc>
          <w:tcPr>
            <w:tcW w:w="1620" w:type="dxa"/>
          </w:tcPr>
          <w:p w14:paraId="3A977699" w14:textId="337F1FEF" w:rsidR="007B43CB" w:rsidRPr="004A4EFF" w:rsidRDefault="005D038C" w:rsidP="009344D0">
            <w:pPr>
              <w:rPr>
                <w:rFonts w:eastAsia="Cambria" w:cs="Calibri"/>
                <w:sz w:val="22"/>
              </w:rPr>
            </w:pPr>
            <w:r w:rsidRPr="004A4EFF">
              <w:rPr>
                <w:rFonts w:eastAsia="Cambria" w:cs="Calibri"/>
                <w:sz w:val="22"/>
              </w:rPr>
              <w:t xml:space="preserve">Idaho Physicians Clinic </w:t>
            </w:r>
          </w:p>
        </w:tc>
      </w:tr>
      <w:tr w:rsidR="007B43CB" w:rsidRPr="00776749" w14:paraId="2493A3E1" w14:textId="77777777" w:rsidTr="009344D0">
        <w:trPr>
          <w:trHeight w:val="1611"/>
        </w:trPr>
        <w:tc>
          <w:tcPr>
            <w:tcW w:w="1944" w:type="dxa"/>
          </w:tcPr>
          <w:p w14:paraId="2248A213" w14:textId="65C5B8A4" w:rsidR="007B43CB" w:rsidRPr="004A4EFF" w:rsidRDefault="005D038C" w:rsidP="009344D0">
            <w:pPr>
              <w:rPr>
                <w:rFonts w:eastAsia="Cambria" w:cs="Calibri"/>
                <w:sz w:val="22"/>
              </w:rPr>
            </w:pPr>
            <w:r w:rsidRPr="004A4EFF">
              <w:rPr>
                <w:rFonts w:eastAsia="Cambria" w:cs="Calibri"/>
                <w:sz w:val="22"/>
              </w:rPr>
              <w:t xml:space="preserve">Debbie Lupeika </w:t>
            </w:r>
          </w:p>
        </w:tc>
        <w:tc>
          <w:tcPr>
            <w:tcW w:w="1944" w:type="dxa"/>
          </w:tcPr>
          <w:p w14:paraId="577E7656" w14:textId="6BA3F989" w:rsidR="007B43CB" w:rsidRPr="004A4EFF" w:rsidRDefault="005D038C" w:rsidP="009344D0">
            <w:pPr>
              <w:rPr>
                <w:rFonts w:eastAsia="Cambria" w:cs="Calibri"/>
                <w:sz w:val="22"/>
              </w:rPr>
            </w:pPr>
            <w:r w:rsidRPr="004A4EFF">
              <w:rPr>
                <w:rFonts w:eastAsia="Cambria" w:cs="Calibri"/>
                <w:sz w:val="22"/>
              </w:rPr>
              <w:t xml:space="preserve">Chief Planning and Development Officer </w:t>
            </w:r>
          </w:p>
        </w:tc>
        <w:tc>
          <w:tcPr>
            <w:tcW w:w="1944" w:type="dxa"/>
          </w:tcPr>
          <w:p w14:paraId="298EAD5E" w14:textId="384E88EC" w:rsidR="007B43CB" w:rsidRPr="004A4EFF" w:rsidRDefault="005D038C" w:rsidP="009344D0">
            <w:pPr>
              <w:rPr>
                <w:rFonts w:eastAsia="Cambria" w:cs="Calibri"/>
                <w:sz w:val="22"/>
              </w:rPr>
            </w:pPr>
            <w:r w:rsidRPr="004A4EFF">
              <w:rPr>
                <w:rFonts w:eastAsia="Cambria" w:cs="Calibri"/>
                <w:sz w:val="22"/>
              </w:rPr>
              <w:t xml:space="preserve">(530) 246-5817 </w:t>
            </w:r>
          </w:p>
        </w:tc>
        <w:tc>
          <w:tcPr>
            <w:tcW w:w="2448" w:type="dxa"/>
          </w:tcPr>
          <w:p w14:paraId="619DA6BE" w14:textId="1F48ED93" w:rsidR="007B43CB" w:rsidRPr="004A4EFF" w:rsidRDefault="00E837E0" w:rsidP="009344D0">
            <w:pPr>
              <w:rPr>
                <w:rFonts w:eastAsia="Cambria" w:cs="Calibri"/>
                <w:sz w:val="22"/>
                <w:u w:val="single"/>
              </w:rPr>
            </w:pPr>
            <w:hyperlink r:id="rId15" w:history="1">
              <w:r w:rsidR="00B05691" w:rsidRPr="004A4EFF">
                <w:rPr>
                  <w:rStyle w:val="Hyperlink"/>
                  <w:rFonts w:eastAsia="Cambria" w:cs="Calibri"/>
                  <w:sz w:val="22"/>
                </w:rPr>
                <w:t>Dlupeika@shastahealth.org</w:t>
              </w:r>
            </w:hyperlink>
            <w:r w:rsidR="00B05691" w:rsidRPr="004A4EFF">
              <w:rPr>
                <w:rFonts w:eastAsia="Cambria" w:cs="Calibri"/>
                <w:color w:val="0000FF"/>
                <w:sz w:val="22"/>
                <w:u w:val="single"/>
              </w:rPr>
              <w:t xml:space="preserve"> </w:t>
            </w:r>
          </w:p>
          <w:p w14:paraId="7812BEAE" w14:textId="77777777" w:rsidR="007B43CB" w:rsidRPr="004A4EFF" w:rsidRDefault="007B43CB" w:rsidP="00934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s="Calibri"/>
                <w:sz w:val="22"/>
              </w:rPr>
            </w:pPr>
          </w:p>
        </w:tc>
        <w:tc>
          <w:tcPr>
            <w:tcW w:w="1620" w:type="dxa"/>
          </w:tcPr>
          <w:p w14:paraId="022A1C7D" w14:textId="3EE32955" w:rsidR="007B43CB" w:rsidRPr="004A4EFF" w:rsidRDefault="00B05691" w:rsidP="009344D0">
            <w:pPr>
              <w:rPr>
                <w:rFonts w:eastAsia="Cambria" w:cs="Calibri"/>
                <w:sz w:val="22"/>
              </w:rPr>
            </w:pPr>
            <w:r w:rsidRPr="004A4EFF">
              <w:rPr>
                <w:rFonts w:eastAsia="Cambria" w:cs="Calibri"/>
                <w:sz w:val="22"/>
              </w:rPr>
              <w:t xml:space="preserve">Shasta Community Health Center </w:t>
            </w:r>
          </w:p>
        </w:tc>
      </w:tr>
      <w:tr w:rsidR="007B43CB" w:rsidRPr="00776749" w14:paraId="2CA0F13B" w14:textId="77777777" w:rsidTr="009344D0">
        <w:trPr>
          <w:trHeight w:val="1611"/>
        </w:trPr>
        <w:tc>
          <w:tcPr>
            <w:tcW w:w="1944" w:type="dxa"/>
          </w:tcPr>
          <w:p w14:paraId="4F02B89F" w14:textId="4D1F554C" w:rsidR="007B43CB" w:rsidRPr="004A4EFF" w:rsidRDefault="00B05691" w:rsidP="009344D0">
            <w:pPr>
              <w:rPr>
                <w:rFonts w:eastAsia="Cambria" w:cs="Calibri"/>
                <w:sz w:val="22"/>
              </w:rPr>
            </w:pPr>
            <w:r w:rsidRPr="004A4EFF">
              <w:rPr>
                <w:rFonts w:eastAsia="Cambria" w:cs="Calibri"/>
                <w:sz w:val="22"/>
              </w:rPr>
              <w:t xml:space="preserve">Chris Holland </w:t>
            </w:r>
          </w:p>
        </w:tc>
        <w:tc>
          <w:tcPr>
            <w:tcW w:w="1944" w:type="dxa"/>
          </w:tcPr>
          <w:p w14:paraId="367179FD" w14:textId="71A9902F" w:rsidR="007B43CB" w:rsidRPr="004A4EFF" w:rsidRDefault="00B05691" w:rsidP="009344D0">
            <w:pPr>
              <w:rPr>
                <w:rFonts w:eastAsia="Cambria" w:cs="Calibri"/>
                <w:sz w:val="22"/>
              </w:rPr>
            </w:pPr>
            <w:r w:rsidRPr="004A4EFF">
              <w:rPr>
                <w:rFonts w:eastAsia="Cambria" w:cs="Calibri"/>
                <w:sz w:val="22"/>
              </w:rPr>
              <w:t xml:space="preserve">Business Manager </w:t>
            </w:r>
          </w:p>
        </w:tc>
        <w:tc>
          <w:tcPr>
            <w:tcW w:w="1944" w:type="dxa"/>
          </w:tcPr>
          <w:p w14:paraId="3A61AAAA" w14:textId="7AF3643E" w:rsidR="007B43CB" w:rsidRPr="004A4EFF" w:rsidRDefault="00B05691" w:rsidP="009344D0">
            <w:pPr>
              <w:rPr>
                <w:rFonts w:eastAsia="Cambria" w:cs="Calibri"/>
                <w:sz w:val="22"/>
              </w:rPr>
            </w:pPr>
            <w:r w:rsidRPr="004A4EFF">
              <w:rPr>
                <w:rFonts w:eastAsia="Cambria" w:cs="Calibri"/>
                <w:sz w:val="22"/>
              </w:rPr>
              <w:t>(479) 424-3115</w:t>
            </w:r>
          </w:p>
        </w:tc>
        <w:tc>
          <w:tcPr>
            <w:tcW w:w="2448" w:type="dxa"/>
          </w:tcPr>
          <w:p w14:paraId="4FDD07BC" w14:textId="063D3F48" w:rsidR="007B43CB" w:rsidRPr="004A4EFF" w:rsidRDefault="00E837E0" w:rsidP="009344D0">
            <w:pPr>
              <w:rPr>
                <w:rFonts w:eastAsia="Cambria" w:cs="Calibri"/>
                <w:sz w:val="22"/>
                <w:u w:val="single"/>
              </w:rPr>
            </w:pPr>
            <w:hyperlink r:id="rId16" w:history="1">
              <w:r w:rsidR="00B05691" w:rsidRPr="004A4EFF">
                <w:rPr>
                  <w:rStyle w:val="Hyperlink"/>
                  <w:rFonts w:eastAsia="Cambria" w:cs="Calibri"/>
                  <w:sz w:val="22"/>
                </w:rPr>
                <w:t>clholland@uams.edu</w:t>
              </w:r>
            </w:hyperlink>
            <w:r w:rsidR="00B05691" w:rsidRPr="004A4EFF">
              <w:rPr>
                <w:rFonts w:eastAsia="Cambria" w:cs="Calibri"/>
                <w:color w:val="0000FF"/>
                <w:sz w:val="22"/>
                <w:u w:val="single"/>
              </w:rPr>
              <w:t xml:space="preserve"> </w:t>
            </w:r>
          </w:p>
        </w:tc>
        <w:tc>
          <w:tcPr>
            <w:tcW w:w="1620" w:type="dxa"/>
          </w:tcPr>
          <w:p w14:paraId="6D7E982D" w14:textId="76DAA50D" w:rsidR="007B43CB" w:rsidRPr="004A4EFF" w:rsidRDefault="00B05691" w:rsidP="009344D0">
            <w:pPr>
              <w:rPr>
                <w:rFonts w:eastAsia="Cambria" w:cs="Calibri"/>
                <w:sz w:val="22"/>
              </w:rPr>
            </w:pPr>
            <w:r w:rsidRPr="004A4EFF">
              <w:rPr>
                <w:rFonts w:eastAsia="Cambria" w:cs="Calibri"/>
                <w:sz w:val="22"/>
              </w:rPr>
              <w:t xml:space="preserve">University of Arkansas for Medical Sciences Research Center </w:t>
            </w:r>
          </w:p>
        </w:tc>
      </w:tr>
      <w:tr w:rsidR="007B43CB" w:rsidRPr="00776749" w14:paraId="3960F46F" w14:textId="77777777" w:rsidTr="009344D0">
        <w:trPr>
          <w:trHeight w:val="1611"/>
        </w:trPr>
        <w:tc>
          <w:tcPr>
            <w:tcW w:w="1944" w:type="dxa"/>
          </w:tcPr>
          <w:p w14:paraId="35533A14" w14:textId="76A0A227" w:rsidR="007B43CB" w:rsidRPr="004A4EFF" w:rsidRDefault="00B05691" w:rsidP="009344D0">
            <w:pPr>
              <w:rPr>
                <w:rFonts w:eastAsia="Cambria" w:cs="Calibri"/>
                <w:sz w:val="22"/>
              </w:rPr>
            </w:pPr>
            <w:r w:rsidRPr="004A4EFF">
              <w:rPr>
                <w:rFonts w:eastAsia="Cambria" w:cs="Calibri"/>
                <w:sz w:val="22"/>
              </w:rPr>
              <w:t xml:space="preserve">Andrea Decker </w:t>
            </w:r>
          </w:p>
        </w:tc>
        <w:tc>
          <w:tcPr>
            <w:tcW w:w="1944" w:type="dxa"/>
          </w:tcPr>
          <w:p w14:paraId="54E7DC58" w14:textId="794BB998" w:rsidR="007B43CB" w:rsidRPr="004A4EFF" w:rsidRDefault="00B05691" w:rsidP="009344D0">
            <w:pPr>
              <w:rPr>
                <w:rFonts w:eastAsia="Cambria" w:cs="Calibri"/>
                <w:sz w:val="22"/>
              </w:rPr>
            </w:pPr>
            <w:r w:rsidRPr="004A4EFF">
              <w:rPr>
                <w:rFonts w:eastAsia="Cambria" w:cs="Calibri"/>
                <w:sz w:val="22"/>
              </w:rPr>
              <w:t xml:space="preserve">Business Manager </w:t>
            </w:r>
          </w:p>
        </w:tc>
        <w:tc>
          <w:tcPr>
            <w:tcW w:w="1944" w:type="dxa"/>
          </w:tcPr>
          <w:p w14:paraId="5DFCF5F5" w14:textId="0D36C82B" w:rsidR="007B43CB" w:rsidRPr="004A4EFF" w:rsidRDefault="00B05691" w:rsidP="009344D0">
            <w:pPr>
              <w:rPr>
                <w:rFonts w:eastAsia="Cambria" w:cs="Calibri"/>
                <w:sz w:val="22"/>
              </w:rPr>
            </w:pPr>
            <w:r w:rsidRPr="004A4EFF">
              <w:rPr>
                <w:rFonts w:eastAsia="Cambria" w:cs="Calibri"/>
                <w:sz w:val="22"/>
              </w:rPr>
              <w:t>(209)</w:t>
            </w:r>
            <w:r w:rsidR="0041606D">
              <w:rPr>
                <w:rFonts w:eastAsia="Cambria" w:cs="Calibri"/>
                <w:sz w:val="22"/>
              </w:rPr>
              <w:t xml:space="preserve"> </w:t>
            </w:r>
            <w:r w:rsidRPr="004A4EFF">
              <w:rPr>
                <w:rFonts w:eastAsia="Cambria" w:cs="Calibri"/>
                <w:sz w:val="22"/>
              </w:rPr>
              <w:t>342-3170</w:t>
            </w:r>
          </w:p>
        </w:tc>
        <w:tc>
          <w:tcPr>
            <w:tcW w:w="2448" w:type="dxa"/>
          </w:tcPr>
          <w:p w14:paraId="4C74979D" w14:textId="44F67387" w:rsidR="007B43CB" w:rsidRPr="004A4EFF" w:rsidRDefault="00E837E0" w:rsidP="009344D0">
            <w:pPr>
              <w:rPr>
                <w:rFonts w:eastAsia="Cambria" w:cs="Calibri"/>
                <w:sz w:val="22"/>
                <w:u w:val="single"/>
              </w:rPr>
            </w:pPr>
            <w:hyperlink r:id="rId17" w:history="1">
              <w:r w:rsidR="00B05691" w:rsidRPr="004A4EFF">
                <w:rPr>
                  <w:rStyle w:val="Hyperlink"/>
                  <w:rFonts w:eastAsia="Cambria" w:cs="Calibri"/>
                  <w:sz w:val="22"/>
                </w:rPr>
                <w:t>Andrea.decker@tenethealth.com</w:t>
              </w:r>
            </w:hyperlink>
            <w:r w:rsidR="00B05691" w:rsidRPr="004A4EFF">
              <w:rPr>
                <w:rFonts w:eastAsia="Cambria" w:cs="Calibri"/>
                <w:color w:val="0000FF"/>
                <w:sz w:val="22"/>
                <w:u w:val="single"/>
              </w:rPr>
              <w:t xml:space="preserve"> </w:t>
            </w:r>
          </w:p>
          <w:p w14:paraId="2FE9332F" w14:textId="77777777" w:rsidR="007B43CB" w:rsidRPr="004A4EFF" w:rsidRDefault="007B43CB" w:rsidP="009344D0">
            <w:pPr>
              <w:rPr>
                <w:rFonts w:eastAsia="Cambria" w:cs="Calibri"/>
                <w:sz w:val="22"/>
              </w:rPr>
            </w:pPr>
          </w:p>
        </w:tc>
        <w:tc>
          <w:tcPr>
            <w:tcW w:w="1620" w:type="dxa"/>
          </w:tcPr>
          <w:p w14:paraId="205D610D" w14:textId="7E6FEB42" w:rsidR="007B43CB" w:rsidRPr="004A4EFF" w:rsidRDefault="00B05691" w:rsidP="009344D0">
            <w:pPr>
              <w:rPr>
                <w:rFonts w:eastAsia="Cambria" w:cs="Calibri"/>
                <w:sz w:val="22"/>
              </w:rPr>
            </w:pPr>
            <w:r w:rsidRPr="004A4EFF">
              <w:rPr>
                <w:rFonts w:eastAsia="Cambria" w:cs="Calibri"/>
                <w:sz w:val="22"/>
              </w:rPr>
              <w:t xml:space="preserve">Valley Consortium for Medical Education </w:t>
            </w:r>
          </w:p>
        </w:tc>
      </w:tr>
      <w:tr w:rsidR="007B43CB" w:rsidRPr="00776749" w14:paraId="1D931F89" w14:textId="77777777" w:rsidTr="009344D0">
        <w:trPr>
          <w:trHeight w:val="1611"/>
        </w:trPr>
        <w:tc>
          <w:tcPr>
            <w:tcW w:w="1944" w:type="dxa"/>
          </w:tcPr>
          <w:p w14:paraId="578E0F74" w14:textId="69461B82" w:rsidR="007B43CB" w:rsidRPr="004A4EFF" w:rsidRDefault="004B0CF7" w:rsidP="009344D0">
            <w:pPr>
              <w:rPr>
                <w:rFonts w:eastAsia="Cambria" w:cs="Calibri"/>
                <w:sz w:val="22"/>
              </w:rPr>
            </w:pPr>
            <w:r w:rsidRPr="004A4EFF">
              <w:rPr>
                <w:rFonts w:eastAsia="Cambria" w:cs="Calibri"/>
                <w:sz w:val="22"/>
              </w:rPr>
              <w:t xml:space="preserve">David Moreno </w:t>
            </w:r>
          </w:p>
        </w:tc>
        <w:tc>
          <w:tcPr>
            <w:tcW w:w="1944" w:type="dxa"/>
          </w:tcPr>
          <w:p w14:paraId="7FF3B9C4" w14:textId="70726E3C" w:rsidR="007B43CB" w:rsidRPr="004A4EFF" w:rsidRDefault="007B43CB" w:rsidP="009344D0">
            <w:pPr>
              <w:rPr>
                <w:rFonts w:eastAsia="Cambria" w:cs="Calibri"/>
                <w:sz w:val="22"/>
              </w:rPr>
            </w:pPr>
            <w:r w:rsidRPr="004A4EFF">
              <w:rPr>
                <w:rFonts w:eastAsia="Cambria" w:cs="Calibri"/>
                <w:bCs/>
                <w:sz w:val="22"/>
              </w:rPr>
              <w:t>Grant</w:t>
            </w:r>
            <w:r w:rsidR="004B0CF7" w:rsidRPr="004A4EFF">
              <w:rPr>
                <w:rFonts w:eastAsia="Cambria" w:cs="Calibri"/>
                <w:bCs/>
                <w:sz w:val="22"/>
              </w:rPr>
              <w:t xml:space="preserve">s &amp; Community Engagement Manager </w:t>
            </w:r>
          </w:p>
        </w:tc>
        <w:tc>
          <w:tcPr>
            <w:tcW w:w="1944" w:type="dxa"/>
          </w:tcPr>
          <w:p w14:paraId="442A923C" w14:textId="3445A886" w:rsidR="007B43CB" w:rsidRPr="004A4EFF" w:rsidRDefault="007B43CB" w:rsidP="009344D0">
            <w:pPr>
              <w:rPr>
                <w:rFonts w:eastAsia="Cambria" w:cs="Calibri"/>
                <w:sz w:val="22"/>
              </w:rPr>
            </w:pPr>
            <w:r w:rsidRPr="004A4EFF">
              <w:rPr>
                <w:rFonts w:eastAsia="Cambria" w:cs="Calibri"/>
                <w:bCs/>
                <w:sz w:val="22"/>
              </w:rPr>
              <w:t>(312) 432-</w:t>
            </w:r>
            <w:r w:rsidR="004B0CF7" w:rsidRPr="004A4EFF">
              <w:rPr>
                <w:rFonts w:eastAsia="Cambria" w:cs="Calibri"/>
                <w:bCs/>
                <w:sz w:val="22"/>
              </w:rPr>
              <w:t>2082</w:t>
            </w:r>
          </w:p>
        </w:tc>
        <w:tc>
          <w:tcPr>
            <w:tcW w:w="2448" w:type="dxa"/>
          </w:tcPr>
          <w:p w14:paraId="3038CF5B" w14:textId="1BE8D2C1" w:rsidR="007B43CB" w:rsidRPr="004A4EFF" w:rsidRDefault="00E837E0" w:rsidP="009344D0">
            <w:pPr>
              <w:rPr>
                <w:rFonts w:eastAsia="Cambria" w:cs="Calibri"/>
                <w:sz w:val="22"/>
              </w:rPr>
            </w:pPr>
            <w:hyperlink r:id="rId18" w:history="1">
              <w:r w:rsidR="004B0CF7" w:rsidRPr="004A4EFF">
                <w:rPr>
                  <w:rStyle w:val="Hyperlink"/>
                  <w:rFonts w:eastAsia="Cambria" w:cs="Calibri"/>
                  <w:sz w:val="22"/>
                </w:rPr>
                <w:t>moreno@eriefamilyhealth.org</w:t>
              </w:r>
            </w:hyperlink>
          </w:p>
        </w:tc>
        <w:tc>
          <w:tcPr>
            <w:tcW w:w="1620" w:type="dxa"/>
          </w:tcPr>
          <w:p w14:paraId="42B3BB1B" w14:textId="77777777" w:rsidR="00C013DC" w:rsidRDefault="00C013DC" w:rsidP="009344D0">
            <w:pPr>
              <w:rPr>
                <w:rFonts w:eastAsia="Cambria" w:cs="Calibri"/>
                <w:sz w:val="22"/>
              </w:rPr>
            </w:pPr>
            <w:r>
              <w:rPr>
                <w:rFonts w:eastAsia="Cambria" w:cs="Calibri"/>
                <w:sz w:val="22"/>
              </w:rPr>
              <w:t>Erie Family Health Center/</w:t>
            </w:r>
          </w:p>
          <w:p w14:paraId="0E779B72" w14:textId="6076A563" w:rsidR="007B43CB" w:rsidRPr="004A4EFF" w:rsidRDefault="007B43CB" w:rsidP="009344D0">
            <w:pPr>
              <w:rPr>
                <w:rFonts w:eastAsia="Cambria" w:cs="Calibri"/>
                <w:sz w:val="22"/>
              </w:rPr>
            </w:pPr>
            <w:r w:rsidRPr="004A4EFF">
              <w:rPr>
                <w:rFonts w:eastAsia="Cambria" w:cs="Calibri"/>
                <w:sz w:val="22"/>
              </w:rPr>
              <w:t>Northwestern University</w:t>
            </w:r>
          </w:p>
        </w:tc>
      </w:tr>
      <w:tr w:rsidR="007B43CB" w:rsidRPr="00776749" w14:paraId="36522D44" w14:textId="77777777" w:rsidTr="009344D0">
        <w:trPr>
          <w:trHeight w:val="1611"/>
        </w:trPr>
        <w:tc>
          <w:tcPr>
            <w:tcW w:w="1944" w:type="dxa"/>
          </w:tcPr>
          <w:p w14:paraId="302D8A4F" w14:textId="3CB501AC" w:rsidR="007B43CB" w:rsidRPr="004A4EFF" w:rsidRDefault="004B0CF7" w:rsidP="009344D0">
            <w:pPr>
              <w:rPr>
                <w:rFonts w:eastAsia="Cambria" w:cs="Calibri"/>
                <w:sz w:val="22"/>
              </w:rPr>
            </w:pPr>
            <w:r w:rsidRPr="004A4EFF">
              <w:rPr>
                <w:rFonts w:eastAsia="Cambria" w:cs="Calibri"/>
                <w:sz w:val="22"/>
              </w:rPr>
              <w:t xml:space="preserve">Mary Parrigon </w:t>
            </w:r>
            <w:r w:rsidR="007B43CB" w:rsidRPr="004A4EFF">
              <w:rPr>
                <w:rFonts w:eastAsia="Cambria" w:cs="Calibri"/>
                <w:sz w:val="22"/>
              </w:rPr>
              <w:t xml:space="preserve"> </w:t>
            </w:r>
          </w:p>
        </w:tc>
        <w:tc>
          <w:tcPr>
            <w:tcW w:w="1944" w:type="dxa"/>
          </w:tcPr>
          <w:p w14:paraId="5E1FD3BC" w14:textId="561751BD" w:rsidR="007B43CB" w:rsidRPr="004A4EFF" w:rsidRDefault="004B0CF7" w:rsidP="009344D0">
            <w:pPr>
              <w:rPr>
                <w:rFonts w:eastAsia="Cambria" w:cs="Calibri"/>
                <w:sz w:val="22"/>
              </w:rPr>
            </w:pPr>
            <w:r w:rsidRPr="004A4EFF">
              <w:rPr>
                <w:rFonts w:eastAsia="Cambria" w:cs="Calibri"/>
                <w:sz w:val="22"/>
              </w:rPr>
              <w:t xml:space="preserve">Executive Director </w:t>
            </w:r>
          </w:p>
        </w:tc>
        <w:tc>
          <w:tcPr>
            <w:tcW w:w="1944" w:type="dxa"/>
          </w:tcPr>
          <w:p w14:paraId="060AC7BD" w14:textId="31951723" w:rsidR="007B43CB" w:rsidRPr="004A4EFF" w:rsidRDefault="004B0CF7" w:rsidP="009344D0">
            <w:pPr>
              <w:rPr>
                <w:rFonts w:eastAsia="Cambria" w:cs="Calibri"/>
                <w:sz w:val="22"/>
              </w:rPr>
            </w:pPr>
            <w:r w:rsidRPr="004A4EFF">
              <w:rPr>
                <w:rFonts w:eastAsia="Cambria" w:cs="Calibri"/>
                <w:sz w:val="22"/>
              </w:rPr>
              <w:t>(417)</w:t>
            </w:r>
            <w:r w:rsidR="0041606D">
              <w:rPr>
                <w:rFonts w:eastAsia="Cambria" w:cs="Calibri"/>
                <w:sz w:val="22"/>
              </w:rPr>
              <w:t xml:space="preserve"> </w:t>
            </w:r>
            <w:r w:rsidRPr="004A4EFF">
              <w:rPr>
                <w:rFonts w:eastAsia="Cambria" w:cs="Calibri"/>
                <w:sz w:val="22"/>
              </w:rPr>
              <w:t>347-7602</w:t>
            </w:r>
          </w:p>
        </w:tc>
        <w:tc>
          <w:tcPr>
            <w:tcW w:w="2448" w:type="dxa"/>
          </w:tcPr>
          <w:p w14:paraId="669D5B79" w14:textId="31EBC3F7" w:rsidR="007B43CB" w:rsidRPr="004A4EFF" w:rsidRDefault="00E837E0" w:rsidP="009344D0">
            <w:pPr>
              <w:rPr>
                <w:rFonts w:eastAsia="Cambria" w:cs="Calibri"/>
                <w:sz w:val="22"/>
              </w:rPr>
            </w:pPr>
            <w:hyperlink r:id="rId19" w:history="1">
              <w:r w:rsidR="004B0CF7" w:rsidRPr="004A4EFF">
                <w:rPr>
                  <w:rStyle w:val="Hyperlink"/>
                  <w:rFonts w:eastAsia="Cambria" w:cs="Calibri"/>
                  <w:sz w:val="22"/>
                </w:rPr>
                <w:t>mbparrigon@freemanhealth.com</w:t>
              </w:r>
            </w:hyperlink>
            <w:r w:rsidR="004B0CF7" w:rsidRPr="004A4EFF">
              <w:rPr>
                <w:rFonts w:eastAsia="Cambria" w:cs="Calibri"/>
                <w:sz w:val="22"/>
              </w:rPr>
              <w:t xml:space="preserve"> </w:t>
            </w:r>
          </w:p>
        </w:tc>
        <w:tc>
          <w:tcPr>
            <w:tcW w:w="1620" w:type="dxa"/>
          </w:tcPr>
          <w:p w14:paraId="3DCB2B8A" w14:textId="4CC28A90" w:rsidR="007B43CB" w:rsidRPr="004A4EFF" w:rsidRDefault="004B0CF7" w:rsidP="009344D0">
            <w:pPr>
              <w:rPr>
                <w:rFonts w:eastAsia="Cambria" w:cs="Calibri"/>
                <w:sz w:val="22"/>
              </w:rPr>
            </w:pPr>
            <w:r w:rsidRPr="004A4EFF">
              <w:rPr>
                <w:rFonts w:eastAsia="Cambria" w:cs="Calibri"/>
                <w:sz w:val="22"/>
              </w:rPr>
              <w:t xml:space="preserve">Ozark Center </w:t>
            </w:r>
            <w:r w:rsidR="007B43CB" w:rsidRPr="004A4EFF">
              <w:rPr>
                <w:rFonts w:eastAsia="Cambria" w:cs="Calibri"/>
                <w:sz w:val="22"/>
              </w:rPr>
              <w:t xml:space="preserve"> </w:t>
            </w:r>
          </w:p>
        </w:tc>
      </w:tr>
    </w:tbl>
    <w:p w14:paraId="07C85BF6" w14:textId="4BA34B95" w:rsidR="007B43CB" w:rsidRPr="00C45431" w:rsidRDefault="007B43CB" w:rsidP="00AE7D2D">
      <w:pPr>
        <w:spacing w:before="120"/>
        <w:rPr>
          <w:rFonts w:ascii="Arial" w:hAnsi="Arial" w:cs="Arial"/>
          <w:sz w:val="24"/>
        </w:rPr>
      </w:pPr>
    </w:p>
    <w:p w14:paraId="12DBC0E2" w14:textId="5B1BFD27" w:rsidR="009B3794" w:rsidRPr="00C45431" w:rsidRDefault="009B3794" w:rsidP="005F573B">
      <w:pPr>
        <w:spacing w:before="120"/>
        <w:ind w:left="360"/>
        <w:rPr>
          <w:rFonts w:ascii="Arial" w:hAnsi="Arial" w:cs="Arial"/>
          <w:sz w:val="24"/>
        </w:rPr>
      </w:pPr>
    </w:p>
    <w:p w14:paraId="12DBC0E3"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Explanation of any Payment/Gift to Respondents</w:t>
      </w:r>
    </w:p>
    <w:p w14:paraId="77E8B0D8" w14:textId="3AA43466" w:rsidR="00554093" w:rsidRPr="00AE7D2D" w:rsidRDefault="00D263C3" w:rsidP="00A16295">
      <w:pPr>
        <w:spacing w:before="120"/>
        <w:rPr>
          <w:rFonts w:ascii="Arial" w:hAnsi="Arial" w:cs="Arial"/>
          <w:sz w:val="24"/>
        </w:rPr>
      </w:pPr>
      <w:r w:rsidRPr="00AE7D2D">
        <w:rPr>
          <w:rFonts w:ascii="Arial" w:hAnsi="Arial" w:cs="Arial"/>
          <w:sz w:val="24"/>
        </w:rPr>
        <w:t>Respondents do</w:t>
      </w:r>
      <w:r w:rsidR="00554093" w:rsidRPr="00AE7D2D">
        <w:rPr>
          <w:rFonts w:ascii="Arial" w:hAnsi="Arial" w:cs="Arial"/>
          <w:sz w:val="24"/>
        </w:rPr>
        <w:t xml:space="preserve"> not receive any payments or gifts.</w:t>
      </w:r>
    </w:p>
    <w:p w14:paraId="58258CFD" w14:textId="4FF61CCD" w:rsidR="00554093" w:rsidRDefault="00554093" w:rsidP="00554093"/>
    <w:p w14:paraId="2FBBD23E" w14:textId="77777777" w:rsidR="005F573B" w:rsidRPr="00AE7D2D" w:rsidRDefault="005F573B" w:rsidP="00554093"/>
    <w:p w14:paraId="12DBC0E7"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Assurance of Confidentiality Provided to Respondents</w:t>
      </w:r>
    </w:p>
    <w:p w14:paraId="3B8473DC" w14:textId="1E9BD8D6" w:rsidR="00A76F1C" w:rsidRPr="00AE7D2D" w:rsidRDefault="00A76F1C" w:rsidP="00A76F1C">
      <w:pPr>
        <w:spacing w:line="480" w:lineRule="auto"/>
        <w:rPr>
          <w:rFonts w:ascii="Arial" w:hAnsi="Arial" w:cs="Arial"/>
          <w:sz w:val="24"/>
        </w:rPr>
      </w:pPr>
      <w:r w:rsidRPr="00AE7D2D">
        <w:rPr>
          <w:rFonts w:ascii="Arial" w:hAnsi="Arial" w:cs="Arial"/>
          <w:sz w:val="24"/>
        </w:rPr>
        <w:t>The in</w:t>
      </w:r>
      <w:r w:rsidR="00D263C3" w:rsidRPr="00AE7D2D">
        <w:rPr>
          <w:rFonts w:ascii="Arial" w:hAnsi="Arial" w:cs="Arial"/>
          <w:sz w:val="24"/>
        </w:rPr>
        <w:t xml:space="preserve">formation collected </w:t>
      </w:r>
      <w:r w:rsidR="00D263C3">
        <w:rPr>
          <w:rFonts w:ascii="Arial" w:hAnsi="Arial" w:cs="Arial"/>
          <w:sz w:val="24"/>
        </w:rPr>
        <w:t>is</w:t>
      </w:r>
      <w:r w:rsidRPr="00AE7D2D">
        <w:rPr>
          <w:rFonts w:ascii="Arial" w:hAnsi="Arial" w:cs="Arial"/>
          <w:sz w:val="24"/>
        </w:rPr>
        <w:t xml:space="preserve"> secure and protected.  </w:t>
      </w:r>
    </w:p>
    <w:p w14:paraId="12DBC0EF" w14:textId="346940EB"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Justification for Sensitive Questions</w:t>
      </w:r>
    </w:p>
    <w:p w14:paraId="26099948" w14:textId="5CCBAA93" w:rsidR="00A76F1C" w:rsidRPr="00AE7D2D" w:rsidRDefault="00A76F1C" w:rsidP="00AE7D2D">
      <w:pPr>
        <w:rPr>
          <w:rFonts w:ascii="Arial" w:hAnsi="Arial" w:cs="Arial"/>
          <w:sz w:val="24"/>
        </w:rPr>
      </w:pPr>
      <w:r w:rsidRPr="00AE7D2D">
        <w:rPr>
          <w:rFonts w:ascii="Arial" w:hAnsi="Arial" w:cs="Arial"/>
          <w:sz w:val="24"/>
        </w:rPr>
        <w:t xml:space="preserve">There are no sensitive questions </w:t>
      </w:r>
      <w:r w:rsidR="00C013DC">
        <w:rPr>
          <w:rFonts w:ascii="Arial" w:hAnsi="Arial" w:cs="Arial"/>
          <w:sz w:val="24"/>
        </w:rPr>
        <w:t>o</w:t>
      </w:r>
      <w:r w:rsidRPr="00AE7D2D">
        <w:rPr>
          <w:rFonts w:ascii="Arial" w:hAnsi="Arial" w:cs="Arial"/>
          <w:sz w:val="24"/>
        </w:rPr>
        <w:t xml:space="preserve">n the THCGME </w:t>
      </w:r>
      <w:r w:rsidR="00EB481D" w:rsidRPr="00AE7D2D">
        <w:rPr>
          <w:rFonts w:ascii="Arial" w:hAnsi="Arial" w:cs="Arial"/>
          <w:sz w:val="24"/>
        </w:rPr>
        <w:t>Reconciliation Tool</w:t>
      </w:r>
      <w:r w:rsidR="00EB481D">
        <w:rPr>
          <w:rFonts w:ascii="Arial" w:hAnsi="Arial" w:cs="Arial"/>
          <w:sz w:val="24"/>
        </w:rPr>
        <w:t xml:space="preserve"> and n</w:t>
      </w:r>
      <w:r w:rsidR="00B20AFD" w:rsidRPr="00AE7D2D">
        <w:rPr>
          <w:rFonts w:ascii="Arial" w:hAnsi="Arial" w:cs="Arial"/>
          <w:sz w:val="24"/>
        </w:rPr>
        <w:t>o</w:t>
      </w:r>
      <w:r w:rsidRPr="00AE7D2D">
        <w:rPr>
          <w:rFonts w:ascii="Arial" w:hAnsi="Arial" w:cs="Arial"/>
          <w:sz w:val="24"/>
        </w:rPr>
        <w:t xml:space="preserve"> personal identifiable information (PII)</w:t>
      </w:r>
      <w:r w:rsidR="00B20AFD" w:rsidRPr="00AE7D2D">
        <w:rPr>
          <w:rFonts w:ascii="Arial" w:hAnsi="Arial" w:cs="Arial"/>
          <w:sz w:val="24"/>
        </w:rPr>
        <w:t xml:space="preserve"> </w:t>
      </w:r>
      <w:r w:rsidR="00B20AFD">
        <w:rPr>
          <w:rFonts w:ascii="Arial" w:hAnsi="Arial" w:cs="Arial"/>
          <w:sz w:val="24"/>
        </w:rPr>
        <w:t xml:space="preserve">is </w:t>
      </w:r>
      <w:r w:rsidRPr="00AE7D2D">
        <w:rPr>
          <w:rFonts w:ascii="Arial" w:hAnsi="Arial" w:cs="Arial"/>
          <w:sz w:val="24"/>
        </w:rPr>
        <w:t xml:space="preserve">collected.  </w:t>
      </w:r>
    </w:p>
    <w:p w14:paraId="12DBC0F5" w14:textId="77777777" w:rsidR="009B3794" w:rsidRPr="00C45431" w:rsidRDefault="009B3794" w:rsidP="00CA3DA6">
      <w:pPr>
        <w:numPr>
          <w:ilvl w:val="0"/>
          <w:numId w:val="2"/>
        </w:numPr>
        <w:tabs>
          <w:tab w:val="clear" w:pos="1080"/>
          <w:tab w:val="num" w:pos="360"/>
        </w:tabs>
        <w:spacing w:before="240"/>
        <w:ind w:left="360"/>
        <w:rPr>
          <w:rFonts w:ascii="Arial" w:hAnsi="Arial" w:cs="Arial"/>
          <w:sz w:val="24"/>
        </w:rPr>
      </w:pPr>
      <w:r w:rsidRPr="00C45431">
        <w:rPr>
          <w:rFonts w:ascii="Arial" w:hAnsi="Arial" w:cs="Arial"/>
          <w:b/>
          <w:sz w:val="24"/>
          <w:u w:val="single"/>
        </w:rPr>
        <w:t xml:space="preserve">Estimates of Annualized Hour and Cost Burden  </w:t>
      </w:r>
    </w:p>
    <w:p w14:paraId="3AE77576" w14:textId="77777777" w:rsidR="005F573B" w:rsidRDefault="00C9640A" w:rsidP="00CA3DA6">
      <w:pPr>
        <w:widowControl/>
        <w:tabs>
          <w:tab w:val="num" w:pos="720"/>
        </w:tabs>
        <w:spacing w:before="120"/>
        <w:rPr>
          <w:rFonts w:ascii="Arial" w:hAnsi="Arial" w:cs="Arial"/>
          <w:sz w:val="24"/>
        </w:rPr>
      </w:pPr>
      <w:r>
        <w:rPr>
          <w:rFonts w:ascii="Arial" w:hAnsi="Arial" w:cs="Arial"/>
          <w:sz w:val="24"/>
        </w:rPr>
        <w:t>The hour burden estimates were</w:t>
      </w:r>
      <w:r w:rsidR="00A76F1C" w:rsidRPr="00A76F1C">
        <w:rPr>
          <w:rFonts w:ascii="Arial" w:hAnsi="Arial" w:cs="Arial"/>
          <w:sz w:val="24"/>
        </w:rPr>
        <w:t xml:space="preserve"> derived by survey</w:t>
      </w:r>
      <w:r w:rsidR="005E03FF">
        <w:rPr>
          <w:rFonts w:ascii="Arial" w:hAnsi="Arial" w:cs="Arial"/>
          <w:sz w:val="24"/>
        </w:rPr>
        <w:t xml:space="preserve"> of THCGME award recipients. </w:t>
      </w:r>
      <w:r w:rsidR="00A76F1C" w:rsidRPr="00A76F1C">
        <w:rPr>
          <w:rFonts w:ascii="Arial" w:hAnsi="Arial" w:cs="Arial"/>
          <w:sz w:val="24"/>
        </w:rPr>
        <w:t xml:space="preserve">The recipients were asked to estimate the amount of time it took to complete the Reconciliation Tool within their institution.  </w:t>
      </w:r>
    </w:p>
    <w:p w14:paraId="12DBC0F8" w14:textId="2E16C745" w:rsidR="009B3794" w:rsidRDefault="009B3794" w:rsidP="00CA3DA6">
      <w:pPr>
        <w:widowControl/>
        <w:tabs>
          <w:tab w:val="num" w:pos="720"/>
        </w:tabs>
        <w:spacing w:before="120"/>
        <w:rPr>
          <w:rFonts w:ascii="Arial" w:hAnsi="Arial" w:cs="Arial"/>
          <w:b/>
          <w:sz w:val="24"/>
        </w:rPr>
      </w:pPr>
      <w:r w:rsidRPr="00C45431">
        <w:rPr>
          <w:rFonts w:ascii="Arial" w:hAnsi="Arial" w:cs="Arial"/>
          <w:b/>
          <w:sz w:val="28"/>
          <w:szCs w:val="28"/>
        </w:rPr>
        <w:t>12A.</w:t>
      </w:r>
      <w:r w:rsidRPr="00C45431">
        <w:rPr>
          <w:rFonts w:ascii="Arial" w:hAnsi="Arial" w:cs="Arial"/>
          <w:sz w:val="24"/>
        </w:rPr>
        <w:t xml:space="preserve">        </w:t>
      </w:r>
      <w:r w:rsidRPr="00C45431">
        <w:rPr>
          <w:rFonts w:ascii="Arial" w:hAnsi="Arial" w:cs="Arial"/>
          <w:b/>
          <w:sz w:val="24"/>
        </w:rPr>
        <w:t>Estimated Annualized Burden Hours</w:t>
      </w:r>
    </w:p>
    <w:tbl>
      <w:tblPr>
        <w:tblW w:w="8000" w:type="dxa"/>
        <w:tblInd w:w="97" w:type="dxa"/>
        <w:tblLayout w:type="fixed"/>
        <w:tblCellMar>
          <w:left w:w="97" w:type="dxa"/>
          <w:right w:w="97" w:type="dxa"/>
        </w:tblCellMar>
        <w:tblLook w:val="0000" w:firstRow="0" w:lastRow="0" w:firstColumn="0" w:lastColumn="0" w:noHBand="0" w:noVBand="0"/>
      </w:tblPr>
      <w:tblGrid>
        <w:gridCol w:w="1800"/>
        <w:gridCol w:w="1790"/>
        <w:gridCol w:w="1620"/>
        <w:gridCol w:w="1440"/>
        <w:gridCol w:w="1350"/>
      </w:tblGrid>
      <w:tr w:rsidR="00A76F1C" w:rsidRPr="00A76F1C" w14:paraId="21213E1E" w14:textId="77777777" w:rsidTr="003E3CCA">
        <w:trPr>
          <w:trHeight w:val="1030"/>
        </w:trPr>
        <w:tc>
          <w:tcPr>
            <w:tcW w:w="1800" w:type="dxa"/>
            <w:tcBorders>
              <w:top w:val="single" w:sz="2" w:space="0" w:color="auto"/>
              <w:left w:val="single" w:sz="2" w:space="0" w:color="auto"/>
              <w:bottom w:val="single" w:sz="2" w:space="0" w:color="auto"/>
              <w:right w:val="single" w:sz="2" w:space="0" w:color="auto"/>
            </w:tcBorders>
            <w:vAlign w:val="bottom"/>
          </w:tcPr>
          <w:p w14:paraId="4D9AF12D" w14:textId="77777777" w:rsidR="00A76F1C" w:rsidRPr="00A76F1C" w:rsidRDefault="00A76F1C" w:rsidP="00A76F1C">
            <w:pPr>
              <w:tabs>
                <w:tab w:val="num" w:pos="720"/>
              </w:tabs>
              <w:spacing w:before="120"/>
              <w:rPr>
                <w:rFonts w:ascii="Arial" w:hAnsi="Arial" w:cs="Arial"/>
                <w:sz w:val="24"/>
              </w:rPr>
            </w:pPr>
          </w:p>
          <w:p w14:paraId="4C233239" w14:textId="77777777" w:rsidR="00A76F1C" w:rsidRPr="00A76F1C" w:rsidRDefault="00A76F1C" w:rsidP="00A76F1C">
            <w:pPr>
              <w:widowControl/>
              <w:tabs>
                <w:tab w:val="num" w:pos="720"/>
              </w:tabs>
              <w:spacing w:before="120"/>
              <w:rPr>
                <w:rFonts w:ascii="Arial" w:hAnsi="Arial" w:cs="Arial"/>
                <w:b/>
                <w:sz w:val="24"/>
              </w:rPr>
            </w:pPr>
            <w:r w:rsidRPr="00A76F1C">
              <w:rPr>
                <w:rFonts w:ascii="Arial" w:hAnsi="Arial" w:cs="Arial"/>
                <w:b/>
                <w:sz w:val="24"/>
              </w:rPr>
              <w:t>Form Name</w:t>
            </w:r>
          </w:p>
        </w:tc>
        <w:tc>
          <w:tcPr>
            <w:tcW w:w="1790" w:type="dxa"/>
            <w:tcBorders>
              <w:top w:val="single" w:sz="2" w:space="0" w:color="auto"/>
              <w:left w:val="single" w:sz="2" w:space="0" w:color="auto"/>
              <w:bottom w:val="single" w:sz="2" w:space="0" w:color="auto"/>
              <w:right w:val="single" w:sz="2" w:space="0" w:color="auto"/>
            </w:tcBorders>
            <w:vAlign w:val="bottom"/>
          </w:tcPr>
          <w:p w14:paraId="7D4A9D9A" w14:textId="77777777" w:rsidR="00A76F1C" w:rsidRPr="00A76F1C" w:rsidRDefault="00A76F1C" w:rsidP="00A76F1C">
            <w:pPr>
              <w:widowControl/>
              <w:tabs>
                <w:tab w:val="num" w:pos="720"/>
              </w:tabs>
              <w:spacing w:before="120"/>
              <w:rPr>
                <w:rFonts w:ascii="Arial" w:hAnsi="Arial" w:cs="Arial"/>
                <w:b/>
                <w:sz w:val="24"/>
              </w:rPr>
            </w:pPr>
            <w:r w:rsidRPr="00A76F1C">
              <w:rPr>
                <w:rFonts w:ascii="Arial" w:hAnsi="Arial" w:cs="Arial"/>
                <w:b/>
                <w:sz w:val="24"/>
              </w:rPr>
              <w:t>Number of Respondents</w:t>
            </w:r>
          </w:p>
        </w:tc>
        <w:tc>
          <w:tcPr>
            <w:tcW w:w="1620" w:type="dxa"/>
            <w:tcBorders>
              <w:top w:val="single" w:sz="2" w:space="0" w:color="auto"/>
              <w:left w:val="single" w:sz="2" w:space="0" w:color="auto"/>
              <w:bottom w:val="single" w:sz="2" w:space="0" w:color="auto"/>
              <w:right w:val="single" w:sz="2" w:space="0" w:color="auto"/>
            </w:tcBorders>
            <w:vAlign w:val="bottom"/>
          </w:tcPr>
          <w:p w14:paraId="328D288A" w14:textId="77777777" w:rsidR="00A76F1C" w:rsidRPr="00A76F1C" w:rsidRDefault="00A76F1C" w:rsidP="00A76F1C">
            <w:pPr>
              <w:widowControl/>
              <w:tabs>
                <w:tab w:val="num" w:pos="720"/>
              </w:tabs>
              <w:spacing w:before="120"/>
              <w:rPr>
                <w:rFonts w:ascii="Arial" w:hAnsi="Arial" w:cs="Arial"/>
                <w:sz w:val="24"/>
              </w:rPr>
            </w:pPr>
          </w:p>
          <w:p w14:paraId="6C58F8E4" w14:textId="77777777" w:rsidR="00A76F1C" w:rsidRPr="00A76F1C" w:rsidRDefault="00A76F1C" w:rsidP="00A76F1C">
            <w:pPr>
              <w:widowControl/>
              <w:tabs>
                <w:tab w:val="num" w:pos="720"/>
              </w:tabs>
              <w:spacing w:before="120"/>
              <w:rPr>
                <w:rFonts w:ascii="Arial" w:hAnsi="Arial" w:cs="Arial"/>
                <w:b/>
                <w:sz w:val="24"/>
              </w:rPr>
            </w:pPr>
            <w:r w:rsidRPr="00A76F1C">
              <w:rPr>
                <w:rFonts w:ascii="Arial" w:hAnsi="Arial" w:cs="Arial"/>
                <w:b/>
                <w:sz w:val="24"/>
              </w:rPr>
              <w:t>Number of Responses per Respondent</w:t>
            </w:r>
          </w:p>
        </w:tc>
        <w:tc>
          <w:tcPr>
            <w:tcW w:w="1440" w:type="dxa"/>
            <w:tcBorders>
              <w:top w:val="single" w:sz="2" w:space="0" w:color="auto"/>
              <w:left w:val="single" w:sz="2" w:space="0" w:color="auto"/>
              <w:bottom w:val="single" w:sz="2" w:space="0" w:color="auto"/>
              <w:right w:val="single" w:sz="2" w:space="0" w:color="auto"/>
            </w:tcBorders>
            <w:vAlign w:val="bottom"/>
          </w:tcPr>
          <w:p w14:paraId="2C513CF6" w14:textId="77777777" w:rsidR="00A76F1C" w:rsidRPr="00A76F1C" w:rsidRDefault="00A76F1C" w:rsidP="00A76F1C">
            <w:pPr>
              <w:widowControl/>
              <w:tabs>
                <w:tab w:val="num" w:pos="720"/>
              </w:tabs>
              <w:spacing w:before="120"/>
              <w:rPr>
                <w:rFonts w:ascii="Arial" w:hAnsi="Arial" w:cs="Arial"/>
                <w:sz w:val="24"/>
              </w:rPr>
            </w:pPr>
          </w:p>
          <w:p w14:paraId="439C8634" w14:textId="77777777" w:rsidR="00A76F1C" w:rsidRPr="00A76F1C" w:rsidRDefault="00A76F1C" w:rsidP="00A76F1C">
            <w:pPr>
              <w:widowControl/>
              <w:tabs>
                <w:tab w:val="num" w:pos="720"/>
              </w:tabs>
              <w:spacing w:before="120"/>
              <w:rPr>
                <w:rFonts w:ascii="Arial" w:hAnsi="Arial" w:cs="Arial"/>
                <w:b/>
                <w:sz w:val="24"/>
              </w:rPr>
            </w:pPr>
            <w:r w:rsidRPr="00A76F1C">
              <w:rPr>
                <w:rFonts w:ascii="Arial" w:hAnsi="Arial" w:cs="Arial"/>
                <w:b/>
                <w:sz w:val="24"/>
              </w:rPr>
              <w:t>Average Burden per Response (in hours)</w:t>
            </w:r>
          </w:p>
        </w:tc>
        <w:tc>
          <w:tcPr>
            <w:tcW w:w="1350" w:type="dxa"/>
            <w:tcBorders>
              <w:top w:val="single" w:sz="2" w:space="0" w:color="auto"/>
              <w:left w:val="single" w:sz="2" w:space="0" w:color="auto"/>
              <w:bottom w:val="single" w:sz="2" w:space="0" w:color="auto"/>
              <w:right w:val="single" w:sz="2" w:space="0" w:color="auto"/>
            </w:tcBorders>
            <w:vAlign w:val="bottom"/>
          </w:tcPr>
          <w:p w14:paraId="66D554C0" w14:textId="77777777" w:rsidR="00A76F1C" w:rsidRPr="00A76F1C" w:rsidRDefault="00A76F1C" w:rsidP="00A76F1C">
            <w:pPr>
              <w:widowControl/>
              <w:tabs>
                <w:tab w:val="num" w:pos="720"/>
              </w:tabs>
              <w:spacing w:before="120"/>
              <w:rPr>
                <w:rFonts w:ascii="Arial" w:hAnsi="Arial" w:cs="Arial"/>
                <w:b/>
                <w:sz w:val="24"/>
              </w:rPr>
            </w:pPr>
            <w:r w:rsidRPr="00A76F1C">
              <w:rPr>
                <w:rFonts w:ascii="Arial" w:hAnsi="Arial" w:cs="Arial"/>
                <w:b/>
                <w:sz w:val="24"/>
              </w:rPr>
              <w:t>Total Burden Hours</w:t>
            </w:r>
          </w:p>
        </w:tc>
      </w:tr>
      <w:tr w:rsidR="00A76F1C" w:rsidRPr="00A76F1C" w14:paraId="591EE8AB" w14:textId="77777777" w:rsidTr="003E3CCA">
        <w:tc>
          <w:tcPr>
            <w:tcW w:w="1800" w:type="dxa"/>
            <w:tcBorders>
              <w:top w:val="single" w:sz="2" w:space="0" w:color="auto"/>
              <w:left w:val="single" w:sz="2" w:space="0" w:color="auto"/>
              <w:bottom w:val="single" w:sz="2" w:space="0" w:color="auto"/>
              <w:right w:val="single" w:sz="2" w:space="0" w:color="auto"/>
            </w:tcBorders>
          </w:tcPr>
          <w:p w14:paraId="1358BBC0" w14:textId="77777777" w:rsidR="00A76F1C" w:rsidRPr="00A76F1C" w:rsidRDefault="00A76F1C" w:rsidP="00A76F1C">
            <w:pPr>
              <w:widowControl/>
              <w:tabs>
                <w:tab w:val="num" w:pos="720"/>
              </w:tabs>
              <w:spacing w:before="120"/>
              <w:rPr>
                <w:rFonts w:ascii="Arial" w:hAnsi="Arial" w:cs="Arial"/>
                <w:sz w:val="24"/>
              </w:rPr>
            </w:pPr>
            <w:r w:rsidRPr="00A76F1C">
              <w:rPr>
                <w:rFonts w:ascii="Arial" w:hAnsi="Arial" w:cs="Arial"/>
                <w:sz w:val="24"/>
              </w:rPr>
              <w:t xml:space="preserve">THCGME Reconciliation Tool  </w:t>
            </w:r>
          </w:p>
        </w:tc>
        <w:tc>
          <w:tcPr>
            <w:tcW w:w="1790" w:type="dxa"/>
            <w:tcBorders>
              <w:top w:val="single" w:sz="2" w:space="0" w:color="auto"/>
              <w:left w:val="single" w:sz="2" w:space="0" w:color="auto"/>
              <w:bottom w:val="single" w:sz="2" w:space="0" w:color="auto"/>
              <w:right w:val="single" w:sz="2" w:space="0" w:color="auto"/>
            </w:tcBorders>
            <w:vAlign w:val="center"/>
          </w:tcPr>
          <w:p w14:paraId="4E2766BA" w14:textId="05EE9A5A" w:rsidR="00A76F1C" w:rsidRPr="00A76F1C" w:rsidRDefault="00A76F1C" w:rsidP="00A76F1C">
            <w:pPr>
              <w:widowControl/>
              <w:tabs>
                <w:tab w:val="num" w:pos="720"/>
              </w:tabs>
              <w:spacing w:before="120"/>
              <w:rPr>
                <w:rFonts w:ascii="Arial" w:hAnsi="Arial" w:cs="Arial"/>
                <w:sz w:val="24"/>
                <w:lang w:val="fr-FR"/>
              </w:rPr>
            </w:pPr>
            <w:r>
              <w:rPr>
                <w:rFonts w:ascii="Arial" w:hAnsi="Arial" w:cs="Arial"/>
                <w:sz w:val="24"/>
                <w:lang w:val="fr-FR"/>
              </w:rPr>
              <w:t>59</w:t>
            </w:r>
          </w:p>
        </w:tc>
        <w:tc>
          <w:tcPr>
            <w:tcW w:w="1620" w:type="dxa"/>
            <w:tcBorders>
              <w:top w:val="single" w:sz="2" w:space="0" w:color="auto"/>
              <w:left w:val="single" w:sz="2" w:space="0" w:color="auto"/>
              <w:bottom w:val="single" w:sz="2" w:space="0" w:color="auto"/>
              <w:right w:val="single" w:sz="2" w:space="0" w:color="auto"/>
            </w:tcBorders>
            <w:vAlign w:val="center"/>
          </w:tcPr>
          <w:p w14:paraId="589CCD54" w14:textId="77777777" w:rsidR="00A76F1C" w:rsidRPr="00A76F1C" w:rsidRDefault="00A76F1C" w:rsidP="00A76F1C">
            <w:pPr>
              <w:widowControl/>
              <w:tabs>
                <w:tab w:val="num" w:pos="720"/>
              </w:tabs>
              <w:spacing w:before="120"/>
              <w:rPr>
                <w:rFonts w:ascii="Arial" w:hAnsi="Arial" w:cs="Arial"/>
                <w:sz w:val="24"/>
                <w:lang w:val="fr-FR"/>
              </w:rPr>
            </w:pPr>
            <w:r w:rsidRPr="00A76F1C">
              <w:rPr>
                <w:rFonts w:ascii="Arial" w:hAnsi="Arial" w:cs="Arial"/>
                <w:sz w:val="24"/>
                <w:lang w:val="fr-FR"/>
              </w:rPr>
              <w:t>1</w:t>
            </w:r>
          </w:p>
        </w:tc>
        <w:tc>
          <w:tcPr>
            <w:tcW w:w="1440" w:type="dxa"/>
            <w:tcBorders>
              <w:top w:val="single" w:sz="2" w:space="0" w:color="auto"/>
              <w:left w:val="single" w:sz="2" w:space="0" w:color="auto"/>
              <w:bottom w:val="single" w:sz="2" w:space="0" w:color="auto"/>
              <w:right w:val="single" w:sz="2" w:space="0" w:color="auto"/>
            </w:tcBorders>
            <w:vAlign w:val="center"/>
          </w:tcPr>
          <w:p w14:paraId="127DEE9A" w14:textId="77777777" w:rsidR="00A76F1C" w:rsidRPr="00A76F1C" w:rsidRDefault="00A76F1C" w:rsidP="00A76F1C">
            <w:pPr>
              <w:widowControl/>
              <w:tabs>
                <w:tab w:val="num" w:pos="720"/>
              </w:tabs>
              <w:spacing w:before="120"/>
              <w:rPr>
                <w:rFonts w:ascii="Arial" w:hAnsi="Arial" w:cs="Arial"/>
                <w:sz w:val="24"/>
                <w:lang w:val="fr-FR"/>
              </w:rPr>
            </w:pPr>
            <w:r w:rsidRPr="00A76F1C">
              <w:rPr>
                <w:rFonts w:ascii="Arial" w:hAnsi="Arial" w:cs="Arial"/>
                <w:sz w:val="24"/>
                <w:lang w:val="fr-FR"/>
              </w:rPr>
              <w:t>2</w:t>
            </w:r>
          </w:p>
        </w:tc>
        <w:tc>
          <w:tcPr>
            <w:tcW w:w="1350" w:type="dxa"/>
            <w:tcBorders>
              <w:top w:val="single" w:sz="2" w:space="0" w:color="auto"/>
              <w:left w:val="single" w:sz="2" w:space="0" w:color="auto"/>
              <w:bottom w:val="single" w:sz="2" w:space="0" w:color="auto"/>
              <w:right w:val="single" w:sz="2" w:space="0" w:color="auto"/>
            </w:tcBorders>
            <w:vAlign w:val="center"/>
          </w:tcPr>
          <w:p w14:paraId="043750AE" w14:textId="0375AC39" w:rsidR="00A76F1C" w:rsidRPr="00A76F1C" w:rsidRDefault="00A76F1C" w:rsidP="00A76F1C">
            <w:pPr>
              <w:widowControl/>
              <w:tabs>
                <w:tab w:val="num" w:pos="720"/>
              </w:tabs>
              <w:spacing w:before="120"/>
              <w:rPr>
                <w:rFonts w:ascii="Arial" w:hAnsi="Arial" w:cs="Arial"/>
                <w:sz w:val="24"/>
                <w:lang w:val="fr-FR"/>
              </w:rPr>
            </w:pPr>
            <w:r>
              <w:rPr>
                <w:rFonts w:ascii="Arial" w:hAnsi="Arial" w:cs="Arial"/>
                <w:sz w:val="24"/>
                <w:lang w:val="fr-FR"/>
              </w:rPr>
              <w:t>118</w:t>
            </w:r>
          </w:p>
        </w:tc>
      </w:tr>
      <w:tr w:rsidR="00A76F1C" w:rsidRPr="00A76F1C" w14:paraId="1B2C0460" w14:textId="77777777" w:rsidTr="003E3CCA">
        <w:tc>
          <w:tcPr>
            <w:tcW w:w="1800" w:type="dxa"/>
            <w:tcBorders>
              <w:top w:val="single" w:sz="2" w:space="0" w:color="auto"/>
              <w:left w:val="single" w:sz="2" w:space="0" w:color="auto"/>
              <w:bottom w:val="single" w:sz="2" w:space="0" w:color="auto"/>
              <w:right w:val="single" w:sz="2" w:space="0" w:color="auto"/>
            </w:tcBorders>
          </w:tcPr>
          <w:p w14:paraId="11D0D093" w14:textId="77777777" w:rsidR="00A76F1C" w:rsidRPr="00A76F1C" w:rsidRDefault="00A76F1C" w:rsidP="00A76F1C">
            <w:pPr>
              <w:widowControl/>
              <w:tabs>
                <w:tab w:val="num" w:pos="720"/>
              </w:tabs>
              <w:spacing w:before="120"/>
              <w:rPr>
                <w:rFonts w:ascii="Arial" w:hAnsi="Arial" w:cs="Arial"/>
                <w:sz w:val="24"/>
                <w:lang w:val="fr-FR"/>
              </w:rPr>
            </w:pPr>
            <w:r w:rsidRPr="00A76F1C">
              <w:rPr>
                <w:rFonts w:ascii="Arial" w:hAnsi="Arial" w:cs="Arial"/>
                <w:sz w:val="24"/>
                <w:lang w:val="fr-FR"/>
              </w:rPr>
              <w:t>Total</w:t>
            </w:r>
          </w:p>
        </w:tc>
        <w:tc>
          <w:tcPr>
            <w:tcW w:w="1790" w:type="dxa"/>
            <w:tcBorders>
              <w:top w:val="single" w:sz="2" w:space="0" w:color="auto"/>
              <w:left w:val="single" w:sz="2" w:space="0" w:color="auto"/>
              <w:bottom w:val="single" w:sz="2" w:space="0" w:color="auto"/>
              <w:right w:val="single" w:sz="2" w:space="0" w:color="auto"/>
            </w:tcBorders>
          </w:tcPr>
          <w:p w14:paraId="12DE52D3" w14:textId="58D6F026" w:rsidR="00A76F1C" w:rsidRPr="00A76F1C" w:rsidRDefault="00A76F1C" w:rsidP="00A76F1C">
            <w:pPr>
              <w:widowControl/>
              <w:tabs>
                <w:tab w:val="num" w:pos="720"/>
              </w:tabs>
              <w:spacing w:before="120"/>
              <w:rPr>
                <w:rFonts w:ascii="Arial" w:hAnsi="Arial" w:cs="Arial"/>
                <w:sz w:val="24"/>
                <w:lang w:val="fr-FR"/>
              </w:rPr>
            </w:pPr>
            <w:r>
              <w:rPr>
                <w:rFonts w:ascii="Arial" w:hAnsi="Arial" w:cs="Arial"/>
                <w:sz w:val="24"/>
                <w:lang w:val="fr-FR"/>
              </w:rPr>
              <w:t>59</w:t>
            </w:r>
          </w:p>
        </w:tc>
        <w:tc>
          <w:tcPr>
            <w:tcW w:w="1620" w:type="dxa"/>
            <w:tcBorders>
              <w:top w:val="single" w:sz="2" w:space="0" w:color="auto"/>
              <w:left w:val="single" w:sz="2" w:space="0" w:color="auto"/>
              <w:bottom w:val="single" w:sz="2" w:space="0" w:color="auto"/>
              <w:right w:val="single" w:sz="2" w:space="0" w:color="auto"/>
            </w:tcBorders>
          </w:tcPr>
          <w:p w14:paraId="761C1DB3" w14:textId="77777777" w:rsidR="00A76F1C" w:rsidRPr="00A76F1C" w:rsidRDefault="00A76F1C" w:rsidP="00A76F1C">
            <w:pPr>
              <w:widowControl/>
              <w:tabs>
                <w:tab w:val="num" w:pos="720"/>
              </w:tabs>
              <w:spacing w:before="120"/>
              <w:rPr>
                <w:rFonts w:ascii="Arial" w:hAnsi="Arial" w:cs="Arial"/>
                <w:sz w:val="24"/>
                <w:lang w:val="fr-FR"/>
              </w:rPr>
            </w:pPr>
          </w:p>
        </w:tc>
        <w:tc>
          <w:tcPr>
            <w:tcW w:w="1440" w:type="dxa"/>
            <w:tcBorders>
              <w:top w:val="single" w:sz="2" w:space="0" w:color="auto"/>
              <w:left w:val="single" w:sz="2" w:space="0" w:color="auto"/>
              <w:bottom w:val="single" w:sz="2" w:space="0" w:color="auto"/>
              <w:right w:val="single" w:sz="2" w:space="0" w:color="auto"/>
            </w:tcBorders>
          </w:tcPr>
          <w:p w14:paraId="2FAC4CF2" w14:textId="77777777" w:rsidR="00A76F1C" w:rsidRPr="00A76F1C" w:rsidRDefault="00A76F1C" w:rsidP="00A76F1C">
            <w:pPr>
              <w:widowControl/>
              <w:tabs>
                <w:tab w:val="num" w:pos="720"/>
              </w:tabs>
              <w:spacing w:before="120"/>
              <w:rPr>
                <w:rFonts w:ascii="Arial" w:hAnsi="Arial" w:cs="Arial"/>
                <w:sz w:val="24"/>
                <w:lang w:val="fr-FR"/>
              </w:rPr>
            </w:pPr>
          </w:p>
        </w:tc>
        <w:tc>
          <w:tcPr>
            <w:tcW w:w="1350" w:type="dxa"/>
            <w:tcBorders>
              <w:top w:val="single" w:sz="2" w:space="0" w:color="auto"/>
              <w:left w:val="single" w:sz="2" w:space="0" w:color="auto"/>
              <w:bottom w:val="single" w:sz="2" w:space="0" w:color="auto"/>
              <w:right w:val="single" w:sz="2" w:space="0" w:color="auto"/>
            </w:tcBorders>
          </w:tcPr>
          <w:p w14:paraId="0010AF91" w14:textId="33A7805D" w:rsidR="00A76F1C" w:rsidRPr="00A76F1C" w:rsidRDefault="00A76F1C" w:rsidP="00A76F1C">
            <w:pPr>
              <w:widowControl/>
              <w:tabs>
                <w:tab w:val="num" w:pos="720"/>
              </w:tabs>
              <w:spacing w:before="120"/>
              <w:rPr>
                <w:rFonts w:ascii="Arial" w:hAnsi="Arial" w:cs="Arial"/>
                <w:sz w:val="24"/>
              </w:rPr>
            </w:pPr>
            <w:r>
              <w:rPr>
                <w:rFonts w:ascii="Arial" w:hAnsi="Arial" w:cs="Arial"/>
                <w:sz w:val="24"/>
              </w:rPr>
              <w:t>118</w:t>
            </w:r>
          </w:p>
        </w:tc>
      </w:tr>
    </w:tbl>
    <w:p w14:paraId="6E0FD199" w14:textId="77777777" w:rsidR="00A76F1C" w:rsidRPr="00C45431" w:rsidRDefault="00A76F1C" w:rsidP="00CA3DA6">
      <w:pPr>
        <w:widowControl/>
        <w:tabs>
          <w:tab w:val="num" w:pos="720"/>
        </w:tabs>
        <w:spacing w:before="120"/>
        <w:rPr>
          <w:rFonts w:ascii="Arial" w:hAnsi="Arial" w:cs="Arial"/>
          <w:sz w:val="24"/>
        </w:rPr>
      </w:pPr>
    </w:p>
    <w:p w14:paraId="12DBC12B" w14:textId="77777777" w:rsidR="00D92E1D" w:rsidRPr="00C45431" w:rsidRDefault="009B3794" w:rsidP="00CA3DA6">
      <w:pPr>
        <w:widowControl/>
        <w:spacing w:before="120"/>
        <w:rPr>
          <w:rFonts w:ascii="Arial" w:hAnsi="Arial" w:cs="Arial"/>
          <w:sz w:val="28"/>
          <w:szCs w:val="28"/>
        </w:rPr>
      </w:pPr>
      <w:r w:rsidRPr="00C45431">
        <w:rPr>
          <w:rFonts w:ascii="Arial" w:hAnsi="Arial" w:cs="Arial"/>
          <w:b/>
          <w:sz w:val="28"/>
          <w:szCs w:val="28"/>
        </w:rPr>
        <w:t>12B</w:t>
      </w:r>
      <w:r w:rsidRPr="00C45431">
        <w:rPr>
          <w:rFonts w:ascii="Arial" w:hAnsi="Arial" w:cs="Arial"/>
          <w:sz w:val="28"/>
          <w:szCs w:val="28"/>
        </w:rPr>
        <w:t xml:space="preserve">.  </w:t>
      </w:r>
    </w:p>
    <w:p w14:paraId="12DBC12D" w14:textId="7CC34D69" w:rsidR="009B3794" w:rsidRDefault="009B3794" w:rsidP="00CA3DA6">
      <w:pPr>
        <w:widowControl/>
        <w:spacing w:before="120"/>
        <w:ind w:left="270"/>
        <w:rPr>
          <w:rFonts w:ascii="Arial" w:hAnsi="Arial" w:cs="Arial"/>
          <w:b/>
          <w:sz w:val="24"/>
        </w:rPr>
      </w:pPr>
      <w:r w:rsidRPr="00C45431">
        <w:rPr>
          <w:rFonts w:ascii="Arial" w:hAnsi="Arial" w:cs="Arial"/>
          <w:b/>
          <w:sz w:val="24"/>
        </w:rPr>
        <w:t>Estimated Annualized Burden Costs</w:t>
      </w:r>
    </w:p>
    <w:tbl>
      <w:tblPr>
        <w:tblW w:w="6390" w:type="dxa"/>
        <w:tblInd w:w="97" w:type="dxa"/>
        <w:tblLayout w:type="fixed"/>
        <w:tblCellMar>
          <w:left w:w="97" w:type="dxa"/>
          <w:right w:w="97" w:type="dxa"/>
        </w:tblCellMar>
        <w:tblLook w:val="0000" w:firstRow="0" w:lastRow="0" w:firstColumn="0" w:lastColumn="0" w:noHBand="0" w:noVBand="0"/>
      </w:tblPr>
      <w:tblGrid>
        <w:gridCol w:w="1800"/>
        <w:gridCol w:w="1440"/>
        <w:gridCol w:w="1800"/>
        <w:gridCol w:w="1350"/>
      </w:tblGrid>
      <w:tr w:rsidR="001F6E52" w:rsidRPr="00413F6F" w14:paraId="43BDB97D" w14:textId="77777777" w:rsidTr="009344D0">
        <w:trPr>
          <w:trHeight w:val="1030"/>
        </w:trPr>
        <w:tc>
          <w:tcPr>
            <w:tcW w:w="1800" w:type="dxa"/>
            <w:tcBorders>
              <w:top w:val="single" w:sz="2" w:space="0" w:color="auto"/>
              <w:left w:val="single" w:sz="2" w:space="0" w:color="auto"/>
              <w:bottom w:val="single" w:sz="2" w:space="0" w:color="auto"/>
              <w:right w:val="single" w:sz="2" w:space="0" w:color="auto"/>
            </w:tcBorders>
            <w:vAlign w:val="bottom"/>
          </w:tcPr>
          <w:p w14:paraId="3246BC3F" w14:textId="77777777" w:rsidR="001F6E52" w:rsidRPr="00201406" w:rsidRDefault="001F6E52" w:rsidP="009344D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highlight w:val="yellow"/>
              </w:rPr>
            </w:pPr>
          </w:p>
          <w:p w14:paraId="5EB083D8" w14:textId="77777777" w:rsidR="001F6E52" w:rsidRPr="00413F6F" w:rsidRDefault="001F6E52" w:rsidP="009344D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highlight w:val="yellow"/>
              </w:rPr>
            </w:pPr>
            <w:r w:rsidRPr="00413F6F">
              <w:rPr>
                <w:b/>
              </w:rPr>
              <w:t xml:space="preserve">Type of Respondent </w:t>
            </w:r>
          </w:p>
        </w:tc>
        <w:tc>
          <w:tcPr>
            <w:tcW w:w="1440" w:type="dxa"/>
            <w:tcBorders>
              <w:top w:val="single" w:sz="2" w:space="0" w:color="auto"/>
              <w:left w:val="single" w:sz="2" w:space="0" w:color="auto"/>
              <w:bottom w:val="single" w:sz="2" w:space="0" w:color="auto"/>
              <w:right w:val="single" w:sz="2" w:space="0" w:color="auto"/>
            </w:tcBorders>
            <w:vAlign w:val="bottom"/>
          </w:tcPr>
          <w:p w14:paraId="34BECFD5" w14:textId="77777777" w:rsidR="001F6E52" w:rsidRPr="00413F6F" w:rsidRDefault="001F6E52" w:rsidP="009344D0">
            <w:pPr>
              <w:pStyle w:val="BodyText"/>
              <w:widowControl/>
              <w:jc w:val="center"/>
              <w:rPr>
                <w:b/>
                <w:sz w:val="22"/>
                <w:szCs w:val="22"/>
                <w:highlight w:val="yellow"/>
              </w:rPr>
            </w:pPr>
            <w:r w:rsidRPr="00413F6F">
              <w:rPr>
                <w:b/>
                <w:sz w:val="22"/>
                <w:szCs w:val="22"/>
              </w:rPr>
              <w:t xml:space="preserve">Total Burden Hours </w:t>
            </w:r>
          </w:p>
        </w:tc>
        <w:tc>
          <w:tcPr>
            <w:tcW w:w="1800" w:type="dxa"/>
            <w:tcBorders>
              <w:top w:val="single" w:sz="2" w:space="0" w:color="auto"/>
              <w:left w:val="single" w:sz="2" w:space="0" w:color="auto"/>
              <w:bottom w:val="single" w:sz="2" w:space="0" w:color="auto"/>
              <w:right w:val="single" w:sz="2" w:space="0" w:color="auto"/>
            </w:tcBorders>
            <w:vAlign w:val="bottom"/>
          </w:tcPr>
          <w:p w14:paraId="1737FA78" w14:textId="77777777" w:rsidR="001F6E52" w:rsidRPr="00201406" w:rsidRDefault="001F6E52" w:rsidP="009344D0">
            <w:pPr>
              <w:pStyle w:val="BodyText"/>
              <w:widowControl/>
              <w:jc w:val="center"/>
              <w:rPr>
                <w:highlight w:val="yellow"/>
              </w:rPr>
            </w:pPr>
          </w:p>
          <w:p w14:paraId="59908A22" w14:textId="77777777" w:rsidR="001F6E52" w:rsidRPr="00413F6F" w:rsidRDefault="001F6E52" w:rsidP="009344D0">
            <w:pPr>
              <w:pStyle w:val="BodyText"/>
              <w:widowControl/>
              <w:jc w:val="center"/>
              <w:rPr>
                <w:b/>
                <w:sz w:val="22"/>
                <w:szCs w:val="22"/>
                <w:highlight w:val="yellow"/>
              </w:rPr>
            </w:pPr>
            <w:r w:rsidRPr="00413F6F">
              <w:rPr>
                <w:b/>
                <w:sz w:val="22"/>
                <w:szCs w:val="22"/>
              </w:rPr>
              <w:t xml:space="preserve">Hourly Wage Rate </w:t>
            </w:r>
          </w:p>
        </w:tc>
        <w:tc>
          <w:tcPr>
            <w:tcW w:w="1350" w:type="dxa"/>
            <w:tcBorders>
              <w:top w:val="single" w:sz="2" w:space="0" w:color="auto"/>
              <w:left w:val="single" w:sz="2" w:space="0" w:color="auto"/>
              <w:bottom w:val="single" w:sz="2" w:space="0" w:color="auto"/>
              <w:right w:val="single" w:sz="2" w:space="0" w:color="auto"/>
            </w:tcBorders>
            <w:vAlign w:val="bottom"/>
          </w:tcPr>
          <w:p w14:paraId="19103191" w14:textId="77777777" w:rsidR="001F6E52" w:rsidRPr="00201406" w:rsidRDefault="001F6E52" w:rsidP="009344D0">
            <w:pPr>
              <w:pStyle w:val="BodyText"/>
              <w:widowControl/>
              <w:jc w:val="center"/>
              <w:rPr>
                <w:highlight w:val="yellow"/>
              </w:rPr>
            </w:pPr>
          </w:p>
          <w:p w14:paraId="1D4A3AC8" w14:textId="77777777" w:rsidR="001F6E52" w:rsidRPr="00413F6F" w:rsidRDefault="001F6E52" w:rsidP="009344D0">
            <w:pPr>
              <w:pStyle w:val="BodyText"/>
              <w:widowControl/>
              <w:jc w:val="center"/>
              <w:rPr>
                <w:b/>
                <w:sz w:val="22"/>
                <w:szCs w:val="22"/>
                <w:highlight w:val="yellow"/>
              </w:rPr>
            </w:pPr>
            <w:r w:rsidRPr="00413F6F">
              <w:rPr>
                <w:b/>
                <w:sz w:val="22"/>
                <w:szCs w:val="22"/>
              </w:rPr>
              <w:t xml:space="preserve">Total Respondent Costs </w:t>
            </w:r>
          </w:p>
        </w:tc>
      </w:tr>
      <w:tr w:rsidR="001F6E52" w:rsidRPr="00201406" w14:paraId="40037E06" w14:textId="77777777" w:rsidTr="009344D0">
        <w:tc>
          <w:tcPr>
            <w:tcW w:w="1800" w:type="dxa"/>
            <w:tcBorders>
              <w:top w:val="single" w:sz="2" w:space="0" w:color="auto"/>
              <w:left w:val="single" w:sz="2" w:space="0" w:color="auto"/>
              <w:bottom w:val="single" w:sz="2" w:space="0" w:color="auto"/>
              <w:right w:val="single" w:sz="2" w:space="0" w:color="auto"/>
            </w:tcBorders>
          </w:tcPr>
          <w:p w14:paraId="6081B80A" w14:textId="6A1E8B77" w:rsidR="001F6E52" w:rsidRPr="00A16295" w:rsidRDefault="001F6E52" w:rsidP="009344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sidRPr="00A16295">
              <w:rPr>
                <w:rFonts w:ascii="Arial" w:hAnsi="Arial" w:cs="Arial"/>
                <w:sz w:val="24"/>
              </w:rPr>
              <w:t xml:space="preserve">Administrative Assistant  </w:t>
            </w:r>
          </w:p>
        </w:tc>
        <w:tc>
          <w:tcPr>
            <w:tcW w:w="1440" w:type="dxa"/>
            <w:tcBorders>
              <w:top w:val="single" w:sz="2" w:space="0" w:color="auto"/>
              <w:left w:val="single" w:sz="2" w:space="0" w:color="auto"/>
              <w:bottom w:val="single" w:sz="2" w:space="0" w:color="auto"/>
              <w:right w:val="single" w:sz="2" w:space="0" w:color="auto"/>
            </w:tcBorders>
            <w:vAlign w:val="center"/>
          </w:tcPr>
          <w:p w14:paraId="6B7E4A58" w14:textId="056A58D5" w:rsidR="001F6E52" w:rsidRPr="00A16295" w:rsidRDefault="001F6E52" w:rsidP="009344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lang w:val="fr-FR"/>
              </w:rPr>
            </w:pPr>
            <w:r w:rsidRPr="00A16295">
              <w:rPr>
                <w:rFonts w:ascii="Arial" w:hAnsi="Arial" w:cs="Arial"/>
                <w:sz w:val="24"/>
                <w:lang w:val="fr-FR"/>
              </w:rPr>
              <w:t>118</w:t>
            </w:r>
          </w:p>
        </w:tc>
        <w:tc>
          <w:tcPr>
            <w:tcW w:w="1800" w:type="dxa"/>
            <w:tcBorders>
              <w:top w:val="single" w:sz="2" w:space="0" w:color="auto"/>
              <w:left w:val="single" w:sz="2" w:space="0" w:color="auto"/>
              <w:bottom w:val="single" w:sz="2" w:space="0" w:color="auto"/>
              <w:right w:val="single" w:sz="2" w:space="0" w:color="auto"/>
            </w:tcBorders>
            <w:vAlign w:val="center"/>
          </w:tcPr>
          <w:p w14:paraId="66F715B1" w14:textId="4564F34C" w:rsidR="001F6E52" w:rsidRPr="00A16295" w:rsidRDefault="001F6E52" w:rsidP="0041606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lang w:val="fr-FR"/>
              </w:rPr>
            </w:pPr>
            <w:r w:rsidRPr="00A16295">
              <w:rPr>
                <w:rFonts w:ascii="Arial" w:hAnsi="Arial" w:cs="Arial"/>
                <w:sz w:val="24"/>
              </w:rPr>
              <w:t>$</w:t>
            </w:r>
            <w:r w:rsidR="00B20AFD" w:rsidRPr="00A16295">
              <w:rPr>
                <w:rFonts w:ascii="Arial" w:hAnsi="Arial" w:cs="Arial"/>
                <w:sz w:val="24"/>
              </w:rPr>
              <w:t>17.</w:t>
            </w:r>
            <w:r w:rsidR="0041606D">
              <w:rPr>
                <w:rFonts w:ascii="Arial" w:hAnsi="Arial" w:cs="Arial"/>
                <w:sz w:val="24"/>
              </w:rPr>
              <w:t>90</w:t>
            </w:r>
            <w:r w:rsidRPr="00A16295">
              <w:rPr>
                <w:rFonts w:ascii="Arial" w:hAnsi="Arial" w:cs="Arial"/>
                <w:sz w:val="24"/>
              </w:rPr>
              <w:t>/hr</w:t>
            </w:r>
            <w:r w:rsidRPr="00A16295">
              <w:rPr>
                <w:rFonts w:ascii="Arial" w:hAnsi="Arial" w:cs="Arial"/>
                <w:sz w:val="24"/>
                <w:lang w:val="fr-FR"/>
              </w:rPr>
              <w:t xml:space="preserve"> </w:t>
            </w:r>
          </w:p>
        </w:tc>
        <w:tc>
          <w:tcPr>
            <w:tcW w:w="1350" w:type="dxa"/>
            <w:tcBorders>
              <w:top w:val="single" w:sz="2" w:space="0" w:color="auto"/>
              <w:left w:val="single" w:sz="2" w:space="0" w:color="auto"/>
              <w:bottom w:val="single" w:sz="2" w:space="0" w:color="auto"/>
              <w:right w:val="single" w:sz="2" w:space="0" w:color="auto"/>
            </w:tcBorders>
            <w:vAlign w:val="center"/>
          </w:tcPr>
          <w:p w14:paraId="30080DBB" w14:textId="7B7489BB" w:rsidR="001F6E52" w:rsidRPr="00A16295" w:rsidRDefault="001F6E52" w:rsidP="009344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lang w:val="fr-FR"/>
              </w:rPr>
            </w:pPr>
            <w:r w:rsidRPr="00A16295">
              <w:rPr>
                <w:rFonts w:ascii="Arial" w:hAnsi="Arial" w:cs="Arial"/>
                <w:sz w:val="24"/>
                <w:lang w:val="fr-FR"/>
              </w:rPr>
              <w:t>$</w:t>
            </w:r>
            <w:r w:rsidR="00B20AFD" w:rsidRPr="00A16295">
              <w:rPr>
                <w:rFonts w:ascii="Arial" w:hAnsi="Arial" w:cs="Arial"/>
                <w:sz w:val="24"/>
                <w:lang w:val="fr-FR"/>
              </w:rPr>
              <w:t>2</w:t>
            </w:r>
            <w:r w:rsidR="00271151" w:rsidRPr="00A16295">
              <w:rPr>
                <w:rFonts w:ascii="Arial" w:hAnsi="Arial" w:cs="Arial"/>
                <w:sz w:val="24"/>
                <w:lang w:val="fr-FR"/>
              </w:rPr>
              <w:t>,</w:t>
            </w:r>
            <w:r w:rsidR="0041606D">
              <w:rPr>
                <w:rFonts w:ascii="Arial" w:hAnsi="Arial" w:cs="Arial"/>
                <w:sz w:val="24"/>
                <w:lang w:val="fr-FR"/>
              </w:rPr>
              <w:t>112.20</w:t>
            </w:r>
          </w:p>
        </w:tc>
      </w:tr>
      <w:tr w:rsidR="001F6E52" w:rsidRPr="00201406" w14:paraId="6ADA7EDC" w14:textId="77777777" w:rsidTr="009344D0">
        <w:tc>
          <w:tcPr>
            <w:tcW w:w="1800" w:type="dxa"/>
            <w:tcBorders>
              <w:top w:val="single" w:sz="2" w:space="0" w:color="auto"/>
              <w:left w:val="single" w:sz="2" w:space="0" w:color="auto"/>
              <w:bottom w:val="single" w:sz="2" w:space="0" w:color="auto"/>
              <w:right w:val="single" w:sz="2" w:space="0" w:color="auto"/>
            </w:tcBorders>
          </w:tcPr>
          <w:p w14:paraId="610683C5" w14:textId="77777777" w:rsidR="001F6E52" w:rsidRPr="00A16295" w:rsidRDefault="001F6E52" w:rsidP="009344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lang w:val="fr-FR"/>
              </w:rPr>
            </w:pPr>
            <w:r w:rsidRPr="00A16295">
              <w:rPr>
                <w:rFonts w:ascii="Arial" w:hAnsi="Arial" w:cs="Arial"/>
                <w:sz w:val="24"/>
                <w:lang w:val="fr-FR"/>
              </w:rPr>
              <w:t>Total</w:t>
            </w:r>
          </w:p>
        </w:tc>
        <w:tc>
          <w:tcPr>
            <w:tcW w:w="1440" w:type="dxa"/>
            <w:tcBorders>
              <w:top w:val="single" w:sz="2" w:space="0" w:color="auto"/>
              <w:left w:val="single" w:sz="2" w:space="0" w:color="auto"/>
              <w:bottom w:val="single" w:sz="2" w:space="0" w:color="auto"/>
              <w:right w:val="single" w:sz="2" w:space="0" w:color="auto"/>
            </w:tcBorders>
          </w:tcPr>
          <w:p w14:paraId="51FA035E" w14:textId="77777777" w:rsidR="001F6E52" w:rsidRPr="00A16295" w:rsidRDefault="001F6E52" w:rsidP="009344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lang w:val="fr-FR"/>
              </w:rPr>
            </w:pPr>
          </w:p>
        </w:tc>
        <w:tc>
          <w:tcPr>
            <w:tcW w:w="1800" w:type="dxa"/>
            <w:tcBorders>
              <w:top w:val="single" w:sz="2" w:space="0" w:color="auto"/>
              <w:left w:val="single" w:sz="2" w:space="0" w:color="auto"/>
              <w:bottom w:val="single" w:sz="2" w:space="0" w:color="auto"/>
              <w:right w:val="single" w:sz="2" w:space="0" w:color="auto"/>
            </w:tcBorders>
          </w:tcPr>
          <w:p w14:paraId="7F600F13" w14:textId="77777777" w:rsidR="001F6E52" w:rsidRPr="00A16295" w:rsidRDefault="001F6E52" w:rsidP="009344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lang w:val="fr-FR"/>
              </w:rPr>
            </w:pPr>
          </w:p>
        </w:tc>
        <w:tc>
          <w:tcPr>
            <w:tcW w:w="1350" w:type="dxa"/>
            <w:tcBorders>
              <w:top w:val="single" w:sz="2" w:space="0" w:color="auto"/>
              <w:left w:val="single" w:sz="2" w:space="0" w:color="auto"/>
              <w:bottom w:val="single" w:sz="2" w:space="0" w:color="auto"/>
              <w:right w:val="single" w:sz="2" w:space="0" w:color="auto"/>
            </w:tcBorders>
          </w:tcPr>
          <w:p w14:paraId="232F5B9E" w14:textId="2E504112" w:rsidR="001F6E52" w:rsidRPr="00A16295" w:rsidRDefault="001F6E52" w:rsidP="009344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lang w:val="fr-FR"/>
              </w:rPr>
            </w:pPr>
            <w:r w:rsidRPr="00A16295">
              <w:rPr>
                <w:rFonts w:ascii="Arial" w:hAnsi="Arial" w:cs="Arial"/>
                <w:sz w:val="24"/>
                <w:lang w:val="fr-FR"/>
              </w:rPr>
              <w:t>$</w:t>
            </w:r>
            <w:r w:rsidR="00B20AFD" w:rsidRPr="00A16295">
              <w:rPr>
                <w:rFonts w:ascii="Arial" w:hAnsi="Arial" w:cs="Arial"/>
                <w:sz w:val="24"/>
                <w:lang w:val="fr-FR"/>
              </w:rPr>
              <w:t>2</w:t>
            </w:r>
            <w:r w:rsidR="00271151" w:rsidRPr="00A16295">
              <w:rPr>
                <w:rFonts w:ascii="Arial" w:hAnsi="Arial" w:cs="Arial"/>
                <w:sz w:val="24"/>
                <w:lang w:val="fr-FR"/>
              </w:rPr>
              <w:t>,</w:t>
            </w:r>
            <w:r w:rsidR="0041606D">
              <w:rPr>
                <w:rFonts w:ascii="Arial" w:hAnsi="Arial" w:cs="Arial"/>
                <w:sz w:val="24"/>
                <w:lang w:val="fr-FR"/>
              </w:rPr>
              <w:t>112.20</w:t>
            </w:r>
          </w:p>
        </w:tc>
      </w:tr>
    </w:tbl>
    <w:p w14:paraId="25D3012D" w14:textId="57DD1286" w:rsidR="00A16295" w:rsidRDefault="005F573B" w:rsidP="00A16295">
      <w:pPr>
        <w:widowControl/>
        <w:spacing w:before="120"/>
        <w:rPr>
          <w:rFonts w:ascii="Arial" w:hAnsi="Arial" w:cs="Arial"/>
          <w:sz w:val="24"/>
        </w:rPr>
      </w:pPr>
      <w:r w:rsidRPr="00A16295">
        <w:rPr>
          <w:rFonts w:ascii="Arial" w:eastAsia="Calibri" w:hAnsi="Arial" w:cs="Arial"/>
          <w:sz w:val="24"/>
        </w:rPr>
        <w:t xml:space="preserve">The hourly wage rates were taken </w:t>
      </w:r>
      <w:r w:rsidR="00621DDD">
        <w:rPr>
          <w:rFonts w:ascii="Arial" w:eastAsia="Calibri" w:hAnsi="Arial" w:cs="Arial"/>
          <w:sz w:val="24"/>
        </w:rPr>
        <w:t xml:space="preserve">from </w:t>
      </w:r>
      <w:r w:rsidRPr="00A16295">
        <w:rPr>
          <w:rFonts w:ascii="Arial" w:eastAsia="Calibri" w:hAnsi="Arial" w:cs="Arial"/>
          <w:sz w:val="24"/>
        </w:rPr>
        <w:t xml:space="preserve">the Bureau of Labor Statistics, </w:t>
      </w:r>
      <w:r w:rsidR="0041606D">
        <w:rPr>
          <w:rFonts w:ascii="Arial" w:eastAsia="Calibri" w:hAnsi="Arial" w:cs="Arial"/>
          <w:sz w:val="24"/>
        </w:rPr>
        <w:t>May 2016</w:t>
      </w:r>
      <w:r w:rsidRPr="00A16295">
        <w:rPr>
          <w:rFonts w:ascii="Arial" w:eastAsia="Calibri" w:hAnsi="Arial" w:cs="Arial"/>
          <w:sz w:val="24"/>
        </w:rPr>
        <w:t xml:space="preserve"> National Industry-Specific Occupational Employment and Wage Estimates, Sector 62 – </w:t>
      </w:r>
      <w:r w:rsidR="00A16295" w:rsidRPr="00A16295">
        <w:rPr>
          <w:rFonts w:ascii="Arial" w:hAnsi="Arial" w:cs="Arial"/>
          <w:bCs/>
          <w:sz w:val="24"/>
        </w:rPr>
        <w:t>Secretaries and Administrative Assistants</w:t>
      </w:r>
      <w:r w:rsidR="00A16295">
        <w:rPr>
          <w:rFonts w:ascii="Arial" w:hAnsi="Arial" w:cs="Arial"/>
          <w:bCs/>
          <w:sz w:val="24"/>
        </w:rPr>
        <w:t>. (</w:t>
      </w:r>
      <w:hyperlink r:id="rId20" w:history="1">
        <w:r w:rsidR="00F66D79" w:rsidRPr="00045A14">
          <w:rPr>
            <w:rStyle w:val="Hyperlink"/>
            <w:rFonts w:ascii="Arial" w:hAnsi="Arial" w:cs="Arial"/>
            <w:sz w:val="24"/>
          </w:rPr>
          <w:t>https://www.bls.gov/ooh/office-and-administrative-support/secretaries-and-administrative-assistants.htm</w:t>
        </w:r>
      </w:hyperlink>
      <w:r w:rsidR="00A16295">
        <w:rPr>
          <w:rFonts w:ascii="Arial" w:hAnsi="Arial" w:cs="Arial"/>
          <w:sz w:val="24"/>
        </w:rPr>
        <w:t>)</w:t>
      </w:r>
    </w:p>
    <w:p w14:paraId="119F5094" w14:textId="77777777" w:rsidR="00F66D79" w:rsidRPr="00A16295" w:rsidRDefault="00F66D79" w:rsidP="00A16295">
      <w:pPr>
        <w:widowControl/>
        <w:spacing w:before="120"/>
        <w:rPr>
          <w:rFonts w:ascii="Arial" w:hAnsi="Arial" w:cs="Arial"/>
          <w:sz w:val="24"/>
        </w:rPr>
      </w:pPr>
    </w:p>
    <w:p w14:paraId="12DBC14A"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Estimates of other Total Annual Cost Burden to Respondents or Recordkeepers/Capital Costs</w:t>
      </w:r>
    </w:p>
    <w:p w14:paraId="4DE61968" w14:textId="0CDDA18F" w:rsidR="008F0387" w:rsidRPr="00AE7D2D" w:rsidRDefault="008F0387" w:rsidP="00A16295">
      <w:pPr>
        <w:pStyle w:val="BodyTextIndent"/>
        <w:spacing w:before="120"/>
        <w:ind w:left="0"/>
        <w:rPr>
          <w:rFonts w:ascii="Arial" w:hAnsi="Arial" w:cs="Arial"/>
        </w:rPr>
      </w:pPr>
      <w:r w:rsidRPr="00AE7D2D">
        <w:rPr>
          <w:rFonts w:ascii="Arial" w:hAnsi="Arial" w:cs="Arial"/>
        </w:rPr>
        <w:t>Other than their time, there is no cost to respondents</w:t>
      </w:r>
      <w:r w:rsidR="00C9640A">
        <w:rPr>
          <w:rFonts w:ascii="Arial" w:hAnsi="Arial" w:cs="Arial"/>
        </w:rPr>
        <w:t>.</w:t>
      </w:r>
    </w:p>
    <w:p w14:paraId="12DBC14E" w14:textId="0A79E78D"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Annualized Cost to Federal Government</w:t>
      </w:r>
    </w:p>
    <w:p w14:paraId="57148826" w14:textId="1DF8CC06" w:rsidR="008F0387" w:rsidRPr="00AE7D2D" w:rsidRDefault="008F0387" w:rsidP="008F0387">
      <w:pPr>
        <w:rPr>
          <w:rFonts w:ascii="Arial" w:hAnsi="Arial" w:cs="Arial"/>
          <w:sz w:val="24"/>
        </w:rPr>
      </w:pPr>
      <w:r w:rsidRPr="00AE7D2D">
        <w:rPr>
          <w:rFonts w:ascii="Arial" w:hAnsi="Arial" w:cs="Arial"/>
          <w:sz w:val="24"/>
        </w:rPr>
        <w:t xml:space="preserve">An estimated 0.1 FTE at the GS 12 Step </w:t>
      </w:r>
      <w:r w:rsidR="005D6637">
        <w:rPr>
          <w:rFonts w:ascii="Arial" w:hAnsi="Arial" w:cs="Arial"/>
          <w:sz w:val="24"/>
        </w:rPr>
        <w:t xml:space="preserve">level </w:t>
      </w:r>
      <w:r w:rsidRPr="00AE7D2D">
        <w:rPr>
          <w:rFonts w:ascii="Arial" w:hAnsi="Arial" w:cs="Arial"/>
          <w:sz w:val="24"/>
        </w:rPr>
        <w:t>3</w:t>
      </w:r>
      <w:r w:rsidR="005D6637" w:rsidRPr="00AE7D2D">
        <w:rPr>
          <w:rFonts w:ascii="Arial" w:hAnsi="Arial" w:cs="Arial"/>
          <w:sz w:val="24"/>
        </w:rPr>
        <w:t xml:space="preserve"> is </w:t>
      </w:r>
      <w:r w:rsidR="005D6637">
        <w:rPr>
          <w:rFonts w:ascii="Arial" w:hAnsi="Arial" w:cs="Arial"/>
          <w:sz w:val="24"/>
        </w:rPr>
        <w:t>needed to</w:t>
      </w:r>
      <w:r w:rsidRPr="00AE7D2D">
        <w:rPr>
          <w:rFonts w:ascii="Arial" w:hAnsi="Arial" w:cs="Arial"/>
          <w:sz w:val="24"/>
        </w:rPr>
        <w:t xml:space="preserve"> serve as the coordinator for data evaluation</w:t>
      </w:r>
      <w:r w:rsidR="005D6637">
        <w:rPr>
          <w:rFonts w:ascii="Arial" w:hAnsi="Arial" w:cs="Arial"/>
          <w:sz w:val="24"/>
        </w:rPr>
        <w:t xml:space="preserve">. As coordinator, the Federal employee will </w:t>
      </w:r>
      <w:r w:rsidRPr="00AE7D2D">
        <w:rPr>
          <w:rFonts w:ascii="Arial" w:hAnsi="Arial" w:cs="Arial"/>
          <w:sz w:val="24"/>
        </w:rPr>
        <w:t xml:space="preserve">provide </w:t>
      </w:r>
      <w:r w:rsidR="005D6637" w:rsidRPr="00AE7D2D">
        <w:rPr>
          <w:rFonts w:ascii="Arial" w:hAnsi="Arial" w:cs="Arial"/>
          <w:sz w:val="24"/>
        </w:rPr>
        <w:t xml:space="preserve">technical assistance to </w:t>
      </w:r>
      <w:r w:rsidR="005D6637">
        <w:rPr>
          <w:rFonts w:ascii="Arial" w:hAnsi="Arial" w:cs="Arial"/>
          <w:sz w:val="24"/>
        </w:rPr>
        <w:t>awardees</w:t>
      </w:r>
      <w:r w:rsidRPr="00AE7D2D">
        <w:rPr>
          <w:rFonts w:ascii="Arial" w:hAnsi="Arial" w:cs="Arial"/>
          <w:sz w:val="24"/>
        </w:rPr>
        <w:t xml:space="preserve"> regarding the data collection process and subsequent evaluation at an estimated cost of $</w:t>
      </w:r>
      <w:r w:rsidR="005D6637" w:rsidRPr="00AE7D2D">
        <w:rPr>
          <w:rFonts w:ascii="Arial" w:hAnsi="Arial" w:cs="Arial"/>
          <w:sz w:val="24"/>
        </w:rPr>
        <w:t>8,</w:t>
      </w:r>
      <w:r w:rsidR="0041606D">
        <w:rPr>
          <w:rFonts w:ascii="Arial" w:hAnsi="Arial" w:cs="Arial"/>
          <w:sz w:val="24"/>
        </w:rPr>
        <w:t>503.50</w:t>
      </w:r>
      <w:r w:rsidRPr="00AE7D2D">
        <w:rPr>
          <w:rFonts w:ascii="Arial" w:hAnsi="Arial" w:cs="Arial"/>
          <w:sz w:val="24"/>
        </w:rPr>
        <w:t xml:space="preserve"> annually.</w:t>
      </w:r>
      <w:r w:rsidR="005D6637" w:rsidRPr="00AE7D2D">
        <w:rPr>
          <w:rFonts w:ascii="Arial" w:hAnsi="Arial" w:cs="Arial"/>
          <w:sz w:val="24"/>
        </w:rPr>
        <w:t xml:space="preserve"> </w:t>
      </w:r>
      <w:r w:rsidRPr="00AE7D2D">
        <w:rPr>
          <w:rFonts w:ascii="Arial" w:hAnsi="Arial" w:cs="Arial"/>
          <w:sz w:val="24"/>
        </w:rPr>
        <w:t>Using</w:t>
      </w:r>
      <w:r w:rsidR="005E03FF" w:rsidRPr="00AE7D2D">
        <w:rPr>
          <w:rFonts w:ascii="Arial" w:hAnsi="Arial" w:cs="Arial"/>
          <w:sz w:val="24"/>
        </w:rPr>
        <w:t xml:space="preserve"> 201</w:t>
      </w:r>
      <w:r w:rsidR="0041606D">
        <w:rPr>
          <w:rFonts w:ascii="Arial" w:hAnsi="Arial" w:cs="Arial"/>
          <w:sz w:val="24"/>
        </w:rPr>
        <w:t>7</w:t>
      </w:r>
      <w:r w:rsidRPr="00AE7D2D">
        <w:rPr>
          <w:rFonts w:ascii="Arial" w:hAnsi="Arial" w:cs="Arial"/>
          <w:sz w:val="24"/>
        </w:rPr>
        <w:t xml:space="preserve"> as a base year, the annual salary of a GS 12 Step </w:t>
      </w:r>
      <w:r w:rsidR="005D6637" w:rsidRPr="00AE7D2D">
        <w:rPr>
          <w:rFonts w:ascii="Arial" w:hAnsi="Arial" w:cs="Arial"/>
          <w:sz w:val="24"/>
        </w:rPr>
        <w:t>3 is $8</w:t>
      </w:r>
      <w:r w:rsidR="0041606D">
        <w:rPr>
          <w:rFonts w:ascii="Arial" w:hAnsi="Arial" w:cs="Arial"/>
          <w:sz w:val="24"/>
        </w:rPr>
        <w:t>5,035</w:t>
      </w:r>
      <w:r w:rsidR="005D6637" w:rsidRPr="00AE7D2D">
        <w:rPr>
          <w:rFonts w:ascii="Arial" w:hAnsi="Arial" w:cs="Arial"/>
          <w:sz w:val="24"/>
        </w:rPr>
        <w:t xml:space="preserve">. </w:t>
      </w:r>
    </w:p>
    <w:p w14:paraId="12DBC151"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Explanation for Program Changes or Adjustments</w:t>
      </w:r>
    </w:p>
    <w:p w14:paraId="65943C1E" w14:textId="030961C8" w:rsidR="008F0387" w:rsidRPr="005F573B" w:rsidRDefault="00776749" w:rsidP="00A16295">
      <w:pPr>
        <w:pStyle w:val="BodyTextIndent"/>
        <w:spacing w:before="120"/>
        <w:ind w:left="0"/>
        <w:rPr>
          <w:rFonts w:ascii="Arial" w:hAnsi="Arial" w:cs="Arial"/>
        </w:rPr>
      </w:pPr>
      <w:r>
        <w:rPr>
          <w:rFonts w:ascii="Arial" w:hAnsi="Arial" w:cs="Arial"/>
        </w:rPr>
        <w:t>There are no changes to this tool</w:t>
      </w:r>
      <w:r w:rsidR="008F0387" w:rsidRPr="005F573B">
        <w:rPr>
          <w:rFonts w:ascii="Arial" w:hAnsi="Arial" w:cs="Arial"/>
        </w:rPr>
        <w:t>.</w:t>
      </w:r>
    </w:p>
    <w:p w14:paraId="12DBC159" w14:textId="657B644F"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Plans for Tabulation</w:t>
      </w:r>
      <w:r w:rsidR="002118B4" w:rsidRPr="00C45431">
        <w:rPr>
          <w:rFonts w:ascii="Arial" w:hAnsi="Arial" w:cs="Arial"/>
          <w:b/>
          <w:sz w:val="24"/>
          <w:u w:val="single"/>
        </w:rPr>
        <w:t xml:space="preserve">, </w:t>
      </w:r>
      <w:r w:rsidRPr="00C45431">
        <w:rPr>
          <w:rFonts w:ascii="Arial" w:hAnsi="Arial" w:cs="Arial"/>
          <w:b/>
          <w:sz w:val="24"/>
          <w:u w:val="single"/>
        </w:rPr>
        <w:t>Publication</w:t>
      </w:r>
      <w:r w:rsidR="002118B4" w:rsidRPr="00C45431">
        <w:rPr>
          <w:rFonts w:ascii="Arial" w:hAnsi="Arial" w:cs="Arial"/>
          <w:b/>
          <w:sz w:val="24"/>
          <w:u w:val="single"/>
        </w:rPr>
        <w:t>,</w:t>
      </w:r>
      <w:r w:rsidRPr="00C45431">
        <w:rPr>
          <w:rFonts w:ascii="Arial" w:hAnsi="Arial" w:cs="Arial"/>
          <w:b/>
          <w:sz w:val="24"/>
          <w:u w:val="single"/>
        </w:rPr>
        <w:t xml:space="preserve"> and Project Time Schedule</w:t>
      </w:r>
    </w:p>
    <w:p w14:paraId="2D866A10" w14:textId="64617124" w:rsidR="004E58EF" w:rsidRPr="00AE7D2D" w:rsidRDefault="004E58EF" w:rsidP="004E58EF">
      <w:pPr>
        <w:rPr>
          <w:rFonts w:ascii="Arial" w:hAnsi="Arial" w:cs="Arial"/>
          <w:sz w:val="24"/>
        </w:rPr>
      </w:pPr>
      <w:r w:rsidRPr="00AE7D2D">
        <w:rPr>
          <w:rFonts w:ascii="Arial" w:hAnsi="Arial" w:cs="Arial"/>
          <w:sz w:val="24"/>
        </w:rPr>
        <w:t xml:space="preserve">There are no plans for the manipulation or </w:t>
      </w:r>
      <w:r w:rsidR="00B83968" w:rsidRPr="00AE7D2D">
        <w:rPr>
          <w:rFonts w:ascii="Arial" w:hAnsi="Arial" w:cs="Arial"/>
          <w:sz w:val="24"/>
        </w:rPr>
        <w:t xml:space="preserve">publication of collected data. </w:t>
      </w:r>
      <w:r w:rsidRPr="00AE7D2D">
        <w:rPr>
          <w:rFonts w:ascii="Arial" w:hAnsi="Arial" w:cs="Arial"/>
          <w:sz w:val="24"/>
        </w:rPr>
        <w:t xml:space="preserve">The THCGME program </w:t>
      </w:r>
      <w:r w:rsidR="008C387A" w:rsidRPr="00AE7D2D">
        <w:rPr>
          <w:rFonts w:ascii="Arial" w:hAnsi="Arial" w:cs="Arial"/>
          <w:sz w:val="24"/>
        </w:rPr>
        <w:t>requires</w:t>
      </w:r>
      <w:r w:rsidRPr="00AE7D2D">
        <w:rPr>
          <w:rFonts w:ascii="Arial" w:hAnsi="Arial" w:cs="Arial"/>
          <w:sz w:val="24"/>
        </w:rPr>
        <w:t xml:space="preserve"> that award recipients</w:t>
      </w:r>
      <w:r w:rsidR="008C387A" w:rsidRPr="00AE7D2D">
        <w:rPr>
          <w:rFonts w:ascii="Arial" w:hAnsi="Arial" w:cs="Arial"/>
          <w:sz w:val="24"/>
        </w:rPr>
        <w:t xml:space="preserve"> submit</w:t>
      </w:r>
      <w:r w:rsidRPr="00AE7D2D">
        <w:rPr>
          <w:rFonts w:ascii="Arial" w:hAnsi="Arial" w:cs="Arial"/>
          <w:sz w:val="24"/>
        </w:rPr>
        <w:t xml:space="preserve"> the data collection instrument at the end of each academic year. </w:t>
      </w:r>
    </w:p>
    <w:p w14:paraId="12DBC15C" w14:textId="52B78523"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Reason(s) Display of OMB Expiration Date is Inappropriate</w:t>
      </w:r>
    </w:p>
    <w:p w14:paraId="12DBC15D" w14:textId="58C5129E" w:rsidR="009B3794" w:rsidRPr="00AE7D2D" w:rsidRDefault="00D11CA3" w:rsidP="00A16295">
      <w:pPr>
        <w:pStyle w:val="BodyTextIndent"/>
        <w:spacing w:before="120"/>
        <w:ind w:left="0"/>
        <w:rPr>
          <w:rFonts w:ascii="Arial" w:hAnsi="Arial" w:cs="Arial"/>
          <w:b/>
        </w:rPr>
      </w:pPr>
      <w:r w:rsidRPr="00AE7D2D">
        <w:rPr>
          <w:rFonts w:ascii="Arial" w:hAnsi="Arial" w:cs="Arial"/>
        </w:rPr>
        <w:t>The OMB number and Expiration date will be</w:t>
      </w:r>
      <w:r w:rsidR="00A16295">
        <w:rPr>
          <w:rFonts w:ascii="Arial" w:hAnsi="Arial" w:cs="Arial"/>
        </w:rPr>
        <w:t xml:space="preserve"> </w:t>
      </w:r>
      <w:r w:rsidRPr="00AE7D2D">
        <w:rPr>
          <w:rFonts w:ascii="Arial" w:hAnsi="Arial" w:cs="Arial"/>
        </w:rPr>
        <w:t xml:space="preserve">displayed on every page </w:t>
      </w:r>
      <w:r w:rsidR="008C387A" w:rsidRPr="00AE7D2D">
        <w:rPr>
          <w:rFonts w:ascii="Arial" w:hAnsi="Arial" w:cs="Arial"/>
        </w:rPr>
        <w:t xml:space="preserve">of the </w:t>
      </w:r>
      <w:r w:rsidRPr="00AE7D2D">
        <w:rPr>
          <w:rFonts w:ascii="Arial" w:hAnsi="Arial" w:cs="Arial"/>
        </w:rPr>
        <w:t>instrument</w:t>
      </w:r>
      <w:r w:rsidRPr="00AE7D2D">
        <w:rPr>
          <w:rFonts w:ascii="Arial" w:hAnsi="Arial" w:cs="Arial"/>
          <w:b/>
        </w:rPr>
        <w:t>.</w:t>
      </w:r>
    </w:p>
    <w:p w14:paraId="12DBC15E"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Exceptions to Certification for Paperwork Reduction Act Submissions</w:t>
      </w:r>
    </w:p>
    <w:p w14:paraId="632C6488" w14:textId="77777777" w:rsidR="008C387A" w:rsidRDefault="008C387A" w:rsidP="00A16295">
      <w:pPr>
        <w:pStyle w:val="BodyTextIndent"/>
        <w:spacing w:before="120"/>
        <w:ind w:left="0"/>
        <w:rPr>
          <w:rFonts w:ascii="Arial" w:hAnsi="Arial" w:cs="Arial"/>
        </w:rPr>
      </w:pPr>
      <w:r w:rsidRPr="008C387A">
        <w:rPr>
          <w:rFonts w:ascii="Arial" w:hAnsi="Arial" w:cs="Arial"/>
        </w:rPr>
        <w:t>There are no exceptions to the certification.</w:t>
      </w:r>
      <w:r w:rsidRPr="00C45431" w:rsidDel="008C387A">
        <w:rPr>
          <w:rFonts w:ascii="Arial" w:hAnsi="Arial" w:cs="Arial"/>
        </w:rPr>
        <w:t xml:space="preserve"> </w:t>
      </w:r>
    </w:p>
    <w:p w14:paraId="12DBC15F" w14:textId="35A54A64" w:rsidR="009B3794" w:rsidRPr="00C45431" w:rsidRDefault="009B3794" w:rsidP="00CA3DA6">
      <w:pPr>
        <w:pStyle w:val="BodyTextIndent"/>
        <w:spacing w:before="120"/>
        <w:ind w:left="360"/>
        <w:rPr>
          <w:rFonts w:ascii="Arial" w:hAnsi="Arial" w:cs="Arial"/>
        </w:rPr>
      </w:pPr>
    </w:p>
    <w:sectPr w:rsidR="009B3794" w:rsidRPr="00C45431" w:rsidSect="001D4856">
      <w:footerReference w:type="default" r:id="rId21"/>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DBC162" w14:textId="77777777" w:rsidR="00680D76" w:rsidRDefault="00680D76">
      <w:r>
        <w:separator/>
      </w:r>
    </w:p>
  </w:endnote>
  <w:endnote w:type="continuationSeparator" w:id="0">
    <w:p w14:paraId="12DBC163" w14:textId="77777777" w:rsidR="00680D76" w:rsidRDefault="00680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BC164" w14:textId="77777777" w:rsidR="00D92E1D" w:rsidRDefault="00D92E1D">
    <w:pPr>
      <w:spacing w:line="240" w:lineRule="exact"/>
    </w:pPr>
  </w:p>
  <w:p w14:paraId="12DBC165" w14:textId="765CD022" w:rsidR="00D92E1D" w:rsidRDefault="00B655C6">
    <w:pPr>
      <w:framePr w:w="9361" w:wrap="notBeside" w:vAnchor="text" w:hAnchor="text" w:x="1" w:y="1"/>
      <w:jc w:val="center"/>
      <w:rPr>
        <w:sz w:val="24"/>
      </w:rPr>
    </w:pPr>
    <w:r>
      <w:rPr>
        <w:sz w:val="24"/>
      </w:rPr>
      <w:fldChar w:fldCharType="begin"/>
    </w:r>
    <w:r w:rsidR="00D92E1D">
      <w:rPr>
        <w:sz w:val="24"/>
      </w:rPr>
      <w:instrText xml:space="preserve">PAGE </w:instrText>
    </w:r>
    <w:r>
      <w:rPr>
        <w:sz w:val="24"/>
      </w:rPr>
      <w:fldChar w:fldCharType="separate"/>
    </w:r>
    <w:r w:rsidR="00E837E0">
      <w:rPr>
        <w:noProof/>
        <w:sz w:val="24"/>
      </w:rPr>
      <w:t>6</w:t>
    </w:r>
    <w:r>
      <w:rPr>
        <w:sz w:val="24"/>
      </w:rPr>
      <w:fldChar w:fldCharType="end"/>
    </w:r>
  </w:p>
  <w:p w14:paraId="12DBC166" w14:textId="77777777" w:rsidR="00D92E1D" w:rsidRDefault="00D92E1D">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DBC160" w14:textId="77777777" w:rsidR="00680D76" w:rsidRDefault="00680D76">
      <w:r>
        <w:separator/>
      </w:r>
    </w:p>
  </w:footnote>
  <w:footnote w:type="continuationSeparator" w:id="0">
    <w:p w14:paraId="12DBC161" w14:textId="77777777" w:rsidR="00680D76" w:rsidRDefault="00680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70D87"/>
    <w:multiLevelType w:val="hybridMultilevel"/>
    <w:tmpl w:val="3224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8BA0572"/>
    <w:multiLevelType w:val="hybridMultilevel"/>
    <w:tmpl w:val="211EF9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0ACC676D"/>
    <w:multiLevelType w:val="hybridMultilevel"/>
    <w:tmpl w:val="19925D9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5" w15:restartNumberingAfterBreak="0">
    <w:nsid w:val="0BA326D6"/>
    <w:multiLevelType w:val="hybridMultilevel"/>
    <w:tmpl w:val="10A2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7F210B"/>
    <w:multiLevelType w:val="hybridMultilevel"/>
    <w:tmpl w:val="97F640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16F1537B"/>
    <w:multiLevelType w:val="hybridMultilevel"/>
    <w:tmpl w:val="E03AB28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1A124824"/>
    <w:multiLevelType w:val="hybridMultilevel"/>
    <w:tmpl w:val="AA7E3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210619A5"/>
    <w:multiLevelType w:val="hybridMultilevel"/>
    <w:tmpl w:val="E69454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29FC522A"/>
    <w:multiLevelType w:val="hybridMultilevel"/>
    <w:tmpl w:val="DC2AD4B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4" w15:restartNumberingAfterBreak="0">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359021E7"/>
    <w:multiLevelType w:val="hybridMultilevel"/>
    <w:tmpl w:val="CB889AC4"/>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6" w15:restartNumberingAfterBreak="0">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3ACC71D8"/>
    <w:multiLevelType w:val="hybridMultilevel"/>
    <w:tmpl w:val="720CB386"/>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15:restartNumberingAfterBreak="0">
    <w:nsid w:val="40F41527"/>
    <w:multiLevelType w:val="hybridMultilevel"/>
    <w:tmpl w:val="5C5EDD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9" w15:restartNumberingAfterBreak="0">
    <w:nsid w:val="42CA0CF3"/>
    <w:multiLevelType w:val="hybridMultilevel"/>
    <w:tmpl w:val="DC4AB2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43CD5E17"/>
    <w:multiLevelType w:val="hybridMultilevel"/>
    <w:tmpl w:val="BE9E6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4DDE1051"/>
    <w:multiLevelType w:val="hybridMultilevel"/>
    <w:tmpl w:val="36AE2F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53E41430"/>
    <w:multiLevelType w:val="hybridMultilevel"/>
    <w:tmpl w:val="57AA6CBE"/>
    <w:lvl w:ilvl="0" w:tplc="04090001">
      <w:start w:val="1"/>
      <w:numFmt w:val="bullet"/>
      <w:lvlText w:val=""/>
      <w:lvlJc w:val="left"/>
      <w:pPr>
        <w:tabs>
          <w:tab w:val="num" w:pos="2175"/>
        </w:tabs>
        <w:ind w:left="2175" w:hanging="360"/>
      </w:pPr>
      <w:rPr>
        <w:rFonts w:ascii="Symbol" w:hAnsi="Symbol" w:hint="default"/>
      </w:rPr>
    </w:lvl>
    <w:lvl w:ilvl="1" w:tplc="04090003" w:tentative="1">
      <w:start w:val="1"/>
      <w:numFmt w:val="bullet"/>
      <w:lvlText w:val="o"/>
      <w:lvlJc w:val="left"/>
      <w:pPr>
        <w:tabs>
          <w:tab w:val="num" w:pos="2895"/>
        </w:tabs>
        <w:ind w:left="2895" w:hanging="360"/>
      </w:pPr>
      <w:rPr>
        <w:rFonts w:ascii="Courier New" w:hAnsi="Courier New" w:cs="Courier New" w:hint="default"/>
      </w:rPr>
    </w:lvl>
    <w:lvl w:ilvl="2" w:tplc="04090005" w:tentative="1">
      <w:start w:val="1"/>
      <w:numFmt w:val="bullet"/>
      <w:lvlText w:val=""/>
      <w:lvlJc w:val="left"/>
      <w:pPr>
        <w:tabs>
          <w:tab w:val="num" w:pos="3615"/>
        </w:tabs>
        <w:ind w:left="3615" w:hanging="360"/>
      </w:pPr>
      <w:rPr>
        <w:rFonts w:ascii="Wingdings" w:hAnsi="Wingdings" w:hint="default"/>
      </w:rPr>
    </w:lvl>
    <w:lvl w:ilvl="3" w:tplc="04090001" w:tentative="1">
      <w:start w:val="1"/>
      <w:numFmt w:val="bullet"/>
      <w:lvlText w:val=""/>
      <w:lvlJc w:val="left"/>
      <w:pPr>
        <w:tabs>
          <w:tab w:val="num" w:pos="4335"/>
        </w:tabs>
        <w:ind w:left="4335" w:hanging="360"/>
      </w:pPr>
      <w:rPr>
        <w:rFonts w:ascii="Symbol" w:hAnsi="Symbol" w:hint="default"/>
      </w:rPr>
    </w:lvl>
    <w:lvl w:ilvl="4" w:tplc="04090003" w:tentative="1">
      <w:start w:val="1"/>
      <w:numFmt w:val="bullet"/>
      <w:lvlText w:val="o"/>
      <w:lvlJc w:val="left"/>
      <w:pPr>
        <w:tabs>
          <w:tab w:val="num" w:pos="5055"/>
        </w:tabs>
        <w:ind w:left="5055" w:hanging="360"/>
      </w:pPr>
      <w:rPr>
        <w:rFonts w:ascii="Courier New" w:hAnsi="Courier New" w:cs="Courier New" w:hint="default"/>
      </w:rPr>
    </w:lvl>
    <w:lvl w:ilvl="5" w:tplc="04090005" w:tentative="1">
      <w:start w:val="1"/>
      <w:numFmt w:val="bullet"/>
      <w:lvlText w:val=""/>
      <w:lvlJc w:val="left"/>
      <w:pPr>
        <w:tabs>
          <w:tab w:val="num" w:pos="5775"/>
        </w:tabs>
        <w:ind w:left="5775" w:hanging="360"/>
      </w:pPr>
      <w:rPr>
        <w:rFonts w:ascii="Wingdings" w:hAnsi="Wingdings" w:hint="default"/>
      </w:rPr>
    </w:lvl>
    <w:lvl w:ilvl="6" w:tplc="04090001" w:tentative="1">
      <w:start w:val="1"/>
      <w:numFmt w:val="bullet"/>
      <w:lvlText w:val=""/>
      <w:lvlJc w:val="left"/>
      <w:pPr>
        <w:tabs>
          <w:tab w:val="num" w:pos="6495"/>
        </w:tabs>
        <w:ind w:left="6495" w:hanging="360"/>
      </w:pPr>
      <w:rPr>
        <w:rFonts w:ascii="Symbol" w:hAnsi="Symbol" w:hint="default"/>
      </w:rPr>
    </w:lvl>
    <w:lvl w:ilvl="7" w:tplc="04090003" w:tentative="1">
      <w:start w:val="1"/>
      <w:numFmt w:val="bullet"/>
      <w:lvlText w:val="o"/>
      <w:lvlJc w:val="left"/>
      <w:pPr>
        <w:tabs>
          <w:tab w:val="num" w:pos="7215"/>
        </w:tabs>
        <w:ind w:left="7215" w:hanging="360"/>
      </w:pPr>
      <w:rPr>
        <w:rFonts w:ascii="Courier New" w:hAnsi="Courier New" w:cs="Courier New" w:hint="default"/>
      </w:rPr>
    </w:lvl>
    <w:lvl w:ilvl="8" w:tplc="04090005" w:tentative="1">
      <w:start w:val="1"/>
      <w:numFmt w:val="bullet"/>
      <w:lvlText w:val=""/>
      <w:lvlJc w:val="left"/>
      <w:pPr>
        <w:tabs>
          <w:tab w:val="num" w:pos="7935"/>
        </w:tabs>
        <w:ind w:left="7935" w:hanging="360"/>
      </w:pPr>
      <w:rPr>
        <w:rFonts w:ascii="Wingdings" w:hAnsi="Wingdings" w:hint="default"/>
      </w:rPr>
    </w:lvl>
  </w:abstractNum>
  <w:abstractNum w:abstractNumId="26" w15:restartNumberingAfterBreak="0">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5B3250AA"/>
    <w:multiLevelType w:val="hybridMultilevel"/>
    <w:tmpl w:val="BD9A3BB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0" w15:restartNumberingAfterBreak="0">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15:restartNumberingAfterBreak="0">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15:restartNumberingAfterBreak="0">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15:restartNumberingAfterBreak="0">
    <w:nsid w:val="6714352E"/>
    <w:multiLevelType w:val="hybridMultilevel"/>
    <w:tmpl w:val="E3EEDFF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4" w15:restartNumberingAfterBreak="0">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5" w15:restartNumberingAfterBreak="0">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6" w15:restartNumberingAfterBreak="0">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7" w15:restartNumberingAfterBreak="0">
    <w:nsid w:val="73ED210F"/>
    <w:multiLevelType w:val="hybridMultilevel"/>
    <w:tmpl w:val="CD48D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9" w15:restartNumberingAfterBreak="0">
    <w:nsid w:val="798A00CB"/>
    <w:multiLevelType w:val="hybridMultilevel"/>
    <w:tmpl w:val="1A28C5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0" w15:restartNumberingAfterBreak="0">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1" w15:restartNumberingAfterBreak="0">
    <w:nsid w:val="7E7D45FB"/>
    <w:multiLevelType w:val="hybridMultilevel"/>
    <w:tmpl w:val="FB4297CE"/>
    <w:lvl w:ilvl="0" w:tplc="04090013">
      <w:start w:val="1"/>
      <w:numFmt w:val="upperRoman"/>
      <w:lvlText w:val="%1."/>
      <w:lvlJc w:val="right"/>
      <w:pPr>
        <w:tabs>
          <w:tab w:val="num" w:pos="2160"/>
        </w:tabs>
        <w:ind w:left="2160" w:hanging="18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2" w15:restartNumberingAfterBreak="0">
    <w:nsid w:val="7EBC3CE5"/>
    <w:multiLevelType w:val="hybridMultilevel"/>
    <w:tmpl w:val="D8E2E8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2"/>
  </w:num>
  <w:num w:numId="2">
    <w:abstractNumId w:val="21"/>
  </w:num>
  <w:num w:numId="3">
    <w:abstractNumId w:val="14"/>
  </w:num>
  <w:num w:numId="4">
    <w:abstractNumId w:val="38"/>
  </w:num>
  <w:num w:numId="5">
    <w:abstractNumId w:val="41"/>
  </w:num>
  <w:num w:numId="6">
    <w:abstractNumId w:val="9"/>
  </w:num>
  <w:num w:numId="7">
    <w:abstractNumId w:val="34"/>
  </w:num>
  <w:num w:numId="8">
    <w:abstractNumId w:val="17"/>
  </w:num>
  <w:num w:numId="9">
    <w:abstractNumId w:val="25"/>
  </w:num>
  <w:num w:numId="10">
    <w:abstractNumId w:val="19"/>
  </w:num>
  <w:num w:numId="11">
    <w:abstractNumId w:val="8"/>
  </w:num>
  <w:num w:numId="12">
    <w:abstractNumId w:val="24"/>
  </w:num>
  <w:num w:numId="13">
    <w:abstractNumId w:val="20"/>
  </w:num>
  <w:num w:numId="14">
    <w:abstractNumId w:val="22"/>
  </w:num>
  <w:num w:numId="15">
    <w:abstractNumId w:val="7"/>
  </w:num>
  <w:num w:numId="16">
    <w:abstractNumId w:val="0"/>
  </w:num>
  <w:num w:numId="17">
    <w:abstractNumId w:val="1"/>
  </w:num>
  <w:num w:numId="18">
    <w:abstractNumId w:val="15"/>
  </w:num>
  <w:num w:numId="19">
    <w:abstractNumId w:val="33"/>
  </w:num>
  <w:num w:numId="20">
    <w:abstractNumId w:val="31"/>
  </w:num>
  <w:num w:numId="21">
    <w:abstractNumId w:val="18"/>
  </w:num>
  <w:num w:numId="22">
    <w:abstractNumId w:val="37"/>
  </w:num>
  <w:num w:numId="23">
    <w:abstractNumId w:val="29"/>
  </w:num>
  <w:num w:numId="24">
    <w:abstractNumId w:val="30"/>
  </w:num>
  <w:num w:numId="25">
    <w:abstractNumId w:val="40"/>
  </w:num>
  <w:num w:numId="26">
    <w:abstractNumId w:val="36"/>
  </w:num>
  <w:num w:numId="27">
    <w:abstractNumId w:val="3"/>
  </w:num>
  <w:num w:numId="28">
    <w:abstractNumId w:val="16"/>
  </w:num>
  <w:num w:numId="29">
    <w:abstractNumId w:val="39"/>
  </w:num>
  <w:num w:numId="30">
    <w:abstractNumId w:val="35"/>
  </w:num>
  <w:num w:numId="31">
    <w:abstractNumId w:val="32"/>
  </w:num>
  <w:num w:numId="32">
    <w:abstractNumId w:val="10"/>
  </w:num>
  <w:num w:numId="33">
    <w:abstractNumId w:val="2"/>
  </w:num>
  <w:num w:numId="34">
    <w:abstractNumId w:val="26"/>
  </w:num>
  <w:num w:numId="35">
    <w:abstractNumId w:val="12"/>
  </w:num>
  <w:num w:numId="36">
    <w:abstractNumId w:val="11"/>
  </w:num>
  <w:num w:numId="37">
    <w:abstractNumId w:val="13"/>
  </w:num>
  <w:num w:numId="38">
    <w:abstractNumId w:val="4"/>
  </w:num>
  <w:num w:numId="39">
    <w:abstractNumId w:val="28"/>
  </w:num>
  <w:num w:numId="40">
    <w:abstractNumId w:val="6"/>
  </w:num>
  <w:num w:numId="41">
    <w:abstractNumId w:val="27"/>
  </w:num>
  <w:num w:numId="42">
    <w:abstractNumId w:val="23"/>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FR"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CAB"/>
    <w:rsid w:val="000004D0"/>
    <w:rsid w:val="00015505"/>
    <w:rsid w:val="00020204"/>
    <w:rsid w:val="00023725"/>
    <w:rsid w:val="000523DC"/>
    <w:rsid w:val="00073073"/>
    <w:rsid w:val="001325B2"/>
    <w:rsid w:val="001920C3"/>
    <w:rsid w:val="001D4856"/>
    <w:rsid w:val="001F6E52"/>
    <w:rsid w:val="002118B4"/>
    <w:rsid w:val="00263D32"/>
    <w:rsid w:val="002640E7"/>
    <w:rsid w:val="00271151"/>
    <w:rsid w:val="00296E87"/>
    <w:rsid w:val="002E6FA6"/>
    <w:rsid w:val="00322313"/>
    <w:rsid w:val="003452EF"/>
    <w:rsid w:val="00391E16"/>
    <w:rsid w:val="003A1EE6"/>
    <w:rsid w:val="003B4081"/>
    <w:rsid w:val="003D23B1"/>
    <w:rsid w:val="003E3CCA"/>
    <w:rsid w:val="0041606D"/>
    <w:rsid w:val="00472847"/>
    <w:rsid w:val="004746CA"/>
    <w:rsid w:val="00490720"/>
    <w:rsid w:val="004A4EFF"/>
    <w:rsid w:val="004B0CF7"/>
    <w:rsid w:val="004E58EF"/>
    <w:rsid w:val="004E687D"/>
    <w:rsid w:val="00503BAB"/>
    <w:rsid w:val="00554093"/>
    <w:rsid w:val="00572DA1"/>
    <w:rsid w:val="005800EE"/>
    <w:rsid w:val="005D038C"/>
    <w:rsid w:val="005D6637"/>
    <w:rsid w:val="005D7625"/>
    <w:rsid w:val="005E03FF"/>
    <w:rsid w:val="005E1765"/>
    <w:rsid w:val="005F573B"/>
    <w:rsid w:val="00621DDD"/>
    <w:rsid w:val="00624019"/>
    <w:rsid w:val="00626CE7"/>
    <w:rsid w:val="00627FFD"/>
    <w:rsid w:val="00680D76"/>
    <w:rsid w:val="0073114C"/>
    <w:rsid w:val="00776749"/>
    <w:rsid w:val="00781149"/>
    <w:rsid w:val="007B43CB"/>
    <w:rsid w:val="007F047A"/>
    <w:rsid w:val="008002AB"/>
    <w:rsid w:val="008563BD"/>
    <w:rsid w:val="008B04CA"/>
    <w:rsid w:val="008C387A"/>
    <w:rsid w:val="008D2D67"/>
    <w:rsid w:val="008F0387"/>
    <w:rsid w:val="00935E77"/>
    <w:rsid w:val="0093647C"/>
    <w:rsid w:val="009B3794"/>
    <w:rsid w:val="009B7E4D"/>
    <w:rsid w:val="009E31F1"/>
    <w:rsid w:val="00A16295"/>
    <w:rsid w:val="00A1688A"/>
    <w:rsid w:val="00A76F1C"/>
    <w:rsid w:val="00A92CAB"/>
    <w:rsid w:val="00AE7154"/>
    <w:rsid w:val="00AE7D2D"/>
    <w:rsid w:val="00B05691"/>
    <w:rsid w:val="00B20AFD"/>
    <w:rsid w:val="00B655C6"/>
    <w:rsid w:val="00B83968"/>
    <w:rsid w:val="00BA1A0C"/>
    <w:rsid w:val="00BC051A"/>
    <w:rsid w:val="00C013DC"/>
    <w:rsid w:val="00C45431"/>
    <w:rsid w:val="00C74B86"/>
    <w:rsid w:val="00C9640A"/>
    <w:rsid w:val="00CA3DA6"/>
    <w:rsid w:val="00CD36E7"/>
    <w:rsid w:val="00CE5AA9"/>
    <w:rsid w:val="00D11CA3"/>
    <w:rsid w:val="00D263C3"/>
    <w:rsid w:val="00D46313"/>
    <w:rsid w:val="00D56CC2"/>
    <w:rsid w:val="00D74B86"/>
    <w:rsid w:val="00D92E1D"/>
    <w:rsid w:val="00DE3A45"/>
    <w:rsid w:val="00E00CEE"/>
    <w:rsid w:val="00E203FA"/>
    <w:rsid w:val="00E34A1F"/>
    <w:rsid w:val="00E837E0"/>
    <w:rsid w:val="00E87554"/>
    <w:rsid w:val="00E962DB"/>
    <w:rsid w:val="00EB1DE5"/>
    <w:rsid w:val="00EB481D"/>
    <w:rsid w:val="00EC38CD"/>
    <w:rsid w:val="00ED18EA"/>
    <w:rsid w:val="00EE529C"/>
    <w:rsid w:val="00F40CA7"/>
    <w:rsid w:val="00F4221E"/>
    <w:rsid w:val="00F66D79"/>
    <w:rsid w:val="00F765F4"/>
    <w:rsid w:val="00FD44E6"/>
    <w:rsid w:val="00FE6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DBC09A"/>
  <w15:docId w15:val="{A9809F23-6457-4292-B1C1-8090C628E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093"/>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CommentReference">
    <w:name w:val="annotation reference"/>
    <w:uiPriority w:val="99"/>
    <w:semiHidden/>
    <w:unhideWhenUsed/>
    <w:rsid w:val="0093647C"/>
    <w:rPr>
      <w:sz w:val="16"/>
      <w:szCs w:val="16"/>
    </w:rPr>
  </w:style>
  <w:style w:type="paragraph" w:styleId="BodyText">
    <w:name w:val="Body Text"/>
    <w:basedOn w:val="Normal"/>
    <w:link w:val="BodyTextChar"/>
    <w:semiHidden/>
    <w:unhideWhenUsed/>
    <w:rsid w:val="00A76F1C"/>
    <w:pPr>
      <w:spacing w:after="120"/>
    </w:pPr>
  </w:style>
  <w:style w:type="character" w:customStyle="1" w:styleId="BodyTextChar">
    <w:name w:val="Body Text Char"/>
    <w:basedOn w:val="DefaultParagraphFont"/>
    <w:link w:val="BodyText"/>
    <w:semiHidden/>
    <w:rsid w:val="00A76F1C"/>
    <w:rPr>
      <w:szCs w:val="24"/>
    </w:rPr>
  </w:style>
  <w:style w:type="character" w:styleId="FollowedHyperlink">
    <w:name w:val="FollowedHyperlink"/>
    <w:basedOn w:val="DefaultParagraphFont"/>
    <w:semiHidden/>
    <w:unhideWhenUsed/>
    <w:rsid w:val="00B20AFD"/>
    <w:rPr>
      <w:color w:val="800080" w:themeColor="followedHyperlink"/>
      <w:u w:val="single"/>
    </w:rPr>
  </w:style>
  <w:style w:type="paragraph" w:styleId="CommentText">
    <w:name w:val="annotation text"/>
    <w:basedOn w:val="Normal"/>
    <w:link w:val="CommentTextChar"/>
    <w:semiHidden/>
    <w:unhideWhenUsed/>
    <w:rsid w:val="00776749"/>
    <w:rPr>
      <w:szCs w:val="20"/>
    </w:rPr>
  </w:style>
  <w:style w:type="character" w:customStyle="1" w:styleId="CommentTextChar">
    <w:name w:val="Comment Text Char"/>
    <w:basedOn w:val="DefaultParagraphFont"/>
    <w:link w:val="CommentText"/>
    <w:semiHidden/>
    <w:rsid w:val="00776749"/>
  </w:style>
  <w:style w:type="paragraph" w:styleId="CommentSubject">
    <w:name w:val="annotation subject"/>
    <w:basedOn w:val="CommentText"/>
    <w:next w:val="CommentText"/>
    <w:link w:val="CommentSubjectChar"/>
    <w:semiHidden/>
    <w:unhideWhenUsed/>
    <w:rsid w:val="00776749"/>
    <w:rPr>
      <w:b/>
      <w:bCs/>
    </w:rPr>
  </w:style>
  <w:style w:type="character" w:customStyle="1" w:styleId="CommentSubjectChar">
    <w:name w:val="Comment Subject Char"/>
    <w:basedOn w:val="CommentTextChar"/>
    <w:link w:val="CommentSubject"/>
    <w:semiHidden/>
    <w:rsid w:val="00776749"/>
    <w:rPr>
      <w:b/>
      <w:bCs/>
    </w:rPr>
  </w:style>
  <w:style w:type="paragraph" w:styleId="Revision">
    <w:name w:val="Revision"/>
    <w:hidden/>
    <w:uiPriority w:val="99"/>
    <w:semiHidden/>
    <w:rsid w:val="004A4EFF"/>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56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astillo@hmsnm.org" TargetMode="External"/><Relationship Id="rId18" Type="http://schemas.openxmlformats.org/officeDocument/2006/relationships/hyperlink" Target="mailto:moreno@eriefamilyhealth.or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teberhart@cornerstoneccare.com" TargetMode="External"/><Relationship Id="rId17" Type="http://schemas.openxmlformats.org/officeDocument/2006/relationships/hyperlink" Target="mailto:Andrea.decker@tenethealth.com" TargetMode="External"/><Relationship Id="rId2" Type="http://schemas.openxmlformats.org/officeDocument/2006/relationships/customXml" Target="../customXml/item2.xml"/><Relationship Id="rId16" Type="http://schemas.openxmlformats.org/officeDocument/2006/relationships/hyperlink" Target="mailto:clholland@uams.edu" TargetMode="External"/><Relationship Id="rId20" Type="http://schemas.openxmlformats.org/officeDocument/2006/relationships/hyperlink" Target="https://www.bls.gov/ooh/office-and-administrative-support/secretaries-and-administrative-assistants.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ireg@ct-instittue.org" TargetMode="External"/><Relationship Id="rId5" Type="http://schemas.openxmlformats.org/officeDocument/2006/relationships/numbering" Target="numbering.xml"/><Relationship Id="rId15" Type="http://schemas.openxmlformats.org/officeDocument/2006/relationships/hyperlink" Target="mailto:Dlupeika@shastahealth.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mbparrigon@freemanhealth.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oberts@binghammemorial.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5" ma:contentTypeDescription="Create a new document." ma:contentTypeScope="" ma:versionID="77a0f0940d07700ce1acd1ba555d4232">
  <xsd:schema xmlns:xsd="http://www.w3.org/2001/XMLSchema" xmlns:xs="http://www.w3.org/2001/XMLSchema" xmlns:p="http://schemas.microsoft.com/office/2006/metadata/properties" targetNamespace="http://schemas.microsoft.com/office/2006/metadata/properties" ma:root="true" ma:fieldsID="d6254111a8e32ab6085427428fc563f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D8265-0723-4E77-BC1B-5F87D5791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6409447-424B-46F1-97B6-0598EFE31B15}">
  <ds:schemaRefs>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terms/"/>
    <ds:schemaRef ds:uri="http://www.w3.org/XML/1998/namespace"/>
  </ds:schemaRefs>
</ds:datastoreItem>
</file>

<file path=customXml/itemProps3.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4.xml><?xml version="1.0" encoding="utf-8"?>
<ds:datastoreItem xmlns:ds="http://schemas.openxmlformats.org/officeDocument/2006/customXml" ds:itemID="{1FEAA11A-0B32-4CC6-B158-7832312A7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1270</Words>
  <Characters>8288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9539</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subject/>
  <dc:creator>Jodi.Duckhorn</dc:creator>
  <cp:keywords/>
  <cp:lastModifiedBy>Banks, Jamelle (HRSA)</cp:lastModifiedBy>
  <cp:revision>5</cp:revision>
  <cp:lastPrinted>2017-05-30T12:51:00Z</cp:lastPrinted>
  <dcterms:created xsi:type="dcterms:W3CDTF">2017-05-30T13:12:00Z</dcterms:created>
  <dcterms:modified xsi:type="dcterms:W3CDTF">2017-05-30T13:14:00Z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ies>
</file>