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BF8C" w14:textId="77777777" w:rsidR="00565E1D" w:rsidRPr="00565E1D" w:rsidRDefault="00565E1D" w:rsidP="00565E1D">
      <w:pPr>
        <w:spacing w:after="0" w:line="240" w:lineRule="auto"/>
        <w:jc w:val="center"/>
        <w:rPr>
          <w:b/>
        </w:rPr>
      </w:pPr>
      <w:r w:rsidRPr="00565E1D">
        <w:rPr>
          <w:b/>
        </w:rPr>
        <w:t>JUSTIFICATION FOR NONMATERIAL/NONSUBSTANTIVE CHANGE</w:t>
      </w:r>
    </w:p>
    <w:p w14:paraId="1147BF8D" w14:textId="77777777" w:rsidR="00565E1D" w:rsidRDefault="00565E1D" w:rsidP="00565E1D">
      <w:pPr>
        <w:spacing w:after="0" w:line="240" w:lineRule="auto"/>
        <w:jc w:val="center"/>
        <w:rPr>
          <w:b/>
        </w:rPr>
      </w:pPr>
      <w:r>
        <w:rPr>
          <w:b/>
        </w:rPr>
        <w:t>Substantive Submissions Made During the Prosecution</w:t>
      </w:r>
    </w:p>
    <w:p w14:paraId="1147BF8E" w14:textId="77777777" w:rsidR="00565E1D" w:rsidRPr="00565E1D" w:rsidRDefault="00565E1D" w:rsidP="00565E1D">
      <w:pPr>
        <w:spacing w:after="0" w:line="240" w:lineRule="auto"/>
        <w:jc w:val="center"/>
        <w:rPr>
          <w:b/>
        </w:rPr>
      </w:pPr>
      <w:proofErr w:type="gramStart"/>
      <w:r>
        <w:rPr>
          <w:b/>
        </w:rPr>
        <w:t>of</w:t>
      </w:r>
      <w:proofErr w:type="gramEnd"/>
      <w:r>
        <w:rPr>
          <w:b/>
        </w:rPr>
        <w:t xml:space="preserve"> the Trademark Application</w:t>
      </w:r>
    </w:p>
    <w:p w14:paraId="1147BF8F" w14:textId="77777777" w:rsidR="00565E1D" w:rsidRPr="00565E1D" w:rsidRDefault="00565E1D" w:rsidP="00565E1D">
      <w:pPr>
        <w:spacing w:after="0" w:line="240" w:lineRule="auto"/>
        <w:jc w:val="center"/>
      </w:pPr>
      <w:r>
        <w:rPr>
          <w:b/>
        </w:rPr>
        <w:t>OMB Control Number 0651-0054</w:t>
      </w:r>
    </w:p>
    <w:p w14:paraId="1147BF90" w14:textId="77777777" w:rsidR="00565E1D" w:rsidRPr="00565E1D" w:rsidRDefault="00565E1D" w:rsidP="00565E1D">
      <w:pPr>
        <w:spacing w:after="0" w:line="240" w:lineRule="auto"/>
      </w:pPr>
    </w:p>
    <w:p w14:paraId="1147BF91" w14:textId="77777777" w:rsidR="00565E1D" w:rsidRPr="00565E1D" w:rsidRDefault="00565E1D" w:rsidP="00565E1D">
      <w:pPr>
        <w:spacing w:after="0" w:line="240" w:lineRule="auto"/>
      </w:pPr>
      <w:r w:rsidRPr="00565E1D">
        <w:rPr>
          <w:u w:val="single"/>
        </w:rPr>
        <w:t xml:space="preserve">Background </w:t>
      </w:r>
    </w:p>
    <w:p w14:paraId="1147BF92" w14:textId="77777777" w:rsidR="00565E1D" w:rsidRPr="00565E1D" w:rsidRDefault="00565E1D" w:rsidP="00565E1D">
      <w:pPr>
        <w:spacing w:after="0" w:line="240" w:lineRule="auto"/>
      </w:pPr>
    </w:p>
    <w:p w14:paraId="1147BF93" w14:textId="77777777" w:rsidR="00565E1D" w:rsidRDefault="00565E1D" w:rsidP="00565E1D">
      <w:pPr>
        <w:spacing w:after="0" w:line="240" w:lineRule="auto"/>
      </w:pPr>
      <w:r w:rsidRPr="00565E1D">
        <w:t xml:space="preserve">This collection of information is required by the Trademark Act, 15 U.S.C. § 1051 et seq.,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United States Patent and Trademark Office (USPTO).   </w:t>
      </w:r>
    </w:p>
    <w:p w14:paraId="1147BF94" w14:textId="77777777" w:rsidR="00565E1D" w:rsidRPr="00565E1D" w:rsidRDefault="00565E1D" w:rsidP="00565E1D">
      <w:pPr>
        <w:spacing w:after="0" w:line="240" w:lineRule="auto"/>
      </w:pPr>
    </w:p>
    <w:p w14:paraId="1147BF95" w14:textId="35488BCB" w:rsidR="00565E1D" w:rsidRPr="00565E1D" w:rsidRDefault="00C93040" w:rsidP="00565E1D">
      <w:pPr>
        <w:spacing w:after="0" w:line="240" w:lineRule="auto"/>
      </w:pPr>
      <w:r>
        <w:t>The request is to update</w:t>
      </w:r>
      <w:r w:rsidR="00565E1D" w:rsidRPr="00565E1D">
        <w:t xml:space="preserve"> this collection </w:t>
      </w:r>
      <w:r>
        <w:t xml:space="preserve">to cover </w:t>
      </w:r>
      <w:r w:rsidR="00565E1D" w:rsidRPr="00565E1D">
        <w:t xml:space="preserve">rulemaking </w:t>
      </w:r>
      <w:r w:rsidR="002C5F9D">
        <w:t>RIN 0651-AC41</w:t>
      </w:r>
      <w:r w:rsidR="00565E1D" w:rsidRPr="00565E1D">
        <w:t xml:space="preserve">.  </w:t>
      </w:r>
      <w:r>
        <w:t xml:space="preserve">That rulemaking action amends the rules regarding petitions to revive </w:t>
      </w:r>
      <w:r w:rsidR="00156410">
        <w:t>abandoned</w:t>
      </w:r>
      <w:r>
        <w:t xml:space="preserve"> trademark applications and other petitions.  It also codifies USPTO practices regarding handling of requests for reinstatement.  As a part of these rules USPTO is changing its revie</w:t>
      </w:r>
      <w:r w:rsidR="00156410">
        <w:t>w practices and which no</w:t>
      </w:r>
      <w:r>
        <w:t xml:space="preserve"> longer require</w:t>
      </w:r>
      <w:r w:rsidR="00156410">
        <w:t>s</w:t>
      </w:r>
      <w:r>
        <w:t xml:space="preserve"> the due diligence petition.  </w:t>
      </w:r>
    </w:p>
    <w:p w14:paraId="1147BF96" w14:textId="77777777" w:rsidR="00565E1D" w:rsidRPr="00565E1D" w:rsidRDefault="00565E1D" w:rsidP="00565E1D">
      <w:pPr>
        <w:spacing w:after="0" w:line="240" w:lineRule="auto"/>
      </w:pPr>
    </w:p>
    <w:p w14:paraId="1147BFB8" w14:textId="77777777" w:rsidR="00565E1D" w:rsidRPr="00565E1D" w:rsidRDefault="00565E1D" w:rsidP="00565E1D">
      <w:pPr>
        <w:spacing w:after="0" w:line="240" w:lineRule="auto"/>
        <w:rPr>
          <w:b/>
        </w:rPr>
      </w:pPr>
      <w:r w:rsidRPr="00565E1D">
        <w:rPr>
          <w:b/>
        </w:rPr>
        <w:t>Respondents</w:t>
      </w:r>
    </w:p>
    <w:tbl>
      <w:tblPr>
        <w:tblStyle w:val="TableGrid"/>
        <w:tblW w:w="0" w:type="auto"/>
        <w:jc w:val="center"/>
        <w:tblLook w:val="04A0" w:firstRow="1" w:lastRow="0" w:firstColumn="1" w:lastColumn="0" w:noHBand="0" w:noVBand="1"/>
      </w:tblPr>
      <w:tblGrid>
        <w:gridCol w:w="3627"/>
        <w:gridCol w:w="2421"/>
        <w:gridCol w:w="1679"/>
        <w:gridCol w:w="1849"/>
      </w:tblGrid>
      <w:tr w:rsidR="00565E1D" w:rsidRPr="00565E1D" w14:paraId="1147BFBD" w14:textId="77777777" w:rsidTr="003A2971">
        <w:trPr>
          <w:cantSplit/>
          <w:jc w:val="center"/>
        </w:trPr>
        <w:tc>
          <w:tcPr>
            <w:tcW w:w="3627" w:type="dxa"/>
          </w:tcPr>
          <w:p w14:paraId="1147BFB9" w14:textId="77777777" w:rsidR="00565E1D" w:rsidRPr="00565E1D" w:rsidRDefault="00565E1D" w:rsidP="00565E1D">
            <w:pPr>
              <w:jc w:val="center"/>
              <w:rPr>
                <w:b/>
              </w:rPr>
            </w:pPr>
            <w:r w:rsidRPr="00565E1D">
              <w:rPr>
                <w:b/>
              </w:rPr>
              <w:t>Item</w:t>
            </w:r>
          </w:p>
        </w:tc>
        <w:tc>
          <w:tcPr>
            <w:tcW w:w="2421" w:type="dxa"/>
          </w:tcPr>
          <w:p w14:paraId="1147BFBA" w14:textId="77777777" w:rsidR="00565E1D" w:rsidRPr="00565E1D" w:rsidRDefault="00565E1D" w:rsidP="00565E1D">
            <w:pPr>
              <w:jc w:val="center"/>
              <w:rPr>
                <w:b/>
              </w:rPr>
            </w:pPr>
            <w:r w:rsidRPr="00565E1D">
              <w:rPr>
                <w:b/>
              </w:rPr>
              <w:t>Currently Approved Respondents</w:t>
            </w:r>
          </w:p>
        </w:tc>
        <w:tc>
          <w:tcPr>
            <w:tcW w:w="1679" w:type="dxa"/>
          </w:tcPr>
          <w:p w14:paraId="1147BFBB" w14:textId="77777777" w:rsidR="00565E1D" w:rsidRPr="00565E1D" w:rsidRDefault="00565E1D" w:rsidP="00565E1D">
            <w:pPr>
              <w:jc w:val="center"/>
              <w:rPr>
                <w:b/>
              </w:rPr>
            </w:pPr>
            <w:r w:rsidRPr="00565E1D">
              <w:rPr>
                <w:b/>
              </w:rPr>
              <w:t>Proposed Respondents</w:t>
            </w:r>
          </w:p>
        </w:tc>
        <w:tc>
          <w:tcPr>
            <w:tcW w:w="1849" w:type="dxa"/>
          </w:tcPr>
          <w:p w14:paraId="1147BFBC" w14:textId="48FAB9F1" w:rsidR="00565E1D" w:rsidRPr="00565E1D" w:rsidRDefault="00013282" w:rsidP="00565E1D">
            <w:pPr>
              <w:jc w:val="center"/>
              <w:rPr>
                <w:b/>
              </w:rPr>
            </w:pPr>
            <w:r>
              <w:rPr>
                <w:b/>
              </w:rPr>
              <w:t>Respondent De</w:t>
            </w:r>
            <w:r w:rsidR="00565E1D" w:rsidRPr="00565E1D">
              <w:rPr>
                <w:b/>
              </w:rPr>
              <w:t>crease</w:t>
            </w:r>
          </w:p>
        </w:tc>
      </w:tr>
      <w:tr w:rsidR="0079044A" w:rsidRPr="00565E1D" w14:paraId="1147BFC2" w14:textId="77777777" w:rsidTr="003A2971">
        <w:trPr>
          <w:cantSplit/>
          <w:jc w:val="center"/>
        </w:trPr>
        <w:tc>
          <w:tcPr>
            <w:tcW w:w="3627" w:type="dxa"/>
          </w:tcPr>
          <w:p w14:paraId="1147BFBE" w14:textId="76AC92BD" w:rsidR="0079044A" w:rsidRPr="00565E1D" w:rsidRDefault="00FD3D2B" w:rsidP="00D16468">
            <w:r>
              <w:t>Due Diligence Petition unde</w:t>
            </w:r>
            <w:bookmarkStart w:id="0" w:name="_GoBack"/>
            <w:bookmarkEnd w:id="0"/>
            <w:r>
              <w:t>r Trademark Rule 2.66 (Paper)</w:t>
            </w:r>
          </w:p>
        </w:tc>
        <w:tc>
          <w:tcPr>
            <w:tcW w:w="2421" w:type="dxa"/>
          </w:tcPr>
          <w:p w14:paraId="1147BFBF" w14:textId="721E8D18" w:rsidR="0079044A" w:rsidRPr="00565E1D" w:rsidRDefault="003F2ACF" w:rsidP="00565E1D">
            <w:pPr>
              <w:jc w:val="right"/>
            </w:pPr>
            <w:r>
              <w:t>2</w:t>
            </w:r>
          </w:p>
        </w:tc>
        <w:tc>
          <w:tcPr>
            <w:tcW w:w="1679" w:type="dxa"/>
          </w:tcPr>
          <w:p w14:paraId="1147BFC0" w14:textId="4A9AECDA" w:rsidR="0079044A" w:rsidRPr="00565E1D" w:rsidRDefault="003F2ACF" w:rsidP="00565E1D">
            <w:pPr>
              <w:jc w:val="right"/>
            </w:pPr>
            <w:r>
              <w:t>0</w:t>
            </w:r>
          </w:p>
        </w:tc>
        <w:tc>
          <w:tcPr>
            <w:tcW w:w="1849" w:type="dxa"/>
          </w:tcPr>
          <w:p w14:paraId="1147BFC1" w14:textId="43A7EE47" w:rsidR="0079044A" w:rsidRPr="00565E1D" w:rsidRDefault="003F2ACF" w:rsidP="00565E1D">
            <w:pPr>
              <w:jc w:val="right"/>
            </w:pPr>
            <w:r>
              <w:t>-2</w:t>
            </w:r>
          </w:p>
        </w:tc>
      </w:tr>
      <w:tr w:rsidR="0079044A" w:rsidRPr="00565E1D" w14:paraId="1147BFD5" w14:textId="77777777" w:rsidTr="003A2971">
        <w:trPr>
          <w:cantSplit/>
          <w:jc w:val="center"/>
        </w:trPr>
        <w:tc>
          <w:tcPr>
            <w:tcW w:w="3627" w:type="dxa"/>
          </w:tcPr>
          <w:p w14:paraId="1147BFD1" w14:textId="4F286CFA" w:rsidR="0079044A" w:rsidRPr="00565E1D" w:rsidRDefault="00FD3D2B" w:rsidP="00D16468">
            <w:r>
              <w:t>Due Diligence Petition under Trademark Rule 2.66 (TEAS)</w:t>
            </w:r>
          </w:p>
        </w:tc>
        <w:tc>
          <w:tcPr>
            <w:tcW w:w="2421" w:type="dxa"/>
          </w:tcPr>
          <w:p w14:paraId="1147BFD2" w14:textId="7799EA8E" w:rsidR="0079044A" w:rsidRPr="00565E1D" w:rsidRDefault="003F2ACF" w:rsidP="00565E1D">
            <w:pPr>
              <w:jc w:val="right"/>
            </w:pPr>
            <w:r>
              <w:t>130</w:t>
            </w:r>
          </w:p>
        </w:tc>
        <w:tc>
          <w:tcPr>
            <w:tcW w:w="1679" w:type="dxa"/>
          </w:tcPr>
          <w:p w14:paraId="1147BFD3" w14:textId="01BDEFEB" w:rsidR="0079044A" w:rsidRPr="00565E1D" w:rsidRDefault="00C93040" w:rsidP="00565E1D">
            <w:pPr>
              <w:jc w:val="right"/>
            </w:pPr>
            <w:r>
              <w:t>0</w:t>
            </w:r>
          </w:p>
        </w:tc>
        <w:tc>
          <w:tcPr>
            <w:tcW w:w="1849" w:type="dxa"/>
          </w:tcPr>
          <w:p w14:paraId="1147BFD4" w14:textId="66C830E9" w:rsidR="0079044A" w:rsidRPr="00565E1D" w:rsidRDefault="003F2ACF" w:rsidP="00565E1D">
            <w:pPr>
              <w:jc w:val="right"/>
            </w:pPr>
            <w:r>
              <w:t>-130</w:t>
            </w:r>
          </w:p>
        </w:tc>
      </w:tr>
      <w:tr w:rsidR="00565E1D" w:rsidRPr="00565E1D" w14:paraId="1147BFDF" w14:textId="77777777" w:rsidTr="003A2971">
        <w:trPr>
          <w:cantSplit/>
          <w:jc w:val="center"/>
        </w:trPr>
        <w:tc>
          <w:tcPr>
            <w:tcW w:w="3627" w:type="dxa"/>
          </w:tcPr>
          <w:p w14:paraId="1147BFDB" w14:textId="77777777" w:rsidR="00565E1D" w:rsidRPr="00565E1D" w:rsidRDefault="00565E1D" w:rsidP="00565E1D">
            <w:pPr>
              <w:rPr>
                <w:b/>
              </w:rPr>
            </w:pPr>
            <w:r w:rsidRPr="00565E1D">
              <w:rPr>
                <w:b/>
              </w:rPr>
              <w:t>Totals</w:t>
            </w:r>
          </w:p>
        </w:tc>
        <w:tc>
          <w:tcPr>
            <w:tcW w:w="2421" w:type="dxa"/>
          </w:tcPr>
          <w:p w14:paraId="1147BFDC" w14:textId="77777777" w:rsidR="00565E1D" w:rsidRPr="00565E1D" w:rsidRDefault="00565E1D" w:rsidP="00565E1D">
            <w:pPr>
              <w:jc w:val="right"/>
            </w:pPr>
            <w:r w:rsidRPr="00565E1D">
              <w:t>---</w:t>
            </w:r>
          </w:p>
        </w:tc>
        <w:tc>
          <w:tcPr>
            <w:tcW w:w="1679" w:type="dxa"/>
          </w:tcPr>
          <w:p w14:paraId="1147BFDD" w14:textId="77777777" w:rsidR="00565E1D" w:rsidRPr="00565E1D" w:rsidRDefault="00565E1D" w:rsidP="00565E1D">
            <w:pPr>
              <w:jc w:val="right"/>
            </w:pPr>
            <w:r w:rsidRPr="00565E1D">
              <w:t>---</w:t>
            </w:r>
          </w:p>
        </w:tc>
        <w:tc>
          <w:tcPr>
            <w:tcW w:w="1849" w:type="dxa"/>
          </w:tcPr>
          <w:p w14:paraId="1147BFDE" w14:textId="4288E31E" w:rsidR="00565E1D" w:rsidRPr="00565E1D" w:rsidRDefault="003F2ACF" w:rsidP="003F2ACF">
            <w:pPr>
              <w:jc w:val="right"/>
              <w:rPr>
                <w:b/>
              </w:rPr>
            </w:pPr>
            <w:r>
              <w:rPr>
                <w:b/>
              </w:rPr>
              <w:t>-132</w:t>
            </w:r>
          </w:p>
        </w:tc>
      </w:tr>
    </w:tbl>
    <w:p w14:paraId="1147BFE0" w14:textId="77777777" w:rsidR="00565E1D" w:rsidRDefault="00565E1D" w:rsidP="00565E1D">
      <w:pPr>
        <w:spacing w:after="0" w:line="240" w:lineRule="auto"/>
        <w:rPr>
          <w:b/>
        </w:rPr>
      </w:pPr>
    </w:p>
    <w:p w14:paraId="4E7E8484" w14:textId="77777777" w:rsidR="003F2ACF" w:rsidRDefault="003F2ACF" w:rsidP="00565E1D">
      <w:pPr>
        <w:spacing w:after="0" w:line="240" w:lineRule="auto"/>
        <w:rPr>
          <w:b/>
        </w:rPr>
      </w:pPr>
    </w:p>
    <w:p w14:paraId="52C3BDC5" w14:textId="39298945" w:rsidR="003F2ACF" w:rsidRPr="00565E1D" w:rsidRDefault="003F2ACF" w:rsidP="003F2ACF">
      <w:pPr>
        <w:spacing w:after="0" w:line="240" w:lineRule="auto"/>
        <w:rPr>
          <w:b/>
        </w:rPr>
      </w:pPr>
      <w:r>
        <w:rPr>
          <w:b/>
        </w:rPr>
        <w:t>Hourly Burden</w:t>
      </w:r>
    </w:p>
    <w:tbl>
      <w:tblPr>
        <w:tblStyle w:val="TableGrid"/>
        <w:tblW w:w="0" w:type="auto"/>
        <w:jc w:val="center"/>
        <w:tblLook w:val="04A0" w:firstRow="1" w:lastRow="0" w:firstColumn="1" w:lastColumn="0" w:noHBand="0" w:noVBand="1"/>
      </w:tblPr>
      <w:tblGrid>
        <w:gridCol w:w="3627"/>
        <w:gridCol w:w="2421"/>
        <w:gridCol w:w="1679"/>
        <w:gridCol w:w="1849"/>
      </w:tblGrid>
      <w:tr w:rsidR="003F2ACF" w:rsidRPr="00565E1D" w14:paraId="0A7359EC" w14:textId="77777777" w:rsidTr="003411B2">
        <w:trPr>
          <w:cantSplit/>
          <w:jc w:val="center"/>
        </w:trPr>
        <w:tc>
          <w:tcPr>
            <w:tcW w:w="3627" w:type="dxa"/>
          </w:tcPr>
          <w:p w14:paraId="3A5419B7" w14:textId="77777777" w:rsidR="003F2ACF" w:rsidRPr="00565E1D" w:rsidRDefault="003F2ACF" w:rsidP="003411B2">
            <w:pPr>
              <w:jc w:val="center"/>
              <w:rPr>
                <w:b/>
              </w:rPr>
            </w:pPr>
            <w:r w:rsidRPr="00565E1D">
              <w:rPr>
                <w:b/>
              </w:rPr>
              <w:t>Item</w:t>
            </w:r>
          </w:p>
        </w:tc>
        <w:tc>
          <w:tcPr>
            <w:tcW w:w="2421" w:type="dxa"/>
          </w:tcPr>
          <w:p w14:paraId="476B5194" w14:textId="7F1E9B65" w:rsidR="003F2ACF" w:rsidRPr="00565E1D" w:rsidRDefault="003F2ACF" w:rsidP="00013282">
            <w:pPr>
              <w:jc w:val="center"/>
              <w:rPr>
                <w:b/>
              </w:rPr>
            </w:pPr>
            <w:r w:rsidRPr="00565E1D">
              <w:rPr>
                <w:b/>
              </w:rPr>
              <w:t xml:space="preserve">Currently Approved </w:t>
            </w:r>
            <w:r w:rsidR="00013282">
              <w:rPr>
                <w:b/>
              </w:rPr>
              <w:t>Hourly Burden</w:t>
            </w:r>
          </w:p>
        </w:tc>
        <w:tc>
          <w:tcPr>
            <w:tcW w:w="1679" w:type="dxa"/>
          </w:tcPr>
          <w:p w14:paraId="7B257B45" w14:textId="1AB5DCCC" w:rsidR="003F2ACF" w:rsidRPr="00565E1D" w:rsidRDefault="003F2ACF" w:rsidP="00013282">
            <w:pPr>
              <w:jc w:val="center"/>
              <w:rPr>
                <w:b/>
              </w:rPr>
            </w:pPr>
            <w:r w:rsidRPr="00565E1D">
              <w:rPr>
                <w:b/>
              </w:rPr>
              <w:t xml:space="preserve">Proposed </w:t>
            </w:r>
            <w:r w:rsidR="00013282">
              <w:rPr>
                <w:b/>
              </w:rPr>
              <w:t>Burden</w:t>
            </w:r>
          </w:p>
        </w:tc>
        <w:tc>
          <w:tcPr>
            <w:tcW w:w="1849" w:type="dxa"/>
          </w:tcPr>
          <w:p w14:paraId="67F70478" w14:textId="4D173946" w:rsidR="003F2ACF" w:rsidRPr="00565E1D" w:rsidRDefault="003F2ACF" w:rsidP="00013282">
            <w:pPr>
              <w:jc w:val="center"/>
              <w:rPr>
                <w:b/>
              </w:rPr>
            </w:pPr>
            <w:r w:rsidRPr="00565E1D">
              <w:rPr>
                <w:b/>
              </w:rPr>
              <w:t xml:space="preserve">Respondent </w:t>
            </w:r>
            <w:r w:rsidR="00013282">
              <w:rPr>
                <w:b/>
              </w:rPr>
              <w:t>Decrease</w:t>
            </w:r>
          </w:p>
        </w:tc>
      </w:tr>
      <w:tr w:rsidR="003F2ACF" w:rsidRPr="00565E1D" w14:paraId="0457F430" w14:textId="77777777" w:rsidTr="003411B2">
        <w:trPr>
          <w:cantSplit/>
          <w:jc w:val="center"/>
        </w:trPr>
        <w:tc>
          <w:tcPr>
            <w:tcW w:w="3627" w:type="dxa"/>
          </w:tcPr>
          <w:p w14:paraId="064D5C8C" w14:textId="77777777" w:rsidR="003F2ACF" w:rsidRPr="00565E1D" w:rsidRDefault="003F2ACF" w:rsidP="003411B2">
            <w:r>
              <w:t>Due Diligence Petition under Trademark Rule 2.66 (Paper)</w:t>
            </w:r>
          </w:p>
        </w:tc>
        <w:tc>
          <w:tcPr>
            <w:tcW w:w="2421" w:type="dxa"/>
          </w:tcPr>
          <w:p w14:paraId="60E427F8" w14:textId="26133BBD" w:rsidR="003F2ACF" w:rsidRPr="00565E1D" w:rsidRDefault="003F2ACF" w:rsidP="003411B2">
            <w:pPr>
              <w:jc w:val="right"/>
            </w:pPr>
            <w:r>
              <w:t>1</w:t>
            </w:r>
          </w:p>
        </w:tc>
        <w:tc>
          <w:tcPr>
            <w:tcW w:w="1679" w:type="dxa"/>
          </w:tcPr>
          <w:p w14:paraId="2BDE4F61" w14:textId="77777777" w:rsidR="003F2ACF" w:rsidRPr="00565E1D" w:rsidRDefault="003F2ACF" w:rsidP="003411B2">
            <w:pPr>
              <w:jc w:val="right"/>
            </w:pPr>
            <w:r>
              <w:t>0</w:t>
            </w:r>
          </w:p>
        </w:tc>
        <w:tc>
          <w:tcPr>
            <w:tcW w:w="1849" w:type="dxa"/>
          </w:tcPr>
          <w:p w14:paraId="0A980080" w14:textId="320EB1A1" w:rsidR="003F2ACF" w:rsidRPr="00565E1D" w:rsidRDefault="003F2ACF" w:rsidP="003411B2">
            <w:pPr>
              <w:jc w:val="right"/>
            </w:pPr>
            <w:r>
              <w:t>-1</w:t>
            </w:r>
          </w:p>
        </w:tc>
      </w:tr>
      <w:tr w:rsidR="003F2ACF" w:rsidRPr="00565E1D" w14:paraId="37A943B7" w14:textId="77777777" w:rsidTr="003411B2">
        <w:trPr>
          <w:cantSplit/>
          <w:jc w:val="center"/>
        </w:trPr>
        <w:tc>
          <w:tcPr>
            <w:tcW w:w="3627" w:type="dxa"/>
          </w:tcPr>
          <w:p w14:paraId="3D3F8611" w14:textId="77777777" w:rsidR="003F2ACF" w:rsidRPr="00565E1D" w:rsidRDefault="003F2ACF" w:rsidP="003411B2">
            <w:r>
              <w:t>Due Diligence Petition under Trademark Rule 2.66 (TEAS)</w:t>
            </w:r>
          </w:p>
        </w:tc>
        <w:tc>
          <w:tcPr>
            <w:tcW w:w="2421" w:type="dxa"/>
          </w:tcPr>
          <w:p w14:paraId="49070F98" w14:textId="2A055140" w:rsidR="003F2ACF" w:rsidRPr="00565E1D" w:rsidRDefault="003F2ACF" w:rsidP="003411B2">
            <w:pPr>
              <w:jc w:val="right"/>
            </w:pPr>
            <w:r>
              <w:t>43</w:t>
            </w:r>
          </w:p>
        </w:tc>
        <w:tc>
          <w:tcPr>
            <w:tcW w:w="1679" w:type="dxa"/>
          </w:tcPr>
          <w:p w14:paraId="2EEE16C2" w14:textId="6EA9C3C3" w:rsidR="003F2ACF" w:rsidRPr="00565E1D" w:rsidRDefault="00C93040" w:rsidP="003411B2">
            <w:pPr>
              <w:jc w:val="right"/>
            </w:pPr>
            <w:r>
              <w:t>0</w:t>
            </w:r>
          </w:p>
        </w:tc>
        <w:tc>
          <w:tcPr>
            <w:tcW w:w="1849" w:type="dxa"/>
          </w:tcPr>
          <w:p w14:paraId="7EEBD076" w14:textId="1D64D328" w:rsidR="003F2ACF" w:rsidRPr="00565E1D" w:rsidRDefault="003F2ACF" w:rsidP="003F2ACF">
            <w:pPr>
              <w:jc w:val="right"/>
            </w:pPr>
            <w:r>
              <w:t>-43</w:t>
            </w:r>
          </w:p>
        </w:tc>
      </w:tr>
      <w:tr w:rsidR="003F2ACF" w:rsidRPr="00565E1D" w14:paraId="2EFD9C3D" w14:textId="77777777" w:rsidTr="003411B2">
        <w:trPr>
          <w:cantSplit/>
          <w:jc w:val="center"/>
        </w:trPr>
        <w:tc>
          <w:tcPr>
            <w:tcW w:w="3627" w:type="dxa"/>
          </w:tcPr>
          <w:p w14:paraId="73979F44" w14:textId="77777777" w:rsidR="003F2ACF" w:rsidRPr="00565E1D" w:rsidRDefault="003F2ACF" w:rsidP="003411B2">
            <w:pPr>
              <w:rPr>
                <w:b/>
              </w:rPr>
            </w:pPr>
            <w:r w:rsidRPr="00565E1D">
              <w:rPr>
                <w:b/>
              </w:rPr>
              <w:t>Totals</w:t>
            </w:r>
          </w:p>
        </w:tc>
        <w:tc>
          <w:tcPr>
            <w:tcW w:w="2421" w:type="dxa"/>
          </w:tcPr>
          <w:p w14:paraId="1AC5E11A" w14:textId="77777777" w:rsidR="003F2ACF" w:rsidRPr="00565E1D" w:rsidRDefault="003F2ACF" w:rsidP="003411B2">
            <w:pPr>
              <w:jc w:val="right"/>
            </w:pPr>
            <w:r w:rsidRPr="00565E1D">
              <w:t>---</w:t>
            </w:r>
          </w:p>
        </w:tc>
        <w:tc>
          <w:tcPr>
            <w:tcW w:w="1679" w:type="dxa"/>
          </w:tcPr>
          <w:p w14:paraId="34595D6A" w14:textId="77777777" w:rsidR="003F2ACF" w:rsidRPr="00565E1D" w:rsidRDefault="003F2ACF" w:rsidP="003411B2">
            <w:pPr>
              <w:jc w:val="right"/>
            </w:pPr>
            <w:r w:rsidRPr="00565E1D">
              <w:t>---</w:t>
            </w:r>
          </w:p>
        </w:tc>
        <w:tc>
          <w:tcPr>
            <w:tcW w:w="1849" w:type="dxa"/>
          </w:tcPr>
          <w:p w14:paraId="63618379" w14:textId="290EE992" w:rsidR="003F2ACF" w:rsidRPr="00565E1D" w:rsidRDefault="003F2ACF" w:rsidP="003F2ACF">
            <w:pPr>
              <w:jc w:val="right"/>
              <w:rPr>
                <w:b/>
              </w:rPr>
            </w:pPr>
            <w:r>
              <w:rPr>
                <w:b/>
              </w:rPr>
              <w:t>-44</w:t>
            </w:r>
          </w:p>
        </w:tc>
      </w:tr>
    </w:tbl>
    <w:p w14:paraId="66AE962A" w14:textId="77777777" w:rsidR="003F2ACF" w:rsidRDefault="003F2ACF" w:rsidP="00565E1D">
      <w:pPr>
        <w:spacing w:after="0" w:line="240" w:lineRule="auto"/>
        <w:rPr>
          <w:b/>
        </w:rPr>
      </w:pPr>
    </w:p>
    <w:p w14:paraId="2E46AF72" w14:textId="77777777" w:rsidR="003F2ACF" w:rsidRDefault="003F2ACF" w:rsidP="00565E1D">
      <w:pPr>
        <w:spacing w:after="0" w:line="240" w:lineRule="auto"/>
        <w:rPr>
          <w:b/>
        </w:rPr>
      </w:pPr>
    </w:p>
    <w:p w14:paraId="73EC9F4A" w14:textId="6BEEAF3F" w:rsidR="003F2ACF" w:rsidRPr="00565E1D" w:rsidRDefault="003F2ACF" w:rsidP="003F2ACF">
      <w:pPr>
        <w:spacing w:after="0" w:line="240" w:lineRule="auto"/>
        <w:rPr>
          <w:b/>
        </w:rPr>
      </w:pPr>
      <w:r>
        <w:rPr>
          <w:b/>
        </w:rPr>
        <w:t>Fees</w:t>
      </w:r>
    </w:p>
    <w:tbl>
      <w:tblPr>
        <w:tblStyle w:val="TableGrid"/>
        <w:tblW w:w="0" w:type="auto"/>
        <w:jc w:val="center"/>
        <w:tblLook w:val="04A0" w:firstRow="1" w:lastRow="0" w:firstColumn="1" w:lastColumn="0" w:noHBand="0" w:noVBand="1"/>
      </w:tblPr>
      <w:tblGrid>
        <w:gridCol w:w="3627"/>
        <w:gridCol w:w="2421"/>
        <w:gridCol w:w="1679"/>
        <w:gridCol w:w="1849"/>
      </w:tblGrid>
      <w:tr w:rsidR="003F2ACF" w:rsidRPr="00565E1D" w14:paraId="0A5827B5" w14:textId="77777777" w:rsidTr="003411B2">
        <w:trPr>
          <w:cantSplit/>
          <w:jc w:val="center"/>
        </w:trPr>
        <w:tc>
          <w:tcPr>
            <w:tcW w:w="3627" w:type="dxa"/>
          </w:tcPr>
          <w:p w14:paraId="57A7CB79" w14:textId="77777777" w:rsidR="003F2ACF" w:rsidRPr="00565E1D" w:rsidRDefault="003F2ACF" w:rsidP="003411B2">
            <w:pPr>
              <w:jc w:val="center"/>
              <w:rPr>
                <w:b/>
              </w:rPr>
            </w:pPr>
            <w:r w:rsidRPr="00565E1D">
              <w:rPr>
                <w:b/>
              </w:rPr>
              <w:t>Item</w:t>
            </w:r>
          </w:p>
        </w:tc>
        <w:tc>
          <w:tcPr>
            <w:tcW w:w="2421" w:type="dxa"/>
          </w:tcPr>
          <w:p w14:paraId="5B35C8E2" w14:textId="4CFC7F16" w:rsidR="003F2ACF" w:rsidRPr="00565E1D" w:rsidRDefault="003F2ACF" w:rsidP="003F2ACF">
            <w:pPr>
              <w:jc w:val="center"/>
              <w:rPr>
                <w:b/>
              </w:rPr>
            </w:pPr>
            <w:r w:rsidRPr="00565E1D">
              <w:rPr>
                <w:b/>
              </w:rPr>
              <w:t xml:space="preserve">Currently Approved </w:t>
            </w:r>
            <w:r>
              <w:rPr>
                <w:b/>
              </w:rPr>
              <w:t>Fees</w:t>
            </w:r>
          </w:p>
        </w:tc>
        <w:tc>
          <w:tcPr>
            <w:tcW w:w="1679" w:type="dxa"/>
          </w:tcPr>
          <w:p w14:paraId="39685D78" w14:textId="725FC6FD" w:rsidR="003F2ACF" w:rsidRPr="00565E1D" w:rsidRDefault="003F2ACF" w:rsidP="003F2ACF">
            <w:pPr>
              <w:jc w:val="center"/>
              <w:rPr>
                <w:b/>
              </w:rPr>
            </w:pPr>
            <w:r w:rsidRPr="00565E1D">
              <w:rPr>
                <w:b/>
              </w:rPr>
              <w:t xml:space="preserve">Proposed </w:t>
            </w:r>
            <w:r>
              <w:rPr>
                <w:b/>
              </w:rPr>
              <w:t>Fees</w:t>
            </w:r>
          </w:p>
        </w:tc>
        <w:tc>
          <w:tcPr>
            <w:tcW w:w="1849" w:type="dxa"/>
          </w:tcPr>
          <w:p w14:paraId="73D6967D" w14:textId="7BB7E299" w:rsidR="003F2ACF" w:rsidRPr="00565E1D" w:rsidRDefault="003F2ACF" w:rsidP="003F2ACF">
            <w:pPr>
              <w:jc w:val="center"/>
              <w:rPr>
                <w:b/>
              </w:rPr>
            </w:pPr>
            <w:r>
              <w:rPr>
                <w:b/>
              </w:rPr>
              <w:t>Fee De</w:t>
            </w:r>
            <w:r w:rsidRPr="00565E1D">
              <w:rPr>
                <w:b/>
              </w:rPr>
              <w:t>crease</w:t>
            </w:r>
          </w:p>
        </w:tc>
      </w:tr>
      <w:tr w:rsidR="003F2ACF" w:rsidRPr="00565E1D" w14:paraId="299620B7" w14:textId="77777777" w:rsidTr="003411B2">
        <w:trPr>
          <w:cantSplit/>
          <w:jc w:val="center"/>
        </w:trPr>
        <w:tc>
          <w:tcPr>
            <w:tcW w:w="3627" w:type="dxa"/>
          </w:tcPr>
          <w:p w14:paraId="72F80C9D" w14:textId="77777777" w:rsidR="003F2ACF" w:rsidRPr="00565E1D" w:rsidRDefault="003F2ACF" w:rsidP="003411B2">
            <w:r>
              <w:t>Due Diligence Petition under Trademark Rule 2.66 (Paper)</w:t>
            </w:r>
          </w:p>
        </w:tc>
        <w:tc>
          <w:tcPr>
            <w:tcW w:w="2421" w:type="dxa"/>
          </w:tcPr>
          <w:p w14:paraId="3108D647" w14:textId="3DB51D2D" w:rsidR="003F2ACF" w:rsidRPr="00565E1D" w:rsidRDefault="003F2ACF" w:rsidP="003411B2">
            <w:pPr>
              <w:jc w:val="right"/>
            </w:pPr>
            <w:r>
              <w:t>$201</w:t>
            </w:r>
          </w:p>
        </w:tc>
        <w:tc>
          <w:tcPr>
            <w:tcW w:w="1679" w:type="dxa"/>
          </w:tcPr>
          <w:p w14:paraId="3B112335" w14:textId="5E0EB308" w:rsidR="003F2ACF" w:rsidRPr="00565E1D" w:rsidRDefault="0046030B" w:rsidP="003411B2">
            <w:pPr>
              <w:jc w:val="right"/>
            </w:pPr>
            <w:r>
              <w:t>$</w:t>
            </w:r>
            <w:r w:rsidR="003F2ACF">
              <w:t>0</w:t>
            </w:r>
          </w:p>
        </w:tc>
        <w:tc>
          <w:tcPr>
            <w:tcW w:w="1849" w:type="dxa"/>
          </w:tcPr>
          <w:p w14:paraId="1B8071B0" w14:textId="40D9B1D9" w:rsidR="003F2ACF" w:rsidRPr="00565E1D" w:rsidRDefault="003F2ACF" w:rsidP="003411B2">
            <w:pPr>
              <w:jc w:val="right"/>
            </w:pPr>
            <w:r>
              <w:t>-</w:t>
            </w:r>
            <w:r w:rsidR="004D269E">
              <w:t>$</w:t>
            </w:r>
            <w:r>
              <w:t>201</w:t>
            </w:r>
          </w:p>
        </w:tc>
      </w:tr>
      <w:tr w:rsidR="003F2ACF" w:rsidRPr="00565E1D" w14:paraId="1F1144A8" w14:textId="77777777" w:rsidTr="003411B2">
        <w:trPr>
          <w:cantSplit/>
          <w:jc w:val="center"/>
        </w:trPr>
        <w:tc>
          <w:tcPr>
            <w:tcW w:w="3627" w:type="dxa"/>
          </w:tcPr>
          <w:p w14:paraId="7F71D3A9" w14:textId="77777777" w:rsidR="003F2ACF" w:rsidRPr="00565E1D" w:rsidRDefault="003F2ACF" w:rsidP="003411B2">
            <w:r>
              <w:t>Due Diligence Petition under Trademark Rule 2.66 (TEAS)</w:t>
            </w:r>
          </w:p>
        </w:tc>
        <w:tc>
          <w:tcPr>
            <w:tcW w:w="2421" w:type="dxa"/>
          </w:tcPr>
          <w:p w14:paraId="4CD1E9AA" w14:textId="477D3288" w:rsidR="003F2ACF" w:rsidRPr="00565E1D" w:rsidRDefault="003F2ACF" w:rsidP="003411B2">
            <w:pPr>
              <w:jc w:val="right"/>
            </w:pPr>
            <w:r>
              <w:t>$13,000</w:t>
            </w:r>
          </w:p>
        </w:tc>
        <w:tc>
          <w:tcPr>
            <w:tcW w:w="1679" w:type="dxa"/>
          </w:tcPr>
          <w:p w14:paraId="2BFDEE8F" w14:textId="74F71338" w:rsidR="003F2ACF" w:rsidRPr="00565E1D" w:rsidRDefault="0046030B" w:rsidP="003411B2">
            <w:pPr>
              <w:jc w:val="right"/>
            </w:pPr>
            <w:r>
              <w:t>$</w:t>
            </w:r>
            <w:r w:rsidR="003F2ACF">
              <w:t>0</w:t>
            </w:r>
          </w:p>
        </w:tc>
        <w:tc>
          <w:tcPr>
            <w:tcW w:w="1849" w:type="dxa"/>
          </w:tcPr>
          <w:p w14:paraId="47B5A895" w14:textId="7A8895F0" w:rsidR="003F2ACF" w:rsidRPr="00565E1D" w:rsidRDefault="003F2ACF" w:rsidP="003411B2">
            <w:pPr>
              <w:jc w:val="right"/>
            </w:pPr>
            <w:r>
              <w:t>-</w:t>
            </w:r>
            <w:r w:rsidR="004D269E">
              <w:t>$</w:t>
            </w:r>
            <w:r>
              <w:t>13,000</w:t>
            </w:r>
          </w:p>
        </w:tc>
      </w:tr>
      <w:tr w:rsidR="003F2ACF" w:rsidRPr="00565E1D" w14:paraId="47118F06" w14:textId="77777777" w:rsidTr="003411B2">
        <w:trPr>
          <w:cantSplit/>
          <w:jc w:val="center"/>
        </w:trPr>
        <w:tc>
          <w:tcPr>
            <w:tcW w:w="3627" w:type="dxa"/>
          </w:tcPr>
          <w:p w14:paraId="7483A36A" w14:textId="77777777" w:rsidR="003F2ACF" w:rsidRPr="00565E1D" w:rsidRDefault="003F2ACF" w:rsidP="003411B2">
            <w:pPr>
              <w:rPr>
                <w:b/>
              </w:rPr>
            </w:pPr>
            <w:r w:rsidRPr="00565E1D">
              <w:rPr>
                <w:b/>
              </w:rPr>
              <w:t>Totals</w:t>
            </w:r>
          </w:p>
        </w:tc>
        <w:tc>
          <w:tcPr>
            <w:tcW w:w="2421" w:type="dxa"/>
          </w:tcPr>
          <w:p w14:paraId="79211729" w14:textId="77777777" w:rsidR="003F2ACF" w:rsidRPr="00565E1D" w:rsidRDefault="003F2ACF" w:rsidP="003411B2">
            <w:pPr>
              <w:jc w:val="right"/>
            </w:pPr>
            <w:r w:rsidRPr="00565E1D">
              <w:t>---</w:t>
            </w:r>
          </w:p>
        </w:tc>
        <w:tc>
          <w:tcPr>
            <w:tcW w:w="1679" w:type="dxa"/>
          </w:tcPr>
          <w:p w14:paraId="05827144" w14:textId="77777777" w:rsidR="003F2ACF" w:rsidRPr="00565E1D" w:rsidRDefault="003F2ACF" w:rsidP="003411B2">
            <w:pPr>
              <w:jc w:val="right"/>
            </w:pPr>
            <w:r w:rsidRPr="00565E1D">
              <w:t>---</w:t>
            </w:r>
          </w:p>
        </w:tc>
        <w:tc>
          <w:tcPr>
            <w:tcW w:w="1849" w:type="dxa"/>
          </w:tcPr>
          <w:p w14:paraId="783FEA6F" w14:textId="64ED1CA9" w:rsidR="003F2ACF" w:rsidRPr="00565E1D" w:rsidRDefault="003F2ACF" w:rsidP="003411B2">
            <w:pPr>
              <w:jc w:val="right"/>
              <w:rPr>
                <w:b/>
              </w:rPr>
            </w:pPr>
            <w:r>
              <w:rPr>
                <w:b/>
              </w:rPr>
              <w:t>-</w:t>
            </w:r>
            <w:r w:rsidR="004D269E">
              <w:rPr>
                <w:b/>
              </w:rPr>
              <w:t>$</w:t>
            </w:r>
            <w:r>
              <w:rPr>
                <w:b/>
              </w:rPr>
              <w:t>13,201</w:t>
            </w:r>
          </w:p>
        </w:tc>
      </w:tr>
    </w:tbl>
    <w:p w14:paraId="127A2BBD" w14:textId="77777777" w:rsidR="003F2ACF" w:rsidRPr="00565E1D" w:rsidRDefault="003F2ACF" w:rsidP="00565E1D">
      <w:pPr>
        <w:spacing w:after="0" w:line="240" w:lineRule="auto"/>
        <w:rPr>
          <w:b/>
        </w:rPr>
      </w:pPr>
    </w:p>
    <w:p w14:paraId="1147C006" w14:textId="77777777" w:rsidR="00565E1D" w:rsidRPr="00565E1D" w:rsidRDefault="00565E1D" w:rsidP="00565E1D">
      <w:pPr>
        <w:spacing w:after="0" w:line="240" w:lineRule="auto"/>
      </w:pPr>
    </w:p>
    <w:p w14:paraId="1147C007" w14:textId="77777777" w:rsidR="00565E1D" w:rsidRPr="00565E1D" w:rsidRDefault="00565E1D" w:rsidP="00565E1D">
      <w:pPr>
        <w:spacing w:after="0" w:line="240" w:lineRule="auto"/>
      </w:pPr>
      <w:r w:rsidRPr="00565E1D">
        <w:rPr>
          <w:u w:val="single"/>
        </w:rPr>
        <w:t>Summary of Changes</w:t>
      </w:r>
    </w:p>
    <w:p w14:paraId="1147C008" w14:textId="77777777" w:rsidR="00565E1D" w:rsidRPr="00565E1D" w:rsidRDefault="00565E1D" w:rsidP="00565E1D">
      <w:pPr>
        <w:spacing w:after="0" w:line="240" w:lineRule="auto"/>
      </w:pPr>
    </w:p>
    <w:p w14:paraId="1147C009" w14:textId="34099A5D" w:rsidR="00565E1D" w:rsidRPr="00565E1D" w:rsidRDefault="00565E1D" w:rsidP="00565E1D">
      <w:pPr>
        <w:spacing w:after="0" w:line="240" w:lineRule="auto"/>
      </w:pPr>
      <w:r w:rsidRPr="00565E1D">
        <w:t xml:space="preserve">The </w:t>
      </w:r>
      <w:r w:rsidR="00AB1B1D">
        <w:t>decrease</w:t>
      </w:r>
      <w:r w:rsidRPr="00565E1D">
        <w:t xml:space="preserve"> of </w:t>
      </w:r>
      <w:r w:rsidR="003F2ACF">
        <w:t xml:space="preserve">132 respondents, 44 burden hours, and </w:t>
      </w:r>
      <w:r w:rsidRPr="00565E1D">
        <w:t>$</w:t>
      </w:r>
      <w:r w:rsidR="003F2ACF">
        <w:t>13,201</w:t>
      </w:r>
      <w:r w:rsidRPr="00565E1D">
        <w:t xml:space="preserve"> in fees </w:t>
      </w:r>
      <w:r w:rsidR="003F2ACF">
        <w:t xml:space="preserve">within </w:t>
      </w:r>
      <w:r w:rsidRPr="00565E1D">
        <w:t>collection 0651-00</w:t>
      </w:r>
      <w:r w:rsidR="0009286F">
        <w:t>54</w:t>
      </w:r>
      <w:r w:rsidRPr="00565E1D">
        <w:t xml:space="preserve"> is </w:t>
      </w:r>
      <w:r w:rsidR="00AB1B1D">
        <w:t>on</w:t>
      </w:r>
      <w:r w:rsidRPr="00565E1D">
        <w:t xml:space="preserve"> account </w:t>
      </w:r>
      <w:r w:rsidR="00AB1B1D">
        <w:t>of</w:t>
      </w:r>
      <w:r w:rsidRPr="00565E1D">
        <w:t xml:space="preserve"> the changes following th</w:t>
      </w:r>
      <w:r w:rsidR="002C5F9D">
        <w:t>e rulemaking action RIN 0651-AC41</w:t>
      </w:r>
      <w:r w:rsidRPr="00565E1D">
        <w:t xml:space="preserve">. </w:t>
      </w:r>
    </w:p>
    <w:p w14:paraId="1147C00A" w14:textId="77777777" w:rsidR="00565E1D" w:rsidRPr="00565E1D" w:rsidRDefault="00565E1D" w:rsidP="00565E1D">
      <w:pPr>
        <w:spacing w:after="0" w:line="240" w:lineRule="auto"/>
      </w:pPr>
    </w:p>
    <w:p w14:paraId="1147C00B" w14:textId="77777777" w:rsidR="00565E1D" w:rsidRPr="00565E1D" w:rsidRDefault="00565E1D" w:rsidP="00565E1D">
      <w:pPr>
        <w:spacing w:after="0" w:line="240" w:lineRule="auto"/>
      </w:pPr>
      <w:r w:rsidRPr="00565E1D">
        <w:rPr>
          <w:u w:val="single"/>
        </w:rPr>
        <w:t>Changes in Burden</w:t>
      </w:r>
    </w:p>
    <w:p w14:paraId="1147C00C" w14:textId="77777777" w:rsidR="00565E1D" w:rsidRPr="00565E1D" w:rsidRDefault="00565E1D" w:rsidP="00565E1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565E1D" w:rsidRPr="00565E1D" w14:paraId="1147C011" w14:textId="77777777" w:rsidTr="00D16468">
        <w:tc>
          <w:tcPr>
            <w:tcW w:w="3078" w:type="dxa"/>
          </w:tcPr>
          <w:p w14:paraId="1147C00D" w14:textId="77777777" w:rsidR="00565E1D" w:rsidRPr="00565E1D" w:rsidRDefault="00565E1D" w:rsidP="00565E1D">
            <w:pPr>
              <w:jc w:val="center"/>
              <w:rPr>
                <w:b/>
              </w:rPr>
            </w:pPr>
            <w:r w:rsidRPr="00565E1D">
              <w:rPr>
                <w:b/>
              </w:rPr>
              <w:t>Burden Type</w:t>
            </w:r>
          </w:p>
        </w:tc>
        <w:tc>
          <w:tcPr>
            <w:tcW w:w="2340" w:type="dxa"/>
          </w:tcPr>
          <w:p w14:paraId="1147C00E" w14:textId="77777777" w:rsidR="00565E1D" w:rsidRPr="00565E1D" w:rsidRDefault="00565E1D" w:rsidP="00565E1D">
            <w:pPr>
              <w:jc w:val="center"/>
              <w:rPr>
                <w:b/>
              </w:rPr>
            </w:pPr>
            <w:r w:rsidRPr="00565E1D">
              <w:rPr>
                <w:b/>
              </w:rPr>
              <w:t>Currently Approved</w:t>
            </w:r>
          </w:p>
        </w:tc>
        <w:tc>
          <w:tcPr>
            <w:tcW w:w="2250" w:type="dxa"/>
          </w:tcPr>
          <w:p w14:paraId="1147C00F" w14:textId="77777777" w:rsidR="00565E1D" w:rsidRPr="00565E1D" w:rsidRDefault="00565E1D" w:rsidP="00565E1D">
            <w:pPr>
              <w:jc w:val="center"/>
              <w:rPr>
                <w:b/>
              </w:rPr>
            </w:pPr>
            <w:r w:rsidRPr="00565E1D">
              <w:rPr>
                <w:b/>
              </w:rPr>
              <w:t>Proposed Change</w:t>
            </w:r>
          </w:p>
        </w:tc>
        <w:tc>
          <w:tcPr>
            <w:tcW w:w="1908" w:type="dxa"/>
          </w:tcPr>
          <w:p w14:paraId="1147C010" w14:textId="77777777" w:rsidR="00565E1D" w:rsidRPr="00565E1D" w:rsidRDefault="00565E1D" w:rsidP="00565E1D">
            <w:pPr>
              <w:jc w:val="center"/>
              <w:rPr>
                <w:b/>
              </w:rPr>
            </w:pPr>
            <w:r w:rsidRPr="00565E1D">
              <w:rPr>
                <w:b/>
              </w:rPr>
              <w:t>New Estimate</w:t>
            </w:r>
          </w:p>
        </w:tc>
      </w:tr>
      <w:tr w:rsidR="00565E1D" w:rsidRPr="00565E1D" w14:paraId="1147C016" w14:textId="77777777" w:rsidTr="00D16468">
        <w:tc>
          <w:tcPr>
            <w:tcW w:w="3078" w:type="dxa"/>
          </w:tcPr>
          <w:p w14:paraId="1147C012" w14:textId="77777777" w:rsidR="00565E1D" w:rsidRPr="00565E1D" w:rsidRDefault="00565E1D" w:rsidP="00565E1D">
            <w:r w:rsidRPr="00565E1D">
              <w:t>Respondents</w:t>
            </w:r>
          </w:p>
        </w:tc>
        <w:tc>
          <w:tcPr>
            <w:tcW w:w="2340" w:type="dxa"/>
          </w:tcPr>
          <w:p w14:paraId="1147C013" w14:textId="5FC836A4" w:rsidR="00565E1D" w:rsidRPr="00565E1D" w:rsidRDefault="003F2ACF" w:rsidP="00565E1D">
            <w:pPr>
              <w:jc w:val="right"/>
            </w:pPr>
            <w:r>
              <w:t>290,644</w:t>
            </w:r>
          </w:p>
        </w:tc>
        <w:tc>
          <w:tcPr>
            <w:tcW w:w="2250" w:type="dxa"/>
          </w:tcPr>
          <w:p w14:paraId="1147C014" w14:textId="6C9AACC3" w:rsidR="00565E1D" w:rsidRPr="00565E1D" w:rsidRDefault="00A97F76" w:rsidP="00565E1D">
            <w:pPr>
              <w:jc w:val="right"/>
            </w:pPr>
            <w:r>
              <w:t>-</w:t>
            </w:r>
            <w:r w:rsidR="003F2ACF">
              <w:t>132</w:t>
            </w:r>
          </w:p>
        </w:tc>
        <w:tc>
          <w:tcPr>
            <w:tcW w:w="1908" w:type="dxa"/>
          </w:tcPr>
          <w:p w14:paraId="1147C015" w14:textId="6B842DC8" w:rsidR="00565E1D" w:rsidRPr="00565E1D" w:rsidRDefault="003F2ACF" w:rsidP="00565E1D">
            <w:pPr>
              <w:jc w:val="right"/>
            </w:pPr>
            <w:r>
              <w:t>290,512</w:t>
            </w:r>
          </w:p>
        </w:tc>
      </w:tr>
      <w:tr w:rsidR="00565E1D" w:rsidRPr="00565E1D" w14:paraId="1147C01B" w14:textId="77777777" w:rsidTr="00D16468">
        <w:tc>
          <w:tcPr>
            <w:tcW w:w="3078" w:type="dxa"/>
          </w:tcPr>
          <w:p w14:paraId="1147C017" w14:textId="2DB90BC6" w:rsidR="00565E1D" w:rsidRPr="00565E1D" w:rsidRDefault="00C96036" w:rsidP="00565E1D">
            <w:r>
              <w:t>Hourly Time Burden</w:t>
            </w:r>
          </w:p>
        </w:tc>
        <w:tc>
          <w:tcPr>
            <w:tcW w:w="2340" w:type="dxa"/>
          </w:tcPr>
          <w:p w14:paraId="1147C018" w14:textId="244636EB" w:rsidR="00565E1D" w:rsidRPr="00565E1D" w:rsidRDefault="00C96036" w:rsidP="00565E1D">
            <w:pPr>
              <w:jc w:val="right"/>
            </w:pPr>
            <w:r>
              <w:t>63,293</w:t>
            </w:r>
          </w:p>
        </w:tc>
        <w:tc>
          <w:tcPr>
            <w:tcW w:w="2250" w:type="dxa"/>
          </w:tcPr>
          <w:p w14:paraId="1147C019" w14:textId="4872F569" w:rsidR="00565E1D" w:rsidRPr="00565E1D" w:rsidRDefault="00AB1B1D" w:rsidP="00C96036">
            <w:pPr>
              <w:jc w:val="right"/>
            </w:pPr>
            <w:r>
              <w:t>-</w:t>
            </w:r>
            <w:r w:rsidR="00C96036">
              <w:t>44</w:t>
            </w:r>
          </w:p>
        </w:tc>
        <w:tc>
          <w:tcPr>
            <w:tcW w:w="1908" w:type="dxa"/>
          </w:tcPr>
          <w:p w14:paraId="1147C01A" w14:textId="363D0694" w:rsidR="00565E1D" w:rsidRPr="00565E1D" w:rsidRDefault="00C96036" w:rsidP="00C96036">
            <w:pPr>
              <w:jc w:val="right"/>
            </w:pPr>
            <w:r>
              <w:t>63,249</w:t>
            </w:r>
          </w:p>
        </w:tc>
      </w:tr>
      <w:tr w:rsidR="00C96036" w:rsidRPr="00565E1D" w14:paraId="08407086" w14:textId="77777777" w:rsidTr="00D16468">
        <w:tc>
          <w:tcPr>
            <w:tcW w:w="3078" w:type="dxa"/>
          </w:tcPr>
          <w:p w14:paraId="2A4BC052" w14:textId="2B297323" w:rsidR="00C96036" w:rsidRPr="00565E1D" w:rsidRDefault="00C96036" w:rsidP="00565E1D">
            <w:r>
              <w:t>Fees</w:t>
            </w:r>
          </w:p>
        </w:tc>
        <w:tc>
          <w:tcPr>
            <w:tcW w:w="2340" w:type="dxa"/>
          </w:tcPr>
          <w:p w14:paraId="371DD731" w14:textId="5E321F0D" w:rsidR="00C96036" w:rsidRDefault="00C96036" w:rsidP="00F6382F">
            <w:pPr>
              <w:jc w:val="right"/>
            </w:pPr>
            <w:r>
              <w:t>$37,612,</w:t>
            </w:r>
            <w:r w:rsidR="00F6382F">
              <w:t>244</w:t>
            </w:r>
          </w:p>
        </w:tc>
        <w:tc>
          <w:tcPr>
            <w:tcW w:w="2250" w:type="dxa"/>
          </w:tcPr>
          <w:p w14:paraId="0ED555A2" w14:textId="0257A029" w:rsidR="00C96036" w:rsidRDefault="00C96036" w:rsidP="0009286F">
            <w:pPr>
              <w:jc w:val="right"/>
            </w:pPr>
            <w:r>
              <w:t>-</w:t>
            </w:r>
            <w:r w:rsidRPr="00565E1D">
              <w:t>$</w:t>
            </w:r>
            <w:r>
              <w:t>13,201</w:t>
            </w:r>
          </w:p>
        </w:tc>
        <w:tc>
          <w:tcPr>
            <w:tcW w:w="1908" w:type="dxa"/>
          </w:tcPr>
          <w:p w14:paraId="2942F1BC" w14:textId="0B2AA295" w:rsidR="00C96036" w:rsidRPr="00565E1D" w:rsidRDefault="00C96036" w:rsidP="002A757F">
            <w:pPr>
              <w:jc w:val="right"/>
            </w:pPr>
            <w:r w:rsidRPr="00565E1D">
              <w:t>$</w:t>
            </w:r>
            <w:r>
              <w:t>37,599,043</w:t>
            </w:r>
          </w:p>
        </w:tc>
      </w:tr>
    </w:tbl>
    <w:p w14:paraId="1147C01C" w14:textId="77777777" w:rsidR="00565E1D" w:rsidRPr="00565E1D" w:rsidRDefault="00565E1D" w:rsidP="00565E1D">
      <w:pPr>
        <w:spacing w:after="0" w:line="240" w:lineRule="auto"/>
      </w:pPr>
    </w:p>
    <w:p w14:paraId="1147C01F" w14:textId="77777777" w:rsidR="00565E1D" w:rsidRPr="00565E1D" w:rsidRDefault="00565E1D" w:rsidP="00565E1D">
      <w:pPr>
        <w:spacing w:after="0" w:line="240" w:lineRule="auto"/>
      </w:pPr>
      <w:r w:rsidRPr="00565E1D">
        <w:t>The 0651-00</w:t>
      </w:r>
      <w:r w:rsidR="0009286F">
        <w:t>54</w:t>
      </w:r>
      <w:r w:rsidRPr="00565E1D">
        <w:t xml:space="preserve"> revised total burden is as follows:</w:t>
      </w:r>
    </w:p>
    <w:p w14:paraId="1147C020" w14:textId="77777777" w:rsidR="00565E1D" w:rsidRPr="00565E1D" w:rsidRDefault="00565E1D" w:rsidP="00565E1D">
      <w:pPr>
        <w:spacing w:after="0" w:line="240" w:lineRule="auto"/>
      </w:pPr>
    </w:p>
    <w:p w14:paraId="1147C021" w14:textId="27C36807" w:rsidR="00565E1D" w:rsidRPr="00565E1D" w:rsidRDefault="006C16D9" w:rsidP="00565E1D">
      <w:pPr>
        <w:numPr>
          <w:ilvl w:val="0"/>
          <w:numId w:val="1"/>
        </w:numPr>
        <w:spacing w:after="0" w:line="240" w:lineRule="auto"/>
      </w:pPr>
      <w:r>
        <w:t>290,512</w:t>
      </w:r>
      <w:r w:rsidR="00565E1D" w:rsidRPr="00565E1D">
        <w:t xml:space="preserve"> respondents</w:t>
      </w:r>
    </w:p>
    <w:p w14:paraId="1147C022" w14:textId="43F22C8C" w:rsidR="00565E1D" w:rsidRPr="00565E1D" w:rsidRDefault="006C16D9" w:rsidP="00565E1D">
      <w:pPr>
        <w:numPr>
          <w:ilvl w:val="0"/>
          <w:numId w:val="1"/>
        </w:numPr>
        <w:spacing w:after="0" w:line="240" w:lineRule="auto"/>
      </w:pPr>
      <w:r>
        <w:t>$37,599,043</w:t>
      </w:r>
      <w:r w:rsidR="00565E1D" w:rsidRPr="00565E1D">
        <w:t xml:space="preserve"> </w:t>
      </w:r>
      <w:r w:rsidR="002A757F">
        <w:t>048</w:t>
      </w:r>
      <w:r w:rsidR="002A757F" w:rsidRPr="00565E1D">
        <w:t xml:space="preserve"> </w:t>
      </w:r>
      <w:r w:rsidR="00565E1D" w:rsidRPr="00565E1D">
        <w:t>in annual (non-hour) fees</w:t>
      </w:r>
    </w:p>
    <w:p w14:paraId="1147C023" w14:textId="77777777" w:rsidR="00400B38" w:rsidRDefault="00013282"/>
    <w:sectPr w:rsidR="00400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D"/>
    <w:rsid w:val="00013282"/>
    <w:rsid w:val="0009286F"/>
    <w:rsid w:val="00093E49"/>
    <w:rsid w:val="00156410"/>
    <w:rsid w:val="00164E91"/>
    <w:rsid w:val="0021610E"/>
    <w:rsid w:val="002A757F"/>
    <w:rsid w:val="002C5F9D"/>
    <w:rsid w:val="003A2971"/>
    <w:rsid w:val="003F2ACF"/>
    <w:rsid w:val="00400395"/>
    <w:rsid w:val="0046030B"/>
    <w:rsid w:val="004A3888"/>
    <w:rsid w:val="004D269E"/>
    <w:rsid w:val="005358CA"/>
    <w:rsid w:val="00565E1D"/>
    <w:rsid w:val="005E763C"/>
    <w:rsid w:val="0069749F"/>
    <w:rsid w:val="006C16D9"/>
    <w:rsid w:val="0079044A"/>
    <w:rsid w:val="007D078D"/>
    <w:rsid w:val="00856318"/>
    <w:rsid w:val="008646C7"/>
    <w:rsid w:val="008B3EC4"/>
    <w:rsid w:val="008D4DF1"/>
    <w:rsid w:val="009028A0"/>
    <w:rsid w:val="00965CAF"/>
    <w:rsid w:val="00A5492A"/>
    <w:rsid w:val="00A97F76"/>
    <w:rsid w:val="00AB1B1D"/>
    <w:rsid w:val="00AE52C1"/>
    <w:rsid w:val="00C93040"/>
    <w:rsid w:val="00C96036"/>
    <w:rsid w:val="00DA0BE6"/>
    <w:rsid w:val="00DA5234"/>
    <w:rsid w:val="00E50FA8"/>
    <w:rsid w:val="00E7163E"/>
    <w:rsid w:val="00F6382F"/>
    <w:rsid w:val="00FA7A53"/>
    <w:rsid w:val="00FD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paragraph" w:styleId="BalloonText">
    <w:name w:val="Balloon Text"/>
    <w:basedOn w:val="Normal"/>
    <w:link w:val="BalloonTextChar"/>
    <w:uiPriority w:val="99"/>
    <w:semiHidden/>
    <w:unhideWhenUsed/>
    <w:rsid w:val="002A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paragraph" w:styleId="BalloonText">
    <w:name w:val="Balloon Text"/>
    <w:basedOn w:val="Normal"/>
    <w:link w:val="BalloonTextChar"/>
    <w:uiPriority w:val="99"/>
    <w:semiHidden/>
    <w:unhideWhenUsed/>
    <w:rsid w:val="002A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8130">
      <w:bodyDiv w:val="1"/>
      <w:marLeft w:val="0"/>
      <w:marRight w:val="0"/>
      <w:marTop w:val="0"/>
      <w:marBottom w:val="0"/>
      <w:divBdr>
        <w:top w:val="none" w:sz="0" w:space="0" w:color="auto"/>
        <w:left w:val="none" w:sz="0" w:space="0" w:color="auto"/>
        <w:bottom w:val="none" w:sz="0" w:space="0" w:color="auto"/>
        <w:right w:val="none" w:sz="0" w:space="0" w:color="auto"/>
      </w:divBdr>
    </w:div>
    <w:div w:id="14329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BC474-EC78-4736-9507-37E089D2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C6432-1C71-4E47-9CAB-9C5A153EDCF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DF721D4F-1C3B-4BB8-8D02-F2A66E907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 (AMBIT)</cp:lastModifiedBy>
  <cp:revision>2</cp:revision>
  <dcterms:created xsi:type="dcterms:W3CDTF">2017-06-30T23:46:00Z</dcterms:created>
  <dcterms:modified xsi:type="dcterms:W3CDTF">2017-06-30T23:46:00Z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