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67255808"/>
        <w:docPartObj>
          <w:docPartGallery w:val="Cover Pages"/>
          <w:docPartUnique/>
        </w:docPartObj>
      </w:sdtPr>
      <w:sdtEndPr/>
      <w:sdtContent>
        <w:p w14:paraId="3B425B06" w14:textId="77777777" w:rsidR="006341D8" w:rsidRDefault="006341D8"/>
        <w:p w14:paraId="7BAACD4B" w14:textId="77777777" w:rsidR="00C860D2" w:rsidRPr="00C860D2" w:rsidRDefault="00C860D2" w:rsidP="00C860D2">
          <w:pPr>
            <w:spacing w:after="160" w:line="276" w:lineRule="auto"/>
            <w:rPr>
              <w:bCs/>
            </w:rPr>
          </w:pPr>
          <w:r w:rsidRPr="00C860D2">
            <w:rPr>
              <w:rFonts w:ascii="Calibri" w:eastAsiaTheme="minorEastAsia" w:hAnsi="Calibri" w:cstheme="minorBidi"/>
              <w:noProof/>
              <w:szCs w:val="20"/>
            </w:rPr>
            <w:drawing>
              <wp:anchor distT="0" distB="0" distL="114300" distR="114300" simplePos="0" relativeHeight="251663360" behindDoc="1" locked="0" layoutInCell="1" allowOverlap="1" wp14:anchorId="7C7D3B80" wp14:editId="6B608CC4">
                <wp:simplePos x="0" y="0"/>
                <wp:positionH relativeFrom="margin">
                  <wp:posOffset>-338455</wp:posOffset>
                </wp:positionH>
                <wp:positionV relativeFrom="paragraph">
                  <wp:posOffset>5080</wp:posOffset>
                </wp:positionV>
                <wp:extent cx="1149350" cy="1132205"/>
                <wp:effectExtent l="0" t="0" r="0" b="0"/>
                <wp:wrapThrough wrapText="bothSides">
                  <wp:wrapPolygon edited="0">
                    <wp:start x="0" y="0"/>
                    <wp:lineTo x="0" y="21079"/>
                    <wp:lineTo x="21123" y="21079"/>
                    <wp:lineTo x="211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49350" cy="1132205"/>
                        </a:xfrm>
                        <a:prstGeom prst="rect">
                          <a:avLst/>
                        </a:prstGeom>
                      </pic:spPr>
                    </pic:pic>
                  </a:graphicData>
                </a:graphic>
                <wp14:sizeRelH relativeFrom="page">
                  <wp14:pctWidth>0</wp14:pctWidth>
                </wp14:sizeRelH>
                <wp14:sizeRelV relativeFrom="page">
                  <wp14:pctHeight>0</wp14:pctHeight>
                </wp14:sizeRelV>
              </wp:anchor>
            </w:drawing>
          </w:r>
        </w:p>
        <w:p w14:paraId="6292A776" w14:textId="77777777" w:rsidR="00C860D2" w:rsidRPr="00C860D2" w:rsidRDefault="00C860D2" w:rsidP="00C860D2">
          <w:pPr>
            <w:spacing w:after="160" w:line="276" w:lineRule="auto"/>
            <w:rPr>
              <w:bCs/>
            </w:rPr>
          </w:pPr>
          <w:r w:rsidRPr="00C860D2">
            <w:rPr>
              <w:bCs/>
              <w:noProof/>
            </w:rPr>
            <mc:AlternateContent>
              <mc:Choice Requires="wps">
                <w:drawing>
                  <wp:anchor distT="45720" distB="45720" distL="114300" distR="114300" simplePos="0" relativeHeight="251660288" behindDoc="0" locked="0" layoutInCell="1" allowOverlap="1" wp14:anchorId="7205315D" wp14:editId="4C43A7DB">
                    <wp:simplePos x="0" y="0"/>
                    <wp:positionH relativeFrom="margin">
                      <wp:posOffset>823620</wp:posOffset>
                    </wp:positionH>
                    <wp:positionV relativeFrom="page">
                      <wp:posOffset>1172537</wp:posOffset>
                    </wp:positionV>
                    <wp:extent cx="5890260" cy="571500"/>
                    <wp:effectExtent l="0" t="0" r="0" b="0"/>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571500"/>
                            </a:xfrm>
                            <a:prstGeom prst="rect">
                              <a:avLst/>
                            </a:prstGeom>
                            <a:noFill/>
                            <a:ln w="9525">
                              <a:noFill/>
                              <a:miter lim="800000"/>
                              <a:headEnd/>
                              <a:tailEnd/>
                            </a:ln>
                          </wps:spPr>
                          <wps:txbx>
                            <w:txbxContent>
                              <w:p w14:paraId="16C1BF95" w14:textId="77777777" w:rsidR="00EA0B24" w:rsidRPr="006C1671" w:rsidRDefault="00EA0B24" w:rsidP="00C860D2">
                                <w:pPr>
                                  <w:rPr>
                                    <w:color w:val="000000"/>
                                    <w:sz w:val="26"/>
                                    <w:szCs w:val="32"/>
                                  </w:rPr>
                                </w:pPr>
                                <w:r w:rsidRPr="006C1671">
                                  <w:rPr>
                                    <w:color w:val="000000"/>
                                    <w:sz w:val="26"/>
                                    <w:szCs w:val="32"/>
                                  </w:rPr>
                                  <w:t>National Science Foundation</w:t>
                                </w:r>
                              </w:p>
                              <w:p w14:paraId="21DF636A" w14:textId="77777777" w:rsidR="00EA0B24" w:rsidRPr="006C1671" w:rsidRDefault="00EA0B24" w:rsidP="00C860D2">
                                <w:pPr>
                                  <w:rPr>
                                    <w:color w:val="000000"/>
                                    <w:sz w:val="26"/>
                                    <w:szCs w:val="32"/>
                                  </w:rPr>
                                </w:pPr>
                                <w:r w:rsidRPr="006C1671">
                                  <w:rPr>
                                    <w:color w:val="000000"/>
                                    <w:sz w:val="26"/>
                                    <w:szCs w:val="32"/>
                                  </w:rPr>
                                  <w:t xml:space="preserve">The Office of Integrative Activities, Evaluation and Assessment Capabilities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xmlns:mv="urn:schemas-microsoft-com:mac:vml" xmlns:mo="http://schemas.microsoft.com/office/mac/office/2008/main">
                <w:pict>
                  <v:shapetype w14:anchorId="7205315D" id="_x0000_t202" coordsize="21600,21600" o:spt="202" path="m,l,21600r21600,l21600,xe">
                    <v:stroke joinstyle="miter"/>
                    <v:path gradientshapeok="t" o:connecttype="rect"/>
                  </v:shapetype>
                  <v:shape id="Text Box 2" o:spid="_x0000_s1026" type="#_x0000_t202" style="position:absolute;margin-left:64.85pt;margin-top:92.35pt;width:463.8pt;height: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" filled="f" stroked="f">
                    <v:textbox>
                      <w:txbxContent>
                        <w:p w14:paraId="16C1BF95" w14:textId="77777777" w:rsidR="00EA0B24" w:rsidRPr="006C1671" w:rsidRDefault="00EA0B24" w:rsidP="00C860D2">
                          <w:pPr>
                            <w:rPr>
                              <w:color w:val="000000"/>
                              <w:sz w:val="26"/>
                              <w:szCs w:val="32"/>
                            </w:rPr>
                          </w:pPr>
                          <w:r w:rsidRPr="006C1671">
                            <w:rPr>
                              <w:color w:val="000000"/>
                              <w:sz w:val="26"/>
                              <w:szCs w:val="32"/>
                            </w:rPr>
                            <w:t>National Science Foundation</w:t>
                          </w:r>
                        </w:p>
                        <w:p w14:paraId="21DF636A" w14:textId="77777777" w:rsidR="00EA0B24" w:rsidRPr="006C1671" w:rsidRDefault="00EA0B24" w:rsidP="00C860D2">
                          <w:pPr>
                            <w:rPr>
                              <w:color w:val="000000"/>
                              <w:sz w:val="26"/>
                              <w:szCs w:val="32"/>
                            </w:rPr>
                          </w:pPr>
                          <w:r w:rsidRPr="006C1671">
                            <w:rPr>
                              <w:color w:val="000000"/>
                              <w:sz w:val="26"/>
                              <w:szCs w:val="32"/>
                            </w:rPr>
                            <w:t xml:space="preserve">The Office of Integrative Activities, Evaluation and Assessment Capabilities </w:t>
                          </w:r>
                        </w:p>
                      </w:txbxContent>
                    </v:textbox>
                    <w10:wrap type="square" anchorx="margin" anchory="page"/>
                  </v:shape>
                </w:pict>
              </mc:Fallback>
            </mc:AlternateContent>
          </w:r>
        </w:p>
        <w:p w14:paraId="2F2F4564" w14:textId="77777777" w:rsidR="006341D8" w:rsidRDefault="00C860D2" w:rsidP="00C860D2">
          <w:pPr>
            <w:spacing w:after="160" w:line="276" w:lineRule="auto"/>
            <w:rPr>
              <w:rFonts w:asciiTheme="majorHAnsi" w:eastAsiaTheme="majorEastAsia" w:hAnsiTheme="majorHAnsi" w:cstheme="majorBidi"/>
              <w:color w:val="2E74B5" w:themeColor="accent1" w:themeShade="BF"/>
              <w:sz w:val="32"/>
              <w:szCs w:val="32"/>
            </w:rPr>
          </w:pPr>
          <w:r w:rsidRPr="00C860D2">
            <w:rPr>
              <w:bCs/>
              <w:noProof/>
            </w:rPr>
            <w:drawing>
              <wp:anchor distT="0" distB="0" distL="114300" distR="114300" simplePos="0" relativeHeight="251661312" behindDoc="0" locked="0" layoutInCell="1" allowOverlap="1" wp14:anchorId="5A8B6C20" wp14:editId="31BFF339">
                <wp:simplePos x="0" y="0"/>
                <wp:positionH relativeFrom="margin">
                  <wp:align>center</wp:align>
                </wp:positionH>
                <wp:positionV relativeFrom="paragraph">
                  <wp:posOffset>2851785</wp:posOffset>
                </wp:positionV>
                <wp:extent cx="1901825" cy="918210"/>
                <wp:effectExtent l="0" t="0" r="3175" b="0"/>
                <wp:wrapNone/>
                <wp:docPr id="2" name="Picture 3" descr="MSG logo"/>
                <wp:cNvGraphicFramePr/>
                <a:graphic xmlns:a="http://schemas.openxmlformats.org/drawingml/2006/main">
                  <a:graphicData uri="http://schemas.openxmlformats.org/drawingml/2006/picture">
                    <pic:pic xmlns:pic="http://schemas.openxmlformats.org/drawingml/2006/picture">
                      <pic:nvPicPr>
                        <pic:cNvPr id="4" name="Picture 3" descr="MSG 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1825" cy="918210"/>
                        </a:xfrm>
                        <a:prstGeom prst="rect">
                          <a:avLst/>
                        </a:prstGeom>
                        <a:solidFill>
                          <a:srgbClr val="2A5681"/>
                        </a:solidFill>
                        <a:ln>
                          <a:noFill/>
                        </a:ln>
                      </pic:spPr>
                    </pic:pic>
                  </a:graphicData>
                </a:graphic>
              </wp:anchor>
            </w:drawing>
          </w:r>
          <w:r w:rsidRPr="00C860D2">
            <w:rPr>
              <w:bCs/>
              <w:noProof/>
            </w:rPr>
            <mc:AlternateContent>
              <mc:Choice Requires="wpg">
                <w:drawing>
                  <wp:anchor distT="0" distB="0" distL="114300" distR="114300" simplePos="0" relativeHeight="251659264" behindDoc="0" locked="0" layoutInCell="1" allowOverlap="1" wp14:anchorId="2BE2A541" wp14:editId="30EA7665">
                    <wp:simplePos x="0" y="0"/>
                    <wp:positionH relativeFrom="margin">
                      <wp:posOffset>-945515</wp:posOffset>
                    </wp:positionH>
                    <wp:positionV relativeFrom="paragraph">
                      <wp:posOffset>269875</wp:posOffset>
                    </wp:positionV>
                    <wp:extent cx="7778750" cy="2669540"/>
                    <wp:effectExtent l="0" t="0" r="12700" b="0"/>
                    <wp:wrapNone/>
                    <wp:docPr id="15" name="Group 15"/>
                    <wp:cNvGraphicFramePr/>
                    <a:graphic xmlns:a="http://schemas.openxmlformats.org/drawingml/2006/main">
                      <a:graphicData uri="http://schemas.microsoft.com/office/word/2010/wordprocessingGroup">
                        <wpg:wgp>
                          <wpg:cNvGrpSpPr/>
                          <wpg:grpSpPr>
                            <a:xfrm>
                              <a:off x="0" y="0"/>
                              <a:ext cx="7778750" cy="2669540"/>
                              <a:chOff x="-21590" y="-466725"/>
                              <a:chExt cx="7778750" cy="2670050"/>
                            </a:xfrm>
                          </wpg:grpSpPr>
                          <wps:wsp>
                            <wps:cNvPr id="239" name="Rectangle 239"/>
                            <wps:cNvSpPr>
                              <a:spLocks/>
                            </wps:cNvSpPr>
                            <wps:spPr>
                              <a:xfrm>
                                <a:off x="-21590" y="-466725"/>
                                <a:ext cx="7778750" cy="2238375"/>
                              </a:xfrm>
                              <a:prstGeom prst="rect">
                                <a:avLst/>
                              </a:prstGeom>
                              <a:solidFill>
                                <a:srgbClr val="5B9BD5">
                                  <a:lumMod val="5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Text Box 2"/>
                            <wps:cNvSpPr txBox="1">
                              <a:spLocks noChangeArrowheads="1"/>
                            </wps:cNvSpPr>
                            <wps:spPr bwMode="auto">
                              <a:xfrm>
                                <a:off x="778598" y="63375"/>
                                <a:ext cx="6400800" cy="2139950"/>
                              </a:xfrm>
                              <a:prstGeom prst="rect">
                                <a:avLst/>
                              </a:prstGeom>
                              <a:noFill/>
                              <a:ln w="9525">
                                <a:noFill/>
                                <a:miter lim="800000"/>
                                <a:headEnd/>
                                <a:tailEnd/>
                              </a:ln>
                            </wps:spPr>
                            <wps:txbx>
                              <w:txbxContent>
                                <w:p w14:paraId="1630FA12" w14:textId="77777777" w:rsidR="00EA0B24" w:rsidRPr="00BD078A" w:rsidRDefault="00EA0B24" w:rsidP="00C860D2">
                                  <w:pPr>
                                    <w:rPr>
                                      <w:color w:val="FFFFFF"/>
                                      <w:sz w:val="40"/>
                                    </w:rPr>
                                  </w:pPr>
                                  <w:r w:rsidRPr="00BD078A">
                                    <w:rPr>
                                      <w:color w:val="FFFFFF"/>
                                      <w:sz w:val="40"/>
                                    </w:rPr>
                                    <w:t xml:space="preserve">Evaluation of the National Science Foundation Innovation Corps (I-Corps) Team Program </w:t>
                                  </w:r>
                                </w:p>
                                <w:p w14:paraId="6FF65529" w14:textId="77777777" w:rsidR="00EA0B24" w:rsidRPr="00BD078A" w:rsidRDefault="00EA0B24" w:rsidP="00C860D2">
                                  <w:pPr>
                                    <w:rPr>
                                      <w:color w:val="FFFFFF"/>
                                    </w:rPr>
                                  </w:pPr>
                                </w:p>
                                <w:p w14:paraId="582DF0D1" w14:textId="0F12B2B7" w:rsidR="00EA0B24" w:rsidRPr="00C860D2" w:rsidRDefault="00EA0B24" w:rsidP="00C860D2">
                                  <w:pPr>
                                    <w:rPr>
                                      <w:i/>
                                      <w:color w:val="FFFFFF"/>
                                      <w:sz w:val="32"/>
                                    </w:rPr>
                                  </w:pPr>
                                  <w:r>
                                    <w:rPr>
                                      <w:color w:val="FFFFFF"/>
                                      <w:sz w:val="32"/>
                                    </w:rPr>
                                    <w:t xml:space="preserve">OMB Package </w:t>
                                  </w:r>
                                </w:p>
                                <w:p w14:paraId="757C638E" w14:textId="77777777" w:rsidR="00EA0B24" w:rsidRPr="00BD078A" w:rsidRDefault="00EA0B24" w:rsidP="00C860D2">
                                  <w:pPr>
                                    <w:rPr>
                                      <w:color w:val="FFFFFF"/>
                                    </w:rPr>
                                  </w:pPr>
                                  <w:r w:rsidRPr="00BD078A">
                                    <w:rPr>
                                      <w:color w:val="FFFFFF"/>
                                    </w:rPr>
                                    <w:t>Contract Number GS-10F-0201T</w:t>
                                  </w:r>
                                </w:p>
                                <w:p w14:paraId="4004326D" w14:textId="76CECB28" w:rsidR="00EA0B24" w:rsidRPr="00BD078A" w:rsidRDefault="00EA0B24" w:rsidP="00C860D2">
                                  <w:pPr>
                                    <w:rPr>
                                      <w:color w:val="FFFFFF"/>
                                    </w:rPr>
                                  </w:pPr>
                                  <w:r>
                                    <w:rPr>
                                      <w:color w:val="FFFFFF"/>
                                    </w:rPr>
                                    <w:t xml:space="preserve">April 25, 2017. </w:t>
                                  </w:r>
                                </w:p>
                                <w:p w14:paraId="7C0F528A" w14:textId="77777777" w:rsidR="00EA0B24" w:rsidRPr="006A0707" w:rsidRDefault="00EA0B24" w:rsidP="00C860D2">
                                  <w:pPr>
                                    <w:rPr>
                                      <w:rFonts w:ascii="Nirmala UI" w:hAnsi="Nirmala UI" w:cs="Nirmala UI"/>
                                      <w:color w:val="FFFFFF"/>
                                    </w:rPr>
                                  </w:pPr>
                                </w:p>
                                <w:p w14:paraId="72DE7B41" w14:textId="77777777" w:rsidR="00EA0B24" w:rsidRPr="006A0707" w:rsidRDefault="00EA0B24" w:rsidP="00C860D2">
                                  <w:pPr>
                                    <w:rPr>
                                      <w:rFonts w:ascii="Nirmala UI" w:hAnsi="Nirmala UI" w:cs="Nirmala UI"/>
                                      <w:color w:val="FFFFFF"/>
                                      <w:sz w:val="40"/>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xmlns:mv="urn:schemas-microsoft-com:mac:vml" xmlns:mo="http://schemas.microsoft.com/office/mac/office/2008/main">
                <w:pict>
                  <v:group w14:anchorId="2BE2A541" id="Group 15" o:spid="_x0000_s1027" style="position:absolute;margin-left:-74.45pt;margin-top:21.25pt;width:612.5pt;height:210.2pt;z-index:251659264;mso-position-horizontal-relative:margin;mso-height-relative:margin" coordorigin="-215,-4667" coordsize="77787,2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">
                    <v:rect id="Rectangle 239" o:spid="_x0000_s1028" style="position:absolute;left:-215;top:-4667;width:77786;height:2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" fillcolor="#1f4e79" strokecolor="#41719c" strokeweight="1pt">
                      <v:path arrowok="t"/>
                    </v:rect>
                    <v:shape id="_x0000_s1029" type="#_x0000_t202" style="position:absolute;left:7785;top:633;width:64008;height:2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1630FA12" w14:textId="77777777" w:rsidR="00EA0B24" w:rsidRPr="00BD078A" w:rsidRDefault="00EA0B24" w:rsidP="00C860D2">
                            <w:pPr>
                              <w:rPr>
                                <w:color w:val="FFFFFF"/>
                                <w:sz w:val="40"/>
                              </w:rPr>
                            </w:pPr>
                            <w:r w:rsidRPr="00BD078A">
                              <w:rPr>
                                <w:color w:val="FFFFFF"/>
                                <w:sz w:val="40"/>
                              </w:rPr>
                              <w:t xml:space="preserve">Evaluation of the National Science Foundation Innovation Corps (I-Corps) Team Program </w:t>
                            </w:r>
                          </w:p>
                          <w:p w14:paraId="6FF65529" w14:textId="77777777" w:rsidR="00EA0B24" w:rsidRPr="00BD078A" w:rsidRDefault="00EA0B24" w:rsidP="00C860D2">
                            <w:pPr>
                              <w:rPr>
                                <w:color w:val="FFFFFF"/>
                              </w:rPr>
                            </w:pPr>
                          </w:p>
                          <w:p w14:paraId="582DF0D1" w14:textId="0F12B2B7" w:rsidR="00EA0B24" w:rsidRPr="00C860D2" w:rsidRDefault="00EA0B24" w:rsidP="00C860D2">
                            <w:pPr>
                              <w:rPr>
                                <w:i/>
                                <w:color w:val="FFFFFF"/>
                                <w:sz w:val="32"/>
                              </w:rPr>
                            </w:pPr>
                            <w:r>
                              <w:rPr>
                                <w:color w:val="FFFFFF"/>
                                <w:sz w:val="32"/>
                              </w:rPr>
                              <w:t xml:space="preserve">OMB Package </w:t>
                            </w:r>
                          </w:p>
                          <w:p w14:paraId="757C638E" w14:textId="77777777" w:rsidR="00EA0B24" w:rsidRPr="00BD078A" w:rsidRDefault="00EA0B24" w:rsidP="00C860D2">
                            <w:pPr>
                              <w:rPr>
                                <w:color w:val="FFFFFF"/>
                              </w:rPr>
                            </w:pPr>
                            <w:r w:rsidRPr="00BD078A">
                              <w:rPr>
                                <w:color w:val="FFFFFF"/>
                              </w:rPr>
                              <w:t>Contract Number GS-10F-0201T</w:t>
                            </w:r>
                          </w:p>
                          <w:p w14:paraId="4004326D" w14:textId="76CECB28" w:rsidR="00EA0B24" w:rsidRPr="00BD078A" w:rsidRDefault="00EA0B24" w:rsidP="00C860D2">
                            <w:pPr>
                              <w:rPr>
                                <w:color w:val="FFFFFF"/>
                              </w:rPr>
                            </w:pPr>
                            <w:r>
                              <w:rPr>
                                <w:color w:val="FFFFFF"/>
                              </w:rPr>
                              <w:t xml:space="preserve">April 25, 2017. </w:t>
                            </w:r>
                          </w:p>
                          <w:p w14:paraId="7C0F528A" w14:textId="77777777" w:rsidR="00EA0B24" w:rsidRPr="006A0707" w:rsidRDefault="00EA0B24" w:rsidP="00C860D2">
                            <w:pPr>
                              <w:rPr>
                                <w:rFonts w:ascii="Nirmala UI" w:hAnsi="Nirmala UI" w:cs="Nirmala UI"/>
                                <w:color w:val="FFFFFF"/>
                              </w:rPr>
                            </w:pPr>
                          </w:p>
                          <w:p w14:paraId="72DE7B41" w14:textId="77777777" w:rsidR="00EA0B24" w:rsidRPr="006A0707" w:rsidRDefault="00EA0B24" w:rsidP="00C860D2">
                            <w:pPr>
                              <w:rPr>
                                <w:rFonts w:ascii="Nirmala UI" w:hAnsi="Nirmala UI" w:cs="Nirmala UI"/>
                                <w:color w:val="FFFFFF"/>
                                <w:sz w:val="40"/>
                              </w:rPr>
                            </w:pPr>
                          </w:p>
                        </w:txbxContent>
                      </v:textbox>
                    </v:shape>
                    <w10:wrap anchorx="margin"/>
                  </v:group>
                </w:pict>
              </mc:Fallback>
            </mc:AlternateContent>
          </w:r>
          <w:r w:rsidRPr="00C860D2">
            <w:rPr>
              <w:bCs/>
              <w:noProof/>
            </w:rPr>
            <mc:AlternateContent>
              <mc:Choice Requires="wps">
                <w:drawing>
                  <wp:anchor distT="45720" distB="45720" distL="114300" distR="114300" simplePos="0" relativeHeight="251665408" behindDoc="0" locked="0" layoutInCell="1" allowOverlap="1" wp14:anchorId="2DCCDAFB" wp14:editId="26F9A44E">
                    <wp:simplePos x="0" y="0"/>
                    <wp:positionH relativeFrom="margin">
                      <wp:posOffset>314325</wp:posOffset>
                    </wp:positionH>
                    <wp:positionV relativeFrom="paragraph">
                      <wp:posOffset>4165600</wp:posOffset>
                    </wp:positionV>
                    <wp:extent cx="5419725" cy="115189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51890"/>
                            </a:xfrm>
                            <a:prstGeom prst="rect">
                              <a:avLst/>
                            </a:prstGeom>
                            <a:solidFill>
                              <a:srgbClr val="FFFFFF"/>
                            </a:solidFill>
                            <a:ln w="9525">
                              <a:noFill/>
                              <a:miter lim="800000"/>
                              <a:headEnd/>
                              <a:tailEnd/>
                            </a:ln>
                          </wps:spPr>
                          <wps:txbx>
                            <w:txbxContent>
                              <w:p w14:paraId="084267F4" w14:textId="77777777" w:rsidR="00EA0B24" w:rsidRPr="006A7927" w:rsidRDefault="00EA0B24" w:rsidP="00C860D2">
                                <w:pPr>
                                  <w:jc w:val="center"/>
                                </w:pPr>
                                <w:r w:rsidRPr="006A7927">
                                  <w:t>Marilia Mochel, Project Manager</w:t>
                                </w:r>
                              </w:p>
                              <w:p w14:paraId="769AB0D6" w14:textId="77777777" w:rsidR="00EA0B24" w:rsidRPr="006A7927" w:rsidRDefault="00EA0B24" w:rsidP="00C860D2">
                                <w:pPr>
                                  <w:jc w:val="center"/>
                                </w:pPr>
                                <w:r w:rsidRPr="006A7927">
                                  <w:t>Manhattan Strategy Group</w:t>
                                </w:r>
                              </w:p>
                              <w:p w14:paraId="277F0099" w14:textId="77777777" w:rsidR="00EA0B24" w:rsidRDefault="00EA0B24" w:rsidP="00C860D2">
                                <w:pPr>
                                  <w:jc w:val="center"/>
                                </w:pPr>
                                <w:r>
                                  <w:t>8120 Woodmont Avenue, Suite 850</w:t>
                                </w:r>
                              </w:p>
                              <w:p w14:paraId="4E46B4FD" w14:textId="77777777" w:rsidR="00EA0B24" w:rsidRDefault="00EA0B24" w:rsidP="00C860D2">
                                <w:pPr>
                                  <w:jc w:val="center"/>
                                </w:pPr>
                                <w:r>
                                  <w:t>Bethesda, MD 20814</w:t>
                                </w:r>
                              </w:p>
                              <w:p w14:paraId="099A2BB9" w14:textId="77777777" w:rsidR="00EA0B24" w:rsidRDefault="00EA0B24" w:rsidP="00C860D2">
                                <w:pPr>
                                  <w:jc w:val="center"/>
                                </w:pPr>
                                <w:r>
                                  <w:t>301-828-1512</w:t>
                                </w:r>
                              </w:p>
                              <w:p w14:paraId="7A8C1B90" w14:textId="77777777" w:rsidR="00EA0B24" w:rsidRPr="006A7927" w:rsidRDefault="00EA0B24" w:rsidP="00C860D2">
                                <w:pPr>
                                  <w:jc w:val="center"/>
                                </w:pPr>
                                <w:r>
                                  <w:t>Email: mmochel@manhattanstrategy.com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xmlns:mv="urn:schemas-microsoft-com:mac:vml" xmlns:mo="http://schemas.microsoft.com/office/mac/office/2008/main">
                <w:pict>
                  <v:shape w14:anchorId="2DCCDAFB" id="_x0000_s1030" type="#_x0000_t202" style="position:absolute;margin-left:24.75pt;margin-top:328pt;width:426.75pt;height:90.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" stroked="f">
                    <v:textbox style="mso-fit-shape-to-text:t">
                      <w:txbxContent>
                        <w:p w14:paraId="084267F4" w14:textId="77777777" w:rsidR="00EA0B24" w:rsidRPr="006A7927" w:rsidRDefault="00EA0B24" w:rsidP="00C860D2">
                          <w:pPr>
                            <w:jc w:val="center"/>
                          </w:pPr>
                          <w:r w:rsidRPr="006A7927">
                            <w:t>Marilia Mochel, Project Manager</w:t>
                          </w:r>
                        </w:p>
                        <w:p w14:paraId="769AB0D6" w14:textId="77777777" w:rsidR="00EA0B24" w:rsidRPr="006A7927" w:rsidRDefault="00EA0B24" w:rsidP="00C860D2">
                          <w:pPr>
                            <w:jc w:val="center"/>
                          </w:pPr>
                          <w:r w:rsidRPr="006A7927">
                            <w:t>Manhattan Strategy Group</w:t>
                          </w:r>
                        </w:p>
                        <w:p w14:paraId="277F0099" w14:textId="77777777" w:rsidR="00EA0B24" w:rsidRDefault="00EA0B24" w:rsidP="00C860D2">
                          <w:pPr>
                            <w:jc w:val="center"/>
                          </w:pPr>
                          <w:r>
                            <w:t>8120 Woodmont Avenue, Suite 850</w:t>
                          </w:r>
                        </w:p>
                        <w:p w14:paraId="4E46B4FD" w14:textId="77777777" w:rsidR="00EA0B24" w:rsidRDefault="00EA0B24" w:rsidP="00C860D2">
                          <w:pPr>
                            <w:jc w:val="center"/>
                          </w:pPr>
                          <w:r>
                            <w:t>Bethesda, MD 20814</w:t>
                          </w:r>
                        </w:p>
                        <w:p w14:paraId="099A2BB9" w14:textId="77777777" w:rsidR="00EA0B24" w:rsidRDefault="00EA0B24" w:rsidP="00C860D2">
                          <w:pPr>
                            <w:jc w:val="center"/>
                          </w:pPr>
                          <w:r>
                            <w:t>301-828-1512</w:t>
                          </w:r>
                        </w:p>
                        <w:p w14:paraId="7A8C1B90" w14:textId="77777777" w:rsidR="00EA0B24" w:rsidRPr="006A7927" w:rsidRDefault="00EA0B24" w:rsidP="00C860D2">
                          <w:pPr>
                            <w:jc w:val="center"/>
                          </w:pPr>
                          <w:r>
                            <w:t>Email: mmochel@manhattanstrategy.com</w:t>
                          </w:r>
                        </w:p>
                      </w:txbxContent>
                    </v:textbox>
                    <w10:wrap type="square" anchorx="margin"/>
                  </v:shape>
                </w:pict>
              </mc:Fallback>
            </mc:AlternateContent>
          </w:r>
          <w:r w:rsidRPr="00C860D2">
            <w:rPr>
              <w:bCs/>
              <w:noProof/>
            </w:rPr>
            <mc:AlternateContent>
              <mc:Choice Requires="wps">
                <w:drawing>
                  <wp:anchor distT="4294967293" distB="4294967293" distL="114300" distR="114300" simplePos="0" relativeHeight="251662336" behindDoc="0" locked="0" layoutInCell="1" allowOverlap="1" wp14:anchorId="52210500" wp14:editId="57C9A179">
                    <wp:simplePos x="0" y="0"/>
                    <wp:positionH relativeFrom="page">
                      <wp:align>right</wp:align>
                    </wp:positionH>
                    <wp:positionV relativeFrom="paragraph">
                      <wp:posOffset>6418014</wp:posOffset>
                    </wp:positionV>
                    <wp:extent cx="7728585" cy="0"/>
                    <wp:effectExtent l="0" t="19050" r="24765" b="1905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28585" cy="0"/>
                            </a:xfrm>
                            <a:prstGeom prst="line">
                              <a:avLst/>
                            </a:prstGeom>
                            <a:noFill/>
                            <a:ln w="38100" cap="flat" cmpd="sng" algn="ctr">
                              <a:solidFill>
                                <a:srgbClr val="2A568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xmlns:mv="urn:schemas-microsoft-com:mac:vml" xmlns:mo="http://schemas.microsoft.com/office/mac/office/2008/main">
                <w:pict>
                  <v:line w14:anchorId="3D3538AE" id="Straight Connector 209" o:spid="_x0000_s1026" style="position:absolute;z-index:251662336;visibility:visible;mso-wrap-style:square;mso-width-percent:0;mso-height-percent:0;mso-wrap-distance-left:9pt;mso-wrap-distance-top:-8e-5mm;mso-wrap-distance-right:9pt;mso-wrap-distance-bottom:-8e-5mm;mso-position-horizontal:right;mso-position-horizontal-relative:page;mso-position-vertical:absolute;mso-position-vertical-relative:text;mso-width-percent:0;mso-height-percent:0;mso-width-relative:page;mso-height-relative:page" from="557.35pt,505.35pt" to="1165.9pt,5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" strokecolor="#2a5681" strokeweight="3pt">
                    <v:stroke joinstyle="miter"/>
                    <o:lock v:ext="edit" shapetype="f"/>
                    <w10:wrap anchorx="page"/>
                  </v:line>
                </w:pict>
              </mc:Fallback>
            </mc:AlternateContent>
          </w:r>
          <w:r w:rsidRPr="00C860D2">
            <w:rPr>
              <w:bCs/>
              <w:noProof/>
            </w:rPr>
            <mc:AlternateContent>
              <mc:Choice Requires="wps">
                <w:drawing>
                  <wp:anchor distT="0" distB="0" distL="114300" distR="114300" simplePos="0" relativeHeight="251664384" behindDoc="0" locked="0" layoutInCell="1" allowOverlap="1" wp14:anchorId="6D447BF1" wp14:editId="7753B659">
                    <wp:simplePos x="0" y="0"/>
                    <wp:positionH relativeFrom="column">
                      <wp:posOffset>2743200</wp:posOffset>
                    </wp:positionH>
                    <wp:positionV relativeFrom="paragraph">
                      <wp:posOffset>6933565</wp:posOffset>
                    </wp:positionV>
                    <wp:extent cx="409575" cy="436245"/>
                    <wp:effectExtent l="0" t="0" r="9525" b="1905"/>
                    <wp:wrapNone/>
                    <wp:docPr id="21" name="Oval 21"/>
                    <wp:cNvGraphicFramePr/>
                    <a:graphic xmlns:a="http://schemas.openxmlformats.org/drawingml/2006/main">
                      <a:graphicData uri="http://schemas.microsoft.com/office/word/2010/wordprocessingShape">
                        <wps:wsp>
                          <wps:cNvSpPr/>
                          <wps:spPr>
                            <a:xfrm>
                              <a:off x="0" y="0"/>
                              <a:ext cx="409575" cy="436245"/>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xmlns:mv="urn:schemas-microsoft-com:mac:vml" xmlns:mo="http://schemas.microsoft.com/office/mac/office/2008/main">
                <w:pict>
                  <v:oval w14:anchorId="6920230A" id="Oval 21" o:spid="_x0000_s1026" style="position:absolute;margin-left:3in;margin-top:545.95pt;width:32.25pt;height:3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" fillcolor="window" stroked="f" strokeweight="1pt">
                    <v:stroke joinstyle="miter"/>
                  </v:oval>
                </w:pict>
              </mc:Fallback>
            </mc:AlternateContent>
          </w:r>
          <w:r w:rsidRPr="00C860D2">
            <w:rPr>
              <w:bCs/>
            </w:rPr>
            <w:br w:type="page"/>
          </w:r>
        </w:p>
      </w:sdtContent>
    </w:sdt>
    <w:sdt>
      <w:sdtPr>
        <w:rPr>
          <w:rFonts w:ascii="Times New Roman" w:eastAsia="Times New Roman" w:hAnsi="Times New Roman" w:cs="Times New Roman"/>
          <w:color w:val="auto"/>
          <w:sz w:val="24"/>
          <w:szCs w:val="24"/>
        </w:rPr>
        <w:id w:val="1613781904"/>
        <w:docPartObj>
          <w:docPartGallery w:val="Table of Contents"/>
          <w:docPartUnique/>
        </w:docPartObj>
      </w:sdtPr>
      <w:sdtEndPr>
        <w:rPr>
          <w:b/>
          <w:bCs/>
          <w:noProof/>
        </w:rPr>
      </w:sdtEndPr>
      <w:sdtContent>
        <w:p w14:paraId="4385D9E8" w14:textId="77777777" w:rsidR="00E253D2" w:rsidRDefault="00E253D2">
          <w:pPr>
            <w:pStyle w:val="TOCHeading"/>
            <w:rPr>
              <w:rFonts w:ascii="Times New Roman" w:hAnsi="Times New Roman" w:cs="Times New Roman"/>
              <w:b/>
              <w:sz w:val="36"/>
              <w:szCs w:val="28"/>
            </w:rPr>
          </w:pPr>
          <w:r>
            <w:rPr>
              <w:rFonts w:ascii="Times New Roman" w:hAnsi="Times New Roman" w:cs="Times New Roman"/>
              <w:b/>
              <w:sz w:val="36"/>
              <w:szCs w:val="28"/>
            </w:rPr>
            <w:t>Table of C</w:t>
          </w:r>
          <w:r w:rsidRPr="00E253D2">
            <w:rPr>
              <w:rFonts w:ascii="Times New Roman" w:hAnsi="Times New Roman" w:cs="Times New Roman"/>
              <w:b/>
              <w:sz w:val="36"/>
              <w:szCs w:val="28"/>
            </w:rPr>
            <w:t>ontents</w:t>
          </w:r>
        </w:p>
        <w:p w14:paraId="01056530" w14:textId="77777777" w:rsidR="00E87618" w:rsidRPr="00E253D2" w:rsidRDefault="00E87618" w:rsidP="00E253D2"/>
        <w:p w14:paraId="6C3E5CDE" w14:textId="081159AA" w:rsidR="00FC47FF" w:rsidRDefault="00E253D2">
          <w:pPr>
            <w:pStyle w:val="TOC1"/>
            <w:tabs>
              <w:tab w:val="right" w:leader="dot" w:pos="9350"/>
            </w:tabs>
            <w:rPr>
              <w:rFonts w:asciiTheme="minorHAnsi" w:eastAsiaTheme="minorEastAsia" w:hAnsiTheme="minorHAnsi" w:cstheme="minorBidi"/>
              <w:noProof/>
              <w:sz w:val="22"/>
              <w:szCs w:val="22"/>
            </w:rPr>
          </w:pPr>
          <w:r w:rsidRPr="00E253D2">
            <w:rPr>
              <w:sz w:val="28"/>
              <w:szCs w:val="28"/>
            </w:rPr>
            <w:fldChar w:fldCharType="begin"/>
          </w:r>
          <w:r w:rsidRPr="00E253D2">
            <w:rPr>
              <w:sz w:val="28"/>
              <w:szCs w:val="28"/>
            </w:rPr>
            <w:instrText xml:space="preserve"> TOC \o "1-3" \h \z \u </w:instrText>
          </w:r>
          <w:r w:rsidRPr="00E253D2">
            <w:rPr>
              <w:sz w:val="28"/>
              <w:szCs w:val="28"/>
            </w:rPr>
            <w:fldChar w:fldCharType="separate"/>
          </w:r>
          <w:hyperlink w:anchor="_Toc478037934" w:history="1">
            <w:r w:rsidR="00FC47FF" w:rsidRPr="00096961">
              <w:rPr>
                <w:rStyle w:val="Hyperlink"/>
                <w:noProof/>
              </w:rPr>
              <w:t>SUPPORTING STATEMENT</w:t>
            </w:r>
            <w:r w:rsidR="00FC47FF">
              <w:rPr>
                <w:noProof/>
                <w:webHidden/>
              </w:rPr>
              <w:tab/>
            </w:r>
            <w:r w:rsidR="00FC47FF">
              <w:rPr>
                <w:noProof/>
                <w:webHidden/>
              </w:rPr>
              <w:fldChar w:fldCharType="begin"/>
            </w:r>
            <w:r w:rsidR="00FC47FF">
              <w:rPr>
                <w:noProof/>
                <w:webHidden/>
              </w:rPr>
              <w:instrText xml:space="preserve"> PAGEREF _Toc478037934 \h </w:instrText>
            </w:r>
            <w:r w:rsidR="00FC47FF">
              <w:rPr>
                <w:noProof/>
                <w:webHidden/>
              </w:rPr>
            </w:r>
            <w:r w:rsidR="00FC47FF">
              <w:rPr>
                <w:noProof/>
                <w:webHidden/>
              </w:rPr>
              <w:fldChar w:fldCharType="separate"/>
            </w:r>
            <w:r w:rsidR="00FC47FF">
              <w:rPr>
                <w:noProof/>
                <w:webHidden/>
              </w:rPr>
              <w:t>2</w:t>
            </w:r>
            <w:r w:rsidR="00FC47FF">
              <w:rPr>
                <w:noProof/>
                <w:webHidden/>
              </w:rPr>
              <w:fldChar w:fldCharType="end"/>
            </w:r>
          </w:hyperlink>
        </w:p>
        <w:p w14:paraId="2F7D8F0F" w14:textId="56011B2E" w:rsidR="00FC47FF" w:rsidRDefault="00CA3FF0">
          <w:pPr>
            <w:pStyle w:val="TOC1"/>
            <w:tabs>
              <w:tab w:val="right" w:leader="dot" w:pos="9350"/>
            </w:tabs>
            <w:rPr>
              <w:rFonts w:asciiTheme="minorHAnsi" w:eastAsiaTheme="minorEastAsia" w:hAnsiTheme="minorHAnsi" w:cstheme="minorBidi"/>
              <w:noProof/>
              <w:sz w:val="22"/>
              <w:szCs w:val="22"/>
            </w:rPr>
          </w:pPr>
          <w:hyperlink w:anchor="_Toc478037935" w:history="1">
            <w:r w:rsidR="00FC47FF" w:rsidRPr="00096961">
              <w:rPr>
                <w:rStyle w:val="Hyperlink"/>
                <w:noProof/>
              </w:rPr>
              <w:t>A. Justification</w:t>
            </w:r>
            <w:r w:rsidR="00FC47FF">
              <w:rPr>
                <w:noProof/>
                <w:webHidden/>
              </w:rPr>
              <w:tab/>
            </w:r>
            <w:r w:rsidR="00FC47FF">
              <w:rPr>
                <w:noProof/>
                <w:webHidden/>
              </w:rPr>
              <w:fldChar w:fldCharType="begin"/>
            </w:r>
            <w:r w:rsidR="00FC47FF">
              <w:rPr>
                <w:noProof/>
                <w:webHidden/>
              </w:rPr>
              <w:instrText xml:space="preserve"> PAGEREF _Toc478037935 \h </w:instrText>
            </w:r>
            <w:r w:rsidR="00FC47FF">
              <w:rPr>
                <w:noProof/>
                <w:webHidden/>
              </w:rPr>
            </w:r>
            <w:r w:rsidR="00FC47FF">
              <w:rPr>
                <w:noProof/>
                <w:webHidden/>
              </w:rPr>
              <w:fldChar w:fldCharType="separate"/>
            </w:r>
            <w:r w:rsidR="00FC47FF">
              <w:rPr>
                <w:noProof/>
                <w:webHidden/>
              </w:rPr>
              <w:t>3</w:t>
            </w:r>
            <w:r w:rsidR="00FC47FF">
              <w:rPr>
                <w:noProof/>
                <w:webHidden/>
              </w:rPr>
              <w:fldChar w:fldCharType="end"/>
            </w:r>
          </w:hyperlink>
        </w:p>
        <w:p w14:paraId="7EE60731" w14:textId="55DA17F0" w:rsidR="00FC47FF" w:rsidRDefault="00CA3FF0">
          <w:pPr>
            <w:pStyle w:val="TOC1"/>
            <w:tabs>
              <w:tab w:val="right" w:leader="dot" w:pos="9350"/>
            </w:tabs>
            <w:rPr>
              <w:rFonts w:asciiTheme="minorHAnsi" w:eastAsiaTheme="minorEastAsia" w:hAnsiTheme="minorHAnsi" w:cstheme="minorBidi"/>
              <w:noProof/>
              <w:sz w:val="22"/>
              <w:szCs w:val="22"/>
            </w:rPr>
          </w:pPr>
          <w:hyperlink w:anchor="_Toc478037936" w:history="1">
            <w:r w:rsidR="00FC47FF" w:rsidRPr="00096961">
              <w:rPr>
                <w:rStyle w:val="Hyperlink"/>
                <w:noProof/>
              </w:rPr>
              <w:t>B. Collections of Information Employing Statistical Methods</w:t>
            </w:r>
            <w:r w:rsidR="00FC47FF">
              <w:rPr>
                <w:noProof/>
                <w:webHidden/>
              </w:rPr>
              <w:tab/>
            </w:r>
            <w:r w:rsidR="00FC47FF">
              <w:rPr>
                <w:noProof/>
                <w:webHidden/>
              </w:rPr>
              <w:fldChar w:fldCharType="begin"/>
            </w:r>
            <w:r w:rsidR="00FC47FF">
              <w:rPr>
                <w:noProof/>
                <w:webHidden/>
              </w:rPr>
              <w:instrText xml:space="preserve"> PAGEREF _Toc478037936 \h </w:instrText>
            </w:r>
            <w:r w:rsidR="00FC47FF">
              <w:rPr>
                <w:noProof/>
                <w:webHidden/>
              </w:rPr>
            </w:r>
            <w:r w:rsidR="00FC47FF">
              <w:rPr>
                <w:noProof/>
                <w:webHidden/>
              </w:rPr>
              <w:fldChar w:fldCharType="separate"/>
            </w:r>
            <w:r w:rsidR="00FC47FF">
              <w:rPr>
                <w:noProof/>
                <w:webHidden/>
              </w:rPr>
              <w:t>16</w:t>
            </w:r>
            <w:r w:rsidR="00FC47FF">
              <w:rPr>
                <w:noProof/>
                <w:webHidden/>
              </w:rPr>
              <w:fldChar w:fldCharType="end"/>
            </w:r>
          </w:hyperlink>
        </w:p>
        <w:p w14:paraId="589D9DA5" w14:textId="3A806F66" w:rsidR="00E253D2" w:rsidRDefault="00E253D2">
          <w:r w:rsidRPr="00E253D2">
            <w:rPr>
              <w:b/>
              <w:bCs/>
              <w:noProof/>
              <w:sz w:val="28"/>
              <w:szCs w:val="28"/>
            </w:rPr>
            <w:fldChar w:fldCharType="end"/>
          </w:r>
        </w:p>
      </w:sdtContent>
    </w:sdt>
    <w:p w14:paraId="31B595E3" w14:textId="77777777" w:rsidR="00E253D2" w:rsidRDefault="00E253D2">
      <w:pPr>
        <w:spacing w:after="160" w:line="259" w:lineRule="auto"/>
        <w:rPr>
          <w:b/>
        </w:rPr>
      </w:pPr>
      <w:r>
        <w:rPr>
          <w:b/>
        </w:rPr>
        <w:br w:type="page"/>
      </w:r>
    </w:p>
    <w:p w14:paraId="1E44023A" w14:textId="77777777" w:rsidR="00921829" w:rsidRPr="00CC721F" w:rsidRDefault="00921829" w:rsidP="00E87618">
      <w:pPr>
        <w:pStyle w:val="Heading1"/>
        <w:jc w:val="center"/>
      </w:pPr>
      <w:bookmarkStart w:id="0" w:name="_Toc478037934"/>
      <w:r w:rsidRPr="00CC721F">
        <w:lastRenderedPageBreak/>
        <w:t>SUPPORTING STATEMENT</w:t>
      </w:r>
      <w:bookmarkEnd w:id="0"/>
    </w:p>
    <w:p w14:paraId="1AA0B8DB" w14:textId="3E3C5AF7" w:rsidR="00921829" w:rsidRDefault="00921829" w:rsidP="00DA76D8">
      <w:pPr>
        <w:autoSpaceDE w:val="0"/>
        <w:autoSpaceDN w:val="0"/>
        <w:adjustRightInd w:val="0"/>
        <w:jc w:val="center"/>
        <w:rPr>
          <w:b/>
        </w:rPr>
      </w:pPr>
      <w:r w:rsidRPr="00CC721F">
        <w:rPr>
          <w:b/>
        </w:rPr>
        <w:t xml:space="preserve">Evaluation of the National Science Foundation’s </w:t>
      </w:r>
      <w:r w:rsidR="00E665DA">
        <w:rPr>
          <w:b/>
        </w:rPr>
        <w:t>Innovation Corps Teams Program</w:t>
      </w:r>
      <w:r w:rsidRPr="00CC721F">
        <w:rPr>
          <w:b/>
        </w:rPr>
        <w:t xml:space="preserve"> </w:t>
      </w:r>
    </w:p>
    <w:p w14:paraId="725BE2CE" w14:textId="4A18FF1B" w:rsidR="00DA76D8" w:rsidRDefault="00DA76D8" w:rsidP="00DA76D8">
      <w:pPr>
        <w:autoSpaceDE w:val="0"/>
        <w:autoSpaceDN w:val="0"/>
        <w:adjustRightInd w:val="0"/>
        <w:jc w:val="center"/>
        <w:rPr>
          <w:b/>
        </w:rPr>
      </w:pPr>
      <w:r>
        <w:rPr>
          <w:b/>
        </w:rPr>
        <w:t>OMB Control Number 3145-NEW</w:t>
      </w:r>
    </w:p>
    <w:p w14:paraId="2C7A7EB6" w14:textId="77777777" w:rsidR="00DA76D8" w:rsidRPr="00CC721F" w:rsidRDefault="00DA76D8" w:rsidP="00DA76D8">
      <w:pPr>
        <w:autoSpaceDE w:val="0"/>
        <w:autoSpaceDN w:val="0"/>
        <w:adjustRightInd w:val="0"/>
        <w:rPr>
          <w:b/>
        </w:rPr>
      </w:pPr>
    </w:p>
    <w:p w14:paraId="22E06009" w14:textId="77777777" w:rsidR="00921829" w:rsidRDefault="00921829" w:rsidP="00921829">
      <w:pPr>
        <w:autoSpaceDE w:val="0"/>
        <w:autoSpaceDN w:val="0"/>
        <w:adjustRightInd w:val="0"/>
        <w:rPr>
          <w:b/>
        </w:rPr>
      </w:pPr>
    </w:p>
    <w:p w14:paraId="14D0EEC5" w14:textId="77777777" w:rsidR="003E0FE3" w:rsidRDefault="003E0FE3" w:rsidP="00921829">
      <w:pPr>
        <w:autoSpaceDE w:val="0"/>
        <w:autoSpaceDN w:val="0"/>
        <w:adjustRightInd w:val="0"/>
        <w:rPr>
          <w:b/>
        </w:rPr>
      </w:pPr>
      <w:r>
        <w:rPr>
          <w:b/>
        </w:rPr>
        <w:t>Introduction</w:t>
      </w:r>
    </w:p>
    <w:p w14:paraId="2E64C991" w14:textId="77777777" w:rsidR="003E0FE3" w:rsidRDefault="003E0FE3" w:rsidP="00921829">
      <w:pPr>
        <w:autoSpaceDE w:val="0"/>
        <w:autoSpaceDN w:val="0"/>
        <w:adjustRightInd w:val="0"/>
        <w:rPr>
          <w:b/>
        </w:rPr>
      </w:pPr>
    </w:p>
    <w:p w14:paraId="6B959CE2" w14:textId="7A3E5B8D" w:rsidR="003E0FE3" w:rsidRPr="00E05C94" w:rsidRDefault="003E0FE3" w:rsidP="003E0FE3">
      <w:pPr>
        <w:autoSpaceDE w:val="0"/>
        <w:autoSpaceDN w:val="0"/>
        <w:adjustRightInd w:val="0"/>
        <w:spacing w:line="276" w:lineRule="auto"/>
      </w:pPr>
      <w:r w:rsidRPr="00E05C94">
        <w:t>In fiscal year 2011, NSF created the I-Corps Teams Program to build a national innovation ecosystem by accelerating innovation among identified NSF-funded researchers. The I-Corps Teams Program provides training, mentoring</w:t>
      </w:r>
      <w:r>
        <w:t>,</w:t>
      </w:r>
      <w:r w:rsidRPr="00457524">
        <w:t xml:space="preserve"> and a small grant to help project teams determine</w:t>
      </w:r>
      <w:r w:rsidR="0084327E">
        <w:t xml:space="preserve"> and advance</w:t>
      </w:r>
      <w:r w:rsidRPr="00457524">
        <w:t xml:space="preserve"> the readiness of their technology products for transition to commercialization. By design</w:t>
      </w:r>
      <w:r w:rsidRPr="00E05C94">
        <w:t xml:space="preserve">, I-Corps Teams are composed of </w:t>
      </w:r>
      <w:r w:rsidR="00BC6CE7">
        <w:t>a</w:t>
      </w:r>
      <w:r w:rsidR="00BC6CE7" w:rsidRPr="00E05C94">
        <w:t xml:space="preserve"> </w:t>
      </w:r>
      <w:r w:rsidRPr="00E05C94">
        <w:t>principal investigator (PI), an entrepreneurial lead (EL)</w:t>
      </w:r>
      <w:r>
        <w:t>,</w:t>
      </w:r>
      <w:r w:rsidRPr="00457524">
        <w:t xml:space="preserve"> and a mentor</w:t>
      </w:r>
      <w:r w:rsidRPr="00E05C94">
        <w:t xml:space="preserve">. </w:t>
      </w:r>
    </w:p>
    <w:p w14:paraId="65B088CE" w14:textId="77777777" w:rsidR="003E0FE3" w:rsidRPr="00E05C94" w:rsidRDefault="003E0FE3" w:rsidP="003E0FE3">
      <w:pPr>
        <w:autoSpaceDE w:val="0"/>
        <w:autoSpaceDN w:val="0"/>
        <w:adjustRightInd w:val="0"/>
        <w:spacing w:line="276" w:lineRule="auto"/>
      </w:pPr>
    </w:p>
    <w:p w14:paraId="407D26AB" w14:textId="69B73231" w:rsidR="003E0FE3" w:rsidRPr="00457524" w:rsidRDefault="003E0FE3" w:rsidP="003E0FE3">
      <w:pPr>
        <w:autoSpaceDE w:val="0"/>
        <w:autoSpaceDN w:val="0"/>
        <w:adjustRightInd w:val="0"/>
        <w:spacing w:line="276" w:lineRule="auto"/>
      </w:pPr>
      <w:r w:rsidRPr="00E05C94">
        <w:t>As part of the program</w:t>
      </w:r>
      <w:r>
        <w:t>,</w:t>
      </w:r>
      <w:r w:rsidRPr="00457524">
        <w:t xml:space="preserve"> the I-Corps Teams receive entrepreneurial training and ongoing support for the </w:t>
      </w:r>
      <w:r>
        <w:t>6</w:t>
      </w:r>
      <w:r w:rsidRPr="00457524">
        <w:t>-month duration of the grant. Th</w:t>
      </w:r>
      <w:r>
        <w:t>is</w:t>
      </w:r>
      <w:r w:rsidRPr="00457524">
        <w:t xml:space="preserve"> support facilitate</w:t>
      </w:r>
      <w:r>
        <w:t>s</w:t>
      </w:r>
      <w:r w:rsidRPr="00457524">
        <w:t xml:space="preserve"> each team’s entrepreneurial efforts. The </w:t>
      </w:r>
      <w:r>
        <w:t xml:space="preserve">grant requires </w:t>
      </w:r>
      <w:r w:rsidRPr="00457524">
        <w:t>I-Corps awardees to participate in an intensive immersion training on entrepreneurship (</w:t>
      </w:r>
      <w:r>
        <w:t xml:space="preserve">a </w:t>
      </w:r>
      <w:r w:rsidRPr="00457524">
        <w:t>3-day opening workshop, 5 weeks of activities with online classes, and</w:t>
      </w:r>
      <w:r>
        <w:t xml:space="preserve"> a</w:t>
      </w:r>
      <w:r w:rsidRPr="00457524">
        <w:t xml:space="preserve"> 2-day final workshop). The training follows a structured approach to give t</w:t>
      </w:r>
      <w:r w:rsidRPr="00E05C94">
        <w:t xml:space="preserve">eam members hands-on experience in transferring knowledge into commercial products. </w:t>
      </w:r>
      <w:r>
        <w:t>NSF</w:t>
      </w:r>
      <w:r w:rsidR="0084327E">
        <w:t>’s program manager for I-Corps</w:t>
      </w:r>
      <w:r>
        <w:t xml:space="preserve"> </w:t>
      </w:r>
      <w:r w:rsidR="0084327E">
        <w:t>monitors</w:t>
      </w:r>
      <w:r>
        <w:t xml:space="preserve"> </w:t>
      </w:r>
      <w:r w:rsidRPr="00A1213B">
        <w:t>I-Corps Teams’ progress</w:t>
      </w:r>
      <w:r>
        <w:t>,</w:t>
      </w:r>
      <w:r w:rsidRPr="00457524">
        <w:t xml:space="preserve"> as they are expected to hit milestones for the duration of the training and </w:t>
      </w:r>
      <w:r w:rsidR="0084327E">
        <w:t xml:space="preserve">continue progress </w:t>
      </w:r>
      <w:r w:rsidRPr="00457524">
        <w:t>throughout the 6</w:t>
      </w:r>
      <w:r>
        <w:t>-</w:t>
      </w:r>
      <w:r w:rsidRPr="00457524">
        <w:t xml:space="preserve">month grant period. Additionally, </w:t>
      </w:r>
      <w:r>
        <w:t>NSF</w:t>
      </w:r>
      <w:r w:rsidR="0084327E">
        <w:t>’s program m</w:t>
      </w:r>
      <w:r w:rsidR="00135CF6">
        <w:t>a</w:t>
      </w:r>
      <w:r w:rsidR="0084327E">
        <w:t>nager</w:t>
      </w:r>
      <w:r>
        <w:t xml:space="preserve"> monitors </w:t>
      </w:r>
      <w:r w:rsidRPr="00457524">
        <w:t>I-Corps Teams’ project outcomes</w:t>
      </w:r>
      <w:r w:rsidRPr="00E05C94">
        <w:t xml:space="preserve"> after the end of the grant period</w:t>
      </w:r>
      <w:r>
        <w:t>,</w:t>
      </w:r>
      <w:r w:rsidRPr="00A1213B">
        <w:t xml:space="preserve"> with </w:t>
      </w:r>
      <w:r w:rsidRPr="00E05C94">
        <w:t xml:space="preserve">longitudinal surveys conducted with I-Corps Teams at </w:t>
      </w:r>
      <w:r>
        <w:t>two</w:t>
      </w:r>
      <w:r w:rsidRPr="00E05C94">
        <w:t xml:space="preserve"> intervals</w:t>
      </w:r>
      <w:r w:rsidR="001E6CBC">
        <w:t>, T</w:t>
      </w:r>
      <w:r>
        <w:t>ime 1</w:t>
      </w:r>
      <w:r w:rsidR="00716436">
        <w:t xml:space="preserve">, </w:t>
      </w:r>
      <w:r w:rsidR="00135CF6">
        <w:t>one year or more</w:t>
      </w:r>
      <w:r w:rsidR="00716436">
        <w:t xml:space="preserve"> after the </w:t>
      </w:r>
      <w:r w:rsidR="00135CF6">
        <w:t>training</w:t>
      </w:r>
      <w:r w:rsidR="00716436">
        <w:t>,</w:t>
      </w:r>
      <w:r w:rsidR="001E6CBC">
        <w:t xml:space="preserve"> and T</w:t>
      </w:r>
      <w:r>
        <w:t>ime 2</w:t>
      </w:r>
      <w:r w:rsidR="001E6CBC">
        <w:t>, a similar interval after T</w:t>
      </w:r>
      <w:r w:rsidR="00716436">
        <w:t>ime 1</w:t>
      </w:r>
      <w:r w:rsidRPr="00E05C94">
        <w:t xml:space="preserve">. </w:t>
      </w:r>
    </w:p>
    <w:p w14:paraId="1C41542D" w14:textId="77777777" w:rsidR="003E0FE3" w:rsidRDefault="003E0FE3" w:rsidP="00921829">
      <w:pPr>
        <w:autoSpaceDE w:val="0"/>
        <w:autoSpaceDN w:val="0"/>
        <w:adjustRightInd w:val="0"/>
        <w:rPr>
          <w:b/>
        </w:rPr>
      </w:pPr>
    </w:p>
    <w:p w14:paraId="114704F6" w14:textId="3DB66390" w:rsidR="00C0393C" w:rsidRPr="00E05C94" w:rsidRDefault="00C0393C" w:rsidP="00C0393C">
      <w:pPr>
        <w:tabs>
          <w:tab w:val="left" w:pos="990"/>
        </w:tabs>
        <w:autoSpaceDE w:val="0"/>
        <w:autoSpaceDN w:val="0"/>
        <w:adjustRightInd w:val="0"/>
        <w:spacing w:line="276" w:lineRule="auto"/>
      </w:pPr>
      <w:r>
        <w:t>While NSF regularly collects data from its grantees through project annual reports, e</w:t>
      </w:r>
      <w:r w:rsidRPr="00E05C94">
        <w:t>xtant data on most NSF-funded projects and programs focus on the scientific aspects of research</w:t>
      </w:r>
      <w:r>
        <w:t xml:space="preserve"> and</w:t>
      </w:r>
      <w:r w:rsidRPr="00E05C94">
        <w:t xml:space="preserve"> not on commercialization prospects and results</w:t>
      </w:r>
      <w:r>
        <w:t>.</w:t>
      </w:r>
      <w:r w:rsidRPr="00E05C94">
        <w:t xml:space="preserve"> Thus, the examination of program goals to </w:t>
      </w:r>
      <w:r>
        <w:t xml:space="preserve">help </w:t>
      </w:r>
      <w:r w:rsidRPr="00E05C94">
        <w:t xml:space="preserve">create a culture of innovation and entrepreneurship among academics and successful commercialization of products can only be accomplished with </w:t>
      </w:r>
      <w:r>
        <w:t xml:space="preserve">the </w:t>
      </w:r>
      <w:r w:rsidRPr="00E05C94">
        <w:t>new data collection proposed</w:t>
      </w:r>
      <w:r w:rsidR="001E6CBC">
        <w:t xml:space="preserve"> here, including the T</w:t>
      </w:r>
      <w:r>
        <w:t xml:space="preserve">ime 2 survey. While </w:t>
      </w:r>
      <w:r w:rsidR="001E6CBC">
        <w:t>T</w:t>
      </w:r>
      <w:r>
        <w:t xml:space="preserve">ime 1 survey results are available for the earlier I-Corps cohorts, both changes in culture and outcomes from entrepreneurship take time so the </w:t>
      </w:r>
      <w:r w:rsidR="001E6CBC">
        <w:t>T</w:t>
      </w:r>
      <w:r>
        <w:t xml:space="preserve">ime 1 survey results by themselves are of limited value. Thus, from its conceptualization, </w:t>
      </w:r>
      <w:r w:rsidR="00B93779">
        <w:t xml:space="preserve">NSF </w:t>
      </w:r>
      <w:r>
        <w:t xml:space="preserve">understood the great need for longitudinal survey responses, such as those at </w:t>
      </w:r>
      <w:r w:rsidR="001E6CBC">
        <w:t>T</w:t>
      </w:r>
      <w:r>
        <w:t>ime 2. In addition, at the conceptualization of the I-Corps Teams program, the independent evaluation of the program had not yet been foreseen. In 2013, NSF commissioned an independent evaluation of the I-Corps Team</w:t>
      </w:r>
      <w:r w:rsidR="00BC6CE7">
        <w:t>s</w:t>
      </w:r>
      <w:r>
        <w:t xml:space="preserve"> program, which when completed advocated that a quasi-experimental design, </w:t>
      </w:r>
      <w:r w:rsidR="00BC6CE7">
        <w:t xml:space="preserve">with </w:t>
      </w:r>
      <w:r>
        <w:t>a comparison group of non-I-Corps PIs, would be a feasible.</w:t>
      </w:r>
    </w:p>
    <w:p w14:paraId="6C961733" w14:textId="77777777" w:rsidR="00C0393C" w:rsidRDefault="00C0393C" w:rsidP="00921829">
      <w:pPr>
        <w:autoSpaceDE w:val="0"/>
        <w:autoSpaceDN w:val="0"/>
        <w:adjustRightInd w:val="0"/>
        <w:rPr>
          <w:b/>
        </w:rPr>
      </w:pPr>
    </w:p>
    <w:p w14:paraId="5504E474" w14:textId="77777777" w:rsidR="003E0FE3" w:rsidRPr="00CC721F" w:rsidRDefault="003E0FE3" w:rsidP="00921829">
      <w:pPr>
        <w:autoSpaceDE w:val="0"/>
        <w:autoSpaceDN w:val="0"/>
        <w:adjustRightInd w:val="0"/>
        <w:rPr>
          <w:b/>
        </w:rPr>
      </w:pPr>
    </w:p>
    <w:p w14:paraId="37BD29C1" w14:textId="77777777" w:rsidR="00921829" w:rsidRPr="00457524" w:rsidRDefault="00921829" w:rsidP="006B66C6">
      <w:pPr>
        <w:pStyle w:val="Heading1"/>
        <w:jc w:val="left"/>
      </w:pPr>
      <w:bookmarkStart w:id="1" w:name="_Toc478037935"/>
      <w:r w:rsidRPr="00FC2D1C">
        <w:lastRenderedPageBreak/>
        <w:t>A. Justification</w:t>
      </w:r>
      <w:bookmarkEnd w:id="1"/>
    </w:p>
    <w:p w14:paraId="6EF7B55D" w14:textId="77777777" w:rsidR="00921829" w:rsidRPr="00E05C94" w:rsidRDefault="00921829" w:rsidP="00F17CE9">
      <w:pPr>
        <w:autoSpaceDE w:val="0"/>
        <w:autoSpaceDN w:val="0"/>
        <w:adjustRightInd w:val="0"/>
        <w:spacing w:line="276" w:lineRule="auto"/>
      </w:pPr>
    </w:p>
    <w:p w14:paraId="2FF5B256" w14:textId="77777777" w:rsidR="00921829" w:rsidRPr="00457524" w:rsidRDefault="00921829" w:rsidP="00457524">
      <w:pPr>
        <w:tabs>
          <w:tab w:val="right" w:pos="360"/>
        </w:tabs>
        <w:autoSpaceDE w:val="0"/>
        <w:autoSpaceDN w:val="0"/>
        <w:adjustRightInd w:val="0"/>
        <w:ind w:left="720" w:hanging="720"/>
        <w:rPr>
          <w:i/>
        </w:rPr>
      </w:pPr>
      <w:r w:rsidRPr="00E05C94">
        <w:rPr>
          <w:i/>
        </w:rPr>
        <w:tab/>
        <w:t>1.</w:t>
      </w:r>
      <w:r w:rsidRPr="00E05C94">
        <w:rPr>
          <w:i/>
        </w:rPr>
        <w:tab/>
      </w:r>
      <w:r w:rsidRPr="00051EAD">
        <w:rPr>
          <w:i/>
        </w:rPr>
        <w:t>Explain the circumstances that make the collection of information necessary.</w:t>
      </w:r>
      <w:r w:rsidR="00024976" w:rsidRPr="00051EAD">
        <w:rPr>
          <w:i/>
        </w:rPr>
        <w:t xml:space="preserve"> </w:t>
      </w:r>
      <w:r w:rsidRPr="00051EAD">
        <w:rPr>
          <w:i/>
        </w:rPr>
        <w:t>Identify any legal or administrative requirements that necessitate the collection.</w:t>
      </w:r>
      <w:r w:rsidR="00024976" w:rsidRPr="00051EAD">
        <w:rPr>
          <w:i/>
        </w:rPr>
        <w:t xml:space="preserve"> </w:t>
      </w:r>
      <w:r w:rsidRPr="00051EAD">
        <w:rPr>
          <w:i/>
        </w:rPr>
        <w:t>Attach a copy of the appropriate section of each statute and regulation mandating or authorizing the collection of information.</w:t>
      </w:r>
    </w:p>
    <w:p w14:paraId="7FC76953" w14:textId="77777777" w:rsidR="00921829" w:rsidRPr="00457524" w:rsidRDefault="00921829" w:rsidP="00F17CE9">
      <w:pPr>
        <w:autoSpaceDE w:val="0"/>
        <w:autoSpaceDN w:val="0"/>
        <w:adjustRightInd w:val="0"/>
        <w:spacing w:line="276" w:lineRule="auto"/>
        <w:ind w:left="720"/>
      </w:pPr>
    </w:p>
    <w:p w14:paraId="20209E6C" w14:textId="42C05ABE" w:rsidR="00526D37" w:rsidRDefault="001A56A0" w:rsidP="00F17CE9">
      <w:pPr>
        <w:autoSpaceDE w:val="0"/>
        <w:autoSpaceDN w:val="0"/>
        <w:adjustRightInd w:val="0"/>
        <w:spacing w:line="276" w:lineRule="auto"/>
      </w:pPr>
      <w:r>
        <w:t xml:space="preserve">This ICR </w:t>
      </w:r>
      <w:r w:rsidR="001D73C6">
        <w:t>seeks</w:t>
      </w:r>
      <w:r>
        <w:t xml:space="preserve"> revisions to a previously cleared survey instrument (</w:t>
      </w:r>
      <w:r w:rsidR="001D73C6">
        <w:t>OMB #3145-0238</w:t>
      </w:r>
      <w:r w:rsidR="00307C47">
        <w:t xml:space="preserve"> – a monitoring collection of surveys, from which this will be pulled and aggregated with a new survey</w:t>
      </w:r>
      <w:r>
        <w:t>)</w:t>
      </w:r>
      <w:r w:rsidR="001D73C6">
        <w:t xml:space="preserve">, </w:t>
      </w:r>
      <w:r>
        <w:t>the National Science Foundation (NSF) Engineering I-Corps Su</w:t>
      </w:r>
      <w:r w:rsidR="001E6CBC">
        <w:t>rvey of Longitudinal Outcomes (T</w:t>
      </w:r>
      <w:r>
        <w:t>ime</w:t>
      </w:r>
      <w:r w:rsidR="003E0FE3">
        <w:t xml:space="preserve"> </w:t>
      </w:r>
      <w:r>
        <w:t xml:space="preserve">2). </w:t>
      </w:r>
      <w:r w:rsidR="00135CF6">
        <w:t>Specifically, t</w:t>
      </w:r>
      <w:r>
        <w:t>h</w:t>
      </w:r>
      <w:r w:rsidR="00135CF6">
        <w:t>is</w:t>
      </w:r>
      <w:r>
        <w:t xml:space="preserve"> </w:t>
      </w:r>
      <w:r w:rsidRPr="001A56A0">
        <w:t xml:space="preserve">ICR </w:t>
      </w:r>
      <w:r w:rsidR="00135CF6">
        <w:t>proposes</w:t>
      </w:r>
      <w:r>
        <w:t xml:space="preserve"> to</w:t>
      </w:r>
      <w:r w:rsidR="00526D37">
        <w:t>:</w:t>
      </w:r>
    </w:p>
    <w:p w14:paraId="1E6A6616" w14:textId="77777777" w:rsidR="00526D37" w:rsidRDefault="001A56A0" w:rsidP="00051EAD">
      <w:pPr>
        <w:pStyle w:val="ListParagraph"/>
        <w:numPr>
          <w:ilvl w:val="0"/>
          <w:numId w:val="77"/>
        </w:numPr>
        <w:autoSpaceDE w:val="0"/>
        <w:autoSpaceDN w:val="0"/>
        <w:adjustRightInd w:val="0"/>
        <w:spacing w:line="276" w:lineRule="auto"/>
      </w:pPr>
      <w:r>
        <w:t>modify, delete</w:t>
      </w:r>
      <w:r w:rsidR="00E50B2C">
        <w:t>,</w:t>
      </w:r>
      <w:r>
        <w:t xml:space="preserve"> and add</w:t>
      </w:r>
      <w:r w:rsidRPr="001A56A0">
        <w:t xml:space="preserve"> survey </w:t>
      </w:r>
      <w:r w:rsidR="00065AF2">
        <w:t xml:space="preserve">instrument </w:t>
      </w:r>
      <w:r w:rsidRPr="001A56A0">
        <w:t>items</w:t>
      </w:r>
      <w:r w:rsidR="00526D37">
        <w:t>;</w:t>
      </w:r>
    </w:p>
    <w:p w14:paraId="72DB0D17" w14:textId="0CEA4813" w:rsidR="00526D37" w:rsidRDefault="001A56A0" w:rsidP="00051EAD">
      <w:pPr>
        <w:pStyle w:val="ListParagraph"/>
        <w:numPr>
          <w:ilvl w:val="0"/>
          <w:numId w:val="77"/>
        </w:numPr>
        <w:autoSpaceDE w:val="0"/>
        <w:autoSpaceDN w:val="0"/>
        <w:adjustRightInd w:val="0"/>
        <w:spacing w:line="276" w:lineRule="auto"/>
      </w:pPr>
      <w:r w:rsidRPr="001A56A0">
        <w:t>ext</w:t>
      </w:r>
      <w:r w:rsidR="008D3477">
        <w:t xml:space="preserve">end surveyed groups to include </w:t>
      </w:r>
      <w:r w:rsidRPr="001A56A0">
        <w:t>a comparable group of NSF principal investigators who did not go through the</w:t>
      </w:r>
      <w:r w:rsidR="001D73C6">
        <w:t xml:space="preserve"> I-Corps</w:t>
      </w:r>
      <w:r w:rsidRPr="001A56A0">
        <w:t xml:space="preserve"> program</w:t>
      </w:r>
      <w:r w:rsidR="00526D37">
        <w:t>;</w:t>
      </w:r>
      <w:r>
        <w:t xml:space="preserve"> and</w:t>
      </w:r>
      <w:r w:rsidR="00526D37">
        <w:t>,</w:t>
      </w:r>
      <w:r>
        <w:t xml:space="preserve"> </w:t>
      </w:r>
    </w:p>
    <w:p w14:paraId="589226E9" w14:textId="77777777" w:rsidR="009D48B1" w:rsidRDefault="009D48B1" w:rsidP="00051EAD">
      <w:pPr>
        <w:pStyle w:val="ListParagraph"/>
        <w:numPr>
          <w:ilvl w:val="0"/>
          <w:numId w:val="77"/>
        </w:numPr>
        <w:autoSpaceDE w:val="0"/>
        <w:autoSpaceDN w:val="0"/>
        <w:adjustRightInd w:val="0"/>
        <w:spacing w:line="276" w:lineRule="auto"/>
      </w:pPr>
      <w:r>
        <w:t>add</w:t>
      </w:r>
      <w:r w:rsidR="001A56A0">
        <w:t xml:space="preserve"> </w:t>
      </w:r>
      <w:r>
        <w:t xml:space="preserve">an additional data collection </w:t>
      </w:r>
      <w:r w:rsidR="00E50B2C">
        <w:t xml:space="preserve">for a case study through </w:t>
      </w:r>
      <w:r w:rsidR="001A56A0">
        <w:t>semi-structured in-depth interviews</w:t>
      </w:r>
      <w:r>
        <w:t xml:space="preserve">, in person and over the phone, </w:t>
      </w:r>
      <w:r w:rsidR="001A56A0">
        <w:t xml:space="preserve">with select NSF I-Corps Teams and </w:t>
      </w:r>
      <w:r w:rsidR="00135CF6">
        <w:t xml:space="preserve">a </w:t>
      </w:r>
      <w:r w:rsidR="001A56A0">
        <w:t>comparable non-I-Corps group who pursued commercialization of NSF-funded research</w:t>
      </w:r>
      <w:r w:rsidR="00135CF6">
        <w:t xml:space="preserve"> independently</w:t>
      </w:r>
      <w:r w:rsidR="001A56A0" w:rsidRPr="001A56A0">
        <w:t xml:space="preserve">. </w:t>
      </w:r>
    </w:p>
    <w:p w14:paraId="79EBA6B6" w14:textId="77777777" w:rsidR="009D48B1" w:rsidRDefault="009D48B1" w:rsidP="00F17CE9">
      <w:pPr>
        <w:autoSpaceDE w:val="0"/>
        <w:autoSpaceDN w:val="0"/>
        <w:adjustRightInd w:val="0"/>
        <w:spacing w:line="276" w:lineRule="auto"/>
      </w:pPr>
    </w:p>
    <w:p w14:paraId="60678DCD" w14:textId="015733BA" w:rsidR="00002A26" w:rsidRPr="00E05C94" w:rsidRDefault="009D48B1" w:rsidP="00F17CE9">
      <w:pPr>
        <w:autoSpaceDE w:val="0"/>
        <w:autoSpaceDN w:val="0"/>
        <w:adjustRightInd w:val="0"/>
        <w:spacing w:line="276" w:lineRule="auto"/>
      </w:pPr>
      <w:r>
        <w:t xml:space="preserve">This ICR </w:t>
      </w:r>
      <w:r w:rsidR="000574C3">
        <w:t>also covers</w:t>
      </w:r>
      <w:r>
        <w:t xml:space="preserve"> </w:t>
      </w:r>
      <w:r w:rsidR="00065AF2">
        <w:t xml:space="preserve">revisions to the </w:t>
      </w:r>
      <w:r w:rsidR="001E6CBC">
        <w:t>T</w:t>
      </w:r>
      <w:r w:rsidR="00065AF2">
        <w:t xml:space="preserve">ime 1 longitudinal survey instrument to make it more suitable for the </w:t>
      </w:r>
      <w:r>
        <w:t>planned data collection for program monitoring and evaluation purposes</w:t>
      </w:r>
      <w:r w:rsidR="00065AF2">
        <w:t xml:space="preserve"> at </w:t>
      </w:r>
      <w:r w:rsidR="001E6CBC">
        <w:t>T</w:t>
      </w:r>
      <w:r w:rsidR="00065AF2">
        <w:t>ime 2</w:t>
      </w:r>
      <w:r>
        <w:t xml:space="preserve"> </w:t>
      </w:r>
      <w:r w:rsidR="00065AF2">
        <w:t>for</w:t>
      </w:r>
      <w:r>
        <w:t xml:space="preserve"> NSF grantee teams.</w:t>
      </w:r>
      <w:r w:rsidR="005A2029">
        <w:t xml:space="preserve"> As teams </w:t>
      </w:r>
      <w:r w:rsidR="006B7E9F">
        <w:t xml:space="preserve">that persisted two to three years after the course </w:t>
      </w:r>
      <w:r w:rsidR="005A2029">
        <w:t xml:space="preserve">were hypothesized to be farther along in their commercialization efforts than at Time 1, NSF </w:t>
      </w:r>
      <w:r w:rsidR="00FC0EEF">
        <w:t>realized the instrument needed to be revised in order to capture these milestones.</w:t>
      </w:r>
      <w:r>
        <w:t xml:space="preserve"> </w:t>
      </w:r>
      <w:r w:rsidR="00FC0EEF">
        <w:t xml:space="preserve">For example, </w:t>
      </w:r>
      <w:r w:rsidR="00323170">
        <w:t xml:space="preserve">more specific </w:t>
      </w:r>
      <w:r w:rsidR="00FC0EEF">
        <w:t xml:space="preserve">questions </w:t>
      </w:r>
      <w:r w:rsidR="00323170">
        <w:t>were developed around</w:t>
      </w:r>
      <w:r w:rsidR="00FC0EEF">
        <w:t xml:space="preserve"> private financing</w:t>
      </w:r>
      <w:r w:rsidR="00464CCB">
        <w:t xml:space="preserve"> to better understand the type and amount of non-government financing received</w:t>
      </w:r>
      <w:r w:rsidR="00FC0EEF">
        <w:t xml:space="preserve">. </w:t>
      </w:r>
      <w:r w:rsidR="00E83558">
        <w:t>Similarly, given the passage of time, NSF recognized that it was no longer appropriate to ask certain questions about the course’s influence on participants. As t</w:t>
      </w:r>
      <w:r w:rsidR="001A56A0">
        <w:t xml:space="preserve">he </w:t>
      </w:r>
      <w:r w:rsidR="00065AF2">
        <w:t>instrument</w:t>
      </w:r>
      <w:r w:rsidR="001A56A0">
        <w:t xml:space="preserve"> revisions include the remov</w:t>
      </w:r>
      <w:r w:rsidR="001E6CBC">
        <w:t>al of items that appear in the T</w:t>
      </w:r>
      <w:r w:rsidR="001A56A0">
        <w:t xml:space="preserve">ime 1 survey </w:t>
      </w:r>
      <w:r w:rsidR="00E50B2C">
        <w:t>that</w:t>
      </w:r>
      <w:r w:rsidR="001A56A0">
        <w:t xml:space="preserve"> no longer are needed (</w:t>
      </w:r>
      <w:r w:rsidR="001D73C6">
        <w:t>i.e</w:t>
      </w:r>
      <w:r w:rsidR="005A2029">
        <w:t>, short-term influence of course on career)</w:t>
      </w:r>
      <w:r w:rsidR="009F3E44">
        <w:t>. The overall</w:t>
      </w:r>
      <w:r w:rsidR="001A56A0">
        <w:t xml:space="preserve"> length/burden of the instrument remain</w:t>
      </w:r>
      <w:r w:rsidR="00B632BF">
        <w:t>s</w:t>
      </w:r>
      <w:r w:rsidR="001A56A0">
        <w:t xml:space="preserve"> unchanged. </w:t>
      </w:r>
    </w:p>
    <w:p w14:paraId="7FB7CAB5" w14:textId="77777777" w:rsidR="00002A26" w:rsidRPr="00E05C94" w:rsidRDefault="00002A26" w:rsidP="00F17CE9">
      <w:pPr>
        <w:autoSpaceDE w:val="0"/>
        <w:autoSpaceDN w:val="0"/>
        <w:adjustRightInd w:val="0"/>
        <w:spacing w:line="276" w:lineRule="auto"/>
      </w:pPr>
    </w:p>
    <w:p w14:paraId="48E88EC5" w14:textId="77777777" w:rsidR="003E0FE3" w:rsidRDefault="001A56A0" w:rsidP="001A56A0">
      <w:pPr>
        <w:autoSpaceDE w:val="0"/>
        <w:autoSpaceDN w:val="0"/>
        <w:adjustRightInd w:val="0"/>
        <w:spacing w:line="276" w:lineRule="auto"/>
      </w:pPr>
      <w:r>
        <w:t xml:space="preserve">The inclusion of non-I-Corps </w:t>
      </w:r>
      <w:r w:rsidR="001D73C6">
        <w:t>principal investigators</w:t>
      </w:r>
      <w:r w:rsidR="009D48B1">
        <w:t xml:space="preserve"> </w:t>
      </w:r>
      <w:r w:rsidR="001D73C6">
        <w:t>to participate</w:t>
      </w:r>
      <w:r>
        <w:t xml:space="preserve"> in the survey and</w:t>
      </w:r>
      <w:r w:rsidR="009D48B1">
        <w:t xml:space="preserve"> of PIs and their collaborators</w:t>
      </w:r>
      <w:r w:rsidR="00E50B2C">
        <w:t xml:space="preserve"> in the case study </w:t>
      </w:r>
      <w:r>
        <w:t>interviews is part of the</w:t>
      </w:r>
      <w:r w:rsidR="009D48B1">
        <w:t xml:space="preserve"> one-time</w:t>
      </w:r>
      <w:r>
        <w:t xml:space="preserve"> evaluation study of the I-Corps Teams program, which will assess I-Corps </w:t>
      </w:r>
      <w:r w:rsidR="009D48B1">
        <w:t>outcomes</w:t>
      </w:r>
      <w:r w:rsidR="006159E2">
        <w:t xml:space="preserve"> and impacts</w:t>
      </w:r>
      <w:r w:rsidR="00EC1255">
        <w:t xml:space="preserve">. </w:t>
      </w:r>
      <w:r w:rsidR="00FF7B22">
        <w:t>T</w:t>
      </w:r>
      <w:r w:rsidR="00FF7B22" w:rsidRPr="00E05C94">
        <w:t xml:space="preserve">he evaluation seeks to understand the impact of the I-Corps Teams </w:t>
      </w:r>
      <w:r w:rsidR="00FF7B22">
        <w:t>P</w:t>
      </w:r>
      <w:r w:rsidR="00FF7B22" w:rsidRPr="00457524">
        <w:t xml:space="preserve">rogram on team members and </w:t>
      </w:r>
      <w:r w:rsidR="00E50B2C">
        <w:t xml:space="preserve">the </w:t>
      </w:r>
      <w:r w:rsidR="00FF7B22" w:rsidRPr="00457524">
        <w:t xml:space="preserve">academic culture. </w:t>
      </w:r>
      <w:r w:rsidR="00EC1255">
        <w:t>Specifically, the evaluation will</w:t>
      </w:r>
      <w:r w:rsidR="009D48B1">
        <w:t xml:space="preserve"> identify a group of </w:t>
      </w:r>
      <w:r>
        <w:t>comparable non-</w:t>
      </w:r>
      <w:r w:rsidR="00EC1255">
        <w:t>I-</w:t>
      </w:r>
      <w:r>
        <w:t>Corps research teams</w:t>
      </w:r>
      <w:r w:rsidR="00EC1255">
        <w:t xml:space="preserve"> using extant NSF data on PIs</w:t>
      </w:r>
      <w:r w:rsidR="00FF7B22">
        <w:t xml:space="preserve"> </w:t>
      </w:r>
      <w:r w:rsidR="00EC1255">
        <w:t>and</w:t>
      </w:r>
      <w:r w:rsidR="009D48B1">
        <w:t xml:space="preserve"> compare entrepreneurial outcomes </w:t>
      </w:r>
      <w:r w:rsidR="00E50B2C">
        <w:t>among</w:t>
      </w:r>
      <w:r w:rsidR="009D48B1">
        <w:t xml:space="preserve"> PIs who participated </w:t>
      </w:r>
      <w:r w:rsidR="00FF7B22">
        <w:t>in I-Corps to those who</w:t>
      </w:r>
      <w:r w:rsidR="009D48B1">
        <w:t xml:space="preserve"> did not participate in I-Corps. The </w:t>
      </w:r>
      <w:r w:rsidR="00E50B2C">
        <w:t>case study</w:t>
      </w:r>
      <w:r w:rsidR="009D48B1">
        <w:t xml:space="preserve"> interviews will shed light into team dynamics</w:t>
      </w:r>
      <w:r w:rsidR="00FF7B22">
        <w:t xml:space="preserve"> as well as the </w:t>
      </w:r>
      <w:r w:rsidR="009D48B1">
        <w:t xml:space="preserve">challenges and opportunities PIs face when pursuing commercialization of their research. </w:t>
      </w:r>
    </w:p>
    <w:p w14:paraId="1CB9EFB7" w14:textId="77777777" w:rsidR="003E0FE3" w:rsidRDefault="003E0FE3" w:rsidP="001A56A0">
      <w:pPr>
        <w:autoSpaceDE w:val="0"/>
        <w:autoSpaceDN w:val="0"/>
        <w:adjustRightInd w:val="0"/>
        <w:spacing w:line="276" w:lineRule="auto"/>
      </w:pPr>
    </w:p>
    <w:p w14:paraId="242DF249" w14:textId="77777777" w:rsidR="00CF103F" w:rsidRPr="00E05C94" w:rsidRDefault="00271AAA" w:rsidP="00F17CE9">
      <w:pPr>
        <w:autoSpaceDE w:val="0"/>
        <w:autoSpaceDN w:val="0"/>
        <w:adjustRightInd w:val="0"/>
        <w:spacing w:line="276" w:lineRule="auto"/>
      </w:pPr>
      <w:r w:rsidRPr="00E05C94">
        <w:lastRenderedPageBreak/>
        <w:t xml:space="preserve">NSF has engaged the Manhattan Strategy Group (MSG) to conduct </w:t>
      </w:r>
      <w:r w:rsidR="00FF7B22">
        <w:t>the</w:t>
      </w:r>
      <w:r w:rsidR="00FF7B22" w:rsidRPr="00E05C94">
        <w:t xml:space="preserve"> </w:t>
      </w:r>
      <w:r w:rsidRPr="00E05C94">
        <w:t>evaluation of the I-Corps Teams Program. The</w:t>
      </w:r>
      <w:r w:rsidR="001A66FF" w:rsidRPr="00E05C94">
        <w:t xml:space="preserve"> evaluation will cover I-Corps T</w:t>
      </w:r>
      <w:r w:rsidRPr="00E05C94">
        <w:t>eams star</w:t>
      </w:r>
      <w:r w:rsidR="001370BC" w:rsidRPr="00E05C94">
        <w:t>t</w:t>
      </w:r>
      <w:r w:rsidRPr="00E05C94">
        <w:t>ing in fiscal year 2011.</w:t>
      </w:r>
      <w:r w:rsidR="00FE1115" w:rsidRPr="00E05C94">
        <w:t xml:space="preserve"> </w:t>
      </w:r>
      <w:r w:rsidR="001370BC" w:rsidRPr="00E05C94">
        <w:t>T</w:t>
      </w:r>
      <w:r w:rsidR="00CF103F" w:rsidRPr="00E05C94">
        <w:t>he evaluation seeks to answer the following research questions:</w:t>
      </w:r>
    </w:p>
    <w:p w14:paraId="11B493D8" w14:textId="77777777" w:rsidR="00CF103F" w:rsidRPr="00E05C94" w:rsidRDefault="00CF103F" w:rsidP="00F17CE9">
      <w:pPr>
        <w:pStyle w:val="ListParagraph"/>
        <w:numPr>
          <w:ilvl w:val="0"/>
          <w:numId w:val="5"/>
        </w:numPr>
        <w:autoSpaceDE w:val="0"/>
        <w:autoSpaceDN w:val="0"/>
        <w:adjustRightInd w:val="0"/>
        <w:spacing w:line="276" w:lineRule="auto"/>
        <w:ind w:left="720"/>
      </w:pPr>
      <w:r w:rsidRPr="00E05C94">
        <w:t>Have I-Corps Teams participants become more entrepreneurially competent after their participation in I-Corps?</w:t>
      </w:r>
    </w:p>
    <w:p w14:paraId="57987738" w14:textId="77777777" w:rsidR="00CF103F" w:rsidRPr="00E05C94" w:rsidRDefault="00CF103F" w:rsidP="00F17CE9">
      <w:pPr>
        <w:pStyle w:val="ListParagraph"/>
        <w:numPr>
          <w:ilvl w:val="0"/>
          <w:numId w:val="5"/>
        </w:numPr>
        <w:autoSpaceDE w:val="0"/>
        <w:autoSpaceDN w:val="0"/>
        <w:adjustRightInd w:val="0"/>
        <w:spacing w:line="276" w:lineRule="auto"/>
        <w:ind w:left="720"/>
      </w:pPr>
      <w:r w:rsidRPr="00E05C94">
        <w:t>Has the I-Corps training program led to an increase in the translation of fundamental research into the commercial space more than for those who have not participated in the program?</w:t>
      </w:r>
    </w:p>
    <w:p w14:paraId="0F229090" w14:textId="77777777" w:rsidR="00CF103F" w:rsidRPr="00457524" w:rsidRDefault="00CF103F" w:rsidP="00F17CE9">
      <w:pPr>
        <w:pStyle w:val="ListParagraph"/>
        <w:numPr>
          <w:ilvl w:val="0"/>
          <w:numId w:val="5"/>
        </w:numPr>
        <w:autoSpaceDE w:val="0"/>
        <w:autoSpaceDN w:val="0"/>
        <w:adjustRightInd w:val="0"/>
        <w:spacing w:line="276" w:lineRule="auto"/>
        <w:ind w:left="720"/>
      </w:pPr>
      <w:r w:rsidRPr="00E05C94">
        <w:t>Have viable technologies, processes, products</w:t>
      </w:r>
      <w:r w:rsidR="0089215F">
        <w:t>,</w:t>
      </w:r>
      <w:r w:rsidRPr="00457524">
        <w:t xml:space="preserve"> or services developed by I-Corps participants (either during the I-Corps award or after):</w:t>
      </w:r>
    </w:p>
    <w:p w14:paraId="3C10A966" w14:textId="77777777" w:rsidR="00CF103F" w:rsidRPr="00A1213B" w:rsidRDefault="00CF103F" w:rsidP="00F17CE9">
      <w:pPr>
        <w:pStyle w:val="ListParagraph"/>
        <w:numPr>
          <w:ilvl w:val="0"/>
          <w:numId w:val="6"/>
        </w:numPr>
        <w:autoSpaceDE w:val="0"/>
        <w:autoSpaceDN w:val="0"/>
        <w:adjustRightInd w:val="0"/>
        <w:spacing w:line="276" w:lineRule="auto"/>
        <w:ind w:left="1080"/>
      </w:pPr>
      <w:r w:rsidRPr="00457524">
        <w:t>Reached the market?</w:t>
      </w:r>
    </w:p>
    <w:p w14:paraId="663F73A9" w14:textId="77777777" w:rsidR="00CF103F" w:rsidRPr="00E05C94" w:rsidRDefault="00CF103F" w:rsidP="00F17CE9">
      <w:pPr>
        <w:pStyle w:val="ListParagraph"/>
        <w:numPr>
          <w:ilvl w:val="0"/>
          <w:numId w:val="6"/>
        </w:numPr>
        <w:autoSpaceDE w:val="0"/>
        <w:autoSpaceDN w:val="0"/>
        <w:adjustRightInd w:val="0"/>
        <w:spacing w:line="276" w:lineRule="auto"/>
        <w:ind w:left="1080"/>
      </w:pPr>
      <w:r w:rsidRPr="00E05C94">
        <w:t>Entered the process of translation?</w:t>
      </w:r>
    </w:p>
    <w:p w14:paraId="2B4510C8" w14:textId="77777777" w:rsidR="00CF103F" w:rsidRPr="00E05C94" w:rsidRDefault="00CF103F" w:rsidP="00F17CE9">
      <w:pPr>
        <w:pStyle w:val="ListParagraph"/>
        <w:numPr>
          <w:ilvl w:val="0"/>
          <w:numId w:val="6"/>
        </w:numPr>
        <w:autoSpaceDE w:val="0"/>
        <w:autoSpaceDN w:val="0"/>
        <w:adjustRightInd w:val="0"/>
        <w:spacing w:line="276" w:lineRule="auto"/>
        <w:ind w:left="1080"/>
      </w:pPr>
      <w:r w:rsidRPr="00E05C94">
        <w:t>Been applied to other developments?</w:t>
      </w:r>
    </w:p>
    <w:p w14:paraId="13A1A233" w14:textId="77777777" w:rsidR="00CF103F" w:rsidRPr="00E05C94" w:rsidRDefault="00CF103F" w:rsidP="00F17CE9">
      <w:pPr>
        <w:pStyle w:val="ListParagraph"/>
        <w:numPr>
          <w:ilvl w:val="0"/>
          <w:numId w:val="5"/>
        </w:numPr>
        <w:autoSpaceDE w:val="0"/>
        <w:autoSpaceDN w:val="0"/>
        <w:adjustRightInd w:val="0"/>
        <w:spacing w:line="276" w:lineRule="auto"/>
        <w:ind w:left="720"/>
      </w:pPr>
      <w:r w:rsidRPr="00E05C94">
        <w:t>Are there any other significant spillover effects not initially planned in the I-Corps logic model that can be considered unexpected positive outcomes of the program?</w:t>
      </w:r>
    </w:p>
    <w:p w14:paraId="3AD83454" w14:textId="77777777" w:rsidR="00CF103F" w:rsidRPr="00E05C94" w:rsidRDefault="00CF103F" w:rsidP="00F17CE9">
      <w:pPr>
        <w:pStyle w:val="ListParagraph"/>
        <w:numPr>
          <w:ilvl w:val="0"/>
          <w:numId w:val="5"/>
        </w:numPr>
        <w:autoSpaceDE w:val="0"/>
        <w:autoSpaceDN w:val="0"/>
        <w:adjustRightInd w:val="0"/>
        <w:spacing w:line="276" w:lineRule="auto"/>
        <w:ind w:left="720"/>
      </w:pPr>
      <w:r w:rsidRPr="00E05C94">
        <w:t>Can significant traits be identified as predictors or correlated to positive outcomes in research questions 1 through 4?</w:t>
      </w:r>
    </w:p>
    <w:p w14:paraId="135C3E07" w14:textId="77777777" w:rsidR="00CF103F" w:rsidRPr="00E05C94" w:rsidRDefault="00CF103F" w:rsidP="00F17CE9">
      <w:pPr>
        <w:autoSpaceDE w:val="0"/>
        <w:autoSpaceDN w:val="0"/>
        <w:adjustRightInd w:val="0"/>
        <w:spacing w:line="276" w:lineRule="auto"/>
      </w:pPr>
    </w:p>
    <w:p w14:paraId="54C45F45" w14:textId="5D77EC72" w:rsidR="003E0FE3" w:rsidRDefault="003E0FE3">
      <w:pPr>
        <w:autoSpaceDE w:val="0"/>
        <w:autoSpaceDN w:val="0"/>
        <w:adjustRightInd w:val="0"/>
        <w:spacing w:line="276" w:lineRule="auto"/>
      </w:pPr>
      <w:r w:rsidRPr="003E0FE3">
        <w:t xml:space="preserve">To address these </w:t>
      </w:r>
      <w:r w:rsidR="007663F9">
        <w:t xml:space="preserve">evaluation </w:t>
      </w:r>
      <w:r w:rsidRPr="003E0FE3">
        <w:t xml:space="preserve">questions, </w:t>
      </w:r>
      <w:r w:rsidR="00141E54">
        <w:t>t</w:t>
      </w:r>
      <w:r w:rsidRPr="003E0FE3">
        <w:t xml:space="preserve">his ICR seeks approval for data collection for the following: (1) </w:t>
      </w:r>
      <w:r w:rsidR="00141E54">
        <w:t xml:space="preserve">modification to the </w:t>
      </w:r>
      <w:r w:rsidR="001E6CBC">
        <w:t>T</w:t>
      </w:r>
      <w:r>
        <w:t xml:space="preserve">ime 2 Longitudinal Survey of Outcomes for </w:t>
      </w:r>
      <w:r w:rsidRPr="003E0FE3">
        <w:t xml:space="preserve">NSF </w:t>
      </w:r>
      <w:r w:rsidR="0094115D">
        <w:t>I-Corps grantee teams</w:t>
      </w:r>
      <w:r w:rsidR="00526D37">
        <w:t xml:space="preserve"> </w:t>
      </w:r>
      <w:r w:rsidR="00141E54">
        <w:t>and</w:t>
      </w:r>
      <w:r w:rsidR="00706D9F">
        <w:t xml:space="preserve"> </w:t>
      </w:r>
      <w:r w:rsidR="007663F9">
        <w:t>for use with</w:t>
      </w:r>
      <w:r>
        <w:t xml:space="preserve"> </w:t>
      </w:r>
      <w:r w:rsidRPr="003E0FE3">
        <w:t xml:space="preserve">non-I-Corps PIs </w:t>
      </w:r>
      <w:r w:rsidR="00526D37">
        <w:t>and (2)</w:t>
      </w:r>
      <w:r>
        <w:t xml:space="preserve"> </w:t>
      </w:r>
      <w:r w:rsidR="007663F9">
        <w:t>case study</w:t>
      </w:r>
      <w:r>
        <w:t xml:space="preserve"> in-depth interviews of select I-Corps and non-I-Corps NSF grantees and their teams regarding their commercialization efforts and experience</w:t>
      </w:r>
      <w:r w:rsidR="007663F9">
        <w:t>s</w:t>
      </w:r>
      <w:r>
        <w:t xml:space="preserve">. </w:t>
      </w:r>
      <w:r w:rsidR="00526D37">
        <w:t>Details on each component of the data collection appear below.</w:t>
      </w:r>
    </w:p>
    <w:p w14:paraId="0C87B3E9" w14:textId="77777777" w:rsidR="00FD6032" w:rsidRPr="00457524" w:rsidRDefault="00FD6032" w:rsidP="00F17CE9">
      <w:pPr>
        <w:autoSpaceDE w:val="0"/>
        <w:autoSpaceDN w:val="0"/>
        <w:adjustRightInd w:val="0"/>
        <w:spacing w:line="276" w:lineRule="auto"/>
      </w:pPr>
    </w:p>
    <w:p w14:paraId="4D0D9CF4" w14:textId="77382D00" w:rsidR="003E0FE3" w:rsidRPr="007A0399" w:rsidRDefault="003E0FE3" w:rsidP="0096086E">
      <w:pPr>
        <w:pStyle w:val="ListParagraph"/>
        <w:numPr>
          <w:ilvl w:val="0"/>
          <w:numId w:val="76"/>
        </w:numPr>
        <w:autoSpaceDE w:val="0"/>
        <w:autoSpaceDN w:val="0"/>
        <w:adjustRightInd w:val="0"/>
        <w:spacing w:line="276" w:lineRule="auto"/>
        <w:rPr>
          <w:u w:val="single"/>
        </w:rPr>
      </w:pPr>
      <w:r w:rsidRPr="007A0399">
        <w:rPr>
          <w:u w:val="single"/>
        </w:rPr>
        <w:t>I-Corps Longitudinal Survey of Outcomes</w:t>
      </w:r>
      <w:r w:rsidR="0000021D" w:rsidRPr="0096086E">
        <w:rPr>
          <w:u w:val="single"/>
        </w:rPr>
        <w:t xml:space="preserve"> </w:t>
      </w:r>
      <w:r w:rsidR="001E6CBC">
        <w:rPr>
          <w:u w:val="single"/>
        </w:rPr>
        <w:t>(T</w:t>
      </w:r>
      <w:r w:rsidRPr="007A0399">
        <w:rPr>
          <w:u w:val="single"/>
        </w:rPr>
        <w:t xml:space="preserve">ime 2) </w:t>
      </w:r>
    </w:p>
    <w:p w14:paraId="1E4B1608" w14:textId="687E1B25" w:rsidR="003E0FE3" w:rsidRPr="0096086E" w:rsidRDefault="00284BE8" w:rsidP="0096086E">
      <w:pPr>
        <w:pStyle w:val="ListParagraph"/>
        <w:autoSpaceDE w:val="0"/>
        <w:autoSpaceDN w:val="0"/>
        <w:adjustRightInd w:val="0"/>
        <w:spacing w:line="276" w:lineRule="auto"/>
        <w:ind w:left="0"/>
      </w:pPr>
      <w:r w:rsidRPr="0096086E">
        <w:t xml:space="preserve">This ICR seeks to </w:t>
      </w:r>
      <w:r w:rsidR="005E28F3">
        <w:t xml:space="preserve">clear an omnibus survey instrument </w:t>
      </w:r>
      <w:r w:rsidR="0019168E">
        <w:t xml:space="preserve">for I-Corps grantees and select non-I-Corps principal investigators. This omnibus </w:t>
      </w:r>
      <w:r w:rsidR="003915EA">
        <w:t>instrument is based on a</w:t>
      </w:r>
      <w:r w:rsidRPr="0096086E">
        <w:t xml:space="preserve"> previ</w:t>
      </w:r>
      <w:r w:rsidR="001E6CBC">
        <w:t>ously cleared instrument for a T</w:t>
      </w:r>
      <w:r w:rsidRPr="0096086E">
        <w:t xml:space="preserve">ime </w:t>
      </w:r>
      <w:r w:rsidR="00C27FDB">
        <w:t>1</w:t>
      </w:r>
      <w:r w:rsidR="00C27FDB" w:rsidRPr="0096086E">
        <w:t xml:space="preserve"> </w:t>
      </w:r>
      <w:r w:rsidRPr="0096086E">
        <w:t>longitudinal survey of NSF I-Corps grantees</w:t>
      </w:r>
      <w:r w:rsidR="0019168E">
        <w:t xml:space="preserve">. It includes a </w:t>
      </w:r>
      <w:r w:rsidR="005A6D2B">
        <w:t xml:space="preserve">new </w:t>
      </w:r>
      <w:r w:rsidR="0019168E">
        <w:t xml:space="preserve">module </w:t>
      </w:r>
      <w:r w:rsidR="005A6D2B">
        <w:t>directed to</w:t>
      </w:r>
      <w:r w:rsidR="00AB4A18">
        <w:t xml:space="preserve"> those with a focus </w:t>
      </w:r>
      <w:r w:rsidR="0019168E">
        <w:t>on health and medical technology fields</w:t>
      </w:r>
      <w:r w:rsidR="00A843D4">
        <w:t xml:space="preserve"> and changes in items to accommodate non-I-Corps principal investigators</w:t>
      </w:r>
      <w:r w:rsidR="0019168E">
        <w:t xml:space="preserve">. </w:t>
      </w:r>
      <w:r w:rsidR="00F138D0" w:rsidRPr="0096086E">
        <w:t xml:space="preserve">The omnibus survey instrument, indicating respondent groups appears in Appendix </w:t>
      </w:r>
      <w:r w:rsidR="003915EA">
        <w:t>A</w:t>
      </w:r>
      <w:r w:rsidR="00F138D0" w:rsidRPr="0096086E">
        <w:t xml:space="preserve">. </w:t>
      </w:r>
      <w:r w:rsidR="003915EA">
        <w:t>Appendices B and C show the instruments as they read for I-Corps grantees and non-I-Corps PIs, respectively.</w:t>
      </w:r>
    </w:p>
    <w:p w14:paraId="4198FF22" w14:textId="77777777" w:rsidR="00F138D0" w:rsidRDefault="00F138D0" w:rsidP="0096086E">
      <w:pPr>
        <w:pStyle w:val="ListParagraph"/>
        <w:autoSpaceDE w:val="0"/>
        <w:autoSpaceDN w:val="0"/>
        <w:adjustRightInd w:val="0"/>
        <w:spacing w:line="276" w:lineRule="auto"/>
        <w:ind w:left="0"/>
        <w:rPr>
          <w:u w:val="single"/>
        </w:rPr>
      </w:pPr>
    </w:p>
    <w:p w14:paraId="2580871B" w14:textId="2E706941" w:rsidR="003E0FE3" w:rsidRPr="0096086E" w:rsidRDefault="003E0FE3" w:rsidP="0096086E">
      <w:pPr>
        <w:pStyle w:val="ListParagraph"/>
        <w:numPr>
          <w:ilvl w:val="0"/>
          <w:numId w:val="75"/>
        </w:numPr>
        <w:autoSpaceDE w:val="0"/>
        <w:autoSpaceDN w:val="0"/>
        <w:adjustRightInd w:val="0"/>
        <w:spacing w:line="276" w:lineRule="auto"/>
        <w:rPr>
          <w:i/>
        </w:rPr>
      </w:pPr>
      <w:r w:rsidRPr="0096086E">
        <w:rPr>
          <w:i/>
        </w:rPr>
        <w:t>Survey of I-Corps Grantee Teams</w:t>
      </w:r>
    </w:p>
    <w:p w14:paraId="4ECBE2C9" w14:textId="4C360D08" w:rsidR="00B10E3F" w:rsidRDefault="0065774E" w:rsidP="0096086E">
      <w:pPr>
        <w:autoSpaceDE w:val="0"/>
        <w:autoSpaceDN w:val="0"/>
        <w:adjustRightInd w:val="0"/>
        <w:spacing w:line="276" w:lineRule="auto"/>
      </w:pPr>
      <w:r w:rsidRPr="009F3E44">
        <w:t xml:space="preserve">The </w:t>
      </w:r>
      <w:r w:rsidR="00BB5404" w:rsidRPr="009F3E44">
        <w:t xml:space="preserve">longitudinal </w:t>
      </w:r>
      <w:r w:rsidRPr="009F3E44">
        <w:t xml:space="preserve">survey of I-Corps </w:t>
      </w:r>
      <w:r w:rsidR="001E6CBC">
        <w:t>(T</w:t>
      </w:r>
      <w:r w:rsidR="00BB5404" w:rsidRPr="009F3E44">
        <w:t xml:space="preserve">ime 2) will be administered to I-Corps PIs, ELs and </w:t>
      </w:r>
      <w:r w:rsidR="007663F9" w:rsidRPr="009F3E44">
        <w:t>m</w:t>
      </w:r>
      <w:r w:rsidR="00BB5404" w:rsidRPr="009F3E44">
        <w:t>entors</w:t>
      </w:r>
      <w:r w:rsidR="003D34FB" w:rsidRPr="009F3E44">
        <w:t xml:space="preserve"> who completed the </w:t>
      </w:r>
      <w:r w:rsidR="001E6CBC">
        <w:t>T</w:t>
      </w:r>
      <w:r w:rsidR="003D34FB" w:rsidRPr="009F3E44">
        <w:t>ime 1 survey</w:t>
      </w:r>
      <w:r w:rsidR="0019168E" w:rsidRPr="009F3E44">
        <w:t xml:space="preserve"> and who at the </w:t>
      </w:r>
      <w:r w:rsidR="001E6CBC">
        <w:t>T</w:t>
      </w:r>
      <w:r w:rsidR="0019168E" w:rsidRPr="009F3E44">
        <w:t>ime 1 response con</w:t>
      </w:r>
      <w:r w:rsidR="001E6CBC">
        <w:t>sented to be contacted for the T</w:t>
      </w:r>
      <w:r w:rsidR="0019168E" w:rsidRPr="009F3E44">
        <w:t xml:space="preserve">ime 2. Based on the timing of certain program outcomes, the </w:t>
      </w:r>
      <w:r w:rsidR="001E6CBC">
        <w:t>T</w:t>
      </w:r>
      <w:r w:rsidR="0019168E" w:rsidRPr="009F3E44">
        <w:t>ime 1 survey is administered an average of 13 months</w:t>
      </w:r>
      <w:r w:rsidR="009F3E44">
        <w:t>’</w:t>
      </w:r>
      <w:r w:rsidR="0019168E" w:rsidRPr="009F3E44">
        <w:t xml:space="preserve"> post-course completion and the </w:t>
      </w:r>
      <w:r w:rsidR="001E6CBC">
        <w:t>T</w:t>
      </w:r>
      <w:r w:rsidR="0019168E" w:rsidRPr="009F3E44">
        <w:t xml:space="preserve">ime 2 survey is administered an average of 36 months post-course completion. </w:t>
      </w:r>
      <w:r w:rsidR="00B774A8" w:rsidRPr="009F3E44">
        <w:t>Pending unforeseen circumstances, t</w:t>
      </w:r>
      <w:r w:rsidR="003D34FB" w:rsidRPr="009F3E44">
        <w:t xml:space="preserve">he </w:t>
      </w:r>
      <w:r w:rsidR="001E6CBC">
        <w:t>T</w:t>
      </w:r>
      <w:r w:rsidR="003D34FB" w:rsidRPr="009F3E44">
        <w:t xml:space="preserve">ime 2 </w:t>
      </w:r>
      <w:r w:rsidR="003D34FB" w:rsidRPr="009F3E44">
        <w:lastRenderedPageBreak/>
        <w:t xml:space="preserve">survey will be </w:t>
      </w:r>
      <w:r w:rsidR="00F14925" w:rsidRPr="009F3E44">
        <w:t>administered</w:t>
      </w:r>
      <w:r w:rsidR="003D34FB" w:rsidRPr="009F3E44">
        <w:t xml:space="preserve"> </w:t>
      </w:r>
      <w:r w:rsidR="003915EA" w:rsidRPr="009F3E44">
        <w:t>according</w:t>
      </w:r>
      <w:r w:rsidR="005A6D2B" w:rsidRPr="009F3E44">
        <w:t xml:space="preserve"> to this schedule </w:t>
      </w:r>
      <w:r w:rsidR="003D34FB" w:rsidRPr="009F3E44">
        <w:t xml:space="preserve">for the duration of the I-Corps Teams program. </w:t>
      </w:r>
      <w:r w:rsidR="00770F81" w:rsidRPr="009F3E44">
        <w:t xml:space="preserve"> Approximately 12 to 15 cohorts are expected to be included per administration. </w:t>
      </w:r>
    </w:p>
    <w:p w14:paraId="302AECF5" w14:textId="77777777" w:rsidR="007A0399" w:rsidRPr="00B10E3F" w:rsidRDefault="007A0399" w:rsidP="0096086E">
      <w:pPr>
        <w:autoSpaceDE w:val="0"/>
        <w:autoSpaceDN w:val="0"/>
        <w:adjustRightInd w:val="0"/>
        <w:spacing w:line="276" w:lineRule="auto"/>
      </w:pPr>
    </w:p>
    <w:p w14:paraId="79D14D24" w14:textId="77777777" w:rsidR="00705593" w:rsidRPr="00185005" w:rsidRDefault="00F14925" w:rsidP="0096086E">
      <w:pPr>
        <w:pStyle w:val="ListParagraph"/>
        <w:numPr>
          <w:ilvl w:val="0"/>
          <w:numId w:val="75"/>
        </w:numPr>
      </w:pPr>
      <w:r w:rsidRPr="00F14925">
        <w:rPr>
          <w:i/>
        </w:rPr>
        <w:t>Survey of Non-I-Corps</w:t>
      </w:r>
      <w:r w:rsidRPr="0096086E">
        <w:rPr>
          <w:i/>
        </w:rPr>
        <w:t xml:space="preserve"> Teams</w:t>
      </w:r>
    </w:p>
    <w:p w14:paraId="6D894B9F" w14:textId="7939DDD8" w:rsidR="00564EFC" w:rsidRPr="00E05C94" w:rsidRDefault="0024678F" w:rsidP="00A71FC5">
      <w:pPr>
        <w:autoSpaceDE w:val="0"/>
        <w:autoSpaceDN w:val="0"/>
        <w:adjustRightInd w:val="0"/>
        <w:spacing w:line="276" w:lineRule="auto"/>
      </w:pPr>
      <w:r w:rsidRPr="00E05C94">
        <w:t xml:space="preserve">The survey </w:t>
      </w:r>
      <w:r w:rsidR="006159E2">
        <w:t>instrument for non-I-Corps grantees serves</w:t>
      </w:r>
      <w:r w:rsidRPr="00E05C94">
        <w:t xml:space="preserve"> first, to identify non-I-Corps NSF-funded projects comparable to the I-Corps Teams </w:t>
      </w:r>
      <w:r w:rsidR="00A1213B">
        <w:t>P</w:t>
      </w:r>
      <w:r w:rsidRPr="00A1213B">
        <w:t>rogram projects</w:t>
      </w:r>
      <w:r w:rsidR="00E378B5">
        <w:t>,</w:t>
      </w:r>
      <w:r w:rsidRPr="00A1213B">
        <w:t xml:space="preserve"> and second, to survey the comparable projects’ PIs on </w:t>
      </w:r>
      <w:r w:rsidR="001370BC" w:rsidRPr="00A1213B">
        <w:t xml:space="preserve">their </w:t>
      </w:r>
      <w:r w:rsidRPr="00A1213B">
        <w:t xml:space="preserve">efforts to commercialize their research and </w:t>
      </w:r>
      <w:r w:rsidR="00E378B5">
        <w:t xml:space="preserve">the </w:t>
      </w:r>
      <w:r w:rsidRPr="00A1213B">
        <w:t>outcomes</w:t>
      </w:r>
      <w:r w:rsidR="001370BC" w:rsidRPr="00A1213B">
        <w:t xml:space="preserve"> of these efforts</w:t>
      </w:r>
      <w:r w:rsidRPr="00A1213B">
        <w:t xml:space="preserve">. </w:t>
      </w:r>
      <w:r w:rsidR="00F14925">
        <w:t>Thus, it includes</w:t>
      </w:r>
      <w:r w:rsidR="00564EFC" w:rsidRPr="00E05C94">
        <w:t xml:space="preserve"> two modules: </w:t>
      </w:r>
      <w:r w:rsidR="00D54FF0" w:rsidRPr="00E05C94">
        <w:t>The first is</w:t>
      </w:r>
      <w:r w:rsidR="00564EFC" w:rsidRPr="00E05C94">
        <w:t xml:space="preserve"> </w:t>
      </w:r>
      <w:r w:rsidR="00D54FF0" w:rsidRPr="00E05C94">
        <w:t xml:space="preserve">a </w:t>
      </w:r>
      <w:r w:rsidR="00564EFC" w:rsidRPr="00E05C94">
        <w:t xml:space="preserve">screener to identify comparable non-I-Corps PIs </w:t>
      </w:r>
      <w:r w:rsidR="001A66FF" w:rsidRPr="00E05C94">
        <w:t>similar</w:t>
      </w:r>
      <w:r w:rsidR="00F14925">
        <w:t xml:space="preserve"> to I-Corps PIs</w:t>
      </w:r>
      <w:r w:rsidR="001A66FF" w:rsidRPr="00E05C94">
        <w:t xml:space="preserve"> in </w:t>
      </w:r>
      <w:r w:rsidR="00F14925">
        <w:t xml:space="preserve">their </w:t>
      </w:r>
      <w:r w:rsidR="001A66FF" w:rsidRPr="00E05C94">
        <w:t xml:space="preserve">potential and motivation to commercialize research. PIs who pass the screener </w:t>
      </w:r>
      <w:r w:rsidR="00564EFC" w:rsidRPr="00E05C94">
        <w:t>will</w:t>
      </w:r>
      <w:r w:rsidR="001A66FF" w:rsidRPr="00E05C94">
        <w:t xml:space="preserve"> then</w:t>
      </w:r>
      <w:r w:rsidR="00564EFC" w:rsidRPr="00E05C94">
        <w:t xml:space="preserve"> be asked to complete a second module, </w:t>
      </w:r>
      <w:r w:rsidR="00BC2EF2" w:rsidRPr="00A1213B">
        <w:t xml:space="preserve">a </w:t>
      </w:r>
      <w:r w:rsidR="001E6CBC">
        <w:t>version of the T</w:t>
      </w:r>
      <w:r w:rsidR="00290AA5">
        <w:t xml:space="preserve">ime 2 </w:t>
      </w:r>
      <w:r w:rsidR="00BC2EF2" w:rsidRPr="00A1213B">
        <w:t xml:space="preserve">longitudinal survey of </w:t>
      </w:r>
      <w:r w:rsidR="003E63C7" w:rsidRPr="00A1213B">
        <w:t>I-Corps PIs</w:t>
      </w:r>
      <w:r w:rsidR="000B59BE">
        <w:t xml:space="preserve"> that replaces references to I-Corps with references to “your NSF project,” defined as the NSF project that spawned their commercialization efforts</w:t>
      </w:r>
      <w:r w:rsidR="003E63C7" w:rsidRPr="00A1213B">
        <w:t xml:space="preserve">. </w:t>
      </w:r>
    </w:p>
    <w:p w14:paraId="4727022E" w14:textId="77777777" w:rsidR="00564EFC" w:rsidRPr="00E05C94" w:rsidRDefault="00564EFC" w:rsidP="00A71FC5">
      <w:pPr>
        <w:autoSpaceDE w:val="0"/>
        <w:autoSpaceDN w:val="0"/>
        <w:adjustRightInd w:val="0"/>
        <w:spacing w:line="276" w:lineRule="auto"/>
        <w:rPr>
          <w:highlight w:val="yellow"/>
        </w:rPr>
      </w:pPr>
    </w:p>
    <w:p w14:paraId="3E8B7C72" w14:textId="77777777" w:rsidR="0043718D" w:rsidRPr="00E05C94" w:rsidRDefault="0043718D" w:rsidP="00A71FC5">
      <w:pPr>
        <w:autoSpaceDE w:val="0"/>
        <w:autoSpaceDN w:val="0"/>
        <w:adjustRightInd w:val="0"/>
        <w:spacing w:line="276" w:lineRule="auto"/>
      </w:pPr>
    </w:p>
    <w:p w14:paraId="0832042C" w14:textId="77777777" w:rsidR="007E7C57" w:rsidRPr="00185005" w:rsidRDefault="007E7C57" w:rsidP="00185005">
      <w:pPr>
        <w:pStyle w:val="ListParagraph"/>
        <w:numPr>
          <w:ilvl w:val="0"/>
          <w:numId w:val="76"/>
        </w:numPr>
        <w:autoSpaceDE w:val="0"/>
        <w:autoSpaceDN w:val="0"/>
        <w:adjustRightInd w:val="0"/>
        <w:spacing w:line="276" w:lineRule="auto"/>
        <w:rPr>
          <w:u w:val="single"/>
        </w:rPr>
      </w:pPr>
      <w:r>
        <w:rPr>
          <w:u w:val="single"/>
        </w:rPr>
        <w:t>Case Study In-Depth Interview Protocol for I</w:t>
      </w:r>
      <w:r w:rsidRPr="00185005">
        <w:rPr>
          <w:u w:val="single"/>
        </w:rPr>
        <w:t xml:space="preserve">-Corps </w:t>
      </w:r>
      <w:r>
        <w:rPr>
          <w:u w:val="single"/>
        </w:rPr>
        <w:t xml:space="preserve">Teams and </w:t>
      </w:r>
      <w:r w:rsidR="00C0393C">
        <w:rPr>
          <w:u w:val="single"/>
        </w:rPr>
        <w:t xml:space="preserve">Comparable </w:t>
      </w:r>
      <w:r>
        <w:rPr>
          <w:u w:val="single"/>
        </w:rPr>
        <w:t>Non-I-Corps PIs</w:t>
      </w:r>
    </w:p>
    <w:p w14:paraId="01D6CEE6" w14:textId="29777BD9" w:rsidR="0043718D" w:rsidRDefault="0043718D" w:rsidP="00A71FC5">
      <w:pPr>
        <w:autoSpaceDE w:val="0"/>
        <w:autoSpaceDN w:val="0"/>
        <w:adjustRightInd w:val="0"/>
        <w:spacing w:line="276" w:lineRule="auto"/>
      </w:pPr>
      <w:r w:rsidRPr="00E05C94">
        <w:t xml:space="preserve">As part of the case study, we will interview PIs, close collaborators (mentors and </w:t>
      </w:r>
      <w:r w:rsidR="001C5885">
        <w:t>EL</w:t>
      </w:r>
      <w:r w:rsidR="00577195" w:rsidRPr="00E05C94">
        <w:t xml:space="preserve">s for I-Corps projects), </w:t>
      </w:r>
      <w:r w:rsidRPr="00E05C94">
        <w:t xml:space="preserve">graduate </w:t>
      </w:r>
      <w:r w:rsidR="00A35E64" w:rsidRPr="00E05C94">
        <w:t xml:space="preserve">or postdoctoral </w:t>
      </w:r>
      <w:r w:rsidRPr="00E05C94">
        <w:t>students</w:t>
      </w:r>
      <w:r w:rsidR="001A66FF" w:rsidRPr="00E05C94">
        <w:t xml:space="preserve">, </w:t>
      </w:r>
      <w:r w:rsidRPr="00E05C94">
        <w:t>colleague</w:t>
      </w:r>
      <w:r w:rsidR="001A66FF" w:rsidRPr="00E05C94">
        <w:t>s</w:t>
      </w:r>
      <w:r w:rsidR="005F1837">
        <w:t>,</w:t>
      </w:r>
      <w:r w:rsidR="001A66FF" w:rsidRPr="00E05C94">
        <w:t xml:space="preserve"> and technology transfer offices or similar </w:t>
      </w:r>
      <w:r w:rsidRPr="00E05C94">
        <w:t>at the home institution</w:t>
      </w:r>
      <w:r w:rsidR="005F1837">
        <w:t>s</w:t>
      </w:r>
      <w:r w:rsidRPr="00E05C94">
        <w:t xml:space="preserve"> that have been involved in research and/or commercialization efforts associated with the I-Corps or comparable non-I-Corps projects.</w:t>
      </w:r>
      <w:r w:rsidR="002D0009">
        <w:t xml:space="preserve"> The discussion guides for each respondent type appear in Appe</w:t>
      </w:r>
      <w:r w:rsidR="003B5FF4">
        <w:t>ndix E</w:t>
      </w:r>
      <w:r w:rsidR="002D0009">
        <w:t xml:space="preserve">. </w:t>
      </w:r>
    </w:p>
    <w:p w14:paraId="28CC08E6" w14:textId="77777777" w:rsidR="007E7C57" w:rsidRPr="00E05C94" w:rsidRDefault="007E7C57" w:rsidP="00A71FC5">
      <w:pPr>
        <w:autoSpaceDE w:val="0"/>
        <w:autoSpaceDN w:val="0"/>
        <w:adjustRightInd w:val="0"/>
        <w:spacing w:line="276" w:lineRule="auto"/>
      </w:pPr>
    </w:p>
    <w:p w14:paraId="367E3401" w14:textId="77777777" w:rsidR="00921829" w:rsidRPr="00457524" w:rsidRDefault="00921829" w:rsidP="00457524">
      <w:pPr>
        <w:tabs>
          <w:tab w:val="right" w:pos="360"/>
          <w:tab w:val="left" w:pos="720"/>
        </w:tabs>
        <w:autoSpaceDE w:val="0"/>
        <w:autoSpaceDN w:val="0"/>
        <w:adjustRightInd w:val="0"/>
        <w:ind w:left="720" w:hanging="720"/>
        <w:rPr>
          <w:i/>
        </w:rPr>
      </w:pPr>
      <w:r w:rsidRPr="00E05C94">
        <w:rPr>
          <w:i/>
        </w:rPr>
        <w:tab/>
      </w:r>
      <w:r w:rsidRPr="00A71FC5">
        <w:rPr>
          <w:i/>
        </w:rPr>
        <w:t>2.</w:t>
      </w:r>
      <w:r w:rsidRPr="00A71FC5">
        <w:rPr>
          <w:i/>
        </w:rPr>
        <w:tab/>
      </w:r>
      <w:r w:rsidRPr="00185005">
        <w:rPr>
          <w:i/>
        </w:rPr>
        <w:t>Indicate how, by whom, and for what purpose the information is to be used.</w:t>
      </w:r>
      <w:r w:rsidR="00024976" w:rsidRPr="00185005">
        <w:rPr>
          <w:i/>
        </w:rPr>
        <w:t xml:space="preserve"> </w:t>
      </w:r>
      <w:r w:rsidRPr="00185005">
        <w:rPr>
          <w:i/>
        </w:rPr>
        <w:t>Except for a new collection, indicate the actual use the agency has made of the information received from the current collection.</w:t>
      </w:r>
    </w:p>
    <w:p w14:paraId="229DC9AE" w14:textId="77777777" w:rsidR="00921829" w:rsidRPr="00457524" w:rsidRDefault="00921829" w:rsidP="00A71FC5">
      <w:pPr>
        <w:autoSpaceDE w:val="0"/>
        <w:autoSpaceDN w:val="0"/>
        <w:adjustRightInd w:val="0"/>
        <w:spacing w:line="276" w:lineRule="auto"/>
        <w:ind w:left="720"/>
      </w:pPr>
    </w:p>
    <w:p w14:paraId="1A4EDE59" w14:textId="7FA9092D" w:rsidR="00F427AD" w:rsidRDefault="005C76B3" w:rsidP="005C76B3">
      <w:pPr>
        <w:autoSpaceDE w:val="0"/>
        <w:autoSpaceDN w:val="0"/>
        <w:adjustRightInd w:val="0"/>
        <w:spacing w:line="276" w:lineRule="auto"/>
      </w:pPr>
      <w:r>
        <w:t xml:space="preserve">The longitudinal survey of I-Corps Teams participants </w:t>
      </w:r>
      <w:r w:rsidR="001E6CBC">
        <w:t>(T</w:t>
      </w:r>
      <w:r w:rsidR="00F427AD">
        <w:t xml:space="preserve">ime 2) </w:t>
      </w:r>
      <w:r>
        <w:t xml:space="preserve">in not a new data collection. </w:t>
      </w:r>
      <w:r w:rsidR="00F427AD">
        <w:t xml:space="preserve">It had been cleared under </w:t>
      </w:r>
      <w:r w:rsidR="00260437" w:rsidRPr="00E05C94">
        <w:t>OMB Approval No. 3145-0238</w:t>
      </w:r>
      <w:r w:rsidR="00F427AD">
        <w:t xml:space="preserve">. This ICR requests a revision of items in the survey. </w:t>
      </w:r>
    </w:p>
    <w:p w14:paraId="5EB4B068" w14:textId="77777777" w:rsidR="00F427AD" w:rsidRDefault="00F427AD" w:rsidP="005C76B3">
      <w:pPr>
        <w:autoSpaceDE w:val="0"/>
        <w:autoSpaceDN w:val="0"/>
        <w:adjustRightInd w:val="0"/>
        <w:spacing w:line="276" w:lineRule="auto"/>
      </w:pPr>
    </w:p>
    <w:p w14:paraId="54E068D6" w14:textId="236B5455" w:rsidR="00F427AD" w:rsidRDefault="00F427AD" w:rsidP="005C76B3">
      <w:pPr>
        <w:autoSpaceDE w:val="0"/>
        <w:autoSpaceDN w:val="0"/>
        <w:adjustRightInd w:val="0"/>
        <w:spacing w:line="276" w:lineRule="auto"/>
      </w:pPr>
      <w:r>
        <w:t xml:space="preserve">The </w:t>
      </w:r>
      <w:r w:rsidR="00A647E0">
        <w:t xml:space="preserve">longitudinal </w:t>
      </w:r>
      <w:r>
        <w:t xml:space="preserve">survey </w:t>
      </w:r>
      <w:r w:rsidR="005C76B3">
        <w:t>enable</w:t>
      </w:r>
      <w:r>
        <w:t xml:space="preserve">s </w:t>
      </w:r>
      <w:r w:rsidR="006A49A0" w:rsidRPr="00EA0B24">
        <w:t>NSF</w:t>
      </w:r>
      <w:r w:rsidR="005C76B3">
        <w:t xml:space="preserve"> program officers to longitudinally monitor outputs and outcomes given the unique goals and purpose of </w:t>
      </w:r>
      <w:r>
        <w:t>the I-Corps</w:t>
      </w:r>
      <w:r w:rsidR="005C76B3">
        <w:t xml:space="preserve"> program. </w:t>
      </w:r>
      <w:r>
        <w:t>This allows NSF to use</w:t>
      </w:r>
      <w:r w:rsidR="005C76B3">
        <w:t xml:space="preserve"> appropriate and accurate evidence-based management of the pr</w:t>
      </w:r>
      <w:r>
        <w:t xml:space="preserve">ogram and to determine </w:t>
      </w:r>
      <w:r w:rsidR="00A647E0">
        <w:t>whether</w:t>
      </w:r>
      <w:r w:rsidR="005C76B3">
        <w:t xml:space="preserve"> </w:t>
      </w:r>
      <w:r>
        <w:t>its</w:t>
      </w:r>
      <w:r w:rsidR="005C76B3">
        <w:t xml:space="preserve"> specific goals are being met. </w:t>
      </w:r>
    </w:p>
    <w:p w14:paraId="4022B887" w14:textId="77777777" w:rsidR="00F427AD" w:rsidRDefault="00F427AD" w:rsidP="005C76B3">
      <w:pPr>
        <w:autoSpaceDE w:val="0"/>
        <w:autoSpaceDN w:val="0"/>
        <w:adjustRightInd w:val="0"/>
        <w:spacing w:line="276" w:lineRule="auto"/>
      </w:pPr>
    </w:p>
    <w:p w14:paraId="0F0DE445" w14:textId="16D7A100" w:rsidR="00F427AD" w:rsidRDefault="00C42C48" w:rsidP="005C76B3">
      <w:pPr>
        <w:autoSpaceDE w:val="0"/>
        <w:autoSpaceDN w:val="0"/>
        <w:adjustRightInd w:val="0"/>
        <w:spacing w:line="276" w:lineRule="auto"/>
      </w:pPr>
      <w:r>
        <w:t>All</w:t>
      </w:r>
      <w:r w:rsidRPr="00F427AD">
        <w:t xml:space="preserve"> </w:t>
      </w:r>
      <w:r w:rsidR="00F427AD">
        <w:t xml:space="preserve">I-Corps participants </w:t>
      </w:r>
      <w:r w:rsidR="00F427AD" w:rsidRPr="00F427AD">
        <w:t>who complete</w:t>
      </w:r>
      <w:r w:rsidR="003D5833">
        <w:t>d</w:t>
      </w:r>
      <w:r w:rsidR="00F427AD" w:rsidRPr="00F427AD">
        <w:t xml:space="preserve"> the I-Corps </w:t>
      </w:r>
      <w:r w:rsidR="003D5833">
        <w:t>training</w:t>
      </w:r>
      <w:r w:rsidR="00F427AD">
        <w:t xml:space="preserve"> </w:t>
      </w:r>
      <w:r w:rsidR="003D5833">
        <w:t>are</w:t>
      </w:r>
      <w:r w:rsidR="00F427AD" w:rsidRPr="00F427AD">
        <w:t xml:space="preserve"> asked to compl</w:t>
      </w:r>
      <w:r w:rsidR="001E6CBC">
        <w:t>ete the longitudinal survey at T</w:t>
      </w:r>
      <w:r w:rsidR="00F427AD" w:rsidRPr="00F427AD">
        <w:t>ime 1 (approximately 1 year after completion</w:t>
      </w:r>
      <w:r w:rsidR="003D5833">
        <w:t xml:space="preserve"> of the training</w:t>
      </w:r>
      <w:r w:rsidR="00F427AD" w:rsidRPr="00F427AD">
        <w:t>) for which OMB has already provided clearance (</w:t>
      </w:r>
      <w:r w:rsidR="00260437" w:rsidRPr="00E05C94">
        <w:t xml:space="preserve">OMB Approval No. </w:t>
      </w:r>
      <w:r w:rsidR="00260437" w:rsidRPr="00EA0B24">
        <w:t>3145-0238)</w:t>
      </w:r>
      <w:r w:rsidR="003D5833" w:rsidRPr="00EA0B24">
        <w:t>.</w:t>
      </w:r>
      <w:r w:rsidR="006A49A0" w:rsidRPr="00EA0B24">
        <w:t xml:space="preserve"> </w:t>
      </w:r>
      <w:r w:rsidR="00D70D0E" w:rsidRPr="00EA0B24">
        <w:t xml:space="preserve"> </w:t>
      </w:r>
      <w:r w:rsidR="003D5833" w:rsidRPr="00EA0B24">
        <w:t>Since the</w:t>
      </w:r>
      <w:r w:rsidR="003D5833">
        <w:t xml:space="preserve"> </w:t>
      </w:r>
      <w:r w:rsidR="001E6CBC">
        <w:t>T</w:t>
      </w:r>
      <w:r w:rsidR="003D5833">
        <w:t>i</w:t>
      </w:r>
      <w:r w:rsidR="00FE62D3">
        <w:t xml:space="preserve">me 2 instrument now differs from that used in </w:t>
      </w:r>
      <w:r w:rsidR="001E6CBC">
        <w:t>T</w:t>
      </w:r>
      <w:r w:rsidR="00FE62D3">
        <w:t>ime 1</w:t>
      </w:r>
      <w:r w:rsidR="003D5833">
        <w:t xml:space="preserve">, it is </w:t>
      </w:r>
      <w:r w:rsidR="0066005A">
        <w:t xml:space="preserve">a partially new </w:t>
      </w:r>
      <w:r w:rsidR="003D5833">
        <w:t xml:space="preserve">ICR. Its purposes are the same as those for the </w:t>
      </w:r>
      <w:r w:rsidR="001E6CBC">
        <w:t>T</w:t>
      </w:r>
      <w:r w:rsidR="003D5833">
        <w:t>ime 1 longitudinal survey</w:t>
      </w:r>
      <w:r w:rsidR="00FE62D3">
        <w:t xml:space="preserve">: to monitor program outputs and outcomes, but </w:t>
      </w:r>
      <w:r w:rsidR="00FE62D3">
        <w:lastRenderedPageBreak/>
        <w:t xml:space="preserve">for an additional period of time, when further information regarding whether the goals of the program have been met is </w:t>
      </w:r>
      <w:r w:rsidR="00826EA5">
        <w:t>m</w:t>
      </w:r>
      <w:r w:rsidR="00FE62D3">
        <w:t xml:space="preserve">ore likely to be available. </w:t>
      </w:r>
    </w:p>
    <w:p w14:paraId="22FADAA6" w14:textId="77777777" w:rsidR="00A647E0" w:rsidRDefault="00A647E0" w:rsidP="005C76B3">
      <w:pPr>
        <w:autoSpaceDE w:val="0"/>
        <w:autoSpaceDN w:val="0"/>
        <w:adjustRightInd w:val="0"/>
        <w:spacing w:line="276" w:lineRule="auto"/>
      </w:pPr>
    </w:p>
    <w:p w14:paraId="0CA2D2E5" w14:textId="111F6E01" w:rsidR="00F427AD" w:rsidRDefault="005C76B3" w:rsidP="005C76B3">
      <w:pPr>
        <w:autoSpaceDE w:val="0"/>
        <w:autoSpaceDN w:val="0"/>
        <w:adjustRightInd w:val="0"/>
        <w:spacing w:line="276" w:lineRule="auto"/>
      </w:pPr>
      <w:r>
        <w:t>The one-time</w:t>
      </w:r>
      <w:r w:rsidR="00A647E0">
        <w:t xml:space="preserve"> survey of non-I-Corps PIs is a</w:t>
      </w:r>
      <w:r w:rsidR="00A647E0" w:rsidRPr="00457524">
        <w:t xml:space="preserve"> new data collection.</w:t>
      </w:r>
      <w:r w:rsidR="00A647E0">
        <w:t xml:space="preserve"> It uses</w:t>
      </w:r>
      <w:r>
        <w:t xml:space="preserve"> an adapted version of the time</w:t>
      </w:r>
      <w:r w:rsidR="001E6CBC">
        <w:t xml:space="preserve"> longitudinal outcomes survey (T</w:t>
      </w:r>
      <w:r>
        <w:t>ime 2)</w:t>
      </w:r>
      <w:r w:rsidR="00FE62D3">
        <w:t xml:space="preserve"> to enable a </w:t>
      </w:r>
      <w:r w:rsidR="007E7C57">
        <w:t>comparison</w:t>
      </w:r>
      <w:r w:rsidR="00FE62D3">
        <w:t xml:space="preserve"> between the </w:t>
      </w:r>
      <w:r w:rsidR="00826EA5">
        <w:t>outcomes of I-Corps participant</w:t>
      </w:r>
      <w:r w:rsidR="00FE62D3">
        <w:t>s and a comparable group of non-I-Corps participants pursuing commercialization without having received the I-Corps training.</w:t>
      </w:r>
      <w:r>
        <w:t xml:space="preserve"> Similarly, the in-depth interviews with select NSF I-Corps </w:t>
      </w:r>
      <w:r w:rsidR="007E7C57">
        <w:t>T</w:t>
      </w:r>
      <w:r>
        <w:t xml:space="preserve">eams participants and non-Corps PIs are a new data collection. </w:t>
      </w:r>
    </w:p>
    <w:p w14:paraId="5D8164B2" w14:textId="77777777" w:rsidR="00F427AD" w:rsidRDefault="00F427AD" w:rsidP="005C76B3">
      <w:pPr>
        <w:autoSpaceDE w:val="0"/>
        <w:autoSpaceDN w:val="0"/>
        <w:adjustRightInd w:val="0"/>
        <w:spacing w:line="276" w:lineRule="auto"/>
      </w:pPr>
    </w:p>
    <w:p w14:paraId="4800E1C5" w14:textId="1E82E286" w:rsidR="00260437" w:rsidRPr="00E05C94" w:rsidRDefault="00260437" w:rsidP="00260437">
      <w:pPr>
        <w:tabs>
          <w:tab w:val="left" w:pos="990"/>
        </w:tabs>
        <w:autoSpaceDE w:val="0"/>
        <w:autoSpaceDN w:val="0"/>
        <w:adjustRightInd w:val="0"/>
        <w:spacing w:line="276" w:lineRule="auto"/>
      </w:pPr>
      <w:r>
        <w:t>NSF will use t</w:t>
      </w:r>
      <w:r w:rsidRPr="00457524">
        <w:t xml:space="preserve">he results of the survey of non-I-Corps PIs and the in-depth interviews with I-Corps and comparable </w:t>
      </w:r>
      <w:r w:rsidRPr="00A1213B">
        <w:t xml:space="preserve">non-I-Corps teams </w:t>
      </w:r>
      <w:r w:rsidRPr="00E05C94">
        <w:t xml:space="preserve">to evaluate the outcomes and impact of the I-Corps Teams Program. </w:t>
      </w:r>
      <w:r w:rsidR="00502442">
        <w:t xml:space="preserve">This comparison </w:t>
      </w:r>
      <w:r w:rsidR="00F427AD">
        <w:t>relies on data from the l</w:t>
      </w:r>
      <w:r w:rsidR="00F427AD" w:rsidRPr="00F427AD">
        <w:t>ongitudinal survey</w:t>
      </w:r>
      <w:r w:rsidR="00502442">
        <w:t xml:space="preserve"> from both I-Corps </w:t>
      </w:r>
      <w:r w:rsidR="001E6CBC">
        <w:t>participants (T</w:t>
      </w:r>
      <w:r w:rsidR="007E7C57">
        <w:t xml:space="preserve">ime 2) </w:t>
      </w:r>
      <w:r w:rsidR="00502442">
        <w:t xml:space="preserve">and non-I-Corps participants. </w:t>
      </w:r>
      <w:r w:rsidR="007E7C57">
        <w:t>This will</w:t>
      </w:r>
      <w:r w:rsidRPr="00E05C94">
        <w:t xml:space="preserve"> </w:t>
      </w:r>
      <w:r w:rsidR="00E0213B">
        <w:t xml:space="preserve">address </w:t>
      </w:r>
      <w:r w:rsidRPr="00E05C94">
        <w:t xml:space="preserve">the research questions </w:t>
      </w:r>
      <w:r>
        <w:t xml:space="preserve">by </w:t>
      </w:r>
      <w:r w:rsidRPr="00E05C94">
        <w:t>enabling the researcher</w:t>
      </w:r>
      <w:r w:rsidR="00E0213B">
        <w:t>s</w:t>
      </w:r>
      <w:r w:rsidRPr="00E05C94">
        <w:t xml:space="preserve"> to compare various project outcome metrics between I-Corps and non-I-Corps PIs on their commercialization experience</w:t>
      </w:r>
      <w:r>
        <w:t>s</w:t>
      </w:r>
      <w:r w:rsidRPr="00E05C94">
        <w:t>, business networks.</w:t>
      </w:r>
    </w:p>
    <w:p w14:paraId="64E22BFD" w14:textId="77777777" w:rsidR="00502442" w:rsidRDefault="00502442" w:rsidP="005C76B3">
      <w:pPr>
        <w:autoSpaceDE w:val="0"/>
        <w:autoSpaceDN w:val="0"/>
        <w:adjustRightInd w:val="0"/>
        <w:spacing w:line="276" w:lineRule="auto"/>
      </w:pPr>
    </w:p>
    <w:p w14:paraId="53BE788D" w14:textId="77777777" w:rsidR="00A0024C" w:rsidRPr="00E05C94" w:rsidRDefault="00502442" w:rsidP="005C76B3">
      <w:pPr>
        <w:autoSpaceDE w:val="0"/>
        <w:autoSpaceDN w:val="0"/>
        <w:adjustRightInd w:val="0"/>
        <w:spacing w:line="276" w:lineRule="auto"/>
      </w:pPr>
      <w:r>
        <w:t xml:space="preserve">Additionally, the </w:t>
      </w:r>
      <w:r w:rsidR="00E0213B">
        <w:t xml:space="preserve">case study </w:t>
      </w:r>
      <w:r>
        <w:t xml:space="preserve">interviews will enable NSF to </w:t>
      </w:r>
      <w:r w:rsidR="00FE1115" w:rsidRPr="00E05C94">
        <w:t>assess</w:t>
      </w:r>
      <w:r w:rsidR="003E63C7" w:rsidRPr="00E05C94">
        <w:t xml:space="preserve"> whether the program has achieved its goals related to</w:t>
      </w:r>
      <w:r w:rsidR="00E0213B">
        <w:t xml:space="preserve"> the academic environment</w:t>
      </w:r>
      <w:r w:rsidR="00FE1115" w:rsidRPr="00E05C94">
        <w:t>:</w:t>
      </w:r>
    </w:p>
    <w:p w14:paraId="4D23ABCA" w14:textId="77777777" w:rsidR="00FE1115" w:rsidRPr="00E05C94" w:rsidRDefault="001A66FF" w:rsidP="00A71FC5">
      <w:pPr>
        <w:pStyle w:val="ListParagraph"/>
        <w:numPr>
          <w:ilvl w:val="0"/>
          <w:numId w:val="3"/>
        </w:numPr>
        <w:tabs>
          <w:tab w:val="left" w:pos="990"/>
        </w:tabs>
        <w:autoSpaceDE w:val="0"/>
        <w:autoSpaceDN w:val="0"/>
        <w:adjustRightInd w:val="0"/>
        <w:spacing w:line="276" w:lineRule="auto"/>
        <w:ind w:left="720"/>
      </w:pPr>
      <w:r w:rsidRPr="00E05C94">
        <w:t>Fostering a</w:t>
      </w:r>
      <w:r w:rsidR="00FE1115" w:rsidRPr="00E05C94">
        <w:t xml:space="preserve"> culture of innovation</w:t>
      </w:r>
      <w:r w:rsidR="003E63C7" w:rsidRPr="00E05C94">
        <w:t xml:space="preserve"> in academia</w:t>
      </w:r>
      <w:r w:rsidR="00FE1115" w:rsidRPr="00E05C94">
        <w:t>;</w:t>
      </w:r>
    </w:p>
    <w:p w14:paraId="6C8233CE" w14:textId="77777777" w:rsidR="001A66FF" w:rsidRPr="00E05C94" w:rsidRDefault="001A66FF" w:rsidP="00A71FC5">
      <w:pPr>
        <w:pStyle w:val="ListParagraph"/>
        <w:numPr>
          <w:ilvl w:val="0"/>
          <w:numId w:val="3"/>
        </w:numPr>
        <w:tabs>
          <w:tab w:val="left" w:pos="990"/>
        </w:tabs>
        <w:autoSpaceDE w:val="0"/>
        <w:autoSpaceDN w:val="0"/>
        <w:adjustRightInd w:val="0"/>
        <w:spacing w:line="276" w:lineRule="auto"/>
        <w:ind w:left="720"/>
      </w:pPr>
      <w:r w:rsidRPr="00E05C94">
        <w:t>Disseminating e</w:t>
      </w:r>
      <w:r w:rsidR="00FE1115" w:rsidRPr="00E05C94">
        <w:t>ntrepreneurial knowledge among academics;</w:t>
      </w:r>
    </w:p>
    <w:p w14:paraId="5A0A545B" w14:textId="77777777" w:rsidR="00FE1115" w:rsidRPr="00E05C94" w:rsidRDefault="001A66FF" w:rsidP="00A71FC5">
      <w:pPr>
        <w:pStyle w:val="ListParagraph"/>
        <w:numPr>
          <w:ilvl w:val="0"/>
          <w:numId w:val="3"/>
        </w:numPr>
        <w:tabs>
          <w:tab w:val="left" w:pos="990"/>
        </w:tabs>
        <w:autoSpaceDE w:val="0"/>
        <w:autoSpaceDN w:val="0"/>
        <w:adjustRightInd w:val="0"/>
        <w:spacing w:line="276" w:lineRule="auto"/>
        <w:ind w:left="720"/>
      </w:pPr>
      <w:r w:rsidRPr="00E05C94">
        <w:t>Producing c</w:t>
      </w:r>
      <w:r w:rsidR="00FE1115" w:rsidRPr="00E05C94">
        <w:t xml:space="preserve">ommercialization outcomes attributable to the I-Corps program intervention; and </w:t>
      </w:r>
    </w:p>
    <w:p w14:paraId="5952FDE6" w14:textId="77777777" w:rsidR="00921829" w:rsidRPr="00E05C94" w:rsidRDefault="00E0213B" w:rsidP="00A71FC5">
      <w:pPr>
        <w:pStyle w:val="ListParagraph"/>
        <w:numPr>
          <w:ilvl w:val="0"/>
          <w:numId w:val="3"/>
        </w:numPr>
        <w:tabs>
          <w:tab w:val="left" w:pos="990"/>
        </w:tabs>
        <w:autoSpaceDE w:val="0"/>
        <w:autoSpaceDN w:val="0"/>
        <w:adjustRightInd w:val="0"/>
        <w:spacing w:line="276" w:lineRule="auto"/>
        <w:ind w:left="720"/>
      </w:pPr>
      <w:r>
        <w:t>Identifying o</w:t>
      </w:r>
      <w:r w:rsidR="00FE1115" w:rsidRPr="00E05C94">
        <w:t>ther spillover effects of the program.</w:t>
      </w:r>
    </w:p>
    <w:p w14:paraId="5FE34E66" w14:textId="77777777" w:rsidR="00C35C9E" w:rsidRPr="00E05C94" w:rsidRDefault="00C35C9E" w:rsidP="00A71FC5">
      <w:pPr>
        <w:tabs>
          <w:tab w:val="left" w:pos="990"/>
        </w:tabs>
        <w:autoSpaceDE w:val="0"/>
        <w:autoSpaceDN w:val="0"/>
        <w:adjustRightInd w:val="0"/>
        <w:spacing w:line="276" w:lineRule="auto"/>
      </w:pPr>
    </w:p>
    <w:p w14:paraId="2E4383D6" w14:textId="77777777" w:rsidR="00921829" w:rsidRPr="00457524" w:rsidRDefault="00921829" w:rsidP="00457524">
      <w:pPr>
        <w:tabs>
          <w:tab w:val="right" w:pos="360"/>
          <w:tab w:val="left" w:pos="720"/>
        </w:tabs>
        <w:autoSpaceDE w:val="0"/>
        <w:autoSpaceDN w:val="0"/>
        <w:adjustRightInd w:val="0"/>
        <w:ind w:left="720" w:hanging="720"/>
        <w:rPr>
          <w:i/>
        </w:rPr>
      </w:pPr>
      <w:r w:rsidRPr="00E05C94">
        <w:rPr>
          <w:i/>
        </w:rPr>
        <w:tab/>
        <w:t>3.</w:t>
      </w:r>
      <w:r w:rsidRPr="00E05C94">
        <w:rPr>
          <w:i/>
        </w:rPr>
        <w:tab/>
      </w:r>
      <w:r w:rsidRPr="00650625">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24976" w:rsidRPr="00650625">
        <w:rPr>
          <w:i/>
        </w:rPr>
        <w:t xml:space="preserve"> </w:t>
      </w:r>
      <w:r w:rsidRPr="00650625">
        <w:rPr>
          <w:i/>
        </w:rPr>
        <w:t>Also describe any consideration of using information technology to reduce burden.</w:t>
      </w:r>
    </w:p>
    <w:p w14:paraId="6F2567FB" w14:textId="77777777" w:rsidR="00921829" w:rsidRPr="00457524" w:rsidRDefault="00921829" w:rsidP="00A71FC5">
      <w:pPr>
        <w:autoSpaceDE w:val="0"/>
        <w:autoSpaceDN w:val="0"/>
        <w:adjustRightInd w:val="0"/>
        <w:spacing w:line="276" w:lineRule="auto"/>
        <w:ind w:left="720"/>
      </w:pPr>
    </w:p>
    <w:p w14:paraId="0912EDB7" w14:textId="77777777" w:rsidR="00867FA1" w:rsidRPr="00E05C94" w:rsidRDefault="004A04CC" w:rsidP="00A71FC5">
      <w:pPr>
        <w:autoSpaceDE w:val="0"/>
        <w:autoSpaceDN w:val="0"/>
        <w:adjustRightInd w:val="0"/>
        <w:spacing w:line="276" w:lineRule="auto"/>
      </w:pPr>
      <w:r>
        <w:t xml:space="preserve">NSF </w:t>
      </w:r>
      <w:r w:rsidR="00697ED0">
        <w:t>will conduct t</w:t>
      </w:r>
      <w:r w:rsidR="00EE736A" w:rsidRPr="00457524">
        <w:t xml:space="preserve">he survey </w:t>
      </w:r>
      <w:r w:rsidR="00EE736A" w:rsidRPr="00A1213B">
        <w:t xml:space="preserve">using </w:t>
      </w:r>
      <w:r>
        <w:t xml:space="preserve">an online, </w:t>
      </w:r>
      <w:r w:rsidR="00EE736A" w:rsidRPr="00E05C94">
        <w:t>Internet</w:t>
      </w:r>
      <w:r>
        <w:t>-accessed</w:t>
      </w:r>
      <w:r w:rsidR="00EE736A" w:rsidRPr="00E05C94">
        <w:t xml:space="preserve"> survey software</w:t>
      </w:r>
      <w:r w:rsidR="00264734" w:rsidRPr="00E05C94">
        <w:t>.</w:t>
      </w:r>
      <w:r w:rsidR="00EE736A" w:rsidRPr="00E05C94">
        <w:t xml:space="preserve"> The Internet delivery system will allow respondents to take the survey at any time within the window of the data collection period. The online survey allows respondents to save responses and return to the survey later to finish, giving them convenience to choose the best time to complete the instrument. It also allows automated flow of the instrument based on skip patterns or questions dependent </w:t>
      </w:r>
      <w:r w:rsidR="00697ED0">
        <w:t>up</w:t>
      </w:r>
      <w:r w:rsidR="00EE736A" w:rsidRPr="00E05C94">
        <w:t xml:space="preserve">on responses to previous questions. </w:t>
      </w:r>
      <w:r w:rsidR="00867FA1" w:rsidRPr="00E05C94">
        <w:t>This is critical</w:t>
      </w:r>
      <w:r w:rsidR="00697ED0">
        <w:t>,</w:t>
      </w:r>
      <w:r w:rsidR="00867FA1" w:rsidRPr="00E05C94">
        <w:t xml:space="preserve"> as the screener </w:t>
      </w:r>
      <w:r w:rsidR="00697ED0">
        <w:t>can</w:t>
      </w:r>
      <w:r w:rsidR="00867FA1" w:rsidRPr="00E05C94">
        <w:t xml:space="preserve"> automatically assess whether the respondent should pro</w:t>
      </w:r>
      <w:r w:rsidR="00C73A7A" w:rsidRPr="00E05C94">
        <w:t xml:space="preserve">ceed to </w:t>
      </w:r>
      <w:r w:rsidR="007112AE" w:rsidRPr="00E05C94">
        <w:t xml:space="preserve">the second </w:t>
      </w:r>
      <w:r w:rsidR="00C73A7A" w:rsidRPr="00E05C94">
        <w:t>module of the survey</w:t>
      </w:r>
      <w:r w:rsidR="00697ED0">
        <w:t>, which will</w:t>
      </w:r>
      <w:r w:rsidR="00C73A7A" w:rsidRPr="00E05C94">
        <w:t xml:space="preserve"> avoid the </w:t>
      </w:r>
      <w:r w:rsidR="007112AE" w:rsidRPr="00E05C94">
        <w:t>confusion associated with</w:t>
      </w:r>
      <w:r w:rsidR="00C73A7A" w:rsidRPr="00E05C94">
        <w:t xml:space="preserve"> two separate surveys. </w:t>
      </w:r>
    </w:p>
    <w:p w14:paraId="36363DC1" w14:textId="77777777" w:rsidR="00EE736A" w:rsidRPr="00E05C94" w:rsidRDefault="00EE736A" w:rsidP="00A71FC5">
      <w:pPr>
        <w:autoSpaceDE w:val="0"/>
        <w:autoSpaceDN w:val="0"/>
        <w:adjustRightInd w:val="0"/>
        <w:spacing w:line="276" w:lineRule="auto"/>
      </w:pPr>
    </w:p>
    <w:p w14:paraId="59EBD866" w14:textId="3FF72B50" w:rsidR="00294CF1" w:rsidRPr="00E05C94" w:rsidRDefault="00EE736A" w:rsidP="00A71FC5">
      <w:pPr>
        <w:autoSpaceDE w:val="0"/>
        <w:autoSpaceDN w:val="0"/>
        <w:adjustRightInd w:val="0"/>
        <w:spacing w:line="276" w:lineRule="auto"/>
      </w:pPr>
      <w:r w:rsidRPr="00E05C94">
        <w:lastRenderedPageBreak/>
        <w:t xml:space="preserve">NSF will send an advance e-mail to all participants in the sample to inform them that they will be receiving the survey via e-mail from </w:t>
      </w:r>
      <w:r w:rsidR="005C1057" w:rsidRPr="00E05C94">
        <w:t>the evaluation team</w:t>
      </w:r>
      <w:r w:rsidR="00E05F81" w:rsidRPr="00E05C94">
        <w:t>. The e-mail will detail the purpose of the survey</w:t>
      </w:r>
      <w:r w:rsidRPr="00E05C94">
        <w:t xml:space="preserve"> and </w:t>
      </w:r>
      <w:r w:rsidR="007112AE" w:rsidRPr="00E05C94">
        <w:t xml:space="preserve">encourage </w:t>
      </w:r>
      <w:r w:rsidRPr="00E05C94">
        <w:t>participation. NSF will also send an e-mail midway through the data collection to remind participants to complete their surveys and thanking participants for their responses.</w:t>
      </w:r>
      <w:r w:rsidR="00024976" w:rsidRPr="00E05C94">
        <w:t xml:space="preserve"> </w:t>
      </w:r>
      <w:r w:rsidR="00294CF1" w:rsidRPr="00E05C94">
        <w:t xml:space="preserve">The evaluation team will use e-mail for all </w:t>
      </w:r>
      <w:r w:rsidR="00867FA1" w:rsidRPr="00E05C94">
        <w:t xml:space="preserve">invitations </w:t>
      </w:r>
      <w:r w:rsidR="00294CF1" w:rsidRPr="00E05C94">
        <w:t>to complete the survey</w:t>
      </w:r>
      <w:r w:rsidR="0019168E">
        <w:t xml:space="preserve">. We will email non-respondents weekly reminders for the duration of the data collection period. </w:t>
      </w:r>
      <w:r w:rsidR="00867FA1" w:rsidRPr="00E05C94">
        <w:t xml:space="preserve">Completion rates will be tracked in real time. </w:t>
      </w:r>
    </w:p>
    <w:p w14:paraId="47D99F3D" w14:textId="77777777" w:rsidR="00294CF1" w:rsidRPr="00E05C94" w:rsidRDefault="00294CF1" w:rsidP="00A71FC5">
      <w:pPr>
        <w:autoSpaceDE w:val="0"/>
        <w:autoSpaceDN w:val="0"/>
        <w:adjustRightInd w:val="0"/>
        <w:spacing w:line="276" w:lineRule="auto"/>
      </w:pPr>
    </w:p>
    <w:p w14:paraId="6687D064" w14:textId="24090AEB" w:rsidR="00EA0B24" w:rsidRDefault="00294CF1" w:rsidP="00A71FC5">
      <w:pPr>
        <w:autoSpaceDE w:val="0"/>
        <w:autoSpaceDN w:val="0"/>
        <w:adjustRightInd w:val="0"/>
        <w:spacing w:line="276" w:lineRule="auto"/>
      </w:pPr>
      <w:r w:rsidRPr="00E05C94">
        <w:t xml:space="preserve">Using e-mail for all communications keeps the burden on respondents to a minimum. Since all respondents have received NSF grants to support their research, and many will seek future support from NSF, their motivation to respond is high. Thus, we </w:t>
      </w:r>
      <w:r w:rsidR="00EA0B24">
        <w:t>strive to</w:t>
      </w:r>
      <w:r w:rsidR="00EE736A" w:rsidRPr="00E05C94">
        <w:t xml:space="preserve"> achieve response rates of </w:t>
      </w:r>
      <w:r w:rsidRPr="00E05C94">
        <w:t xml:space="preserve">at least </w:t>
      </w:r>
      <w:r w:rsidR="00EE736A" w:rsidRPr="00E05C94">
        <w:t>80</w:t>
      </w:r>
      <w:r w:rsidR="004A04CC">
        <w:t xml:space="preserve"> percent</w:t>
      </w:r>
      <w:r w:rsidR="004A04CC" w:rsidRPr="00E05C94">
        <w:t xml:space="preserve">. </w:t>
      </w:r>
      <w:r w:rsidR="00EA0B24" w:rsidRPr="00EA4998">
        <w:t xml:space="preserve">However, achieving such response rate level </w:t>
      </w:r>
      <w:r w:rsidR="00AF52FE" w:rsidRPr="00EA4998">
        <w:t>may not be possible</w:t>
      </w:r>
      <w:r w:rsidR="00EA0B24" w:rsidRPr="00EA4998">
        <w:t>. The Time 1 survey achieved an overall 66 percent response rate, across respondent groups, with a 94 percent team response rate (at least one response from one of the 3 I-Corps team member</w:t>
      </w:r>
      <w:r w:rsidR="009034F1" w:rsidRPr="00EA4998">
        <w:t>s</w:t>
      </w:r>
      <w:r w:rsidR="00EA0B24" w:rsidRPr="00EA4998">
        <w:t xml:space="preserve">). The Time 2 response rate is dependent on participation in and </w:t>
      </w:r>
      <w:r w:rsidR="009034F1" w:rsidRPr="00EA4998">
        <w:t>agreement to be contacted for Time 2 at</w:t>
      </w:r>
      <w:r w:rsidR="00EA0B24" w:rsidRPr="00EA4998">
        <w:t xml:space="preserve"> Time 1. We expect to have again a very high team response rate, and given previous survey participation and commitment, a response rate higher than at Time 1. If we do not reach the 80 percent </w:t>
      </w:r>
      <w:r w:rsidR="00BE0F11">
        <w:t xml:space="preserve">team </w:t>
      </w:r>
      <w:r w:rsidR="00EA0B24" w:rsidRPr="00EA4998">
        <w:t>response rate, we will conduct a non-response bias analysis to assess whether respondent and non-respondents have different characteristics in areas that may impact the study’s findings.</w:t>
      </w:r>
      <w:r w:rsidR="00EA0B24">
        <w:t xml:space="preserve">  </w:t>
      </w:r>
    </w:p>
    <w:p w14:paraId="6CD93955" w14:textId="77777777" w:rsidR="0003492B" w:rsidRPr="00E05C94" w:rsidRDefault="0003492B" w:rsidP="00A71FC5">
      <w:pPr>
        <w:autoSpaceDE w:val="0"/>
        <w:autoSpaceDN w:val="0"/>
        <w:adjustRightInd w:val="0"/>
        <w:spacing w:line="276" w:lineRule="auto"/>
      </w:pPr>
    </w:p>
    <w:p w14:paraId="647955D5" w14:textId="27E68D01" w:rsidR="0003492B" w:rsidRPr="00E05C94" w:rsidRDefault="00C24172" w:rsidP="00A71FC5">
      <w:pPr>
        <w:autoSpaceDE w:val="0"/>
        <w:autoSpaceDN w:val="0"/>
        <w:adjustRightInd w:val="0"/>
        <w:spacing w:line="276" w:lineRule="auto"/>
      </w:pPr>
      <w:r>
        <w:t>For the interviews with I-Corps and non-I-Corps PIs and their teams, t</w:t>
      </w:r>
      <w:r w:rsidR="0003492B" w:rsidRPr="00E05C94">
        <w:t>he</w:t>
      </w:r>
      <w:r w:rsidR="004A04CC">
        <w:t xml:space="preserve"> evaluation team will conduct</w:t>
      </w:r>
      <w:r w:rsidR="0003492B" w:rsidRPr="00E05C94">
        <w:t xml:space="preserve"> in-depth </w:t>
      </w:r>
      <w:r w:rsidRPr="00E05C94">
        <w:t>discussions</w:t>
      </w:r>
      <w:r w:rsidR="0003492B" w:rsidRPr="00E05C94">
        <w:t>, with participants’ consent</w:t>
      </w:r>
      <w:r w:rsidR="004A04CC">
        <w:t xml:space="preserve"> by telephone or in-person and record the interviews, and produce transcripts of the recordings. The team will use the transcripts for accurate recall and efficient con</w:t>
      </w:r>
      <w:r w:rsidR="00DB7387">
        <w:t>tent analysis of the interviews</w:t>
      </w:r>
      <w:r w:rsidR="0003492B" w:rsidRPr="00E05C94">
        <w:t xml:space="preserve">. </w:t>
      </w:r>
    </w:p>
    <w:p w14:paraId="1DDEC923" w14:textId="77777777" w:rsidR="00921829" w:rsidRPr="00E05C94" w:rsidRDefault="00921829" w:rsidP="00A71FC5">
      <w:pPr>
        <w:autoSpaceDE w:val="0"/>
        <w:autoSpaceDN w:val="0"/>
        <w:adjustRightInd w:val="0"/>
        <w:spacing w:line="276" w:lineRule="auto"/>
      </w:pPr>
    </w:p>
    <w:p w14:paraId="06D707C1" w14:textId="77777777" w:rsidR="00921829" w:rsidRPr="00457524" w:rsidRDefault="00921829" w:rsidP="00457524">
      <w:pPr>
        <w:tabs>
          <w:tab w:val="right" w:pos="360"/>
          <w:tab w:val="left" w:pos="720"/>
        </w:tabs>
        <w:autoSpaceDE w:val="0"/>
        <w:autoSpaceDN w:val="0"/>
        <w:adjustRightInd w:val="0"/>
        <w:ind w:left="720" w:hanging="720"/>
        <w:rPr>
          <w:i/>
        </w:rPr>
      </w:pPr>
      <w:r w:rsidRPr="00E05C94">
        <w:rPr>
          <w:i/>
        </w:rPr>
        <w:tab/>
        <w:t>4.</w:t>
      </w:r>
      <w:r w:rsidRPr="00E05C94">
        <w:rPr>
          <w:i/>
        </w:rPr>
        <w:tab/>
      </w:r>
      <w:r w:rsidRPr="005F00EC">
        <w:rPr>
          <w:i/>
        </w:rPr>
        <w:t>Describe efforts to identify duplication.</w:t>
      </w:r>
      <w:r w:rsidR="00024976" w:rsidRPr="005F00EC">
        <w:rPr>
          <w:i/>
        </w:rPr>
        <w:t xml:space="preserve"> </w:t>
      </w:r>
      <w:r w:rsidRPr="005F00EC">
        <w:rPr>
          <w:i/>
        </w:rPr>
        <w:t>Show specifically why any similar information already available cannot be used or modified for use for the purposes described in Item 2 above.</w:t>
      </w:r>
    </w:p>
    <w:p w14:paraId="025127E5" w14:textId="77777777" w:rsidR="00873CC5" w:rsidRPr="00457524" w:rsidRDefault="00873CC5" w:rsidP="00A71FC5">
      <w:pPr>
        <w:tabs>
          <w:tab w:val="right" w:pos="360"/>
          <w:tab w:val="left" w:pos="720"/>
        </w:tabs>
        <w:autoSpaceDE w:val="0"/>
        <w:autoSpaceDN w:val="0"/>
        <w:adjustRightInd w:val="0"/>
        <w:spacing w:line="276" w:lineRule="auto"/>
        <w:ind w:left="720" w:hanging="720"/>
      </w:pPr>
    </w:p>
    <w:p w14:paraId="7E74392E" w14:textId="77777777" w:rsidR="00921829" w:rsidRPr="00A1213B" w:rsidRDefault="006D44B6" w:rsidP="00A71FC5">
      <w:pPr>
        <w:tabs>
          <w:tab w:val="left" w:pos="360"/>
          <w:tab w:val="left" w:pos="450"/>
        </w:tabs>
        <w:autoSpaceDE w:val="0"/>
        <w:autoSpaceDN w:val="0"/>
        <w:adjustRightInd w:val="0"/>
        <w:spacing w:line="276" w:lineRule="auto"/>
      </w:pPr>
      <w:r>
        <w:t>NSF has</w:t>
      </w:r>
      <w:r w:rsidR="00D571F9">
        <w:t xml:space="preserve"> made e</w:t>
      </w:r>
      <w:r w:rsidR="00873CC5" w:rsidRPr="00457524">
        <w:t xml:space="preserve">very effort to identify duplication. NSF conducted a feasibility study of the I-Corps Teams </w:t>
      </w:r>
      <w:r w:rsidR="00E05C94">
        <w:t>P</w:t>
      </w:r>
      <w:r w:rsidR="00873CC5" w:rsidRPr="00457524">
        <w:t>rogram</w:t>
      </w:r>
      <w:r w:rsidR="00697ED0" w:rsidRPr="00697ED0">
        <w:t xml:space="preserve"> </w:t>
      </w:r>
      <w:r w:rsidR="00697ED0">
        <w:t>i</w:t>
      </w:r>
      <w:r w:rsidR="00697ED0" w:rsidRPr="00457524">
        <w:t>n 2012</w:t>
      </w:r>
      <w:r w:rsidR="00697ED0">
        <w:t>–</w:t>
      </w:r>
      <w:r w:rsidR="00697ED0" w:rsidRPr="00457524">
        <w:t>2014</w:t>
      </w:r>
      <w:r w:rsidR="00873CC5" w:rsidRPr="00457524">
        <w:t xml:space="preserve">. The feasibility study </w:t>
      </w:r>
      <w:r>
        <w:t xml:space="preserve">found that no extant </w:t>
      </w:r>
      <w:r w:rsidR="00873CC5" w:rsidRPr="00457524">
        <w:t xml:space="preserve">data sources </w:t>
      </w:r>
      <w:r>
        <w:t>could or would inform outcome assessments or evaluation of the</w:t>
      </w:r>
      <w:r w:rsidR="00873CC5" w:rsidRPr="00457524">
        <w:t xml:space="preserve"> I-Corps Teams </w:t>
      </w:r>
      <w:r w:rsidR="00E05C94">
        <w:t>P</w:t>
      </w:r>
      <w:r w:rsidR="00873CC5" w:rsidRPr="00457524">
        <w:t>rogram.</w:t>
      </w:r>
      <w:r>
        <w:t xml:space="preserve"> </w:t>
      </w:r>
    </w:p>
    <w:p w14:paraId="4BC2945F" w14:textId="77777777" w:rsidR="00873CC5" w:rsidRPr="00E05C94" w:rsidRDefault="00873CC5" w:rsidP="00A71FC5">
      <w:pPr>
        <w:tabs>
          <w:tab w:val="left" w:pos="360"/>
          <w:tab w:val="left" w:pos="450"/>
        </w:tabs>
        <w:autoSpaceDE w:val="0"/>
        <w:autoSpaceDN w:val="0"/>
        <w:adjustRightInd w:val="0"/>
        <w:spacing w:line="276" w:lineRule="auto"/>
      </w:pPr>
    </w:p>
    <w:p w14:paraId="02C2D842" w14:textId="67BB822C" w:rsidR="00873CC5" w:rsidRPr="00E05C94" w:rsidRDefault="00873CC5" w:rsidP="00A71FC5">
      <w:pPr>
        <w:tabs>
          <w:tab w:val="left" w:pos="360"/>
          <w:tab w:val="left" w:pos="450"/>
        </w:tabs>
        <w:autoSpaceDE w:val="0"/>
        <w:autoSpaceDN w:val="0"/>
        <w:adjustRightInd w:val="0"/>
        <w:spacing w:line="276" w:lineRule="auto"/>
      </w:pPr>
      <w:r w:rsidRPr="00E05C94">
        <w:t>The I-Corps Teams evaluation review</w:t>
      </w:r>
      <w:r w:rsidR="00593027">
        <w:t>ed</w:t>
      </w:r>
      <w:r w:rsidRPr="00E05C94">
        <w:t xml:space="preserve"> and </w:t>
      </w:r>
      <w:r w:rsidR="00593027">
        <w:t xml:space="preserve">will </w:t>
      </w:r>
      <w:r w:rsidRPr="00E05C94">
        <w:t>analyze extant administrative data on I-Corps teams</w:t>
      </w:r>
      <w:r w:rsidR="006D44B6">
        <w:t xml:space="preserve"> to contribute to the </w:t>
      </w:r>
      <w:r w:rsidR="00C0393C">
        <w:t>evaluation</w:t>
      </w:r>
      <w:r w:rsidRPr="00E05C94">
        <w:t xml:space="preserve">. </w:t>
      </w:r>
      <w:r w:rsidR="00593027">
        <w:t xml:space="preserve">The survey instrument has revised questions on government funding </w:t>
      </w:r>
      <w:r w:rsidR="003B40C8">
        <w:t xml:space="preserve">(e.g., SBIR funding) </w:t>
      </w:r>
      <w:r w:rsidR="00593027">
        <w:t xml:space="preserve">to reduce </w:t>
      </w:r>
      <w:r w:rsidR="007513F9">
        <w:t xml:space="preserve">the </w:t>
      </w:r>
      <w:r w:rsidR="00593027">
        <w:t xml:space="preserve">burden on respondents. Such information is publicly available using Federal agencies’ databases. </w:t>
      </w:r>
      <w:r w:rsidRPr="00E05C94">
        <w:t xml:space="preserve">In addition, </w:t>
      </w:r>
      <w:r w:rsidR="006D44B6">
        <w:t>the team</w:t>
      </w:r>
      <w:r w:rsidR="006D44B6" w:rsidRPr="00E05C94">
        <w:t xml:space="preserve"> </w:t>
      </w:r>
      <w:r w:rsidRPr="00E05C94">
        <w:t xml:space="preserve">will </w:t>
      </w:r>
      <w:r w:rsidR="006D44B6">
        <w:t>use</w:t>
      </w:r>
      <w:r w:rsidR="006D44B6" w:rsidRPr="00E05C94">
        <w:t xml:space="preserve"> </w:t>
      </w:r>
      <w:r w:rsidRPr="00E05C94">
        <w:t>data already collected by the training provider</w:t>
      </w:r>
      <w:r w:rsidR="00933CAB" w:rsidRPr="00E05C94">
        <w:t xml:space="preserve"> on I-Corps PIs</w:t>
      </w:r>
      <w:r w:rsidRPr="00E05C94">
        <w:t xml:space="preserve"> to answer some of the research questions</w:t>
      </w:r>
      <w:r w:rsidR="00933CAB" w:rsidRPr="00E05C94">
        <w:t xml:space="preserve">. </w:t>
      </w:r>
      <w:r w:rsidRPr="00E05C94">
        <w:t xml:space="preserve">The data currently collected on I-Corps PIs includes a pre-and a post-course survey, </w:t>
      </w:r>
      <w:r w:rsidR="00933CAB" w:rsidRPr="00E05C94">
        <w:t xml:space="preserve">administered immediately </w:t>
      </w:r>
      <w:r w:rsidRPr="00E05C94">
        <w:t xml:space="preserve">before and after the I-Corps intensive workshop training. It also </w:t>
      </w:r>
      <w:r w:rsidRPr="00E05C94">
        <w:lastRenderedPageBreak/>
        <w:t>include</w:t>
      </w:r>
      <w:r w:rsidR="00185C86">
        <w:t>s</w:t>
      </w:r>
      <w:r w:rsidRPr="00E05C94">
        <w:t xml:space="preserve"> the longitudinal survey of I-Corps PIs that tracks team progress </w:t>
      </w:r>
      <w:r w:rsidR="00933CAB" w:rsidRPr="00E05C94">
        <w:t>annually</w:t>
      </w:r>
      <w:r w:rsidR="00CF41B1">
        <w:t>, the instrument for which this ICR seeks to modify</w:t>
      </w:r>
      <w:r w:rsidRPr="00E05C94">
        <w:t xml:space="preserve">. </w:t>
      </w:r>
      <w:r w:rsidR="001A66FF" w:rsidRPr="00E05C94">
        <w:t xml:space="preserve">As a result, </w:t>
      </w:r>
      <w:r w:rsidR="00CF41B1">
        <w:t xml:space="preserve">the </w:t>
      </w:r>
      <w:r w:rsidR="001A66FF" w:rsidRPr="00E05C94">
        <w:t xml:space="preserve">only </w:t>
      </w:r>
      <w:r w:rsidR="00CF41B1">
        <w:t xml:space="preserve">new data collection refers to the one-time survey of </w:t>
      </w:r>
      <w:r w:rsidR="001A66FF" w:rsidRPr="00E05C94">
        <w:t xml:space="preserve">non-I-Corps PIs </w:t>
      </w:r>
      <w:r w:rsidR="00CF41B1">
        <w:t>and the in-depth interviews.</w:t>
      </w:r>
    </w:p>
    <w:p w14:paraId="07EF03FE" w14:textId="77777777" w:rsidR="00873CC5" w:rsidRPr="00E05C94" w:rsidRDefault="00873CC5" w:rsidP="00A71FC5">
      <w:pPr>
        <w:tabs>
          <w:tab w:val="left" w:pos="360"/>
          <w:tab w:val="left" w:pos="450"/>
        </w:tabs>
        <w:autoSpaceDE w:val="0"/>
        <w:autoSpaceDN w:val="0"/>
        <w:adjustRightInd w:val="0"/>
        <w:spacing w:line="276" w:lineRule="auto"/>
      </w:pPr>
    </w:p>
    <w:p w14:paraId="7778DA99" w14:textId="77777777" w:rsidR="00873CC5" w:rsidRPr="00E05C94" w:rsidRDefault="00873CC5" w:rsidP="00A71FC5">
      <w:pPr>
        <w:tabs>
          <w:tab w:val="left" w:pos="360"/>
          <w:tab w:val="left" w:pos="450"/>
        </w:tabs>
        <w:autoSpaceDE w:val="0"/>
        <w:autoSpaceDN w:val="0"/>
        <w:adjustRightInd w:val="0"/>
        <w:spacing w:line="276" w:lineRule="auto"/>
      </w:pPr>
      <w:r w:rsidRPr="00E05C94">
        <w:t>An assessment of the commercialization experience</w:t>
      </w:r>
      <w:r w:rsidR="00185C86">
        <w:t>s</w:t>
      </w:r>
      <w:r w:rsidRPr="00E05C94">
        <w:t xml:space="preserve">, business networks, and academic environment nurtured by the I-Corps Teams </w:t>
      </w:r>
      <w:r w:rsidR="00E05C94">
        <w:t>P</w:t>
      </w:r>
      <w:r w:rsidRPr="00E05C94">
        <w:t xml:space="preserve">rogram and comparable non-I-Corps projects cannot rely on existing data. For this reason, the evaluation is seeking approval for the case study of I-Corps and comparable non-I-Corps project teams. </w:t>
      </w:r>
    </w:p>
    <w:p w14:paraId="726720AC" w14:textId="77777777" w:rsidR="00921829" w:rsidRPr="00E05C94" w:rsidRDefault="00921829" w:rsidP="00A71FC5">
      <w:pPr>
        <w:autoSpaceDE w:val="0"/>
        <w:autoSpaceDN w:val="0"/>
        <w:adjustRightInd w:val="0"/>
        <w:spacing w:line="276" w:lineRule="auto"/>
      </w:pPr>
    </w:p>
    <w:p w14:paraId="795D5633" w14:textId="77777777" w:rsidR="00921829" w:rsidRPr="00457524" w:rsidRDefault="00921829" w:rsidP="00457524">
      <w:pPr>
        <w:tabs>
          <w:tab w:val="right" w:pos="360"/>
        </w:tabs>
        <w:autoSpaceDE w:val="0"/>
        <w:autoSpaceDN w:val="0"/>
        <w:adjustRightInd w:val="0"/>
        <w:ind w:left="720" w:hanging="720"/>
        <w:rPr>
          <w:i/>
        </w:rPr>
      </w:pPr>
      <w:r w:rsidRPr="00E05C94">
        <w:rPr>
          <w:i/>
        </w:rPr>
        <w:tab/>
      </w:r>
      <w:r w:rsidRPr="00A71FC5">
        <w:rPr>
          <w:i/>
        </w:rPr>
        <w:t>5.</w:t>
      </w:r>
      <w:r w:rsidRPr="00A71FC5">
        <w:rPr>
          <w:i/>
        </w:rPr>
        <w:tab/>
      </w:r>
      <w:r w:rsidRPr="005F00EC">
        <w:rPr>
          <w:i/>
        </w:rPr>
        <w:t>If the collection of information impacts small businesses or other small entities, describe any methods used to minimize burden.</w:t>
      </w:r>
    </w:p>
    <w:p w14:paraId="0CC0DC24" w14:textId="77777777" w:rsidR="008F7258" w:rsidRPr="00457524" w:rsidRDefault="008F7258" w:rsidP="00A71FC5">
      <w:pPr>
        <w:tabs>
          <w:tab w:val="right" w:pos="360"/>
        </w:tabs>
        <w:autoSpaceDE w:val="0"/>
        <w:autoSpaceDN w:val="0"/>
        <w:adjustRightInd w:val="0"/>
        <w:spacing w:line="276" w:lineRule="auto"/>
        <w:ind w:left="720" w:hanging="720"/>
        <w:rPr>
          <w:i/>
        </w:rPr>
      </w:pPr>
    </w:p>
    <w:p w14:paraId="5DC9FD0F" w14:textId="284BEAB5" w:rsidR="009F7E94" w:rsidRPr="00E05C94" w:rsidRDefault="00933CAB" w:rsidP="00A71FC5">
      <w:pPr>
        <w:autoSpaceDE w:val="0"/>
        <w:autoSpaceDN w:val="0"/>
        <w:adjustRightInd w:val="0"/>
        <w:spacing w:line="276" w:lineRule="auto"/>
      </w:pPr>
      <w:r w:rsidRPr="00457524">
        <w:t>Some of the non-I-Corps PIs</w:t>
      </w:r>
      <w:r w:rsidR="00BC6D1C">
        <w:t xml:space="preserve"> and I-Corps </w:t>
      </w:r>
      <w:r w:rsidR="00C0393C">
        <w:t>T</w:t>
      </w:r>
      <w:r w:rsidR="00BC6D1C">
        <w:t>eams participants</w:t>
      </w:r>
      <w:r w:rsidRPr="00457524">
        <w:t xml:space="preserve"> surveyed </w:t>
      </w:r>
      <w:r w:rsidR="00F90D57" w:rsidRPr="00457524">
        <w:t xml:space="preserve">and included in the in-depth interviews </w:t>
      </w:r>
      <w:r w:rsidRPr="00A1213B">
        <w:t>may have established sma</w:t>
      </w:r>
      <w:r w:rsidRPr="00E05C94">
        <w:t>ll businesses</w:t>
      </w:r>
      <w:r w:rsidR="00F90D57" w:rsidRPr="00E05C94">
        <w:t xml:space="preserve"> in addition to continuing their academic research. </w:t>
      </w:r>
      <w:r w:rsidR="00395E0A">
        <w:t>About</w:t>
      </w:r>
      <w:r w:rsidR="00E71EC8">
        <w:t xml:space="preserve"> 40 percent</w:t>
      </w:r>
      <w:r w:rsidR="00DB7387" w:rsidRPr="00E71EC8">
        <w:t xml:space="preserve"> of NSF I-Corps teams and 100% of NIH I-Corps teams </w:t>
      </w:r>
      <w:r w:rsidR="00395E0A" w:rsidRPr="00D6186D">
        <w:t>have established businesses</w:t>
      </w:r>
      <w:r w:rsidR="00395E0A" w:rsidRPr="00395E0A">
        <w:t xml:space="preserve"> </w:t>
      </w:r>
      <w:r w:rsidR="00DB7387" w:rsidRPr="00E71EC8">
        <w:t>and</w:t>
      </w:r>
      <w:r w:rsidR="00DB7387" w:rsidRPr="00395E0A">
        <w:t xml:space="preserve"> b</w:t>
      </w:r>
      <w:r w:rsidR="00BC6D1C" w:rsidRPr="00395E0A">
        <w:t>ecause</w:t>
      </w:r>
      <w:r w:rsidR="00BC6D1C">
        <w:t xml:space="preserve"> one of the outcomes of the I-Corps supports is precisely the creation of businesses, to fully monitor and evaluate program performance it is necessary to survey small businesses.</w:t>
      </w:r>
    </w:p>
    <w:p w14:paraId="28FE1A31" w14:textId="77777777" w:rsidR="009F7E94" w:rsidRPr="00E05C94" w:rsidRDefault="009F7E94" w:rsidP="00A71FC5">
      <w:pPr>
        <w:autoSpaceDE w:val="0"/>
        <w:autoSpaceDN w:val="0"/>
        <w:adjustRightInd w:val="0"/>
        <w:spacing w:line="276" w:lineRule="auto"/>
        <w:ind w:left="720"/>
      </w:pPr>
    </w:p>
    <w:p w14:paraId="373F994D" w14:textId="77777777" w:rsidR="00921829" w:rsidRPr="00457524" w:rsidRDefault="00921829" w:rsidP="00457524">
      <w:pPr>
        <w:tabs>
          <w:tab w:val="right" w:pos="360"/>
          <w:tab w:val="left" w:pos="720"/>
        </w:tabs>
        <w:autoSpaceDE w:val="0"/>
        <w:autoSpaceDN w:val="0"/>
        <w:adjustRightInd w:val="0"/>
        <w:ind w:left="720" w:hanging="720"/>
        <w:rPr>
          <w:i/>
        </w:rPr>
      </w:pPr>
      <w:r w:rsidRPr="00E05C94">
        <w:rPr>
          <w:i/>
        </w:rPr>
        <w:tab/>
        <w:t xml:space="preserve">6. </w:t>
      </w:r>
      <w:r w:rsidRPr="00E05C94">
        <w:rPr>
          <w:i/>
        </w:rPr>
        <w:tab/>
      </w:r>
      <w:r w:rsidRPr="005F00EC">
        <w:rPr>
          <w:i/>
        </w:rPr>
        <w:t>Describe the consequence to Federal program or policy activities if the collection is not conducted or is conducted less frequently, as well as any technical or legal obstacles to reducing burden.</w:t>
      </w:r>
    </w:p>
    <w:p w14:paraId="1DE8EE19" w14:textId="77777777" w:rsidR="00921829" w:rsidRPr="00457524" w:rsidRDefault="00921829" w:rsidP="00A71FC5">
      <w:pPr>
        <w:tabs>
          <w:tab w:val="left" w:pos="720"/>
        </w:tabs>
        <w:autoSpaceDE w:val="0"/>
        <w:autoSpaceDN w:val="0"/>
        <w:adjustRightInd w:val="0"/>
        <w:spacing w:line="276" w:lineRule="auto"/>
        <w:ind w:left="720" w:hanging="720"/>
        <w:rPr>
          <w:i/>
        </w:rPr>
      </w:pPr>
    </w:p>
    <w:p w14:paraId="0C0307BB" w14:textId="77777777" w:rsidR="00C73A7A" w:rsidRPr="00E05C94" w:rsidRDefault="00C73A7A" w:rsidP="00A71FC5">
      <w:pPr>
        <w:autoSpaceDE w:val="0"/>
        <w:autoSpaceDN w:val="0"/>
        <w:adjustRightInd w:val="0"/>
        <w:spacing w:line="276" w:lineRule="auto"/>
      </w:pPr>
      <w:r w:rsidRPr="00457524">
        <w:t xml:space="preserve">The data collection efforts proposed in this ICR will affect most respondents only once. Ten </w:t>
      </w:r>
      <w:r w:rsidR="006608B9">
        <w:t xml:space="preserve">I-Corps and 10 </w:t>
      </w:r>
      <w:r w:rsidRPr="00457524">
        <w:t xml:space="preserve">non-I-Corps comparable PIs could receive the survey and be selected to take part on the case study. Each </w:t>
      </w:r>
      <w:r w:rsidR="001A66FF" w:rsidRPr="00A1213B">
        <w:t xml:space="preserve">the two types of </w:t>
      </w:r>
      <w:r w:rsidRPr="00E05C94">
        <w:t xml:space="preserve">data collection will occur only once. </w:t>
      </w:r>
    </w:p>
    <w:p w14:paraId="6B4C51D2" w14:textId="77777777" w:rsidR="00C73A7A" w:rsidRPr="00E05C94" w:rsidRDefault="00C73A7A" w:rsidP="00A71FC5">
      <w:pPr>
        <w:autoSpaceDE w:val="0"/>
        <w:autoSpaceDN w:val="0"/>
        <w:adjustRightInd w:val="0"/>
        <w:spacing w:line="276" w:lineRule="auto"/>
      </w:pPr>
    </w:p>
    <w:p w14:paraId="69EBCAAA" w14:textId="1483C28A" w:rsidR="00C73A7A" w:rsidRPr="00E05C94" w:rsidRDefault="00C73A7A" w:rsidP="00A71FC5">
      <w:pPr>
        <w:autoSpaceDE w:val="0"/>
        <w:autoSpaceDN w:val="0"/>
        <w:adjustRightInd w:val="0"/>
        <w:spacing w:line="276" w:lineRule="auto"/>
      </w:pPr>
      <w:r w:rsidRPr="00E05C94">
        <w:t xml:space="preserve">Without </w:t>
      </w:r>
      <w:r w:rsidR="00944043" w:rsidRPr="00E05C94">
        <w:t>the data collection</w:t>
      </w:r>
      <w:r w:rsidRPr="00E05C94">
        <w:t xml:space="preserve">, NSF will not be able to assess whether the I-Corps Teams </w:t>
      </w:r>
      <w:r w:rsidR="00E05C94">
        <w:t>P</w:t>
      </w:r>
      <w:r w:rsidR="00944043" w:rsidRPr="00E05C94">
        <w:t xml:space="preserve">rogram achieved it goals in promoting entrepreneurship and innovation among academics and successful research translation into commercial products. NSF would not have a clear understanding of program outcomes and impact. It would not be able to determine the effectiveness of the I-Corps Teams Program. </w:t>
      </w:r>
      <w:r w:rsidR="00312887" w:rsidRPr="00222918">
        <w:t>Each data collection will occur only once, except for the longitudinal survey, which is administered twice to gather information on changes in outcomes over time.</w:t>
      </w:r>
      <w:r w:rsidR="00312887">
        <w:t xml:space="preserve"> </w:t>
      </w:r>
      <w:r w:rsidR="00593027">
        <w:t xml:space="preserve">The I-Corps Teams program logic model estimate short-, medium and long-term outcomes (see Appendix </w:t>
      </w:r>
      <w:r w:rsidR="003B5FF4">
        <w:t>F</w:t>
      </w:r>
      <w:r w:rsidR="00593027">
        <w:t xml:space="preserve">). These outcomes are not expected to unfold until well after each grantee award expires. This creates the need for the longitudinal data collection. </w:t>
      </w:r>
      <w:r w:rsidR="00312887">
        <w:t>A one-time administration of the longitudinal survey, previously approved by OMB and already administered to most I-Corps Teams, would fail to capture sufficient data to assess program outcomes.</w:t>
      </w:r>
    </w:p>
    <w:p w14:paraId="15CAD2D2" w14:textId="77777777" w:rsidR="00C73A7A" w:rsidRPr="00E05C94" w:rsidRDefault="00C73A7A" w:rsidP="00A71FC5">
      <w:pPr>
        <w:autoSpaceDE w:val="0"/>
        <w:autoSpaceDN w:val="0"/>
        <w:adjustRightInd w:val="0"/>
        <w:spacing w:line="276" w:lineRule="auto"/>
      </w:pPr>
    </w:p>
    <w:p w14:paraId="21068DD2" w14:textId="77777777" w:rsidR="00921829" w:rsidRPr="00C0393C" w:rsidRDefault="00921829" w:rsidP="00457524">
      <w:pPr>
        <w:tabs>
          <w:tab w:val="right" w:pos="360"/>
          <w:tab w:val="left" w:pos="720"/>
        </w:tabs>
        <w:autoSpaceDE w:val="0"/>
        <w:autoSpaceDN w:val="0"/>
        <w:adjustRightInd w:val="0"/>
        <w:ind w:left="720" w:hanging="720"/>
        <w:rPr>
          <w:i/>
        </w:rPr>
      </w:pPr>
      <w:r w:rsidRPr="00E05C94">
        <w:rPr>
          <w:i/>
        </w:rPr>
        <w:tab/>
        <w:t>7.</w:t>
      </w:r>
      <w:r w:rsidRPr="00A71FC5">
        <w:rPr>
          <w:i/>
        </w:rPr>
        <w:tab/>
      </w:r>
      <w:r w:rsidRPr="005F00EC">
        <w:rPr>
          <w:i/>
        </w:rPr>
        <w:t>Explain any special circumstances that would cause an information collection to be conducted in a manner:</w:t>
      </w:r>
      <w:r w:rsidRPr="00C0393C">
        <w:rPr>
          <w:i/>
        </w:rPr>
        <w:t xml:space="preserve"> </w:t>
      </w:r>
    </w:p>
    <w:p w14:paraId="137B685D" w14:textId="77777777" w:rsidR="00921829" w:rsidRPr="00C0393C" w:rsidRDefault="00921829" w:rsidP="00457524">
      <w:pPr>
        <w:tabs>
          <w:tab w:val="left" w:pos="1080"/>
        </w:tabs>
        <w:autoSpaceDE w:val="0"/>
        <w:autoSpaceDN w:val="0"/>
        <w:adjustRightInd w:val="0"/>
        <w:ind w:left="720" w:hanging="720"/>
        <w:rPr>
          <w:i/>
        </w:rPr>
      </w:pPr>
      <w:r w:rsidRPr="00C0393C">
        <w:rPr>
          <w:i/>
        </w:rPr>
        <w:lastRenderedPageBreak/>
        <w:tab/>
      </w:r>
      <w:r w:rsidRPr="005F00EC">
        <w:rPr>
          <w:i/>
        </w:rPr>
        <w:t>*</w:t>
      </w:r>
      <w:r w:rsidRPr="005F00EC">
        <w:rPr>
          <w:i/>
        </w:rPr>
        <w:tab/>
        <w:t>requiring respondents to report information to the agency more often than quarterly;</w:t>
      </w:r>
      <w:r w:rsidRPr="00C0393C">
        <w:rPr>
          <w:i/>
        </w:rPr>
        <w:t xml:space="preserve"> </w:t>
      </w:r>
    </w:p>
    <w:p w14:paraId="005F7EAC" w14:textId="77777777" w:rsidR="00921829" w:rsidRPr="00C0393C" w:rsidRDefault="00921829" w:rsidP="00457524">
      <w:pPr>
        <w:tabs>
          <w:tab w:val="left" w:pos="720"/>
          <w:tab w:val="left" w:pos="1080"/>
        </w:tabs>
        <w:autoSpaceDE w:val="0"/>
        <w:autoSpaceDN w:val="0"/>
        <w:adjustRightInd w:val="0"/>
        <w:ind w:left="1080" w:hanging="1080"/>
        <w:rPr>
          <w:i/>
        </w:rPr>
      </w:pPr>
      <w:r w:rsidRPr="00C0393C">
        <w:rPr>
          <w:i/>
        </w:rPr>
        <w:tab/>
      </w:r>
      <w:r w:rsidRPr="005F00EC">
        <w:rPr>
          <w:i/>
        </w:rPr>
        <w:t>*</w:t>
      </w:r>
      <w:r w:rsidRPr="005F00EC">
        <w:rPr>
          <w:i/>
        </w:rPr>
        <w:tab/>
        <w:t>requiring respondents to prepare a written response to a collection of information in fewer than 30 days after receipt of it;</w:t>
      </w:r>
    </w:p>
    <w:p w14:paraId="6A8B3984" w14:textId="77777777" w:rsidR="00921829" w:rsidRPr="00C0393C" w:rsidRDefault="00921829" w:rsidP="00457524">
      <w:pPr>
        <w:tabs>
          <w:tab w:val="left" w:pos="720"/>
          <w:tab w:val="left" w:pos="1080"/>
        </w:tabs>
        <w:autoSpaceDE w:val="0"/>
        <w:autoSpaceDN w:val="0"/>
        <w:adjustRightInd w:val="0"/>
        <w:ind w:left="1080" w:hanging="1080"/>
        <w:rPr>
          <w:i/>
        </w:rPr>
      </w:pPr>
      <w:r w:rsidRPr="00C0393C">
        <w:rPr>
          <w:i/>
        </w:rPr>
        <w:tab/>
      </w:r>
      <w:r w:rsidRPr="005F00EC">
        <w:rPr>
          <w:i/>
        </w:rPr>
        <w:t>*</w:t>
      </w:r>
      <w:r w:rsidRPr="005F00EC">
        <w:rPr>
          <w:i/>
        </w:rPr>
        <w:tab/>
        <w:t>requiring respondents to submit more than an original and two copies of any document;</w:t>
      </w:r>
    </w:p>
    <w:p w14:paraId="7A2A5D29" w14:textId="77777777" w:rsidR="00921829" w:rsidRPr="00C0393C" w:rsidRDefault="00921829" w:rsidP="00A1213B">
      <w:pPr>
        <w:tabs>
          <w:tab w:val="left" w:pos="720"/>
          <w:tab w:val="left" w:pos="1080"/>
        </w:tabs>
        <w:autoSpaceDE w:val="0"/>
        <w:autoSpaceDN w:val="0"/>
        <w:adjustRightInd w:val="0"/>
        <w:ind w:left="1080" w:hanging="1080"/>
        <w:rPr>
          <w:i/>
        </w:rPr>
      </w:pPr>
      <w:r w:rsidRPr="00C0393C">
        <w:rPr>
          <w:i/>
        </w:rPr>
        <w:tab/>
      </w:r>
      <w:r w:rsidRPr="005F00EC">
        <w:rPr>
          <w:i/>
        </w:rPr>
        <w:t>*</w:t>
      </w:r>
      <w:r w:rsidRPr="005F00EC">
        <w:rPr>
          <w:i/>
        </w:rPr>
        <w:tab/>
        <w:t>requiring respondents to retain records, other than health, medical, government contract, grant-in-aid, or tax records, for more than three years;</w:t>
      </w:r>
      <w:r w:rsidRPr="00C0393C">
        <w:rPr>
          <w:i/>
        </w:rPr>
        <w:t xml:space="preserve"> </w:t>
      </w:r>
    </w:p>
    <w:p w14:paraId="4644DED0" w14:textId="77777777" w:rsidR="00921829" w:rsidRPr="00C0393C" w:rsidRDefault="00921829" w:rsidP="00E05C94">
      <w:pPr>
        <w:tabs>
          <w:tab w:val="left" w:pos="720"/>
          <w:tab w:val="left" w:pos="1080"/>
        </w:tabs>
        <w:autoSpaceDE w:val="0"/>
        <w:autoSpaceDN w:val="0"/>
        <w:adjustRightInd w:val="0"/>
        <w:ind w:left="1080" w:hanging="1080"/>
        <w:rPr>
          <w:i/>
        </w:rPr>
      </w:pPr>
      <w:r w:rsidRPr="00C0393C">
        <w:rPr>
          <w:i/>
        </w:rPr>
        <w:tab/>
        <w:t>*</w:t>
      </w:r>
      <w:r w:rsidRPr="005F00EC">
        <w:rPr>
          <w:i/>
        </w:rPr>
        <w:tab/>
        <w:t>in connection with a statistical survey, that is not designed to produce valid and reliable results that can be generalized to the universe of study;</w:t>
      </w:r>
      <w:r w:rsidRPr="00C0393C">
        <w:rPr>
          <w:i/>
        </w:rPr>
        <w:t xml:space="preserve"> </w:t>
      </w:r>
    </w:p>
    <w:p w14:paraId="5B24A136" w14:textId="77777777" w:rsidR="00921829" w:rsidRPr="00C0393C" w:rsidRDefault="00921829" w:rsidP="00E05C94">
      <w:pPr>
        <w:tabs>
          <w:tab w:val="left" w:pos="720"/>
          <w:tab w:val="left" w:pos="1080"/>
        </w:tabs>
        <w:autoSpaceDE w:val="0"/>
        <w:autoSpaceDN w:val="0"/>
        <w:adjustRightInd w:val="0"/>
        <w:ind w:left="1080" w:hanging="1080"/>
        <w:rPr>
          <w:i/>
        </w:rPr>
      </w:pPr>
      <w:r w:rsidRPr="00C0393C">
        <w:rPr>
          <w:i/>
        </w:rPr>
        <w:tab/>
      </w:r>
      <w:r w:rsidRPr="005F00EC">
        <w:rPr>
          <w:i/>
        </w:rPr>
        <w:t>*</w:t>
      </w:r>
      <w:r w:rsidRPr="005F00EC">
        <w:rPr>
          <w:i/>
        </w:rPr>
        <w:tab/>
        <w:t>requiring the use of a statistical data classification that has not been reviewed and approved by OMB;</w:t>
      </w:r>
    </w:p>
    <w:p w14:paraId="274971AE" w14:textId="77777777" w:rsidR="00921829" w:rsidRPr="00C0393C" w:rsidRDefault="00921829" w:rsidP="00E05C94">
      <w:pPr>
        <w:tabs>
          <w:tab w:val="left" w:pos="720"/>
          <w:tab w:val="left" w:pos="1080"/>
        </w:tabs>
        <w:autoSpaceDE w:val="0"/>
        <w:autoSpaceDN w:val="0"/>
        <w:adjustRightInd w:val="0"/>
        <w:ind w:left="1080" w:hanging="1080"/>
        <w:rPr>
          <w:i/>
        </w:rPr>
      </w:pPr>
      <w:r w:rsidRPr="00C0393C">
        <w:rPr>
          <w:i/>
        </w:rPr>
        <w:tab/>
      </w:r>
      <w:r w:rsidRPr="005F00EC">
        <w:rPr>
          <w:i/>
        </w:rPr>
        <w:t>*</w:t>
      </w:r>
      <w:r w:rsidRPr="005F00EC">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79AEA9D" w14:textId="77777777" w:rsidR="00921829" w:rsidRPr="00A71FC5" w:rsidRDefault="00921829" w:rsidP="00E05C94">
      <w:pPr>
        <w:tabs>
          <w:tab w:val="left" w:pos="720"/>
          <w:tab w:val="left" w:pos="1080"/>
        </w:tabs>
        <w:autoSpaceDE w:val="0"/>
        <w:autoSpaceDN w:val="0"/>
        <w:adjustRightInd w:val="0"/>
        <w:ind w:left="1080" w:hanging="1080"/>
        <w:rPr>
          <w:i/>
        </w:rPr>
      </w:pPr>
      <w:r w:rsidRPr="00C0393C">
        <w:rPr>
          <w:i/>
        </w:rPr>
        <w:tab/>
      </w:r>
      <w:r w:rsidRPr="005F00EC">
        <w:rPr>
          <w:i/>
        </w:rPr>
        <w:t>*</w:t>
      </w:r>
      <w:r w:rsidRPr="005F00EC">
        <w:rPr>
          <w:i/>
        </w:rPr>
        <w:tab/>
        <w:t>requiring respondents to submit proprietary trade secrets, or other confidential information unless the agency can demonstrate that it has instituted procedures to protect the information's confidentiality to the extent permitted by law.</w:t>
      </w:r>
    </w:p>
    <w:p w14:paraId="1D27710A" w14:textId="77777777" w:rsidR="00921829" w:rsidRPr="00457524" w:rsidRDefault="00921829" w:rsidP="00A71FC5">
      <w:pPr>
        <w:autoSpaceDE w:val="0"/>
        <w:autoSpaceDN w:val="0"/>
        <w:adjustRightInd w:val="0"/>
        <w:spacing w:line="276" w:lineRule="auto"/>
        <w:ind w:left="720"/>
      </w:pPr>
    </w:p>
    <w:p w14:paraId="0D28449C" w14:textId="77777777" w:rsidR="00921829" w:rsidRPr="00A1213B" w:rsidRDefault="00921829" w:rsidP="00A71FC5">
      <w:pPr>
        <w:autoSpaceDE w:val="0"/>
        <w:autoSpaceDN w:val="0"/>
        <w:adjustRightInd w:val="0"/>
        <w:spacing w:line="276" w:lineRule="auto"/>
      </w:pPr>
      <w:r w:rsidRPr="00457524">
        <w:t>None of the above special circumstances apply.</w:t>
      </w:r>
      <w:r w:rsidR="00DC0356">
        <w:t xml:space="preserve"> While some questions ask respondents about patents, licenses, and revenues in </w:t>
      </w:r>
      <w:r w:rsidR="005F00EC">
        <w:t>an</w:t>
      </w:r>
      <w:r w:rsidR="00DC0356">
        <w:t xml:space="preserve"> overall sense, they do not request details. Furthermore, none of these responses are required.</w:t>
      </w:r>
    </w:p>
    <w:p w14:paraId="5CDCBC15" w14:textId="77777777" w:rsidR="00921829" w:rsidRPr="00E05C94" w:rsidRDefault="00921829" w:rsidP="00A71FC5">
      <w:pPr>
        <w:autoSpaceDE w:val="0"/>
        <w:autoSpaceDN w:val="0"/>
        <w:adjustRightInd w:val="0"/>
        <w:spacing w:line="276" w:lineRule="auto"/>
        <w:ind w:left="720"/>
      </w:pPr>
    </w:p>
    <w:p w14:paraId="1B28604D" w14:textId="77777777" w:rsidR="00921829" w:rsidRPr="00C0393C" w:rsidRDefault="00012507" w:rsidP="00A71FC5">
      <w:pPr>
        <w:tabs>
          <w:tab w:val="left" w:pos="360"/>
        </w:tabs>
        <w:ind w:left="720" w:hanging="720"/>
        <w:rPr>
          <w:i/>
        </w:rPr>
      </w:pPr>
      <w:r>
        <w:rPr>
          <w:i/>
        </w:rPr>
        <w:t xml:space="preserve">   </w:t>
      </w:r>
      <w:r w:rsidR="00921829" w:rsidRPr="00457524">
        <w:rPr>
          <w:i/>
        </w:rPr>
        <w:t>8.</w:t>
      </w:r>
      <w:r w:rsidR="00921829" w:rsidRPr="00457524">
        <w:rPr>
          <w:i/>
        </w:rPr>
        <w:tab/>
      </w:r>
      <w:r w:rsidR="00921829" w:rsidRPr="005F00EC">
        <w:rPr>
          <w:i/>
        </w:rPr>
        <w:t>If applicable, provide a copy and identify the date and page number of publication in the Federal Register of the agency's notice, required by 5 CFR 1320.8(d), soliciting comments on the information collection prior to submission to OMB.</w:t>
      </w:r>
      <w:r w:rsidR="00024976" w:rsidRPr="005F00EC">
        <w:rPr>
          <w:i/>
        </w:rPr>
        <w:t xml:space="preserve"> </w:t>
      </w:r>
      <w:r w:rsidR="00921829" w:rsidRPr="005F00EC">
        <w:rPr>
          <w:i/>
        </w:rPr>
        <w:t>Summarize public comments received in response to that notice and describe actions taken by the agency in response to these comments.</w:t>
      </w:r>
      <w:r w:rsidR="00024976" w:rsidRPr="005F00EC">
        <w:rPr>
          <w:i/>
        </w:rPr>
        <w:t xml:space="preserve"> </w:t>
      </w:r>
      <w:r w:rsidR="00921829" w:rsidRPr="005F00EC">
        <w:rPr>
          <w:i/>
        </w:rPr>
        <w:t>Specifically address comments received on cost and hour burden.</w:t>
      </w:r>
      <w:r w:rsidR="00921829" w:rsidRPr="00C0393C">
        <w:rPr>
          <w:i/>
        </w:rPr>
        <w:t xml:space="preserve"> </w:t>
      </w:r>
    </w:p>
    <w:p w14:paraId="7703284F" w14:textId="77777777" w:rsidR="00921829" w:rsidRPr="00C0393C" w:rsidRDefault="00921829" w:rsidP="00A71FC5">
      <w:pPr>
        <w:rPr>
          <w:i/>
        </w:rPr>
      </w:pPr>
    </w:p>
    <w:p w14:paraId="4F2E63B2" w14:textId="77777777" w:rsidR="00921829" w:rsidRPr="00457524" w:rsidRDefault="00921829" w:rsidP="00A71FC5">
      <w:pPr>
        <w:ind w:left="720"/>
        <w:rPr>
          <w:i/>
        </w:rPr>
      </w:pPr>
      <w:r w:rsidRPr="005F00EC">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024976" w:rsidRPr="005F00EC">
        <w:rPr>
          <w:i/>
        </w:rPr>
        <w:t xml:space="preserve"> </w:t>
      </w:r>
      <w:r w:rsidRPr="005F00EC">
        <w:rPr>
          <w:i/>
        </w:rPr>
        <w:t>Consultation with representatives of those from whom information is to be obtained or those who must compile records should occur at least once every 3 years - even if the collection of information activity is the same as in prior periods.</w:t>
      </w:r>
      <w:r w:rsidR="00024976" w:rsidRPr="005F00EC">
        <w:rPr>
          <w:i/>
        </w:rPr>
        <w:t xml:space="preserve"> </w:t>
      </w:r>
      <w:r w:rsidRPr="005F00EC">
        <w:rPr>
          <w:i/>
        </w:rPr>
        <w:t>There may be circumstances that may preclude consultation in a specific situation.</w:t>
      </w:r>
      <w:r w:rsidR="00024976" w:rsidRPr="005F00EC">
        <w:rPr>
          <w:i/>
        </w:rPr>
        <w:t xml:space="preserve"> </w:t>
      </w:r>
      <w:r w:rsidRPr="005F00EC">
        <w:rPr>
          <w:i/>
        </w:rPr>
        <w:t>These circumstances should be explained.</w:t>
      </w:r>
    </w:p>
    <w:p w14:paraId="41B38D63" w14:textId="77777777" w:rsidR="00921829" w:rsidRPr="00457524" w:rsidRDefault="00921829" w:rsidP="00A71FC5">
      <w:pPr>
        <w:autoSpaceDE w:val="0"/>
        <w:autoSpaceDN w:val="0"/>
        <w:adjustRightInd w:val="0"/>
        <w:spacing w:line="276" w:lineRule="auto"/>
        <w:ind w:left="720"/>
      </w:pPr>
    </w:p>
    <w:p w14:paraId="2043F41F" w14:textId="0C4250EA" w:rsidR="00921829" w:rsidRPr="00E05C94" w:rsidRDefault="00921829" w:rsidP="00A71FC5">
      <w:pPr>
        <w:autoSpaceDE w:val="0"/>
        <w:autoSpaceDN w:val="0"/>
        <w:adjustRightInd w:val="0"/>
        <w:spacing w:line="276" w:lineRule="auto"/>
      </w:pPr>
      <w:r w:rsidRPr="00E91250">
        <w:t xml:space="preserve">The 60-day notice to solicit public comments was published </w:t>
      </w:r>
      <w:r w:rsidR="00185C86" w:rsidRPr="00E91250">
        <w:t>i</w:t>
      </w:r>
      <w:r w:rsidRPr="00E91250">
        <w:t xml:space="preserve">n the </w:t>
      </w:r>
      <w:r w:rsidRPr="00E91250">
        <w:rPr>
          <w:i/>
        </w:rPr>
        <w:t>Federal Register</w:t>
      </w:r>
      <w:r w:rsidRPr="00E91250">
        <w:t xml:space="preserve"> on </w:t>
      </w:r>
      <w:r w:rsidR="008C59D6">
        <w:t>December 4, 2015</w:t>
      </w:r>
      <w:r w:rsidR="007B444C">
        <w:t xml:space="preserve">. </w:t>
      </w:r>
      <w:r w:rsidR="00B941F6">
        <w:t xml:space="preserve">It was revised and republished on December </w:t>
      </w:r>
      <w:r w:rsidR="00BB0698">
        <w:t>22,</w:t>
      </w:r>
      <w:r w:rsidR="00B941F6">
        <w:t xml:space="preserve"> 2016 due to unforeseen delays in project as well as changes in the burden estimates</w:t>
      </w:r>
      <w:r w:rsidR="00E91250" w:rsidRPr="00E91250">
        <w:t xml:space="preserve">. </w:t>
      </w:r>
      <w:r w:rsidR="00F90D57" w:rsidRPr="00E91250">
        <w:t>No consultation occurred with persons outside NSF, who are unlikely to be familiar with NSF grantees.</w:t>
      </w:r>
      <w:r w:rsidR="00F90D57" w:rsidRPr="00E05C94">
        <w:t xml:space="preserve"> </w:t>
      </w:r>
      <w:r w:rsidR="00E91250">
        <w:t xml:space="preserve">A copy of </w:t>
      </w:r>
      <w:r w:rsidR="00B941F6">
        <w:t>each</w:t>
      </w:r>
      <w:r w:rsidR="00E91250">
        <w:t xml:space="preserve"> notice </w:t>
      </w:r>
      <w:r w:rsidR="003B5FF4">
        <w:t>and the or</w:t>
      </w:r>
      <w:r w:rsidR="001E6CBC">
        <w:t>iginal notice that cleared the T</w:t>
      </w:r>
      <w:r w:rsidR="003B5FF4">
        <w:t>ime 2 longitudinal survey</w:t>
      </w:r>
      <w:r w:rsidR="003B5FF4" w:rsidRPr="003B5FF4">
        <w:t xml:space="preserve"> </w:t>
      </w:r>
      <w:r w:rsidR="003B5FF4">
        <w:t>appear in Appendix G.</w:t>
      </w:r>
      <w:r w:rsidR="00A314EE">
        <w:t xml:space="preserve"> No comments were received. </w:t>
      </w:r>
    </w:p>
    <w:p w14:paraId="69F904FA" w14:textId="77777777" w:rsidR="00921829" w:rsidRPr="00E05C94" w:rsidRDefault="00921829" w:rsidP="00A71FC5">
      <w:pPr>
        <w:autoSpaceDE w:val="0"/>
        <w:autoSpaceDN w:val="0"/>
        <w:adjustRightInd w:val="0"/>
        <w:spacing w:line="276" w:lineRule="auto"/>
        <w:ind w:left="720"/>
      </w:pPr>
    </w:p>
    <w:p w14:paraId="1140E21C" w14:textId="77777777" w:rsidR="00921829" w:rsidRPr="00457524" w:rsidRDefault="00921829" w:rsidP="00457524">
      <w:pPr>
        <w:tabs>
          <w:tab w:val="right" w:pos="360"/>
          <w:tab w:val="left" w:pos="720"/>
        </w:tabs>
        <w:autoSpaceDE w:val="0"/>
        <w:autoSpaceDN w:val="0"/>
        <w:adjustRightInd w:val="0"/>
        <w:ind w:left="720" w:hanging="720"/>
        <w:rPr>
          <w:i/>
        </w:rPr>
      </w:pPr>
      <w:r w:rsidRPr="00E05C94">
        <w:rPr>
          <w:i/>
        </w:rPr>
        <w:tab/>
        <w:t>9.</w:t>
      </w:r>
      <w:r w:rsidRPr="00E05C94">
        <w:rPr>
          <w:i/>
        </w:rPr>
        <w:tab/>
      </w:r>
      <w:r w:rsidRPr="005F00EC">
        <w:rPr>
          <w:i/>
        </w:rPr>
        <w:t>Explain any decision to provide any payment or gift to respondents, other than remuneration of contractors or grantees.</w:t>
      </w:r>
    </w:p>
    <w:p w14:paraId="012F063F" w14:textId="77777777" w:rsidR="00921829" w:rsidRPr="00457524" w:rsidRDefault="00921829" w:rsidP="00A71FC5">
      <w:pPr>
        <w:autoSpaceDE w:val="0"/>
        <w:autoSpaceDN w:val="0"/>
        <w:adjustRightInd w:val="0"/>
        <w:spacing w:line="276" w:lineRule="auto"/>
      </w:pPr>
    </w:p>
    <w:p w14:paraId="040F499A" w14:textId="77777777" w:rsidR="00921829" w:rsidRPr="00E05C94" w:rsidRDefault="005B3A6F" w:rsidP="00A71FC5">
      <w:pPr>
        <w:autoSpaceDE w:val="0"/>
        <w:autoSpaceDN w:val="0"/>
        <w:adjustRightInd w:val="0"/>
        <w:spacing w:line="276" w:lineRule="auto"/>
      </w:pPr>
      <w:r w:rsidRPr="00457524">
        <w:t xml:space="preserve">No </w:t>
      </w:r>
      <w:r w:rsidR="00AC3B21" w:rsidRPr="00457524">
        <w:t xml:space="preserve">payments, gifts, or </w:t>
      </w:r>
      <w:r w:rsidRPr="00A1213B">
        <w:t xml:space="preserve">incentives will be </w:t>
      </w:r>
      <w:r w:rsidR="00AC3B21" w:rsidRPr="00E05C94">
        <w:t xml:space="preserve">provided </w:t>
      </w:r>
      <w:r w:rsidRPr="00E05C94">
        <w:t>in this data collection.</w:t>
      </w:r>
    </w:p>
    <w:p w14:paraId="59873A97" w14:textId="77777777" w:rsidR="00921829" w:rsidRPr="00E05C94" w:rsidRDefault="00921829" w:rsidP="00A71FC5">
      <w:pPr>
        <w:autoSpaceDE w:val="0"/>
        <w:autoSpaceDN w:val="0"/>
        <w:adjustRightInd w:val="0"/>
        <w:spacing w:line="276" w:lineRule="auto"/>
      </w:pPr>
    </w:p>
    <w:p w14:paraId="33DF872F" w14:textId="77777777" w:rsidR="00921829" w:rsidRPr="00457524" w:rsidRDefault="00921829" w:rsidP="00457524">
      <w:pPr>
        <w:tabs>
          <w:tab w:val="right" w:pos="360"/>
          <w:tab w:val="left" w:pos="720"/>
        </w:tabs>
        <w:autoSpaceDE w:val="0"/>
        <w:autoSpaceDN w:val="0"/>
        <w:adjustRightInd w:val="0"/>
        <w:ind w:left="720" w:hanging="720"/>
        <w:rPr>
          <w:i/>
        </w:rPr>
      </w:pPr>
      <w:r w:rsidRPr="00E05C94">
        <w:rPr>
          <w:i/>
        </w:rPr>
        <w:tab/>
        <w:t>10.</w:t>
      </w:r>
      <w:r w:rsidRPr="00E05C94">
        <w:rPr>
          <w:i/>
        </w:rPr>
        <w:tab/>
      </w:r>
      <w:r w:rsidRPr="005F00EC">
        <w:rPr>
          <w:i/>
        </w:rPr>
        <w:t>Describe any assurance of confidentiality provided to respondents and the basis for the assurance in statute, regulation, or agency po</w:t>
      </w:r>
      <w:r w:rsidRPr="00F31410">
        <w:rPr>
          <w:i/>
        </w:rPr>
        <w:t>licy</w:t>
      </w:r>
      <w:r w:rsidRPr="00BE4B24">
        <w:rPr>
          <w:i/>
        </w:rPr>
        <w:t>.</w:t>
      </w:r>
    </w:p>
    <w:p w14:paraId="2151E5E0" w14:textId="77777777" w:rsidR="00921829" w:rsidRPr="00457524" w:rsidRDefault="00921829" w:rsidP="00803394">
      <w:pPr>
        <w:autoSpaceDE w:val="0"/>
        <w:autoSpaceDN w:val="0"/>
        <w:adjustRightInd w:val="0"/>
        <w:spacing w:line="276" w:lineRule="auto"/>
      </w:pPr>
    </w:p>
    <w:p w14:paraId="7C21BFFF" w14:textId="5B94BE8A" w:rsidR="00A64D85" w:rsidRDefault="00A64D85" w:rsidP="00803394">
      <w:pPr>
        <w:spacing w:line="276" w:lineRule="auto"/>
        <w:contextualSpacing/>
      </w:pPr>
      <w:r w:rsidRPr="00E05C94">
        <w:t xml:space="preserve">Responses to this data collection are voluntary. </w:t>
      </w:r>
      <w:r w:rsidR="00474EE1">
        <w:t>We will ensure that r</w:t>
      </w:r>
      <w:r w:rsidRPr="00E05C94">
        <w:t xml:space="preserve">espondents </w:t>
      </w:r>
      <w:r w:rsidR="00474EE1">
        <w:t>are</w:t>
      </w:r>
      <w:r w:rsidRPr="00E05C94">
        <w:t xml:space="preserve"> fully informed about the purpose of this study and neither the names of respondents nor their affiliations will be included in any reports. </w:t>
      </w:r>
      <w:r w:rsidR="00474EE1">
        <w:t>We will maintain c</w:t>
      </w:r>
      <w:r w:rsidRPr="00E05C94">
        <w:t xml:space="preserve">ompleted surveys and interview transcripts in a password-protected database. </w:t>
      </w:r>
      <w:r w:rsidR="00474EE1">
        <w:t>We will ensure that c</w:t>
      </w:r>
      <w:r w:rsidRPr="00E05C94">
        <w:t xml:space="preserve">omments made through the survey and interviews will not be attributed to specific individuals in the report or any other publications resulting from this project. </w:t>
      </w:r>
    </w:p>
    <w:p w14:paraId="34A3F5D9" w14:textId="77777777" w:rsidR="005264A1" w:rsidRDefault="005264A1" w:rsidP="005264A1">
      <w:pPr>
        <w:spacing w:line="276" w:lineRule="auto"/>
        <w:rPr>
          <w:highlight w:val="yellow"/>
        </w:rPr>
      </w:pPr>
    </w:p>
    <w:p w14:paraId="637A835C" w14:textId="45D061DE" w:rsidR="005264A1" w:rsidRDefault="005264A1" w:rsidP="005264A1">
      <w:pPr>
        <w:spacing w:line="276" w:lineRule="auto"/>
      </w:pPr>
      <w:r w:rsidRPr="005264A1">
        <w:t xml:space="preserve">As we conduct the in-depth interviews with PIs and their teams, we will ask if they are willing to have their experience highlighted in the </w:t>
      </w:r>
      <w:r>
        <w:t xml:space="preserve">evaluation </w:t>
      </w:r>
      <w:r w:rsidRPr="005264A1">
        <w:t>report. With their informed consent, we may disclose their affiliation or describe their product/technology.</w:t>
      </w:r>
      <w:r>
        <w:t xml:space="preserve"> </w:t>
      </w:r>
    </w:p>
    <w:p w14:paraId="35CF974B" w14:textId="77777777" w:rsidR="00A64D85" w:rsidRPr="00E05C94" w:rsidRDefault="00A64D85" w:rsidP="00803394">
      <w:pPr>
        <w:spacing w:line="276" w:lineRule="auto"/>
        <w:contextualSpacing/>
      </w:pPr>
    </w:p>
    <w:p w14:paraId="77EBE33F" w14:textId="77777777" w:rsidR="00A64D85" w:rsidRPr="00E05C94" w:rsidRDefault="00A64D85" w:rsidP="00803394">
      <w:pPr>
        <w:spacing w:line="276" w:lineRule="auto"/>
        <w:contextualSpacing/>
      </w:pPr>
      <w:r w:rsidRPr="00E05C94">
        <w:t>All researchers working with the data will take the following precautions to ensure the privacy of all data collected:</w:t>
      </w:r>
    </w:p>
    <w:p w14:paraId="2F79E146" w14:textId="77777777" w:rsidR="00A64D85" w:rsidRPr="00E05C94" w:rsidRDefault="00A64D85" w:rsidP="00803394">
      <w:pPr>
        <w:pStyle w:val="ListParagraph"/>
        <w:numPr>
          <w:ilvl w:val="0"/>
          <w:numId w:val="1"/>
        </w:numPr>
        <w:spacing w:line="276" w:lineRule="auto"/>
      </w:pPr>
      <w:r w:rsidRPr="00E05C94">
        <w:t>All staff on the project will be instructed in the privacy requirements of the study and will sign statements affirming their obligation to maintain privacy;</w:t>
      </w:r>
    </w:p>
    <w:p w14:paraId="71C3F7CB" w14:textId="77777777" w:rsidR="00A64D85" w:rsidRPr="00E05C94" w:rsidRDefault="00A64D85" w:rsidP="00803394">
      <w:pPr>
        <w:pStyle w:val="ListParagraph"/>
        <w:numPr>
          <w:ilvl w:val="0"/>
          <w:numId w:val="1"/>
        </w:numPr>
        <w:spacing w:line="276" w:lineRule="auto"/>
      </w:pPr>
      <w:r w:rsidRPr="00E05C94">
        <w:t xml:space="preserve">Data files for analysis will contain no personal identifiers for program participants; </w:t>
      </w:r>
    </w:p>
    <w:p w14:paraId="06061DE3" w14:textId="77777777" w:rsidR="00A64D85" w:rsidRPr="00E05C94" w:rsidRDefault="00A64D85" w:rsidP="00803394">
      <w:pPr>
        <w:pStyle w:val="ListParagraph"/>
        <w:numPr>
          <w:ilvl w:val="0"/>
          <w:numId w:val="1"/>
        </w:numPr>
        <w:spacing w:line="276" w:lineRule="auto"/>
      </w:pPr>
      <w:r w:rsidRPr="00E05C94">
        <w:t>Analysis and publication of study findings for the participant survey will be in terms of aggregated statistics only; and</w:t>
      </w:r>
    </w:p>
    <w:p w14:paraId="33B539C0" w14:textId="229739AB" w:rsidR="00A64D85" w:rsidRPr="00E71EC8" w:rsidRDefault="00A64D85" w:rsidP="00803394">
      <w:pPr>
        <w:pStyle w:val="ListParagraph"/>
        <w:numPr>
          <w:ilvl w:val="0"/>
          <w:numId w:val="1"/>
        </w:numPr>
        <w:autoSpaceDE w:val="0"/>
        <w:autoSpaceDN w:val="0"/>
        <w:adjustRightInd w:val="0"/>
        <w:spacing w:line="276" w:lineRule="auto"/>
      </w:pPr>
      <w:r w:rsidRPr="00E05C94">
        <w:rPr>
          <w:shd w:val="clear" w:color="auto" w:fill="FFFFFF"/>
        </w:rPr>
        <w:t xml:space="preserve">Any quotations from responses to </w:t>
      </w:r>
      <w:r w:rsidR="00F94533" w:rsidRPr="00E05C94">
        <w:rPr>
          <w:shd w:val="clear" w:color="auto" w:fill="FFFFFF"/>
        </w:rPr>
        <w:t>in-depth interviews</w:t>
      </w:r>
      <w:r w:rsidRPr="00E05C94">
        <w:rPr>
          <w:shd w:val="clear" w:color="auto" w:fill="FFFFFF"/>
        </w:rPr>
        <w:t xml:space="preserve"> used in public reporting will be reviewed</w:t>
      </w:r>
      <w:r w:rsidR="00B941F6">
        <w:rPr>
          <w:shd w:val="clear" w:color="auto" w:fill="FFFFFF"/>
        </w:rPr>
        <w:t xml:space="preserve"> and edited as needed</w:t>
      </w:r>
      <w:r w:rsidRPr="00E05C94">
        <w:rPr>
          <w:shd w:val="clear" w:color="auto" w:fill="FFFFFF"/>
        </w:rPr>
        <w:t xml:space="preserve"> to ensure that the identity of the respondent cannot be ascertained.</w:t>
      </w:r>
    </w:p>
    <w:p w14:paraId="6D52CFD5" w14:textId="77777777" w:rsidR="00E71EC8" w:rsidRDefault="00E71EC8" w:rsidP="00E71EC8">
      <w:pPr>
        <w:spacing w:line="276" w:lineRule="auto"/>
      </w:pPr>
    </w:p>
    <w:p w14:paraId="56AE6B80" w14:textId="1679644C" w:rsidR="00E71EC8" w:rsidRDefault="00E71EC8" w:rsidP="00E71EC8">
      <w:pPr>
        <w:spacing w:line="276" w:lineRule="auto"/>
      </w:pPr>
      <w:r w:rsidRPr="00457524">
        <w:t>Reports prepare</w:t>
      </w:r>
      <w:r w:rsidR="00D02389">
        <w:t xml:space="preserve">d for the evaluation </w:t>
      </w:r>
      <w:r w:rsidRPr="00457524">
        <w:t xml:space="preserve">will summarize findings across the sample and will not associate </w:t>
      </w:r>
      <w:r w:rsidR="00D02389">
        <w:t>survey r</w:t>
      </w:r>
      <w:r w:rsidRPr="00457524">
        <w:t xml:space="preserve">esponses with specific individuals. </w:t>
      </w:r>
      <w:r>
        <w:t>We will not share any</w:t>
      </w:r>
      <w:r w:rsidRPr="00457524">
        <w:t xml:space="preserve"> </w:t>
      </w:r>
      <w:r w:rsidRPr="00A1213B">
        <w:t>personally identifiable information</w:t>
      </w:r>
      <w:r w:rsidRPr="00E05C94">
        <w:t xml:space="preserve"> with anyone outside the study team. </w:t>
      </w:r>
    </w:p>
    <w:p w14:paraId="282F74C0" w14:textId="77777777" w:rsidR="00063613" w:rsidRDefault="00063613" w:rsidP="00E71EC8">
      <w:pPr>
        <w:spacing w:line="276" w:lineRule="auto"/>
      </w:pPr>
    </w:p>
    <w:p w14:paraId="44E7BC03" w14:textId="77777777" w:rsidR="00063613" w:rsidRPr="00E05C94" w:rsidRDefault="00063613" w:rsidP="00E71EC8">
      <w:pPr>
        <w:spacing w:line="276" w:lineRule="auto"/>
      </w:pPr>
    </w:p>
    <w:p w14:paraId="1E8C279F" w14:textId="77777777" w:rsidR="00E71EC8" w:rsidRPr="00E05C94" w:rsidRDefault="00E71EC8" w:rsidP="00E71EC8">
      <w:pPr>
        <w:autoSpaceDE w:val="0"/>
        <w:autoSpaceDN w:val="0"/>
        <w:adjustRightInd w:val="0"/>
        <w:spacing w:line="276" w:lineRule="auto"/>
      </w:pPr>
    </w:p>
    <w:p w14:paraId="0E7DC199" w14:textId="77777777" w:rsidR="00921829" w:rsidRPr="00457524" w:rsidRDefault="00921829" w:rsidP="00457524">
      <w:pPr>
        <w:tabs>
          <w:tab w:val="right" w:pos="360"/>
          <w:tab w:val="left" w:pos="720"/>
        </w:tabs>
        <w:autoSpaceDE w:val="0"/>
        <w:autoSpaceDN w:val="0"/>
        <w:adjustRightInd w:val="0"/>
        <w:ind w:left="720" w:hanging="720"/>
        <w:rPr>
          <w:i/>
        </w:rPr>
      </w:pPr>
      <w:r w:rsidRPr="00E05C94">
        <w:rPr>
          <w:i/>
        </w:rPr>
        <w:tab/>
        <w:t>11.</w:t>
      </w:r>
      <w:r w:rsidRPr="00E05C94">
        <w:rPr>
          <w:i/>
        </w:rPr>
        <w:tab/>
      </w:r>
      <w:r w:rsidRPr="005F00EC">
        <w:rPr>
          <w:i/>
        </w:rPr>
        <w:t>Provide additional justification for any questions of a sensitive nature, such as sexual behavior and attitudes, religious beliefs, and other matters that are commonly considered private.</w:t>
      </w:r>
      <w:r w:rsidR="00024976" w:rsidRPr="005F00EC">
        <w:rPr>
          <w:i/>
        </w:rPr>
        <w:t xml:space="preserve"> </w:t>
      </w:r>
      <w:r w:rsidRPr="005F00EC">
        <w:rPr>
          <w:i/>
        </w:rPr>
        <w:t xml:space="preserve">This justification should include the reasons why the agency considers the questions necessary, the specific uses to be made of the information, the explanation to be </w:t>
      </w:r>
      <w:r w:rsidRPr="005F00EC">
        <w:rPr>
          <w:i/>
        </w:rPr>
        <w:lastRenderedPageBreak/>
        <w:t>given to persons from whom the information is requested, and any steps to be taken to obtain their consent.</w:t>
      </w:r>
    </w:p>
    <w:p w14:paraId="0978B4D8" w14:textId="77777777" w:rsidR="00687531" w:rsidRPr="00457524" w:rsidRDefault="00687531" w:rsidP="00803394">
      <w:pPr>
        <w:tabs>
          <w:tab w:val="right" w:pos="360"/>
          <w:tab w:val="left" w:pos="720"/>
        </w:tabs>
        <w:autoSpaceDE w:val="0"/>
        <w:autoSpaceDN w:val="0"/>
        <w:adjustRightInd w:val="0"/>
        <w:spacing w:line="276" w:lineRule="auto"/>
        <w:ind w:left="720" w:hanging="720"/>
        <w:rPr>
          <w:i/>
        </w:rPr>
      </w:pPr>
    </w:p>
    <w:p w14:paraId="76BE8706" w14:textId="77777777" w:rsidR="00687531" w:rsidRPr="00457524" w:rsidRDefault="006D6582" w:rsidP="000F6E05">
      <w:pPr>
        <w:tabs>
          <w:tab w:val="right" w:pos="360"/>
        </w:tabs>
        <w:autoSpaceDE w:val="0"/>
        <w:autoSpaceDN w:val="0"/>
        <w:adjustRightInd w:val="0"/>
        <w:spacing w:line="276" w:lineRule="auto"/>
      </w:pPr>
      <w:r>
        <w:t>The survey instrument asks</w:t>
      </w:r>
      <w:r w:rsidR="000F6E05" w:rsidRPr="000F6E05">
        <w:t xml:space="preserve"> demographic information - gender, race, disabil</w:t>
      </w:r>
      <w:r w:rsidR="000F6E05">
        <w:t xml:space="preserve">ity, military service, age on a </w:t>
      </w:r>
      <w:r w:rsidR="000F6E05" w:rsidRPr="000F6E05">
        <w:t xml:space="preserve">voluntary basis. These questions are being asked to enable subgroup analysis to assess effectiveness of the program in promoting entrepreneurship in underserved groups. </w:t>
      </w:r>
    </w:p>
    <w:p w14:paraId="064EF91A" w14:textId="77777777" w:rsidR="00921829" w:rsidRPr="00A1213B" w:rsidRDefault="00921829" w:rsidP="00803394">
      <w:pPr>
        <w:autoSpaceDE w:val="0"/>
        <w:autoSpaceDN w:val="0"/>
        <w:adjustRightInd w:val="0"/>
        <w:spacing w:line="276" w:lineRule="auto"/>
        <w:ind w:left="720"/>
      </w:pPr>
    </w:p>
    <w:p w14:paraId="1EB7211B" w14:textId="77777777" w:rsidR="00921829" w:rsidRPr="00C0393C" w:rsidRDefault="00921829" w:rsidP="00457524">
      <w:pPr>
        <w:tabs>
          <w:tab w:val="right" w:pos="360"/>
          <w:tab w:val="left" w:pos="720"/>
        </w:tabs>
        <w:autoSpaceDE w:val="0"/>
        <w:autoSpaceDN w:val="0"/>
        <w:adjustRightInd w:val="0"/>
        <w:ind w:left="720" w:hanging="720"/>
        <w:rPr>
          <w:i/>
        </w:rPr>
      </w:pPr>
      <w:r w:rsidRPr="00E05C94">
        <w:rPr>
          <w:i/>
        </w:rPr>
        <w:tab/>
        <w:t>12.</w:t>
      </w:r>
      <w:r w:rsidRPr="00E05C94">
        <w:rPr>
          <w:i/>
        </w:rPr>
        <w:tab/>
      </w:r>
      <w:r w:rsidRPr="005F00EC">
        <w:rPr>
          <w:i/>
        </w:rPr>
        <w:t>Provide estimates of the hour burden of the collection of information.</w:t>
      </w:r>
      <w:r w:rsidR="00024976" w:rsidRPr="005F00EC">
        <w:rPr>
          <w:i/>
        </w:rPr>
        <w:t xml:space="preserve"> </w:t>
      </w:r>
      <w:r w:rsidRPr="005F00EC">
        <w:rPr>
          <w:i/>
        </w:rPr>
        <w:t>The statement should:</w:t>
      </w:r>
      <w:r w:rsidRPr="00C0393C">
        <w:rPr>
          <w:i/>
        </w:rPr>
        <w:t xml:space="preserve"> </w:t>
      </w:r>
    </w:p>
    <w:p w14:paraId="727DC74C" w14:textId="77777777" w:rsidR="00921829" w:rsidRPr="005F00EC" w:rsidRDefault="00921829" w:rsidP="00457524">
      <w:pPr>
        <w:tabs>
          <w:tab w:val="left" w:pos="720"/>
          <w:tab w:val="left" w:pos="1080"/>
        </w:tabs>
        <w:autoSpaceDE w:val="0"/>
        <w:autoSpaceDN w:val="0"/>
        <w:adjustRightInd w:val="0"/>
        <w:ind w:left="1080" w:hanging="1080"/>
        <w:rPr>
          <w:i/>
        </w:rPr>
      </w:pPr>
      <w:r w:rsidRPr="00C0393C">
        <w:rPr>
          <w:i/>
        </w:rPr>
        <w:tab/>
      </w:r>
      <w:r w:rsidRPr="005F00EC">
        <w:rPr>
          <w:i/>
        </w:rPr>
        <w:t>*</w:t>
      </w:r>
      <w:r w:rsidRPr="005F00EC">
        <w:rPr>
          <w:i/>
        </w:rPr>
        <w:tab/>
        <w:t>Indicate the number of respondents, frequency of response, annual hour burden, and an explanation of how the burden was estimated.</w:t>
      </w:r>
      <w:r w:rsidR="00024976" w:rsidRPr="005F00EC">
        <w:rPr>
          <w:i/>
        </w:rPr>
        <w:t xml:space="preserve"> </w:t>
      </w:r>
      <w:r w:rsidRPr="005F00EC">
        <w:rPr>
          <w:i/>
        </w:rPr>
        <w:t>Unless directed to do so, agencies should not conduct special surveys to obtain information on which to base hour burden estimates.</w:t>
      </w:r>
      <w:r w:rsidR="00024976" w:rsidRPr="005F00EC">
        <w:rPr>
          <w:i/>
        </w:rPr>
        <w:t xml:space="preserve"> </w:t>
      </w:r>
      <w:r w:rsidRPr="005F00EC">
        <w:rPr>
          <w:i/>
        </w:rPr>
        <w:t>Consultation with a sample (fewer than 10) of potential respondents is desirable.</w:t>
      </w:r>
      <w:r w:rsidR="00024976" w:rsidRPr="005F00EC">
        <w:rPr>
          <w:i/>
        </w:rPr>
        <w:t xml:space="preserve"> </w:t>
      </w:r>
      <w:r w:rsidRPr="005F00EC">
        <w:rPr>
          <w:i/>
        </w:rPr>
        <w:t>If the hour burden on respondents is expected to vary widely because of differences in activity, size, or complexity, show the range of estimated hour burden, and explain the reasons for the variance.</w:t>
      </w:r>
      <w:r w:rsidR="00024976" w:rsidRPr="005F00EC">
        <w:rPr>
          <w:i/>
        </w:rPr>
        <w:t xml:space="preserve"> </w:t>
      </w:r>
      <w:r w:rsidRPr="005F00EC">
        <w:rPr>
          <w:i/>
        </w:rPr>
        <w:t>Generally, estimates should not include burden hours for customary and usual business practices.</w:t>
      </w:r>
      <w:r w:rsidR="00024976" w:rsidRPr="005F00EC">
        <w:rPr>
          <w:i/>
        </w:rPr>
        <w:t xml:space="preserve"> </w:t>
      </w:r>
      <w:r w:rsidRPr="005F00EC">
        <w:rPr>
          <w:i/>
        </w:rPr>
        <w:t xml:space="preserve">* If this request for approval covers more than one form, provide separate hour burden estimates for each form and aggregate the hour burdens. </w:t>
      </w:r>
    </w:p>
    <w:p w14:paraId="5E539B2E" w14:textId="77777777" w:rsidR="00921829" w:rsidRPr="00457524" w:rsidRDefault="00921829" w:rsidP="00457524">
      <w:pPr>
        <w:tabs>
          <w:tab w:val="left" w:pos="720"/>
          <w:tab w:val="left" w:pos="1080"/>
        </w:tabs>
        <w:autoSpaceDE w:val="0"/>
        <w:autoSpaceDN w:val="0"/>
        <w:adjustRightInd w:val="0"/>
        <w:ind w:left="1080" w:hanging="1080"/>
      </w:pPr>
      <w:r w:rsidRPr="00C0393C">
        <w:rPr>
          <w:i/>
        </w:rPr>
        <w:tab/>
      </w:r>
      <w:r w:rsidRPr="005F00EC">
        <w:rPr>
          <w:i/>
        </w:rPr>
        <w:t>*</w:t>
      </w:r>
      <w:r w:rsidRPr="005F00EC">
        <w:rPr>
          <w:i/>
        </w:rPr>
        <w:tab/>
        <w:t>Provide estimates of annualized cost to respondents for the hour burdens for collections of information, identifying and using appropriate wage rate categories.</w:t>
      </w:r>
      <w:r w:rsidR="00024976" w:rsidRPr="005F00EC">
        <w:rPr>
          <w:i/>
        </w:rPr>
        <w:t xml:space="preserve"> </w:t>
      </w:r>
      <w:r w:rsidRPr="005F00EC">
        <w:rPr>
          <w:i/>
        </w:rPr>
        <w:t>The cost of contracting out or paying outside parties for information collection activities should not be included here.</w:t>
      </w:r>
      <w:r w:rsidR="00024976" w:rsidRPr="005F00EC">
        <w:rPr>
          <w:i/>
        </w:rPr>
        <w:t xml:space="preserve"> </w:t>
      </w:r>
      <w:r w:rsidRPr="005F00EC">
        <w:rPr>
          <w:i/>
        </w:rPr>
        <w:t>Instead, this cost should be included under “Annual Cost to Federal Government.”</w:t>
      </w:r>
      <w:r w:rsidRPr="00457524">
        <w:t xml:space="preserve"> </w:t>
      </w:r>
    </w:p>
    <w:p w14:paraId="48751531" w14:textId="77777777" w:rsidR="00921829" w:rsidRPr="00457524" w:rsidRDefault="00921829" w:rsidP="00803394">
      <w:pPr>
        <w:autoSpaceDE w:val="0"/>
        <w:autoSpaceDN w:val="0"/>
        <w:adjustRightInd w:val="0"/>
        <w:spacing w:line="276" w:lineRule="auto"/>
        <w:ind w:left="720"/>
      </w:pPr>
    </w:p>
    <w:p w14:paraId="4EBADEB4" w14:textId="0AE3725E" w:rsidR="00921829" w:rsidRPr="00E05C94" w:rsidRDefault="00D77DF0" w:rsidP="00803394">
      <w:pPr>
        <w:autoSpaceDE w:val="0"/>
        <w:autoSpaceDN w:val="0"/>
        <w:adjustRightInd w:val="0"/>
        <w:spacing w:line="276" w:lineRule="auto"/>
      </w:pPr>
      <w:r w:rsidRPr="00457524">
        <w:t>Exhibit</w:t>
      </w:r>
      <w:r w:rsidR="00E70857" w:rsidRPr="00457524">
        <w:t xml:space="preserve"> A-1 below details the estimated time burden on individuals in the two data collection efforts presented</w:t>
      </w:r>
      <w:r w:rsidR="00E70857" w:rsidRPr="00A1213B">
        <w:t xml:space="preserve"> in this ICR: (1) the survey of non-I-Corps PIs</w:t>
      </w:r>
      <w:r w:rsidR="00721FA0">
        <w:t>,</w:t>
      </w:r>
      <w:r w:rsidR="00E70857" w:rsidRPr="00A1213B">
        <w:t xml:space="preserve"> and (2) the case study in-depth interviews. We estimate only a small portion of non-I-Corps surveyed will pass the screener </w:t>
      </w:r>
      <w:r w:rsidR="00E70857" w:rsidRPr="00887DF8">
        <w:t xml:space="preserve">survey (Module 1) </w:t>
      </w:r>
      <w:r w:rsidR="008A7979" w:rsidRPr="00887DF8">
        <w:t xml:space="preserve">since </w:t>
      </w:r>
      <w:r w:rsidR="00E70857" w:rsidRPr="00887DF8">
        <w:t xml:space="preserve">the module screens for PIs with research projects with potential for commercialization. Of the </w:t>
      </w:r>
      <w:r w:rsidR="00E70857" w:rsidRPr="00135E6F">
        <w:t xml:space="preserve">sample of </w:t>
      </w:r>
      <w:r w:rsidR="00183DAB" w:rsidRPr="00135E6F">
        <w:t>7,897</w:t>
      </w:r>
      <w:r w:rsidR="001476A9" w:rsidRPr="00135E6F">
        <w:t xml:space="preserve"> non-I-Corps</w:t>
      </w:r>
      <w:r w:rsidR="00E70857" w:rsidRPr="00135E6F">
        <w:t xml:space="preserve"> PIs who will receive the survey invitation, we estimate 80</w:t>
      </w:r>
      <w:r w:rsidR="008A7979" w:rsidRPr="00135E6F">
        <w:t>%</w:t>
      </w:r>
      <w:r w:rsidR="00E70857" w:rsidRPr="00135E6F">
        <w:t xml:space="preserve"> will complete the brief screener survey</w:t>
      </w:r>
      <w:r w:rsidR="008A7979" w:rsidRPr="00135E6F">
        <w:t>,</w:t>
      </w:r>
      <w:r w:rsidR="00E70857" w:rsidRPr="00135E6F">
        <w:t xml:space="preserve"> and of those </w:t>
      </w:r>
      <w:r w:rsidR="00135E6F" w:rsidRPr="00135E6F">
        <w:rPr>
          <w:color w:val="000000"/>
        </w:rPr>
        <w:t>6</w:t>
      </w:r>
      <w:r w:rsidR="00135E6F">
        <w:rPr>
          <w:color w:val="000000"/>
        </w:rPr>
        <w:t>,</w:t>
      </w:r>
      <w:r w:rsidR="00135E6F" w:rsidRPr="00135E6F">
        <w:rPr>
          <w:color w:val="000000"/>
        </w:rPr>
        <w:t xml:space="preserve">318 </w:t>
      </w:r>
      <w:r w:rsidR="00E70857" w:rsidRPr="00135E6F">
        <w:t>PIs</w:t>
      </w:r>
      <w:r w:rsidR="00853A21" w:rsidRPr="00135E6F">
        <w:t>, 10</w:t>
      </w:r>
      <w:r w:rsidR="008A7979" w:rsidRPr="00135E6F">
        <w:t>%</w:t>
      </w:r>
      <w:r w:rsidR="00853A21" w:rsidRPr="00135E6F">
        <w:t xml:space="preserve"> will have pursued the perceived commercialization potential of their projects for a total </w:t>
      </w:r>
      <w:r w:rsidR="00135E6F" w:rsidRPr="00135E6F">
        <w:t xml:space="preserve">631 </w:t>
      </w:r>
      <w:r w:rsidR="00853A21" w:rsidRPr="00135E6F">
        <w:t>responses for the second module.</w:t>
      </w:r>
      <w:r w:rsidR="00B64CA9" w:rsidRPr="00135E6F">
        <w:t xml:space="preserve"> </w:t>
      </w:r>
      <w:r w:rsidR="00183DAB" w:rsidRPr="00887DF8">
        <w:t>A total 2,000 I-Corps team members will receive an invitation to participate in the survey.</w:t>
      </w:r>
      <w:r w:rsidR="00B64CA9" w:rsidRPr="00887DF8">
        <w:t xml:space="preserve"> </w:t>
      </w:r>
      <w:r w:rsidR="00887DF8">
        <w:t>Exhibit A-1</w:t>
      </w:r>
      <w:r w:rsidR="00887DF8" w:rsidRPr="00887DF8">
        <w:t xml:space="preserve"> provide</w:t>
      </w:r>
      <w:r w:rsidR="00887DF8">
        <w:t xml:space="preserve">s survey </w:t>
      </w:r>
      <w:r w:rsidR="00887DF8" w:rsidRPr="00887DF8">
        <w:t>burden estimates using an expected 80 percent response rate.</w:t>
      </w:r>
      <w:r w:rsidR="00887DF8">
        <w:t xml:space="preserve"> </w:t>
      </w:r>
    </w:p>
    <w:p w14:paraId="71FE7A6D" w14:textId="77777777" w:rsidR="00E70857" w:rsidRPr="00E05C94" w:rsidRDefault="00E70857" w:rsidP="00803394">
      <w:pPr>
        <w:autoSpaceDE w:val="0"/>
        <w:autoSpaceDN w:val="0"/>
        <w:adjustRightInd w:val="0"/>
        <w:spacing w:line="276" w:lineRule="auto"/>
      </w:pPr>
    </w:p>
    <w:p w14:paraId="4AAB9C09" w14:textId="6D599CAB" w:rsidR="00B64CA9" w:rsidRDefault="00D77DF0">
      <w:pPr>
        <w:autoSpaceDE w:val="0"/>
        <w:autoSpaceDN w:val="0"/>
        <w:adjustRightInd w:val="0"/>
        <w:spacing w:line="276" w:lineRule="auto"/>
      </w:pPr>
      <w:r w:rsidRPr="00E05C94">
        <w:t>Exhibit</w:t>
      </w:r>
      <w:r w:rsidR="00635E3E" w:rsidRPr="00E05C94">
        <w:t xml:space="preserve"> A-1 also shows the burden associated with the case study, which will cover 20 research teams</w:t>
      </w:r>
      <w:r w:rsidR="00640397">
        <w:t>, with approximately 8 members per team</w:t>
      </w:r>
      <w:r w:rsidR="00635E3E" w:rsidRPr="00E05C94">
        <w:t xml:space="preserve">. We have estimated 8 hours of total burden on average for each </w:t>
      </w:r>
      <w:r w:rsidR="001A66FF" w:rsidRPr="00E05C94">
        <w:t xml:space="preserve">project </w:t>
      </w:r>
      <w:r w:rsidR="00635E3E" w:rsidRPr="00E05C94">
        <w:t xml:space="preserve">team. These may take </w:t>
      </w:r>
      <w:r w:rsidR="00E6614F">
        <w:t xml:space="preserve">the </w:t>
      </w:r>
      <w:r w:rsidR="00635E3E" w:rsidRPr="00E05C94">
        <w:t xml:space="preserve">form of individual interviews or group interviews. Group interviews take into account burden on each </w:t>
      </w:r>
      <w:r w:rsidR="008A7979" w:rsidRPr="00E05C94">
        <w:t xml:space="preserve">participating </w:t>
      </w:r>
      <w:r w:rsidR="00635E3E" w:rsidRPr="00E05C94">
        <w:t xml:space="preserve">individual. </w:t>
      </w:r>
    </w:p>
    <w:p w14:paraId="139210F0" w14:textId="5CF2DEE3" w:rsidR="00887DF8" w:rsidRDefault="00887DF8">
      <w:pPr>
        <w:autoSpaceDE w:val="0"/>
        <w:autoSpaceDN w:val="0"/>
        <w:adjustRightInd w:val="0"/>
        <w:spacing w:line="276" w:lineRule="auto"/>
      </w:pPr>
    </w:p>
    <w:p w14:paraId="6C5DA040" w14:textId="4855E09F" w:rsidR="00887DF8" w:rsidRDefault="00887DF8">
      <w:pPr>
        <w:autoSpaceDE w:val="0"/>
        <w:autoSpaceDN w:val="0"/>
        <w:adjustRightInd w:val="0"/>
        <w:spacing w:line="276" w:lineRule="auto"/>
      </w:pPr>
    </w:p>
    <w:p w14:paraId="219704E9" w14:textId="6DC41102" w:rsidR="00887DF8" w:rsidRDefault="00887DF8">
      <w:pPr>
        <w:autoSpaceDE w:val="0"/>
        <w:autoSpaceDN w:val="0"/>
        <w:adjustRightInd w:val="0"/>
        <w:spacing w:line="276" w:lineRule="auto"/>
      </w:pPr>
    </w:p>
    <w:p w14:paraId="15CD773C" w14:textId="2D56F7A3" w:rsidR="00AE012B" w:rsidRDefault="00AE012B">
      <w:pPr>
        <w:autoSpaceDE w:val="0"/>
        <w:autoSpaceDN w:val="0"/>
        <w:adjustRightInd w:val="0"/>
        <w:spacing w:line="276" w:lineRule="auto"/>
      </w:pPr>
    </w:p>
    <w:p w14:paraId="7C66E787" w14:textId="77777777" w:rsidR="00AE012B" w:rsidRDefault="00AE012B">
      <w:pPr>
        <w:autoSpaceDE w:val="0"/>
        <w:autoSpaceDN w:val="0"/>
        <w:adjustRightInd w:val="0"/>
        <w:spacing w:line="276" w:lineRule="auto"/>
      </w:pPr>
    </w:p>
    <w:p w14:paraId="434774BD" w14:textId="77777777" w:rsidR="00921829" w:rsidRPr="002B1874" w:rsidRDefault="00D77DF0" w:rsidP="00921829">
      <w:pPr>
        <w:autoSpaceDE w:val="0"/>
        <w:autoSpaceDN w:val="0"/>
        <w:adjustRightInd w:val="0"/>
      </w:pPr>
      <w:bookmarkStart w:id="2" w:name="_Hlk482104721"/>
      <w:r w:rsidRPr="003915EA">
        <w:t>Exhibit</w:t>
      </w:r>
      <w:r w:rsidR="00921829" w:rsidRPr="003915EA">
        <w:t xml:space="preserve"> A-1</w:t>
      </w:r>
      <w:r w:rsidR="00915C3A" w:rsidRPr="003915EA">
        <w:t>.</w:t>
      </w:r>
      <w:r w:rsidR="00921829" w:rsidRPr="003915EA">
        <w:t xml:space="preserve"> </w:t>
      </w:r>
      <w:r w:rsidR="00921829" w:rsidRPr="003915EA">
        <w:rPr>
          <w:i/>
        </w:rPr>
        <w:t>Estimated Hour and Annual Cost Response Burden</w:t>
      </w:r>
    </w:p>
    <w:tbl>
      <w:tblPr>
        <w:tblW w:w="9450" w:type="dxa"/>
        <w:tblInd w:w="-10" w:type="dxa"/>
        <w:tblLook w:val="04A0" w:firstRow="1" w:lastRow="0" w:firstColumn="1" w:lastColumn="0" w:noHBand="0" w:noVBand="1"/>
      </w:tblPr>
      <w:tblGrid>
        <w:gridCol w:w="2070"/>
        <w:gridCol w:w="1510"/>
        <w:gridCol w:w="2180"/>
        <w:gridCol w:w="2098"/>
        <w:gridCol w:w="1592"/>
      </w:tblGrid>
      <w:tr w:rsidR="00921829" w:rsidRPr="00A651D2" w14:paraId="770D60BA" w14:textId="77777777" w:rsidTr="00803394">
        <w:trPr>
          <w:trHeight w:val="772"/>
        </w:trPr>
        <w:tc>
          <w:tcPr>
            <w:tcW w:w="2070" w:type="dxa"/>
            <w:tcBorders>
              <w:top w:val="single" w:sz="8" w:space="0" w:color="auto"/>
              <w:left w:val="single" w:sz="8" w:space="0" w:color="auto"/>
              <w:bottom w:val="single" w:sz="8" w:space="0" w:color="auto"/>
              <w:right w:val="single" w:sz="8" w:space="0" w:color="auto"/>
            </w:tcBorders>
            <w:shd w:val="clear" w:color="auto" w:fill="002060"/>
            <w:vAlign w:val="center"/>
            <w:hideMark/>
          </w:tcPr>
          <w:p w14:paraId="27564E8E" w14:textId="77777777" w:rsidR="00921829" w:rsidRPr="00A651D2" w:rsidRDefault="00921829" w:rsidP="00C31C2F">
            <w:pPr>
              <w:jc w:val="center"/>
              <w:rPr>
                <w:b/>
                <w:bCs/>
                <w:color w:val="FFFFFF" w:themeColor="background1"/>
                <w:sz w:val="22"/>
                <w:szCs w:val="22"/>
              </w:rPr>
            </w:pPr>
            <w:bookmarkStart w:id="3" w:name="_Hlk482104686"/>
            <w:bookmarkEnd w:id="2"/>
            <w:r w:rsidRPr="00A651D2">
              <w:rPr>
                <w:b/>
                <w:bCs/>
                <w:color w:val="FFFFFF" w:themeColor="background1"/>
                <w:sz w:val="22"/>
                <w:szCs w:val="22"/>
              </w:rPr>
              <w:t>Data Collection Activities</w:t>
            </w:r>
          </w:p>
        </w:tc>
        <w:tc>
          <w:tcPr>
            <w:tcW w:w="1510" w:type="dxa"/>
            <w:tcBorders>
              <w:top w:val="single" w:sz="8" w:space="0" w:color="auto"/>
              <w:left w:val="nil"/>
              <w:bottom w:val="single" w:sz="8" w:space="0" w:color="auto"/>
              <w:right w:val="single" w:sz="8" w:space="0" w:color="auto"/>
            </w:tcBorders>
            <w:shd w:val="clear" w:color="auto" w:fill="002060"/>
            <w:vAlign w:val="center"/>
            <w:hideMark/>
          </w:tcPr>
          <w:p w14:paraId="35105389" w14:textId="77777777" w:rsidR="00921829" w:rsidRPr="00A651D2" w:rsidRDefault="00921829" w:rsidP="00C31C2F">
            <w:pPr>
              <w:jc w:val="center"/>
              <w:rPr>
                <w:b/>
                <w:bCs/>
                <w:color w:val="FFFFFF" w:themeColor="background1"/>
                <w:sz w:val="22"/>
                <w:szCs w:val="22"/>
              </w:rPr>
            </w:pPr>
            <w:r w:rsidRPr="00A651D2">
              <w:rPr>
                <w:b/>
                <w:bCs/>
                <w:color w:val="FFFFFF" w:themeColor="background1"/>
                <w:sz w:val="22"/>
                <w:szCs w:val="22"/>
              </w:rPr>
              <w:t xml:space="preserve">Number of </w:t>
            </w:r>
            <w:r w:rsidR="008A7979">
              <w:rPr>
                <w:b/>
                <w:bCs/>
                <w:color w:val="FFFFFF" w:themeColor="background1"/>
                <w:sz w:val="22"/>
                <w:szCs w:val="22"/>
              </w:rPr>
              <w:t>R</w:t>
            </w:r>
            <w:r w:rsidRPr="00A651D2">
              <w:rPr>
                <w:b/>
                <w:bCs/>
                <w:color w:val="FFFFFF" w:themeColor="background1"/>
                <w:sz w:val="22"/>
                <w:szCs w:val="22"/>
              </w:rPr>
              <w:t>espondents</w:t>
            </w:r>
          </w:p>
        </w:tc>
        <w:tc>
          <w:tcPr>
            <w:tcW w:w="2180" w:type="dxa"/>
            <w:tcBorders>
              <w:top w:val="single" w:sz="8" w:space="0" w:color="auto"/>
              <w:left w:val="nil"/>
              <w:bottom w:val="single" w:sz="8" w:space="0" w:color="auto"/>
              <w:right w:val="single" w:sz="8" w:space="0" w:color="auto"/>
            </w:tcBorders>
            <w:shd w:val="clear" w:color="auto" w:fill="002060"/>
            <w:vAlign w:val="center"/>
            <w:hideMark/>
          </w:tcPr>
          <w:p w14:paraId="4E618037" w14:textId="77777777" w:rsidR="00921829" w:rsidRPr="00A651D2" w:rsidRDefault="00B45328" w:rsidP="00C31C2F">
            <w:pPr>
              <w:jc w:val="center"/>
              <w:rPr>
                <w:b/>
                <w:bCs/>
                <w:color w:val="FFFFFF" w:themeColor="background1"/>
                <w:sz w:val="22"/>
                <w:szCs w:val="22"/>
              </w:rPr>
            </w:pPr>
            <w:r>
              <w:rPr>
                <w:b/>
                <w:bCs/>
                <w:color w:val="FFFFFF" w:themeColor="background1"/>
                <w:sz w:val="22"/>
                <w:szCs w:val="22"/>
              </w:rPr>
              <w:t>Individual Burden</w:t>
            </w:r>
            <w:r w:rsidR="00921829" w:rsidRPr="00A651D2">
              <w:rPr>
                <w:b/>
                <w:bCs/>
                <w:color w:val="FFFFFF" w:themeColor="background1"/>
                <w:sz w:val="22"/>
                <w:szCs w:val="22"/>
              </w:rPr>
              <w:t xml:space="preserve"> </w:t>
            </w:r>
          </w:p>
          <w:p w14:paraId="0D80A8D5" w14:textId="77777777" w:rsidR="00921829" w:rsidRPr="00A651D2" w:rsidRDefault="00921829" w:rsidP="00C31C2F">
            <w:pPr>
              <w:jc w:val="center"/>
              <w:rPr>
                <w:b/>
                <w:bCs/>
                <w:color w:val="FFFFFF" w:themeColor="background1"/>
                <w:sz w:val="22"/>
                <w:szCs w:val="22"/>
              </w:rPr>
            </w:pPr>
            <w:r w:rsidRPr="00A651D2">
              <w:rPr>
                <w:i/>
                <w:iCs/>
                <w:color w:val="FFFFFF" w:themeColor="background1"/>
                <w:sz w:val="22"/>
                <w:szCs w:val="22"/>
              </w:rPr>
              <w:t>(in minutes)</w:t>
            </w:r>
          </w:p>
        </w:tc>
        <w:tc>
          <w:tcPr>
            <w:tcW w:w="2098" w:type="dxa"/>
            <w:tcBorders>
              <w:top w:val="single" w:sz="8" w:space="0" w:color="auto"/>
              <w:left w:val="nil"/>
              <w:bottom w:val="single" w:sz="8" w:space="0" w:color="auto"/>
              <w:right w:val="single" w:sz="8" w:space="0" w:color="auto"/>
            </w:tcBorders>
            <w:shd w:val="clear" w:color="auto" w:fill="002060"/>
            <w:vAlign w:val="center"/>
            <w:hideMark/>
          </w:tcPr>
          <w:p w14:paraId="1BD9A79B" w14:textId="77777777" w:rsidR="00921829" w:rsidRPr="00A651D2" w:rsidRDefault="00921829" w:rsidP="00C31C2F">
            <w:pPr>
              <w:jc w:val="center"/>
              <w:rPr>
                <w:b/>
                <w:bCs/>
                <w:color w:val="FFFFFF" w:themeColor="background1"/>
                <w:sz w:val="22"/>
                <w:szCs w:val="22"/>
              </w:rPr>
            </w:pPr>
            <w:r w:rsidRPr="00A651D2">
              <w:rPr>
                <w:b/>
                <w:bCs/>
                <w:color w:val="FFFFFF" w:themeColor="background1"/>
                <w:sz w:val="22"/>
                <w:szCs w:val="22"/>
              </w:rPr>
              <w:t xml:space="preserve">Annual Hourly Burden </w:t>
            </w:r>
            <w:r w:rsidRPr="00A651D2">
              <w:rPr>
                <w:b/>
                <w:bCs/>
                <w:color w:val="FFFFFF" w:themeColor="background1"/>
                <w:sz w:val="22"/>
                <w:szCs w:val="22"/>
              </w:rPr>
              <w:br/>
            </w:r>
            <w:r w:rsidRPr="00A651D2">
              <w:rPr>
                <w:i/>
                <w:iCs/>
                <w:color w:val="FFFFFF" w:themeColor="background1"/>
                <w:sz w:val="22"/>
                <w:szCs w:val="22"/>
              </w:rPr>
              <w:t>(in hours)</w:t>
            </w:r>
          </w:p>
        </w:tc>
        <w:tc>
          <w:tcPr>
            <w:tcW w:w="1592" w:type="dxa"/>
            <w:tcBorders>
              <w:top w:val="single" w:sz="8" w:space="0" w:color="auto"/>
              <w:left w:val="nil"/>
              <w:bottom w:val="single" w:sz="8" w:space="0" w:color="auto"/>
              <w:right w:val="single" w:sz="8" w:space="0" w:color="auto"/>
            </w:tcBorders>
            <w:shd w:val="clear" w:color="auto" w:fill="002060"/>
            <w:vAlign w:val="center"/>
            <w:hideMark/>
          </w:tcPr>
          <w:p w14:paraId="07FFAFF1" w14:textId="77777777" w:rsidR="00921829" w:rsidRPr="00193E0B" w:rsidRDefault="00921829" w:rsidP="00C31C2F">
            <w:pPr>
              <w:jc w:val="center"/>
              <w:rPr>
                <w:b/>
                <w:bCs/>
                <w:color w:val="FFFFFF" w:themeColor="background1"/>
                <w:sz w:val="22"/>
                <w:szCs w:val="22"/>
                <w:highlight w:val="yellow"/>
              </w:rPr>
            </w:pPr>
            <w:r w:rsidRPr="00635E3E">
              <w:rPr>
                <w:b/>
                <w:bCs/>
                <w:color w:val="FFFFFF" w:themeColor="background1"/>
                <w:sz w:val="22"/>
                <w:szCs w:val="22"/>
              </w:rPr>
              <w:t>Cost</w:t>
            </w:r>
          </w:p>
        </w:tc>
      </w:tr>
      <w:tr w:rsidR="0062320F" w:rsidRPr="00A651D2" w14:paraId="02500E56" w14:textId="77777777" w:rsidTr="0062320F">
        <w:trPr>
          <w:trHeight w:val="313"/>
        </w:trPr>
        <w:tc>
          <w:tcPr>
            <w:tcW w:w="9450" w:type="dxa"/>
            <w:gridSpan w:val="5"/>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744B7E7" w14:textId="77777777" w:rsidR="0062320F" w:rsidRPr="00193E0B" w:rsidRDefault="0062320F" w:rsidP="0061009A">
            <w:pPr>
              <w:rPr>
                <w:color w:val="000000"/>
                <w:sz w:val="22"/>
                <w:szCs w:val="22"/>
                <w:highlight w:val="yellow"/>
              </w:rPr>
            </w:pPr>
            <w:r w:rsidRPr="00A651D2">
              <w:rPr>
                <w:color w:val="000000"/>
                <w:sz w:val="22"/>
                <w:szCs w:val="22"/>
              </w:rPr>
              <w:t xml:space="preserve">Survey of </w:t>
            </w:r>
            <w:r w:rsidR="0061009A">
              <w:rPr>
                <w:color w:val="000000"/>
                <w:sz w:val="22"/>
                <w:szCs w:val="22"/>
              </w:rPr>
              <w:t>N</w:t>
            </w:r>
            <w:r>
              <w:rPr>
                <w:color w:val="000000"/>
                <w:sz w:val="22"/>
                <w:szCs w:val="22"/>
              </w:rPr>
              <w:t>on</w:t>
            </w:r>
            <w:r w:rsidR="0061009A">
              <w:rPr>
                <w:color w:val="000000"/>
                <w:sz w:val="22"/>
                <w:szCs w:val="22"/>
              </w:rPr>
              <w:t>-</w:t>
            </w:r>
            <w:r>
              <w:rPr>
                <w:color w:val="000000"/>
                <w:sz w:val="22"/>
                <w:szCs w:val="22"/>
              </w:rPr>
              <w:t xml:space="preserve">I-Corps </w:t>
            </w:r>
            <w:r w:rsidRPr="00A651D2">
              <w:rPr>
                <w:color w:val="000000"/>
                <w:sz w:val="22"/>
                <w:szCs w:val="22"/>
              </w:rPr>
              <w:t>PIs</w:t>
            </w:r>
          </w:p>
        </w:tc>
      </w:tr>
      <w:tr w:rsidR="00D51E64" w:rsidRPr="0062320F" w14:paraId="7401C447" w14:textId="77777777" w:rsidTr="00803394">
        <w:trPr>
          <w:trHeight w:val="315"/>
        </w:trPr>
        <w:tc>
          <w:tcPr>
            <w:tcW w:w="2070" w:type="dxa"/>
            <w:tcBorders>
              <w:top w:val="nil"/>
              <w:left w:val="single" w:sz="8" w:space="0" w:color="auto"/>
              <w:bottom w:val="single" w:sz="8" w:space="0" w:color="auto"/>
              <w:right w:val="single" w:sz="8" w:space="0" w:color="auto"/>
            </w:tcBorders>
            <w:shd w:val="clear" w:color="auto" w:fill="F2F2F2"/>
            <w:vAlign w:val="center"/>
          </w:tcPr>
          <w:p w14:paraId="54429E8E" w14:textId="77777777" w:rsidR="00D51E64" w:rsidRPr="0062320F" w:rsidRDefault="00B45328" w:rsidP="00B45328">
            <w:pPr>
              <w:rPr>
                <w:iCs/>
                <w:color w:val="000000"/>
                <w:sz w:val="20"/>
                <w:szCs w:val="20"/>
              </w:rPr>
            </w:pPr>
            <w:r w:rsidRPr="0062320F">
              <w:rPr>
                <w:i/>
                <w:iCs/>
                <w:color w:val="000000"/>
                <w:sz w:val="20"/>
                <w:szCs w:val="20"/>
              </w:rPr>
              <w:t>Respondents</w:t>
            </w:r>
            <w:r w:rsidRPr="0062320F">
              <w:rPr>
                <w:iCs/>
                <w:color w:val="000000"/>
                <w:sz w:val="20"/>
                <w:szCs w:val="20"/>
              </w:rPr>
              <w:t xml:space="preserve"> </w:t>
            </w:r>
            <w:r w:rsidR="00BC54AF">
              <w:rPr>
                <w:iCs/>
                <w:color w:val="000000"/>
                <w:sz w:val="20"/>
                <w:szCs w:val="20"/>
              </w:rPr>
              <w:t>Screener</w:t>
            </w:r>
          </w:p>
        </w:tc>
        <w:tc>
          <w:tcPr>
            <w:tcW w:w="1510" w:type="dxa"/>
            <w:tcBorders>
              <w:top w:val="nil"/>
              <w:left w:val="nil"/>
              <w:bottom w:val="single" w:sz="8" w:space="0" w:color="auto"/>
              <w:right w:val="single" w:sz="8" w:space="0" w:color="auto"/>
            </w:tcBorders>
            <w:shd w:val="clear" w:color="auto" w:fill="F2F2F2" w:themeFill="background1" w:themeFillShade="F2"/>
            <w:vAlign w:val="center"/>
          </w:tcPr>
          <w:p w14:paraId="1AC998F7" w14:textId="2B77C593" w:rsidR="00D51E64" w:rsidRPr="0062320F" w:rsidRDefault="00183DAB" w:rsidP="00C31C2F">
            <w:pPr>
              <w:jc w:val="center"/>
              <w:rPr>
                <w:color w:val="000000"/>
                <w:sz w:val="22"/>
                <w:szCs w:val="22"/>
              </w:rPr>
            </w:pPr>
            <w:r>
              <w:rPr>
                <w:color w:val="000000"/>
                <w:sz w:val="22"/>
                <w:szCs w:val="22"/>
              </w:rPr>
              <w:t>6318</w:t>
            </w:r>
          </w:p>
        </w:tc>
        <w:tc>
          <w:tcPr>
            <w:tcW w:w="2180" w:type="dxa"/>
            <w:tcBorders>
              <w:top w:val="nil"/>
              <w:left w:val="nil"/>
              <w:bottom w:val="single" w:sz="8" w:space="0" w:color="auto"/>
              <w:right w:val="single" w:sz="8" w:space="0" w:color="auto"/>
            </w:tcBorders>
            <w:shd w:val="clear" w:color="auto" w:fill="F2F2F2" w:themeFill="background1" w:themeFillShade="F2"/>
            <w:vAlign w:val="center"/>
          </w:tcPr>
          <w:p w14:paraId="42FDEB03" w14:textId="77777777" w:rsidR="00D51E64" w:rsidRPr="0062320F" w:rsidRDefault="001251CF" w:rsidP="00C31C2F">
            <w:pPr>
              <w:jc w:val="center"/>
              <w:rPr>
                <w:color w:val="000000"/>
                <w:sz w:val="22"/>
                <w:szCs w:val="22"/>
              </w:rPr>
            </w:pPr>
            <w:r>
              <w:rPr>
                <w:color w:val="000000"/>
                <w:sz w:val="22"/>
                <w:szCs w:val="22"/>
              </w:rPr>
              <w:t>5</w:t>
            </w:r>
          </w:p>
        </w:tc>
        <w:tc>
          <w:tcPr>
            <w:tcW w:w="2098" w:type="dxa"/>
            <w:tcBorders>
              <w:top w:val="nil"/>
              <w:left w:val="nil"/>
              <w:bottom w:val="single" w:sz="8" w:space="0" w:color="auto"/>
              <w:right w:val="single" w:sz="8" w:space="0" w:color="auto"/>
            </w:tcBorders>
            <w:shd w:val="clear" w:color="auto" w:fill="F2F2F2" w:themeFill="background1" w:themeFillShade="F2"/>
            <w:vAlign w:val="center"/>
          </w:tcPr>
          <w:p w14:paraId="222D9D2C" w14:textId="07B633FA" w:rsidR="00D51E64" w:rsidRPr="0062320F" w:rsidRDefault="00F43F4A" w:rsidP="00C31C2F">
            <w:pPr>
              <w:jc w:val="center"/>
              <w:rPr>
                <w:color w:val="000000"/>
                <w:sz w:val="22"/>
                <w:szCs w:val="22"/>
              </w:rPr>
            </w:pPr>
            <w:r>
              <w:rPr>
                <w:color w:val="000000"/>
                <w:sz w:val="22"/>
                <w:szCs w:val="22"/>
              </w:rPr>
              <w:t>527</w:t>
            </w:r>
          </w:p>
        </w:tc>
        <w:tc>
          <w:tcPr>
            <w:tcW w:w="1592" w:type="dxa"/>
            <w:tcBorders>
              <w:top w:val="nil"/>
              <w:left w:val="nil"/>
              <w:bottom w:val="single" w:sz="8" w:space="0" w:color="auto"/>
              <w:right w:val="single" w:sz="8" w:space="0" w:color="auto"/>
            </w:tcBorders>
            <w:shd w:val="clear" w:color="auto" w:fill="F2F2F2" w:themeFill="background1" w:themeFillShade="F2"/>
            <w:vAlign w:val="center"/>
          </w:tcPr>
          <w:p w14:paraId="4AF3549C" w14:textId="34B95309" w:rsidR="00D51E64" w:rsidRPr="0062320F" w:rsidRDefault="006D4EE2" w:rsidP="00C31C2F">
            <w:pPr>
              <w:jc w:val="right"/>
              <w:rPr>
                <w:color w:val="000000"/>
                <w:sz w:val="22"/>
                <w:szCs w:val="22"/>
              </w:rPr>
            </w:pPr>
            <w:r>
              <w:rPr>
                <w:color w:val="000000"/>
                <w:sz w:val="22"/>
                <w:szCs w:val="22"/>
              </w:rPr>
              <w:t>$</w:t>
            </w:r>
            <w:r w:rsidR="00183DAB">
              <w:rPr>
                <w:color w:val="000000"/>
                <w:sz w:val="22"/>
                <w:szCs w:val="22"/>
              </w:rPr>
              <w:t>29,484.00</w:t>
            </w:r>
          </w:p>
        </w:tc>
      </w:tr>
      <w:tr w:rsidR="00D51E64" w:rsidRPr="0062320F" w14:paraId="1327B2BD" w14:textId="77777777" w:rsidTr="00803394">
        <w:trPr>
          <w:trHeight w:val="315"/>
        </w:trPr>
        <w:tc>
          <w:tcPr>
            <w:tcW w:w="2070"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02D3CF4F" w14:textId="77777777" w:rsidR="00D51E64" w:rsidRPr="0062320F" w:rsidRDefault="00B45328" w:rsidP="00B45328">
            <w:pPr>
              <w:rPr>
                <w:iCs/>
                <w:color w:val="000000"/>
                <w:sz w:val="20"/>
                <w:szCs w:val="20"/>
              </w:rPr>
            </w:pPr>
            <w:r w:rsidRPr="0062320F">
              <w:rPr>
                <w:i/>
                <w:iCs/>
                <w:color w:val="000000"/>
                <w:sz w:val="20"/>
                <w:szCs w:val="20"/>
              </w:rPr>
              <w:t>Respondents</w:t>
            </w:r>
            <w:r w:rsidRPr="0062320F">
              <w:rPr>
                <w:iCs/>
                <w:color w:val="000000"/>
                <w:sz w:val="20"/>
                <w:szCs w:val="20"/>
              </w:rPr>
              <w:t xml:space="preserve"> </w:t>
            </w:r>
            <w:r w:rsidR="00BC54AF">
              <w:rPr>
                <w:iCs/>
                <w:color w:val="000000"/>
                <w:sz w:val="20"/>
                <w:szCs w:val="20"/>
              </w:rPr>
              <w:t>Full Survey</w:t>
            </w:r>
          </w:p>
        </w:tc>
        <w:tc>
          <w:tcPr>
            <w:tcW w:w="1510" w:type="dxa"/>
            <w:tcBorders>
              <w:top w:val="nil"/>
              <w:left w:val="nil"/>
              <w:bottom w:val="single" w:sz="8" w:space="0" w:color="auto"/>
              <w:right w:val="single" w:sz="8" w:space="0" w:color="auto"/>
            </w:tcBorders>
            <w:shd w:val="clear" w:color="auto" w:fill="F2F2F2" w:themeFill="background1" w:themeFillShade="F2"/>
            <w:vAlign w:val="center"/>
          </w:tcPr>
          <w:p w14:paraId="12C4B263" w14:textId="6248C156" w:rsidR="00D51E64" w:rsidRPr="0062320F" w:rsidRDefault="00183DAB" w:rsidP="00C31C2F">
            <w:pPr>
              <w:jc w:val="center"/>
              <w:rPr>
                <w:color w:val="000000"/>
                <w:sz w:val="22"/>
                <w:szCs w:val="22"/>
              </w:rPr>
            </w:pPr>
            <w:r>
              <w:rPr>
                <w:color w:val="000000"/>
                <w:sz w:val="22"/>
                <w:szCs w:val="22"/>
              </w:rPr>
              <w:t>631</w:t>
            </w:r>
          </w:p>
        </w:tc>
        <w:tc>
          <w:tcPr>
            <w:tcW w:w="2180" w:type="dxa"/>
            <w:tcBorders>
              <w:top w:val="nil"/>
              <w:left w:val="nil"/>
              <w:bottom w:val="single" w:sz="8" w:space="0" w:color="auto"/>
              <w:right w:val="single" w:sz="8" w:space="0" w:color="auto"/>
            </w:tcBorders>
            <w:shd w:val="clear" w:color="auto" w:fill="F2F2F2" w:themeFill="background1" w:themeFillShade="F2"/>
            <w:vAlign w:val="center"/>
          </w:tcPr>
          <w:p w14:paraId="1EFC4BA6" w14:textId="77777777" w:rsidR="00D51E64" w:rsidRPr="0062320F" w:rsidRDefault="001251CF" w:rsidP="00C31C2F">
            <w:pPr>
              <w:jc w:val="center"/>
              <w:rPr>
                <w:color w:val="000000"/>
                <w:sz w:val="22"/>
                <w:szCs w:val="22"/>
              </w:rPr>
            </w:pPr>
            <w:r>
              <w:rPr>
                <w:color w:val="000000"/>
                <w:sz w:val="22"/>
                <w:szCs w:val="22"/>
              </w:rPr>
              <w:t>15</w:t>
            </w:r>
          </w:p>
        </w:tc>
        <w:tc>
          <w:tcPr>
            <w:tcW w:w="2098" w:type="dxa"/>
            <w:tcBorders>
              <w:top w:val="nil"/>
              <w:left w:val="nil"/>
              <w:bottom w:val="single" w:sz="8" w:space="0" w:color="auto"/>
              <w:right w:val="single" w:sz="8" w:space="0" w:color="auto"/>
            </w:tcBorders>
            <w:shd w:val="clear" w:color="auto" w:fill="F2F2F2" w:themeFill="background1" w:themeFillShade="F2"/>
            <w:vAlign w:val="center"/>
          </w:tcPr>
          <w:p w14:paraId="4FEED4F4" w14:textId="388836CB" w:rsidR="00D51E64" w:rsidRPr="0062320F" w:rsidRDefault="00183DAB" w:rsidP="00C31C2F">
            <w:pPr>
              <w:jc w:val="center"/>
              <w:rPr>
                <w:color w:val="000000"/>
                <w:sz w:val="22"/>
                <w:szCs w:val="22"/>
              </w:rPr>
            </w:pPr>
            <w:r>
              <w:rPr>
                <w:color w:val="000000"/>
                <w:sz w:val="22"/>
                <w:szCs w:val="22"/>
              </w:rPr>
              <w:t>158</w:t>
            </w:r>
          </w:p>
        </w:tc>
        <w:tc>
          <w:tcPr>
            <w:tcW w:w="1592" w:type="dxa"/>
            <w:tcBorders>
              <w:top w:val="nil"/>
              <w:left w:val="nil"/>
              <w:bottom w:val="single" w:sz="8" w:space="0" w:color="auto"/>
              <w:right w:val="single" w:sz="8" w:space="0" w:color="auto"/>
            </w:tcBorders>
            <w:shd w:val="clear" w:color="auto" w:fill="F2F2F2" w:themeFill="background1" w:themeFillShade="F2"/>
            <w:vAlign w:val="center"/>
          </w:tcPr>
          <w:p w14:paraId="186C7095" w14:textId="7EBF94D0" w:rsidR="00D51E64" w:rsidRPr="0062320F" w:rsidRDefault="006D4EE2" w:rsidP="00735CB5">
            <w:pPr>
              <w:jc w:val="right"/>
              <w:rPr>
                <w:color w:val="000000"/>
                <w:sz w:val="22"/>
                <w:szCs w:val="22"/>
              </w:rPr>
            </w:pPr>
            <w:r>
              <w:rPr>
                <w:color w:val="000000"/>
                <w:sz w:val="22"/>
                <w:szCs w:val="22"/>
              </w:rPr>
              <w:t>$</w:t>
            </w:r>
            <w:r w:rsidR="00183DAB">
              <w:rPr>
                <w:color w:val="000000"/>
                <w:sz w:val="22"/>
                <w:szCs w:val="22"/>
              </w:rPr>
              <w:t>8,8</w:t>
            </w:r>
            <w:r w:rsidR="00735CB5">
              <w:rPr>
                <w:color w:val="000000"/>
                <w:sz w:val="22"/>
                <w:szCs w:val="22"/>
              </w:rPr>
              <w:t>34</w:t>
            </w:r>
            <w:r w:rsidR="00183DAB">
              <w:rPr>
                <w:color w:val="000000"/>
                <w:sz w:val="22"/>
                <w:szCs w:val="22"/>
              </w:rPr>
              <w:t>.00</w:t>
            </w:r>
          </w:p>
        </w:tc>
      </w:tr>
      <w:tr w:rsidR="00BC54AF" w:rsidRPr="0062320F" w14:paraId="365541AE" w14:textId="77777777" w:rsidTr="00287211">
        <w:trPr>
          <w:trHeight w:val="340"/>
        </w:trPr>
        <w:tc>
          <w:tcPr>
            <w:tcW w:w="9450" w:type="dxa"/>
            <w:gridSpan w:val="5"/>
            <w:tcBorders>
              <w:top w:val="nil"/>
              <w:left w:val="single" w:sz="8" w:space="0" w:color="auto"/>
              <w:bottom w:val="single" w:sz="8" w:space="0" w:color="auto"/>
              <w:right w:val="single" w:sz="8" w:space="0" w:color="auto"/>
            </w:tcBorders>
            <w:shd w:val="clear" w:color="auto" w:fill="D9D9D9" w:themeFill="background1" w:themeFillShade="D9"/>
            <w:vAlign w:val="center"/>
          </w:tcPr>
          <w:p w14:paraId="7500AF62" w14:textId="6148EF2D" w:rsidR="00BC54AF" w:rsidRPr="0062320F" w:rsidRDefault="00BC54AF" w:rsidP="0062320F">
            <w:pPr>
              <w:rPr>
                <w:color w:val="000000"/>
                <w:sz w:val="22"/>
                <w:szCs w:val="22"/>
              </w:rPr>
            </w:pPr>
            <w:r>
              <w:rPr>
                <w:color w:val="000000"/>
                <w:sz w:val="22"/>
                <w:szCs w:val="22"/>
              </w:rPr>
              <w:t xml:space="preserve">I-Corps Teams </w:t>
            </w:r>
          </w:p>
        </w:tc>
      </w:tr>
      <w:tr w:rsidR="00BC54AF" w:rsidRPr="0062320F" w14:paraId="6DD54C86" w14:textId="77777777" w:rsidTr="0084327E">
        <w:trPr>
          <w:trHeight w:val="315"/>
        </w:trPr>
        <w:tc>
          <w:tcPr>
            <w:tcW w:w="2070"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7FC58C72" w14:textId="77777777" w:rsidR="00BC54AF" w:rsidRPr="0062320F" w:rsidRDefault="00BC54AF" w:rsidP="0084327E">
            <w:pPr>
              <w:rPr>
                <w:i/>
                <w:iCs/>
                <w:color w:val="000000"/>
                <w:sz w:val="20"/>
                <w:szCs w:val="20"/>
              </w:rPr>
            </w:pPr>
            <w:r w:rsidRPr="0062320F">
              <w:rPr>
                <w:i/>
                <w:iCs/>
                <w:color w:val="000000"/>
                <w:sz w:val="20"/>
                <w:szCs w:val="20"/>
              </w:rPr>
              <w:t>Respondents</w:t>
            </w:r>
          </w:p>
        </w:tc>
        <w:tc>
          <w:tcPr>
            <w:tcW w:w="1510" w:type="dxa"/>
            <w:tcBorders>
              <w:top w:val="nil"/>
              <w:left w:val="nil"/>
              <w:bottom w:val="single" w:sz="8" w:space="0" w:color="auto"/>
              <w:right w:val="single" w:sz="8" w:space="0" w:color="auto"/>
            </w:tcBorders>
            <w:shd w:val="clear" w:color="auto" w:fill="F2F2F2" w:themeFill="background1" w:themeFillShade="F2"/>
            <w:vAlign w:val="center"/>
          </w:tcPr>
          <w:p w14:paraId="58A9E241" w14:textId="0C45E28D" w:rsidR="00BC54AF" w:rsidRPr="0062320F" w:rsidRDefault="00B2617A" w:rsidP="0084327E">
            <w:pPr>
              <w:jc w:val="center"/>
              <w:rPr>
                <w:color w:val="000000"/>
                <w:sz w:val="22"/>
                <w:szCs w:val="22"/>
              </w:rPr>
            </w:pPr>
            <w:r>
              <w:rPr>
                <w:color w:val="000000"/>
                <w:sz w:val="22"/>
                <w:szCs w:val="22"/>
              </w:rPr>
              <w:t>1,600</w:t>
            </w:r>
          </w:p>
        </w:tc>
        <w:tc>
          <w:tcPr>
            <w:tcW w:w="2180" w:type="dxa"/>
            <w:tcBorders>
              <w:top w:val="nil"/>
              <w:left w:val="nil"/>
              <w:bottom w:val="single" w:sz="8" w:space="0" w:color="auto"/>
              <w:right w:val="single" w:sz="8" w:space="0" w:color="auto"/>
            </w:tcBorders>
            <w:shd w:val="clear" w:color="auto" w:fill="F2F2F2" w:themeFill="background1" w:themeFillShade="F2"/>
            <w:vAlign w:val="center"/>
          </w:tcPr>
          <w:p w14:paraId="0859C6BC" w14:textId="77777777" w:rsidR="00BC54AF" w:rsidRPr="0062320F" w:rsidRDefault="001251CF" w:rsidP="0084327E">
            <w:pPr>
              <w:jc w:val="center"/>
              <w:rPr>
                <w:color w:val="000000"/>
                <w:sz w:val="22"/>
                <w:szCs w:val="22"/>
              </w:rPr>
            </w:pPr>
            <w:r>
              <w:rPr>
                <w:color w:val="000000"/>
                <w:sz w:val="22"/>
                <w:szCs w:val="22"/>
              </w:rPr>
              <w:t>15</w:t>
            </w:r>
          </w:p>
        </w:tc>
        <w:tc>
          <w:tcPr>
            <w:tcW w:w="2098" w:type="dxa"/>
            <w:tcBorders>
              <w:top w:val="nil"/>
              <w:left w:val="nil"/>
              <w:bottom w:val="single" w:sz="8" w:space="0" w:color="auto"/>
              <w:right w:val="single" w:sz="8" w:space="0" w:color="auto"/>
            </w:tcBorders>
            <w:shd w:val="clear" w:color="auto" w:fill="F2F2F2" w:themeFill="background1" w:themeFillShade="F2"/>
            <w:vAlign w:val="center"/>
          </w:tcPr>
          <w:p w14:paraId="7729DC15" w14:textId="7010FB0F" w:rsidR="00BC54AF" w:rsidRPr="0062320F" w:rsidRDefault="00B2617A" w:rsidP="0084327E">
            <w:pPr>
              <w:jc w:val="center"/>
              <w:rPr>
                <w:color w:val="000000"/>
                <w:sz w:val="22"/>
                <w:szCs w:val="22"/>
              </w:rPr>
            </w:pPr>
            <w:r>
              <w:rPr>
                <w:color w:val="000000"/>
                <w:sz w:val="22"/>
                <w:szCs w:val="22"/>
              </w:rPr>
              <w:t>4</w:t>
            </w:r>
            <w:r w:rsidR="00183DAB">
              <w:rPr>
                <w:color w:val="000000"/>
                <w:sz w:val="22"/>
                <w:szCs w:val="22"/>
              </w:rPr>
              <w:t>00</w:t>
            </w:r>
          </w:p>
        </w:tc>
        <w:tc>
          <w:tcPr>
            <w:tcW w:w="1592" w:type="dxa"/>
            <w:tcBorders>
              <w:top w:val="nil"/>
              <w:left w:val="nil"/>
              <w:bottom w:val="single" w:sz="8" w:space="0" w:color="auto"/>
              <w:right w:val="single" w:sz="8" w:space="0" w:color="auto"/>
            </w:tcBorders>
            <w:shd w:val="clear" w:color="auto" w:fill="F2F2F2" w:themeFill="background1" w:themeFillShade="F2"/>
            <w:vAlign w:val="center"/>
          </w:tcPr>
          <w:p w14:paraId="1BECFDE7" w14:textId="7D495E73" w:rsidR="00BC54AF" w:rsidRPr="0062320F" w:rsidRDefault="006D4EE2" w:rsidP="00700083">
            <w:pPr>
              <w:jc w:val="right"/>
              <w:rPr>
                <w:color w:val="000000"/>
                <w:sz w:val="22"/>
                <w:szCs w:val="22"/>
              </w:rPr>
            </w:pPr>
            <w:r>
              <w:rPr>
                <w:color w:val="000000"/>
                <w:sz w:val="22"/>
                <w:szCs w:val="22"/>
              </w:rPr>
              <w:t>$</w:t>
            </w:r>
            <w:r w:rsidR="00183DAB">
              <w:rPr>
                <w:color w:val="000000"/>
                <w:sz w:val="22"/>
                <w:szCs w:val="22"/>
              </w:rPr>
              <w:t>2</w:t>
            </w:r>
            <w:r w:rsidR="00B2617A">
              <w:rPr>
                <w:color w:val="000000"/>
                <w:sz w:val="22"/>
                <w:szCs w:val="22"/>
              </w:rPr>
              <w:t>2</w:t>
            </w:r>
            <w:r w:rsidR="00183DAB">
              <w:rPr>
                <w:color w:val="000000"/>
                <w:sz w:val="22"/>
                <w:szCs w:val="22"/>
              </w:rPr>
              <w:t>,</w:t>
            </w:r>
            <w:r w:rsidR="00B2617A">
              <w:rPr>
                <w:color w:val="000000"/>
                <w:sz w:val="22"/>
                <w:szCs w:val="22"/>
              </w:rPr>
              <w:t>4</w:t>
            </w:r>
            <w:r w:rsidR="00183DAB">
              <w:rPr>
                <w:color w:val="000000"/>
                <w:sz w:val="22"/>
                <w:szCs w:val="22"/>
              </w:rPr>
              <w:t>00.00</w:t>
            </w:r>
          </w:p>
        </w:tc>
      </w:tr>
      <w:tr w:rsidR="0062320F" w:rsidRPr="0062320F" w14:paraId="474710B7" w14:textId="77777777" w:rsidTr="0062320F">
        <w:trPr>
          <w:trHeight w:val="315"/>
        </w:trPr>
        <w:tc>
          <w:tcPr>
            <w:tcW w:w="9450" w:type="dxa"/>
            <w:gridSpan w:val="5"/>
            <w:tcBorders>
              <w:top w:val="nil"/>
              <w:left w:val="single" w:sz="8" w:space="0" w:color="auto"/>
              <w:bottom w:val="single" w:sz="8" w:space="0" w:color="auto"/>
              <w:right w:val="single" w:sz="8" w:space="0" w:color="auto"/>
            </w:tcBorders>
            <w:shd w:val="clear" w:color="auto" w:fill="D9D9D9" w:themeFill="background1" w:themeFillShade="D9"/>
            <w:vAlign w:val="center"/>
          </w:tcPr>
          <w:p w14:paraId="2AE5A711" w14:textId="77777777" w:rsidR="0062320F" w:rsidRPr="0062320F" w:rsidRDefault="0062320F" w:rsidP="0062320F">
            <w:pPr>
              <w:rPr>
                <w:color w:val="000000"/>
                <w:sz w:val="22"/>
                <w:szCs w:val="22"/>
              </w:rPr>
            </w:pPr>
            <w:r w:rsidRPr="0062320F">
              <w:rPr>
                <w:color w:val="000000"/>
                <w:sz w:val="22"/>
                <w:szCs w:val="22"/>
              </w:rPr>
              <w:t>In-</w:t>
            </w:r>
            <w:r w:rsidR="00AA3FCE">
              <w:rPr>
                <w:color w:val="000000"/>
                <w:sz w:val="22"/>
                <w:szCs w:val="22"/>
              </w:rPr>
              <w:t>D</w:t>
            </w:r>
            <w:r w:rsidRPr="0062320F">
              <w:rPr>
                <w:color w:val="000000"/>
                <w:sz w:val="22"/>
                <w:szCs w:val="22"/>
              </w:rPr>
              <w:t>epth Interviews</w:t>
            </w:r>
          </w:p>
        </w:tc>
      </w:tr>
      <w:tr w:rsidR="00D51E64" w:rsidRPr="0062320F" w14:paraId="7A57F104" w14:textId="77777777" w:rsidTr="00803394">
        <w:trPr>
          <w:trHeight w:val="315"/>
        </w:trPr>
        <w:tc>
          <w:tcPr>
            <w:tcW w:w="2070"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0C5918A5" w14:textId="77777777" w:rsidR="00D51E64" w:rsidRPr="0062320F" w:rsidRDefault="00D51E64" w:rsidP="00C31C2F">
            <w:pPr>
              <w:rPr>
                <w:i/>
                <w:iCs/>
                <w:color w:val="000000"/>
                <w:sz w:val="20"/>
                <w:szCs w:val="20"/>
              </w:rPr>
            </w:pPr>
            <w:r w:rsidRPr="0062320F">
              <w:rPr>
                <w:i/>
                <w:iCs/>
                <w:color w:val="000000"/>
                <w:sz w:val="20"/>
                <w:szCs w:val="20"/>
              </w:rPr>
              <w:t>Respondents</w:t>
            </w:r>
          </w:p>
        </w:tc>
        <w:tc>
          <w:tcPr>
            <w:tcW w:w="1510" w:type="dxa"/>
            <w:tcBorders>
              <w:top w:val="nil"/>
              <w:left w:val="nil"/>
              <w:bottom w:val="single" w:sz="8" w:space="0" w:color="auto"/>
              <w:right w:val="single" w:sz="8" w:space="0" w:color="auto"/>
            </w:tcBorders>
            <w:shd w:val="clear" w:color="auto" w:fill="F2F2F2" w:themeFill="background1" w:themeFillShade="F2"/>
            <w:vAlign w:val="center"/>
          </w:tcPr>
          <w:p w14:paraId="51133573" w14:textId="77777777" w:rsidR="00D51E64" w:rsidRPr="0062320F" w:rsidRDefault="00B45328" w:rsidP="00C31C2F">
            <w:pPr>
              <w:jc w:val="center"/>
              <w:rPr>
                <w:color w:val="000000"/>
                <w:sz w:val="22"/>
                <w:szCs w:val="22"/>
              </w:rPr>
            </w:pPr>
            <w:r w:rsidRPr="0062320F">
              <w:rPr>
                <w:color w:val="000000"/>
                <w:sz w:val="22"/>
                <w:szCs w:val="22"/>
              </w:rPr>
              <w:t>160</w:t>
            </w:r>
          </w:p>
        </w:tc>
        <w:tc>
          <w:tcPr>
            <w:tcW w:w="2180" w:type="dxa"/>
            <w:tcBorders>
              <w:top w:val="nil"/>
              <w:left w:val="nil"/>
              <w:bottom w:val="single" w:sz="8" w:space="0" w:color="auto"/>
              <w:right w:val="single" w:sz="8" w:space="0" w:color="auto"/>
            </w:tcBorders>
            <w:shd w:val="clear" w:color="auto" w:fill="F2F2F2" w:themeFill="background1" w:themeFillShade="F2"/>
            <w:vAlign w:val="center"/>
          </w:tcPr>
          <w:p w14:paraId="68F66FDD" w14:textId="7DFEDB2D" w:rsidR="00D51E64" w:rsidRPr="0062320F" w:rsidRDefault="00D72DF2" w:rsidP="00C31C2F">
            <w:pPr>
              <w:jc w:val="center"/>
              <w:rPr>
                <w:color w:val="000000"/>
                <w:sz w:val="22"/>
                <w:szCs w:val="22"/>
              </w:rPr>
            </w:pPr>
            <w:r>
              <w:rPr>
                <w:color w:val="000000"/>
                <w:sz w:val="22"/>
                <w:szCs w:val="22"/>
              </w:rPr>
              <w:t>60</w:t>
            </w:r>
          </w:p>
        </w:tc>
        <w:tc>
          <w:tcPr>
            <w:tcW w:w="2098" w:type="dxa"/>
            <w:tcBorders>
              <w:top w:val="nil"/>
              <w:left w:val="nil"/>
              <w:bottom w:val="single" w:sz="8" w:space="0" w:color="auto"/>
              <w:right w:val="single" w:sz="8" w:space="0" w:color="auto"/>
            </w:tcBorders>
            <w:shd w:val="clear" w:color="auto" w:fill="F2F2F2" w:themeFill="background1" w:themeFillShade="F2"/>
            <w:vAlign w:val="center"/>
          </w:tcPr>
          <w:p w14:paraId="512E717D" w14:textId="77777777" w:rsidR="00D51E64" w:rsidRPr="0062320F" w:rsidRDefault="00B45328" w:rsidP="00C31C2F">
            <w:pPr>
              <w:jc w:val="center"/>
              <w:rPr>
                <w:color w:val="000000"/>
                <w:sz w:val="22"/>
                <w:szCs w:val="22"/>
              </w:rPr>
            </w:pPr>
            <w:r w:rsidRPr="0062320F">
              <w:rPr>
                <w:color w:val="000000"/>
                <w:sz w:val="22"/>
                <w:szCs w:val="22"/>
              </w:rPr>
              <w:t>160</w:t>
            </w:r>
          </w:p>
        </w:tc>
        <w:tc>
          <w:tcPr>
            <w:tcW w:w="1592" w:type="dxa"/>
            <w:tcBorders>
              <w:top w:val="nil"/>
              <w:left w:val="nil"/>
              <w:bottom w:val="single" w:sz="8" w:space="0" w:color="auto"/>
              <w:right w:val="single" w:sz="8" w:space="0" w:color="auto"/>
            </w:tcBorders>
            <w:shd w:val="clear" w:color="auto" w:fill="F2F2F2" w:themeFill="background1" w:themeFillShade="F2"/>
            <w:vAlign w:val="center"/>
          </w:tcPr>
          <w:p w14:paraId="7DC49A14" w14:textId="4D0F3B77" w:rsidR="00D51E64" w:rsidRPr="0062320F" w:rsidRDefault="006D4EE2" w:rsidP="00C31C2F">
            <w:pPr>
              <w:jc w:val="right"/>
              <w:rPr>
                <w:color w:val="000000"/>
                <w:sz w:val="22"/>
                <w:szCs w:val="22"/>
              </w:rPr>
            </w:pPr>
            <w:r>
              <w:rPr>
                <w:color w:val="000000"/>
                <w:sz w:val="22"/>
                <w:szCs w:val="22"/>
              </w:rPr>
              <w:t>$</w:t>
            </w:r>
            <w:r w:rsidR="00B2617A">
              <w:rPr>
                <w:color w:val="000000"/>
                <w:sz w:val="22"/>
                <w:szCs w:val="22"/>
              </w:rPr>
              <w:t>8,</w:t>
            </w:r>
            <w:r w:rsidR="00C760A0">
              <w:rPr>
                <w:color w:val="000000"/>
                <w:sz w:val="22"/>
                <w:szCs w:val="22"/>
              </w:rPr>
              <w:t>960.00</w:t>
            </w:r>
          </w:p>
        </w:tc>
      </w:tr>
      <w:tr w:rsidR="0062320F" w:rsidRPr="0062320F" w14:paraId="5915678B" w14:textId="77777777" w:rsidTr="00803394">
        <w:trPr>
          <w:trHeight w:val="315"/>
        </w:trPr>
        <w:tc>
          <w:tcPr>
            <w:tcW w:w="5760" w:type="dxa"/>
            <w:gridSpan w:val="3"/>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AC61B1E" w14:textId="77777777" w:rsidR="0062320F" w:rsidRPr="0062320F" w:rsidRDefault="0062320F" w:rsidP="0062320F">
            <w:pPr>
              <w:jc w:val="right"/>
              <w:rPr>
                <w:b/>
                <w:color w:val="000000"/>
                <w:sz w:val="22"/>
                <w:szCs w:val="22"/>
              </w:rPr>
            </w:pPr>
            <w:r w:rsidRPr="0062320F">
              <w:rPr>
                <w:b/>
                <w:color w:val="000000"/>
                <w:sz w:val="22"/>
                <w:szCs w:val="22"/>
              </w:rPr>
              <w:t xml:space="preserve">Total </w:t>
            </w:r>
          </w:p>
        </w:tc>
        <w:tc>
          <w:tcPr>
            <w:tcW w:w="2098" w:type="dxa"/>
            <w:tcBorders>
              <w:top w:val="nil"/>
              <w:left w:val="nil"/>
              <w:bottom w:val="single" w:sz="8" w:space="0" w:color="auto"/>
              <w:right w:val="single" w:sz="8" w:space="0" w:color="auto"/>
            </w:tcBorders>
            <w:shd w:val="clear" w:color="auto" w:fill="D9D9D9" w:themeFill="background1" w:themeFillShade="D9"/>
            <w:vAlign w:val="center"/>
          </w:tcPr>
          <w:p w14:paraId="3D0B20B2" w14:textId="0D14845B" w:rsidR="0062320F" w:rsidRPr="0062320F" w:rsidRDefault="00B2617A" w:rsidP="00C31C2F">
            <w:pPr>
              <w:jc w:val="center"/>
              <w:rPr>
                <w:color w:val="000000"/>
                <w:sz w:val="22"/>
                <w:szCs w:val="22"/>
              </w:rPr>
            </w:pPr>
            <w:r>
              <w:rPr>
                <w:color w:val="000000"/>
                <w:sz w:val="22"/>
                <w:szCs w:val="22"/>
              </w:rPr>
              <w:t>1,2</w:t>
            </w:r>
            <w:r w:rsidR="00F43F4A">
              <w:rPr>
                <w:color w:val="000000"/>
                <w:sz w:val="22"/>
                <w:szCs w:val="22"/>
              </w:rPr>
              <w:t>45</w:t>
            </w:r>
          </w:p>
        </w:tc>
        <w:tc>
          <w:tcPr>
            <w:tcW w:w="1592" w:type="dxa"/>
            <w:tcBorders>
              <w:top w:val="nil"/>
              <w:left w:val="nil"/>
              <w:bottom w:val="single" w:sz="8" w:space="0" w:color="auto"/>
              <w:right w:val="single" w:sz="8" w:space="0" w:color="auto"/>
            </w:tcBorders>
            <w:shd w:val="clear" w:color="auto" w:fill="D9D9D9" w:themeFill="background1" w:themeFillShade="D9"/>
            <w:vAlign w:val="center"/>
          </w:tcPr>
          <w:p w14:paraId="6EF21B7C" w14:textId="32E925FD" w:rsidR="0062320F" w:rsidRPr="0062320F" w:rsidRDefault="006D4EE2" w:rsidP="00A83313">
            <w:pPr>
              <w:jc w:val="right"/>
              <w:rPr>
                <w:color w:val="000000"/>
                <w:sz w:val="22"/>
                <w:szCs w:val="22"/>
              </w:rPr>
            </w:pPr>
            <w:r>
              <w:rPr>
                <w:color w:val="000000"/>
                <w:sz w:val="22"/>
                <w:szCs w:val="22"/>
              </w:rPr>
              <w:t>$</w:t>
            </w:r>
            <w:r w:rsidR="00B2617A">
              <w:rPr>
                <w:color w:val="000000"/>
                <w:sz w:val="22"/>
                <w:szCs w:val="22"/>
              </w:rPr>
              <w:t>69</w:t>
            </w:r>
            <w:r>
              <w:rPr>
                <w:color w:val="000000"/>
                <w:sz w:val="22"/>
                <w:szCs w:val="22"/>
              </w:rPr>
              <w:t>,</w:t>
            </w:r>
            <w:r w:rsidR="00B2617A">
              <w:rPr>
                <w:color w:val="000000"/>
                <w:sz w:val="22"/>
                <w:szCs w:val="22"/>
              </w:rPr>
              <w:t>6</w:t>
            </w:r>
            <w:r w:rsidR="00A83313">
              <w:rPr>
                <w:color w:val="000000"/>
                <w:sz w:val="22"/>
                <w:szCs w:val="22"/>
              </w:rPr>
              <w:t>78</w:t>
            </w:r>
            <w:r w:rsidR="00183DAB">
              <w:rPr>
                <w:color w:val="000000"/>
                <w:sz w:val="22"/>
                <w:szCs w:val="22"/>
              </w:rPr>
              <w:t>.00</w:t>
            </w:r>
          </w:p>
        </w:tc>
      </w:tr>
    </w:tbl>
    <w:bookmarkEnd w:id="3"/>
    <w:p w14:paraId="2532374F" w14:textId="77777777" w:rsidR="00921829" w:rsidRPr="00BE4B24" w:rsidRDefault="00921829" w:rsidP="006E60E3">
      <w:pPr>
        <w:autoSpaceDE w:val="0"/>
        <w:autoSpaceDN w:val="0"/>
        <w:adjustRightInd w:val="0"/>
        <w:rPr>
          <w:sz w:val="20"/>
        </w:rPr>
      </w:pPr>
      <w:r w:rsidRPr="00457524">
        <w:rPr>
          <w:sz w:val="20"/>
          <w:szCs w:val="20"/>
        </w:rPr>
        <w:t xml:space="preserve">Hourly wages calculated using the annual </w:t>
      </w:r>
      <w:r w:rsidR="00E562D1">
        <w:rPr>
          <w:sz w:val="20"/>
          <w:szCs w:val="20"/>
        </w:rPr>
        <w:t xml:space="preserve">salary </w:t>
      </w:r>
      <w:r w:rsidRPr="00457524">
        <w:rPr>
          <w:sz w:val="20"/>
          <w:szCs w:val="20"/>
        </w:rPr>
        <w:t xml:space="preserve">of </w:t>
      </w:r>
      <w:r w:rsidRPr="00457524">
        <w:rPr>
          <w:color w:val="000000"/>
          <w:sz w:val="20"/>
          <w:szCs w:val="20"/>
          <w:shd w:val="clear" w:color="auto" w:fill="FFFFFF"/>
        </w:rPr>
        <w:t>$</w:t>
      </w:r>
      <w:r w:rsidR="00E562D1">
        <w:rPr>
          <w:color w:val="000000"/>
          <w:sz w:val="20"/>
          <w:szCs w:val="20"/>
          <w:shd w:val="clear" w:color="auto" w:fill="FFFFFF"/>
        </w:rPr>
        <w:t>116,802 (80 percentile of Associate Professor rank)</w:t>
      </w:r>
      <w:r w:rsidRPr="00A1213B">
        <w:rPr>
          <w:color w:val="000000"/>
          <w:sz w:val="20"/>
          <w:szCs w:val="20"/>
          <w:shd w:val="clear" w:color="auto" w:fill="FFFFFF"/>
        </w:rPr>
        <w:t xml:space="preserve"> </w:t>
      </w:r>
      <w:r w:rsidR="00635E3E" w:rsidRPr="00E05C94">
        <w:rPr>
          <w:color w:val="000000"/>
          <w:sz w:val="20"/>
          <w:szCs w:val="20"/>
          <w:shd w:val="clear" w:color="auto" w:fill="FFFFFF"/>
        </w:rPr>
        <w:t>for an hourly wage of $</w:t>
      </w:r>
      <w:r w:rsidR="00F65D24">
        <w:rPr>
          <w:color w:val="000000"/>
          <w:sz w:val="20"/>
          <w:szCs w:val="20"/>
          <w:shd w:val="clear" w:color="auto" w:fill="FFFFFF"/>
        </w:rPr>
        <w:t>5</w:t>
      </w:r>
      <w:r w:rsidR="00E562D1">
        <w:rPr>
          <w:color w:val="000000"/>
          <w:sz w:val="20"/>
          <w:szCs w:val="20"/>
          <w:shd w:val="clear" w:color="auto" w:fill="FFFFFF"/>
        </w:rPr>
        <w:t>6</w:t>
      </w:r>
      <w:r w:rsidRPr="00E05C94">
        <w:rPr>
          <w:color w:val="000000"/>
          <w:sz w:val="20"/>
          <w:szCs w:val="20"/>
          <w:shd w:val="clear" w:color="auto" w:fill="FFFFFF"/>
        </w:rPr>
        <w:t xml:space="preserve">. </w:t>
      </w:r>
      <w:r w:rsidR="008A7979">
        <w:rPr>
          <w:color w:val="000000"/>
          <w:sz w:val="20"/>
          <w:szCs w:val="20"/>
          <w:shd w:val="clear" w:color="auto" w:fill="FFFFFF"/>
        </w:rPr>
        <w:t>B</w:t>
      </w:r>
      <w:r w:rsidR="008A7979" w:rsidRPr="00E05C94">
        <w:rPr>
          <w:color w:val="000000"/>
          <w:sz w:val="20"/>
          <w:szCs w:val="20"/>
          <w:shd w:val="clear" w:color="auto" w:fill="FFFFFF"/>
        </w:rPr>
        <w:t xml:space="preserve">ased on </w:t>
      </w:r>
      <w:r w:rsidR="007E2386">
        <w:rPr>
          <w:color w:val="000000"/>
          <w:sz w:val="20"/>
          <w:szCs w:val="20"/>
          <w:shd w:val="clear" w:color="auto" w:fill="FFFFFF"/>
        </w:rPr>
        <w:t>Annual report on the economic s</w:t>
      </w:r>
      <w:r w:rsidR="008A7979" w:rsidRPr="00E05C94">
        <w:rPr>
          <w:color w:val="000000"/>
          <w:sz w:val="20"/>
          <w:szCs w:val="20"/>
          <w:shd w:val="clear" w:color="auto" w:fill="FFFFFF"/>
        </w:rPr>
        <w:t>ta</w:t>
      </w:r>
      <w:r w:rsidR="007E2386">
        <w:rPr>
          <w:color w:val="000000"/>
          <w:sz w:val="20"/>
          <w:szCs w:val="20"/>
          <w:shd w:val="clear" w:color="auto" w:fill="FFFFFF"/>
        </w:rPr>
        <w:t>tus of the p</w:t>
      </w:r>
      <w:r w:rsidR="00453956">
        <w:rPr>
          <w:color w:val="000000"/>
          <w:sz w:val="20"/>
          <w:szCs w:val="20"/>
          <w:shd w:val="clear" w:color="auto" w:fill="FFFFFF"/>
        </w:rPr>
        <w:t>rofession, 201</w:t>
      </w:r>
      <w:r w:rsidR="00E562D1">
        <w:rPr>
          <w:color w:val="000000"/>
          <w:sz w:val="20"/>
          <w:szCs w:val="20"/>
          <w:shd w:val="clear" w:color="auto" w:fill="FFFFFF"/>
        </w:rPr>
        <w:t xml:space="preserve">5-16 Survey report Table 3 Retrieved from: </w:t>
      </w:r>
      <w:hyperlink r:id="rId10" w:history="1">
        <w:r w:rsidR="00E562D1" w:rsidRPr="00BE4B24">
          <w:rPr>
            <w:rStyle w:val="Hyperlink"/>
            <w:sz w:val="20"/>
          </w:rPr>
          <w:t>https://www.aaup.org/sites/default/files/SurveyReportTablesMA16.pdf</w:t>
        </w:r>
      </w:hyperlink>
      <w:r w:rsidR="00E562D1" w:rsidRPr="00BE4B24">
        <w:rPr>
          <w:sz w:val="20"/>
        </w:rPr>
        <w:t xml:space="preserve"> </w:t>
      </w:r>
    </w:p>
    <w:p w14:paraId="12809630" w14:textId="77777777" w:rsidR="00921829" w:rsidRPr="00CC721F" w:rsidRDefault="00921829" w:rsidP="006E60E3">
      <w:pPr>
        <w:autoSpaceDE w:val="0"/>
        <w:autoSpaceDN w:val="0"/>
        <w:adjustRightInd w:val="0"/>
        <w:ind w:left="720"/>
      </w:pPr>
    </w:p>
    <w:p w14:paraId="6A0E63A9" w14:textId="77777777" w:rsidR="00921829" w:rsidRPr="00C0393C" w:rsidRDefault="00921829" w:rsidP="00457524">
      <w:pPr>
        <w:tabs>
          <w:tab w:val="right" w:pos="360"/>
          <w:tab w:val="left" w:pos="720"/>
        </w:tabs>
        <w:autoSpaceDE w:val="0"/>
        <w:autoSpaceDN w:val="0"/>
        <w:adjustRightInd w:val="0"/>
        <w:ind w:left="720" w:hanging="720"/>
        <w:rPr>
          <w:i/>
        </w:rPr>
      </w:pPr>
      <w:r w:rsidRPr="00CC721F">
        <w:rPr>
          <w:i/>
        </w:rPr>
        <w:tab/>
        <w:t>13.</w:t>
      </w:r>
      <w:r w:rsidRPr="00803394">
        <w:rPr>
          <w:i/>
        </w:rPr>
        <w:tab/>
      </w:r>
      <w:r w:rsidRPr="00F84388">
        <w:rPr>
          <w:i/>
        </w:rPr>
        <w:t>Provide an estimate for the total annual cost burden to respondents or record keepers resulting from the collection of information.</w:t>
      </w:r>
      <w:r w:rsidR="00024976" w:rsidRPr="00F84388">
        <w:rPr>
          <w:i/>
        </w:rPr>
        <w:t xml:space="preserve"> </w:t>
      </w:r>
      <w:r w:rsidRPr="00F84388">
        <w:rPr>
          <w:i/>
        </w:rPr>
        <w:t>(Do not include the cost of any hour burden already reflected on the burden worksheet).</w:t>
      </w:r>
    </w:p>
    <w:p w14:paraId="45123B63" w14:textId="77777777" w:rsidR="00921829" w:rsidRPr="00C0393C" w:rsidRDefault="00921829" w:rsidP="00457524">
      <w:pPr>
        <w:tabs>
          <w:tab w:val="left" w:pos="720"/>
          <w:tab w:val="left" w:pos="1080"/>
        </w:tabs>
        <w:autoSpaceDE w:val="0"/>
        <w:autoSpaceDN w:val="0"/>
        <w:adjustRightInd w:val="0"/>
        <w:ind w:left="1080" w:hanging="1080"/>
        <w:rPr>
          <w:i/>
        </w:rPr>
      </w:pPr>
      <w:r w:rsidRPr="00C0393C">
        <w:rPr>
          <w:i/>
        </w:rPr>
        <w:tab/>
      </w:r>
      <w:r w:rsidRPr="00F84388">
        <w:rPr>
          <w:i/>
        </w:rPr>
        <w:t>*</w:t>
      </w:r>
      <w:r w:rsidRPr="00F84388">
        <w:rPr>
          <w:i/>
        </w:rPr>
        <w:tab/>
        <w:t>The cost estimate should be split into two components: (a) a total capital and start-up cost component (annualized over its expected useful life) and (b) a total operation and maintenance and purchase of services component.</w:t>
      </w:r>
      <w:r w:rsidR="00024976" w:rsidRPr="00F84388">
        <w:rPr>
          <w:i/>
        </w:rPr>
        <w:t xml:space="preserve"> </w:t>
      </w:r>
      <w:r w:rsidRPr="00F84388">
        <w:rPr>
          <w:i/>
        </w:rPr>
        <w:t>The estimates should take into account costs associated with generating, maintaining, and disclosing or providing the information.</w:t>
      </w:r>
      <w:r w:rsidR="00024976" w:rsidRPr="00F84388">
        <w:rPr>
          <w:i/>
        </w:rPr>
        <w:t xml:space="preserve"> </w:t>
      </w:r>
      <w:r w:rsidRPr="00F84388">
        <w:rPr>
          <w:i/>
        </w:rPr>
        <w:t>Include descriptions of methods used to estimate major cost factors including system and technology acquisition, expected useful life of capital equipment, the discount rate(s), and the time period over which costs will be incurred.</w:t>
      </w:r>
      <w:r w:rsidR="00024976" w:rsidRPr="00F84388">
        <w:rPr>
          <w:i/>
        </w:rPr>
        <w:t xml:space="preserve"> </w:t>
      </w:r>
      <w:r w:rsidRPr="00F84388">
        <w:rPr>
          <w:i/>
        </w:rPr>
        <w:t>Capital and start-up costs include, among other items, preparations for collecting information such as purchasing computers and software; monitoring, sampling, drilling and testing equipment; and record storage facilities.</w:t>
      </w:r>
      <w:r w:rsidRPr="00C0393C">
        <w:rPr>
          <w:i/>
        </w:rPr>
        <w:t xml:space="preserve"> </w:t>
      </w:r>
    </w:p>
    <w:p w14:paraId="677D1B81" w14:textId="77777777" w:rsidR="00921829" w:rsidRPr="00C0393C" w:rsidRDefault="00921829" w:rsidP="00457524">
      <w:pPr>
        <w:tabs>
          <w:tab w:val="left" w:pos="720"/>
          <w:tab w:val="left" w:pos="1080"/>
        </w:tabs>
        <w:autoSpaceDE w:val="0"/>
        <w:autoSpaceDN w:val="0"/>
        <w:adjustRightInd w:val="0"/>
        <w:ind w:left="1080" w:hanging="1080"/>
        <w:rPr>
          <w:i/>
        </w:rPr>
      </w:pPr>
      <w:r w:rsidRPr="00C0393C">
        <w:rPr>
          <w:i/>
        </w:rPr>
        <w:tab/>
      </w:r>
      <w:r w:rsidRPr="00F84388">
        <w:rPr>
          <w:i/>
        </w:rPr>
        <w:t>*</w:t>
      </w:r>
      <w:r w:rsidRPr="00F84388">
        <w:rPr>
          <w:i/>
        </w:rPr>
        <w:tab/>
        <w:t>If cost estimates are expected to vary widely, agencies should present ranges of cost burdens and explain the reasons for the variance.</w:t>
      </w:r>
      <w:r w:rsidR="00024976" w:rsidRPr="00F84388">
        <w:rPr>
          <w:i/>
        </w:rPr>
        <w:t xml:space="preserve"> </w:t>
      </w:r>
      <w:r w:rsidRPr="00F84388">
        <w:rPr>
          <w:i/>
        </w:rPr>
        <w:t>The cost of purchasing or contracting out information collections services should be a part of this cost burden estimate.</w:t>
      </w:r>
      <w:r w:rsidR="00024976" w:rsidRPr="00F84388">
        <w:rPr>
          <w:i/>
        </w:rPr>
        <w:t xml:space="preserve"> </w:t>
      </w:r>
      <w:r w:rsidRPr="00F84388">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5951C33" w14:textId="77777777" w:rsidR="00921829" w:rsidRPr="00CC721F" w:rsidRDefault="00921829" w:rsidP="00457524">
      <w:pPr>
        <w:tabs>
          <w:tab w:val="left" w:pos="720"/>
          <w:tab w:val="left" w:pos="1080"/>
        </w:tabs>
        <w:autoSpaceDE w:val="0"/>
        <w:autoSpaceDN w:val="0"/>
        <w:adjustRightInd w:val="0"/>
        <w:ind w:left="1080" w:hanging="1080"/>
      </w:pPr>
      <w:r w:rsidRPr="00C0393C">
        <w:rPr>
          <w:i/>
        </w:rPr>
        <w:tab/>
      </w:r>
      <w:r w:rsidRPr="00F84388">
        <w:rPr>
          <w:i/>
        </w:rPr>
        <w:t>*</w:t>
      </w:r>
      <w:r w:rsidRPr="00F84388">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4679F6E" w14:textId="77777777" w:rsidR="00921829" w:rsidRPr="00CC721F" w:rsidRDefault="00921829" w:rsidP="00803394">
      <w:pPr>
        <w:autoSpaceDE w:val="0"/>
        <w:autoSpaceDN w:val="0"/>
        <w:adjustRightInd w:val="0"/>
        <w:spacing w:line="276" w:lineRule="auto"/>
        <w:ind w:left="720"/>
      </w:pPr>
    </w:p>
    <w:p w14:paraId="165BFCB4" w14:textId="77777777" w:rsidR="00921829" w:rsidRPr="00CC721F" w:rsidRDefault="002E658E" w:rsidP="00803394">
      <w:pPr>
        <w:spacing w:line="276" w:lineRule="auto"/>
      </w:pPr>
      <w:r>
        <w:lastRenderedPageBreak/>
        <w:t xml:space="preserve">We do not anticipate any </w:t>
      </w:r>
      <w:r w:rsidR="00921829" w:rsidRPr="00CC721F">
        <w:t>other costs to respondents or record keepers.</w:t>
      </w:r>
    </w:p>
    <w:p w14:paraId="61FA52A4" w14:textId="77777777" w:rsidR="00921829" w:rsidRPr="00CC721F" w:rsidRDefault="00921829" w:rsidP="00803394">
      <w:pPr>
        <w:autoSpaceDE w:val="0"/>
        <w:autoSpaceDN w:val="0"/>
        <w:adjustRightInd w:val="0"/>
        <w:spacing w:line="276" w:lineRule="auto"/>
        <w:ind w:left="720"/>
      </w:pPr>
    </w:p>
    <w:p w14:paraId="5B4141D5" w14:textId="77777777" w:rsidR="00921829" w:rsidRPr="00C0393C" w:rsidRDefault="00921829" w:rsidP="00457524">
      <w:pPr>
        <w:tabs>
          <w:tab w:val="right" w:pos="360"/>
          <w:tab w:val="left" w:pos="720"/>
        </w:tabs>
        <w:autoSpaceDE w:val="0"/>
        <w:autoSpaceDN w:val="0"/>
        <w:adjustRightInd w:val="0"/>
        <w:ind w:left="720" w:hanging="720"/>
        <w:rPr>
          <w:i/>
        </w:rPr>
      </w:pPr>
      <w:r w:rsidRPr="00803394">
        <w:rPr>
          <w:i/>
        </w:rPr>
        <w:tab/>
        <w:t>14.</w:t>
      </w:r>
      <w:r w:rsidRPr="00803394">
        <w:rPr>
          <w:i/>
        </w:rPr>
        <w:tab/>
      </w:r>
      <w:r w:rsidRPr="00F84388">
        <w:rPr>
          <w:i/>
        </w:rPr>
        <w:t>Provide estimates of annualized costs to the Federal government.</w:t>
      </w:r>
      <w:r w:rsidR="00024976" w:rsidRPr="00F84388">
        <w:rPr>
          <w:i/>
        </w:rPr>
        <w:t xml:space="preserve"> </w:t>
      </w:r>
      <w:r w:rsidRPr="00F84388">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0393C">
        <w:rPr>
          <w:i/>
        </w:rPr>
        <w:t xml:space="preserve"> </w:t>
      </w:r>
    </w:p>
    <w:p w14:paraId="71876390" w14:textId="77777777" w:rsidR="00921829" w:rsidRPr="00C0393C" w:rsidRDefault="00921829" w:rsidP="00457524">
      <w:pPr>
        <w:autoSpaceDE w:val="0"/>
        <w:autoSpaceDN w:val="0"/>
        <w:adjustRightInd w:val="0"/>
        <w:ind w:left="720"/>
      </w:pPr>
    </w:p>
    <w:p w14:paraId="72038DAF" w14:textId="77777777" w:rsidR="00921829" w:rsidRPr="00CC721F" w:rsidRDefault="00921829" w:rsidP="00457524">
      <w:pPr>
        <w:autoSpaceDE w:val="0"/>
        <w:autoSpaceDN w:val="0"/>
        <w:adjustRightInd w:val="0"/>
        <w:ind w:left="720"/>
        <w:rPr>
          <w:i/>
        </w:rPr>
      </w:pPr>
      <w:r w:rsidRPr="00F84388">
        <w:rPr>
          <w:i/>
        </w:rPr>
        <w:t>Agencies may also aggregate cost estimates from Items 12, 13, and 14 in a single table.</w:t>
      </w:r>
    </w:p>
    <w:p w14:paraId="0D5F74E1" w14:textId="77777777" w:rsidR="00921829" w:rsidRPr="00803394" w:rsidRDefault="00921829" w:rsidP="00803394">
      <w:pPr>
        <w:autoSpaceDE w:val="0"/>
        <w:autoSpaceDN w:val="0"/>
        <w:adjustRightInd w:val="0"/>
        <w:spacing w:line="276" w:lineRule="auto"/>
        <w:ind w:left="720"/>
      </w:pPr>
    </w:p>
    <w:p w14:paraId="22138A6C" w14:textId="471DE672" w:rsidR="00921829" w:rsidRPr="00E85FC2" w:rsidRDefault="00A47C49" w:rsidP="00803394">
      <w:pPr>
        <w:pStyle w:val="SL-FlLftSgl"/>
        <w:spacing w:line="276" w:lineRule="auto"/>
        <w:jc w:val="left"/>
        <w:rPr>
          <w:color w:val="000000"/>
          <w:szCs w:val="22"/>
        </w:rPr>
      </w:pPr>
      <w:r w:rsidRPr="00803394">
        <w:rPr>
          <w:sz w:val="24"/>
          <w:szCs w:val="24"/>
        </w:rPr>
        <w:t>Exhibit A-2</w:t>
      </w:r>
      <w:r w:rsidR="00921829" w:rsidRPr="00803394">
        <w:rPr>
          <w:sz w:val="24"/>
          <w:szCs w:val="24"/>
        </w:rPr>
        <w:t xml:space="preserve"> </w:t>
      </w:r>
      <w:r w:rsidRPr="00803394">
        <w:rPr>
          <w:sz w:val="24"/>
          <w:szCs w:val="24"/>
        </w:rPr>
        <w:t xml:space="preserve">presents the </w:t>
      </w:r>
      <w:r w:rsidR="00921829" w:rsidRPr="00803394">
        <w:rPr>
          <w:sz w:val="24"/>
          <w:szCs w:val="24"/>
        </w:rPr>
        <w:t xml:space="preserve">overall cost of this research to the Federal Government. </w:t>
      </w:r>
      <w:r w:rsidR="006B6ADE" w:rsidRPr="00803394">
        <w:rPr>
          <w:sz w:val="24"/>
          <w:szCs w:val="24"/>
        </w:rPr>
        <w:t xml:space="preserve">The total </w:t>
      </w:r>
      <w:r w:rsidR="00921829" w:rsidRPr="00803394">
        <w:rPr>
          <w:sz w:val="24"/>
          <w:szCs w:val="24"/>
        </w:rPr>
        <w:t xml:space="preserve">costs </w:t>
      </w:r>
      <w:r w:rsidR="006B6ADE" w:rsidRPr="00803394">
        <w:rPr>
          <w:sz w:val="24"/>
          <w:szCs w:val="24"/>
        </w:rPr>
        <w:t xml:space="preserve">are shown at </w:t>
      </w:r>
      <w:r w:rsidR="00A253CB" w:rsidRPr="00A253CB">
        <w:rPr>
          <w:color w:val="000000"/>
          <w:sz w:val="24"/>
          <w:szCs w:val="24"/>
        </w:rPr>
        <w:t>$1,117,166.34</w:t>
      </w:r>
      <w:r w:rsidR="00921829" w:rsidRPr="00803394">
        <w:rPr>
          <w:color w:val="000000"/>
          <w:sz w:val="24"/>
          <w:szCs w:val="24"/>
        </w:rPr>
        <w:t>.</w:t>
      </w:r>
      <w:r w:rsidR="008B4C4E" w:rsidRPr="00803394">
        <w:rPr>
          <w:sz w:val="24"/>
          <w:szCs w:val="24"/>
        </w:rPr>
        <w:t xml:space="preserve"> The overall costs to the Federal Government presented </w:t>
      </w:r>
      <w:r w:rsidR="00803394">
        <w:rPr>
          <w:sz w:val="24"/>
          <w:szCs w:val="24"/>
        </w:rPr>
        <w:t>below</w:t>
      </w:r>
      <w:r w:rsidR="008B4C4E" w:rsidRPr="00803394">
        <w:rPr>
          <w:sz w:val="24"/>
          <w:szCs w:val="24"/>
        </w:rPr>
        <w:t xml:space="preserve"> cover costs for survey design, including sampling plan development and instrument development, data collection activities, data analysis</w:t>
      </w:r>
      <w:r w:rsidR="002E658E" w:rsidRPr="00803394">
        <w:rPr>
          <w:sz w:val="24"/>
          <w:szCs w:val="24"/>
        </w:rPr>
        <w:t>,</w:t>
      </w:r>
      <w:r w:rsidR="008B4C4E" w:rsidRPr="00803394">
        <w:rPr>
          <w:sz w:val="24"/>
          <w:szCs w:val="24"/>
        </w:rPr>
        <w:t xml:space="preserve"> and reporting. The contract includes a base year only. </w:t>
      </w:r>
    </w:p>
    <w:p w14:paraId="62B20AED" w14:textId="3662CD7F" w:rsidR="00921829" w:rsidRDefault="00921829" w:rsidP="00921829">
      <w:pPr>
        <w:pStyle w:val="SL-FlLftSgl"/>
        <w:rPr>
          <w:sz w:val="24"/>
          <w:szCs w:val="24"/>
        </w:rPr>
      </w:pPr>
      <w:r w:rsidRPr="00E85FC2">
        <w:rPr>
          <w:sz w:val="24"/>
          <w:szCs w:val="24"/>
        </w:rPr>
        <w:t xml:space="preserve"> </w:t>
      </w:r>
    </w:p>
    <w:p w14:paraId="07724A0C" w14:textId="77777777" w:rsidR="00B17D31" w:rsidRPr="00E85FC2" w:rsidRDefault="00B17D31" w:rsidP="00921829">
      <w:pPr>
        <w:pStyle w:val="SL-FlLftSgl"/>
        <w:rPr>
          <w:sz w:val="24"/>
          <w:szCs w:val="24"/>
        </w:rPr>
      </w:pPr>
    </w:p>
    <w:p w14:paraId="635A210E" w14:textId="77777777" w:rsidR="00921829" w:rsidRPr="00E85FC2" w:rsidRDefault="00921829" w:rsidP="00921829">
      <w:pPr>
        <w:pStyle w:val="TT-TableTitle"/>
        <w:keepNext/>
        <w:keepLines/>
        <w:ind w:left="0" w:firstLine="0"/>
        <w:rPr>
          <w:sz w:val="24"/>
          <w:szCs w:val="24"/>
        </w:rPr>
      </w:pPr>
      <w:r w:rsidRPr="00E85FC2">
        <w:rPr>
          <w:sz w:val="24"/>
          <w:szCs w:val="24"/>
        </w:rPr>
        <w:tab/>
        <w:t xml:space="preserve">Exhibit A-2. </w:t>
      </w:r>
      <w:r w:rsidRPr="00803394">
        <w:rPr>
          <w:i/>
          <w:sz w:val="24"/>
          <w:szCs w:val="24"/>
        </w:rPr>
        <w:t>Overall Cost to the Federal Government</w:t>
      </w:r>
    </w:p>
    <w:tbl>
      <w:tblPr>
        <w:tblW w:w="357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76"/>
        <w:gridCol w:w="1596"/>
      </w:tblGrid>
      <w:tr w:rsidR="002004B4" w:rsidRPr="00D77DF0" w14:paraId="5A7BAABB" w14:textId="77777777" w:rsidTr="00D77DF0">
        <w:trPr>
          <w:cantSplit/>
          <w:jc w:val="center"/>
        </w:trPr>
        <w:tc>
          <w:tcPr>
            <w:tcW w:w="3906" w:type="pct"/>
            <w:shd w:val="clear" w:color="auto" w:fill="002060"/>
          </w:tcPr>
          <w:p w14:paraId="13B2F2B3" w14:textId="77777777" w:rsidR="002004B4" w:rsidRPr="00D77DF0" w:rsidRDefault="002004B4" w:rsidP="00D77DF0">
            <w:pPr>
              <w:jc w:val="center"/>
              <w:rPr>
                <w:b/>
                <w:bCs/>
                <w:color w:val="FFFFFF" w:themeColor="background1"/>
                <w:sz w:val="22"/>
                <w:szCs w:val="22"/>
              </w:rPr>
            </w:pPr>
            <w:r w:rsidRPr="00D77DF0">
              <w:rPr>
                <w:b/>
                <w:bCs/>
                <w:color w:val="FFFFFF" w:themeColor="background1"/>
                <w:sz w:val="22"/>
                <w:szCs w:val="22"/>
              </w:rPr>
              <w:t>Category</w:t>
            </w:r>
          </w:p>
        </w:tc>
        <w:tc>
          <w:tcPr>
            <w:tcW w:w="1094" w:type="pct"/>
            <w:shd w:val="clear" w:color="auto" w:fill="002060"/>
          </w:tcPr>
          <w:p w14:paraId="531583FC" w14:textId="77777777" w:rsidR="002004B4" w:rsidRPr="00D77DF0" w:rsidRDefault="002004B4" w:rsidP="00D77DF0">
            <w:pPr>
              <w:jc w:val="center"/>
              <w:rPr>
                <w:b/>
                <w:bCs/>
                <w:color w:val="FFFFFF" w:themeColor="background1"/>
                <w:sz w:val="22"/>
                <w:szCs w:val="22"/>
              </w:rPr>
            </w:pPr>
            <w:r w:rsidRPr="00D77DF0">
              <w:rPr>
                <w:b/>
                <w:bCs/>
                <w:color w:val="FFFFFF" w:themeColor="background1"/>
                <w:sz w:val="22"/>
                <w:szCs w:val="22"/>
              </w:rPr>
              <w:t xml:space="preserve">Costs </w:t>
            </w:r>
          </w:p>
          <w:p w14:paraId="7B7534E8" w14:textId="77777777" w:rsidR="002004B4" w:rsidRPr="00D77DF0" w:rsidRDefault="002004B4" w:rsidP="00D77DF0">
            <w:pPr>
              <w:jc w:val="center"/>
              <w:rPr>
                <w:b/>
                <w:bCs/>
                <w:color w:val="FFFFFF" w:themeColor="background1"/>
                <w:sz w:val="22"/>
                <w:szCs w:val="22"/>
              </w:rPr>
            </w:pPr>
            <w:r w:rsidRPr="00D77DF0">
              <w:rPr>
                <w:b/>
                <w:bCs/>
                <w:color w:val="FFFFFF" w:themeColor="background1"/>
                <w:sz w:val="22"/>
                <w:szCs w:val="22"/>
              </w:rPr>
              <w:t>Base Year</w:t>
            </w:r>
          </w:p>
        </w:tc>
      </w:tr>
      <w:tr w:rsidR="001452B2" w:rsidRPr="00E85FC2" w14:paraId="35A435FF" w14:textId="77777777" w:rsidTr="00803394">
        <w:trPr>
          <w:cantSplit/>
          <w:jc w:val="center"/>
        </w:trPr>
        <w:tc>
          <w:tcPr>
            <w:tcW w:w="3906" w:type="pct"/>
            <w:shd w:val="clear" w:color="auto" w:fill="F2F2F2"/>
          </w:tcPr>
          <w:p w14:paraId="5551AAEA" w14:textId="77777777" w:rsidR="001452B2" w:rsidRPr="001452B2" w:rsidRDefault="001452B2" w:rsidP="00C31C2F">
            <w:pPr>
              <w:pStyle w:val="SL-FlLftSgl"/>
              <w:keepNext/>
              <w:keepLines/>
              <w:spacing w:line="240" w:lineRule="auto"/>
              <w:jc w:val="left"/>
              <w:rPr>
                <w:szCs w:val="22"/>
              </w:rPr>
            </w:pPr>
            <w:r>
              <w:rPr>
                <w:szCs w:val="22"/>
              </w:rPr>
              <w:t xml:space="preserve">Study Design </w:t>
            </w:r>
            <w:r w:rsidR="00200BF1">
              <w:rPr>
                <w:szCs w:val="22"/>
              </w:rPr>
              <w:t>I</w:t>
            </w:r>
            <w:r>
              <w:rPr>
                <w:szCs w:val="22"/>
              </w:rPr>
              <w:t>ncluding Instruments</w:t>
            </w:r>
          </w:p>
        </w:tc>
        <w:tc>
          <w:tcPr>
            <w:tcW w:w="1094" w:type="pct"/>
            <w:shd w:val="clear" w:color="auto" w:fill="F2F2F2"/>
          </w:tcPr>
          <w:p w14:paraId="3916AAD3" w14:textId="77777777" w:rsidR="001452B2" w:rsidRPr="001452B2" w:rsidRDefault="002E658E" w:rsidP="00C31C2F">
            <w:pPr>
              <w:pStyle w:val="SL-FlLftSgl"/>
              <w:keepNext/>
              <w:keepLines/>
              <w:spacing w:line="240" w:lineRule="auto"/>
              <w:jc w:val="right"/>
              <w:rPr>
                <w:szCs w:val="22"/>
              </w:rPr>
            </w:pPr>
            <w:r>
              <w:rPr>
                <w:szCs w:val="22"/>
              </w:rPr>
              <w:t>$</w:t>
            </w:r>
            <w:r w:rsidR="001452B2">
              <w:rPr>
                <w:szCs w:val="22"/>
              </w:rPr>
              <w:t>69,</w:t>
            </w:r>
            <w:r w:rsidR="001452B2" w:rsidRPr="001452B2">
              <w:rPr>
                <w:szCs w:val="22"/>
              </w:rPr>
              <w:t>329.80</w:t>
            </w:r>
          </w:p>
        </w:tc>
      </w:tr>
      <w:tr w:rsidR="002004B4" w:rsidRPr="00E85FC2" w14:paraId="080C03F9" w14:textId="77777777" w:rsidTr="00803394">
        <w:trPr>
          <w:cantSplit/>
          <w:jc w:val="center"/>
        </w:trPr>
        <w:tc>
          <w:tcPr>
            <w:tcW w:w="3906" w:type="pct"/>
            <w:shd w:val="clear" w:color="auto" w:fill="F2F2F2"/>
            <w:vAlign w:val="bottom"/>
          </w:tcPr>
          <w:p w14:paraId="77B84D34" w14:textId="77777777" w:rsidR="002004B4" w:rsidRPr="00E85FC2" w:rsidRDefault="002004B4" w:rsidP="00C31C2F">
            <w:pPr>
              <w:rPr>
                <w:color w:val="000000"/>
                <w:sz w:val="22"/>
                <w:szCs w:val="22"/>
              </w:rPr>
            </w:pPr>
            <w:r w:rsidRPr="00E85FC2">
              <w:rPr>
                <w:color w:val="000000"/>
                <w:sz w:val="22"/>
                <w:szCs w:val="22"/>
              </w:rPr>
              <w:t>OMB Clearance</w:t>
            </w:r>
          </w:p>
        </w:tc>
        <w:tc>
          <w:tcPr>
            <w:tcW w:w="1094" w:type="pct"/>
            <w:shd w:val="clear" w:color="auto" w:fill="F2F2F2"/>
            <w:vAlign w:val="bottom"/>
          </w:tcPr>
          <w:p w14:paraId="7476AE5C" w14:textId="77777777" w:rsidR="002004B4" w:rsidRPr="00E85FC2" w:rsidRDefault="002E658E" w:rsidP="00C31C2F">
            <w:pPr>
              <w:jc w:val="right"/>
              <w:rPr>
                <w:color w:val="000000"/>
                <w:sz w:val="22"/>
                <w:szCs w:val="22"/>
              </w:rPr>
            </w:pPr>
            <w:r>
              <w:rPr>
                <w:color w:val="000000"/>
                <w:sz w:val="22"/>
                <w:szCs w:val="22"/>
              </w:rPr>
              <w:t>$</w:t>
            </w:r>
            <w:r w:rsidR="001452B2">
              <w:rPr>
                <w:color w:val="000000"/>
                <w:sz w:val="22"/>
                <w:szCs w:val="22"/>
              </w:rPr>
              <w:t>31,740.84</w:t>
            </w:r>
          </w:p>
        </w:tc>
      </w:tr>
      <w:tr w:rsidR="002004B4" w:rsidRPr="00E85FC2" w14:paraId="3C8ECF60" w14:textId="77777777" w:rsidTr="00803394">
        <w:trPr>
          <w:cantSplit/>
          <w:jc w:val="center"/>
        </w:trPr>
        <w:tc>
          <w:tcPr>
            <w:tcW w:w="3906" w:type="pct"/>
            <w:shd w:val="clear" w:color="auto" w:fill="F2F2F2"/>
            <w:vAlign w:val="bottom"/>
          </w:tcPr>
          <w:p w14:paraId="5001275F" w14:textId="77777777" w:rsidR="002004B4" w:rsidRPr="00906A71" w:rsidRDefault="001452B2" w:rsidP="001452B2">
            <w:pPr>
              <w:rPr>
                <w:color w:val="000000"/>
                <w:sz w:val="22"/>
                <w:szCs w:val="22"/>
              </w:rPr>
            </w:pPr>
            <w:r>
              <w:rPr>
                <w:color w:val="000000"/>
                <w:sz w:val="22"/>
                <w:szCs w:val="22"/>
              </w:rPr>
              <w:t xml:space="preserve">Survey </w:t>
            </w:r>
            <w:r w:rsidR="002004B4" w:rsidRPr="00E85FC2">
              <w:rPr>
                <w:color w:val="000000"/>
                <w:sz w:val="22"/>
                <w:szCs w:val="22"/>
              </w:rPr>
              <w:t xml:space="preserve">Data </w:t>
            </w:r>
            <w:r w:rsidR="002004B4">
              <w:rPr>
                <w:color w:val="000000"/>
                <w:sz w:val="22"/>
                <w:szCs w:val="22"/>
              </w:rPr>
              <w:t>C</w:t>
            </w:r>
            <w:r w:rsidR="002004B4" w:rsidRPr="00E85FC2">
              <w:rPr>
                <w:color w:val="000000"/>
                <w:sz w:val="22"/>
                <w:szCs w:val="22"/>
              </w:rPr>
              <w:t>oll</w:t>
            </w:r>
            <w:r w:rsidR="002004B4">
              <w:rPr>
                <w:color w:val="000000"/>
                <w:sz w:val="22"/>
                <w:szCs w:val="22"/>
              </w:rPr>
              <w:t>ection</w:t>
            </w:r>
            <w:r w:rsidR="002004B4" w:rsidRPr="00E85FC2">
              <w:rPr>
                <w:color w:val="000000"/>
                <w:sz w:val="22"/>
                <w:szCs w:val="22"/>
              </w:rPr>
              <w:t>/A</w:t>
            </w:r>
            <w:r w:rsidR="002004B4" w:rsidRPr="00906A71">
              <w:rPr>
                <w:color w:val="000000"/>
                <w:sz w:val="22"/>
                <w:szCs w:val="22"/>
              </w:rPr>
              <w:t>nalysis</w:t>
            </w:r>
          </w:p>
        </w:tc>
        <w:tc>
          <w:tcPr>
            <w:tcW w:w="1094" w:type="pct"/>
            <w:shd w:val="clear" w:color="auto" w:fill="F2F2F2"/>
            <w:vAlign w:val="bottom"/>
          </w:tcPr>
          <w:p w14:paraId="57503F07" w14:textId="3278AB83" w:rsidR="002004B4" w:rsidRPr="000307C9" w:rsidRDefault="002E658E" w:rsidP="001452B2">
            <w:pPr>
              <w:jc w:val="right"/>
              <w:rPr>
                <w:color w:val="000000"/>
                <w:sz w:val="22"/>
                <w:szCs w:val="22"/>
              </w:rPr>
            </w:pPr>
            <w:r>
              <w:rPr>
                <w:color w:val="000000"/>
                <w:sz w:val="22"/>
                <w:szCs w:val="22"/>
              </w:rPr>
              <w:t>$</w:t>
            </w:r>
            <w:r w:rsidR="00560B03">
              <w:rPr>
                <w:color w:val="000000"/>
                <w:sz w:val="22"/>
                <w:szCs w:val="22"/>
              </w:rPr>
              <w:t>609,936</w:t>
            </w:r>
            <w:r w:rsidR="001452B2">
              <w:rPr>
                <w:color w:val="000000"/>
                <w:sz w:val="22"/>
                <w:szCs w:val="22"/>
              </w:rPr>
              <w:t>.50</w:t>
            </w:r>
          </w:p>
        </w:tc>
      </w:tr>
      <w:tr w:rsidR="001452B2" w:rsidRPr="00E85FC2" w14:paraId="2DEACABD" w14:textId="77777777" w:rsidTr="00803394">
        <w:trPr>
          <w:cantSplit/>
          <w:jc w:val="center"/>
        </w:trPr>
        <w:tc>
          <w:tcPr>
            <w:tcW w:w="3906" w:type="pct"/>
            <w:shd w:val="clear" w:color="auto" w:fill="F2F2F2"/>
            <w:vAlign w:val="bottom"/>
          </w:tcPr>
          <w:p w14:paraId="4DB67BED" w14:textId="77777777" w:rsidR="001452B2" w:rsidRPr="00E85FC2" w:rsidRDefault="001452B2" w:rsidP="001452B2">
            <w:pPr>
              <w:rPr>
                <w:color w:val="000000"/>
                <w:sz w:val="22"/>
                <w:szCs w:val="22"/>
              </w:rPr>
            </w:pPr>
            <w:r>
              <w:rPr>
                <w:color w:val="000000"/>
                <w:sz w:val="22"/>
                <w:szCs w:val="22"/>
              </w:rPr>
              <w:t>Case Studies Data Collection/Analysis</w:t>
            </w:r>
          </w:p>
        </w:tc>
        <w:tc>
          <w:tcPr>
            <w:tcW w:w="1094" w:type="pct"/>
            <w:shd w:val="clear" w:color="auto" w:fill="F2F2F2"/>
            <w:vAlign w:val="bottom"/>
          </w:tcPr>
          <w:p w14:paraId="6CBD1C12" w14:textId="77777777" w:rsidR="001452B2" w:rsidRDefault="002E658E" w:rsidP="001452B2">
            <w:pPr>
              <w:jc w:val="right"/>
              <w:rPr>
                <w:color w:val="000000"/>
                <w:sz w:val="22"/>
                <w:szCs w:val="22"/>
              </w:rPr>
            </w:pPr>
            <w:r>
              <w:rPr>
                <w:color w:val="000000"/>
                <w:sz w:val="22"/>
                <w:szCs w:val="22"/>
              </w:rPr>
              <w:t>$</w:t>
            </w:r>
            <w:r w:rsidR="001452B2">
              <w:rPr>
                <w:color w:val="000000"/>
                <w:sz w:val="22"/>
                <w:szCs w:val="22"/>
              </w:rPr>
              <w:t>270,012.52</w:t>
            </w:r>
          </w:p>
        </w:tc>
      </w:tr>
      <w:tr w:rsidR="001452B2" w:rsidRPr="00E85FC2" w14:paraId="47CA5F2C" w14:textId="77777777" w:rsidTr="00803394">
        <w:trPr>
          <w:cantSplit/>
          <w:jc w:val="center"/>
        </w:trPr>
        <w:tc>
          <w:tcPr>
            <w:tcW w:w="3906" w:type="pct"/>
            <w:shd w:val="clear" w:color="auto" w:fill="F2F2F2"/>
            <w:vAlign w:val="bottom"/>
          </w:tcPr>
          <w:p w14:paraId="2370733A" w14:textId="77777777" w:rsidR="001452B2" w:rsidRPr="00E85FC2" w:rsidRDefault="001452B2" w:rsidP="00C31C2F">
            <w:pPr>
              <w:rPr>
                <w:color w:val="000000"/>
                <w:sz w:val="22"/>
                <w:szCs w:val="22"/>
              </w:rPr>
            </w:pPr>
            <w:r w:rsidRPr="00E85FC2">
              <w:rPr>
                <w:color w:val="000000"/>
                <w:sz w:val="22"/>
                <w:szCs w:val="22"/>
              </w:rPr>
              <w:t>Reporting</w:t>
            </w:r>
          </w:p>
        </w:tc>
        <w:tc>
          <w:tcPr>
            <w:tcW w:w="1094" w:type="pct"/>
            <w:shd w:val="clear" w:color="auto" w:fill="F2F2F2"/>
            <w:vAlign w:val="bottom"/>
          </w:tcPr>
          <w:p w14:paraId="2C01453F" w14:textId="77777777" w:rsidR="001452B2" w:rsidRDefault="002E658E" w:rsidP="00C31C2F">
            <w:pPr>
              <w:jc w:val="right"/>
              <w:rPr>
                <w:color w:val="000000"/>
                <w:sz w:val="22"/>
                <w:szCs w:val="22"/>
              </w:rPr>
            </w:pPr>
            <w:r>
              <w:rPr>
                <w:color w:val="000000"/>
                <w:sz w:val="22"/>
                <w:szCs w:val="22"/>
              </w:rPr>
              <w:t>$</w:t>
            </w:r>
            <w:r w:rsidR="001452B2">
              <w:rPr>
                <w:color w:val="000000"/>
                <w:sz w:val="22"/>
                <w:szCs w:val="22"/>
              </w:rPr>
              <w:t>1</w:t>
            </w:r>
            <w:r w:rsidR="006B6ADE">
              <w:rPr>
                <w:color w:val="000000"/>
                <w:sz w:val="22"/>
                <w:szCs w:val="22"/>
              </w:rPr>
              <w:t>3</w:t>
            </w:r>
            <w:r w:rsidR="001452B2">
              <w:rPr>
                <w:color w:val="000000"/>
                <w:sz w:val="22"/>
                <w:szCs w:val="22"/>
              </w:rPr>
              <w:t>6,146.68</w:t>
            </w:r>
          </w:p>
        </w:tc>
      </w:tr>
      <w:tr w:rsidR="002004B4" w:rsidRPr="001452B2" w14:paraId="3ECEBF90" w14:textId="77777777" w:rsidTr="00803394">
        <w:trPr>
          <w:cantSplit/>
          <w:jc w:val="center"/>
        </w:trPr>
        <w:tc>
          <w:tcPr>
            <w:tcW w:w="3906" w:type="pct"/>
            <w:shd w:val="clear" w:color="auto" w:fill="D9D9D9" w:themeFill="background1" w:themeFillShade="D9"/>
            <w:vAlign w:val="bottom"/>
          </w:tcPr>
          <w:p w14:paraId="39B1FA4B" w14:textId="77777777" w:rsidR="002004B4" w:rsidRPr="001452B2" w:rsidRDefault="002004B4" w:rsidP="00C31C2F">
            <w:pPr>
              <w:rPr>
                <w:b/>
                <w:color w:val="000000"/>
              </w:rPr>
            </w:pPr>
            <w:r w:rsidRPr="001452B2">
              <w:rPr>
                <w:b/>
                <w:color w:val="000000"/>
              </w:rPr>
              <w:t>T</w:t>
            </w:r>
            <w:r w:rsidR="0061009A">
              <w:rPr>
                <w:b/>
                <w:color w:val="000000"/>
              </w:rPr>
              <w:t>otal</w:t>
            </w:r>
          </w:p>
        </w:tc>
        <w:tc>
          <w:tcPr>
            <w:tcW w:w="1094" w:type="pct"/>
            <w:shd w:val="clear" w:color="auto" w:fill="D9D9D9" w:themeFill="background1" w:themeFillShade="D9"/>
            <w:vAlign w:val="bottom"/>
          </w:tcPr>
          <w:p w14:paraId="7BDBEAE1" w14:textId="159307ED" w:rsidR="002004B4" w:rsidRPr="001452B2" w:rsidRDefault="002E658E" w:rsidP="001452B2">
            <w:pPr>
              <w:jc w:val="right"/>
              <w:rPr>
                <w:b/>
                <w:color w:val="000000"/>
              </w:rPr>
            </w:pPr>
            <w:r>
              <w:rPr>
                <w:b/>
                <w:color w:val="000000"/>
              </w:rPr>
              <w:t>$</w:t>
            </w:r>
            <w:r w:rsidR="00560B03" w:rsidRPr="00560B03">
              <w:rPr>
                <w:b/>
                <w:color w:val="000000"/>
              </w:rPr>
              <w:t>1,117,166.34</w:t>
            </w:r>
          </w:p>
        </w:tc>
      </w:tr>
    </w:tbl>
    <w:p w14:paraId="1C97BAAD" w14:textId="77777777" w:rsidR="001452B2" w:rsidRDefault="001452B2" w:rsidP="00803394">
      <w:pPr>
        <w:pStyle w:val="SL-FlLftSgl"/>
        <w:spacing w:line="240" w:lineRule="auto"/>
        <w:jc w:val="left"/>
        <w:rPr>
          <w:sz w:val="24"/>
          <w:szCs w:val="24"/>
        </w:rPr>
      </w:pPr>
    </w:p>
    <w:p w14:paraId="03E13DA4" w14:textId="77777777" w:rsidR="00921829" w:rsidRPr="00E85FC2" w:rsidRDefault="00921829" w:rsidP="006E60E3">
      <w:pPr>
        <w:autoSpaceDE w:val="0"/>
        <w:autoSpaceDN w:val="0"/>
        <w:adjustRightInd w:val="0"/>
        <w:ind w:left="720"/>
        <w:rPr>
          <w:rFonts w:asciiTheme="minorHAnsi" w:hAnsiTheme="minorHAnsi"/>
        </w:rPr>
      </w:pPr>
    </w:p>
    <w:p w14:paraId="7306784B" w14:textId="77777777" w:rsidR="00921829" w:rsidRPr="00CC721F" w:rsidRDefault="00921829" w:rsidP="00457524">
      <w:pPr>
        <w:tabs>
          <w:tab w:val="right" w:pos="360"/>
          <w:tab w:val="left" w:pos="720"/>
        </w:tabs>
        <w:autoSpaceDE w:val="0"/>
        <w:autoSpaceDN w:val="0"/>
        <w:adjustRightInd w:val="0"/>
        <w:ind w:left="720" w:hanging="720"/>
        <w:rPr>
          <w:i/>
        </w:rPr>
      </w:pPr>
      <w:r w:rsidRPr="00CC721F">
        <w:rPr>
          <w:i/>
        </w:rPr>
        <w:tab/>
        <w:t>15.</w:t>
      </w:r>
      <w:r w:rsidRPr="00CC721F">
        <w:rPr>
          <w:i/>
        </w:rPr>
        <w:tab/>
      </w:r>
      <w:r w:rsidRPr="00457524">
        <w:rPr>
          <w:i/>
          <w:highlight w:val="lightGray"/>
        </w:rPr>
        <w:t>Explain the reasons for any program changes or adjustments reported on the burden worksheet.</w:t>
      </w:r>
    </w:p>
    <w:p w14:paraId="5A41CC88" w14:textId="77777777" w:rsidR="00921829" w:rsidRPr="00CC721F" w:rsidRDefault="00921829" w:rsidP="00803394">
      <w:pPr>
        <w:autoSpaceDE w:val="0"/>
        <w:autoSpaceDN w:val="0"/>
        <w:adjustRightInd w:val="0"/>
        <w:spacing w:line="276" w:lineRule="auto"/>
        <w:ind w:left="720"/>
      </w:pPr>
    </w:p>
    <w:p w14:paraId="29505DD7" w14:textId="10C5C7B3" w:rsidR="00921829" w:rsidRPr="00CC721F" w:rsidRDefault="008D61F0" w:rsidP="00803394">
      <w:pPr>
        <w:autoSpaceDE w:val="0"/>
        <w:autoSpaceDN w:val="0"/>
        <w:adjustRightInd w:val="0"/>
        <w:spacing w:line="276" w:lineRule="auto"/>
      </w:pPr>
      <w:r>
        <w:t>There is no change</w:t>
      </w:r>
      <w:r w:rsidR="001E6CBC">
        <w:t xml:space="preserve"> in the expected burden in the T</w:t>
      </w:r>
      <w:r>
        <w:t xml:space="preserve">ime </w:t>
      </w:r>
      <w:r w:rsidR="0004008D">
        <w:t>1</w:t>
      </w:r>
      <w:r>
        <w:t xml:space="preserve"> longitudinal survey of I-Corps teams, which had previously been cleared. The remaining components of this ICR </w:t>
      </w:r>
      <w:r w:rsidR="0004008D">
        <w:t xml:space="preserve">reported on the burden worksheet </w:t>
      </w:r>
      <w:r>
        <w:t xml:space="preserve">refer to </w:t>
      </w:r>
      <w:r w:rsidR="0004008D">
        <w:t>the</w:t>
      </w:r>
      <w:r>
        <w:t xml:space="preserve"> </w:t>
      </w:r>
      <w:r w:rsidR="00921829" w:rsidRPr="00CC721F">
        <w:t>new data collection</w:t>
      </w:r>
      <w:r w:rsidR="0004008D">
        <w:t>s</w:t>
      </w:r>
      <w:r w:rsidR="00921829" w:rsidRPr="00CC721F">
        <w:t xml:space="preserve">. </w:t>
      </w:r>
    </w:p>
    <w:p w14:paraId="0B2CD22E" w14:textId="77777777" w:rsidR="00921829" w:rsidRPr="00CC721F" w:rsidRDefault="00921829" w:rsidP="00803394">
      <w:pPr>
        <w:autoSpaceDE w:val="0"/>
        <w:autoSpaceDN w:val="0"/>
        <w:adjustRightInd w:val="0"/>
        <w:spacing w:line="276" w:lineRule="auto"/>
        <w:ind w:left="720"/>
      </w:pPr>
    </w:p>
    <w:p w14:paraId="5187F6B7" w14:textId="77777777" w:rsidR="00921829" w:rsidRPr="00803394" w:rsidRDefault="00921829" w:rsidP="00457524">
      <w:pPr>
        <w:tabs>
          <w:tab w:val="right" w:pos="360"/>
          <w:tab w:val="left" w:pos="720"/>
        </w:tabs>
        <w:autoSpaceDE w:val="0"/>
        <w:autoSpaceDN w:val="0"/>
        <w:adjustRightInd w:val="0"/>
        <w:ind w:left="720" w:hanging="720"/>
        <w:rPr>
          <w:i/>
        </w:rPr>
      </w:pPr>
      <w:r w:rsidRPr="00803394">
        <w:rPr>
          <w:i/>
        </w:rPr>
        <w:tab/>
      </w:r>
      <w:r w:rsidRPr="007513F9">
        <w:rPr>
          <w:i/>
        </w:rPr>
        <w:t>16.</w:t>
      </w:r>
      <w:r w:rsidRPr="00803394">
        <w:rPr>
          <w:i/>
        </w:rPr>
        <w:tab/>
      </w:r>
      <w:r w:rsidRPr="00F84388">
        <w:rPr>
          <w:i/>
        </w:rPr>
        <w:t>For collections of information whose results will be published, outline plans for tabulation and publication.</w:t>
      </w:r>
      <w:r w:rsidR="00024976" w:rsidRPr="00F84388">
        <w:rPr>
          <w:i/>
        </w:rPr>
        <w:t xml:space="preserve"> </w:t>
      </w:r>
      <w:r w:rsidRPr="00F84388">
        <w:rPr>
          <w:i/>
        </w:rPr>
        <w:t>Address any complex analytical techniques that will be used.</w:t>
      </w:r>
      <w:r w:rsidR="00024976" w:rsidRPr="00F84388">
        <w:rPr>
          <w:i/>
        </w:rPr>
        <w:t xml:space="preserve"> </w:t>
      </w:r>
      <w:r w:rsidRPr="00F84388">
        <w:rPr>
          <w:i/>
        </w:rPr>
        <w:t>Provide the time schedule for the entire project, including beginning and ending dates of the collection of information, completion of report, publication dates, and other actions.</w:t>
      </w:r>
    </w:p>
    <w:p w14:paraId="6810B9AC" w14:textId="77777777" w:rsidR="00D77DF0" w:rsidRDefault="00D77DF0" w:rsidP="00803394">
      <w:pPr>
        <w:spacing w:line="276" w:lineRule="auto"/>
      </w:pPr>
    </w:p>
    <w:p w14:paraId="64AFEA9A" w14:textId="00F63884" w:rsidR="00D77DF0" w:rsidRDefault="00D77DF0" w:rsidP="00803394">
      <w:pPr>
        <w:spacing w:line="276" w:lineRule="auto"/>
      </w:pPr>
      <w:r w:rsidRPr="00D77DF0">
        <w:t xml:space="preserve">Exhibit A-3 shows the schedule of deliverables associated with the </w:t>
      </w:r>
      <w:r w:rsidR="00BF7F67">
        <w:t xml:space="preserve">evaluation study, </w:t>
      </w:r>
      <w:r w:rsidR="006A3BF9">
        <w:t>includi</w:t>
      </w:r>
      <w:r w:rsidR="00BF7F67">
        <w:t xml:space="preserve">ng the </w:t>
      </w:r>
      <w:r w:rsidRPr="00D77DF0">
        <w:t xml:space="preserve">survey of </w:t>
      </w:r>
      <w:r w:rsidR="00BF7F67">
        <w:t xml:space="preserve">I-Corps and </w:t>
      </w:r>
      <w:r w:rsidRPr="00D77DF0">
        <w:t xml:space="preserve">non-I-Corps </w:t>
      </w:r>
      <w:r w:rsidR="00BF7F67">
        <w:t>participants</w:t>
      </w:r>
      <w:r w:rsidR="00BF7F67" w:rsidRPr="00D77DF0">
        <w:t xml:space="preserve"> </w:t>
      </w:r>
      <w:r w:rsidRPr="00D77DF0">
        <w:t>and the case study interviews.</w:t>
      </w:r>
      <w:r w:rsidR="00871A49">
        <w:t xml:space="preserve"> </w:t>
      </w:r>
    </w:p>
    <w:p w14:paraId="4BC7FE18" w14:textId="77777777" w:rsidR="00D77DF0" w:rsidRDefault="00D77DF0" w:rsidP="00921829"/>
    <w:p w14:paraId="526BCAFD" w14:textId="77777777" w:rsidR="001540E6" w:rsidRDefault="001540E6" w:rsidP="00921829">
      <w:r w:rsidRPr="00D77DF0">
        <w:t>Exhibit A-3</w:t>
      </w:r>
      <w:r w:rsidR="00915C3A">
        <w:t>.</w:t>
      </w:r>
      <w:r>
        <w:t xml:space="preserve"> </w:t>
      </w:r>
      <w:r w:rsidRPr="00803394">
        <w:rPr>
          <w:i/>
        </w:rPr>
        <w:t xml:space="preserve">Deliverables and </w:t>
      </w:r>
      <w:r w:rsidR="00915C3A">
        <w:rPr>
          <w:i/>
        </w:rPr>
        <w:t>D</w:t>
      </w:r>
      <w:r w:rsidRPr="00803394">
        <w:rPr>
          <w:i/>
        </w:rPr>
        <w:t xml:space="preserve">ue </w:t>
      </w:r>
      <w:r w:rsidR="00915C3A">
        <w:rPr>
          <w:i/>
        </w:rPr>
        <w:t>D</w:t>
      </w:r>
      <w:r w:rsidRPr="00803394">
        <w:rPr>
          <w:i/>
        </w:rPr>
        <w:t>ates</w:t>
      </w:r>
      <w:r>
        <w:t xml:space="preserve"> </w:t>
      </w:r>
    </w:p>
    <w:tbl>
      <w:tblPr>
        <w:tblStyle w:val="TableGrid"/>
        <w:tblW w:w="0" w:type="auto"/>
        <w:tblLook w:val="04A0" w:firstRow="1" w:lastRow="0" w:firstColumn="1" w:lastColumn="0" w:noHBand="0" w:noVBand="1"/>
      </w:tblPr>
      <w:tblGrid>
        <w:gridCol w:w="625"/>
        <w:gridCol w:w="5608"/>
        <w:gridCol w:w="3117"/>
      </w:tblGrid>
      <w:tr w:rsidR="00871A49" w:rsidRPr="00A47C49" w14:paraId="61767937" w14:textId="77777777" w:rsidTr="00635A82">
        <w:tc>
          <w:tcPr>
            <w:tcW w:w="625" w:type="dxa"/>
            <w:shd w:val="clear" w:color="auto" w:fill="002060"/>
          </w:tcPr>
          <w:p w14:paraId="0C5737CF" w14:textId="77777777" w:rsidR="00871A49" w:rsidRPr="00803394" w:rsidRDefault="00871A49" w:rsidP="00635A82">
            <w:pPr>
              <w:jc w:val="center"/>
              <w:rPr>
                <w:b/>
                <w:sz w:val="22"/>
              </w:rPr>
            </w:pPr>
          </w:p>
        </w:tc>
        <w:tc>
          <w:tcPr>
            <w:tcW w:w="5608" w:type="dxa"/>
            <w:shd w:val="clear" w:color="auto" w:fill="002060"/>
          </w:tcPr>
          <w:p w14:paraId="0904C942" w14:textId="77777777" w:rsidR="00871A49" w:rsidRPr="00803394" w:rsidRDefault="00871A49" w:rsidP="00635A82">
            <w:pPr>
              <w:jc w:val="center"/>
              <w:rPr>
                <w:b/>
                <w:sz w:val="22"/>
              </w:rPr>
            </w:pPr>
            <w:r w:rsidRPr="00803394">
              <w:rPr>
                <w:b/>
                <w:sz w:val="22"/>
              </w:rPr>
              <w:t>Deliverables</w:t>
            </w:r>
          </w:p>
        </w:tc>
        <w:tc>
          <w:tcPr>
            <w:tcW w:w="3117" w:type="dxa"/>
            <w:shd w:val="clear" w:color="auto" w:fill="002060"/>
          </w:tcPr>
          <w:p w14:paraId="17A9A047" w14:textId="77777777" w:rsidR="00871A49" w:rsidRPr="00803394" w:rsidRDefault="00871A49" w:rsidP="00635A82">
            <w:pPr>
              <w:jc w:val="center"/>
              <w:rPr>
                <w:b/>
                <w:sz w:val="22"/>
              </w:rPr>
            </w:pPr>
            <w:r w:rsidRPr="00803394">
              <w:rPr>
                <w:b/>
                <w:sz w:val="22"/>
              </w:rPr>
              <w:t>Due Date</w:t>
            </w:r>
          </w:p>
        </w:tc>
      </w:tr>
      <w:tr w:rsidR="00871A49" w:rsidRPr="00A47C49" w14:paraId="0B7E50A1" w14:textId="77777777" w:rsidTr="00803394">
        <w:tc>
          <w:tcPr>
            <w:tcW w:w="625" w:type="dxa"/>
            <w:shd w:val="clear" w:color="auto" w:fill="F2F2F2"/>
          </w:tcPr>
          <w:p w14:paraId="19152061" w14:textId="77777777" w:rsidR="00871A49" w:rsidRPr="00803394" w:rsidRDefault="00871A49" w:rsidP="00635A82">
            <w:pPr>
              <w:rPr>
                <w:sz w:val="22"/>
              </w:rPr>
            </w:pPr>
            <w:r w:rsidRPr="00803394">
              <w:rPr>
                <w:sz w:val="22"/>
              </w:rPr>
              <w:lastRenderedPageBreak/>
              <w:t>1</w:t>
            </w:r>
          </w:p>
        </w:tc>
        <w:tc>
          <w:tcPr>
            <w:tcW w:w="5608" w:type="dxa"/>
            <w:shd w:val="clear" w:color="auto" w:fill="F2F2F2"/>
          </w:tcPr>
          <w:p w14:paraId="5A87E435" w14:textId="77777777" w:rsidR="00871A49" w:rsidRPr="00803394" w:rsidRDefault="00871A49" w:rsidP="00635A82">
            <w:pPr>
              <w:rPr>
                <w:sz w:val="22"/>
              </w:rPr>
            </w:pPr>
            <w:r w:rsidRPr="00803394">
              <w:rPr>
                <w:sz w:val="22"/>
              </w:rPr>
              <w:t xml:space="preserve">Draft Evaluation </w:t>
            </w:r>
            <w:r w:rsidR="00A47C49" w:rsidRPr="00803394">
              <w:rPr>
                <w:sz w:val="22"/>
              </w:rPr>
              <w:t>R</w:t>
            </w:r>
            <w:r w:rsidRPr="00803394">
              <w:rPr>
                <w:sz w:val="22"/>
              </w:rPr>
              <w:t>eport</w:t>
            </w:r>
          </w:p>
        </w:tc>
        <w:tc>
          <w:tcPr>
            <w:tcW w:w="3117" w:type="dxa"/>
            <w:shd w:val="clear" w:color="auto" w:fill="F2F2F2"/>
          </w:tcPr>
          <w:p w14:paraId="2A4A9D39" w14:textId="77777777" w:rsidR="00871A49" w:rsidRPr="00803394" w:rsidRDefault="00871A49" w:rsidP="00635A82">
            <w:pPr>
              <w:rPr>
                <w:sz w:val="22"/>
              </w:rPr>
            </w:pPr>
            <w:r w:rsidRPr="00803394">
              <w:rPr>
                <w:sz w:val="22"/>
              </w:rPr>
              <w:t>18 months after award</w:t>
            </w:r>
          </w:p>
        </w:tc>
      </w:tr>
      <w:tr w:rsidR="00871A49" w:rsidRPr="00A47C49" w14:paraId="799A558F" w14:textId="77777777" w:rsidTr="00803394">
        <w:trPr>
          <w:trHeight w:val="188"/>
        </w:trPr>
        <w:tc>
          <w:tcPr>
            <w:tcW w:w="625" w:type="dxa"/>
            <w:shd w:val="clear" w:color="auto" w:fill="F2F2F2"/>
          </w:tcPr>
          <w:p w14:paraId="07E7D774" w14:textId="77777777" w:rsidR="00871A49" w:rsidRPr="00803394" w:rsidRDefault="00871A49" w:rsidP="00635A82">
            <w:pPr>
              <w:rPr>
                <w:sz w:val="22"/>
              </w:rPr>
            </w:pPr>
            <w:r w:rsidRPr="00803394">
              <w:rPr>
                <w:sz w:val="22"/>
              </w:rPr>
              <w:t>2</w:t>
            </w:r>
          </w:p>
        </w:tc>
        <w:tc>
          <w:tcPr>
            <w:tcW w:w="5608" w:type="dxa"/>
            <w:shd w:val="clear" w:color="auto" w:fill="F2F2F2"/>
          </w:tcPr>
          <w:p w14:paraId="644141FF" w14:textId="77777777" w:rsidR="00871A49" w:rsidRPr="00803394" w:rsidRDefault="00871A49" w:rsidP="00635A82">
            <w:pPr>
              <w:rPr>
                <w:sz w:val="22"/>
              </w:rPr>
            </w:pPr>
            <w:r w:rsidRPr="00803394">
              <w:rPr>
                <w:sz w:val="22"/>
              </w:rPr>
              <w:t>Final Evaluation Report and Database</w:t>
            </w:r>
          </w:p>
        </w:tc>
        <w:tc>
          <w:tcPr>
            <w:tcW w:w="3117" w:type="dxa"/>
            <w:shd w:val="clear" w:color="auto" w:fill="F2F2F2"/>
          </w:tcPr>
          <w:p w14:paraId="368DD111" w14:textId="77777777" w:rsidR="00871A49" w:rsidRPr="00803394" w:rsidRDefault="00871A49" w:rsidP="00635A82">
            <w:pPr>
              <w:rPr>
                <w:sz w:val="22"/>
              </w:rPr>
            </w:pPr>
            <w:r w:rsidRPr="00803394">
              <w:rPr>
                <w:sz w:val="22"/>
              </w:rPr>
              <w:t>20 months after award</w:t>
            </w:r>
          </w:p>
        </w:tc>
      </w:tr>
    </w:tbl>
    <w:p w14:paraId="30D14DBB" w14:textId="77777777" w:rsidR="00D77DF0" w:rsidRPr="00D77DF0" w:rsidRDefault="00D77DF0" w:rsidP="006E60E3"/>
    <w:p w14:paraId="6DC0D9CB" w14:textId="54C6E679" w:rsidR="00743726" w:rsidRPr="00DC6C79" w:rsidRDefault="00743726" w:rsidP="00743726">
      <w:pPr>
        <w:pStyle w:val="NormalWeb"/>
        <w:shd w:val="clear" w:color="auto" w:fill="FFFFFF"/>
        <w:spacing w:after="240" w:afterAutospacing="0"/>
        <w:rPr>
          <w:color w:val="222222"/>
        </w:rPr>
      </w:pPr>
      <w:r w:rsidRPr="00DC6C79">
        <w:rPr>
          <w:color w:val="222222"/>
        </w:rPr>
        <w:t xml:space="preserve">The data collection efforts included under this request will be administered by </w:t>
      </w:r>
      <w:r>
        <w:rPr>
          <w:color w:val="222222"/>
        </w:rPr>
        <w:t xml:space="preserve">a </w:t>
      </w:r>
      <w:r w:rsidRPr="00DC6C79">
        <w:rPr>
          <w:color w:val="222222"/>
        </w:rPr>
        <w:t xml:space="preserve">third-party </w:t>
      </w:r>
      <w:r>
        <w:rPr>
          <w:color w:val="222222"/>
        </w:rPr>
        <w:t xml:space="preserve">grantee or </w:t>
      </w:r>
      <w:r w:rsidRPr="00DC6C79">
        <w:rPr>
          <w:color w:val="222222"/>
        </w:rPr>
        <w:t xml:space="preserve">contractor that will deliver (1) analytical reports, (2) the raw data from the collections, or (3) both. Third parties are contractually forbidden from publishing results unless NSF has made a specific exception. In short, all products of the collections are the property of NSF. After the products are delivered, NSF determines whether the quality of the products deserves publication verbatim by NSF; i.e., NSF typically is the exclusive publisher of the information collected by the collections. Often it is only after seeing the quality of the information the collection delivers that NSF decides the format (raw or analytical) and manner (in </w:t>
      </w:r>
      <w:r>
        <w:rPr>
          <w:color w:val="222222"/>
        </w:rPr>
        <w:t>its On</w:t>
      </w:r>
      <w:r w:rsidR="003915EA">
        <w:rPr>
          <w:color w:val="222222"/>
        </w:rPr>
        <w:t>l</w:t>
      </w:r>
      <w:r>
        <w:rPr>
          <w:color w:val="222222"/>
        </w:rPr>
        <w:t>ine Document System</w:t>
      </w:r>
      <w:r w:rsidRPr="00DC6C79">
        <w:rPr>
          <w:color w:val="222222"/>
        </w:rPr>
        <w:t xml:space="preserve"> or simply a page on the NSF</w:t>
      </w:r>
      <w:r w:rsidRPr="00DC6C79">
        <w:rPr>
          <w:rStyle w:val="apple-converted-space"/>
          <w:color w:val="222222"/>
        </w:rPr>
        <w:t> </w:t>
      </w:r>
      <w:r w:rsidRPr="00DC6C79">
        <w:rPr>
          <w:color w:val="1F497D"/>
        </w:rPr>
        <w:t>w</w:t>
      </w:r>
      <w:r w:rsidRPr="00DC6C79">
        <w:rPr>
          <w:color w:val="222222"/>
        </w:rPr>
        <w:t>ebsite) in which to publish.</w:t>
      </w:r>
    </w:p>
    <w:p w14:paraId="78383D86" w14:textId="21635E40" w:rsidR="00593027" w:rsidRPr="006A66EA" w:rsidRDefault="008C59D6" w:rsidP="00593027">
      <w:pPr>
        <w:pStyle w:val="NormalWeb"/>
        <w:spacing w:after="240" w:afterAutospacing="0"/>
        <w:rPr>
          <w:color w:val="500050"/>
          <w:shd w:val="clear" w:color="auto" w:fill="FFFFFF"/>
        </w:rPr>
      </w:pPr>
      <w:r>
        <w:rPr>
          <w:color w:val="222222"/>
        </w:rPr>
        <w:t xml:space="preserve">Additionally, </w:t>
      </w:r>
      <w:r w:rsidR="00743726">
        <w:rPr>
          <w:color w:val="222222"/>
        </w:rPr>
        <w:t>the data collected from</w:t>
      </w:r>
      <w:r w:rsidR="00593027">
        <w:rPr>
          <w:color w:val="222222"/>
        </w:rPr>
        <w:t xml:space="preserve"> I-Corps grantee</w:t>
      </w:r>
      <w:r w:rsidR="00743726">
        <w:rPr>
          <w:color w:val="222222"/>
        </w:rPr>
        <w:t>s</w:t>
      </w:r>
      <w:r w:rsidR="00593027">
        <w:rPr>
          <w:color w:val="222222"/>
        </w:rPr>
        <w:t xml:space="preserve"> </w:t>
      </w:r>
      <w:r w:rsidR="0091667F" w:rsidRPr="003915EA">
        <w:rPr>
          <w:color w:val="222222"/>
        </w:rPr>
        <w:t xml:space="preserve">will not be </w:t>
      </w:r>
      <w:r w:rsidR="00593027">
        <w:rPr>
          <w:color w:val="222222"/>
        </w:rPr>
        <w:t>used for publications as a</w:t>
      </w:r>
      <w:r w:rsidR="0091667F" w:rsidRPr="003915EA">
        <w:rPr>
          <w:color w:val="222222"/>
        </w:rPr>
        <w:t xml:space="preserve"> stand-alone product, because the data will be used as an input to how NSF manages, documents, evaluates, and measures its performance as an agency. </w:t>
      </w:r>
      <w:r w:rsidR="00593027" w:rsidRPr="00593027">
        <w:rPr>
          <w:color w:val="500050"/>
          <w:shd w:val="clear" w:color="auto" w:fill="FFFFFF"/>
        </w:rPr>
        <w:t xml:space="preserve"> </w:t>
      </w:r>
      <w:r w:rsidR="00593027" w:rsidRPr="00411A53">
        <w:rPr>
          <w:shd w:val="clear" w:color="auto" w:fill="FFFFFF"/>
        </w:rPr>
        <w:t xml:space="preserve">At this time, NSF </w:t>
      </w:r>
      <w:r w:rsidR="00593027" w:rsidRPr="003915EA">
        <w:rPr>
          <w:shd w:val="clear" w:color="auto" w:fill="FFFFFF"/>
        </w:rPr>
        <w:t>plans to produce a summary or descriptive report every year after completion of the data collections.</w:t>
      </w:r>
    </w:p>
    <w:p w14:paraId="2B2065CB" w14:textId="77777777" w:rsidR="00EB566A" w:rsidRPr="008E080D" w:rsidRDefault="00EB566A" w:rsidP="0091667F">
      <w:pPr>
        <w:spacing w:after="160" w:line="259" w:lineRule="auto"/>
        <w:rPr>
          <w:u w:val="single"/>
        </w:rPr>
      </w:pPr>
      <w:r w:rsidRPr="008E080D">
        <w:rPr>
          <w:u w:val="single"/>
        </w:rPr>
        <w:t>Analysis of Survey Data</w:t>
      </w:r>
    </w:p>
    <w:p w14:paraId="14EDF5B0" w14:textId="622D4AD8" w:rsidR="00EB566A" w:rsidRPr="005956DC" w:rsidRDefault="00EB566A" w:rsidP="00803394">
      <w:pPr>
        <w:spacing w:line="276" w:lineRule="auto"/>
      </w:pPr>
      <w:r w:rsidRPr="005956DC">
        <w:t xml:space="preserve">For all survey items, </w:t>
      </w:r>
      <w:r w:rsidR="00AA3FCE">
        <w:t xml:space="preserve">we will use </w:t>
      </w:r>
      <w:r w:rsidRPr="005956DC">
        <w:t>descriptive statistics</w:t>
      </w:r>
      <w:r w:rsidR="00AA3FCE">
        <w:t xml:space="preserve"> </w:t>
      </w:r>
      <w:r w:rsidRPr="005956DC">
        <w:t xml:space="preserve">to summarize responses. </w:t>
      </w:r>
      <w:r w:rsidR="00AA3FCE">
        <w:t>We will use t</w:t>
      </w:r>
      <w:r w:rsidRPr="005956DC">
        <w:t>ests for significant differences (e.g.</w:t>
      </w:r>
      <w:r w:rsidR="00AA3FCE">
        <w:t>,</w:t>
      </w:r>
      <w:r w:rsidRPr="005956DC">
        <w:t xml:space="preserve"> t-test</w:t>
      </w:r>
      <w:r w:rsidR="00E3573E">
        <w:t>, chi-square,</w:t>
      </w:r>
      <w:r w:rsidRPr="005956DC">
        <w:t xml:space="preserve"> and ANOVA) to compare responses between meaningful subgroups of respondents. Where appropriate, </w:t>
      </w:r>
      <w:r w:rsidR="00AA3FCE">
        <w:t xml:space="preserve">we will utilize </w:t>
      </w:r>
      <w:r w:rsidRPr="005956DC">
        <w:t>factor analysis to explore and assess unobserved variables based on the correlation among observed variables.</w:t>
      </w:r>
      <w:r w:rsidR="002A0B86">
        <w:t xml:space="preserve"> </w:t>
      </w:r>
    </w:p>
    <w:p w14:paraId="07F72BB8" w14:textId="77777777" w:rsidR="00EB566A" w:rsidRPr="005956DC" w:rsidRDefault="00EB566A" w:rsidP="00803394">
      <w:pPr>
        <w:spacing w:line="276" w:lineRule="auto"/>
      </w:pPr>
    </w:p>
    <w:p w14:paraId="3054EFF6" w14:textId="77777777" w:rsidR="00EB566A" w:rsidRDefault="00EB566A" w:rsidP="00803394">
      <w:pPr>
        <w:spacing w:line="276" w:lineRule="auto"/>
      </w:pPr>
      <w:r w:rsidRPr="005956DC">
        <w:t xml:space="preserve">With comparison groups, we will also model the program effects on outcomes of interest beyond descriptive statistics to draw more conclusive inferences about effects of the I-Corps program. Specifically, given the nested structure of data at the project and the individual levels, we may apply additional analysis methods, such as hierarchical linear models (HLM) or other mixed models to estimate program effects. Since project team members are nested within projects, the program outcomes are subject to the impact of factors at the project and individual levels. The HLM procedure allows formal partitioning of the variance of the outcome measures into two levels and estimates between-project variance as a proportion of the total variance. </w:t>
      </w:r>
      <w:r w:rsidR="007E337E">
        <w:t xml:space="preserve">We </w:t>
      </w:r>
      <w:r w:rsidR="006A3BF9">
        <w:t xml:space="preserve">may </w:t>
      </w:r>
      <w:r w:rsidR="007E337E">
        <w:t>use t</w:t>
      </w:r>
      <w:r w:rsidRPr="005956DC">
        <w:t>he procedure to confirm that the model fit is good enough and the estimates generated from individual-level data using the ordinary least square (OLS) procedure are valid and precise. We may specify and estimate the cross-level effects (also known as interaction effects) between project characteristics and individual characteristics on the program outcomes</w:t>
      </w:r>
      <w:r w:rsidR="006A3BF9">
        <w:t>:</w:t>
      </w:r>
      <w:r w:rsidRPr="005956DC">
        <w:t xml:space="preserve"> for example, the number of </w:t>
      </w:r>
      <w:r w:rsidR="007E337E" w:rsidRPr="007E337E">
        <w:t xml:space="preserve">Small Business Innovation Research </w:t>
      </w:r>
      <w:r w:rsidR="007E337E">
        <w:t>(</w:t>
      </w:r>
      <w:r w:rsidRPr="005956DC">
        <w:t>SBIR</w:t>
      </w:r>
      <w:r w:rsidR="007E337E">
        <w:t>)</w:t>
      </w:r>
      <w:r w:rsidRPr="005956DC">
        <w:t xml:space="preserve"> proposals submitted, the number and amount of non-governmental investments received, and the number of job</w:t>
      </w:r>
      <w:r w:rsidR="007E337E">
        <w:t>s</w:t>
      </w:r>
      <w:r w:rsidRPr="005956DC">
        <w:t xml:space="preserve"> created. </w:t>
      </w:r>
    </w:p>
    <w:p w14:paraId="45867A19" w14:textId="77777777" w:rsidR="00EB566A" w:rsidRPr="005956DC" w:rsidRDefault="00EB566A" w:rsidP="00803394">
      <w:pPr>
        <w:spacing w:line="276" w:lineRule="auto"/>
      </w:pPr>
    </w:p>
    <w:p w14:paraId="5306E0BB" w14:textId="77777777" w:rsidR="00EB566A" w:rsidRPr="008E080D" w:rsidRDefault="00EB566A" w:rsidP="00803394">
      <w:pPr>
        <w:spacing w:line="276" w:lineRule="auto"/>
        <w:jc w:val="both"/>
        <w:rPr>
          <w:rFonts w:eastAsiaTheme="minorEastAsia"/>
        </w:rPr>
      </w:pPr>
      <w:r w:rsidRPr="008E080D">
        <w:rPr>
          <w:rFonts w:eastAsiaTheme="minorEastAsia"/>
        </w:rPr>
        <w:t>Formally, a simple mixed model would be, at level 1 (individual level):</w:t>
      </w:r>
    </w:p>
    <w:p w14:paraId="49E842FF" w14:textId="77777777" w:rsidR="00EB566A" w:rsidRPr="008E080D" w:rsidRDefault="00CA3FF0" w:rsidP="00EB566A">
      <w:pPr>
        <w:spacing w:before="100" w:after="200"/>
        <w:jc w:val="both"/>
        <w:rPr>
          <w:rFonts w:eastAsiaTheme="minorEastAsia"/>
          <w:i/>
        </w:rPr>
      </w:pP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mj</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ij</m:t>
            </m:r>
          </m:sub>
        </m:sSub>
      </m:oMath>
      <w:r w:rsidR="00EB566A" w:rsidRPr="008E080D">
        <w:rPr>
          <w:rFonts w:eastAsiaTheme="minorEastAsia"/>
          <w:i/>
        </w:rPr>
        <w:t xml:space="preserve">     (1)</w:t>
      </w:r>
    </w:p>
    <w:p w14:paraId="6E5EFB0A" w14:textId="77777777" w:rsidR="00EB566A" w:rsidRPr="008E080D" w:rsidRDefault="00EB566A" w:rsidP="00803394">
      <w:pPr>
        <w:spacing w:line="276" w:lineRule="auto"/>
        <w:rPr>
          <w:rFonts w:eastAsiaTheme="minorEastAsia"/>
        </w:rPr>
      </w:pPr>
      <w:r w:rsidRPr="008E080D">
        <w:rPr>
          <w:rFonts w:eastAsiaTheme="minorEastAsia"/>
        </w:rPr>
        <w:lastRenderedPageBreak/>
        <w:t xml:space="preserve">where </w:t>
      </w:r>
      <w:r w:rsidRPr="008E080D">
        <w:rPr>
          <w:rFonts w:eastAsiaTheme="minorEastAsia"/>
          <w:i/>
        </w:rPr>
        <w:t>Y</w:t>
      </w:r>
      <w:r w:rsidRPr="008E080D">
        <w:rPr>
          <w:rFonts w:eastAsiaTheme="minorEastAsia"/>
          <w:i/>
          <w:vertAlign w:val="subscript"/>
        </w:rPr>
        <w:t>ij</w:t>
      </w:r>
      <w:r w:rsidRPr="008E080D">
        <w:rPr>
          <w:rFonts w:eastAsiaTheme="minorEastAsia"/>
        </w:rPr>
        <w:t xml:space="preserve"> denotes program outcomes for team member </w:t>
      </w:r>
      <w:r w:rsidRPr="008E080D">
        <w:rPr>
          <w:rFonts w:eastAsiaTheme="minorEastAsia"/>
          <w:i/>
        </w:rPr>
        <w:t>i</w:t>
      </w:r>
      <w:r w:rsidRPr="008E080D">
        <w:rPr>
          <w:rFonts w:eastAsiaTheme="minorEastAsia"/>
        </w:rPr>
        <w:t xml:space="preserve"> in project </w:t>
      </w:r>
      <w:r w:rsidRPr="008E080D">
        <w:rPr>
          <w:rFonts w:eastAsiaTheme="minorEastAsia"/>
          <w:i/>
        </w:rPr>
        <w:t>j,</w:t>
      </w:r>
      <w:r w:rsidRPr="008E080D">
        <w:rPr>
          <w:rFonts w:eastAsiaTheme="minorEastAsia"/>
        </w:rPr>
        <w:t xml:space="preserve"> </w:t>
      </w:r>
      <w:r w:rsidRPr="008E080D">
        <w:rPr>
          <w:rFonts w:eastAsiaTheme="minorEastAsia"/>
          <w:i/>
        </w:rPr>
        <w:t>β</w:t>
      </w:r>
      <w:r w:rsidRPr="008E080D">
        <w:rPr>
          <w:rFonts w:eastAsiaTheme="minorEastAsia"/>
          <w:i/>
          <w:vertAlign w:val="subscript"/>
        </w:rPr>
        <w:t>oj</w:t>
      </w:r>
      <w:r w:rsidRPr="008E080D">
        <w:rPr>
          <w:rFonts w:eastAsiaTheme="minorEastAsia"/>
        </w:rPr>
        <w:t xml:space="preserve"> is the expected error of individual </w:t>
      </w:r>
      <w:r w:rsidRPr="008E080D">
        <w:rPr>
          <w:rFonts w:eastAsiaTheme="minorEastAsia"/>
          <w:i/>
        </w:rPr>
        <w:t>i</w:t>
      </w:r>
      <w:r w:rsidRPr="008E080D">
        <w:rPr>
          <w:rFonts w:eastAsiaTheme="minorEastAsia"/>
        </w:rPr>
        <w:t xml:space="preserve"> in project </w:t>
      </w:r>
      <w:r w:rsidRPr="008E080D">
        <w:rPr>
          <w:rFonts w:eastAsiaTheme="minorEastAsia"/>
          <w:i/>
        </w:rPr>
        <w:t>j</w:t>
      </w:r>
      <w:r w:rsidRPr="008E080D">
        <w:rPr>
          <w:rFonts w:eastAsiaTheme="minorEastAsia"/>
        </w:rPr>
        <w:t xml:space="preserve">, </w:t>
      </w:r>
      <w:r w:rsidRPr="008E080D">
        <w:rPr>
          <w:rFonts w:eastAsiaTheme="minorEastAsia"/>
          <w:i/>
        </w:rPr>
        <w:t>β</w:t>
      </w:r>
      <w:r w:rsidRPr="008E080D">
        <w:rPr>
          <w:rFonts w:eastAsiaTheme="minorEastAsia"/>
          <w:i/>
          <w:vertAlign w:val="subscript"/>
        </w:rPr>
        <w:t>mj</w:t>
      </w:r>
      <w:r w:rsidRPr="008E080D">
        <w:rPr>
          <w:rFonts w:eastAsiaTheme="minorEastAsia"/>
        </w:rPr>
        <w:t xml:space="preserve"> is the effect of a vector of individual-level covariates </w:t>
      </w:r>
      <w:r w:rsidRPr="008E080D">
        <w:rPr>
          <w:rFonts w:eastAsiaTheme="minorEastAsia"/>
          <w:i/>
        </w:rPr>
        <w:t>X</w:t>
      </w:r>
      <w:r w:rsidRPr="008E080D">
        <w:rPr>
          <w:rFonts w:eastAsiaTheme="minorEastAsia"/>
          <w:i/>
          <w:vertAlign w:val="subscript"/>
        </w:rPr>
        <w:t>ij</w:t>
      </w:r>
      <w:r w:rsidRPr="008E080D">
        <w:rPr>
          <w:rFonts w:eastAsiaTheme="minorEastAsia"/>
        </w:rPr>
        <w:t xml:space="preserve">, e.g., </w:t>
      </w:r>
      <w:r w:rsidR="007E337E">
        <w:rPr>
          <w:rFonts w:eastAsiaTheme="minorEastAsia"/>
        </w:rPr>
        <w:t xml:space="preserve">a </w:t>
      </w:r>
      <w:r w:rsidRPr="008E080D">
        <w:rPr>
          <w:rFonts w:eastAsiaTheme="minorEastAsia"/>
        </w:rPr>
        <w:t xml:space="preserve">PI’s funding lineage, and </w:t>
      </w:r>
      <w:r w:rsidRPr="008E080D">
        <w:rPr>
          <w:rFonts w:eastAsiaTheme="minorEastAsia"/>
          <w:i/>
        </w:rPr>
        <w:t>r</w:t>
      </w:r>
      <w:r w:rsidRPr="008E080D">
        <w:rPr>
          <w:rFonts w:eastAsiaTheme="minorEastAsia"/>
          <w:i/>
          <w:vertAlign w:val="subscript"/>
        </w:rPr>
        <w:t xml:space="preserve">ij </w:t>
      </w:r>
      <w:r w:rsidRPr="008E080D">
        <w:rPr>
          <w:rFonts w:eastAsiaTheme="minorEastAsia"/>
        </w:rPr>
        <w:t>is the outcome variance that is not accounted for by the model.</w:t>
      </w:r>
    </w:p>
    <w:p w14:paraId="4CD196A2" w14:textId="77777777" w:rsidR="00FC2D1C" w:rsidRDefault="00FC2D1C" w:rsidP="00803394">
      <w:pPr>
        <w:spacing w:line="276" w:lineRule="auto"/>
        <w:rPr>
          <w:rFonts w:eastAsiaTheme="minorEastAsia"/>
        </w:rPr>
      </w:pPr>
    </w:p>
    <w:p w14:paraId="1F8CA330" w14:textId="77777777" w:rsidR="00EB566A" w:rsidRPr="008E080D" w:rsidRDefault="00EB566A" w:rsidP="00803394">
      <w:pPr>
        <w:spacing w:line="276" w:lineRule="auto"/>
        <w:rPr>
          <w:rFonts w:eastAsiaTheme="minorEastAsia"/>
        </w:rPr>
      </w:pPr>
      <w:r w:rsidRPr="008E080D">
        <w:rPr>
          <w:rFonts w:eastAsiaTheme="minorEastAsia"/>
        </w:rPr>
        <w:t>At level 2 (project level), we model the effects of individual-level covariates on program outcomes:</w:t>
      </w:r>
    </w:p>
    <w:p w14:paraId="715D3636" w14:textId="77777777" w:rsidR="00EB566A" w:rsidRPr="008E080D" w:rsidRDefault="00CA3FF0" w:rsidP="00EB566A">
      <w:pPr>
        <w:spacing w:before="100" w:after="200"/>
        <w:jc w:val="both"/>
        <w:rPr>
          <w:rFonts w:eastAsiaTheme="minorEastAsia"/>
          <w:i/>
        </w:rPr>
      </w:pP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01</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0j</m:t>
            </m:r>
          </m:sub>
        </m:sSub>
      </m:oMath>
      <w:r w:rsidR="00EB566A" w:rsidRPr="008E080D">
        <w:rPr>
          <w:rFonts w:eastAsiaTheme="minorEastAsia"/>
          <w:i/>
        </w:rPr>
        <w:t xml:space="preserve">   (2.1)</w:t>
      </w:r>
    </w:p>
    <w:p w14:paraId="1FF5A44A" w14:textId="77777777" w:rsidR="00EB566A" w:rsidRPr="008E080D" w:rsidRDefault="00CA3FF0" w:rsidP="00EB566A">
      <w:pPr>
        <w:spacing w:before="100" w:after="200"/>
        <w:jc w:val="both"/>
        <w:rPr>
          <w:rFonts w:eastAsiaTheme="minorEastAsia"/>
          <w:i/>
        </w:rPr>
      </w:pP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mj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m0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m1</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mj</m:t>
            </m:r>
          </m:sub>
        </m:sSub>
      </m:oMath>
      <w:r w:rsidR="00EB566A" w:rsidRPr="008E080D">
        <w:rPr>
          <w:rFonts w:eastAsiaTheme="minorEastAsia"/>
          <w:i/>
        </w:rPr>
        <w:t xml:space="preserve">  (2.2)</w:t>
      </w:r>
    </w:p>
    <w:p w14:paraId="2DAC694D" w14:textId="77777777" w:rsidR="00EB566A" w:rsidRPr="008E080D" w:rsidRDefault="00EB566A" w:rsidP="00803394">
      <w:pPr>
        <w:spacing w:line="276" w:lineRule="auto"/>
        <w:rPr>
          <w:rFonts w:eastAsiaTheme="minorEastAsia"/>
        </w:rPr>
      </w:pPr>
      <w:r w:rsidRPr="008E080D">
        <w:rPr>
          <w:rFonts w:eastAsiaTheme="minorEastAsia"/>
        </w:rPr>
        <w:t xml:space="preserve">where </w:t>
      </w:r>
      <w:r w:rsidRPr="008E080D">
        <w:rPr>
          <w:rFonts w:ascii="Cambria Math" w:eastAsiaTheme="minorEastAsia" w:hAnsi="Cambria Math" w:cs="Cambria Math"/>
          <w:i/>
        </w:rPr>
        <w:t>𝞬</w:t>
      </w:r>
      <w:r w:rsidRPr="008E080D">
        <w:rPr>
          <w:rFonts w:eastAsiaTheme="minorEastAsia"/>
          <w:i/>
          <w:vertAlign w:val="subscript"/>
        </w:rPr>
        <w:t xml:space="preserve">00 </w:t>
      </w:r>
      <w:r w:rsidRPr="008E080D">
        <w:rPr>
          <w:rFonts w:eastAsiaTheme="minorEastAsia"/>
        </w:rPr>
        <w:t>is the mean outcome value for all team members;</w:t>
      </w:r>
      <w:r w:rsidRPr="008E080D">
        <w:rPr>
          <w:rFonts w:eastAsiaTheme="minorEastAsia"/>
          <w:i/>
        </w:rPr>
        <w:t xml:space="preserve"> </w:t>
      </w:r>
      <w:r w:rsidRPr="008E080D">
        <w:rPr>
          <w:rFonts w:ascii="Cambria Math" w:eastAsiaTheme="minorEastAsia" w:hAnsi="Cambria Math" w:cs="Cambria Math"/>
          <w:i/>
        </w:rPr>
        <w:t>𝞬</w:t>
      </w:r>
      <w:r w:rsidRPr="008E080D">
        <w:rPr>
          <w:rFonts w:eastAsiaTheme="minorEastAsia"/>
          <w:i/>
          <w:vertAlign w:val="subscript"/>
        </w:rPr>
        <w:t xml:space="preserve">01 </w:t>
      </w:r>
      <w:r w:rsidRPr="008E080D">
        <w:rPr>
          <w:rFonts w:eastAsiaTheme="minorEastAsia"/>
        </w:rPr>
        <w:t xml:space="preserve">is the mean individual difference associated with </w:t>
      </w:r>
      <w:r w:rsidRPr="008E080D">
        <w:rPr>
          <w:rFonts w:eastAsiaTheme="minorEastAsia"/>
          <w:i/>
        </w:rPr>
        <w:t>W</w:t>
      </w:r>
      <w:r w:rsidRPr="008E080D">
        <w:rPr>
          <w:rFonts w:eastAsiaTheme="minorEastAsia"/>
          <w:i/>
          <w:vertAlign w:val="subscript"/>
        </w:rPr>
        <w:t>j</w:t>
      </w:r>
      <w:r w:rsidRPr="008E080D">
        <w:rPr>
          <w:rFonts w:eastAsiaTheme="minorEastAsia"/>
          <w:i/>
        </w:rPr>
        <w:t xml:space="preserve">, </w:t>
      </w:r>
      <w:r w:rsidRPr="008E080D">
        <w:rPr>
          <w:rFonts w:eastAsiaTheme="minorEastAsia"/>
        </w:rPr>
        <w:t xml:space="preserve">project-level characteristics; depending on the specific individual-level covariates, </w:t>
      </w:r>
      <w:r w:rsidRPr="008E080D">
        <w:rPr>
          <w:rFonts w:ascii="Cambria Math" w:eastAsiaTheme="minorEastAsia" w:hAnsi="Cambria Math" w:cs="Cambria Math"/>
          <w:i/>
        </w:rPr>
        <w:t>𝞬</w:t>
      </w:r>
      <w:r w:rsidRPr="008E080D">
        <w:rPr>
          <w:rFonts w:eastAsiaTheme="minorEastAsia"/>
          <w:i/>
          <w:vertAlign w:val="subscript"/>
        </w:rPr>
        <w:t xml:space="preserve">m0 </w:t>
      </w:r>
      <w:r w:rsidRPr="008E080D">
        <w:rPr>
          <w:rFonts w:eastAsiaTheme="minorEastAsia"/>
        </w:rPr>
        <w:t>may represent the average effects of individual-level characteristics on program outcomes (e.g.</w:t>
      </w:r>
      <w:r w:rsidR="00C77963">
        <w:rPr>
          <w:rFonts w:eastAsiaTheme="minorEastAsia"/>
        </w:rPr>
        <w:t>,</w:t>
      </w:r>
      <w:r w:rsidRPr="008E080D">
        <w:rPr>
          <w:rFonts w:eastAsiaTheme="minorEastAsia"/>
        </w:rPr>
        <w:t xml:space="preserve"> average effects of </w:t>
      </w:r>
      <w:r w:rsidR="00C77963">
        <w:rPr>
          <w:rFonts w:eastAsiaTheme="minorEastAsia"/>
        </w:rPr>
        <w:t xml:space="preserve">a </w:t>
      </w:r>
      <w:r w:rsidRPr="008E080D">
        <w:rPr>
          <w:rFonts w:eastAsiaTheme="minorEastAsia"/>
        </w:rPr>
        <w:t>PI’s funding lineage on SBIR submission)</w:t>
      </w:r>
      <w:r w:rsidR="00C77963">
        <w:rPr>
          <w:rFonts w:eastAsiaTheme="minorEastAsia"/>
        </w:rPr>
        <w:t>,</w:t>
      </w:r>
      <w:r w:rsidRPr="008E080D">
        <w:rPr>
          <w:rFonts w:eastAsiaTheme="minorEastAsia"/>
        </w:rPr>
        <w:t xml:space="preserve"> and </w:t>
      </w:r>
      <w:r w:rsidRPr="008E080D">
        <w:rPr>
          <w:rFonts w:ascii="Cambria Math" w:eastAsiaTheme="minorEastAsia" w:hAnsi="Cambria Math" w:cs="Cambria Math"/>
          <w:i/>
        </w:rPr>
        <w:t>𝞬</w:t>
      </w:r>
      <w:r w:rsidRPr="008E080D">
        <w:rPr>
          <w:rFonts w:eastAsiaTheme="minorEastAsia"/>
          <w:i/>
          <w:vertAlign w:val="subscript"/>
        </w:rPr>
        <w:t xml:space="preserve">m1 </w:t>
      </w:r>
      <w:r w:rsidRPr="008E080D">
        <w:rPr>
          <w:rFonts w:eastAsiaTheme="minorEastAsia"/>
        </w:rPr>
        <w:t>may represent the average difference in such effects that is associated with project-level characteristics</w:t>
      </w:r>
      <w:r w:rsidR="00C77963">
        <w:rPr>
          <w:rFonts w:eastAsiaTheme="minorEastAsia"/>
        </w:rPr>
        <w:t>; and</w:t>
      </w:r>
      <w:r w:rsidRPr="008E080D">
        <w:rPr>
          <w:rFonts w:eastAsiaTheme="minorEastAsia"/>
        </w:rPr>
        <w:t xml:space="preserve"> </w:t>
      </w:r>
      <w:r w:rsidRPr="008E080D">
        <w:rPr>
          <w:rFonts w:eastAsiaTheme="minorEastAsia"/>
          <w:i/>
        </w:rPr>
        <w:t>W</w:t>
      </w:r>
      <w:r w:rsidRPr="008E080D">
        <w:rPr>
          <w:rFonts w:eastAsiaTheme="minorEastAsia"/>
          <w:i/>
          <w:vertAlign w:val="subscript"/>
        </w:rPr>
        <w:t>j</w:t>
      </w:r>
      <w:r w:rsidRPr="008E080D">
        <w:rPr>
          <w:rFonts w:eastAsiaTheme="minorEastAsia"/>
        </w:rPr>
        <w:t>; and</w:t>
      </w:r>
      <w:r w:rsidRPr="008E080D">
        <w:rPr>
          <w:rFonts w:eastAsiaTheme="minorEastAsia"/>
          <w:i/>
        </w:rPr>
        <w:t xml:space="preserve"> µ</w:t>
      </w:r>
      <w:r w:rsidRPr="008E080D">
        <w:rPr>
          <w:rFonts w:eastAsiaTheme="minorEastAsia"/>
          <w:i/>
          <w:vertAlign w:val="subscript"/>
        </w:rPr>
        <w:t>0j</w:t>
      </w:r>
      <w:r w:rsidRPr="008E080D">
        <w:rPr>
          <w:rFonts w:eastAsiaTheme="minorEastAsia"/>
        </w:rPr>
        <w:t xml:space="preserve"> and </w:t>
      </w:r>
      <w:r w:rsidRPr="008E080D">
        <w:rPr>
          <w:rFonts w:eastAsiaTheme="minorEastAsia"/>
          <w:i/>
        </w:rPr>
        <w:t>µ</w:t>
      </w:r>
      <w:r w:rsidRPr="008E080D">
        <w:rPr>
          <w:rFonts w:eastAsiaTheme="minorEastAsia"/>
          <w:i/>
          <w:vertAlign w:val="subscript"/>
        </w:rPr>
        <w:t xml:space="preserve">mj </w:t>
      </w:r>
      <w:r w:rsidRPr="008E080D">
        <w:rPr>
          <w:rFonts w:eastAsiaTheme="minorEastAsia"/>
        </w:rPr>
        <w:t xml:space="preserve">are the unique effects of project </w:t>
      </w:r>
      <w:r w:rsidRPr="008E080D">
        <w:rPr>
          <w:rFonts w:eastAsiaTheme="minorEastAsia"/>
          <w:i/>
        </w:rPr>
        <w:t>j</w:t>
      </w:r>
      <w:r w:rsidRPr="008E080D">
        <w:rPr>
          <w:rFonts w:eastAsiaTheme="minorEastAsia"/>
        </w:rPr>
        <w:t xml:space="preserve"> on the mean program outcomes (</w:t>
      </w:r>
      <w:r w:rsidRPr="008E080D">
        <w:rPr>
          <w:rFonts w:eastAsiaTheme="minorEastAsia"/>
          <w:i/>
        </w:rPr>
        <w:t>β</w:t>
      </w:r>
      <w:r w:rsidRPr="008E080D">
        <w:rPr>
          <w:rFonts w:eastAsiaTheme="minorEastAsia"/>
          <w:i/>
          <w:vertAlign w:val="subscript"/>
        </w:rPr>
        <w:t>0j</w:t>
      </w:r>
      <w:r w:rsidRPr="008E080D">
        <w:rPr>
          <w:rFonts w:eastAsiaTheme="minorEastAsia"/>
        </w:rPr>
        <w:t>) and the slope (</w:t>
      </w:r>
      <w:r w:rsidRPr="008E080D">
        <w:rPr>
          <w:rFonts w:eastAsiaTheme="minorEastAsia"/>
          <w:i/>
        </w:rPr>
        <w:t>β</w:t>
      </w:r>
      <w:r w:rsidRPr="008E080D">
        <w:rPr>
          <w:rFonts w:eastAsiaTheme="minorEastAsia"/>
          <w:i/>
          <w:vertAlign w:val="subscript"/>
        </w:rPr>
        <w:t>mj</w:t>
      </w:r>
      <w:r w:rsidRPr="008E080D">
        <w:rPr>
          <w:rFonts w:eastAsiaTheme="minorEastAsia"/>
        </w:rPr>
        <w:t xml:space="preserve">), respectively, holding </w:t>
      </w:r>
      <w:r w:rsidRPr="008E080D">
        <w:rPr>
          <w:rFonts w:eastAsiaTheme="minorEastAsia"/>
          <w:i/>
        </w:rPr>
        <w:t>W</w:t>
      </w:r>
      <w:r w:rsidRPr="008E080D">
        <w:rPr>
          <w:rFonts w:eastAsiaTheme="minorEastAsia"/>
          <w:i/>
          <w:vertAlign w:val="subscript"/>
        </w:rPr>
        <w:t>j</w:t>
      </w:r>
      <w:r w:rsidRPr="008E080D">
        <w:rPr>
          <w:rFonts w:eastAsiaTheme="minorEastAsia"/>
          <w:i/>
        </w:rPr>
        <w:t xml:space="preserve"> </w:t>
      </w:r>
      <w:r w:rsidRPr="008E080D">
        <w:rPr>
          <w:rFonts w:eastAsiaTheme="minorEastAsia"/>
        </w:rPr>
        <w:t>constant.</w:t>
      </w:r>
    </w:p>
    <w:p w14:paraId="4A506E36" w14:textId="77777777" w:rsidR="00921829" w:rsidRDefault="00921829" w:rsidP="00803394">
      <w:pPr>
        <w:spacing w:line="276" w:lineRule="auto"/>
      </w:pPr>
    </w:p>
    <w:p w14:paraId="0AA0F326" w14:textId="77777777" w:rsidR="00921829" w:rsidRPr="002004B4" w:rsidRDefault="00921829" w:rsidP="00457524">
      <w:pPr>
        <w:tabs>
          <w:tab w:val="right" w:pos="360"/>
          <w:tab w:val="left" w:pos="720"/>
        </w:tabs>
        <w:autoSpaceDE w:val="0"/>
        <w:autoSpaceDN w:val="0"/>
        <w:adjustRightInd w:val="0"/>
        <w:ind w:left="720" w:hanging="720"/>
        <w:rPr>
          <w:i/>
          <w:highlight w:val="lightGray"/>
        </w:rPr>
      </w:pPr>
      <w:r w:rsidRPr="00A0586A">
        <w:rPr>
          <w:i/>
        </w:rPr>
        <w:tab/>
      </w:r>
      <w:r w:rsidRPr="00803394">
        <w:rPr>
          <w:i/>
        </w:rPr>
        <w:t>17.</w:t>
      </w:r>
      <w:r w:rsidRPr="00803394">
        <w:rPr>
          <w:i/>
        </w:rPr>
        <w:tab/>
      </w:r>
      <w:r w:rsidRPr="00F84388">
        <w:rPr>
          <w:i/>
        </w:rPr>
        <w:t>If seeking approval to not display the expiration date for OMB approval of the information collection, explain the reasons that display would be inappropriate</w:t>
      </w:r>
      <w:r w:rsidRPr="00803394">
        <w:rPr>
          <w:i/>
        </w:rPr>
        <w:t xml:space="preserve">. </w:t>
      </w:r>
    </w:p>
    <w:p w14:paraId="5B9CB100" w14:textId="77777777" w:rsidR="00921829" w:rsidRPr="00CC721F" w:rsidRDefault="00921829" w:rsidP="00803394">
      <w:pPr>
        <w:autoSpaceDE w:val="0"/>
        <w:autoSpaceDN w:val="0"/>
        <w:adjustRightInd w:val="0"/>
        <w:spacing w:line="276" w:lineRule="auto"/>
        <w:ind w:left="720"/>
      </w:pPr>
    </w:p>
    <w:p w14:paraId="253F2FAF" w14:textId="77777777" w:rsidR="00921829" w:rsidRPr="00CC721F" w:rsidRDefault="00C77963" w:rsidP="00803394">
      <w:pPr>
        <w:tabs>
          <w:tab w:val="left" w:pos="1530"/>
        </w:tabs>
        <w:autoSpaceDE w:val="0"/>
        <w:autoSpaceDN w:val="0"/>
        <w:adjustRightInd w:val="0"/>
        <w:spacing w:line="276" w:lineRule="auto"/>
      </w:pPr>
      <w:r>
        <w:t xml:space="preserve">We will display </w:t>
      </w:r>
      <w:r w:rsidR="00921829" w:rsidRPr="00CC721F">
        <w:t xml:space="preserve">OMB approval information on the data collection, including expiration date, at the beginning of </w:t>
      </w:r>
      <w:r w:rsidR="006A3BF9">
        <w:t>all data collection instruments</w:t>
      </w:r>
      <w:r w:rsidR="00921829" w:rsidRPr="00CC721F">
        <w:t xml:space="preserve">. The following statement will be attached to the data collection </w:t>
      </w:r>
      <w:r w:rsidR="00921829">
        <w:t>instrument</w:t>
      </w:r>
      <w:r w:rsidR="00921829" w:rsidRPr="00CC721F">
        <w:t>:</w:t>
      </w:r>
    </w:p>
    <w:p w14:paraId="04150885" w14:textId="77777777" w:rsidR="00921829" w:rsidRPr="00CC721F" w:rsidRDefault="00921829" w:rsidP="00803394">
      <w:pPr>
        <w:autoSpaceDE w:val="0"/>
        <w:autoSpaceDN w:val="0"/>
        <w:adjustRightInd w:val="0"/>
        <w:spacing w:line="276" w:lineRule="auto"/>
      </w:pPr>
    </w:p>
    <w:p w14:paraId="35F495C8" w14:textId="23AB4413" w:rsidR="00921829" w:rsidRPr="00CC721F" w:rsidRDefault="00921829" w:rsidP="00803394">
      <w:pPr>
        <w:autoSpaceDE w:val="0"/>
        <w:autoSpaceDN w:val="0"/>
        <w:adjustRightInd w:val="0"/>
        <w:spacing w:line="276" w:lineRule="auto"/>
      </w:pPr>
      <w:r w:rsidRPr="00CC721F">
        <w:t xml:space="preserve">“The OMB control number for this project is </w:t>
      </w:r>
      <w:r w:rsidRPr="00E253D2">
        <w:rPr>
          <w:shd w:val="clear" w:color="auto" w:fill="FFF2CC" w:themeFill="accent4" w:themeFillTint="33"/>
        </w:rPr>
        <w:t>3145-NEW.</w:t>
      </w:r>
      <w:r w:rsidRPr="00CC721F">
        <w:t xml:space="preserve"> Public reporting burden for this collection of information is estimated to average </w:t>
      </w:r>
      <w:r w:rsidR="00F82A9C">
        <w:t>1</w:t>
      </w:r>
      <w:r w:rsidR="00CA3FF0">
        <w:t>5</w:t>
      </w:r>
      <w:bookmarkStart w:id="4" w:name="_GoBack"/>
      <w:bookmarkEnd w:id="4"/>
      <w:r w:rsidR="00F82A9C" w:rsidRPr="00CC721F">
        <w:t xml:space="preserve"> </w:t>
      </w:r>
      <w:r w:rsidRPr="00CC721F">
        <w:t>minutes per respondent,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w:t>
      </w:r>
      <w:r w:rsidR="00C77963">
        <w:t>,</w:t>
      </w:r>
      <w:r w:rsidRPr="00CC721F">
        <w:t xml:space="preserve"> to Suzanne H. Plimpton, Reports Clearance Officer, National Science Foundation, 4201 Wilson Boulevard, Suite 1265, Arlington, Virginia 22230 or send e</w:t>
      </w:r>
      <w:r w:rsidR="00B47546">
        <w:t>-</w:t>
      </w:r>
      <w:r w:rsidRPr="00CC721F">
        <w:t xml:space="preserve">mail to splimpto@nsf.gov.” </w:t>
      </w:r>
    </w:p>
    <w:p w14:paraId="0322EDBB" w14:textId="77777777" w:rsidR="00921829" w:rsidRPr="00CC721F" w:rsidRDefault="00921829" w:rsidP="00803394">
      <w:pPr>
        <w:autoSpaceDE w:val="0"/>
        <w:autoSpaceDN w:val="0"/>
        <w:adjustRightInd w:val="0"/>
        <w:spacing w:line="276" w:lineRule="auto"/>
        <w:ind w:left="720"/>
      </w:pPr>
    </w:p>
    <w:p w14:paraId="6E06CAC4" w14:textId="77777777" w:rsidR="00921829" w:rsidRPr="00CC721F" w:rsidRDefault="00921829" w:rsidP="00457524">
      <w:pPr>
        <w:tabs>
          <w:tab w:val="right" w:pos="360"/>
          <w:tab w:val="left" w:pos="720"/>
        </w:tabs>
        <w:autoSpaceDE w:val="0"/>
        <w:autoSpaceDN w:val="0"/>
        <w:adjustRightInd w:val="0"/>
        <w:ind w:left="720" w:hanging="720"/>
        <w:rPr>
          <w:i/>
        </w:rPr>
      </w:pPr>
      <w:r w:rsidRPr="00CC721F">
        <w:rPr>
          <w:i/>
        </w:rPr>
        <w:tab/>
      </w:r>
      <w:r w:rsidRPr="00803394">
        <w:rPr>
          <w:i/>
        </w:rPr>
        <w:t>18.</w:t>
      </w:r>
      <w:r w:rsidRPr="00803394">
        <w:rPr>
          <w:i/>
        </w:rPr>
        <w:tab/>
      </w:r>
      <w:r w:rsidRPr="00F84388">
        <w:rPr>
          <w:i/>
        </w:rPr>
        <w:t>Explain each exception to the topics of the certification statement identified in “Certification for Paperwork Reduction Act Submissions.”</w:t>
      </w:r>
    </w:p>
    <w:p w14:paraId="159DA503" w14:textId="77777777" w:rsidR="00921829" w:rsidRPr="00CC721F" w:rsidRDefault="00921829" w:rsidP="00803394">
      <w:pPr>
        <w:autoSpaceDE w:val="0"/>
        <w:autoSpaceDN w:val="0"/>
        <w:adjustRightInd w:val="0"/>
        <w:spacing w:line="276" w:lineRule="auto"/>
      </w:pPr>
    </w:p>
    <w:p w14:paraId="5BD02C8B" w14:textId="77777777" w:rsidR="00921829" w:rsidRPr="00CC721F" w:rsidRDefault="00921829" w:rsidP="00803394">
      <w:pPr>
        <w:autoSpaceDE w:val="0"/>
        <w:autoSpaceDN w:val="0"/>
        <w:adjustRightInd w:val="0"/>
        <w:spacing w:line="276" w:lineRule="auto"/>
      </w:pPr>
      <w:r w:rsidRPr="00CC721F">
        <w:t xml:space="preserve">There are no exceptions to the certification statement. </w:t>
      </w:r>
    </w:p>
    <w:p w14:paraId="5C49C323" w14:textId="77777777" w:rsidR="00921829" w:rsidRPr="00CC721F" w:rsidRDefault="00921829" w:rsidP="00921829">
      <w:pPr>
        <w:rPr>
          <w:b/>
        </w:rPr>
      </w:pPr>
    </w:p>
    <w:p w14:paraId="271C1C7A" w14:textId="05D6332E" w:rsidR="00465DC0" w:rsidRPr="00A661C3" w:rsidRDefault="00465DC0">
      <w:pPr>
        <w:spacing w:after="160" w:line="259" w:lineRule="auto"/>
        <w:rPr>
          <w:b/>
        </w:rPr>
      </w:pPr>
    </w:p>
    <w:sectPr w:rsidR="00465DC0" w:rsidRPr="00A661C3" w:rsidSect="006341D8">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731D9" w14:textId="77777777" w:rsidR="00E90042" w:rsidRDefault="00E90042" w:rsidP="00921829">
      <w:r>
        <w:separator/>
      </w:r>
    </w:p>
  </w:endnote>
  <w:endnote w:type="continuationSeparator" w:id="0">
    <w:p w14:paraId="60E7595A" w14:textId="77777777" w:rsidR="00E90042" w:rsidRDefault="00E90042" w:rsidP="0092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495797"/>
      <w:docPartObj>
        <w:docPartGallery w:val="Page Numbers (Bottom of Page)"/>
        <w:docPartUnique/>
      </w:docPartObj>
    </w:sdtPr>
    <w:sdtEndPr/>
    <w:sdtContent>
      <w:p w14:paraId="14496FC6" w14:textId="411FCDF1" w:rsidR="00EA0B24" w:rsidRDefault="00EA0B24">
        <w:pPr>
          <w:pStyle w:val="Footer"/>
          <w:jc w:val="center"/>
        </w:pPr>
        <w:r>
          <w:t xml:space="preserve">- </w:t>
        </w:r>
        <w:r>
          <w:fldChar w:fldCharType="begin"/>
        </w:r>
        <w:r>
          <w:instrText xml:space="preserve"> PAGE   \* MERGEFORMAT </w:instrText>
        </w:r>
        <w:r>
          <w:fldChar w:fldCharType="separate"/>
        </w:r>
        <w:r w:rsidR="00CA3FF0">
          <w:rPr>
            <w:noProof/>
          </w:rPr>
          <w:t>14</w:t>
        </w:r>
        <w:r>
          <w:rPr>
            <w:noProof/>
          </w:rPr>
          <w:fldChar w:fldCharType="end"/>
        </w:r>
        <w:r>
          <w:rPr>
            <w:noProof/>
          </w:rPr>
          <w:t xml:space="preserve"> -</w:t>
        </w:r>
      </w:p>
    </w:sdtContent>
  </w:sdt>
  <w:p w14:paraId="6051AA29" w14:textId="77777777" w:rsidR="00EA0B24" w:rsidRDefault="00EA0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EE3AF" w14:textId="77777777" w:rsidR="00E90042" w:rsidRDefault="00E90042" w:rsidP="00921829">
      <w:r>
        <w:separator/>
      </w:r>
    </w:p>
  </w:footnote>
  <w:footnote w:type="continuationSeparator" w:id="0">
    <w:p w14:paraId="4FA9C76D" w14:textId="77777777" w:rsidR="00E90042" w:rsidRDefault="00E90042" w:rsidP="00921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64D6"/>
    <w:multiLevelType w:val="hybridMultilevel"/>
    <w:tmpl w:val="41E0C01A"/>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32C9"/>
    <w:multiLevelType w:val="hybridMultilevel"/>
    <w:tmpl w:val="A3E2B9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DB8"/>
    <w:multiLevelType w:val="hybridMultilevel"/>
    <w:tmpl w:val="E91C6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038"/>
    <w:multiLevelType w:val="hybridMultilevel"/>
    <w:tmpl w:val="EEACE664"/>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042FC"/>
    <w:multiLevelType w:val="hybridMultilevel"/>
    <w:tmpl w:val="B844BA30"/>
    <w:lvl w:ilvl="0" w:tplc="B15C90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92BA0"/>
    <w:multiLevelType w:val="hybridMultilevel"/>
    <w:tmpl w:val="B308EC2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6223F"/>
    <w:multiLevelType w:val="hybridMultilevel"/>
    <w:tmpl w:val="EC423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702C8"/>
    <w:multiLevelType w:val="hybridMultilevel"/>
    <w:tmpl w:val="B1D6DBC4"/>
    <w:lvl w:ilvl="0" w:tplc="04090003">
      <w:start w:val="1"/>
      <w:numFmt w:val="bullet"/>
      <w:lvlText w:val="o"/>
      <w:lvlJc w:val="left"/>
      <w:pPr>
        <w:ind w:left="1320" w:hanging="360"/>
      </w:pPr>
      <w:rPr>
        <w:rFonts w:ascii="Courier New" w:hAnsi="Courier New" w:cs="Arial" w:hint="default"/>
      </w:rPr>
    </w:lvl>
    <w:lvl w:ilvl="1" w:tplc="04090003" w:tentative="1">
      <w:start w:val="1"/>
      <w:numFmt w:val="bullet"/>
      <w:lvlText w:val="o"/>
      <w:lvlJc w:val="left"/>
      <w:pPr>
        <w:ind w:left="2040" w:hanging="360"/>
      </w:pPr>
      <w:rPr>
        <w:rFonts w:ascii="Courier New" w:hAnsi="Courier New" w:cs="Arial"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Arial"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Arial"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0F2B22E6"/>
    <w:multiLevelType w:val="hybridMultilevel"/>
    <w:tmpl w:val="EC3C6DAC"/>
    <w:lvl w:ilvl="0" w:tplc="04090003">
      <w:start w:val="1"/>
      <w:numFmt w:val="bullet"/>
      <w:lvlText w:val="o"/>
      <w:lvlJc w:val="left"/>
      <w:pPr>
        <w:ind w:left="1120" w:hanging="360"/>
      </w:pPr>
      <w:rPr>
        <w:rFonts w:ascii="Courier New" w:hAnsi="Courier New" w:cs="Arial" w:hint="default"/>
      </w:rPr>
    </w:lvl>
    <w:lvl w:ilvl="1" w:tplc="04090003" w:tentative="1">
      <w:start w:val="1"/>
      <w:numFmt w:val="bullet"/>
      <w:lvlText w:val="o"/>
      <w:lvlJc w:val="left"/>
      <w:pPr>
        <w:ind w:left="1840" w:hanging="360"/>
      </w:pPr>
      <w:rPr>
        <w:rFonts w:ascii="Courier New" w:hAnsi="Courier New" w:cs="Arial"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Arial"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Arial" w:hint="default"/>
      </w:rPr>
    </w:lvl>
    <w:lvl w:ilvl="8" w:tplc="04090005" w:tentative="1">
      <w:start w:val="1"/>
      <w:numFmt w:val="bullet"/>
      <w:lvlText w:val=""/>
      <w:lvlJc w:val="left"/>
      <w:pPr>
        <w:ind w:left="6880" w:hanging="360"/>
      </w:pPr>
      <w:rPr>
        <w:rFonts w:ascii="Wingdings" w:hAnsi="Wingdings" w:hint="default"/>
      </w:rPr>
    </w:lvl>
  </w:abstractNum>
  <w:abstractNum w:abstractNumId="9" w15:restartNumberingAfterBreak="0">
    <w:nsid w:val="0F904099"/>
    <w:multiLevelType w:val="hybridMultilevel"/>
    <w:tmpl w:val="D632E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15253"/>
    <w:multiLevelType w:val="hybridMultilevel"/>
    <w:tmpl w:val="0C882AF4"/>
    <w:lvl w:ilvl="0" w:tplc="04090003">
      <w:start w:val="1"/>
      <w:numFmt w:val="bullet"/>
      <w:lvlText w:val="o"/>
      <w:lvlJc w:val="left"/>
      <w:pPr>
        <w:ind w:left="1120" w:hanging="360"/>
      </w:pPr>
      <w:rPr>
        <w:rFonts w:ascii="Courier New" w:hAnsi="Courier New" w:cs="Arial" w:hint="default"/>
      </w:rPr>
    </w:lvl>
    <w:lvl w:ilvl="1" w:tplc="04090003" w:tentative="1">
      <w:start w:val="1"/>
      <w:numFmt w:val="bullet"/>
      <w:lvlText w:val="o"/>
      <w:lvlJc w:val="left"/>
      <w:pPr>
        <w:ind w:left="1840" w:hanging="360"/>
      </w:pPr>
      <w:rPr>
        <w:rFonts w:ascii="Courier New" w:hAnsi="Courier New" w:cs="Arial"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Arial"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Arial" w:hint="default"/>
      </w:rPr>
    </w:lvl>
    <w:lvl w:ilvl="8" w:tplc="04090005" w:tentative="1">
      <w:start w:val="1"/>
      <w:numFmt w:val="bullet"/>
      <w:lvlText w:val=""/>
      <w:lvlJc w:val="left"/>
      <w:pPr>
        <w:ind w:left="6880" w:hanging="360"/>
      </w:pPr>
      <w:rPr>
        <w:rFonts w:ascii="Wingdings" w:hAnsi="Wingdings" w:hint="default"/>
      </w:rPr>
    </w:lvl>
  </w:abstractNum>
  <w:abstractNum w:abstractNumId="11" w15:restartNumberingAfterBreak="0">
    <w:nsid w:val="12E34B0A"/>
    <w:multiLevelType w:val="hybridMultilevel"/>
    <w:tmpl w:val="21923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046D3B"/>
    <w:multiLevelType w:val="hybridMultilevel"/>
    <w:tmpl w:val="A0566F34"/>
    <w:lvl w:ilvl="0" w:tplc="04090003">
      <w:start w:val="1"/>
      <w:numFmt w:val="bullet"/>
      <w:lvlText w:val="o"/>
      <w:lvlJc w:val="left"/>
      <w:pPr>
        <w:ind w:left="1120" w:hanging="360"/>
      </w:pPr>
      <w:rPr>
        <w:rFonts w:ascii="Courier New" w:hAnsi="Courier New" w:cs="Arial" w:hint="default"/>
      </w:rPr>
    </w:lvl>
    <w:lvl w:ilvl="1" w:tplc="04090003" w:tentative="1">
      <w:start w:val="1"/>
      <w:numFmt w:val="bullet"/>
      <w:lvlText w:val="o"/>
      <w:lvlJc w:val="left"/>
      <w:pPr>
        <w:ind w:left="1840" w:hanging="360"/>
      </w:pPr>
      <w:rPr>
        <w:rFonts w:ascii="Courier New" w:hAnsi="Courier New" w:cs="Arial"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Arial"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Arial"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1BAD7D26"/>
    <w:multiLevelType w:val="hybridMultilevel"/>
    <w:tmpl w:val="7048E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96E4C"/>
    <w:multiLevelType w:val="hybridMultilevel"/>
    <w:tmpl w:val="60EA6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A7410"/>
    <w:multiLevelType w:val="hybridMultilevel"/>
    <w:tmpl w:val="C444D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87ACA"/>
    <w:multiLevelType w:val="hybridMultilevel"/>
    <w:tmpl w:val="518CFDDC"/>
    <w:lvl w:ilvl="0" w:tplc="6DCEE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B5633"/>
    <w:multiLevelType w:val="hybridMultilevel"/>
    <w:tmpl w:val="49443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20A5B"/>
    <w:multiLevelType w:val="hybridMultilevel"/>
    <w:tmpl w:val="CB400774"/>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10EA2"/>
    <w:multiLevelType w:val="hybridMultilevel"/>
    <w:tmpl w:val="44D298BE"/>
    <w:lvl w:ilvl="0" w:tplc="04090003">
      <w:start w:val="1"/>
      <w:numFmt w:val="bullet"/>
      <w:lvlText w:val="o"/>
      <w:lvlJc w:val="left"/>
      <w:pPr>
        <w:ind w:left="1320" w:hanging="360"/>
      </w:pPr>
      <w:rPr>
        <w:rFonts w:ascii="Courier New" w:hAnsi="Courier New" w:cs="Arial" w:hint="default"/>
      </w:rPr>
    </w:lvl>
    <w:lvl w:ilvl="1" w:tplc="04090003" w:tentative="1">
      <w:start w:val="1"/>
      <w:numFmt w:val="bullet"/>
      <w:lvlText w:val="o"/>
      <w:lvlJc w:val="left"/>
      <w:pPr>
        <w:ind w:left="2040" w:hanging="360"/>
      </w:pPr>
      <w:rPr>
        <w:rFonts w:ascii="Courier New" w:hAnsi="Courier New" w:cs="Arial"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Arial"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Arial" w:hint="default"/>
      </w:rPr>
    </w:lvl>
    <w:lvl w:ilvl="8" w:tplc="04090005" w:tentative="1">
      <w:start w:val="1"/>
      <w:numFmt w:val="bullet"/>
      <w:lvlText w:val=""/>
      <w:lvlJc w:val="left"/>
      <w:pPr>
        <w:ind w:left="7080" w:hanging="360"/>
      </w:pPr>
      <w:rPr>
        <w:rFonts w:ascii="Wingdings" w:hAnsi="Wingdings" w:hint="default"/>
      </w:rPr>
    </w:lvl>
  </w:abstractNum>
  <w:abstractNum w:abstractNumId="20" w15:restartNumberingAfterBreak="0">
    <w:nsid w:val="28FE50CC"/>
    <w:multiLevelType w:val="hybridMultilevel"/>
    <w:tmpl w:val="BBB45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E85568"/>
    <w:multiLevelType w:val="hybridMultilevel"/>
    <w:tmpl w:val="68CAA204"/>
    <w:lvl w:ilvl="0" w:tplc="04090003">
      <w:start w:val="1"/>
      <w:numFmt w:val="bullet"/>
      <w:lvlText w:val="o"/>
      <w:lvlJc w:val="left"/>
      <w:pPr>
        <w:ind w:left="1120" w:hanging="360"/>
      </w:pPr>
      <w:rPr>
        <w:rFonts w:ascii="Courier New" w:hAnsi="Courier New" w:cs="Arial" w:hint="default"/>
      </w:rPr>
    </w:lvl>
    <w:lvl w:ilvl="1" w:tplc="04090003" w:tentative="1">
      <w:start w:val="1"/>
      <w:numFmt w:val="bullet"/>
      <w:lvlText w:val="o"/>
      <w:lvlJc w:val="left"/>
      <w:pPr>
        <w:ind w:left="1840" w:hanging="360"/>
      </w:pPr>
      <w:rPr>
        <w:rFonts w:ascii="Courier New" w:hAnsi="Courier New" w:cs="Arial"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Arial"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Arial" w:hint="default"/>
      </w:rPr>
    </w:lvl>
    <w:lvl w:ilvl="8" w:tplc="04090005" w:tentative="1">
      <w:start w:val="1"/>
      <w:numFmt w:val="bullet"/>
      <w:lvlText w:val=""/>
      <w:lvlJc w:val="left"/>
      <w:pPr>
        <w:ind w:left="6880" w:hanging="360"/>
      </w:pPr>
      <w:rPr>
        <w:rFonts w:ascii="Wingdings" w:hAnsi="Wingdings" w:hint="default"/>
      </w:rPr>
    </w:lvl>
  </w:abstractNum>
  <w:abstractNum w:abstractNumId="22" w15:restartNumberingAfterBreak="0">
    <w:nsid w:val="2A1E6D66"/>
    <w:multiLevelType w:val="hybridMultilevel"/>
    <w:tmpl w:val="A04AA7A0"/>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2C7641"/>
    <w:multiLevelType w:val="hybridMultilevel"/>
    <w:tmpl w:val="B6C8A58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C71AE"/>
    <w:multiLevelType w:val="hybridMultilevel"/>
    <w:tmpl w:val="C3E26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7057A8"/>
    <w:multiLevelType w:val="hybridMultilevel"/>
    <w:tmpl w:val="873A384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481AB2"/>
    <w:multiLevelType w:val="hybridMultilevel"/>
    <w:tmpl w:val="B51C9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4F7AAB"/>
    <w:multiLevelType w:val="hybridMultilevel"/>
    <w:tmpl w:val="79DEC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2907AA4"/>
    <w:multiLevelType w:val="hybridMultilevel"/>
    <w:tmpl w:val="6E5A0C30"/>
    <w:lvl w:ilvl="0" w:tplc="780E4AB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8705FC"/>
    <w:multiLevelType w:val="hybridMultilevel"/>
    <w:tmpl w:val="9614F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FF4AC8"/>
    <w:multiLevelType w:val="hybridMultilevel"/>
    <w:tmpl w:val="C3BEFCB2"/>
    <w:lvl w:ilvl="0" w:tplc="A93CD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C52EC5"/>
    <w:multiLevelType w:val="hybridMultilevel"/>
    <w:tmpl w:val="0FEE93D0"/>
    <w:lvl w:ilvl="0" w:tplc="04090003">
      <w:start w:val="1"/>
      <w:numFmt w:val="bullet"/>
      <w:lvlText w:val="o"/>
      <w:lvlJc w:val="left"/>
      <w:pPr>
        <w:ind w:left="1320" w:hanging="360"/>
      </w:pPr>
      <w:rPr>
        <w:rFonts w:ascii="Courier New" w:hAnsi="Courier New" w:cs="Arial" w:hint="default"/>
      </w:rPr>
    </w:lvl>
    <w:lvl w:ilvl="1" w:tplc="04090003" w:tentative="1">
      <w:start w:val="1"/>
      <w:numFmt w:val="bullet"/>
      <w:lvlText w:val="o"/>
      <w:lvlJc w:val="left"/>
      <w:pPr>
        <w:ind w:left="2040" w:hanging="360"/>
      </w:pPr>
      <w:rPr>
        <w:rFonts w:ascii="Courier New" w:hAnsi="Courier New" w:cs="Arial"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Arial"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Arial"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39511AEE"/>
    <w:multiLevelType w:val="hybridMultilevel"/>
    <w:tmpl w:val="7A08F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794503"/>
    <w:multiLevelType w:val="hybridMultilevel"/>
    <w:tmpl w:val="69DC9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2D4320"/>
    <w:multiLevelType w:val="hybridMultilevel"/>
    <w:tmpl w:val="A8542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611B9F"/>
    <w:multiLevelType w:val="hybridMultilevel"/>
    <w:tmpl w:val="D70A246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9E2977"/>
    <w:multiLevelType w:val="hybridMultilevel"/>
    <w:tmpl w:val="F0E8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A24FF0"/>
    <w:multiLevelType w:val="hybridMultilevel"/>
    <w:tmpl w:val="F1562632"/>
    <w:lvl w:ilvl="0" w:tplc="04090003">
      <w:start w:val="1"/>
      <w:numFmt w:val="bullet"/>
      <w:lvlText w:val="o"/>
      <w:lvlJc w:val="left"/>
      <w:pPr>
        <w:ind w:left="1320" w:hanging="360"/>
      </w:pPr>
      <w:rPr>
        <w:rFonts w:ascii="Courier New" w:hAnsi="Courier New" w:cs="Arial" w:hint="default"/>
      </w:rPr>
    </w:lvl>
    <w:lvl w:ilvl="1" w:tplc="04090003" w:tentative="1">
      <w:start w:val="1"/>
      <w:numFmt w:val="bullet"/>
      <w:lvlText w:val="o"/>
      <w:lvlJc w:val="left"/>
      <w:pPr>
        <w:ind w:left="2040" w:hanging="360"/>
      </w:pPr>
      <w:rPr>
        <w:rFonts w:ascii="Courier New" w:hAnsi="Courier New" w:cs="Arial"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Arial"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Arial" w:hint="default"/>
      </w:rPr>
    </w:lvl>
    <w:lvl w:ilvl="8" w:tplc="04090005" w:tentative="1">
      <w:start w:val="1"/>
      <w:numFmt w:val="bullet"/>
      <w:lvlText w:val=""/>
      <w:lvlJc w:val="left"/>
      <w:pPr>
        <w:ind w:left="7080" w:hanging="360"/>
      </w:pPr>
      <w:rPr>
        <w:rFonts w:ascii="Wingdings" w:hAnsi="Wingdings" w:hint="default"/>
      </w:rPr>
    </w:lvl>
  </w:abstractNum>
  <w:abstractNum w:abstractNumId="38" w15:restartNumberingAfterBreak="0">
    <w:nsid w:val="41575EA8"/>
    <w:multiLevelType w:val="hybridMultilevel"/>
    <w:tmpl w:val="85A0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841F6F"/>
    <w:multiLevelType w:val="hybridMultilevel"/>
    <w:tmpl w:val="43F68614"/>
    <w:lvl w:ilvl="0" w:tplc="04090003">
      <w:start w:val="1"/>
      <w:numFmt w:val="bullet"/>
      <w:lvlText w:val="o"/>
      <w:lvlJc w:val="left"/>
      <w:pPr>
        <w:ind w:left="1120" w:hanging="360"/>
      </w:pPr>
      <w:rPr>
        <w:rFonts w:ascii="Courier New" w:hAnsi="Courier New" w:cs="Arial" w:hint="default"/>
      </w:rPr>
    </w:lvl>
    <w:lvl w:ilvl="1" w:tplc="04090003" w:tentative="1">
      <w:start w:val="1"/>
      <w:numFmt w:val="bullet"/>
      <w:lvlText w:val="o"/>
      <w:lvlJc w:val="left"/>
      <w:pPr>
        <w:ind w:left="1840" w:hanging="360"/>
      </w:pPr>
      <w:rPr>
        <w:rFonts w:ascii="Courier New" w:hAnsi="Courier New" w:cs="Arial"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Arial"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Arial" w:hint="default"/>
      </w:rPr>
    </w:lvl>
    <w:lvl w:ilvl="8" w:tplc="04090005" w:tentative="1">
      <w:start w:val="1"/>
      <w:numFmt w:val="bullet"/>
      <w:lvlText w:val=""/>
      <w:lvlJc w:val="left"/>
      <w:pPr>
        <w:ind w:left="6880" w:hanging="360"/>
      </w:pPr>
      <w:rPr>
        <w:rFonts w:ascii="Wingdings" w:hAnsi="Wingdings" w:hint="default"/>
      </w:rPr>
    </w:lvl>
  </w:abstractNum>
  <w:abstractNum w:abstractNumId="40" w15:restartNumberingAfterBreak="0">
    <w:nsid w:val="45BD15ED"/>
    <w:multiLevelType w:val="hybridMultilevel"/>
    <w:tmpl w:val="525CE964"/>
    <w:lvl w:ilvl="0" w:tplc="41FA971A">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F1038A"/>
    <w:multiLevelType w:val="hybridMultilevel"/>
    <w:tmpl w:val="FF26236A"/>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3E28E7"/>
    <w:multiLevelType w:val="hybridMultilevel"/>
    <w:tmpl w:val="6430F6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A3A36"/>
    <w:multiLevelType w:val="hybridMultilevel"/>
    <w:tmpl w:val="5BA890A2"/>
    <w:lvl w:ilvl="0" w:tplc="3F74B4E2">
      <w:start w:val="1"/>
      <w:numFmt w:val="decimal"/>
      <w:lvlText w:val="%1."/>
      <w:lvlJc w:val="left"/>
      <w:pPr>
        <w:ind w:left="360" w:hanging="360"/>
      </w:pPr>
      <w:rPr>
        <w:rFonts w:asciiTheme="minorHAnsi" w:hAnsiTheme="minorHAnsi"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AA024A8"/>
    <w:multiLevelType w:val="hybridMultilevel"/>
    <w:tmpl w:val="D6C272D4"/>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B3C0678"/>
    <w:multiLevelType w:val="hybridMultilevel"/>
    <w:tmpl w:val="C6764E4C"/>
    <w:lvl w:ilvl="0" w:tplc="04090003">
      <w:start w:val="1"/>
      <w:numFmt w:val="bullet"/>
      <w:lvlText w:val="o"/>
      <w:lvlJc w:val="left"/>
      <w:pPr>
        <w:ind w:left="720" w:hanging="360"/>
      </w:pPr>
      <w:rPr>
        <w:rFonts w:ascii="Courier New" w:hAnsi="Courier New" w:cs="Arial" w:hint="default"/>
        <w:b w:val="0"/>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6A1714"/>
    <w:multiLevelType w:val="hybridMultilevel"/>
    <w:tmpl w:val="9EB04BEE"/>
    <w:lvl w:ilvl="0" w:tplc="4C164D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2F263B"/>
    <w:multiLevelType w:val="hybridMultilevel"/>
    <w:tmpl w:val="C034250C"/>
    <w:lvl w:ilvl="0" w:tplc="04090003">
      <w:start w:val="1"/>
      <w:numFmt w:val="bullet"/>
      <w:lvlText w:val="o"/>
      <w:lvlJc w:val="left"/>
      <w:pPr>
        <w:ind w:left="1120" w:hanging="360"/>
      </w:pPr>
      <w:rPr>
        <w:rFonts w:ascii="Courier New" w:hAnsi="Courier New" w:cs="Arial" w:hint="default"/>
      </w:rPr>
    </w:lvl>
    <w:lvl w:ilvl="1" w:tplc="04090003" w:tentative="1">
      <w:start w:val="1"/>
      <w:numFmt w:val="bullet"/>
      <w:lvlText w:val="o"/>
      <w:lvlJc w:val="left"/>
      <w:pPr>
        <w:ind w:left="1840" w:hanging="360"/>
      </w:pPr>
      <w:rPr>
        <w:rFonts w:ascii="Courier New" w:hAnsi="Courier New" w:cs="Arial"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Arial"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Arial" w:hint="default"/>
      </w:rPr>
    </w:lvl>
    <w:lvl w:ilvl="8" w:tplc="04090005" w:tentative="1">
      <w:start w:val="1"/>
      <w:numFmt w:val="bullet"/>
      <w:lvlText w:val=""/>
      <w:lvlJc w:val="left"/>
      <w:pPr>
        <w:ind w:left="6880" w:hanging="360"/>
      </w:pPr>
      <w:rPr>
        <w:rFonts w:ascii="Wingdings" w:hAnsi="Wingdings" w:hint="default"/>
      </w:rPr>
    </w:lvl>
  </w:abstractNum>
  <w:abstractNum w:abstractNumId="48" w15:restartNumberingAfterBreak="0">
    <w:nsid w:val="53035AE9"/>
    <w:multiLevelType w:val="hybridMultilevel"/>
    <w:tmpl w:val="D292C950"/>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B34E8F"/>
    <w:multiLevelType w:val="hybridMultilevel"/>
    <w:tmpl w:val="067AD966"/>
    <w:lvl w:ilvl="0" w:tplc="04090003">
      <w:start w:val="1"/>
      <w:numFmt w:val="bullet"/>
      <w:lvlText w:val="o"/>
      <w:lvlJc w:val="left"/>
      <w:pPr>
        <w:ind w:left="1320" w:hanging="360"/>
      </w:pPr>
      <w:rPr>
        <w:rFonts w:ascii="Courier New" w:hAnsi="Courier New" w:cs="Arial" w:hint="default"/>
      </w:rPr>
    </w:lvl>
    <w:lvl w:ilvl="1" w:tplc="04090003" w:tentative="1">
      <w:start w:val="1"/>
      <w:numFmt w:val="bullet"/>
      <w:lvlText w:val="o"/>
      <w:lvlJc w:val="left"/>
      <w:pPr>
        <w:ind w:left="2040" w:hanging="360"/>
      </w:pPr>
      <w:rPr>
        <w:rFonts w:ascii="Courier New" w:hAnsi="Courier New" w:cs="Arial"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Arial"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Arial" w:hint="default"/>
      </w:rPr>
    </w:lvl>
    <w:lvl w:ilvl="8" w:tplc="04090005" w:tentative="1">
      <w:start w:val="1"/>
      <w:numFmt w:val="bullet"/>
      <w:lvlText w:val=""/>
      <w:lvlJc w:val="left"/>
      <w:pPr>
        <w:ind w:left="7080" w:hanging="360"/>
      </w:pPr>
      <w:rPr>
        <w:rFonts w:ascii="Wingdings" w:hAnsi="Wingdings" w:hint="default"/>
      </w:rPr>
    </w:lvl>
  </w:abstractNum>
  <w:abstractNum w:abstractNumId="50" w15:restartNumberingAfterBreak="0">
    <w:nsid w:val="53FD563C"/>
    <w:multiLevelType w:val="hybridMultilevel"/>
    <w:tmpl w:val="22D80BD0"/>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D94E30"/>
    <w:multiLevelType w:val="hybridMultilevel"/>
    <w:tmpl w:val="8EBE9E66"/>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FB56B8"/>
    <w:multiLevelType w:val="hybridMultilevel"/>
    <w:tmpl w:val="38F0C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7C36A7"/>
    <w:multiLevelType w:val="hybridMultilevel"/>
    <w:tmpl w:val="BEC0553C"/>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40200B"/>
    <w:multiLevelType w:val="hybridMultilevel"/>
    <w:tmpl w:val="1562A2D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443E02"/>
    <w:multiLevelType w:val="hybridMultilevel"/>
    <w:tmpl w:val="623AE68C"/>
    <w:lvl w:ilvl="0" w:tplc="CD3CF6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86347A"/>
    <w:multiLevelType w:val="hybridMultilevel"/>
    <w:tmpl w:val="85A0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F84647"/>
    <w:multiLevelType w:val="hybridMultilevel"/>
    <w:tmpl w:val="C83AEB1C"/>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AE7374"/>
    <w:multiLevelType w:val="hybridMultilevel"/>
    <w:tmpl w:val="45EA9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1391284"/>
    <w:multiLevelType w:val="hybridMultilevel"/>
    <w:tmpl w:val="22E40DC0"/>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15004"/>
    <w:multiLevelType w:val="hybridMultilevel"/>
    <w:tmpl w:val="A3E2B9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601435"/>
    <w:multiLevelType w:val="hybridMultilevel"/>
    <w:tmpl w:val="D68AEEA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8C76BC"/>
    <w:multiLevelType w:val="hybridMultilevel"/>
    <w:tmpl w:val="0A50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C8107F"/>
    <w:multiLevelType w:val="hybridMultilevel"/>
    <w:tmpl w:val="629422E8"/>
    <w:lvl w:ilvl="0" w:tplc="13F87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CD03932"/>
    <w:multiLevelType w:val="hybridMultilevel"/>
    <w:tmpl w:val="D2CA203C"/>
    <w:lvl w:ilvl="0" w:tplc="04090003">
      <w:start w:val="1"/>
      <w:numFmt w:val="bullet"/>
      <w:lvlText w:val="o"/>
      <w:lvlJc w:val="left"/>
      <w:pPr>
        <w:ind w:left="1320" w:hanging="360"/>
      </w:pPr>
      <w:rPr>
        <w:rFonts w:ascii="Courier New" w:hAnsi="Courier New" w:cs="Arial" w:hint="default"/>
      </w:rPr>
    </w:lvl>
    <w:lvl w:ilvl="1" w:tplc="04090003" w:tentative="1">
      <w:start w:val="1"/>
      <w:numFmt w:val="bullet"/>
      <w:lvlText w:val="o"/>
      <w:lvlJc w:val="left"/>
      <w:pPr>
        <w:ind w:left="2040" w:hanging="360"/>
      </w:pPr>
      <w:rPr>
        <w:rFonts w:ascii="Courier New" w:hAnsi="Courier New" w:cs="Arial"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Arial"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Arial" w:hint="default"/>
      </w:rPr>
    </w:lvl>
    <w:lvl w:ilvl="8" w:tplc="04090005" w:tentative="1">
      <w:start w:val="1"/>
      <w:numFmt w:val="bullet"/>
      <w:lvlText w:val=""/>
      <w:lvlJc w:val="left"/>
      <w:pPr>
        <w:ind w:left="7080" w:hanging="360"/>
      </w:pPr>
      <w:rPr>
        <w:rFonts w:ascii="Wingdings" w:hAnsi="Wingdings" w:hint="default"/>
      </w:rPr>
    </w:lvl>
  </w:abstractNum>
  <w:abstractNum w:abstractNumId="65" w15:restartNumberingAfterBreak="0">
    <w:nsid w:val="70054EFE"/>
    <w:multiLevelType w:val="hybridMultilevel"/>
    <w:tmpl w:val="36C8E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0C223E4"/>
    <w:multiLevelType w:val="hybridMultilevel"/>
    <w:tmpl w:val="25D493DC"/>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785D05"/>
    <w:multiLevelType w:val="hybridMultilevel"/>
    <w:tmpl w:val="C66CB0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28825EF"/>
    <w:multiLevelType w:val="hybridMultilevel"/>
    <w:tmpl w:val="D1C02DD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8C302D"/>
    <w:multiLevelType w:val="hybridMultilevel"/>
    <w:tmpl w:val="84647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914F77"/>
    <w:multiLevelType w:val="hybridMultilevel"/>
    <w:tmpl w:val="EBFE1FFA"/>
    <w:lvl w:ilvl="0" w:tplc="9A74F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420517E"/>
    <w:multiLevelType w:val="hybridMultilevel"/>
    <w:tmpl w:val="7B8AC4EA"/>
    <w:lvl w:ilvl="0" w:tplc="BB983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7164ED"/>
    <w:multiLevelType w:val="hybridMultilevel"/>
    <w:tmpl w:val="6AA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AA64EB"/>
    <w:multiLevelType w:val="hybridMultilevel"/>
    <w:tmpl w:val="8D2A0EE2"/>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1C5EB1F6">
      <w:start w:val="1"/>
      <w:numFmt w:val="bullet"/>
      <w:lvlText w:val=""/>
      <w:lvlJc w:val="left"/>
      <w:pPr>
        <w:ind w:left="2160" w:hanging="360"/>
      </w:pPr>
      <w:rPr>
        <w:rFonts w:ascii="Wingdings" w:hAnsi="Wingdings" w:hint="default"/>
        <w:b w:val="0"/>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2B0F55"/>
    <w:multiLevelType w:val="hybridMultilevel"/>
    <w:tmpl w:val="D5C4761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9D1742"/>
    <w:multiLevelType w:val="hybridMultilevel"/>
    <w:tmpl w:val="70889E62"/>
    <w:lvl w:ilvl="0" w:tplc="97A06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BAB2E8F"/>
    <w:multiLevelType w:val="hybridMultilevel"/>
    <w:tmpl w:val="18F86536"/>
    <w:lvl w:ilvl="0" w:tplc="5B3687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D236900"/>
    <w:multiLevelType w:val="hybridMultilevel"/>
    <w:tmpl w:val="E11EC956"/>
    <w:lvl w:ilvl="0" w:tplc="04090003">
      <w:start w:val="1"/>
      <w:numFmt w:val="bullet"/>
      <w:lvlText w:val="o"/>
      <w:lvlJc w:val="left"/>
      <w:pPr>
        <w:ind w:left="1120" w:hanging="360"/>
      </w:pPr>
      <w:rPr>
        <w:rFonts w:ascii="Courier New" w:hAnsi="Courier New" w:cs="Arial" w:hint="default"/>
      </w:rPr>
    </w:lvl>
    <w:lvl w:ilvl="1" w:tplc="04090003" w:tentative="1">
      <w:start w:val="1"/>
      <w:numFmt w:val="bullet"/>
      <w:lvlText w:val="o"/>
      <w:lvlJc w:val="left"/>
      <w:pPr>
        <w:ind w:left="1840" w:hanging="360"/>
      </w:pPr>
      <w:rPr>
        <w:rFonts w:ascii="Courier New" w:hAnsi="Courier New" w:cs="Arial"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Arial"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Arial" w:hint="default"/>
      </w:rPr>
    </w:lvl>
    <w:lvl w:ilvl="8" w:tplc="04090005" w:tentative="1">
      <w:start w:val="1"/>
      <w:numFmt w:val="bullet"/>
      <w:lvlText w:val=""/>
      <w:lvlJc w:val="left"/>
      <w:pPr>
        <w:ind w:left="6880" w:hanging="360"/>
      </w:pPr>
      <w:rPr>
        <w:rFonts w:ascii="Wingdings" w:hAnsi="Wingdings" w:hint="default"/>
      </w:rPr>
    </w:lvl>
  </w:abstractNum>
  <w:abstractNum w:abstractNumId="78" w15:restartNumberingAfterBreak="0">
    <w:nsid w:val="7DDC26BB"/>
    <w:multiLevelType w:val="hybridMultilevel"/>
    <w:tmpl w:val="61186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F2751E"/>
    <w:multiLevelType w:val="hybridMultilevel"/>
    <w:tmpl w:val="7AE050BE"/>
    <w:lvl w:ilvl="0" w:tplc="183AB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0"/>
  </w:num>
  <w:num w:numId="2">
    <w:abstractNumId w:val="71"/>
  </w:num>
  <w:num w:numId="3">
    <w:abstractNumId w:val="27"/>
  </w:num>
  <w:num w:numId="4">
    <w:abstractNumId w:val="26"/>
  </w:num>
  <w:num w:numId="5">
    <w:abstractNumId w:val="79"/>
  </w:num>
  <w:num w:numId="6">
    <w:abstractNumId w:val="76"/>
  </w:num>
  <w:num w:numId="7">
    <w:abstractNumId w:val="16"/>
  </w:num>
  <w:num w:numId="8">
    <w:abstractNumId w:val="20"/>
  </w:num>
  <w:num w:numId="9">
    <w:abstractNumId w:val="62"/>
  </w:num>
  <w:num w:numId="10">
    <w:abstractNumId w:val="43"/>
  </w:num>
  <w:num w:numId="11">
    <w:abstractNumId w:val="40"/>
  </w:num>
  <w:num w:numId="12">
    <w:abstractNumId w:val="42"/>
  </w:num>
  <w:num w:numId="13">
    <w:abstractNumId w:val="67"/>
  </w:num>
  <w:num w:numId="14">
    <w:abstractNumId w:val="17"/>
  </w:num>
  <w:num w:numId="15">
    <w:abstractNumId w:val="23"/>
  </w:num>
  <w:num w:numId="16">
    <w:abstractNumId w:val="18"/>
  </w:num>
  <w:num w:numId="17">
    <w:abstractNumId w:val="12"/>
  </w:num>
  <w:num w:numId="18">
    <w:abstractNumId w:val="3"/>
  </w:num>
  <w:num w:numId="19">
    <w:abstractNumId w:val="19"/>
  </w:num>
  <w:num w:numId="20">
    <w:abstractNumId w:val="5"/>
  </w:num>
  <w:num w:numId="21">
    <w:abstractNumId w:val="35"/>
  </w:num>
  <w:num w:numId="22">
    <w:abstractNumId w:val="51"/>
  </w:num>
  <w:num w:numId="23">
    <w:abstractNumId w:val="47"/>
  </w:num>
  <w:num w:numId="24">
    <w:abstractNumId w:val="53"/>
  </w:num>
  <w:num w:numId="25">
    <w:abstractNumId w:val="77"/>
  </w:num>
  <w:num w:numId="26">
    <w:abstractNumId w:val="54"/>
  </w:num>
  <w:num w:numId="27">
    <w:abstractNumId w:val="41"/>
  </w:num>
  <w:num w:numId="28">
    <w:abstractNumId w:val="21"/>
  </w:num>
  <w:num w:numId="29">
    <w:abstractNumId w:val="10"/>
  </w:num>
  <w:num w:numId="30">
    <w:abstractNumId w:val="57"/>
  </w:num>
  <w:num w:numId="31">
    <w:abstractNumId w:val="68"/>
  </w:num>
  <w:num w:numId="32">
    <w:abstractNumId w:val="66"/>
  </w:num>
  <w:num w:numId="33">
    <w:abstractNumId w:val="50"/>
  </w:num>
  <w:num w:numId="34">
    <w:abstractNumId w:val="49"/>
  </w:num>
  <w:num w:numId="35">
    <w:abstractNumId w:val="0"/>
  </w:num>
  <w:num w:numId="36">
    <w:abstractNumId w:val="64"/>
  </w:num>
  <w:num w:numId="37">
    <w:abstractNumId w:val="74"/>
  </w:num>
  <w:num w:numId="38">
    <w:abstractNumId w:val="31"/>
  </w:num>
  <w:num w:numId="39">
    <w:abstractNumId w:val="37"/>
  </w:num>
  <w:num w:numId="40">
    <w:abstractNumId w:val="7"/>
  </w:num>
  <w:num w:numId="41">
    <w:abstractNumId w:val="59"/>
  </w:num>
  <w:num w:numId="42">
    <w:abstractNumId w:val="8"/>
  </w:num>
  <w:num w:numId="43">
    <w:abstractNumId w:val="39"/>
  </w:num>
  <w:num w:numId="44">
    <w:abstractNumId w:val="61"/>
  </w:num>
  <w:num w:numId="45">
    <w:abstractNumId w:val="45"/>
  </w:num>
  <w:num w:numId="46">
    <w:abstractNumId w:val="44"/>
  </w:num>
  <w:num w:numId="47">
    <w:abstractNumId w:val="48"/>
  </w:num>
  <w:num w:numId="48">
    <w:abstractNumId w:val="73"/>
  </w:num>
  <w:num w:numId="49">
    <w:abstractNumId w:val="25"/>
  </w:num>
  <w:num w:numId="50">
    <w:abstractNumId w:val="58"/>
  </w:num>
  <w:num w:numId="51">
    <w:abstractNumId w:val="52"/>
  </w:num>
  <w:num w:numId="52">
    <w:abstractNumId w:val="65"/>
  </w:num>
  <w:num w:numId="53">
    <w:abstractNumId w:val="24"/>
  </w:num>
  <w:num w:numId="54">
    <w:abstractNumId w:val="72"/>
  </w:num>
  <w:num w:numId="55">
    <w:abstractNumId w:val="9"/>
  </w:num>
  <w:num w:numId="56">
    <w:abstractNumId w:val="34"/>
  </w:num>
  <w:num w:numId="57">
    <w:abstractNumId w:val="36"/>
  </w:num>
  <w:num w:numId="58">
    <w:abstractNumId w:val="11"/>
  </w:num>
  <w:num w:numId="59">
    <w:abstractNumId w:val="33"/>
  </w:num>
  <w:num w:numId="60">
    <w:abstractNumId w:val="28"/>
  </w:num>
  <w:num w:numId="61">
    <w:abstractNumId w:val="63"/>
  </w:num>
  <w:num w:numId="62">
    <w:abstractNumId w:val="70"/>
  </w:num>
  <w:num w:numId="63">
    <w:abstractNumId w:val="75"/>
  </w:num>
  <w:num w:numId="64">
    <w:abstractNumId w:val="32"/>
  </w:num>
  <w:num w:numId="65">
    <w:abstractNumId w:val="2"/>
  </w:num>
  <w:num w:numId="66">
    <w:abstractNumId w:val="14"/>
  </w:num>
  <w:num w:numId="67">
    <w:abstractNumId w:val="29"/>
  </w:num>
  <w:num w:numId="68">
    <w:abstractNumId w:val="69"/>
  </w:num>
  <w:num w:numId="69">
    <w:abstractNumId w:val="1"/>
  </w:num>
  <w:num w:numId="70">
    <w:abstractNumId w:val="78"/>
  </w:num>
  <w:num w:numId="71">
    <w:abstractNumId w:val="13"/>
  </w:num>
  <w:num w:numId="72">
    <w:abstractNumId w:val="46"/>
  </w:num>
  <w:num w:numId="73">
    <w:abstractNumId w:val="6"/>
  </w:num>
  <w:num w:numId="74">
    <w:abstractNumId w:val="55"/>
  </w:num>
  <w:num w:numId="75">
    <w:abstractNumId w:val="22"/>
  </w:num>
  <w:num w:numId="76">
    <w:abstractNumId w:val="38"/>
  </w:num>
  <w:num w:numId="77">
    <w:abstractNumId w:val="15"/>
  </w:num>
  <w:num w:numId="78">
    <w:abstractNumId w:val="30"/>
  </w:num>
  <w:num w:numId="79">
    <w:abstractNumId w:val="56"/>
  </w:num>
  <w:num w:numId="80">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US" w:vendorID="64" w:dllVersion="131078" w:nlCheck="1" w:checkStyle="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29"/>
    <w:rsid w:val="0000021D"/>
    <w:rsid w:val="0000206F"/>
    <w:rsid w:val="00002A26"/>
    <w:rsid w:val="00012507"/>
    <w:rsid w:val="000244EC"/>
    <w:rsid w:val="00024976"/>
    <w:rsid w:val="00030C2B"/>
    <w:rsid w:val="00030EDF"/>
    <w:rsid w:val="0003492B"/>
    <w:rsid w:val="00037106"/>
    <w:rsid w:val="000378D9"/>
    <w:rsid w:val="0004008D"/>
    <w:rsid w:val="00043C9D"/>
    <w:rsid w:val="00051EAD"/>
    <w:rsid w:val="000574C3"/>
    <w:rsid w:val="00063613"/>
    <w:rsid w:val="00065AF2"/>
    <w:rsid w:val="0007141A"/>
    <w:rsid w:val="00083B07"/>
    <w:rsid w:val="00096EB4"/>
    <w:rsid w:val="000A4A18"/>
    <w:rsid w:val="000A4B60"/>
    <w:rsid w:val="000A542F"/>
    <w:rsid w:val="000B121D"/>
    <w:rsid w:val="000B59BE"/>
    <w:rsid w:val="000B68A2"/>
    <w:rsid w:val="000C110F"/>
    <w:rsid w:val="000C42C2"/>
    <w:rsid w:val="000D622F"/>
    <w:rsid w:val="000E279F"/>
    <w:rsid w:val="000F4CE3"/>
    <w:rsid w:val="000F6E05"/>
    <w:rsid w:val="00103852"/>
    <w:rsid w:val="001173D5"/>
    <w:rsid w:val="001251CF"/>
    <w:rsid w:val="00132D19"/>
    <w:rsid w:val="00132FFE"/>
    <w:rsid w:val="00135CF6"/>
    <w:rsid w:val="00135E6F"/>
    <w:rsid w:val="001370BC"/>
    <w:rsid w:val="00141E54"/>
    <w:rsid w:val="001452B2"/>
    <w:rsid w:val="0014567E"/>
    <w:rsid w:val="00145925"/>
    <w:rsid w:val="001476A9"/>
    <w:rsid w:val="001504B0"/>
    <w:rsid w:val="00152F8D"/>
    <w:rsid w:val="001540E6"/>
    <w:rsid w:val="00174AB1"/>
    <w:rsid w:val="00183000"/>
    <w:rsid w:val="00183DAB"/>
    <w:rsid w:val="00185005"/>
    <w:rsid w:val="00185C86"/>
    <w:rsid w:val="0019168E"/>
    <w:rsid w:val="00192EFF"/>
    <w:rsid w:val="00193E0B"/>
    <w:rsid w:val="00196892"/>
    <w:rsid w:val="001A20CA"/>
    <w:rsid w:val="001A56A0"/>
    <w:rsid w:val="001A66FF"/>
    <w:rsid w:val="001B5543"/>
    <w:rsid w:val="001C15A8"/>
    <w:rsid w:val="001C2C3E"/>
    <w:rsid w:val="001C2F2F"/>
    <w:rsid w:val="001C5885"/>
    <w:rsid w:val="001D03B0"/>
    <w:rsid w:val="001D7023"/>
    <w:rsid w:val="001D73C6"/>
    <w:rsid w:val="001E5018"/>
    <w:rsid w:val="001E5292"/>
    <w:rsid w:val="001E6CBC"/>
    <w:rsid w:val="001F10AC"/>
    <w:rsid w:val="002004B4"/>
    <w:rsid w:val="00200BF1"/>
    <w:rsid w:val="002016DD"/>
    <w:rsid w:val="00201AF8"/>
    <w:rsid w:val="00205833"/>
    <w:rsid w:val="0020717F"/>
    <w:rsid w:val="002172C3"/>
    <w:rsid w:val="002172F4"/>
    <w:rsid w:val="00222918"/>
    <w:rsid w:val="00244829"/>
    <w:rsid w:val="0024678F"/>
    <w:rsid w:val="00260437"/>
    <w:rsid w:val="00262EE4"/>
    <w:rsid w:val="00264734"/>
    <w:rsid w:val="00265BCC"/>
    <w:rsid w:val="0027111B"/>
    <w:rsid w:val="00271AAA"/>
    <w:rsid w:val="0027476E"/>
    <w:rsid w:val="00276159"/>
    <w:rsid w:val="0028048F"/>
    <w:rsid w:val="00281002"/>
    <w:rsid w:val="00281A5E"/>
    <w:rsid w:val="00282D7A"/>
    <w:rsid w:val="00284BE8"/>
    <w:rsid w:val="00287211"/>
    <w:rsid w:val="00290AA5"/>
    <w:rsid w:val="00290C17"/>
    <w:rsid w:val="002928DC"/>
    <w:rsid w:val="00292DEE"/>
    <w:rsid w:val="00294CF1"/>
    <w:rsid w:val="002A0B86"/>
    <w:rsid w:val="002A7BD6"/>
    <w:rsid w:val="002B382E"/>
    <w:rsid w:val="002D0009"/>
    <w:rsid w:val="002D17F9"/>
    <w:rsid w:val="002E658E"/>
    <w:rsid w:val="002E6DA3"/>
    <w:rsid w:val="002F3279"/>
    <w:rsid w:val="002F3C2C"/>
    <w:rsid w:val="0030165E"/>
    <w:rsid w:val="00307C47"/>
    <w:rsid w:val="00312887"/>
    <w:rsid w:val="00314C59"/>
    <w:rsid w:val="00323170"/>
    <w:rsid w:val="00323DB6"/>
    <w:rsid w:val="00341D9F"/>
    <w:rsid w:val="003455DA"/>
    <w:rsid w:val="0035700E"/>
    <w:rsid w:val="003576CF"/>
    <w:rsid w:val="003626E9"/>
    <w:rsid w:val="003634EC"/>
    <w:rsid w:val="00365D73"/>
    <w:rsid w:val="003660E2"/>
    <w:rsid w:val="00372876"/>
    <w:rsid w:val="00377FE2"/>
    <w:rsid w:val="003915EA"/>
    <w:rsid w:val="00395E0A"/>
    <w:rsid w:val="003A7E82"/>
    <w:rsid w:val="003B40C8"/>
    <w:rsid w:val="003B5FF4"/>
    <w:rsid w:val="003C03D7"/>
    <w:rsid w:val="003D34FB"/>
    <w:rsid w:val="003D5833"/>
    <w:rsid w:val="003D5BC7"/>
    <w:rsid w:val="003E0FE3"/>
    <w:rsid w:val="003E5E7C"/>
    <w:rsid w:val="003E63C7"/>
    <w:rsid w:val="003E77AA"/>
    <w:rsid w:val="003E7C80"/>
    <w:rsid w:val="003F1491"/>
    <w:rsid w:val="003F22FA"/>
    <w:rsid w:val="003F3266"/>
    <w:rsid w:val="003F3819"/>
    <w:rsid w:val="003F4C79"/>
    <w:rsid w:val="003F5A4E"/>
    <w:rsid w:val="00401136"/>
    <w:rsid w:val="00405273"/>
    <w:rsid w:val="00411A53"/>
    <w:rsid w:val="004275F2"/>
    <w:rsid w:val="0043718D"/>
    <w:rsid w:val="004430A0"/>
    <w:rsid w:val="00452AF0"/>
    <w:rsid w:val="00453956"/>
    <w:rsid w:val="00457524"/>
    <w:rsid w:val="004632CD"/>
    <w:rsid w:val="004633C0"/>
    <w:rsid w:val="00464CCB"/>
    <w:rsid w:val="004654D2"/>
    <w:rsid w:val="00465DC0"/>
    <w:rsid w:val="004665B7"/>
    <w:rsid w:val="00470679"/>
    <w:rsid w:val="00472A43"/>
    <w:rsid w:val="00473F18"/>
    <w:rsid w:val="00474EE1"/>
    <w:rsid w:val="00477773"/>
    <w:rsid w:val="004864E9"/>
    <w:rsid w:val="00496520"/>
    <w:rsid w:val="004A04CC"/>
    <w:rsid w:val="004A3B0D"/>
    <w:rsid w:val="004A72B5"/>
    <w:rsid w:val="004B02E4"/>
    <w:rsid w:val="004B16AE"/>
    <w:rsid w:val="004B68FC"/>
    <w:rsid w:val="004C411B"/>
    <w:rsid w:val="004D6E71"/>
    <w:rsid w:val="004E409F"/>
    <w:rsid w:val="004E6814"/>
    <w:rsid w:val="004E7966"/>
    <w:rsid w:val="004F082A"/>
    <w:rsid w:val="00502442"/>
    <w:rsid w:val="005264A1"/>
    <w:rsid w:val="00526D37"/>
    <w:rsid w:val="0052719D"/>
    <w:rsid w:val="005411A1"/>
    <w:rsid w:val="0055044B"/>
    <w:rsid w:val="00557502"/>
    <w:rsid w:val="00560B03"/>
    <w:rsid w:val="00561369"/>
    <w:rsid w:val="005622C1"/>
    <w:rsid w:val="00564EFC"/>
    <w:rsid w:val="00565540"/>
    <w:rsid w:val="00577195"/>
    <w:rsid w:val="005802E9"/>
    <w:rsid w:val="0058701B"/>
    <w:rsid w:val="00592910"/>
    <w:rsid w:val="00593027"/>
    <w:rsid w:val="00597368"/>
    <w:rsid w:val="005A2029"/>
    <w:rsid w:val="005A6D2B"/>
    <w:rsid w:val="005B117B"/>
    <w:rsid w:val="005B19A6"/>
    <w:rsid w:val="005B22A1"/>
    <w:rsid w:val="005B3A6F"/>
    <w:rsid w:val="005C1057"/>
    <w:rsid w:val="005C16BD"/>
    <w:rsid w:val="005C41E6"/>
    <w:rsid w:val="005C5706"/>
    <w:rsid w:val="005C5E7D"/>
    <w:rsid w:val="005C76B3"/>
    <w:rsid w:val="005D7D78"/>
    <w:rsid w:val="005E28F3"/>
    <w:rsid w:val="005F00EC"/>
    <w:rsid w:val="005F1837"/>
    <w:rsid w:val="0061009A"/>
    <w:rsid w:val="006122B0"/>
    <w:rsid w:val="006159E2"/>
    <w:rsid w:val="0062320F"/>
    <w:rsid w:val="00625A12"/>
    <w:rsid w:val="0062644C"/>
    <w:rsid w:val="006341D8"/>
    <w:rsid w:val="00635147"/>
    <w:rsid w:val="00635A82"/>
    <w:rsid w:val="00635E3E"/>
    <w:rsid w:val="00640397"/>
    <w:rsid w:val="0064066D"/>
    <w:rsid w:val="0064670C"/>
    <w:rsid w:val="00650625"/>
    <w:rsid w:val="0065774E"/>
    <w:rsid w:val="0066005A"/>
    <w:rsid w:val="006608B9"/>
    <w:rsid w:val="0066219B"/>
    <w:rsid w:val="00666456"/>
    <w:rsid w:val="00667E57"/>
    <w:rsid w:val="006714DE"/>
    <w:rsid w:val="0067746A"/>
    <w:rsid w:val="0068218B"/>
    <w:rsid w:val="00687531"/>
    <w:rsid w:val="006877ED"/>
    <w:rsid w:val="00697ED0"/>
    <w:rsid w:val="006A3BF9"/>
    <w:rsid w:val="006A49A0"/>
    <w:rsid w:val="006B05E1"/>
    <w:rsid w:val="006B111C"/>
    <w:rsid w:val="006B256B"/>
    <w:rsid w:val="006B66C6"/>
    <w:rsid w:val="006B6ADE"/>
    <w:rsid w:val="006B7E9F"/>
    <w:rsid w:val="006C4798"/>
    <w:rsid w:val="006D2DDC"/>
    <w:rsid w:val="006D44B6"/>
    <w:rsid w:val="006D4D6B"/>
    <w:rsid w:val="006D4EE2"/>
    <w:rsid w:val="006D6582"/>
    <w:rsid w:val="006E0C8A"/>
    <w:rsid w:val="006E60E3"/>
    <w:rsid w:val="006E755D"/>
    <w:rsid w:val="006F0E0A"/>
    <w:rsid w:val="00700083"/>
    <w:rsid w:val="007031C6"/>
    <w:rsid w:val="00705593"/>
    <w:rsid w:val="00706533"/>
    <w:rsid w:val="00706D9F"/>
    <w:rsid w:val="00706E08"/>
    <w:rsid w:val="007112AE"/>
    <w:rsid w:val="007116F6"/>
    <w:rsid w:val="00716436"/>
    <w:rsid w:val="00721FA0"/>
    <w:rsid w:val="00735CB5"/>
    <w:rsid w:val="00737538"/>
    <w:rsid w:val="007412B9"/>
    <w:rsid w:val="00742ECE"/>
    <w:rsid w:val="00743726"/>
    <w:rsid w:val="007438F0"/>
    <w:rsid w:val="007513F9"/>
    <w:rsid w:val="00753006"/>
    <w:rsid w:val="0075496C"/>
    <w:rsid w:val="00760535"/>
    <w:rsid w:val="00761430"/>
    <w:rsid w:val="007663F9"/>
    <w:rsid w:val="00770F81"/>
    <w:rsid w:val="007724C0"/>
    <w:rsid w:val="00775149"/>
    <w:rsid w:val="00776146"/>
    <w:rsid w:val="00787E22"/>
    <w:rsid w:val="00791212"/>
    <w:rsid w:val="00796CB6"/>
    <w:rsid w:val="007A0399"/>
    <w:rsid w:val="007A1C6E"/>
    <w:rsid w:val="007A5131"/>
    <w:rsid w:val="007B444C"/>
    <w:rsid w:val="007B7D6D"/>
    <w:rsid w:val="007D173B"/>
    <w:rsid w:val="007D1F73"/>
    <w:rsid w:val="007E2386"/>
    <w:rsid w:val="007E337E"/>
    <w:rsid w:val="007E7C57"/>
    <w:rsid w:val="00800756"/>
    <w:rsid w:val="00802D7A"/>
    <w:rsid w:val="00803394"/>
    <w:rsid w:val="00804C1F"/>
    <w:rsid w:val="008101D8"/>
    <w:rsid w:val="008102DB"/>
    <w:rsid w:val="00824BC8"/>
    <w:rsid w:val="00826EA5"/>
    <w:rsid w:val="0084327E"/>
    <w:rsid w:val="00853A21"/>
    <w:rsid w:val="00864C83"/>
    <w:rsid w:val="00867FA1"/>
    <w:rsid w:val="00871A49"/>
    <w:rsid w:val="00873261"/>
    <w:rsid w:val="00873CC5"/>
    <w:rsid w:val="00875391"/>
    <w:rsid w:val="00885D5E"/>
    <w:rsid w:val="00886D1C"/>
    <w:rsid w:val="00887DF8"/>
    <w:rsid w:val="0089215F"/>
    <w:rsid w:val="00893CB0"/>
    <w:rsid w:val="00894753"/>
    <w:rsid w:val="008A6718"/>
    <w:rsid w:val="008A7979"/>
    <w:rsid w:val="008B3924"/>
    <w:rsid w:val="008B4C4E"/>
    <w:rsid w:val="008C59D6"/>
    <w:rsid w:val="008C7643"/>
    <w:rsid w:val="008D0623"/>
    <w:rsid w:val="008D10FF"/>
    <w:rsid w:val="008D3477"/>
    <w:rsid w:val="008D61F0"/>
    <w:rsid w:val="008E64AE"/>
    <w:rsid w:val="008E7A4F"/>
    <w:rsid w:val="008F2902"/>
    <w:rsid w:val="008F7258"/>
    <w:rsid w:val="009034F1"/>
    <w:rsid w:val="00915C3A"/>
    <w:rsid w:val="0091667F"/>
    <w:rsid w:val="00921829"/>
    <w:rsid w:val="009301E1"/>
    <w:rsid w:val="00933CAB"/>
    <w:rsid w:val="009378B5"/>
    <w:rsid w:val="00940859"/>
    <w:rsid w:val="0094115D"/>
    <w:rsid w:val="00944043"/>
    <w:rsid w:val="00945093"/>
    <w:rsid w:val="009502A9"/>
    <w:rsid w:val="009515B3"/>
    <w:rsid w:val="00957FB5"/>
    <w:rsid w:val="0096086E"/>
    <w:rsid w:val="00972EBE"/>
    <w:rsid w:val="009735AA"/>
    <w:rsid w:val="00986C36"/>
    <w:rsid w:val="009B6BF0"/>
    <w:rsid w:val="009D2D88"/>
    <w:rsid w:val="009D2FE6"/>
    <w:rsid w:val="009D48B1"/>
    <w:rsid w:val="009D7EAB"/>
    <w:rsid w:val="009F1DCD"/>
    <w:rsid w:val="009F3E44"/>
    <w:rsid w:val="009F767C"/>
    <w:rsid w:val="009F7E94"/>
    <w:rsid w:val="00A0024C"/>
    <w:rsid w:val="00A0093C"/>
    <w:rsid w:val="00A0203E"/>
    <w:rsid w:val="00A04717"/>
    <w:rsid w:val="00A1213B"/>
    <w:rsid w:val="00A12B3E"/>
    <w:rsid w:val="00A253CB"/>
    <w:rsid w:val="00A2757D"/>
    <w:rsid w:val="00A314EE"/>
    <w:rsid w:val="00A35251"/>
    <w:rsid w:val="00A35E64"/>
    <w:rsid w:val="00A41786"/>
    <w:rsid w:val="00A45302"/>
    <w:rsid w:val="00A45C5B"/>
    <w:rsid w:val="00A47C49"/>
    <w:rsid w:val="00A50C6C"/>
    <w:rsid w:val="00A5475C"/>
    <w:rsid w:val="00A55B09"/>
    <w:rsid w:val="00A647E0"/>
    <w:rsid w:val="00A64D85"/>
    <w:rsid w:val="00A65EED"/>
    <w:rsid w:val="00A661C3"/>
    <w:rsid w:val="00A71FC5"/>
    <w:rsid w:val="00A80ACF"/>
    <w:rsid w:val="00A83313"/>
    <w:rsid w:val="00A843D4"/>
    <w:rsid w:val="00A84CF5"/>
    <w:rsid w:val="00AA3FCE"/>
    <w:rsid w:val="00AA4650"/>
    <w:rsid w:val="00AA5019"/>
    <w:rsid w:val="00AB4A18"/>
    <w:rsid w:val="00AC3B21"/>
    <w:rsid w:val="00AC4612"/>
    <w:rsid w:val="00AD5214"/>
    <w:rsid w:val="00AD5C19"/>
    <w:rsid w:val="00AE012B"/>
    <w:rsid w:val="00AE1D8F"/>
    <w:rsid w:val="00AE31EE"/>
    <w:rsid w:val="00AE544D"/>
    <w:rsid w:val="00AE78D1"/>
    <w:rsid w:val="00AF52FE"/>
    <w:rsid w:val="00B10E3F"/>
    <w:rsid w:val="00B17D31"/>
    <w:rsid w:val="00B2617A"/>
    <w:rsid w:val="00B4142C"/>
    <w:rsid w:val="00B45328"/>
    <w:rsid w:val="00B463D8"/>
    <w:rsid w:val="00B47546"/>
    <w:rsid w:val="00B52C63"/>
    <w:rsid w:val="00B567BE"/>
    <w:rsid w:val="00B6010E"/>
    <w:rsid w:val="00B62752"/>
    <w:rsid w:val="00B632BF"/>
    <w:rsid w:val="00B647B1"/>
    <w:rsid w:val="00B64CA9"/>
    <w:rsid w:val="00B72E9A"/>
    <w:rsid w:val="00B774A8"/>
    <w:rsid w:val="00B82CD4"/>
    <w:rsid w:val="00B83D7C"/>
    <w:rsid w:val="00B92AC3"/>
    <w:rsid w:val="00B93779"/>
    <w:rsid w:val="00B941F6"/>
    <w:rsid w:val="00BA0D22"/>
    <w:rsid w:val="00BB0698"/>
    <w:rsid w:val="00BB2652"/>
    <w:rsid w:val="00BB33AF"/>
    <w:rsid w:val="00BB5404"/>
    <w:rsid w:val="00BB75FD"/>
    <w:rsid w:val="00BC2EF2"/>
    <w:rsid w:val="00BC54AF"/>
    <w:rsid w:val="00BC6CE7"/>
    <w:rsid w:val="00BC6D1C"/>
    <w:rsid w:val="00BD0A92"/>
    <w:rsid w:val="00BD3B88"/>
    <w:rsid w:val="00BE0F11"/>
    <w:rsid w:val="00BE4B24"/>
    <w:rsid w:val="00BE636A"/>
    <w:rsid w:val="00BF111A"/>
    <w:rsid w:val="00BF7F67"/>
    <w:rsid w:val="00C01762"/>
    <w:rsid w:val="00C0393C"/>
    <w:rsid w:val="00C05F5A"/>
    <w:rsid w:val="00C062E0"/>
    <w:rsid w:val="00C068F0"/>
    <w:rsid w:val="00C10F09"/>
    <w:rsid w:val="00C13D6F"/>
    <w:rsid w:val="00C15BDD"/>
    <w:rsid w:val="00C24172"/>
    <w:rsid w:val="00C27FDB"/>
    <w:rsid w:val="00C31C2F"/>
    <w:rsid w:val="00C32E14"/>
    <w:rsid w:val="00C35C9E"/>
    <w:rsid w:val="00C422B7"/>
    <w:rsid w:val="00C42C48"/>
    <w:rsid w:val="00C43321"/>
    <w:rsid w:val="00C52A8C"/>
    <w:rsid w:val="00C57680"/>
    <w:rsid w:val="00C64419"/>
    <w:rsid w:val="00C6777D"/>
    <w:rsid w:val="00C736DA"/>
    <w:rsid w:val="00C73A7A"/>
    <w:rsid w:val="00C760A0"/>
    <w:rsid w:val="00C77963"/>
    <w:rsid w:val="00C77D79"/>
    <w:rsid w:val="00C854C1"/>
    <w:rsid w:val="00C860D2"/>
    <w:rsid w:val="00C9092A"/>
    <w:rsid w:val="00C9453F"/>
    <w:rsid w:val="00CA28B9"/>
    <w:rsid w:val="00CA3FF0"/>
    <w:rsid w:val="00CA6041"/>
    <w:rsid w:val="00CB7FC6"/>
    <w:rsid w:val="00CC74A2"/>
    <w:rsid w:val="00CD3ECE"/>
    <w:rsid w:val="00CE3715"/>
    <w:rsid w:val="00CE562A"/>
    <w:rsid w:val="00CE6A10"/>
    <w:rsid w:val="00CF103F"/>
    <w:rsid w:val="00CF22EB"/>
    <w:rsid w:val="00CF2BB4"/>
    <w:rsid w:val="00CF41B1"/>
    <w:rsid w:val="00CF4968"/>
    <w:rsid w:val="00D00857"/>
    <w:rsid w:val="00D00BEA"/>
    <w:rsid w:val="00D02389"/>
    <w:rsid w:val="00D0342E"/>
    <w:rsid w:val="00D03DFC"/>
    <w:rsid w:val="00D16220"/>
    <w:rsid w:val="00D22B4C"/>
    <w:rsid w:val="00D51E64"/>
    <w:rsid w:val="00D52501"/>
    <w:rsid w:val="00D54640"/>
    <w:rsid w:val="00D54FF0"/>
    <w:rsid w:val="00D571F9"/>
    <w:rsid w:val="00D62DFE"/>
    <w:rsid w:val="00D63C12"/>
    <w:rsid w:val="00D70D0E"/>
    <w:rsid w:val="00D72DF2"/>
    <w:rsid w:val="00D75DC8"/>
    <w:rsid w:val="00D77DF0"/>
    <w:rsid w:val="00D904C8"/>
    <w:rsid w:val="00D958E0"/>
    <w:rsid w:val="00DA76D8"/>
    <w:rsid w:val="00DB7387"/>
    <w:rsid w:val="00DC0356"/>
    <w:rsid w:val="00DC2035"/>
    <w:rsid w:val="00DC2494"/>
    <w:rsid w:val="00DC49A0"/>
    <w:rsid w:val="00DD4445"/>
    <w:rsid w:val="00DE4654"/>
    <w:rsid w:val="00DF36B8"/>
    <w:rsid w:val="00DF5BF1"/>
    <w:rsid w:val="00E0213B"/>
    <w:rsid w:val="00E05C94"/>
    <w:rsid w:val="00E05F81"/>
    <w:rsid w:val="00E07180"/>
    <w:rsid w:val="00E07D4F"/>
    <w:rsid w:val="00E253D2"/>
    <w:rsid w:val="00E3573E"/>
    <w:rsid w:val="00E378B5"/>
    <w:rsid w:val="00E4230A"/>
    <w:rsid w:val="00E44C23"/>
    <w:rsid w:val="00E47319"/>
    <w:rsid w:val="00E50B2C"/>
    <w:rsid w:val="00E55756"/>
    <w:rsid w:val="00E562D1"/>
    <w:rsid w:val="00E56C56"/>
    <w:rsid w:val="00E65CE4"/>
    <w:rsid w:val="00E6614F"/>
    <w:rsid w:val="00E665DA"/>
    <w:rsid w:val="00E66A19"/>
    <w:rsid w:val="00E70857"/>
    <w:rsid w:val="00E71EC8"/>
    <w:rsid w:val="00E7600F"/>
    <w:rsid w:val="00E762D6"/>
    <w:rsid w:val="00E83558"/>
    <w:rsid w:val="00E87618"/>
    <w:rsid w:val="00E90042"/>
    <w:rsid w:val="00E91250"/>
    <w:rsid w:val="00E924E9"/>
    <w:rsid w:val="00E95AE1"/>
    <w:rsid w:val="00E97656"/>
    <w:rsid w:val="00EA0B24"/>
    <w:rsid w:val="00EA2854"/>
    <w:rsid w:val="00EA4707"/>
    <w:rsid w:val="00EA4998"/>
    <w:rsid w:val="00EB37A5"/>
    <w:rsid w:val="00EB3A3C"/>
    <w:rsid w:val="00EB566A"/>
    <w:rsid w:val="00EC1255"/>
    <w:rsid w:val="00EC3573"/>
    <w:rsid w:val="00EC4B19"/>
    <w:rsid w:val="00EC7DFA"/>
    <w:rsid w:val="00EE5313"/>
    <w:rsid w:val="00EE736A"/>
    <w:rsid w:val="00EF0890"/>
    <w:rsid w:val="00EF36AC"/>
    <w:rsid w:val="00EF6D88"/>
    <w:rsid w:val="00F02C4D"/>
    <w:rsid w:val="00F03921"/>
    <w:rsid w:val="00F04418"/>
    <w:rsid w:val="00F0472B"/>
    <w:rsid w:val="00F1258C"/>
    <w:rsid w:val="00F138D0"/>
    <w:rsid w:val="00F14925"/>
    <w:rsid w:val="00F16773"/>
    <w:rsid w:val="00F17CE9"/>
    <w:rsid w:val="00F21657"/>
    <w:rsid w:val="00F21659"/>
    <w:rsid w:val="00F21954"/>
    <w:rsid w:val="00F25218"/>
    <w:rsid w:val="00F26C22"/>
    <w:rsid w:val="00F31410"/>
    <w:rsid w:val="00F35777"/>
    <w:rsid w:val="00F35EED"/>
    <w:rsid w:val="00F427AD"/>
    <w:rsid w:val="00F43F4A"/>
    <w:rsid w:val="00F56473"/>
    <w:rsid w:val="00F62EB4"/>
    <w:rsid w:val="00F65D24"/>
    <w:rsid w:val="00F70233"/>
    <w:rsid w:val="00F71961"/>
    <w:rsid w:val="00F73CEB"/>
    <w:rsid w:val="00F82A9C"/>
    <w:rsid w:val="00F84388"/>
    <w:rsid w:val="00F90D57"/>
    <w:rsid w:val="00F93555"/>
    <w:rsid w:val="00F94533"/>
    <w:rsid w:val="00F96069"/>
    <w:rsid w:val="00FA1008"/>
    <w:rsid w:val="00FA373C"/>
    <w:rsid w:val="00FA392A"/>
    <w:rsid w:val="00FB49AC"/>
    <w:rsid w:val="00FC0EEF"/>
    <w:rsid w:val="00FC1E40"/>
    <w:rsid w:val="00FC2D1C"/>
    <w:rsid w:val="00FC47FF"/>
    <w:rsid w:val="00FD34E7"/>
    <w:rsid w:val="00FD3BE1"/>
    <w:rsid w:val="00FD6032"/>
    <w:rsid w:val="00FE1115"/>
    <w:rsid w:val="00FE30BE"/>
    <w:rsid w:val="00FE62D3"/>
    <w:rsid w:val="00FF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F4F73"/>
  <w15:docId w15:val="{0EE25449-6A73-48AB-96F5-ECD2DDA1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29"/>
    <w:pPr>
      <w:spacing w:after="0" w:line="240" w:lineRule="auto"/>
    </w:pPr>
    <w:rPr>
      <w:rFonts w:ascii="Times New Roman" w:eastAsia="Times New Roman" w:hAnsi="Times New Roman" w:cs="Times New Roman"/>
      <w:sz w:val="24"/>
      <w:szCs w:val="24"/>
    </w:rPr>
  </w:style>
  <w:style w:type="paragraph" w:styleId="Heading1">
    <w:name w:val="heading 1"/>
    <w:aliases w:val="H1-Chap. Head"/>
    <w:basedOn w:val="Normal"/>
    <w:link w:val="Heading1Char"/>
    <w:uiPriority w:val="9"/>
    <w:qFormat/>
    <w:rsid w:val="008B3924"/>
    <w:pPr>
      <w:keepNext/>
      <w:tabs>
        <w:tab w:val="left" w:pos="1152"/>
      </w:tabs>
      <w:spacing w:line="360" w:lineRule="atLeast"/>
      <w:jc w:val="right"/>
      <w:outlineLvl w:val="0"/>
    </w:pPr>
    <w:rPr>
      <w:rFonts w:ascii="Franklin Gothic Medium" w:hAnsi="Franklin Gothic Medium"/>
      <w:b/>
      <w:color w:val="324162"/>
      <w:sz w:val="40"/>
      <w:szCs w:val="20"/>
    </w:rPr>
  </w:style>
  <w:style w:type="paragraph" w:styleId="Heading2">
    <w:name w:val="heading 2"/>
    <w:aliases w:val="H2-Sec. Head"/>
    <w:basedOn w:val="Heading1"/>
    <w:next w:val="Normal"/>
    <w:link w:val="Heading2Char"/>
    <w:uiPriority w:val="9"/>
    <w:qFormat/>
    <w:rsid w:val="008B3924"/>
    <w:pPr>
      <w:spacing w:after="360"/>
      <w:ind w:left="1152" w:hanging="1152"/>
      <w:jc w:val="left"/>
      <w:outlineLvl w:val="1"/>
    </w:pPr>
    <w:rPr>
      <w:sz w:val="32"/>
    </w:rPr>
  </w:style>
  <w:style w:type="paragraph" w:styleId="Heading3">
    <w:name w:val="heading 3"/>
    <w:basedOn w:val="Normal"/>
    <w:next w:val="Normal"/>
    <w:link w:val="Heading3Char"/>
    <w:uiPriority w:val="9"/>
    <w:semiHidden/>
    <w:unhideWhenUsed/>
    <w:qFormat/>
    <w:rsid w:val="009B6BF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B6BF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B6BF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B6BF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B6BF0"/>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9B6BF0"/>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9B6BF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829"/>
    <w:pPr>
      <w:tabs>
        <w:tab w:val="center" w:pos="4680"/>
        <w:tab w:val="right" w:pos="9360"/>
      </w:tabs>
    </w:pPr>
  </w:style>
  <w:style w:type="character" w:customStyle="1" w:styleId="HeaderChar">
    <w:name w:val="Header Char"/>
    <w:basedOn w:val="DefaultParagraphFont"/>
    <w:link w:val="Header"/>
    <w:uiPriority w:val="99"/>
    <w:rsid w:val="009218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829"/>
    <w:pPr>
      <w:tabs>
        <w:tab w:val="center" w:pos="4680"/>
        <w:tab w:val="right" w:pos="9360"/>
      </w:tabs>
    </w:pPr>
  </w:style>
  <w:style w:type="character" w:customStyle="1" w:styleId="FooterChar">
    <w:name w:val="Footer Char"/>
    <w:basedOn w:val="DefaultParagraphFont"/>
    <w:link w:val="Footer"/>
    <w:uiPriority w:val="99"/>
    <w:rsid w:val="0092182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21829"/>
    <w:pPr>
      <w:ind w:left="720"/>
      <w:contextualSpacing/>
    </w:pPr>
  </w:style>
  <w:style w:type="paragraph" w:styleId="FootnoteText">
    <w:name w:val="footnote text"/>
    <w:aliases w:val="F1"/>
    <w:basedOn w:val="Normal"/>
    <w:link w:val="FootnoteTextChar"/>
    <w:uiPriority w:val="99"/>
    <w:unhideWhenUsed/>
    <w:rsid w:val="00921829"/>
    <w:rPr>
      <w:rFonts w:asciiTheme="minorHAnsi" w:eastAsiaTheme="minorHAnsi" w:hAnsiTheme="minorHAnsi" w:cstheme="minorBidi"/>
      <w:sz w:val="20"/>
      <w:szCs w:val="20"/>
    </w:rPr>
  </w:style>
  <w:style w:type="character" w:customStyle="1" w:styleId="FootnoteTextChar">
    <w:name w:val="Footnote Text Char"/>
    <w:aliases w:val="F1 Char"/>
    <w:basedOn w:val="DefaultParagraphFont"/>
    <w:link w:val="FootnoteText"/>
    <w:uiPriority w:val="99"/>
    <w:rsid w:val="00921829"/>
    <w:rPr>
      <w:sz w:val="20"/>
      <w:szCs w:val="20"/>
    </w:rPr>
  </w:style>
  <w:style w:type="character" w:styleId="FootnoteReference">
    <w:name w:val="footnote reference"/>
    <w:basedOn w:val="DefaultParagraphFont"/>
    <w:uiPriority w:val="99"/>
    <w:unhideWhenUsed/>
    <w:rsid w:val="00921829"/>
    <w:rPr>
      <w:vertAlign w:val="superscript"/>
    </w:rPr>
  </w:style>
  <w:style w:type="character" w:customStyle="1" w:styleId="ListParagraphChar">
    <w:name w:val="List Paragraph Char"/>
    <w:basedOn w:val="DefaultParagraphFont"/>
    <w:link w:val="ListParagraph"/>
    <w:uiPriority w:val="34"/>
    <w:locked/>
    <w:rsid w:val="00921829"/>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1829"/>
  </w:style>
  <w:style w:type="character" w:styleId="Hyperlink">
    <w:name w:val="Hyperlink"/>
    <w:basedOn w:val="DefaultParagraphFont"/>
    <w:uiPriority w:val="99"/>
    <w:unhideWhenUsed/>
    <w:rsid w:val="00921829"/>
    <w:rPr>
      <w:color w:val="0000FF"/>
      <w:u w:val="single"/>
    </w:rPr>
  </w:style>
  <w:style w:type="table" w:styleId="TableGrid">
    <w:name w:val="Table Grid"/>
    <w:basedOn w:val="TableNormal"/>
    <w:uiPriority w:val="39"/>
    <w:rsid w:val="0092182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1829"/>
    <w:pPr>
      <w:spacing w:after="200"/>
    </w:pPr>
    <w:rPr>
      <w:rFonts w:asciiTheme="minorHAnsi" w:eastAsiaTheme="minorHAnsi" w:hAnsiTheme="minorHAnsi" w:cstheme="minorBidi"/>
      <w:b/>
      <w:bCs/>
      <w:color w:val="5B9BD5" w:themeColor="accent1"/>
      <w:sz w:val="18"/>
      <w:szCs w:val="18"/>
    </w:rPr>
  </w:style>
  <w:style w:type="table" w:styleId="MediumShading2-Accent5">
    <w:name w:val="Medium Shading 2 Accent 5"/>
    <w:basedOn w:val="TableNormal"/>
    <w:uiPriority w:val="64"/>
    <w:rsid w:val="00921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2-2ndBullet">
    <w:name w:val="N2-2nd Bullet"/>
    <w:basedOn w:val="Normal"/>
    <w:rsid w:val="00921829"/>
    <w:pPr>
      <w:tabs>
        <w:tab w:val="left" w:pos="1728"/>
      </w:tabs>
      <w:spacing w:after="120" w:line="240" w:lineRule="atLeast"/>
      <w:jc w:val="both"/>
    </w:pPr>
    <w:rPr>
      <w:sz w:val="22"/>
      <w:szCs w:val="20"/>
    </w:rPr>
  </w:style>
  <w:style w:type="character" w:styleId="CommentReference">
    <w:name w:val="annotation reference"/>
    <w:basedOn w:val="DefaultParagraphFont"/>
    <w:uiPriority w:val="99"/>
    <w:semiHidden/>
    <w:unhideWhenUsed/>
    <w:rsid w:val="00921829"/>
    <w:rPr>
      <w:sz w:val="16"/>
      <w:szCs w:val="16"/>
    </w:rPr>
  </w:style>
  <w:style w:type="paragraph" w:styleId="CommentText">
    <w:name w:val="annotation text"/>
    <w:basedOn w:val="Normal"/>
    <w:link w:val="CommentTextChar"/>
    <w:uiPriority w:val="99"/>
    <w:semiHidden/>
    <w:unhideWhenUsed/>
    <w:rsid w:val="00921829"/>
    <w:rPr>
      <w:sz w:val="20"/>
      <w:szCs w:val="20"/>
    </w:rPr>
  </w:style>
  <w:style w:type="character" w:customStyle="1" w:styleId="CommentTextChar">
    <w:name w:val="Comment Text Char"/>
    <w:basedOn w:val="DefaultParagraphFont"/>
    <w:link w:val="CommentText"/>
    <w:uiPriority w:val="99"/>
    <w:semiHidden/>
    <w:rsid w:val="0092182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21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829"/>
    <w:rPr>
      <w:rFonts w:ascii="Segoe UI" w:eastAsia="Times New Roman" w:hAnsi="Segoe UI" w:cs="Segoe UI"/>
      <w:sz w:val="18"/>
      <w:szCs w:val="18"/>
    </w:rPr>
  </w:style>
  <w:style w:type="paragraph" w:customStyle="1" w:styleId="TT-TableTitle">
    <w:name w:val="TT-Table Title"/>
    <w:rsid w:val="00921829"/>
    <w:pPr>
      <w:tabs>
        <w:tab w:val="left" w:pos="1152"/>
      </w:tabs>
      <w:spacing w:after="0" w:line="240" w:lineRule="atLeast"/>
      <w:ind w:left="1152" w:hanging="1152"/>
    </w:pPr>
    <w:rPr>
      <w:rFonts w:ascii="Times New Roman" w:eastAsia="Times New Roman" w:hAnsi="Times New Roman" w:cs="Times New Roman"/>
      <w:szCs w:val="20"/>
    </w:rPr>
  </w:style>
  <w:style w:type="paragraph" w:customStyle="1" w:styleId="SL-FlLftSgl">
    <w:name w:val="SL-Fl Lft Sgl"/>
    <w:rsid w:val="00921829"/>
    <w:pPr>
      <w:spacing w:after="0" w:line="240" w:lineRule="atLeast"/>
      <w:jc w:val="both"/>
    </w:pPr>
    <w:rPr>
      <w:rFonts w:ascii="Times New Roman" w:eastAsia="Times New Roman" w:hAnsi="Times New Roman" w:cs="Times New Roman"/>
      <w:szCs w:val="20"/>
    </w:rPr>
  </w:style>
  <w:style w:type="paragraph" w:styleId="NormalWeb">
    <w:name w:val="Normal (Web)"/>
    <w:basedOn w:val="Normal"/>
    <w:link w:val="NormalWebChar"/>
    <w:uiPriority w:val="99"/>
    <w:unhideWhenUsed/>
    <w:rsid w:val="00921829"/>
    <w:pPr>
      <w:spacing w:before="100" w:beforeAutospacing="1" w:after="100" w:afterAutospacing="1"/>
    </w:pPr>
  </w:style>
  <w:style w:type="paragraph" w:customStyle="1" w:styleId="Default">
    <w:name w:val="Default"/>
    <w:rsid w:val="00921829"/>
    <w:pPr>
      <w:autoSpaceDE w:val="0"/>
      <w:autoSpaceDN w:val="0"/>
      <w:adjustRightInd w:val="0"/>
      <w:spacing w:after="0" w:line="240" w:lineRule="auto"/>
    </w:pPr>
    <w:rPr>
      <w:rFonts w:ascii="ELKPBN+TimesNewRoman" w:eastAsia="Times New Roman" w:hAnsi="ELKPBN+TimesNewRoman" w:cs="ELKPBN+TimesNewRoman"/>
      <w:color w:val="000000"/>
      <w:sz w:val="24"/>
      <w:szCs w:val="24"/>
    </w:rPr>
  </w:style>
  <w:style w:type="paragraph" w:styleId="CommentSubject">
    <w:name w:val="annotation subject"/>
    <w:basedOn w:val="CommentText"/>
    <w:next w:val="CommentText"/>
    <w:link w:val="CommentSubjectChar"/>
    <w:uiPriority w:val="99"/>
    <w:semiHidden/>
    <w:unhideWhenUsed/>
    <w:rsid w:val="00921829"/>
    <w:rPr>
      <w:b/>
      <w:bCs/>
    </w:rPr>
  </w:style>
  <w:style w:type="character" w:customStyle="1" w:styleId="CommentSubjectChar">
    <w:name w:val="Comment Subject Char"/>
    <w:basedOn w:val="CommentTextChar"/>
    <w:link w:val="CommentSubject"/>
    <w:uiPriority w:val="99"/>
    <w:semiHidden/>
    <w:rsid w:val="00921829"/>
    <w:rPr>
      <w:rFonts w:ascii="Times New Roman" w:eastAsia="Times New Roman" w:hAnsi="Times New Roman" w:cs="Times New Roman"/>
      <w:b/>
      <w:bCs/>
      <w:sz w:val="20"/>
      <w:szCs w:val="20"/>
    </w:rPr>
  </w:style>
  <w:style w:type="paragraph" w:styleId="Revision">
    <w:name w:val="Revision"/>
    <w:hidden/>
    <w:uiPriority w:val="99"/>
    <w:semiHidden/>
    <w:rsid w:val="0092182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829"/>
    <w:rPr>
      <w:b/>
      <w:bCs/>
    </w:rPr>
  </w:style>
  <w:style w:type="character" w:customStyle="1" w:styleId="NormalWebChar">
    <w:name w:val="Normal (Web) Char"/>
    <w:basedOn w:val="DefaultParagraphFont"/>
    <w:link w:val="NormalWeb"/>
    <w:uiPriority w:val="99"/>
    <w:rsid w:val="00921829"/>
    <w:rPr>
      <w:rFonts w:ascii="Times New Roman" w:eastAsia="Times New Roman" w:hAnsi="Times New Roman" w:cs="Times New Roman"/>
      <w:sz w:val="24"/>
      <w:szCs w:val="24"/>
    </w:rPr>
  </w:style>
  <w:style w:type="character" w:customStyle="1" w:styleId="Heading1Char">
    <w:name w:val="Heading 1 Char"/>
    <w:aliases w:val="H1-Chap. Head Char"/>
    <w:basedOn w:val="DefaultParagraphFont"/>
    <w:link w:val="Heading1"/>
    <w:uiPriority w:val="9"/>
    <w:rsid w:val="008B3924"/>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
    <w:rsid w:val="008B3924"/>
    <w:rPr>
      <w:rFonts w:ascii="Franklin Gothic Medium" w:eastAsia="Times New Roman" w:hAnsi="Franklin Gothic Medium" w:cs="Times New Roman"/>
      <w:b/>
      <w:color w:val="324162"/>
      <w:sz w:val="32"/>
      <w:szCs w:val="20"/>
    </w:rPr>
  </w:style>
  <w:style w:type="character" w:customStyle="1" w:styleId="Heading3Char">
    <w:name w:val="Heading 3 Char"/>
    <w:basedOn w:val="DefaultParagraphFont"/>
    <w:link w:val="Heading3"/>
    <w:uiPriority w:val="9"/>
    <w:semiHidden/>
    <w:rsid w:val="009B6BF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B6BF0"/>
    <w:rPr>
      <w:rFonts w:eastAsiaTheme="minorEastAsia"/>
      <w:b/>
      <w:bCs/>
      <w:sz w:val="28"/>
      <w:szCs w:val="28"/>
    </w:rPr>
  </w:style>
  <w:style w:type="character" w:customStyle="1" w:styleId="Heading5Char">
    <w:name w:val="Heading 5 Char"/>
    <w:basedOn w:val="DefaultParagraphFont"/>
    <w:link w:val="Heading5"/>
    <w:uiPriority w:val="9"/>
    <w:semiHidden/>
    <w:rsid w:val="009B6BF0"/>
    <w:rPr>
      <w:rFonts w:eastAsiaTheme="minorEastAsia"/>
      <w:b/>
      <w:bCs/>
      <w:i/>
      <w:iCs/>
      <w:sz w:val="26"/>
      <w:szCs w:val="26"/>
    </w:rPr>
  </w:style>
  <w:style w:type="character" w:customStyle="1" w:styleId="Heading6Char">
    <w:name w:val="Heading 6 Char"/>
    <w:basedOn w:val="DefaultParagraphFont"/>
    <w:link w:val="Heading6"/>
    <w:rsid w:val="009B6BF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B6BF0"/>
    <w:rPr>
      <w:rFonts w:eastAsiaTheme="minorEastAsia"/>
      <w:sz w:val="24"/>
      <w:szCs w:val="24"/>
    </w:rPr>
  </w:style>
  <w:style w:type="character" w:customStyle="1" w:styleId="Heading8Char">
    <w:name w:val="Heading 8 Char"/>
    <w:basedOn w:val="DefaultParagraphFont"/>
    <w:link w:val="Heading8"/>
    <w:uiPriority w:val="9"/>
    <w:semiHidden/>
    <w:rsid w:val="009B6BF0"/>
    <w:rPr>
      <w:rFonts w:eastAsiaTheme="minorEastAsia"/>
      <w:i/>
      <w:iCs/>
      <w:sz w:val="24"/>
      <w:szCs w:val="24"/>
    </w:rPr>
  </w:style>
  <w:style w:type="character" w:customStyle="1" w:styleId="Heading9Char">
    <w:name w:val="Heading 9 Char"/>
    <w:basedOn w:val="DefaultParagraphFont"/>
    <w:link w:val="Heading9"/>
    <w:uiPriority w:val="9"/>
    <w:semiHidden/>
    <w:rsid w:val="009B6BF0"/>
    <w:rPr>
      <w:rFonts w:asciiTheme="majorHAnsi" w:eastAsiaTheme="majorEastAsia" w:hAnsiTheme="majorHAnsi" w:cstheme="majorBidi"/>
    </w:rPr>
  </w:style>
  <w:style w:type="numbering" w:customStyle="1" w:styleId="NoList1">
    <w:name w:val="No List1"/>
    <w:next w:val="NoList"/>
    <w:uiPriority w:val="99"/>
    <w:semiHidden/>
    <w:unhideWhenUsed/>
    <w:rsid w:val="004E7966"/>
  </w:style>
  <w:style w:type="table" w:customStyle="1" w:styleId="TableGrid1">
    <w:name w:val="Table Grid1"/>
    <w:basedOn w:val="TableNormal"/>
    <w:next w:val="TableGrid"/>
    <w:uiPriority w:val="39"/>
    <w:rsid w:val="004E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53D2"/>
    <w:pPr>
      <w:keepLines/>
      <w:tabs>
        <w:tab w:val="clear" w:pos="1152"/>
      </w:tab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253D2"/>
    <w:pPr>
      <w:spacing w:after="100"/>
    </w:pPr>
  </w:style>
  <w:style w:type="paragraph" w:styleId="TOC2">
    <w:name w:val="toc 2"/>
    <w:basedOn w:val="Normal"/>
    <w:next w:val="Normal"/>
    <w:autoRedefine/>
    <w:uiPriority w:val="39"/>
    <w:unhideWhenUsed/>
    <w:rsid w:val="00E253D2"/>
    <w:pPr>
      <w:spacing w:after="100"/>
      <w:ind w:left="240"/>
    </w:pPr>
  </w:style>
  <w:style w:type="paragraph" w:styleId="NoSpacing">
    <w:name w:val="No Spacing"/>
    <w:link w:val="NoSpacingChar"/>
    <w:uiPriority w:val="1"/>
    <w:qFormat/>
    <w:rsid w:val="006341D8"/>
    <w:pPr>
      <w:spacing w:after="0" w:line="240" w:lineRule="auto"/>
    </w:pPr>
    <w:rPr>
      <w:rFonts w:eastAsiaTheme="minorEastAsia"/>
    </w:rPr>
  </w:style>
  <w:style w:type="character" w:customStyle="1" w:styleId="NoSpacingChar">
    <w:name w:val="No Spacing Char"/>
    <w:basedOn w:val="DefaultParagraphFont"/>
    <w:link w:val="NoSpacing"/>
    <w:uiPriority w:val="1"/>
    <w:rsid w:val="006341D8"/>
    <w:rPr>
      <w:rFonts w:eastAsiaTheme="minorEastAsia"/>
    </w:rPr>
  </w:style>
  <w:style w:type="character" w:styleId="FollowedHyperlink">
    <w:name w:val="FollowedHyperlink"/>
    <w:basedOn w:val="DefaultParagraphFont"/>
    <w:uiPriority w:val="99"/>
    <w:semiHidden/>
    <w:unhideWhenUsed/>
    <w:rsid w:val="00E6614F"/>
    <w:rPr>
      <w:color w:val="954F72" w:themeColor="followedHyperlink"/>
      <w:u w:val="single"/>
    </w:rPr>
  </w:style>
  <w:style w:type="paragraph" w:customStyle="1" w:styleId="Normal1">
    <w:name w:val="Normal1"/>
    <w:rsid w:val="003455DA"/>
    <w:pPr>
      <w:spacing w:after="0"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5492">
      <w:bodyDiv w:val="1"/>
      <w:marLeft w:val="0"/>
      <w:marRight w:val="0"/>
      <w:marTop w:val="0"/>
      <w:marBottom w:val="0"/>
      <w:divBdr>
        <w:top w:val="none" w:sz="0" w:space="0" w:color="auto"/>
        <w:left w:val="none" w:sz="0" w:space="0" w:color="auto"/>
        <w:bottom w:val="none" w:sz="0" w:space="0" w:color="auto"/>
        <w:right w:val="none" w:sz="0" w:space="0" w:color="auto"/>
      </w:divBdr>
    </w:div>
    <w:div w:id="236520426">
      <w:bodyDiv w:val="1"/>
      <w:marLeft w:val="0"/>
      <w:marRight w:val="0"/>
      <w:marTop w:val="0"/>
      <w:marBottom w:val="0"/>
      <w:divBdr>
        <w:top w:val="none" w:sz="0" w:space="0" w:color="auto"/>
        <w:left w:val="none" w:sz="0" w:space="0" w:color="auto"/>
        <w:bottom w:val="none" w:sz="0" w:space="0" w:color="auto"/>
        <w:right w:val="none" w:sz="0" w:space="0" w:color="auto"/>
      </w:divBdr>
    </w:div>
    <w:div w:id="457336228">
      <w:bodyDiv w:val="1"/>
      <w:marLeft w:val="0"/>
      <w:marRight w:val="0"/>
      <w:marTop w:val="0"/>
      <w:marBottom w:val="0"/>
      <w:divBdr>
        <w:top w:val="none" w:sz="0" w:space="0" w:color="auto"/>
        <w:left w:val="none" w:sz="0" w:space="0" w:color="auto"/>
        <w:bottom w:val="none" w:sz="0" w:space="0" w:color="auto"/>
        <w:right w:val="none" w:sz="0" w:space="0" w:color="auto"/>
      </w:divBdr>
    </w:div>
    <w:div w:id="775760115">
      <w:bodyDiv w:val="1"/>
      <w:marLeft w:val="0"/>
      <w:marRight w:val="0"/>
      <w:marTop w:val="0"/>
      <w:marBottom w:val="0"/>
      <w:divBdr>
        <w:top w:val="none" w:sz="0" w:space="0" w:color="auto"/>
        <w:left w:val="none" w:sz="0" w:space="0" w:color="auto"/>
        <w:bottom w:val="none" w:sz="0" w:space="0" w:color="auto"/>
        <w:right w:val="none" w:sz="0" w:space="0" w:color="auto"/>
      </w:divBdr>
    </w:div>
    <w:div w:id="780150225">
      <w:bodyDiv w:val="1"/>
      <w:marLeft w:val="0"/>
      <w:marRight w:val="0"/>
      <w:marTop w:val="0"/>
      <w:marBottom w:val="0"/>
      <w:divBdr>
        <w:top w:val="none" w:sz="0" w:space="0" w:color="auto"/>
        <w:left w:val="none" w:sz="0" w:space="0" w:color="auto"/>
        <w:bottom w:val="none" w:sz="0" w:space="0" w:color="auto"/>
        <w:right w:val="none" w:sz="0" w:space="0" w:color="auto"/>
      </w:divBdr>
    </w:div>
    <w:div w:id="978460994">
      <w:bodyDiv w:val="1"/>
      <w:marLeft w:val="0"/>
      <w:marRight w:val="0"/>
      <w:marTop w:val="0"/>
      <w:marBottom w:val="0"/>
      <w:divBdr>
        <w:top w:val="none" w:sz="0" w:space="0" w:color="auto"/>
        <w:left w:val="none" w:sz="0" w:space="0" w:color="auto"/>
        <w:bottom w:val="none" w:sz="0" w:space="0" w:color="auto"/>
        <w:right w:val="none" w:sz="0" w:space="0" w:color="auto"/>
      </w:divBdr>
    </w:div>
    <w:div w:id="1336222140">
      <w:bodyDiv w:val="1"/>
      <w:marLeft w:val="0"/>
      <w:marRight w:val="0"/>
      <w:marTop w:val="0"/>
      <w:marBottom w:val="0"/>
      <w:divBdr>
        <w:top w:val="none" w:sz="0" w:space="0" w:color="auto"/>
        <w:left w:val="none" w:sz="0" w:space="0" w:color="auto"/>
        <w:bottom w:val="none" w:sz="0" w:space="0" w:color="auto"/>
        <w:right w:val="none" w:sz="0" w:space="0" w:color="auto"/>
      </w:divBdr>
    </w:div>
    <w:div w:id="168617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aup.org/sites/default/files/SurveyReportTablesMA16.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D6D0-5CEE-4BF3-8192-DDEA37D3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6210</Words>
  <Characters>32607</Characters>
  <Application>Microsoft Office Word</Application>
  <DocSecurity>0</DocSecurity>
  <Lines>905</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 Mochel</dc:creator>
  <cp:keywords/>
  <dc:description/>
  <cp:lastModifiedBy>Plimpton, Suzanne H.</cp:lastModifiedBy>
  <cp:revision>4</cp:revision>
  <cp:lastPrinted>2015-11-09T16:21:00Z</cp:lastPrinted>
  <dcterms:created xsi:type="dcterms:W3CDTF">2017-05-26T19:11:00Z</dcterms:created>
  <dcterms:modified xsi:type="dcterms:W3CDTF">2017-05-26T19:14:00Z</dcterms:modified>
</cp:coreProperties>
</file>