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60C" w:rsidRPr="0062060C" w:rsidRDefault="0062060C" w:rsidP="0062060C">
      <w:pPr>
        <w:autoSpaceDE w:val="0"/>
        <w:autoSpaceDN w:val="0"/>
        <w:adjustRightInd w:val="0"/>
        <w:jc w:val="center"/>
        <w:rPr>
          <w:rFonts w:ascii="Times New Roman" w:hAnsi="Times New Roman"/>
          <w:b/>
          <w:sz w:val="28"/>
          <w:szCs w:val="28"/>
        </w:rPr>
      </w:pPr>
      <w:r w:rsidRPr="0062060C">
        <w:rPr>
          <w:rFonts w:ascii="Times New Roman" w:hAnsi="Times New Roman"/>
          <w:b/>
          <w:sz w:val="28"/>
          <w:szCs w:val="28"/>
        </w:rPr>
        <w:t>Supporting Statement for</w:t>
      </w:r>
    </w:p>
    <w:p w:rsidR="0062060C" w:rsidRPr="0062060C" w:rsidRDefault="0062060C" w:rsidP="0062060C">
      <w:pPr>
        <w:autoSpaceDE w:val="0"/>
        <w:autoSpaceDN w:val="0"/>
        <w:adjustRightInd w:val="0"/>
        <w:jc w:val="center"/>
        <w:rPr>
          <w:rFonts w:ascii="Times New Roman" w:hAnsi="Times New Roman"/>
          <w:b/>
          <w:sz w:val="28"/>
          <w:szCs w:val="28"/>
        </w:rPr>
      </w:pPr>
      <w:r w:rsidRPr="0062060C">
        <w:rPr>
          <w:rFonts w:ascii="Times New Roman" w:hAnsi="Times New Roman"/>
          <w:b/>
          <w:sz w:val="28"/>
          <w:szCs w:val="28"/>
        </w:rPr>
        <w:t>Vocational Rehabilitation and Employment (VR&amp;E)</w:t>
      </w:r>
    </w:p>
    <w:p w:rsidR="004419C7" w:rsidRPr="0062060C" w:rsidRDefault="0062060C" w:rsidP="0062060C">
      <w:pPr>
        <w:autoSpaceDE w:val="0"/>
        <w:autoSpaceDN w:val="0"/>
        <w:adjustRightInd w:val="0"/>
        <w:jc w:val="center"/>
        <w:rPr>
          <w:rFonts w:ascii="Times New Roman" w:hAnsi="Times New Roman"/>
          <w:b/>
          <w:sz w:val="28"/>
          <w:szCs w:val="28"/>
        </w:rPr>
      </w:pPr>
      <w:r w:rsidRPr="0062060C">
        <w:rPr>
          <w:rFonts w:ascii="Times New Roman" w:hAnsi="Times New Roman"/>
          <w:b/>
          <w:sz w:val="28"/>
          <w:szCs w:val="28"/>
        </w:rPr>
        <w:t>Longitudinal Study Survey (</w:t>
      </w:r>
      <w:r w:rsidR="008900B5">
        <w:rPr>
          <w:rFonts w:ascii="Times New Roman" w:hAnsi="Times New Roman"/>
          <w:b/>
          <w:sz w:val="28"/>
          <w:szCs w:val="28"/>
        </w:rPr>
        <w:t xml:space="preserve">OMB Control No. </w:t>
      </w:r>
      <w:r w:rsidRPr="0062060C">
        <w:rPr>
          <w:rFonts w:ascii="Times New Roman" w:hAnsi="Times New Roman"/>
          <w:b/>
          <w:sz w:val="28"/>
          <w:szCs w:val="28"/>
        </w:rPr>
        <w:t>2900-0786)</w:t>
      </w:r>
    </w:p>
    <w:p w:rsidR="004419C7" w:rsidRDefault="004419C7" w:rsidP="004419C7">
      <w:pPr>
        <w:autoSpaceDE w:val="0"/>
        <w:autoSpaceDN w:val="0"/>
        <w:adjustRightInd w:val="0"/>
        <w:ind w:left="360"/>
        <w:jc w:val="center"/>
        <w:rPr>
          <w:rFonts w:ascii="Times New Roman" w:hAnsi="Times New Roman"/>
          <w:sz w:val="24"/>
          <w:szCs w:val="24"/>
        </w:rPr>
      </w:pPr>
    </w:p>
    <w:p w:rsidR="004419C7" w:rsidRDefault="004419C7" w:rsidP="004419C7">
      <w:pPr>
        <w:autoSpaceDE w:val="0"/>
        <w:autoSpaceDN w:val="0"/>
        <w:adjustRightInd w:val="0"/>
        <w:ind w:left="360"/>
        <w:jc w:val="center"/>
        <w:rPr>
          <w:rFonts w:ascii="Times New Roman" w:hAnsi="Times New Roman"/>
          <w:sz w:val="24"/>
          <w:szCs w:val="24"/>
        </w:rPr>
      </w:pPr>
    </w:p>
    <w:p w:rsidR="004419C7" w:rsidRPr="00495C22" w:rsidRDefault="004419C7" w:rsidP="004419C7">
      <w:pPr>
        <w:pStyle w:val="ListParagraph"/>
        <w:numPr>
          <w:ilvl w:val="0"/>
          <w:numId w:val="10"/>
        </w:numPr>
        <w:tabs>
          <w:tab w:val="left" w:pos="480"/>
          <w:tab w:val="right" w:pos="720"/>
        </w:tabs>
        <w:ind w:right="684"/>
        <w:rPr>
          <w:b/>
          <w:sz w:val="24"/>
          <w:szCs w:val="24"/>
        </w:rPr>
      </w:pPr>
      <w:r w:rsidRPr="00495C22">
        <w:rPr>
          <w:b/>
          <w:sz w:val="24"/>
          <w:szCs w:val="24"/>
        </w:rPr>
        <w:t>JUSTIFICATION:</w:t>
      </w:r>
    </w:p>
    <w:p w:rsidR="004419C7" w:rsidRPr="00495C22" w:rsidRDefault="004419C7" w:rsidP="004419C7">
      <w:pPr>
        <w:ind w:left="360"/>
        <w:rPr>
          <w:b/>
          <w:sz w:val="24"/>
          <w:szCs w:val="24"/>
        </w:rPr>
      </w:pPr>
    </w:p>
    <w:p w:rsidR="004419C7" w:rsidRPr="00495C22" w:rsidRDefault="004419C7" w:rsidP="004419C7">
      <w:pPr>
        <w:pStyle w:val="ListParagraph"/>
        <w:numPr>
          <w:ilvl w:val="0"/>
          <w:numId w:val="7"/>
        </w:numPr>
        <w:rPr>
          <w:b/>
          <w:sz w:val="24"/>
          <w:szCs w:val="24"/>
        </w:rPr>
      </w:pPr>
      <w:r w:rsidRPr="00495C22">
        <w:rPr>
          <w:b/>
          <w:sz w:val="24"/>
          <w:szCs w:val="24"/>
        </w:rPr>
        <w:t>Explain the circumstances that make the collection of i</w:t>
      </w:r>
      <w:r>
        <w:rPr>
          <w:b/>
          <w:sz w:val="24"/>
          <w:szCs w:val="24"/>
        </w:rPr>
        <w:t xml:space="preserve">nformation necessary.  Identify </w:t>
      </w:r>
      <w:r w:rsidRPr="00495C22">
        <w:rPr>
          <w:b/>
          <w:sz w:val="24"/>
          <w:szCs w:val="24"/>
        </w:rPr>
        <w:t xml:space="preserve">legal or administrative requirements that necessitate the collection of information.  </w:t>
      </w:r>
    </w:p>
    <w:p w:rsidR="004419C7" w:rsidRPr="00495C22" w:rsidRDefault="004419C7" w:rsidP="004419C7">
      <w:pPr>
        <w:pStyle w:val="ListParagraph"/>
        <w:ind w:left="360"/>
        <w:rPr>
          <w:sz w:val="24"/>
          <w:szCs w:val="24"/>
        </w:rPr>
      </w:pPr>
    </w:p>
    <w:p w:rsidR="004C71FA" w:rsidRPr="004C71FA" w:rsidRDefault="004C71FA" w:rsidP="004C71FA">
      <w:pPr>
        <w:autoSpaceDE w:val="0"/>
        <w:autoSpaceDN w:val="0"/>
        <w:adjustRightInd w:val="0"/>
        <w:ind w:left="360"/>
        <w:rPr>
          <w:rFonts w:ascii="Times New Roman" w:hAnsi="Times New Roman"/>
          <w:bCs/>
          <w:sz w:val="24"/>
          <w:szCs w:val="24"/>
        </w:rPr>
      </w:pPr>
      <w:r w:rsidRPr="004C71FA">
        <w:rPr>
          <w:rFonts w:ascii="Times New Roman" w:hAnsi="Times New Roman"/>
          <w:bCs/>
          <w:sz w:val="24"/>
          <w:szCs w:val="24"/>
        </w:rPr>
        <w:t xml:space="preserve">On October 10, 2008, Congress passed the Veterans' Benefits Improvement Act (Public Law 110-389) to improve, enhance compensation and pension, housing, labor and education, and insurance benefits for Veterans. Section 334 of this law amended Chapter 31 by adding a 20-year longitudinal study requirement of Veterans who participated in the Vocational Rehabilitation and Employment (VR&amp;E) </w:t>
      </w:r>
      <w:proofErr w:type="spellStart"/>
      <w:r w:rsidRPr="004C71FA">
        <w:rPr>
          <w:rFonts w:ascii="Times New Roman" w:hAnsi="Times New Roman"/>
          <w:bCs/>
          <w:sz w:val="24"/>
          <w:szCs w:val="24"/>
        </w:rPr>
        <w:t>VetSuccess</w:t>
      </w:r>
      <w:proofErr w:type="spellEnd"/>
      <w:r w:rsidRPr="004C71FA">
        <w:rPr>
          <w:rFonts w:ascii="Times New Roman" w:hAnsi="Times New Roman"/>
          <w:bCs/>
          <w:sz w:val="24"/>
          <w:szCs w:val="24"/>
        </w:rPr>
        <w:t xml:space="preserve"> program during fiscal years 2010, 2012, and 2014.  This law also requires that the VA report to Congress annually on the long-term employment outcomes of Veterans.  </w:t>
      </w:r>
    </w:p>
    <w:p w:rsidR="004C71FA" w:rsidRPr="004C71FA" w:rsidRDefault="004C71FA" w:rsidP="004C71FA">
      <w:pPr>
        <w:autoSpaceDE w:val="0"/>
        <w:autoSpaceDN w:val="0"/>
        <w:adjustRightInd w:val="0"/>
        <w:ind w:left="360"/>
        <w:rPr>
          <w:rFonts w:ascii="Times New Roman" w:hAnsi="Times New Roman"/>
          <w:bCs/>
          <w:sz w:val="24"/>
          <w:szCs w:val="24"/>
        </w:rPr>
      </w:pPr>
    </w:p>
    <w:p w:rsidR="004C71FA" w:rsidRPr="004C71FA" w:rsidRDefault="004C71FA" w:rsidP="004C71FA">
      <w:pPr>
        <w:autoSpaceDE w:val="0"/>
        <w:autoSpaceDN w:val="0"/>
        <w:adjustRightInd w:val="0"/>
        <w:ind w:left="360"/>
        <w:rPr>
          <w:rFonts w:ascii="Times New Roman" w:hAnsi="Times New Roman"/>
          <w:bCs/>
          <w:sz w:val="24"/>
          <w:szCs w:val="24"/>
        </w:rPr>
      </w:pPr>
      <w:r w:rsidRPr="004C71FA">
        <w:rPr>
          <w:rFonts w:ascii="Times New Roman" w:hAnsi="Times New Roman"/>
          <w:bCs/>
          <w:sz w:val="24"/>
          <w:szCs w:val="24"/>
        </w:rPr>
        <w:t>In order to comply with the requirements of the law, the VA will need to conduct a study that includes a 20-year longitudinal survey of a random sample of VR&amp;E participants who began the program in FY2010, FY2012, and FY2014.  VR&amp;E program participants eventually leave the program (through successful rehabilitation or voluntary/involuntary withdrawal from the program) and the VA would have no other source of information on long-term outcomes, other than to contact them directly to find out about employment and other outcomes, as far as 20 years after program enrollment.</w:t>
      </w:r>
    </w:p>
    <w:p w:rsidR="004C71FA" w:rsidRPr="004C71FA" w:rsidRDefault="004C71FA" w:rsidP="004C71FA">
      <w:pPr>
        <w:autoSpaceDE w:val="0"/>
        <w:autoSpaceDN w:val="0"/>
        <w:adjustRightInd w:val="0"/>
        <w:ind w:left="360"/>
        <w:rPr>
          <w:rFonts w:ascii="Times New Roman" w:hAnsi="Times New Roman"/>
          <w:bCs/>
          <w:sz w:val="24"/>
          <w:szCs w:val="24"/>
        </w:rPr>
      </w:pPr>
    </w:p>
    <w:p w:rsidR="004C71FA" w:rsidRPr="004C71FA" w:rsidRDefault="004C71FA" w:rsidP="004C71FA">
      <w:pPr>
        <w:autoSpaceDE w:val="0"/>
        <w:autoSpaceDN w:val="0"/>
        <w:adjustRightInd w:val="0"/>
        <w:ind w:left="360"/>
        <w:rPr>
          <w:rFonts w:ascii="Times New Roman" w:hAnsi="Times New Roman"/>
          <w:bCs/>
          <w:sz w:val="24"/>
          <w:szCs w:val="24"/>
        </w:rPr>
      </w:pPr>
      <w:r w:rsidRPr="004C71FA">
        <w:rPr>
          <w:rFonts w:ascii="Times New Roman" w:hAnsi="Times New Roman"/>
          <w:bCs/>
          <w:sz w:val="24"/>
          <w:szCs w:val="24"/>
        </w:rPr>
        <w:t>The law also specifies that the VA report annually to Congress (by July 1) on sixteen specific data elements.  While administrative data maintained within the VBA can be analyzed to report one some of the fifteen elements, for some of the data elements, no data sources currently exist within VBA administrative files that collect the required information.    To collect the data needed to fulfill these annual reporting requirements, the VA is conducting the VR&amp;E Longitudinal Study; the study will include an annual survey of a statistically valid random sample of three cohorts of VR&amp;E participants (i.e., Chapter 31 participants who began a plan of services in FY2010, FY2012, and FY2014).</w:t>
      </w:r>
    </w:p>
    <w:p w:rsidR="009879A1" w:rsidRDefault="009879A1" w:rsidP="00A73F4B">
      <w:pPr>
        <w:autoSpaceDE w:val="0"/>
        <w:autoSpaceDN w:val="0"/>
        <w:adjustRightInd w:val="0"/>
        <w:ind w:left="360"/>
        <w:rPr>
          <w:rFonts w:ascii="Times New Roman" w:hAnsi="Times New Roman"/>
          <w:sz w:val="24"/>
          <w:szCs w:val="24"/>
        </w:rPr>
      </w:pPr>
    </w:p>
    <w:p w:rsidR="004419C7" w:rsidRPr="00495C22" w:rsidRDefault="004419C7" w:rsidP="004419C7">
      <w:pPr>
        <w:pStyle w:val="ListParagraph"/>
        <w:numPr>
          <w:ilvl w:val="0"/>
          <w:numId w:val="7"/>
        </w:numPr>
        <w:tabs>
          <w:tab w:val="left" w:pos="36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4419C7" w:rsidRPr="00FB5C85" w:rsidRDefault="004419C7" w:rsidP="004419C7">
      <w:pPr>
        <w:autoSpaceDE w:val="0"/>
        <w:autoSpaceDN w:val="0"/>
        <w:adjustRightInd w:val="0"/>
        <w:ind w:left="360"/>
        <w:rPr>
          <w:rFonts w:ascii="Times New Roman" w:hAnsi="Times New Roman"/>
          <w:sz w:val="24"/>
          <w:szCs w:val="24"/>
        </w:rPr>
      </w:pPr>
    </w:p>
    <w:p w:rsidR="000D5F78" w:rsidRPr="000D5F78" w:rsidRDefault="000D5F78" w:rsidP="000D5F78">
      <w:pPr>
        <w:autoSpaceDE w:val="0"/>
        <w:autoSpaceDN w:val="0"/>
        <w:adjustRightInd w:val="0"/>
        <w:ind w:left="360"/>
        <w:rPr>
          <w:rFonts w:ascii="Times New Roman" w:hAnsi="Times New Roman"/>
          <w:bCs/>
          <w:sz w:val="24"/>
          <w:szCs w:val="24"/>
        </w:rPr>
      </w:pPr>
      <w:r w:rsidRPr="000D5F78">
        <w:rPr>
          <w:rFonts w:ascii="Times New Roman" w:hAnsi="Times New Roman"/>
          <w:bCs/>
          <w:sz w:val="24"/>
          <w:szCs w:val="24"/>
        </w:rPr>
        <w:t xml:space="preserve">The primary goal of the VR&amp;E Longitudinal Study is to determine the longitudinal outcomes associated with community adjustment resulting from the VR&amp;E program.  The specific outcomes of interest in the mandate are (1) employment, (2) income, (3) home ownership, and (4) use of (need for) other program benefits, measured by receipt of Social Security Disability Insurance (SSDI) or Supplemental Security Income (SSI), unemployment benefits, or other public program benefits.  As one’s employment circumstances often changes over time, repeated measures of employment and community adjustment over time are typically more meaningful, providing a more accurate picture of the individual’s employment </w:t>
      </w:r>
      <w:r w:rsidRPr="000D5F78">
        <w:rPr>
          <w:rFonts w:ascii="Times New Roman" w:hAnsi="Times New Roman"/>
          <w:bCs/>
          <w:sz w:val="24"/>
          <w:szCs w:val="24"/>
        </w:rPr>
        <w:lastRenderedPageBreak/>
        <w:t>situation.  In addition to these outcomes, the contributing factors of interest include the number of program participants, average number of months served on active duty, disability ratings, types of benefits received, number of Veterans enrolled in education or training programs, and the average number of visits to VA and non-VA medical facilities each year.</w:t>
      </w:r>
    </w:p>
    <w:p w:rsidR="000D5F78" w:rsidRPr="000D5F78" w:rsidRDefault="000D5F78" w:rsidP="000D5F78">
      <w:pPr>
        <w:autoSpaceDE w:val="0"/>
        <w:autoSpaceDN w:val="0"/>
        <w:adjustRightInd w:val="0"/>
        <w:ind w:left="360"/>
        <w:rPr>
          <w:rFonts w:ascii="Times New Roman" w:hAnsi="Times New Roman"/>
          <w:bCs/>
          <w:sz w:val="24"/>
          <w:szCs w:val="24"/>
        </w:rPr>
      </w:pPr>
    </w:p>
    <w:p w:rsidR="000D5F78" w:rsidRPr="000D5F78" w:rsidRDefault="000D5F78" w:rsidP="000D5F78">
      <w:pPr>
        <w:autoSpaceDE w:val="0"/>
        <w:autoSpaceDN w:val="0"/>
        <w:adjustRightInd w:val="0"/>
        <w:ind w:left="360"/>
        <w:rPr>
          <w:rFonts w:ascii="Times New Roman" w:hAnsi="Times New Roman"/>
          <w:bCs/>
          <w:sz w:val="24"/>
          <w:szCs w:val="24"/>
        </w:rPr>
      </w:pPr>
      <w:r w:rsidRPr="000D5F78">
        <w:rPr>
          <w:rFonts w:ascii="Times New Roman" w:hAnsi="Times New Roman"/>
          <w:bCs/>
          <w:sz w:val="24"/>
          <w:szCs w:val="24"/>
        </w:rPr>
        <w:t xml:space="preserve">The study will employ three sources of data to measure the outcomes and contributing factors of interest: (1) administrative data currently residing within VBA administrative files, (2) self-reported survey data to be collected, and (3) existing administrative data from the Social Security Administration (SSA) through the use of data sharing agreements.  Using data from all three sources will allow for more comprehensive analyses that will provide better understanding of the long-term employment outcomes of VR&amp;E participants.  </w:t>
      </w:r>
    </w:p>
    <w:p w:rsidR="000D5F78" w:rsidRPr="000D5F78" w:rsidRDefault="000D5F78" w:rsidP="000D5F78">
      <w:pPr>
        <w:autoSpaceDE w:val="0"/>
        <w:autoSpaceDN w:val="0"/>
        <w:adjustRightInd w:val="0"/>
        <w:ind w:left="360"/>
        <w:rPr>
          <w:rFonts w:ascii="Times New Roman" w:hAnsi="Times New Roman"/>
          <w:bCs/>
          <w:sz w:val="24"/>
          <w:szCs w:val="24"/>
        </w:rPr>
      </w:pPr>
    </w:p>
    <w:p w:rsidR="000D5F78" w:rsidRPr="000D5F78" w:rsidRDefault="000D5F78" w:rsidP="000D5F78">
      <w:pPr>
        <w:autoSpaceDE w:val="0"/>
        <w:autoSpaceDN w:val="0"/>
        <w:adjustRightInd w:val="0"/>
        <w:ind w:left="360"/>
        <w:rPr>
          <w:rFonts w:ascii="Times New Roman" w:hAnsi="Times New Roman"/>
          <w:bCs/>
          <w:sz w:val="24"/>
          <w:szCs w:val="24"/>
        </w:rPr>
      </w:pPr>
      <w:r w:rsidRPr="000D5F78">
        <w:rPr>
          <w:rFonts w:ascii="Times New Roman" w:hAnsi="Times New Roman"/>
          <w:bCs/>
          <w:sz w:val="24"/>
          <w:szCs w:val="24"/>
        </w:rPr>
        <w:t>VBA administrative datasets have the advantage of including data elements that are available on an entire study cohort population (e.g., all VR&amp;E participants who began a plan of services in FY2010, FY2012, or FY2014) for a given fiscal year.  Similarly, inclusion of SSA administrative data will provide an objective data source for all cohort members receiving SSA benefits.  However, the primary source of data that will be used to assess long-term outcomes of VR&amp;E participants is the self-report survey data that will be collected annually.</w:t>
      </w:r>
    </w:p>
    <w:p w:rsidR="0037308B" w:rsidRPr="00FB5C85" w:rsidRDefault="0037308B" w:rsidP="003B56AE">
      <w:pPr>
        <w:autoSpaceDE w:val="0"/>
        <w:autoSpaceDN w:val="0"/>
        <w:adjustRightInd w:val="0"/>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419C7" w:rsidRDefault="004419C7" w:rsidP="004419C7">
      <w:pPr>
        <w:pStyle w:val="BodyText3"/>
        <w:ind w:left="360"/>
      </w:pPr>
    </w:p>
    <w:p w:rsidR="003B56AE" w:rsidRPr="003B56AE" w:rsidRDefault="003B56AE" w:rsidP="003B56AE">
      <w:pPr>
        <w:ind w:left="360" w:right="684"/>
        <w:rPr>
          <w:rFonts w:ascii="Times New Roman" w:hAnsi="Times New Roman"/>
          <w:bCs/>
          <w:sz w:val="24"/>
        </w:rPr>
      </w:pPr>
      <w:r w:rsidRPr="003B56AE">
        <w:rPr>
          <w:rFonts w:ascii="Times New Roman" w:hAnsi="Times New Roman"/>
          <w:bCs/>
          <w:sz w:val="24"/>
        </w:rPr>
        <w:t xml:space="preserve">Survey data will be collected from all cohort groups using a combination of web, mail, and telephone administration for the initial survey, as well as for the annual longitudinal </w:t>
      </w:r>
      <w:proofErr w:type="spellStart"/>
      <w:r w:rsidRPr="003B56AE">
        <w:rPr>
          <w:rFonts w:ascii="Times New Roman" w:hAnsi="Times New Roman"/>
          <w:bCs/>
          <w:sz w:val="24"/>
        </w:rPr>
        <w:t>followup</w:t>
      </w:r>
      <w:proofErr w:type="spellEnd"/>
      <w:r w:rsidRPr="003B56AE">
        <w:rPr>
          <w:rFonts w:ascii="Times New Roman" w:hAnsi="Times New Roman"/>
          <w:bCs/>
          <w:sz w:val="24"/>
        </w:rPr>
        <w:t xml:space="preserve"> surveys to be conducted for 20 years.  While the primary focus of the survey data collection approach will be to collect the data as a web survey, a paper-pencil mail mode will be offered to those Veterans who do not complete the web survey, and computer-assisted telephone interviews (CATI) will be conducted with those Veterans who do not complete the web or mail survey, or indicate they would prefer to complete the survey over the telephone.</w:t>
      </w:r>
    </w:p>
    <w:p w:rsidR="004419C7" w:rsidRPr="004419C7" w:rsidRDefault="004419C7" w:rsidP="00DA0948">
      <w:pPr>
        <w:ind w:left="360" w:right="684"/>
        <w:rPr>
          <w:rFonts w:ascii="Times New Roman" w:hAnsi="Times New Roman"/>
        </w:rPr>
      </w:pPr>
    </w:p>
    <w:p w:rsidR="004419C7" w:rsidRDefault="004419C7" w:rsidP="004419C7">
      <w:pPr>
        <w:pStyle w:val="Header"/>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7F2AE3">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7F2AE3" w:rsidRDefault="007F2AE3" w:rsidP="007F2AE3">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p>
    <w:p w:rsidR="007F2AE3" w:rsidRPr="007F2AE3" w:rsidRDefault="007F2AE3" w:rsidP="007F2AE3">
      <w:pPr>
        <w:pStyle w:val="PlainText"/>
        <w:ind w:left="360"/>
        <w:rPr>
          <w:rFonts w:ascii="Times New Roman" w:eastAsia="Times New Roman" w:hAnsi="Times New Roman"/>
          <w:bCs/>
          <w:sz w:val="24"/>
          <w:lang w:eastAsia="en-US"/>
        </w:rPr>
      </w:pPr>
      <w:r w:rsidRPr="007F2AE3">
        <w:rPr>
          <w:rFonts w:ascii="Times New Roman" w:eastAsia="Times New Roman" w:hAnsi="Times New Roman"/>
          <w:bCs/>
          <w:sz w:val="24"/>
          <w:lang w:eastAsia="en-US"/>
        </w:rPr>
        <w:t>The measures for the study have been carefully reviewed to eliminate redundancy and duplication.  There is currently no in-depth data available on VR&amp;E program participants, from the program itself or from other VBA programs, which would provide sufficient detail on the long-term outcomes of VR&amp;E participants, especially for the specific outcome measures outlined in the law.  Furthermore, since this study involves reporting on the outcomes of program participants who have not yet been identified (i.e., Veterans who begin a plan of VR&amp;E services in FY2012 and FY2014), data that will be analyzed and reported on for these two cohorts is not yet available.</w:t>
      </w:r>
    </w:p>
    <w:p w:rsidR="007F2AE3" w:rsidRPr="007F2AE3" w:rsidRDefault="007F2AE3" w:rsidP="007F2AE3">
      <w:pPr>
        <w:pStyle w:val="PlainText"/>
        <w:rPr>
          <w:rFonts w:ascii="Times New Roman" w:eastAsia="Times New Roman" w:hAnsi="Times New Roman"/>
          <w:bCs/>
          <w:sz w:val="24"/>
          <w:lang w:eastAsia="en-US"/>
        </w:rPr>
      </w:pPr>
    </w:p>
    <w:p w:rsidR="004419C7" w:rsidRPr="007F2AE3" w:rsidRDefault="007F2AE3" w:rsidP="007F2AE3">
      <w:pPr>
        <w:pStyle w:val="PlainText"/>
        <w:ind w:left="360"/>
        <w:rPr>
          <w:rFonts w:ascii="Times New Roman" w:eastAsia="Times New Roman" w:hAnsi="Times New Roman"/>
          <w:bCs/>
          <w:sz w:val="24"/>
          <w:lang w:eastAsia="en-US"/>
        </w:rPr>
      </w:pPr>
      <w:r w:rsidRPr="007F2AE3">
        <w:rPr>
          <w:rFonts w:ascii="Times New Roman" w:eastAsia="Times New Roman" w:hAnsi="Times New Roman"/>
          <w:bCs/>
          <w:sz w:val="24"/>
          <w:lang w:eastAsia="en-US"/>
        </w:rPr>
        <w:t>Each cohort will start out with participants that are currently in a rehabilitation plan with the VR&amp;E program.  However, since this is a 20-year study, participants will eventually leave the program and VR&amp;E will have no other way of obtaining updated information on their progress, except by asking them directly.  Thus, unless the agency conducts this survey, there would be no information that already available that could be used to comply with Section 334 of the mandate.  There is no issue with duplication since the majority of the data points that are listed in the Public Law are not currently gathered by any VBA system.  Any data points that can be extracted from VBA administrative files for an entire cohort population will not be duplicated in the survey and will be measured by administrative data only.</w:t>
      </w:r>
    </w:p>
    <w:p w:rsidR="00DD22FC" w:rsidRPr="00FB5C85" w:rsidRDefault="00DD22FC" w:rsidP="004419C7">
      <w:pPr>
        <w:tabs>
          <w:tab w:val="left" w:pos="480"/>
          <w:tab w:val="right" w:pos="8640"/>
        </w:tabs>
        <w:ind w:left="360" w:right="684"/>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4419C7" w:rsidRDefault="004419C7" w:rsidP="004419C7">
      <w:pPr>
        <w:tabs>
          <w:tab w:val="left" w:pos="480"/>
          <w:tab w:val="right" w:pos="8640"/>
        </w:tabs>
        <w:ind w:left="360" w:right="684"/>
        <w:rPr>
          <w:rFonts w:ascii="Times New Roman" w:hAnsi="Times New Roman"/>
          <w:sz w:val="24"/>
        </w:rPr>
      </w:pPr>
    </w:p>
    <w:p w:rsidR="004419C7" w:rsidRDefault="00652546" w:rsidP="004419C7">
      <w:pPr>
        <w:tabs>
          <w:tab w:val="left" w:pos="480"/>
          <w:tab w:val="right" w:pos="8640"/>
        </w:tabs>
        <w:ind w:left="360" w:right="684"/>
        <w:rPr>
          <w:rFonts w:ascii="Times New Roman" w:hAnsi="Times New Roman"/>
          <w:sz w:val="24"/>
        </w:rPr>
      </w:pPr>
      <w:r w:rsidRPr="00652546">
        <w:rPr>
          <w:rFonts w:ascii="Times New Roman" w:hAnsi="Times New Roman"/>
          <w:sz w:val="24"/>
        </w:rPr>
        <w:t xml:space="preserve">The collection of information does not involve small businesses or entities.  </w:t>
      </w:r>
    </w:p>
    <w:p w:rsidR="008D7CBE" w:rsidRDefault="008D7CBE"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4419C7" w:rsidRPr="00FB5C85" w:rsidRDefault="004419C7" w:rsidP="004419C7">
      <w:pPr>
        <w:tabs>
          <w:tab w:val="left" w:pos="480"/>
          <w:tab w:val="right" w:pos="8640"/>
        </w:tabs>
        <w:ind w:left="360" w:right="684"/>
        <w:rPr>
          <w:rFonts w:ascii="Times New Roman" w:hAnsi="Times New Roman"/>
          <w:sz w:val="24"/>
        </w:rPr>
      </w:pPr>
    </w:p>
    <w:p w:rsidR="007F2AE3" w:rsidRPr="007F2AE3" w:rsidRDefault="007F2AE3" w:rsidP="007F2AE3">
      <w:pPr>
        <w:tabs>
          <w:tab w:val="left" w:pos="480"/>
          <w:tab w:val="right" w:pos="8640"/>
        </w:tabs>
        <w:ind w:left="360" w:right="684"/>
        <w:rPr>
          <w:rFonts w:ascii="Times New Roman" w:hAnsi="Times New Roman"/>
          <w:bCs/>
          <w:sz w:val="24"/>
        </w:rPr>
      </w:pPr>
      <w:r w:rsidRPr="007F2AE3">
        <w:rPr>
          <w:rFonts w:ascii="Times New Roman" w:hAnsi="Times New Roman"/>
          <w:bCs/>
          <w:sz w:val="24"/>
        </w:rPr>
        <w:t xml:space="preserve">Congress has mandated this study since they want to get a better understanding of the VR&amp;E program, its benefits, and the areas that need improvement.  Congress also required that the study include three cohorts of participants who began a plan of services in fiscal years 2010, 2012, and 2014; and that the VA report to them annually on specific outcomes and contributing factors of interest.   </w:t>
      </w:r>
    </w:p>
    <w:p w:rsidR="007F2AE3" w:rsidRPr="007F2AE3" w:rsidRDefault="007F2AE3" w:rsidP="007F2AE3">
      <w:pPr>
        <w:tabs>
          <w:tab w:val="left" w:pos="480"/>
          <w:tab w:val="right" w:pos="8640"/>
        </w:tabs>
        <w:ind w:left="360" w:right="684"/>
        <w:rPr>
          <w:rFonts w:ascii="Times New Roman" w:hAnsi="Times New Roman"/>
          <w:bCs/>
          <w:sz w:val="24"/>
        </w:rPr>
      </w:pPr>
    </w:p>
    <w:p w:rsidR="007F2AE3" w:rsidRPr="007F2AE3" w:rsidRDefault="007F2AE3" w:rsidP="007F2AE3">
      <w:pPr>
        <w:tabs>
          <w:tab w:val="left" w:pos="480"/>
          <w:tab w:val="right" w:pos="8640"/>
        </w:tabs>
        <w:ind w:left="360" w:right="684"/>
        <w:rPr>
          <w:rFonts w:ascii="Times New Roman" w:hAnsi="Times New Roman"/>
          <w:bCs/>
          <w:sz w:val="24"/>
        </w:rPr>
      </w:pPr>
      <w:r w:rsidRPr="007F2AE3">
        <w:rPr>
          <w:rFonts w:ascii="Times New Roman" w:hAnsi="Times New Roman"/>
          <w:bCs/>
          <w:sz w:val="24"/>
        </w:rPr>
        <w:t>If the collection is not conducted, it will be harder to meet the requirements of the Public Law and it will be more difficult to obtain information from the first cohort of participants who have already been identified (i.e., Veterans who began a plan of services in FY2010).  If the collection is conducted less frequently than once a year, it will be difficult to provide a yearly report to Congress that actually assesses changes in outcomes over time, and the effect the program has had on the lives of participants.</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52546" w:rsidRPr="00FB5C85" w:rsidRDefault="00652546" w:rsidP="004419C7">
      <w:pPr>
        <w:tabs>
          <w:tab w:val="left" w:pos="480"/>
          <w:tab w:val="right" w:pos="8640"/>
        </w:tabs>
        <w:ind w:left="360" w:right="684"/>
        <w:rPr>
          <w:rFonts w:ascii="Times New Roman" w:hAnsi="Times New Roman"/>
          <w:sz w:val="24"/>
        </w:rPr>
      </w:pPr>
    </w:p>
    <w:p w:rsidR="006E1431" w:rsidRPr="006E1431" w:rsidRDefault="006E1431" w:rsidP="006E1431">
      <w:pPr>
        <w:tabs>
          <w:tab w:val="left" w:pos="480"/>
          <w:tab w:val="right" w:pos="8640"/>
        </w:tabs>
        <w:ind w:left="360" w:right="684"/>
        <w:rPr>
          <w:rFonts w:ascii="Times New Roman" w:hAnsi="Times New Roman"/>
          <w:bCs/>
          <w:sz w:val="24"/>
        </w:rPr>
      </w:pPr>
      <w:r w:rsidRPr="006E1431">
        <w:rPr>
          <w:rFonts w:ascii="Times New Roman" w:hAnsi="Times New Roman"/>
          <w:bCs/>
          <w:sz w:val="24"/>
        </w:rPr>
        <w:t xml:space="preserve">The proposed data collection is consistent with 5CFR 1320.6 and therefore involves no special circumstances.  Respondents will only need to provide a response once a year and will only need to submit answers to the survey, and does not require any additional copies of any document.  Respondents will not need to retain any records of their survey questions or anything else as part of this study.  All information provided </w:t>
      </w:r>
      <w:r w:rsidRPr="006E1431">
        <w:rPr>
          <w:rFonts w:ascii="Times New Roman" w:hAnsi="Times New Roman"/>
          <w:bCs/>
          <w:sz w:val="24"/>
        </w:rPr>
        <w:lastRenderedPageBreak/>
        <w:t>will be private to the extent of the law and will only be gathered for the purpose of completing the yearly report to Congress on the long-term outcomes of VR&amp;E participants.</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419C7" w:rsidRDefault="004419C7" w:rsidP="004419C7">
      <w:pPr>
        <w:tabs>
          <w:tab w:val="left" w:pos="480"/>
          <w:tab w:val="right" w:pos="8640"/>
        </w:tabs>
        <w:ind w:left="360" w:right="684"/>
        <w:rPr>
          <w:rFonts w:ascii="Times New Roman" w:hAnsi="Times New Roman"/>
          <w:sz w:val="24"/>
        </w:rPr>
      </w:pPr>
    </w:p>
    <w:p w:rsidR="00DE7F2A" w:rsidRPr="00DE7F2A" w:rsidRDefault="00DE7F2A" w:rsidP="00DE7F2A">
      <w:pPr>
        <w:pStyle w:val="ListParagraph"/>
        <w:tabs>
          <w:tab w:val="right" w:pos="9360"/>
        </w:tabs>
        <w:ind w:left="360"/>
        <w:rPr>
          <w:sz w:val="24"/>
          <w:szCs w:val="24"/>
        </w:rPr>
      </w:pPr>
      <w:r w:rsidRPr="00DE7F2A">
        <w:rPr>
          <w:sz w:val="24"/>
          <w:szCs w:val="24"/>
        </w:rPr>
        <w:t xml:space="preserve">The Department notice was published in the Federal Register on </w:t>
      </w:r>
      <w:r w:rsidR="00075ABE">
        <w:rPr>
          <w:sz w:val="24"/>
          <w:szCs w:val="24"/>
        </w:rPr>
        <w:t>June 2, 2017</w:t>
      </w:r>
      <w:proofErr w:type="gramStart"/>
      <w:r w:rsidR="00075ABE">
        <w:rPr>
          <w:sz w:val="24"/>
          <w:szCs w:val="24"/>
        </w:rPr>
        <w:t>,</w:t>
      </w:r>
      <w:r w:rsidRPr="00DE7F2A">
        <w:rPr>
          <w:sz w:val="24"/>
          <w:szCs w:val="24"/>
        </w:rPr>
        <w:t>Volume</w:t>
      </w:r>
      <w:proofErr w:type="gramEnd"/>
      <w:r w:rsidR="00075ABE">
        <w:rPr>
          <w:sz w:val="24"/>
          <w:szCs w:val="24"/>
        </w:rPr>
        <w:t xml:space="preserve"> 82</w:t>
      </w:r>
      <w:r w:rsidRPr="00DE7F2A">
        <w:rPr>
          <w:sz w:val="24"/>
          <w:szCs w:val="24"/>
        </w:rPr>
        <w:t>, No.</w:t>
      </w:r>
      <w:r w:rsidR="00075ABE">
        <w:rPr>
          <w:sz w:val="24"/>
          <w:szCs w:val="24"/>
        </w:rPr>
        <w:t xml:space="preserve"> 104, page 25500</w:t>
      </w:r>
      <w:r w:rsidRPr="00DE7F2A">
        <w:rPr>
          <w:sz w:val="24"/>
          <w:szCs w:val="24"/>
        </w:rPr>
        <w:t>.  No</w:t>
      </w:r>
      <w:bookmarkStart w:id="0" w:name="_GoBack"/>
      <w:bookmarkEnd w:id="0"/>
      <w:r w:rsidRPr="00DE7F2A">
        <w:rPr>
          <w:sz w:val="24"/>
          <w:szCs w:val="24"/>
        </w:rPr>
        <w:t xml:space="preserve"> comments were received in response to this notice.</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Explain any decision to provide any payment or gift to respondents, other than remuneration of contractors or grantees.</w:t>
      </w:r>
    </w:p>
    <w:p w:rsidR="00634344" w:rsidRDefault="00634344" w:rsidP="00634344">
      <w:pPr>
        <w:pStyle w:val="BodyText3"/>
      </w:pPr>
    </w:p>
    <w:p w:rsidR="006E1431" w:rsidRPr="006E1431" w:rsidRDefault="006E1431" w:rsidP="006E1431">
      <w:pPr>
        <w:ind w:left="360"/>
        <w:rPr>
          <w:rFonts w:ascii="Times New Roman" w:hAnsi="Times New Roman"/>
          <w:sz w:val="24"/>
          <w:szCs w:val="24"/>
        </w:rPr>
      </w:pPr>
      <w:r w:rsidRPr="006E1431">
        <w:rPr>
          <w:rFonts w:ascii="Times New Roman" w:hAnsi="Times New Roman"/>
          <w:sz w:val="24"/>
          <w:szCs w:val="24"/>
        </w:rPr>
        <w:t xml:space="preserve">The survey materials for the FY 2013 Annual Report stated that the study participants who complete the survey will receive $20 for their participation after each completed survey.  This promised incentive helped to ensure that participants remain engaged in the study and motivated to continue participation.  These incentives were discontinued for the future reports. </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Describe any assurance of privacy to the extent permitted by law provided to respondents and the basis for the assurance in statute, regulation, or agency policy.</w:t>
      </w:r>
    </w:p>
    <w:p w:rsidR="00634344" w:rsidRDefault="00634344" w:rsidP="00634344">
      <w:pPr>
        <w:rPr>
          <w:rFonts w:ascii="Times New Roman" w:hAnsi="Times New Roman"/>
          <w:sz w:val="24"/>
          <w:szCs w:val="24"/>
        </w:rPr>
      </w:pPr>
    </w:p>
    <w:p w:rsidR="00E97CAE" w:rsidRDefault="00E97CAE" w:rsidP="00E97CAE">
      <w:pPr>
        <w:pStyle w:val="PlainText"/>
        <w:ind w:left="360"/>
        <w:rPr>
          <w:rFonts w:ascii="Garamond" w:hAnsi="Garamond" w:cs="Garamond"/>
          <w:bCs/>
          <w:sz w:val="24"/>
          <w:szCs w:val="24"/>
        </w:rPr>
      </w:pPr>
      <w:r>
        <w:rPr>
          <w:rFonts w:ascii="Garamond" w:hAnsi="Garamond" w:cs="Garamond"/>
          <w:bCs/>
          <w:sz w:val="24"/>
          <w:szCs w:val="24"/>
        </w:rPr>
        <w:t>Respondents will be provided with a letter explaining the basis of this study, its importance, and their participation.  The letter will also explain that participation in the study is voluntary, and that participant responses will be kept private to the extent of the law.  The letter will state that the data collected will be used for research and statistical purposes, and any data reported will be in aggregate form only.  More specifically, the letter will include the following assurance of confidentiality:</w:t>
      </w:r>
    </w:p>
    <w:p w:rsidR="00E97CAE" w:rsidRDefault="00E97CAE" w:rsidP="00E97CAE">
      <w:pPr>
        <w:pStyle w:val="PlainText"/>
        <w:rPr>
          <w:rFonts w:ascii="Garamond" w:hAnsi="Garamond" w:cs="Garamond"/>
          <w:bCs/>
          <w:sz w:val="24"/>
          <w:szCs w:val="24"/>
        </w:rPr>
      </w:pPr>
      <w:r>
        <w:rPr>
          <w:rFonts w:ascii="Garamond" w:hAnsi="Garamond" w:cs="Garamond"/>
          <w:bCs/>
          <w:sz w:val="24"/>
          <w:szCs w:val="24"/>
        </w:rPr>
        <w:tab/>
      </w:r>
    </w:p>
    <w:p w:rsidR="00E97CAE" w:rsidRDefault="00E97CAE" w:rsidP="00E97CAE">
      <w:pPr>
        <w:pStyle w:val="PlainText"/>
        <w:ind w:left="720"/>
        <w:rPr>
          <w:rFonts w:ascii="Garamond" w:hAnsi="Garamond" w:cs="Garamond"/>
          <w:bCs/>
          <w:sz w:val="24"/>
          <w:szCs w:val="24"/>
        </w:rPr>
      </w:pPr>
      <w:r>
        <w:rPr>
          <w:rFonts w:ascii="Garamond" w:hAnsi="Garamond" w:cs="Garamond"/>
          <w:bCs/>
          <w:sz w:val="24"/>
          <w:szCs w:val="24"/>
        </w:rPr>
        <w:t xml:space="preserve">The information that you supply is protected by law (the Privacy Act of 1974, 5 U.S.C. 522a and section 5701 of Title 38 of the United States Code) and any data collected will not impact any current or future benefits you may apply for. </w:t>
      </w:r>
    </w:p>
    <w:p w:rsidR="00E97CAE" w:rsidRDefault="00E97CAE" w:rsidP="00E97CAE">
      <w:pPr>
        <w:pStyle w:val="PlainText"/>
        <w:rPr>
          <w:rFonts w:ascii="Garamond" w:hAnsi="Garamond" w:cs="Garamond"/>
          <w:bCs/>
          <w:sz w:val="24"/>
          <w:szCs w:val="24"/>
        </w:rPr>
      </w:pPr>
    </w:p>
    <w:p w:rsidR="00E97CAE" w:rsidRDefault="00E97CAE" w:rsidP="00E97CAE">
      <w:pPr>
        <w:pStyle w:val="PlainText"/>
        <w:ind w:left="360"/>
        <w:rPr>
          <w:rFonts w:ascii="Garamond" w:hAnsi="Garamond" w:cs="Garamond"/>
          <w:bCs/>
          <w:sz w:val="24"/>
          <w:szCs w:val="24"/>
        </w:rPr>
      </w:pPr>
      <w:r>
        <w:rPr>
          <w:rFonts w:ascii="Garamond" w:hAnsi="Garamond" w:cs="Garamond"/>
          <w:bCs/>
          <w:sz w:val="24"/>
          <w:szCs w:val="24"/>
        </w:rPr>
        <w:t xml:space="preserve">Data security and confidentiality of electronic information will be ensured through proven standardized security configurations and methods that include state-of-the art certificate services and other infrastructure features. </w:t>
      </w:r>
    </w:p>
    <w:p w:rsid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lastRenderedPageBreak/>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34344" w:rsidRPr="00634344" w:rsidRDefault="00634344" w:rsidP="00634344"/>
    <w:p w:rsidR="00634344" w:rsidRDefault="00634344" w:rsidP="00634344">
      <w:pPr>
        <w:tabs>
          <w:tab w:val="left" w:pos="480"/>
          <w:tab w:val="right" w:pos="8640"/>
        </w:tabs>
        <w:ind w:right="684"/>
        <w:rPr>
          <w:rFonts w:ascii="Times New Roman" w:hAnsi="Times New Roman"/>
          <w:sz w:val="24"/>
        </w:rPr>
      </w:pPr>
      <w:r>
        <w:rPr>
          <w:rFonts w:ascii="Times New Roman" w:hAnsi="Times New Roman"/>
          <w:sz w:val="24"/>
        </w:rPr>
        <w:t xml:space="preserve">      </w:t>
      </w:r>
      <w:r w:rsidRPr="00981B90">
        <w:rPr>
          <w:rFonts w:ascii="Times New Roman" w:hAnsi="Times New Roman"/>
          <w:sz w:val="24"/>
        </w:rPr>
        <w:t>There are no questions of a sensitive nature.</w:t>
      </w:r>
    </w:p>
    <w:p w:rsidR="00E97CAE" w:rsidRPr="00981B90" w:rsidRDefault="00E97CAE" w:rsidP="00634344">
      <w:pPr>
        <w:tabs>
          <w:tab w:val="left" w:pos="480"/>
          <w:tab w:val="right" w:pos="8640"/>
        </w:tabs>
        <w:ind w:right="684"/>
        <w:rPr>
          <w:rFonts w:ascii="Times New Roman" w:hAnsi="Times New Roman"/>
          <w:sz w:val="24"/>
        </w:rPr>
      </w:pPr>
    </w:p>
    <w:p w:rsidR="00634344" w:rsidRPr="00634344" w:rsidRDefault="00634344" w:rsidP="00634344">
      <w:pPr>
        <w:pStyle w:val="Heading2"/>
        <w:rPr>
          <w:rFonts w:ascii="Times New Roman" w:hAnsi="Times New Roman"/>
          <w:color w:val="auto"/>
          <w:sz w:val="24"/>
          <w:szCs w:val="24"/>
        </w:rPr>
      </w:pPr>
      <w:r w:rsidRPr="00634344">
        <w:rPr>
          <w:rFonts w:ascii="Times New Roman" w:hAnsi="Times New Roman"/>
          <w:color w:val="auto"/>
          <w:sz w:val="24"/>
          <w:szCs w:val="24"/>
        </w:rPr>
        <w:t>12. Estimate of the hour burden of the collection of information:</w:t>
      </w:r>
    </w:p>
    <w:p w:rsidR="00254443" w:rsidRDefault="001361D2" w:rsidP="00634344">
      <w:pPr>
        <w:tabs>
          <w:tab w:val="left" w:pos="480"/>
        </w:tabs>
        <w:ind w:right="684"/>
        <w:rPr>
          <w:rFonts w:ascii="Times New Roman" w:hAnsi="Times New Roman"/>
          <w:sz w:val="24"/>
        </w:rPr>
      </w:pPr>
      <w:r w:rsidRPr="00FB5C85">
        <w:rPr>
          <w:rFonts w:ascii="Times New Roman" w:hAnsi="Times New Roman"/>
          <w:sz w:val="24"/>
        </w:rPr>
        <w:t xml:space="preserve"> </w:t>
      </w:r>
    </w:p>
    <w:p w:rsidR="00762719" w:rsidRPr="00F50B93" w:rsidRDefault="00762719" w:rsidP="00F50B93">
      <w:pPr>
        <w:pStyle w:val="PlainText"/>
        <w:ind w:left="360"/>
        <w:rPr>
          <w:rFonts w:ascii="Times New Roman" w:hAnsi="Times New Roman"/>
          <w:bCs/>
          <w:sz w:val="24"/>
          <w:szCs w:val="24"/>
        </w:rPr>
      </w:pPr>
      <w:r w:rsidRPr="00F50B93">
        <w:rPr>
          <w:rFonts w:ascii="Times New Roman" w:hAnsi="Times New Roman"/>
          <w:bCs/>
          <w:sz w:val="24"/>
          <w:szCs w:val="24"/>
        </w:rPr>
        <w:t xml:space="preserve">Based on previous experience with survey instruments with similar content, we estimate that it will take approximately 20 minutes for respondents to complete the annual surveys.  Since the study covers a 20-year period, there are a total of 20 administrations across the full study period.  The survey will be completed with 3,500 participants per cohort, for a total of 7,000 participants, for the first year of data collection which will include the initial survey for Veterans who began a plan of services in FY2010 (i.e., Cohort I) and FY2012 (i.e., Cohort II).  Those same Veterans will be contacted again to complete the annual follow-up survey.  The annual burden hours are 2,333. </w:t>
      </w:r>
    </w:p>
    <w:p w:rsidR="00762719" w:rsidRPr="00F50B93" w:rsidRDefault="00762719" w:rsidP="00762719">
      <w:pPr>
        <w:pStyle w:val="PlainText"/>
        <w:rPr>
          <w:rFonts w:ascii="Times New Roman" w:hAnsi="Times New Roman"/>
          <w:bCs/>
          <w:sz w:val="24"/>
          <w:szCs w:val="24"/>
        </w:rPr>
      </w:pPr>
    </w:p>
    <w:p w:rsidR="00762719" w:rsidRPr="00F50B93" w:rsidRDefault="00762719" w:rsidP="00F50B93">
      <w:pPr>
        <w:pStyle w:val="PlainText"/>
        <w:ind w:firstLine="360"/>
        <w:rPr>
          <w:rFonts w:ascii="Times New Roman" w:hAnsi="Times New Roman"/>
          <w:bCs/>
          <w:sz w:val="24"/>
          <w:szCs w:val="24"/>
        </w:rPr>
      </w:pPr>
      <w:r w:rsidRPr="00F50B93">
        <w:rPr>
          <w:rFonts w:ascii="Times New Roman" w:hAnsi="Times New Roman"/>
          <w:bCs/>
          <w:sz w:val="24"/>
          <w:szCs w:val="24"/>
        </w:rPr>
        <w:t>a. Number of Respondents:  7,000</w:t>
      </w:r>
    </w:p>
    <w:p w:rsidR="00762719" w:rsidRPr="00F50B93" w:rsidRDefault="00762719" w:rsidP="00F50B93">
      <w:pPr>
        <w:pStyle w:val="PlainText"/>
        <w:ind w:firstLine="360"/>
        <w:rPr>
          <w:rFonts w:ascii="Times New Roman" w:hAnsi="Times New Roman"/>
          <w:bCs/>
          <w:sz w:val="24"/>
          <w:szCs w:val="24"/>
        </w:rPr>
      </w:pPr>
      <w:r w:rsidRPr="00F50B93">
        <w:rPr>
          <w:rFonts w:ascii="Times New Roman" w:hAnsi="Times New Roman"/>
          <w:bCs/>
          <w:sz w:val="24"/>
          <w:szCs w:val="24"/>
        </w:rPr>
        <w:t>b. Frequency of Response:  Annually</w:t>
      </w:r>
    </w:p>
    <w:p w:rsidR="00762719" w:rsidRPr="00F50B93" w:rsidRDefault="00762719" w:rsidP="00F50B93">
      <w:pPr>
        <w:pStyle w:val="PlainText"/>
        <w:ind w:firstLine="360"/>
        <w:rPr>
          <w:rFonts w:ascii="Times New Roman" w:hAnsi="Times New Roman"/>
          <w:bCs/>
          <w:sz w:val="24"/>
          <w:szCs w:val="24"/>
        </w:rPr>
      </w:pPr>
      <w:r w:rsidRPr="00F50B93">
        <w:rPr>
          <w:rFonts w:ascii="Times New Roman" w:hAnsi="Times New Roman"/>
          <w:bCs/>
          <w:sz w:val="24"/>
          <w:szCs w:val="24"/>
        </w:rPr>
        <w:t>c. Annual Burden Hours:  2,333 hours</w:t>
      </w:r>
    </w:p>
    <w:p w:rsidR="00762719" w:rsidRPr="00F50B93" w:rsidRDefault="00762719" w:rsidP="00F50B93">
      <w:pPr>
        <w:pStyle w:val="PlainText"/>
        <w:ind w:firstLine="360"/>
        <w:rPr>
          <w:rFonts w:ascii="Times New Roman" w:hAnsi="Times New Roman"/>
          <w:bCs/>
          <w:sz w:val="24"/>
          <w:szCs w:val="24"/>
        </w:rPr>
      </w:pPr>
      <w:r w:rsidRPr="00F50B93">
        <w:rPr>
          <w:rFonts w:ascii="Times New Roman" w:hAnsi="Times New Roman"/>
          <w:bCs/>
          <w:sz w:val="24"/>
          <w:szCs w:val="24"/>
        </w:rPr>
        <w:t>d. Estimated Completion Time:  20 Minutes</w:t>
      </w:r>
    </w:p>
    <w:p w:rsidR="000E5BCD" w:rsidRDefault="00762719" w:rsidP="000E5BCD">
      <w:pPr>
        <w:pStyle w:val="PlainText"/>
        <w:ind w:left="360"/>
        <w:rPr>
          <w:rFonts w:ascii="Times New Roman" w:hAnsi="Times New Roman"/>
          <w:bCs/>
          <w:sz w:val="24"/>
          <w:szCs w:val="24"/>
        </w:rPr>
      </w:pPr>
      <w:r w:rsidRPr="00F50B93">
        <w:rPr>
          <w:rFonts w:ascii="Times New Roman" w:hAnsi="Times New Roman"/>
          <w:bCs/>
          <w:sz w:val="24"/>
          <w:szCs w:val="24"/>
        </w:rPr>
        <w:t xml:space="preserve">e. </w:t>
      </w:r>
      <w:r w:rsidR="00EC63DD" w:rsidRPr="00F515C3">
        <w:rPr>
          <w:rFonts w:ascii="Times New Roman" w:hAnsi="Times New Roman"/>
          <w:sz w:val="24"/>
          <w:szCs w:val="24"/>
        </w:rPr>
        <w:t xml:space="preserve">The respondent population for </w:t>
      </w:r>
      <w:r w:rsidR="00EC63DD">
        <w:rPr>
          <w:rFonts w:ascii="Times New Roman" w:hAnsi="Times New Roman"/>
          <w:sz w:val="24"/>
          <w:szCs w:val="24"/>
        </w:rPr>
        <w:t xml:space="preserve">the annual survey </w:t>
      </w:r>
      <w:r w:rsidR="00EC63DD" w:rsidRPr="00F515C3">
        <w:rPr>
          <w:rFonts w:ascii="Times New Roman" w:hAnsi="Times New Roman"/>
          <w:sz w:val="24"/>
          <w:szCs w:val="24"/>
        </w:rPr>
        <w:t>is composed of</w:t>
      </w:r>
      <w:r w:rsidR="00EC63DD" w:rsidRPr="00EC63DD">
        <w:rPr>
          <w:rFonts w:ascii="Times New Roman" w:hAnsi="Times New Roman"/>
          <w:bCs/>
          <w:sz w:val="24"/>
          <w:szCs w:val="24"/>
        </w:rPr>
        <w:t xml:space="preserve"> </w:t>
      </w:r>
      <w:r w:rsidR="00EC63DD" w:rsidRPr="004C71FA">
        <w:rPr>
          <w:rFonts w:ascii="Times New Roman" w:hAnsi="Times New Roman"/>
          <w:bCs/>
          <w:sz w:val="24"/>
          <w:szCs w:val="24"/>
        </w:rPr>
        <w:t xml:space="preserve">Veterans who participated </w:t>
      </w:r>
    </w:p>
    <w:p w:rsidR="00EC63DD" w:rsidRPr="000E5BCD" w:rsidRDefault="00EC63DD" w:rsidP="000E5BCD">
      <w:pPr>
        <w:pStyle w:val="PlainText"/>
        <w:ind w:left="630"/>
        <w:rPr>
          <w:rFonts w:ascii="Times New Roman" w:hAnsi="Times New Roman"/>
          <w:bCs/>
          <w:sz w:val="24"/>
          <w:szCs w:val="24"/>
        </w:rPr>
      </w:pPr>
      <w:proofErr w:type="gramStart"/>
      <w:r w:rsidRPr="004C71FA">
        <w:rPr>
          <w:rFonts w:ascii="Times New Roman" w:hAnsi="Times New Roman"/>
          <w:bCs/>
          <w:sz w:val="24"/>
          <w:szCs w:val="24"/>
        </w:rPr>
        <w:t>in</w:t>
      </w:r>
      <w:proofErr w:type="gramEnd"/>
      <w:r w:rsidRPr="004C71FA">
        <w:rPr>
          <w:rFonts w:ascii="Times New Roman" w:hAnsi="Times New Roman"/>
          <w:bCs/>
          <w:sz w:val="24"/>
          <w:szCs w:val="24"/>
        </w:rPr>
        <w:t xml:space="preserve"> the Vocational Rehabilitation and Employment (VR&amp;E) </w:t>
      </w:r>
      <w:proofErr w:type="spellStart"/>
      <w:r w:rsidRPr="004C71FA">
        <w:rPr>
          <w:rFonts w:ascii="Times New Roman" w:hAnsi="Times New Roman"/>
          <w:bCs/>
          <w:sz w:val="24"/>
          <w:szCs w:val="24"/>
        </w:rPr>
        <w:t>VetSuccess</w:t>
      </w:r>
      <w:proofErr w:type="spellEnd"/>
      <w:r w:rsidRPr="004C71FA">
        <w:rPr>
          <w:rFonts w:ascii="Times New Roman" w:hAnsi="Times New Roman"/>
          <w:bCs/>
          <w:sz w:val="24"/>
          <w:szCs w:val="24"/>
        </w:rPr>
        <w:t xml:space="preserve"> program during fiscal years 2010, 2012, and 2014</w:t>
      </w:r>
      <w:r>
        <w:rPr>
          <w:rFonts w:ascii="Times New Roman" w:hAnsi="Times New Roman"/>
          <w:bCs/>
          <w:sz w:val="24"/>
          <w:szCs w:val="24"/>
        </w:rPr>
        <w:t>.</w:t>
      </w:r>
      <w:r>
        <w:rPr>
          <w:rFonts w:ascii="Times New Roman" w:hAnsi="Times New Roman"/>
          <w:sz w:val="24"/>
          <w:szCs w:val="24"/>
        </w:rPr>
        <w:t xml:space="preserve">  Survey response is completely voluntary.   V</w:t>
      </w:r>
      <w:r w:rsidRPr="00F515C3">
        <w:rPr>
          <w:rFonts w:ascii="Times New Roman" w:hAnsi="Times New Roman"/>
          <w:sz w:val="24"/>
          <w:szCs w:val="24"/>
        </w:rPr>
        <w:t xml:space="preserve">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EC63DD" w:rsidRPr="00764501" w:rsidRDefault="00EC63DD" w:rsidP="00EC63DD">
      <w:pPr>
        <w:tabs>
          <w:tab w:val="right" w:pos="720"/>
        </w:tabs>
        <w:ind w:left="720"/>
        <w:rPr>
          <w:rFonts w:ascii="Times New Roman" w:hAnsi="Times New Roman"/>
          <w:sz w:val="24"/>
          <w:szCs w:val="24"/>
          <w:highlight w:val="yellow"/>
        </w:rPr>
      </w:pPr>
    </w:p>
    <w:p w:rsidR="00EC63DD" w:rsidRDefault="00EC63DD" w:rsidP="00EC63DD">
      <w:pPr>
        <w:ind w:left="720"/>
        <w:rPr>
          <w:rFonts w:ascii="Times New Roman" w:hAnsi="Times New Roman"/>
          <w:sz w:val="24"/>
        </w:rPr>
      </w:pPr>
      <w:r>
        <w:rPr>
          <w:rFonts w:ascii="Times New Roman" w:hAnsi="Times New Roman"/>
          <w:sz w:val="24"/>
          <w:szCs w:val="24"/>
        </w:rPr>
        <w:t xml:space="preserve">The Bureau of Labor Statistics (BLS) gathers information on full-time wage and salary workers.  According to the latest available BLS data, the median weekly earnings of full-time wage and salary workers are $929.20.  Assuming a forty (40) hour work week, the median hourly wage is </w:t>
      </w:r>
      <w:r w:rsidRPr="00205FDF">
        <w:rPr>
          <w:rFonts w:ascii="Times New Roman" w:hAnsi="Times New Roman"/>
          <w:sz w:val="24"/>
          <w:szCs w:val="24"/>
        </w:rPr>
        <w:t>$23.86</w:t>
      </w:r>
      <w:r>
        <w:rPr>
          <w:rFonts w:ascii="Times New Roman" w:hAnsi="Times New Roman"/>
          <w:sz w:val="24"/>
          <w:szCs w:val="24"/>
        </w:rPr>
        <w:t xml:space="preserve"> based on the BLS wage code – “00-0000 All Occupations.”  This information was taken from the following website: </w:t>
      </w:r>
      <w:r>
        <w:rPr>
          <w:rFonts w:ascii="Times New Roman" w:hAnsi="Times New Roman"/>
          <w:sz w:val="24"/>
        </w:rPr>
        <w:t xml:space="preserve"> (</w:t>
      </w:r>
      <w:hyperlink r:id="rId8" w:anchor="00-0000" w:history="1">
        <w:r w:rsidRPr="00205FDF">
          <w:rPr>
            <w:rStyle w:val="Hyperlink"/>
            <w:rFonts w:ascii="Times New Roman" w:hAnsi="Times New Roman"/>
            <w:sz w:val="24"/>
            <w:szCs w:val="24"/>
          </w:rPr>
          <w:t>http://www.bls.gov/oes/current/oes_nat.htm#00-0000</w:t>
        </w:r>
      </w:hyperlink>
      <w:r w:rsidRPr="00205FDF">
        <w:rPr>
          <w:rFonts w:ascii="Times New Roman" w:hAnsi="Times New Roman"/>
          <w:sz w:val="24"/>
          <w:szCs w:val="24"/>
        </w:rPr>
        <w:t>, May 2016).</w:t>
      </w:r>
      <w:r>
        <w:rPr>
          <w:rFonts w:ascii="Times New Roman" w:hAnsi="Times New Roman"/>
          <w:sz w:val="24"/>
          <w:szCs w:val="24"/>
        </w:rPr>
        <w:t xml:space="preserve">  </w:t>
      </w:r>
    </w:p>
    <w:p w:rsidR="00EC63DD" w:rsidRPr="000E5BCD" w:rsidRDefault="00EC63DD" w:rsidP="00EC63DD">
      <w:pPr>
        <w:rPr>
          <w:rFonts w:ascii="Times New Roman" w:hAnsi="Times New Roman"/>
          <w:sz w:val="24"/>
          <w:szCs w:val="24"/>
        </w:rPr>
      </w:pPr>
    </w:p>
    <w:p w:rsidR="000E5BCD" w:rsidRPr="000E5BCD" w:rsidRDefault="00EC63DD" w:rsidP="000E5BCD">
      <w:pPr>
        <w:pStyle w:val="PlainText"/>
        <w:ind w:left="720"/>
        <w:rPr>
          <w:rFonts w:ascii="Times New Roman" w:eastAsia="Times New Roman" w:hAnsi="Times New Roman"/>
          <w:sz w:val="24"/>
          <w:szCs w:val="24"/>
          <w:lang w:eastAsia="en-US"/>
        </w:rPr>
      </w:pPr>
      <w:r w:rsidRPr="000E5BCD">
        <w:rPr>
          <w:rFonts w:ascii="Times New Roman" w:eastAsia="Times New Roman" w:hAnsi="Times New Roman"/>
          <w:sz w:val="24"/>
          <w:szCs w:val="24"/>
          <w:lang w:eastAsia="en-US"/>
        </w:rPr>
        <w:t xml:space="preserve">Legally, respondents may not pay a person or business for assistance in completing the information collection. Therefore, there are no expected overhead costs for completing the information collection.  </w:t>
      </w:r>
      <w:r w:rsidR="000E5BCD" w:rsidRPr="000E5BCD">
        <w:rPr>
          <w:rFonts w:ascii="Times New Roman" w:eastAsia="Times New Roman" w:hAnsi="Times New Roman"/>
          <w:sz w:val="24"/>
          <w:szCs w:val="24"/>
          <w:lang w:eastAsia="en-US"/>
        </w:rPr>
        <w:t>According to the U.S. Bureau of Labor Statistics Average Hourly Earnings, the cost to the respondent is $23.86, making the total cost to the respondents an estimated $55,665.38. (2333 burden hours X $23.86 per hour).</w:t>
      </w:r>
    </w:p>
    <w:p w:rsidR="00EC63DD" w:rsidRPr="00F50B93" w:rsidRDefault="00EC63DD" w:rsidP="000E5BCD">
      <w:pPr>
        <w:pStyle w:val="NoSpacing"/>
        <w:ind w:left="720"/>
        <w:rPr>
          <w:bCs/>
          <w:szCs w:val="24"/>
        </w:rPr>
      </w:pPr>
    </w:p>
    <w:p w:rsidR="00285A7C" w:rsidRPr="00285A7C" w:rsidRDefault="00285A7C" w:rsidP="00285A7C">
      <w:pPr>
        <w:pStyle w:val="Heading2"/>
        <w:numPr>
          <w:ilvl w:val="0"/>
          <w:numId w:val="15"/>
        </w:numPr>
        <w:rPr>
          <w:rFonts w:ascii="Times New Roman" w:hAnsi="Times New Roman"/>
          <w:color w:val="auto"/>
          <w:sz w:val="24"/>
          <w:szCs w:val="24"/>
        </w:rPr>
      </w:pPr>
      <w:r w:rsidRPr="00285A7C">
        <w:rPr>
          <w:rFonts w:ascii="Times New Roman" w:hAnsi="Times New Roman"/>
          <w:color w:val="auto"/>
          <w:sz w:val="24"/>
          <w:szCs w:val="24"/>
        </w:rPr>
        <w:lastRenderedPageBreak/>
        <w:t>Provide an estimate of the total annual cost burden to respondents or record-keepers resulting from the collection of information.  (Do not include the cost of any hour burden shown in Items 12 and 14).</w:t>
      </w:r>
    </w:p>
    <w:p w:rsidR="00285A7C" w:rsidRPr="00285A7C" w:rsidRDefault="00DD22FC" w:rsidP="00C973B3">
      <w:pPr>
        <w:pStyle w:val="NoSpacing"/>
      </w:pPr>
      <w:r w:rsidRPr="00285A7C">
        <w:t xml:space="preserve">  </w:t>
      </w:r>
    </w:p>
    <w:p w:rsidR="00762719" w:rsidRPr="00762719" w:rsidRDefault="00762719" w:rsidP="00F50B93">
      <w:pPr>
        <w:pStyle w:val="NoSpacing"/>
        <w:ind w:left="360"/>
        <w:rPr>
          <w:bCs/>
        </w:rPr>
      </w:pPr>
      <w:r w:rsidRPr="00762719">
        <w:rPr>
          <w:bCs/>
        </w:rPr>
        <w:t xml:space="preserve">There is no annual cost burden to respondents (beyond those shown in item 12 above) or </w:t>
      </w:r>
      <w:proofErr w:type="spellStart"/>
      <w:r w:rsidRPr="00762719">
        <w:rPr>
          <w:bCs/>
        </w:rPr>
        <w:t>recordkeepers</w:t>
      </w:r>
      <w:proofErr w:type="spellEnd"/>
      <w:r w:rsidRPr="00762719">
        <w:rPr>
          <w:bCs/>
        </w:rPr>
        <w:t xml:space="preserve"> resulting from the collection of information.</w:t>
      </w:r>
    </w:p>
    <w:p w:rsidR="00C973B3" w:rsidRPr="00FB5C85" w:rsidRDefault="00C973B3" w:rsidP="00C973B3">
      <w:pPr>
        <w:pStyle w:val="NoSpacing"/>
      </w:pPr>
    </w:p>
    <w:p w:rsidR="00285A7C" w:rsidRPr="004D09F8" w:rsidRDefault="009879A1" w:rsidP="00C973B3">
      <w:pPr>
        <w:pStyle w:val="NoSpacing"/>
        <w:numPr>
          <w:ilvl w:val="0"/>
          <w:numId w:val="15"/>
        </w:numPr>
        <w:rPr>
          <w:b/>
        </w:rPr>
      </w:pPr>
      <w:r>
        <w:rPr>
          <w:b/>
        </w:rPr>
        <w:br w:type="page"/>
      </w:r>
      <w:r w:rsidR="00285A7C" w:rsidRPr="004D09F8">
        <w:rPr>
          <w:b/>
        </w:rPr>
        <w:lastRenderedPageBreak/>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879A1" w:rsidRDefault="009879A1" w:rsidP="004419C7">
      <w:pPr>
        <w:tabs>
          <w:tab w:val="left" w:pos="480"/>
          <w:tab w:val="right" w:pos="8640"/>
        </w:tabs>
        <w:ind w:left="360" w:right="684"/>
        <w:rPr>
          <w:rFonts w:ascii="Times New Roman" w:hAnsi="Times New Roman"/>
          <w:sz w:val="24"/>
        </w:rPr>
      </w:pPr>
    </w:p>
    <w:p w:rsidR="00762719" w:rsidRPr="00762719" w:rsidRDefault="00762719" w:rsidP="00762719">
      <w:pPr>
        <w:tabs>
          <w:tab w:val="left" w:pos="480"/>
          <w:tab w:val="right" w:pos="8640"/>
        </w:tabs>
        <w:ind w:left="360" w:right="684"/>
        <w:rPr>
          <w:rFonts w:ascii="Times New Roman" w:hAnsi="Times New Roman"/>
          <w:bCs/>
          <w:sz w:val="24"/>
        </w:rPr>
      </w:pPr>
      <w:r w:rsidRPr="00762719">
        <w:rPr>
          <w:rFonts w:ascii="Times New Roman" w:hAnsi="Times New Roman"/>
          <w:bCs/>
          <w:sz w:val="24"/>
        </w:rPr>
        <w:t xml:space="preserve">The estimated cost of data collection efforts associated with the burden described in item 12 has been included in the cost associated with a Firm-Fixed Price contract that was recently awarded to </w:t>
      </w:r>
      <w:proofErr w:type="spellStart"/>
      <w:r w:rsidRPr="00762719">
        <w:rPr>
          <w:rFonts w:ascii="Times New Roman" w:hAnsi="Times New Roman"/>
          <w:bCs/>
          <w:sz w:val="24"/>
        </w:rPr>
        <w:t>Westat</w:t>
      </w:r>
      <w:proofErr w:type="spellEnd"/>
      <w:r w:rsidRPr="00762719">
        <w:rPr>
          <w:rFonts w:ascii="Times New Roman" w:hAnsi="Times New Roman"/>
          <w:bCs/>
          <w:sz w:val="24"/>
        </w:rPr>
        <w:t>.  There is no other cost for this study.  The cost for the first 3 years of the study is $1,712,488.80 ($570,829.60 annually).</w:t>
      </w:r>
    </w:p>
    <w:p w:rsidR="00DA0948" w:rsidRPr="00FB5C85" w:rsidRDefault="00DA0948" w:rsidP="004419C7">
      <w:pPr>
        <w:tabs>
          <w:tab w:val="left" w:pos="480"/>
          <w:tab w:val="right" w:pos="8640"/>
        </w:tabs>
        <w:ind w:left="360" w:right="684"/>
        <w:rPr>
          <w:rFonts w:ascii="Times New Roman" w:hAnsi="Times New Roman"/>
          <w:sz w:val="24"/>
        </w:rPr>
      </w:pPr>
    </w:p>
    <w:p w:rsidR="004D09F8" w:rsidRPr="004D09F8" w:rsidRDefault="004D09F8" w:rsidP="004D09F8">
      <w:pPr>
        <w:pStyle w:val="NoSpacing"/>
        <w:numPr>
          <w:ilvl w:val="0"/>
          <w:numId w:val="15"/>
        </w:numPr>
        <w:rPr>
          <w:b/>
        </w:rPr>
      </w:pPr>
      <w:r w:rsidRPr="004D09F8">
        <w:rPr>
          <w:b/>
        </w:rPr>
        <w:t>Explain the reason for any burden hour changes since the last submission.</w:t>
      </w:r>
    </w:p>
    <w:p w:rsidR="004D09F8" w:rsidRDefault="004D09F8" w:rsidP="004419C7">
      <w:pPr>
        <w:tabs>
          <w:tab w:val="left" w:pos="480"/>
          <w:tab w:val="right" w:pos="8640"/>
        </w:tabs>
        <w:ind w:left="360" w:right="684"/>
        <w:rPr>
          <w:rFonts w:ascii="Times New Roman" w:hAnsi="Times New Roman"/>
          <w:sz w:val="24"/>
        </w:rPr>
      </w:pPr>
    </w:p>
    <w:p w:rsidR="009879A1" w:rsidRDefault="008D7CBE" w:rsidP="009879A1">
      <w:pPr>
        <w:autoSpaceDE w:val="0"/>
        <w:autoSpaceDN w:val="0"/>
        <w:adjustRightInd w:val="0"/>
        <w:ind w:left="360"/>
        <w:rPr>
          <w:rFonts w:ascii="Times New Roman" w:hAnsi="Times New Roman"/>
          <w:sz w:val="24"/>
          <w:szCs w:val="24"/>
        </w:rPr>
      </w:pPr>
      <w:r w:rsidRPr="00495C22">
        <w:rPr>
          <w:rFonts w:ascii="Times New Roman" w:hAnsi="Times New Roman"/>
          <w:sz w:val="24"/>
          <w:szCs w:val="24"/>
        </w:rPr>
        <w:t>There is no change in the reporting burden</w:t>
      </w:r>
      <w:r w:rsidR="00DD22FC" w:rsidRPr="00FB5C85">
        <w:rPr>
          <w:rFonts w:ascii="Times New Roman" w:hAnsi="Times New Roman"/>
          <w:sz w:val="24"/>
        </w:rPr>
        <w:t>.</w:t>
      </w:r>
      <w:r w:rsidR="009879A1">
        <w:rPr>
          <w:rFonts w:ascii="Times New Roman" w:hAnsi="Times New Roman"/>
          <w:sz w:val="24"/>
        </w:rPr>
        <w:t xml:space="preserve">  </w:t>
      </w:r>
    </w:p>
    <w:p w:rsidR="00DD22FC" w:rsidRPr="00FB5C85" w:rsidRDefault="00DD22FC" w:rsidP="004D09F8">
      <w:pPr>
        <w:pStyle w:val="NoSpacing"/>
      </w:pPr>
    </w:p>
    <w:p w:rsidR="004D09F8" w:rsidRPr="004D09F8" w:rsidRDefault="004D09F8" w:rsidP="004D09F8">
      <w:pPr>
        <w:pStyle w:val="NoSpacing"/>
        <w:numPr>
          <w:ilvl w:val="0"/>
          <w:numId w:val="15"/>
        </w:numPr>
        <w:rPr>
          <w:b/>
        </w:rPr>
      </w:pPr>
      <w:r w:rsidRPr="004D09F8">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62719" w:rsidRDefault="00762719" w:rsidP="00762719">
      <w:pPr>
        <w:pStyle w:val="PlainText"/>
        <w:ind w:left="360"/>
        <w:rPr>
          <w:rFonts w:ascii="Times New Roman" w:eastAsia="Times New Roman" w:hAnsi="Times New Roman"/>
          <w:bCs/>
          <w:sz w:val="24"/>
          <w:lang w:eastAsia="en-US"/>
        </w:rPr>
      </w:pPr>
      <w:r w:rsidRPr="00762719">
        <w:rPr>
          <w:rFonts w:ascii="Times New Roman" w:eastAsia="Times New Roman" w:hAnsi="Times New Roman"/>
          <w:bCs/>
          <w:sz w:val="24"/>
          <w:lang w:eastAsia="en-US"/>
        </w:rPr>
        <w:t xml:space="preserve">A report of findings will be provided to Congress on a yearly basis.  This will not be published but will be available to the public once Congress has reviewed and approved it.  There will be no costs associated with publication since report will be available online for anyone to view.  Data will be gathered every year and report will be submitted to Congress on July 1st for the next 24 years.  Congress will provide an update if any changes to this schedule are needed.  The table below presents a schedule that used to conduct data collection for the FY 2013 Annual Report to Congress. </w:t>
      </w:r>
    </w:p>
    <w:p w:rsidR="00762719" w:rsidRPr="00762719" w:rsidRDefault="00762719" w:rsidP="00762719">
      <w:pPr>
        <w:pStyle w:val="PlainText"/>
        <w:ind w:left="360"/>
        <w:rPr>
          <w:rFonts w:ascii="Times New Roman" w:eastAsia="Times New Roman" w:hAnsi="Times New Roman"/>
          <w:bCs/>
          <w:sz w:val="24"/>
          <w:lang w:eastAsia="en-US"/>
        </w:rPr>
      </w:pPr>
    </w:p>
    <w:tbl>
      <w:tblPr>
        <w:tblW w:w="8145" w:type="dxa"/>
        <w:jc w:val="center"/>
        <w:tblBorders>
          <w:top w:val="single" w:sz="4" w:space="0" w:color="000000"/>
          <w:bottom w:val="single" w:sz="4" w:space="0" w:color="000000"/>
          <w:insideH w:val="single" w:sz="4" w:space="0" w:color="000000"/>
          <w:insideV w:val="single" w:sz="4" w:space="0" w:color="000000"/>
        </w:tblBorders>
        <w:tblLayout w:type="fixed"/>
        <w:tblLook w:val="00A0" w:firstRow="1" w:lastRow="0" w:firstColumn="1" w:lastColumn="0" w:noHBand="0" w:noVBand="0"/>
      </w:tblPr>
      <w:tblGrid>
        <w:gridCol w:w="6234"/>
        <w:gridCol w:w="1911"/>
      </w:tblGrid>
      <w:tr w:rsidR="00762719" w:rsidTr="00762719">
        <w:trPr>
          <w:cantSplit/>
          <w:jc w:val="center"/>
        </w:trPr>
        <w:tc>
          <w:tcPr>
            <w:tcW w:w="6231" w:type="dxa"/>
            <w:tcBorders>
              <w:top w:val="single" w:sz="4" w:space="0" w:color="000000"/>
              <w:left w:val="nil"/>
              <w:bottom w:val="single" w:sz="4" w:space="0" w:color="000000"/>
              <w:right w:val="single" w:sz="4" w:space="0" w:color="000000"/>
            </w:tcBorders>
            <w:hideMark/>
          </w:tcPr>
          <w:p w:rsidR="00762719" w:rsidRDefault="00762719">
            <w:pPr>
              <w:pStyle w:val="TX-TableText"/>
            </w:pPr>
            <w:r>
              <w:t>Conduct initial survey data collection for VR&amp;E Cohort I</w:t>
            </w:r>
          </w:p>
        </w:tc>
        <w:tc>
          <w:tcPr>
            <w:tcW w:w="1910" w:type="dxa"/>
            <w:tcBorders>
              <w:top w:val="single" w:sz="4" w:space="0" w:color="000000"/>
              <w:left w:val="single" w:sz="4" w:space="0" w:color="000000"/>
              <w:bottom w:val="single" w:sz="4" w:space="0" w:color="000000"/>
              <w:right w:val="nil"/>
            </w:tcBorders>
            <w:hideMark/>
          </w:tcPr>
          <w:p w:rsidR="00762719" w:rsidRDefault="00762719">
            <w:pPr>
              <w:pStyle w:val="TX-TableText"/>
            </w:pPr>
            <w:r>
              <w:t>September 24, 2012 – January 13, 2013</w:t>
            </w:r>
          </w:p>
        </w:tc>
      </w:tr>
      <w:tr w:rsidR="00762719" w:rsidTr="00762719">
        <w:trPr>
          <w:cantSplit/>
          <w:jc w:val="center"/>
        </w:trPr>
        <w:tc>
          <w:tcPr>
            <w:tcW w:w="6231" w:type="dxa"/>
            <w:tcBorders>
              <w:top w:val="single" w:sz="4" w:space="0" w:color="000000"/>
              <w:left w:val="nil"/>
              <w:bottom w:val="single" w:sz="4" w:space="0" w:color="000000"/>
              <w:right w:val="single" w:sz="4" w:space="0" w:color="000000"/>
            </w:tcBorders>
            <w:hideMark/>
          </w:tcPr>
          <w:p w:rsidR="00762719" w:rsidRDefault="00762719">
            <w:pPr>
              <w:pStyle w:val="TX-TableText"/>
            </w:pPr>
            <w:r>
              <w:t>Receive VR&amp;E Cohort II sampling frame from VBA</w:t>
            </w:r>
          </w:p>
        </w:tc>
        <w:tc>
          <w:tcPr>
            <w:tcW w:w="1910" w:type="dxa"/>
            <w:tcBorders>
              <w:top w:val="single" w:sz="4" w:space="0" w:color="000000"/>
              <w:left w:val="single" w:sz="4" w:space="0" w:color="000000"/>
              <w:bottom w:val="single" w:sz="4" w:space="0" w:color="000000"/>
              <w:right w:val="nil"/>
            </w:tcBorders>
            <w:hideMark/>
          </w:tcPr>
          <w:p w:rsidR="00762719" w:rsidRDefault="00762719">
            <w:pPr>
              <w:pStyle w:val="TX-TableText"/>
            </w:pPr>
            <w:r>
              <w:t>October 5, 2012</w:t>
            </w:r>
          </w:p>
        </w:tc>
      </w:tr>
      <w:tr w:rsidR="00762719" w:rsidTr="00762719">
        <w:trPr>
          <w:cantSplit/>
          <w:jc w:val="center"/>
        </w:trPr>
        <w:tc>
          <w:tcPr>
            <w:tcW w:w="6231" w:type="dxa"/>
            <w:tcBorders>
              <w:top w:val="single" w:sz="4" w:space="0" w:color="000000"/>
              <w:left w:val="nil"/>
              <w:bottom w:val="single" w:sz="4" w:space="0" w:color="000000"/>
              <w:right w:val="single" w:sz="4" w:space="0" w:color="000000"/>
            </w:tcBorders>
            <w:hideMark/>
          </w:tcPr>
          <w:p w:rsidR="00762719" w:rsidRDefault="00762719">
            <w:pPr>
              <w:pStyle w:val="TX-TableText"/>
            </w:pPr>
            <w:r>
              <w:t>Conduct initial survey data collection for VR&amp;E Cohort II</w:t>
            </w:r>
          </w:p>
        </w:tc>
        <w:tc>
          <w:tcPr>
            <w:tcW w:w="1910" w:type="dxa"/>
            <w:tcBorders>
              <w:top w:val="single" w:sz="4" w:space="0" w:color="000000"/>
              <w:left w:val="single" w:sz="4" w:space="0" w:color="000000"/>
              <w:bottom w:val="single" w:sz="4" w:space="0" w:color="000000"/>
              <w:right w:val="nil"/>
            </w:tcBorders>
            <w:hideMark/>
          </w:tcPr>
          <w:p w:rsidR="00762719" w:rsidRDefault="00762719">
            <w:pPr>
              <w:pStyle w:val="TX-TableText"/>
            </w:pPr>
            <w:r>
              <w:t>October 8, 2012 – January 27, 2013</w:t>
            </w:r>
          </w:p>
        </w:tc>
      </w:tr>
      <w:tr w:rsidR="00762719" w:rsidTr="00762719">
        <w:trPr>
          <w:cantSplit/>
          <w:jc w:val="center"/>
        </w:trPr>
        <w:tc>
          <w:tcPr>
            <w:tcW w:w="6231" w:type="dxa"/>
            <w:tcBorders>
              <w:top w:val="single" w:sz="4" w:space="0" w:color="000000"/>
              <w:left w:val="nil"/>
              <w:bottom w:val="single" w:sz="4" w:space="0" w:color="000000"/>
              <w:right w:val="single" w:sz="4" w:space="0" w:color="000000"/>
            </w:tcBorders>
            <w:hideMark/>
          </w:tcPr>
          <w:p w:rsidR="00762719" w:rsidRDefault="00762719">
            <w:pPr>
              <w:pStyle w:val="TX-TableText"/>
            </w:pPr>
            <w:r>
              <w:t>Submit VR&amp;E Annual Report 2013 (for FY2012) and convene briefing</w:t>
            </w:r>
          </w:p>
        </w:tc>
        <w:tc>
          <w:tcPr>
            <w:tcW w:w="1910" w:type="dxa"/>
            <w:tcBorders>
              <w:top w:val="single" w:sz="4" w:space="0" w:color="000000"/>
              <w:left w:val="single" w:sz="4" w:space="0" w:color="000000"/>
              <w:bottom w:val="single" w:sz="4" w:space="0" w:color="000000"/>
              <w:right w:val="nil"/>
            </w:tcBorders>
            <w:hideMark/>
          </w:tcPr>
          <w:p w:rsidR="00762719" w:rsidRDefault="00762719">
            <w:pPr>
              <w:pStyle w:val="TX-TableText"/>
            </w:pPr>
            <w:r>
              <w:t>March 1, 2013</w:t>
            </w:r>
          </w:p>
        </w:tc>
      </w:tr>
    </w:tbl>
    <w:p w:rsidR="00762719" w:rsidRDefault="00762719" w:rsidP="00762719">
      <w:pPr>
        <w:pStyle w:val="PlainText"/>
        <w:spacing w:line="360" w:lineRule="auto"/>
        <w:ind w:left="360"/>
        <w:rPr>
          <w:rFonts w:ascii="Garamond" w:hAnsi="Garamond" w:cs="Garamond"/>
          <w:bCs/>
          <w:sz w:val="24"/>
          <w:szCs w:val="24"/>
        </w:rPr>
      </w:pPr>
    </w:p>
    <w:p w:rsidR="00762719" w:rsidRPr="00762719" w:rsidRDefault="00762719" w:rsidP="00762719">
      <w:pPr>
        <w:pStyle w:val="ListParagraph"/>
        <w:ind w:left="360"/>
        <w:rPr>
          <w:bCs/>
          <w:sz w:val="24"/>
        </w:rPr>
      </w:pPr>
      <w:r w:rsidRPr="00762719">
        <w:rPr>
          <w:bCs/>
          <w:sz w:val="24"/>
        </w:rPr>
        <w:t xml:space="preserve">This report will include information on study design, sampling methodology, participant characteristics, and their responses to survey questions to measure key outcomes of interest. Some of the data will be supplemented by the VBA administrative datasets. To the extent possible, we will produce bivariate and multivariate analysis to explore the relationship between participant characteristics and key outcome variables.  In the area of exploratory analysis, we will implement full range of techniques needed for descriptive examination. We will examine frequency distributions and relationships between variables using a variety of numeric, tabular, and graphic techniques (i.e., univariate frequencies, cross tabulations, etc.). </w:t>
      </w:r>
    </w:p>
    <w:p w:rsidR="00762719" w:rsidRPr="00762719" w:rsidRDefault="00762719" w:rsidP="00762719">
      <w:pPr>
        <w:pStyle w:val="L1-FlLSp12"/>
        <w:ind w:left="360"/>
        <w:rPr>
          <w:rFonts w:ascii="Times New Roman" w:hAnsi="Times New Roman"/>
          <w:bCs/>
        </w:rPr>
      </w:pPr>
    </w:p>
    <w:p w:rsidR="00762719" w:rsidRDefault="00762719" w:rsidP="00762719">
      <w:pPr>
        <w:pStyle w:val="ListParagraph"/>
        <w:ind w:left="360"/>
        <w:rPr>
          <w:bCs/>
          <w:sz w:val="24"/>
        </w:rPr>
      </w:pPr>
      <w:r w:rsidRPr="00762719">
        <w:rPr>
          <w:bCs/>
          <w:sz w:val="24"/>
        </w:rPr>
        <w:lastRenderedPageBreak/>
        <w:t xml:space="preserve">We will conduct univariate analysis of survey responses to identify variables that contain excessive amounts of missing data or have highly skewed distributions. Data elements that exhibit such characteristics are flagged and may be candidates for either imputation to provide values for some that are missing or transformations to modify skewed distributions. We will follow the distributional review with a bivariate examination of pairs of data elements. Depending upon the level of measurement and the research questions, </w:t>
      </w:r>
      <w:proofErr w:type="spellStart"/>
      <w:r w:rsidRPr="00762719">
        <w:rPr>
          <w:bCs/>
          <w:sz w:val="24"/>
        </w:rPr>
        <w:t>Westat</w:t>
      </w:r>
      <w:proofErr w:type="spellEnd"/>
      <w:r w:rsidRPr="00762719">
        <w:rPr>
          <w:bCs/>
          <w:sz w:val="24"/>
        </w:rPr>
        <w:t xml:space="preserve"> might conduct correlation analyses (for two continuous variables), chi-square analyses (for two nominal variables, or analysis of variance (for the combination of continuous and nominal variables). </w:t>
      </w:r>
    </w:p>
    <w:p w:rsidR="00762719" w:rsidRDefault="00762719" w:rsidP="00762719">
      <w:pPr>
        <w:pStyle w:val="ListParagraph"/>
        <w:spacing w:line="360" w:lineRule="atLeast"/>
        <w:ind w:left="360"/>
        <w:rPr>
          <w:bCs/>
          <w:sz w:val="24"/>
        </w:rPr>
      </w:pPr>
    </w:p>
    <w:p w:rsidR="00762719" w:rsidRPr="00762719" w:rsidRDefault="00762719" w:rsidP="00762719">
      <w:pPr>
        <w:pStyle w:val="ListParagraph"/>
        <w:ind w:left="360"/>
        <w:rPr>
          <w:bCs/>
          <w:sz w:val="24"/>
        </w:rPr>
      </w:pPr>
      <w:r w:rsidRPr="00762719">
        <w:rPr>
          <w:bCs/>
          <w:sz w:val="24"/>
        </w:rPr>
        <w:t>Beyond initial summaries of data elements, to the extent possible, we will implement other statistical approaches such as ANOVA and ANCOVA, regression modeling such as logistic and multinomial logistic regression, survival analysis, and factor analysis.</w:t>
      </w:r>
    </w:p>
    <w:p w:rsidR="004D09F8" w:rsidRPr="00981B90" w:rsidRDefault="004D09F8" w:rsidP="004D09F8">
      <w:pPr>
        <w:pStyle w:val="NoSpacing"/>
      </w:pPr>
    </w:p>
    <w:p w:rsidR="004D09F8" w:rsidRPr="004D09F8" w:rsidRDefault="004D09F8" w:rsidP="004D09F8">
      <w:pPr>
        <w:pStyle w:val="NoSpacing"/>
        <w:numPr>
          <w:ilvl w:val="0"/>
          <w:numId w:val="15"/>
        </w:numPr>
        <w:rPr>
          <w:b/>
        </w:rPr>
      </w:pPr>
      <w:r w:rsidRPr="004D09F8">
        <w:rPr>
          <w:b/>
        </w:rPr>
        <w:t>If seeking approval to omit the expiration date</w:t>
      </w:r>
      <w:r w:rsidRPr="004D09F8">
        <w:rPr>
          <w:b/>
          <w:color w:val="0000FF"/>
        </w:rPr>
        <w:t xml:space="preserve"> </w:t>
      </w:r>
      <w:r w:rsidRPr="004D09F8">
        <w:rPr>
          <w:b/>
        </w:rPr>
        <w:t xml:space="preserve">for OMB approval of the information collection, explain the reasons that display would be inappropriate. </w:t>
      </w:r>
    </w:p>
    <w:p w:rsidR="004D09F8" w:rsidRDefault="004D09F8" w:rsidP="004D09F8">
      <w:pPr>
        <w:pStyle w:val="NoSpacing"/>
      </w:pPr>
    </w:p>
    <w:p w:rsidR="004D09F8" w:rsidRPr="00981B90" w:rsidRDefault="004D09F8" w:rsidP="004D09F8">
      <w:pPr>
        <w:pStyle w:val="NoSpacing"/>
        <w:ind w:firstLine="360"/>
      </w:pPr>
      <w:r w:rsidRPr="00981B90">
        <w:t>We are not seeking approval to omit the expiration date for OMB approval.</w:t>
      </w:r>
    </w:p>
    <w:p w:rsidR="004D09F8" w:rsidRPr="00981B90" w:rsidRDefault="004D09F8" w:rsidP="004D09F8">
      <w:pPr>
        <w:pStyle w:val="NoSpacing"/>
      </w:pPr>
    </w:p>
    <w:p w:rsidR="004D09F8" w:rsidRPr="004D09F8" w:rsidRDefault="004D09F8" w:rsidP="004D09F8">
      <w:pPr>
        <w:pStyle w:val="NoSpacing"/>
        <w:numPr>
          <w:ilvl w:val="0"/>
          <w:numId w:val="15"/>
        </w:numPr>
        <w:rPr>
          <w:b/>
        </w:rPr>
      </w:pPr>
      <w:r w:rsidRPr="004D09F8">
        <w:rPr>
          <w:b/>
        </w:rPr>
        <w:t>Explain each exception to the certification statement identified in Item 19, “Certification for Paperwork Reduction Act Submissions,” of OMB 83-I.</w:t>
      </w:r>
    </w:p>
    <w:p w:rsidR="004D09F8" w:rsidRDefault="004D09F8" w:rsidP="004419C7">
      <w:pPr>
        <w:tabs>
          <w:tab w:val="left" w:pos="480"/>
          <w:tab w:val="right" w:pos="8640"/>
        </w:tabs>
        <w:ind w:left="360" w:right="684"/>
        <w:rPr>
          <w:rFonts w:ascii="Times New Roman" w:hAnsi="Times New Roman"/>
          <w:sz w:val="24"/>
        </w:rPr>
      </w:pPr>
    </w:p>
    <w:p w:rsidR="00DD22FC" w:rsidRPr="00FB5C85"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This submission does not contain any exceptions to the certification statement.</w:t>
      </w:r>
    </w:p>
    <w:p w:rsidR="00DD22FC" w:rsidRPr="00FB5C85" w:rsidRDefault="00DD22FC" w:rsidP="004419C7">
      <w:pPr>
        <w:tabs>
          <w:tab w:val="left" w:pos="480"/>
          <w:tab w:val="right" w:pos="8640"/>
        </w:tabs>
        <w:ind w:left="360" w:right="684"/>
        <w:rPr>
          <w:rFonts w:ascii="Times New Roman" w:hAnsi="Times New Roman"/>
          <w:sz w:val="24"/>
        </w:rPr>
      </w:pPr>
    </w:p>
    <w:p w:rsidR="00DD22FC" w:rsidRPr="004D09F8" w:rsidRDefault="00DD22FC" w:rsidP="004D09F8">
      <w:pPr>
        <w:autoSpaceDE w:val="0"/>
        <w:autoSpaceDN w:val="0"/>
        <w:adjustRightInd w:val="0"/>
        <w:rPr>
          <w:rFonts w:ascii="Times New Roman" w:hAnsi="Times New Roman"/>
          <w:b/>
          <w:sz w:val="24"/>
          <w:szCs w:val="24"/>
        </w:rPr>
      </w:pPr>
      <w:r w:rsidRPr="004D09F8">
        <w:rPr>
          <w:rFonts w:ascii="Times New Roman" w:hAnsi="Times New Roman"/>
          <w:b/>
          <w:sz w:val="24"/>
          <w:szCs w:val="24"/>
        </w:rPr>
        <w:t xml:space="preserve">B.  </w:t>
      </w:r>
      <w:r w:rsidRPr="004D09F8">
        <w:rPr>
          <w:rFonts w:ascii="Times New Roman" w:hAnsi="Times New Roman"/>
          <w:b/>
          <w:sz w:val="24"/>
          <w:szCs w:val="24"/>
          <w:u w:val="single"/>
        </w:rPr>
        <w:t>Collection of Information Employing Statistical Methods</w:t>
      </w:r>
    </w:p>
    <w:p w:rsidR="00DD22FC" w:rsidRPr="00FB5C85" w:rsidRDefault="00DD22FC" w:rsidP="004419C7">
      <w:pPr>
        <w:autoSpaceDE w:val="0"/>
        <w:autoSpaceDN w:val="0"/>
        <w:adjustRightInd w:val="0"/>
        <w:ind w:left="360"/>
        <w:rPr>
          <w:rFonts w:ascii="Times New Roman" w:hAnsi="Times New Roman"/>
          <w:sz w:val="24"/>
          <w:szCs w:val="24"/>
        </w:rPr>
      </w:pPr>
    </w:p>
    <w:p w:rsidR="00762719" w:rsidRPr="00762719" w:rsidRDefault="00762719" w:rsidP="00762719">
      <w:pPr>
        <w:pStyle w:val="NoSpacing"/>
        <w:ind w:left="360"/>
        <w:rPr>
          <w:bCs/>
        </w:rPr>
      </w:pPr>
      <w:r w:rsidRPr="00762719">
        <w:rPr>
          <w:bCs/>
        </w:rPr>
        <w:t xml:space="preserve">As noted in item 16 above, </w:t>
      </w:r>
      <w:proofErr w:type="gramStart"/>
      <w:r w:rsidRPr="00762719">
        <w:rPr>
          <w:bCs/>
        </w:rPr>
        <w:t>To</w:t>
      </w:r>
      <w:proofErr w:type="gramEnd"/>
      <w:r w:rsidRPr="00762719">
        <w:rPr>
          <w:bCs/>
        </w:rPr>
        <w:t xml:space="preserve"> the extent possible, we will produce bivariate and multivariate analysis to explore the relationship between participant characteristics and key outcome variables.  In the area of exploratory analysis, we will implement full range of techniques needed for descriptive examination. We will examine frequency distributions and relationships between variables using a variety of numeric, tabular, and graphic techniques (i.e., univariate frequencies, cross tabulations, etc.). </w:t>
      </w:r>
    </w:p>
    <w:p w:rsidR="00762719" w:rsidRPr="00762719" w:rsidRDefault="00762719" w:rsidP="00762719">
      <w:pPr>
        <w:pStyle w:val="NoSpacing"/>
        <w:rPr>
          <w:bCs/>
        </w:rPr>
      </w:pPr>
    </w:p>
    <w:p w:rsidR="00762719" w:rsidRPr="00762719" w:rsidRDefault="00762719" w:rsidP="00762719">
      <w:pPr>
        <w:pStyle w:val="NoSpacing"/>
        <w:ind w:left="360"/>
        <w:rPr>
          <w:bCs/>
        </w:rPr>
      </w:pPr>
      <w:r w:rsidRPr="00762719">
        <w:rPr>
          <w:bCs/>
        </w:rPr>
        <w:t xml:space="preserve">We will conduct univariate analysis of survey responses to identify variables that contain excessive amounts of missing data or have highly skewed distributions. Data elements that exhibit such characteristics are flagged and may be candidates for either imputation to provide values for some that are missing or transformations to modify skewed distributions. We will follow the distributional review with a bivariate examination of pairs of data elements. Depending upon the level of measurement and the research questions, </w:t>
      </w:r>
      <w:proofErr w:type="spellStart"/>
      <w:r w:rsidRPr="00762719">
        <w:rPr>
          <w:bCs/>
        </w:rPr>
        <w:t>Westat</w:t>
      </w:r>
      <w:proofErr w:type="spellEnd"/>
      <w:r w:rsidRPr="00762719">
        <w:rPr>
          <w:bCs/>
        </w:rPr>
        <w:t xml:space="preserve"> might conduct correlation analyses (for two continuous variables), chi-square analyses (for two nominal variables, or analysis of variance (for the combination of continuous and nominal variables). </w:t>
      </w:r>
    </w:p>
    <w:p w:rsidR="00762719" w:rsidRPr="00762719" w:rsidRDefault="00762719" w:rsidP="00762719">
      <w:pPr>
        <w:pStyle w:val="NoSpacing"/>
        <w:rPr>
          <w:bCs/>
        </w:rPr>
      </w:pPr>
    </w:p>
    <w:p w:rsidR="00762719" w:rsidRPr="00762719" w:rsidRDefault="00762719" w:rsidP="00762719">
      <w:pPr>
        <w:pStyle w:val="NoSpacing"/>
        <w:ind w:left="360"/>
        <w:rPr>
          <w:bCs/>
        </w:rPr>
      </w:pPr>
      <w:r w:rsidRPr="00762719">
        <w:rPr>
          <w:bCs/>
        </w:rPr>
        <w:t>Beyond initial summaries of data elements, to the extent possible, we will implement other statistical approaches such as ANOVA and ANCOVA, regression modeling such as logistic and multinomial logistic regression, survival analysis, and factor analysis.</w:t>
      </w:r>
    </w:p>
    <w:p w:rsidR="00DD22FC" w:rsidRPr="00FB5C85" w:rsidRDefault="00DD22FC" w:rsidP="008D7CBE">
      <w:pPr>
        <w:autoSpaceDE w:val="0"/>
        <w:autoSpaceDN w:val="0"/>
        <w:adjustRightInd w:val="0"/>
        <w:rPr>
          <w:rFonts w:ascii="Times New Roman" w:hAnsi="Times New Roman"/>
          <w:sz w:val="24"/>
        </w:rPr>
      </w:pPr>
    </w:p>
    <w:sectPr w:rsidR="00DD22FC" w:rsidRPr="00FB5C85" w:rsidSect="00DC6296">
      <w:footerReference w:type="default" r:id="rId9"/>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5D4" w:rsidRDefault="001175D4" w:rsidP="004419C7">
      <w:r>
        <w:separator/>
      </w:r>
    </w:p>
  </w:endnote>
  <w:endnote w:type="continuationSeparator" w:id="0">
    <w:p w:rsidR="001175D4" w:rsidRDefault="001175D4" w:rsidP="0044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60C" w:rsidRDefault="0062060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VR&amp;E Longitudinal Study</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75ABE" w:rsidRPr="00075ABE">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rsidR="0062060C" w:rsidRDefault="006206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5D4" w:rsidRDefault="001175D4" w:rsidP="004419C7">
      <w:r>
        <w:separator/>
      </w:r>
    </w:p>
  </w:footnote>
  <w:footnote w:type="continuationSeparator" w:id="0">
    <w:p w:rsidR="001175D4" w:rsidRDefault="001175D4" w:rsidP="004419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277900C8"/>
    <w:multiLevelType w:val="hybridMultilevel"/>
    <w:tmpl w:val="A9C6A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828A6"/>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3C3A3013"/>
    <w:multiLevelType w:val="hybridMultilevel"/>
    <w:tmpl w:val="D03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nsid w:val="541C0DCD"/>
    <w:multiLevelType w:val="hybridMultilevel"/>
    <w:tmpl w:val="2EBEBC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7A20FB8"/>
    <w:multiLevelType w:val="hybridMultilevel"/>
    <w:tmpl w:val="44280FC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5C7FB4"/>
    <w:multiLevelType w:val="hybridMultilevel"/>
    <w:tmpl w:val="D9E6D880"/>
    <w:lvl w:ilvl="0" w:tplc="0409001B">
      <w:start w:val="1"/>
      <w:numFmt w:val="lowerRoman"/>
      <w:lvlText w:val="%1."/>
      <w:lvlJc w:val="righ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2D36B3D"/>
    <w:multiLevelType w:val="hybridMultilevel"/>
    <w:tmpl w:val="919487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F92626C"/>
    <w:multiLevelType w:val="hybridMultilevel"/>
    <w:tmpl w:val="C58AD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0"/>
  </w:num>
  <w:num w:numId="6">
    <w:abstractNumId w:val="4"/>
  </w:num>
  <w:num w:numId="7">
    <w:abstractNumId w:val="11"/>
  </w:num>
  <w:num w:numId="8">
    <w:abstractNumId w:val="7"/>
  </w:num>
  <w:num w:numId="9">
    <w:abstractNumId w:val="15"/>
  </w:num>
  <w:num w:numId="10">
    <w:abstractNumId w:val="6"/>
  </w:num>
  <w:num w:numId="11">
    <w:abstractNumId w:val="1"/>
  </w:num>
  <w:num w:numId="12">
    <w:abstractNumId w:val="12"/>
  </w:num>
  <w:num w:numId="13">
    <w:abstractNumId w:val="9"/>
  </w:num>
  <w:num w:numId="14">
    <w:abstractNumId w:val="13"/>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96"/>
    <w:rsid w:val="000258A5"/>
    <w:rsid w:val="0007321F"/>
    <w:rsid w:val="00075ABE"/>
    <w:rsid w:val="000A30AD"/>
    <w:rsid w:val="000D1007"/>
    <w:rsid w:val="000D5F78"/>
    <w:rsid w:val="000E148E"/>
    <w:rsid w:val="000E314C"/>
    <w:rsid w:val="000E5BCD"/>
    <w:rsid w:val="001175D4"/>
    <w:rsid w:val="001361D2"/>
    <w:rsid w:val="001504A9"/>
    <w:rsid w:val="00161980"/>
    <w:rsid w:val="00166CC5"/>
    <w:rsid w:val="0017741F"/>
    <w:rsid w:val="00190D1A"/>
    <w:rsid w:val="001B6637"/>
    <w:rsid w:val="00203AF5"/>
    <w:rsid w:val="00205FDF"/>
    <w:rsid w:val="00223298"/>
    <w:rsid w:val="00254443"/>
    <w:rsid w:val="00273D83"/>
    <w:rsid w:val="00285A7C"/>
    <w:rsid w:val="00293A35"/>
    <w:rsid w:val="003075D1"/>
    <w:rsid w:val="00313D3C"/>
    <w:rsid w:val="0037308B"/>
    <w:rsid w:val="003B56AE"/>
    <w:rsid w:val="003F667D"/>
    <w:rsid w:val="00403B98"/>
    <w:rsid w:val="0042579D"/>
    <w:rsid w:val="004419C7"/>
    <w:rsid w:val="00457458"/>
    <w:rsid w:val="00476040"/>
    <w:rsid w:val="00477806"/>
    <w:rsid w:val="004C71FA"/>
    <w:rsid w:val="004D065C"/>
    <w:rsid w:val="004D09F8"/>
    <w:rsid w:val="00504A78"/>
    <w:rsid w:val="00504ED2"/>
    <w:rsid w:val="00506AA3"/>
    <w:rsid w:val="0051735E"/>
    <w:rsid w:val="00534FB8"/>
    <w:rsid w:val="00560B8B"/>
    <w:rsid w:val="00566DD5"/>
    <w:rsid w:val="005703C7"/>
    <w:rsid w:val="005C4615"/>
    <w:rsid w:val="005F3EE7"/>
    <w:rsid w:val="0062060C"/>
    <w:rsid w:val="00634344"/>
    <w:rsid w:val="00652546"/>
    <w:rsid w:val="006606CC"/>
    <w:rsid w:val="006735B4"/>
    <w:rsid w:val="006D6F6E"/>
    <w:rsid w:val="006E1431"/>
    <w:rsid w:val="006E5287"/>
    <w:rsid w:val="006F6CFB"/>
    <w:rsid w:val="0071441C"/>
    <w:rsid w:val="0073796B"/>
    <w:rsid w:val="00762719"/>
    <w:rsid w:val="00770F8F"/>
    <w:rsid w:val="007F2AE3"/>
    <w:rsid w:val="0081029E"/>
    <w:rsid w:val="008900B5"/>
    <w:rsid w:val="008A5C5E"/>
    <w:rsid w:val="008B3D9A"/>
    <w:rsid w:val="008D7CBE"/>
    <w:rsid w:val="00923DB4"/>
    <w:rsid w:val="00951257"/>
    <w:rsid w:val="009879A1"/>
    <w:rsid w:val="00997CEB"/>
    <w:rsid w:val="009C4C5A"/>
    <w:rsid w:val="009E3FF3"/>
    <w:rsid w:val="009E5BBA"/>
    <w:rsid w:val="009F32B1"/>
    <w:rsid w:val="00A73F4B"/>
    <w:rsid w:val="00AB34FE"/>
    <w:rsid w:val="00B81364"/>
    <w:rsid w:val="00B978C7"/>
    <w:rsid w:val="00BC4A02"/>
    <w:rsid w:val="00C06B13"/>
    <w:rsid w:val="00C148C9"/>
    <w:rsid w:val="00C4304A"/>
    <w:rsid w:val="00C724B4"/>
    <w:rsid w:val="00C973B3"/>
    <w:rsid w:val="00CC226A"/>
    <w:rsid w:val="00CC6158"/>
    <w:rsid w:val="00CF4BD8"/>
    <w:rsid w:val="00D74CA7"/>
    <w:rsid w:val="00DA0948"/>
    <w:rsid w:val="00DB0E7E"/>
    <w:rsid w:val="00DB0ED3"/>
    <w:rsid w:val="00DC6296"/>
    <w:rsid w:val="00DC761E"/>
    <w:rsid w:val="00DD22FC"/>
    <w:rsid w:val="00DE7F2A"/>
    <w:rsid w:val="00DF521C"/>
    <w:rsid w:val="00E17A20"/>
    <w:rsid w:val="00E2007A"/>
    <w:rsid w:val="00E47160"/>
    <w:rsid w:val="00E95F18"/>
    <w:rsid w:val="00E97CAE"/>
    <w:rsid w:val="00EC63DD"/>
    <w:rsid w:val="00F06E1F"/>
    <w:rsid w:val="00F10742"/>
    <w:rsid w:val="00F3344F"/>
    <w:rsid w:val="00F50B93"/>
    <w:rsid w:val="00F515C3"/>
    <w:rsid w:val="00FB5C85"/>
    <w:rsid w:val="00FD7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uiPriority w:val="99"/>
    <w:rsid w:val="004419C7"/>
    <w:pPr>
      <w:tabs>
        <w:tab w:val="center" w:pos="4680"/>
        <w:tab w:val="right" w:pos="9360"/>
      </w:tabs>
    </w:pPr>
  </w:style>
  <w:style w:type="character" w:customStyle="1" w:styleId="FooterChar">
    <w:name w:val="Footer Char"/>
    <w:link w:val="Footer"/>
    <w:uiPriority w:val="99"/>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 w:type="paragraph" w:styleId="PlainText">
    <w:name w:val="Plain Text"/>
    <w:basedOn w:val="Normal"/>
    <w:link w:val="PlainTextChar"/>
    <w:uiPriority w:val="99"/>
    <w:unhideWhenUsed/>
    <w:rsid w:val="007F2AE3"/>
    <w:rPr>
      <w:rFonts w:eastAsia="MS Mincho"/>
      <w:lang w:eastAsia="ja-JP"/>
    </w:rPr>
  </w:style>
  <w:style w:type="character" w:customStyle="1" w:styleId="PlainTextChar">
    <w:name w:val="Plain Text Char"/>
    <w:basedOn w:val="DefaultParagraphFont"/>
    <w:link w:val="PlainText"/>
    <w:uiPriority w:val="99"/>
    <w:rsid w:val="007F2AE3"/>
    <w:rPr>
      <w:rFonts w:ascii="Courier New" w:eastAsia="MS Mincho" w:hAnsi="Courier New"/>
      <w:lang w:eastAsia="ja-JP"/>
    </w:rPr>
  </w:style>
  <w:style w:type="character" w:customStyle="1" w:styleId="L1-FlLSp12Char">
    <w:name w:val="L1-FlL Sp&amp;1/2 Char"/>
    <w:link w:val="L1-FlLSp12"/>
    <w:uiPriority w:val="99"/>
    <w:locked/>
    <w:rsid w:val="00762719"/>
    <w:rPr>
      <w:rFonts w:ascii="Garamond" w:hAnsi="Garamond"/>
      <w:sz w:val="24"/>
    </w:rPr>
  </w:style>
  <w:style w:type="paragraph" w:customStyle="1" w:styleId="L1-FlLSp12">
    <w:name w:val="L1-FlL Sp&amp;1/2"/>
    <w:basedOn w:val="Normal"/>
    <w:link w:val="L1-FlLSp12Char"/>
    <w:uiPriority w:val="99"/>
    <w:rsid w:val="00762719"/>
    <w:pPr>
      <w:tabs>
        <w:tab w:val="left" w:pos="1152"/>
      </w:tabs>
      <w:spacing w:line="360" w:lineRule="atLeast"/>
    </w:pPr>
    <w:rPr>
      <w:rFonts w:ascii="Garamond" w:hAnsi="Garamond"/>
      <w:sz w:val="24"/>
    </w:rPr>
  </w:style>
  <w:style w:type="paragraph" w:customStyle="1" w:styleId="TX-TableText">
    <w:name w:val="TX-Table Text"/>
    <w:basedOn w:val="Normal"/>
    <w:uiPriority w:val="99"/>
    <w:rsid w:val="00762719"/>
    <w:pPr>
      <w:spacing w:line="240" w:lineRule="atLeast"/>
    </w:pPr>
    <w:rPr>
      <w:rFonts w:ascii="Franklin Gothic Medium" w:eastAsia="MS Mincho" w:hAnsi="Franklin Gothic Mediu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uiPriority w:val="99"/>
    <w:rsid w:val="004419C7"/>
    <w:pPr>
      <w:tabs>
        <w:tab w:val="center" w:pos="4680"/>
        <w:tab w:val="right" w:pos="9360"/>
      </w:tabs>
    </w:pPr>
  </w:style>
  <w:style w:type="character" w:customStyle="1" w:styleId="FooterChar">
    <w:name w:val="Footer Char"/>
    <w:link w:val="Footer"/>
    <w:uiPriority w:val="99"/>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 w:type="paragraph" w:styleId="PlainText">
    <w:name w:val="Plain Text"/>
    <w:basedOn w:val="Normal"/>
    <w:link w:val="PlainTextChar"/>
    <w:uiPriority w:val="99"/>
    <w:unhideWhenUsed/>
    <w:rsid w:val="007F2AE3"/>
    <w:rPr>
      <w:rFonts w:eastAsia="MS Mincho"/>
      <w:lang w:eastAsia="ja-JP"/>
    </w:rPr>
  </w:style>
  <w:style w:type="character" w:customStyle="1" w:styleId="PlainTextChar">
    <w:name w:val="Plain Text Char"/>
    <w:basedOn w:val="DefaultParagraphFont"/>
    <w:link w:val="PlainText"/>
    <w:uiPriority w:val="99"/>
    <w:rsid w:val="007F2AE3"/>
    <w:rPr>
      <w:rFonts w:ascii="Courier New" w:eastAsia="MS Mincho" w:hAnsi="Courier New"/>
      <w:lang w:eastAsia="ja-JP"/>
    </w:rPr>
  </w:style>
  <w:style w:type="character" w:customStyle="1" w:styleId="L1-FlLSp12Char">
    <w:name w:val="L1-FlL Sp&amp;1/2 Char"/>
    <w:link w:val="L1-FlLSp12"/>
    <w:uiPriority w:val="99"/>
    <w:locked/>
    <w:rsid w:val="00762719"/>
    <w:rPr>
      <w:rFonts w:ascii="Garamond" w:hAnsi="Garamond"/>
      <w:sz w:val="24"/>
    </w:rPr>
  </w:style>
  <w:style w:type="paragraph" w:customStyle="1" w:styleId="L1-FlLSp12">
    <w:name w:val="L1-FlL Sp&amp;1/2"/>
    <w:basedOn w:val="Normal"/>
    <w:link w:val="L1-FlLSp12Char"/>
    <w:uiPriority w:val="99"/>
    <w:rsid w:val="00762719"/>
    <w:pPr>
      <w:tabs>
        <w:tab w:val="left" w:pos="1152"/>
      </w:tabs>
      <w:spacing w:line="360" w:lineRule="atLeast"/>
    </w:pPr>
    <w:rPr>
      <w:rFonts w:ascii="Garamond" w:hAnsi="Garamond"/>
      <w:sz w:val="24"/>
    </w:rPr>
  </w:style>
  <w:style w:type="paragraph" w:customStyle="1" w:styleId="TX-TableText">
    <w:name w:val="TX-Table Text"/>
    <w:basedOn w:val="Normal"/>
    <w:uiPriority w:val="99"/>
    <w:rsid w:val="00762719"/>
    <w:pPr>
      <w:spacing w:line="240" w:lineRule="atLeast"/>
    </w:pPr>
    <w:rPr>
      <w:rFonts w:ascii="Franklin Gothic Medium" w:eastAsia="MS Mincho" w:hAnsi="Franklin Gothic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83532">
      <w:bodyDiv w:val="1"/>
      <w:marLeft w:val="0"/>
      <w:marRight w:val="0"/>
      <w:marTop w:val="0"/>
      <w:marBottom w:val="0"/>
      <w:divBdr>
        <w:top w:val="none" w:sz="0" w:space="0" w:color="auto"/>
        <w:left w:val="none" w:sz="0" w:space="0" w:color="auto"/>
        <w:bottom w:val="none" w:sz="0" w:space="0" w:color="auto"/>
        <w:right w:val="none" w:sz="0" w:space="0" w:color="auto"/>
      </w:divBdr>
    </w:div>
    <w:div w:id="241986112">
      <w:bodyDiv w:val="1"/>
      <w:marLeft w:val="0"/>
      <w:marRight w:val="0"/>
      <w:marTop w:val="0"/>
      <w:marBottom w:val="0"/>
      <w:divBdr>
        <w:top w:val="none" w:sz="0" w:space="0" w:color="auto"/>
        <w:left w:val="none" w:sz="0" w:space="0" w:color="auto"/>
        <w:bottom w:val="none" w:sz="0" w:space="0" w:color="auto"/>
        <w:right w:val="none" w:sz="0" w:space="0" w:color="auto"/>
      </w:divBdr>
    </w:div>
    <w:div w:id="271212678">
      <w:bodyDiv w:val="1"/>
      <w:marLeft w:val="0"/>
      <w:marRight w:val="0"/>
      <w:marTop w:val="0"/>
      <w:marBottom w:val="0"/>
      <w:divBdr>
        <w:top w:val="none" w:sz="0" w:space="0" w:color="auto"/>
        <w:left w:val="none" w:sz="0" w:space="0" w:color="auto"/>
        <w:bottom w:val="none" w:sz="0" w:space="0" w:color="auto"/>
        <w:right w:val="none" w:sz="0" w:space="0" w:color="auto"/>
      </w:divBdr>
    </w:div>
    <w:div w:id="366294829">
      <w:bodyDiv w:val="1"/>
      <w:marLeft w:val="0"/>
      <w:marRight w:val="0"/>
      <w:marTop w:val="0"/>
      <w:marBottom w:val="0"/>
      <w:divBdr>
        <w:top w:val="none" w:sz="0" w:space="0" w:color="auto"/>
        <w:left w:val="none" w:sz="0" w:space="0" w:color="auto"/>
        <w:bottom w:val="none" w:sz="0" w:space="0" w:color="auto"/>
        <w:right w:val="none" w:sz="0" w:space="0" w:color="auto"/>
      </w:divBdr>
    </w:div>
    <w:div w:id="416367157">
      <w:bodyDiv w:val="1"/>
      <w:marLeft w:val="0"/>
      <w:marRight w:val="0"/>
      <w:marTop w:val="0"/>
      <w:marBottom w:val="0"/>
      <w:divBdr>
        <w:top w:val="none" w:sz="0" w:space="0" w:color="auto"/>
        <w:left w:val="none" w:sz="0" w:space="0" w:color="auto"/>
        <w:bottom w:val="none" w:sz="0" w:space="0" w:color="auto"/>
        <w:right w:val="none" w:sz="0" w:space="0" w:color="auto"/>
      </w:divBdr>
    </w:div>
    <w:div w:id="550389879">
      <w:bodyDiv w:val="1"/>
      <w:marLeft w:val="0"/>
      <w:marRight w:val="0"/>
      <w:marTop w:val="0"/>
      <w:marBottom w:val="0"/>
      <w:divBdr>
        <w:top w:val="none" w:sz="0" w:space="0" w:color="auto"/>
        <w:left w:val="none" w:sz="0" w:space="0" w:color="auto"/>
        <w:bottom w:val="none" w:sz="0" w:space="0" w:color="auto"/>
        <w:right w:val="none" w:sz="0" w:space="0" w:color="auto"/>
      </w:divBdr>
    </w:div>
    <w:div w:id="708532178">
      <w:bodyDiv w:val="1"/>
      <w:marLeft w:val="0"/>
      <w:marRight w:val="0"/>
      <w:marTop w:val="0"/>
      <w:marBottom w:val="0"/>
      <w:divBdr>
        <w:top w:val="none" w:sz="0" w:space="0" w:color="auto"/>
        <w:left w:val="none" w:sz="0" w:space="0" w:color="auto"/>
        <w:bottom w:val="none" w:sz="0" w:space="0" w:color="auto"/>
        <w:right w:val="none" w:sz="0" w:space="0" w:color="auto"/>
      </w:divBdr>
    </w:div>
    <w:div w:id="784890930">
      <w:bodyDiv w:val="1"/>
      <w:marLeft w:val="0"/>
      <w:marRight w:val="0"/>
      <w:marTop w:val="0"/>
      <w:marBottom w:val="0"/>
      <w:divBdr>
        <w:top w:val="none" w:sz="0" w:space="0" w:color="auto"/>
        <w:left w:val="none" w:sz="0" w:space="0" w:color="auto"/>
        <w:bottom w:val="none" w:sz="0" w:space="0" w:color="auto"/>
        <w:right w:val="none" w:sz="0" w:space="0" w:color="auto"/>
      </w:divBdr>
    </w:div>
    <w:div w:id="884757899">
      <w:bodyDiv w:val="1"/>
      <w:marLeft w:val="0"/>
      <w:marRight w:val="0"/>
      <w:marTop w:val="0"/>
      <w:marBottom w:val="0"/>
      <w:divBdr>
        <w:top w:val="none" w:sz="0" w:space="0" w:color="auto"/>
        <w:left w:val="none" w:sz="0" w:space="0" w:color="auto"/>
        <w:bottom w:val="none" w:sz="0" w:space="0" w:color="auto"/>
        <w:right w:val="none" w:sz="0" w:space="0" w:color="auto"/>
      </w:divBdr>
    </w:div>
    <w:div w:id="943458390">
      <w:bodyDiv w:val="1"/>
      <w:marLeft w:val="0"/>
      <w:marRight w:val="0"/>
      <w:marTop w:val="0"/>
      <w:marBottom w:val="0"/>
      <w:divBdr>
        <w:top w:val="none" w:sz="0" w:space="0" w:color="auto"/>
        <w:left w:val="none" w:sz="0" w:space="0" w:color="auto"/>
        <w:bottom w:val="none" w:sz="0" w:space="0" w:color="auto"/>
        <w:right w:val="none" w:sz="0" w:space="0" w:color="auto"/>
      </w:divBdr>
    </w:div>
    <w:div w:id="1000699270">
      <w:bodyDiv w:val="1"/>
      <w:marLeft w:val="0"/>
      <w:marRight w:val="0"/>
      <w:marTop w:val="0"/>
      <w:marBottom w:val="0"/>
      <w:divBdr>
        <w:top w:val="none" w:sz="0" w:space="0" w:color="auto"/>
        <w:left w:val="none" w:sz="0" w:space="0" w:color="auto"/>
        <w:bottom w:val="none" w:sz="0" w:space="0" w:color="auto"/>
        <w:right w:val="none" w:sz="0" w:space="0" w:color="auto"/>
      </w:divBdr>
    </w:div>
    <w:div w:id="1095596379">
      <w:bodyDiv w:val="1"/>
      <w:marLeft w:val="0"/>
      <w:marRight w:val="0"/>
      <w:marTop w:val="0"/>
      <w:marBottom w:val="0"/>
      <w:divBdr>
        <w:top w:val="none" w:sz="0" w:space="0" w:color="auto"/>
        <w:left w:val="none" w:sz="0" w:space="0" w:color="auto"/>
        <w:bottom w:val="none" w:sz="0" w:space="0" w:color="auto"/>
        <w:right w:val="none" w:sz="0" w:space="0" w:color="auto"/>
      </w:divBdr>
    </w:div>
    <w:div w:id="1162089073">
      <w:bodyDiv w:val="1"/>
      <w:marLeft w:val="0"/>
      <w:marRight w:val="0"/>
      <w:marTop w:val="0"/>
      <w:marBottom w:val="0"/>
      <w:divBdr>
        <w:top w:val="none" w:sz="0" w:space="0" w:color="auto"/>
        <w:left w:val="none" w:sz="0" w:space="0" w:color="auto"/>
        <w:bottom w:val="none" w:sz="0" w:space="0" w:color="auto"/>
        <w:right w:val="none" w:sz="0" w:space="0" w:color="auto"/>
      </w:divBdr>
    </w:div>
    <w:div w:id="1233584255">
      <w:bodyDiv w:val="1"/>
      <w:marLeft w:val="0"/>
      <w:marRight w:val="0"/>
      <w:marTop w:val="0"/>
      <w:marBottom w:val="0"/>
      <w:divBdr>
        <w:top w:val="none" w:sz="0" w:space="0" w:color="auto"/>
        <w:left w:val="none" w:sz="0" w:space="0" w:color="auto"/>
        <w:bottom w:val="none" w:sz="0" w:space="0" w:color="auto"/>
        <w:right w:val="none" w:sz="0" w:space="0" w:color="auto"/>
      </w:divBdr>
    </w:div>
    <w:div w:id="1245802986">
      <w:bodyDiv w:val="1"/>
      <w:marLeft w:val="0"/>
      <w:marRight w:val="0"/>
      <w:marTop w:val="0"/>
      <w:marBottom w:val="0"/>
      <w:divBdr>
        <w:top w:val="none" w:sz="0" w:space="0" w:color="auto"/>
        <w:left w:val="none" w:sz="0" w:space="0" w:color="auto"/>
        <w:bottom w:val="none" w:sz="0" w:space="0" w:color="auto"/>
        <w:right w:val="none" w:sz="0" w:space="0" w:color="auto"/>
      </w:divBdr>
    </w:div>
    <w:div w:id="1303003297">
      <w:bodyDiv w:val="1"/>
      <w:marLeft w:val="0"/>
      <w:marRight w:val="0"/>
      <w:marTop w:val="0"/>
      <w:marBottom w:val="0"/>
      <w:divBdr>
        <w:top w:val="none" w:sz="0" w:space="0" w:color="auto"/>
        <w:left w:val="none" w:sz="0" w:space="0" w:color="auto"/>
        <w:bottom w:val="none" w:sz="0" w:space="0" w:color="auto"/>
        <w:right w:val="none" w:sz="0" w:space="0" w:color="auto"/>
      </w:divBdr>
    </w:div>
    <w:div w:id="1366711847">
      <w:bodyDiv w:val="1"/>
      <w:marLeft w:val="0"/>
      <w:marRight w:val="0"/>
      <w:marTop w:val="0"/>
      <w:marBottom w:val="0"/>
      <w:divBdr>
        <w:top w:val="none" w:sz="0" w:space="0" w:color="auto"/>
        <w:left w:val="none" w:sz="0" w:space="0" w:color="auto"/>
        <w:bottom w:val="none" w:sz="0" w:space="0" w:color="auto"/>
        <w:right w:val="none" w:sz="0" w:space="0" w:color="auto"/>
      </w:divBdr>
    </w:div>
    <w:div w:id="1454640008">
      <w:bodyDiv w:val="1"/>
      <w:marLeft w:val="0"/>
      <w:marRight w:val="0"/>
      <w:marTop w:val="0"/>
      <w:marBottom w:val="0"/>
      <w:divBdr>
        <w:top w:val="none" w:sz="0" w:space="0" w:color="auto"/>
        <w:left w:val="none" w:sz="0" w:space="0" w:color="auto"/>
        <w:bottom w:val="none" w:sz="0" w:space="0" w:color="auto"/>
        <w:right w:val="none" w:sz="0" w:space="0" w:color="auto"/>
      </w:divBdr>
    </w:div>
    <w:div w:id="1552813386">
      <w:bodyDiv w:val="1"/>
      <w:marLeft w:val="0"/>
      <w:marRight w:val="0"/>
      <w:marTop w:val="0"/>
      <w:marBottom w:val="0"/>
      <w:divBdr>
        <w:top w:val="none" w:sz="0" w:space="0" w:color="auto"/>
        <w:left w:val="none" w:sz="0" w:space="0" w:color="auto"/>
        <w:bottom w:val="none" w:sz="0" w:space="0" w:color="auto"/>
        <w:right w:val="none" w:sz="0" w:space="0" w:color="auto"/>
      </w:divBdr>
    </w:div>
    <w:div w:id="1601841037">
      <w:bodyDiv w:val="1"/>
      <w:marLeft w:val="0"/>
      <w:marRight w:val="0"/>
      <w:marTop w:val="0"/>
      <w:marBottom w:val="0"/>
      <w:divBdr>
        <w:top w:val="none" w:sz="0" w:space="0" w:color="auto"/>
        <w:left w:val="none" w:sz="0" w:space="0" w:color="auto"/>
        <w:bottom w:val="none" w:sz="0" w:space="0" w:color="auto"/>
        <w:right w:val="none" w:sz="0" w:space="0" w:color="auto"/>
      </w:divBdr>
    </w:div>
    <w:div w:id="1644894547">
      <w:bodyDiv w:val="1"/>
      <w:marLeft w:val="0"/>
      <w:marRight w:val="0"/>
      <w:marTop w:val="0"/>
      <w:marBottom w:val="0"/>
      <w:divBdr>
        <w:top w:val="none" w:sz="0" w:space="0" w:color="auto"/>
        <w:left w:val="none" w:sz="0" w:space="0" w:color="auto"/>
        <w:bottom w:val="none" w:sz="0" w:space="0" w:color="auto"/>
        <w:right w:val="none" w:sz="0" w:space="0" w:color="auto"/>
      </w:divBdr>
    </w:div>
    <w:div w:id="1720400079">
      <w:bodyDiv w:val="1"/>
      <w:marLeft w:val="0"/>
      <w:marRight w:val="0"/>
      <w:marTop w:val="0"/>
      <w:marBottom w:val="0"/>
      <w:divBdr>
        <w:top w:val="none" w:sz="0" w:space="0" w:color="auto"/>
        <w:left w:val="none" w:sz="0" w:space="0" w:color="auto"/>
        <w:bottom w:val="none" w:sz="0" w:space="0" w:color="auto"/>
        <w:right w:val="none" w:sz="0" w:space="0" w:color="auto"/>
      </w:divBdr>
    </w:div>
    <w:div w:id="1724022526">
      <w:bodyDiv w:val="1"/>
      <w:marLeft w:val="0"/>
      <w:marRight w:val="0"/>
      <w:marTop w:val="0"/>
      <w:marBottom w:val="0"/>
      <w:divBdr>
        <w:top w:val="none" w:sz="0" w:space="0" w:color="auto"/>
        <w:left w:val="none" w:sz="0" w:space="0" w:color="auto"/>
        <w:bottom w:val="none" w:sz="0" w:space="0" w:color="auto"/>
        <w:right w:val="none" w:sz="0" w:space="0" w:color="auto"/>
      </w:divBdr>
    </w:div>
    <w:div w:id="1790004452">
      <w:bodyDiv w:val="1"/>
      <w:marLeft w:val="0"/>
      <w:marRight w:val="0"/>
      <w:marTop w:val="0"/>
      <w:marBottom w:val="0"/>
      <w:divBdr>
        <w:top w:val="none" w:sz="0" w:space="0" w:color="auto"/>
        <w:left w:val="none" w:sz="0" w:space="0" w:color="auto"/>
        <w:bottom w:val="none" w:sz="0" w:space="0" w:color="auto"/>
        <w:right w:val="none" w:sz="0" w:space="0" w:color="auto"/>
      </w:divBdr>
    </w:div>
    <w:div w:id="1790588912">
      <w:bodyDiv w:val="1"/>
      <w:marLeft w:val="0"/>
      <w:marRight w:val="0"/>
      <w:marTop w:val="0"/>
      <w:marBottom w:val="0"/>
      <w:divBdr>
        <w:top w:val="none" w:sz="0" w:space="0" w:color="auto"/>
        <w:left w:val="none" w:sz="0" w:space="0" w:color="auto"/>
        <w:bottom w:val="none" w:sz="0" w:space="0" w:color="auto"/>
        <w:right w:val="none" w:sz="0" w:space="0" w:color="auto"/>
      </w:divBdr>
    </w:div>
    <w:div w:id="1830048926">
      <w:bodyDiv w:val="1"/>
      <w:marLeft w:val="0"/>
      <w:marRight w:val="0"/>
      <w:marTop w:val="0"/>
      <w:marBottom w:val="0"/>
      <w:divBdr>
        <w:top w:val="none" w:sz="0" w:space="0" w:color="auto"/>
        <w:left w:val="none" w:sz="0" w:space="0" w:color="auto"/>
        <w:bottom w:val="none" w:sz="0" w:space="0" w:color="auto"/>
        <w:right w:val="none" w:sz="0" w:space="0" w:color="auto"/>
      </w:divBdr>
    </w:div>
    <w:div w:id="1881236906">
      <w:bodyDiv w:val="1"/>
      <w:marLeft w:val="0"/>
      <w:marRight w:val="0"/>
      <w:marTop w:val="0"/>
      <w:marBottom w:val="0"/>
      <w:divBdr>
        <w:top w:val="none" w:sz="0" w:space="0" w:color="auto"/>
        <w:left w:val="none" w:sz="0" w:space="0" w:color="auto"/>
        <w:bottom w:val="none" w:sz="0" w:space="0" w:color="auto"/>
        <w:right w:val="none" w:sz="0" w:space="0" w:color="auto"/>
      </w:divBdr>
    </w:div>
    <w:div w:id="1970699141">
      <w:bodyDiv w:val="1"/>
      <w:marLeft w:val="0"/>
      <w:marRight w:val="0"/>
      <w:marTop w:val="0"/>
      <w:marBottom w:val="0"/>
      <w:divBdr>
        <w:top w:val="none" w:sz="0" w:space="0" w:color="auto"/>
        <w:left w:val="none" w:sz="0" w:space="0" w:color="auto"/>
        <w:bottom w:val="none" w:sz="0" w:space="0" w:color="auto"/>
        <w:right w:val="none" w:sz="0" w:space="0" w:color="auto"/>
      </w:divBdr>
    </w:div>
    <w:div w:id="19987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3187</Words>
  <Characters>18166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21311</CharactersWithSpaces>
  <SharedDoc>false</SharedDoc>
  <HLinks>
    <vt:vector size="12" baseType="variant">
      <vt:variant>
        <vt:i4>4259846</vt:i4>
      </vt:variant>
      <vt:variant>
        <vt:i4>3</vt:i4>
      </vt:variant>
      <vt:variant>
        <vt:i4>0</vt:i4>
      </vt:variant>
      <vt:variant>
        <vt:i4>5</vt:i4>
      </vt:variant>
      <vt:variant>
        <vt:lpwstr>https://www.opm.gov/policy-data-oversight/pay-leave/salaries-wages/2016/general-schedule/</vt:lpwstr>
      </vt:variant>
      <vt:variant>
        <vt:lpwstr/>
      </vt: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Department of Veterans Affairs</cp:lastModifiedBy>
  <cp:revision>3</cp:revision>
  <cp:lastPrinted>2010-06-09T15:21:00Z</cp:lastPrinted>
  <dcterms:created xsi:type="dcterms:W3CDTF">2017-06-02T13:50:00Z</dcterms:created>
  <dcterms:modified xsi:type="dcterms:W3CDTF">2017-06-02T13:52:00Z</dcterms:modified>
</cp:coreProperties>
</file>