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51" w:rsidRPr="0073488E" w:rsidRDefault="00E607ED" w:rsidP="00C26A51">
      <w:pPr>
        <w:jc w:val="center"/>
        <w:textAlignment w:val="baseline"/>
        <w:rPr>
          <w:rFonts w:ascii="Arial" w:eastAsia="Arial" w:hAnsi="Arial"/>
          <w:b/>
          <w:color w:val="000000" w:themeColor="text1"/>
          <w:sz w:val="27"/>
        </w:rPr>
      </w:pPr>
      <w:bookmarkStart w:id="0" w:name="_GoBack"/>
      <w:bookmarkEnd w:id="0"/>
      <w:r w:rsidRPr="0073488E">
        <w:rPr>
          <w:rFonts w:ascii="Arial" w:eastAsia="Arial" w:hAnsi="Arial"/>
          <w:b/>
          <w:color w:val="000000" w:themeColor="text1"/>
          <w:sz w:val="27"/>
        </w:rPr>
        <w:t>Supporting Statement for Paperwork Reduction Act Submissions</w:t>
      </w:r>
    </w:p>
    <w:p w:rsidR="00C26A51" w:rsidRPr="0073488E" w:rsidRDefault="00C26A51" w:rsidP="00C26A51">
      <w:pPr>
        <w:ind w:right="24"/>
        <w:jc w:val="center"/>
        <w:textAlignment w:val="baseline"/>
        <w:rPr>
          <w:rFonts w:ascii="Arial" w:eastAsia="Arial" w:hAnsi="Arial"/>
          <w:b/>
          <w:color w:val="000000" w:themeColor="text1"/>
          <w:sz w:val="27"/>
        </w:rPr>
      </w:pPr>
    </w:p>
    <w:p w:rsidR="00981D51" w:rsidRPr="0073488E" w:rsidRDefault="00D842EE" w:rsidP="00C26A51">
      <w:pPr>
        <w:ind w:right="24"/>
        <w:jc w:val="center"/>
        <w:textAlignment w:val="baseline"/>
        <w:rPr>
          <w:rFonts w:ascii="Arial" w:eastAsia="Arial" w:hAnsi="Arial"/>
          <w:b/>
          <w:color w:val="000000" w:themeColor="text1"/>
          <w:sz w:val="27"/>
        </w:rPr>
      </w:pPr>
      <w:r w:rsidRPr="0073488E">
        <w:rPr>
          <w:rFonts w:ascii="Arial" w:eastAsia="Arial" w:hAnsi="Arial"/>
          <w:b/>
          <w:color w:val="000000" w:themeColor="text1"/>
          <w:sz w:val="27"/>
        </w:rPr>
        <w:t>Continuation Of Interest Reduction Payments After Refinancing Of Section 236 Projects</w:t>
      </w:r>
    </w:p>
    <w:p w:rsidR="0054773A" w:rsidRPr="0073488E" w:rsidRDefault="0054773A" w:rsidP="00C26A51">
      <w:pPr>
        <w:ind w:right="24"/>
        <w:jc w:val="center"/>
        <w:textAlignment w:val="baseline"/>
        <w:rPr>
          <w:rFonts w:ascii="Arial" w:eastAsia="Arial" w:hAnsi="Arial"/>
          <w:b/>
          <w:color w:val="000000" w:themeColor="text1"/>
          <w:sz w:val="27"/>
        </w:rPr>
      </w:pPr>
    </w:p>
    <w:p w:rsidR="00981D51" w:rsidRPr="0073488E" w:rsidRDefault="00E607ED" w:rsidP="00C26A51">
      <w:pPr>
        <w:jc w:val="center"/>
        <w:textAlignment w:val="baseline"/>
        <w:rPr>
          <w:rFonts w:ascii="Arial" w:eastAsia="Arial" w:hAnsi="Arial"/>
          <w:b/>
          <w:color w:val="000000" w:themeColor="text1"/>
          <w:sz w:val="27"/>
        </w:rPr>
      </w:pPr>
      <w:r w:rsidRPr="0073488E">
        <w:rPr>
          <w:rFonts w:ascii="Arial" w:eastAsia="Arial" w:hAnsi="Arial"/>
          <w:b/>
          <w:color w:val="000000" w:themeColor="text1"/>
          <w:sz w:val="27"/>
        </w:rPr>
        <w:t xml:space="preserve">OMB </w:t>
      </w:r>
      <w:r w:rsidR="000809CC" w:rsidRPr="0073488E">
        <w:rPr>
          <w:rFonts w:ascii="Arial" w:eastAsia="Arial" w:hAnsi="Arial"/>
          <w:b/>
          <w:color w:val="000000" w:themeColor="text1"/>
          <w:sz w:val="27"/>
        </w:rPr>
        <w:t xml:space="preserve">Control Number:  </w:t>
      </w:r>
      <w:r w:rsidRPr="0073488E">
        <w:rPr>
          <w:rFonts w:ascii="Arial" w:eastAsia="Arial" w:hAnsi="Arial"/>
          <w:b/>
          <w:color w:val="000000" w:themeColor="text1"/>
          <w:sz w:val="27"/>
        </w:rPr>
        <w:t>2502-0572</w:t>
      </w:r>
      <w:r w:rsidR="000809CC" w:rsidRPr="0073488E">
        <w:rPr>
          <w:rFonts w:ascii="Arial" w:eastAsia="Arial" w:hAnsi="Arial"/>
          <w:b/>
          <w:color w:val="000000" w:themeColor="text1"/>
          <w:sz w:val="27"/>
        </w:rPr>
        <w:br/>
        <w:t>(HUD-93173, HUD-93174, HUD-93175, HUD-93176)</w:t>
      </w:r>
    </w:p>
    <w:p w:rsidR="00C26A51" w:rsidRPr="0073488E" w:rsidRDefault="00C26A51" w:rsidP="00C26A51">
      <w:pPr>
        <w:ind w:left="360"/>
        <w:textAlignment w:val="baseline"/>
        <w:rPr>
          <w:rFonts w:eastAsia="Times New Roman"/>
          <w:b/>
          <w:color w:val="000000" w:themeColor="text1"/>
          <w:spacing w:val="6"/>
          <w:sz w:val="21"/>
        </w:rPr>
      </w:pPr>
    </w:p>
    <w:p w:rsidR="00C26A51" w:rsidRPr="0073488E" w:rsidRDefault="00C26A51" w:rsidP="00C26A51">
      <w:pPr>
        <w:ind w:left="360"/>
        <w:textAlignment w:val="baseline"/>
        <w:rPr>
          <w:rFonts w:eastAsia="Times New Roman"/>
          <w:b/>
          <w:color w:val="000000" w:themeColor="text1"/>
          <w:spacing w:val="6"/>
          <w:sz w:val="21"/>
        </w:rPr>
      </w:pPr>
    </w:p>
    <w:p w:rsidR="00981D51" w:rsidRPr="0073488E" w:rsidRDefault="00E607ED" w:rsidP="00C26A51">
      <w:pPr>
        <w:textAlignment w:val="baseline"/>
        <w:rPr>
          <w:rFonts w:ascii="Arial" w:eastAsia="Arial" w:hAnsi="Arial"/>
          <w:b/>
          <w:color w:val="000000" w:themeColor="text1"/>
          <w:spacing w:val="7"/>
          <w:sz w:val="19"/>
        </w:rPr>
      </w:pPr>
      <w:r w:rsidRPr="0073488E">
        <w:rPr>
          <w:rFonts w:ascii="Arial" w:eastAsia="Arial" w:hAnsi="Arial"/>
          <w:b/>
          <w:color w:val="000000" w:themeColor="text1"/>
          <w:spacing w:val="7"/>
          <w:sz w:val="19"/>
        </w:rPr>
        <w:t>A. Justification</w:t>
      </w:r>
    </w:p>
    <w:p w:rsidR="00981D51" w:rsidRPr="0073488E" w:rsidRDefault="00E607ED">
      <w:pPr>
        <w:spacing w:before="266" w:line="238" w:lineRule="exact"/>
        <w:ind w:left="360" w:right="288"/>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1D51" w:rsidRPr="0073488E" w:rsidRDefault="0054773A">
      <w:pPr>
        <w:tabs>
          <w:tab w:val="decimal" w:pos="144"/>
          <w:tab w:val="left" w:pos="360"/>
        </w:tabs>
        <w:spacing w:before="292" w:line="268" w:lineRule="exact"/>
        <w:textAlignment w:val="baseline"/>
        <w:rPr>
          <w:rFonts w:eastAsia="Times New Roman"/>
          <w:color w:val="000000" w:themeColor="text1"/>
          <w:sz w:val="23"/>
        </w:rPr>
      </w:pPr>
      <w:r w:rsidRPr="0073488E">
        <w:rPr>
          <w:rFonts w:eastAsia="Times New Roman"/>
          <w:color w:val="000000" w:themeColor="text1"/>
          <w:sz w:val="23"/>
        </w:rPr>
        <w:tab/>
      </w:r>
      <w:r w:rsidRPr="0073488E">
        <w:rPr>
          <w:rFonts w:eastAsia="Times New Roman"/>
          <w:color w:val="000000" w:themeColor="text1"/>
          <w:sz w:val="23"/>
        </w:rPr>
        <w:tab/>
      </w:r>
      <w:r w:rsidR="00E607ED" w:rsidRPr="0073488E">
        <w:rPr>
          <w:rFonts w:eastAsia="Times New Roman"/>
          <w:color w:val="000000" w:themeColor="text1"/>
          <w:sz w:val="23"/>
        </w:rPr>
        <w:t>Section 532 of the Department of Veterans Affairs and Housing and Urban Development,</w:t>
      </w:r>
    </w:p>
    <w:p w:rsidR="00981D51" w:rsidRPr="0073488E" w:rsidRDefault="00E607ED">
      <w:pPr>
        <w:spacing w:line="267" w:lineRule="exact"/>
        <w:ind w:left="360" w:right="72"/>
        <w:textAlignment w:val="baseline"/>
        <w:rPr>
          <w:rFonts w:eastAsia="Times New Roman"/>
          <w:color w:val="000000" w:themeColor="text1"/>
          <w:sz w:val="23"/>
        </w:rPr>
      </w:pPr>
      <w:r w:rsidRPr="0073488E">
        <w:rPr>
          <w:rFonts w:eastAsia="Times New Roman"/>
          <w:color w:val="000000" w:themeColor="text1"/>
          <w:sz w:val="23"/>
        </w:rPr>
        <w:t>Independent Agencies Appropriations Act, 2000 (Public Law 106-74) established Section 236(e)(2) which authorizes the Secretary, under certain terms and conditions to provide for the continuation of Interest Reduction Payments (IRP) after the prepayment of a Section 236 mortgage. This section also established Section 236(b) which provides for IRP payments with respect to projects financed under State or local programs.</w:t>
      </w:r>
    </w:p>
    <w:p w:rsidR="00981D51" w:rsidRPr="0073488E" w:rsidRDefault="00E607ED">
      <w:pPr>
        <w:spacing w:before="255" w:line="238" w:lineRule="exact"/>
        <w:ind w:left="360"/>
        <w:textAlignment w:val="baseline"/>
        <w:rPr>
          <w:rFonts w:ascii="Calibri" w:eastAsia="Calibri" w:hAnsi="Calibri"/>
          <w:b/>
          <w:color w:val="000000" w:themeColor="text1"/>
          <w:spacing w:val="-3"/>
          <w:sz w:val="20"/>
        </w:rPr>
      </w:pPr>
      <w:r w:rsidRPr="0073488E">
        <w:rPr>
          <w:rFonts w:ascii="Calibri" w:eastAsia="Calibri" w:hAnsi="Calibri"/>
          <w:b/>
          <w:color w:val="000000" w:themeColor="text1"/>
          <w:spacing w:val="-3"/>
          <w:sz w:val="20"/>
        </w:rPr>
        <w:t>2. Indicate how, by whom, and for what purpose the information is to be used. Except for a new collection, indicate the actual use the agency has made of the information received from the current collection.</w:t>
      </w:r>
    </w:p>
    <w:p w:rsidR="00981D51" w:rsidRPr="0073488E" w:rsidRDefault="0054773A">
      <w:pPr>
        <w:tabs>
          <w:tab w:val="decimal" w:pos="144"/>
          <w:tab w:val="left" w:pos="360"/>
        </w:tabs>
        <w:spacing w:before="292" w:line="268" w:lineRule="exact"/>
        <w:textAlignment w:val="baseline"/>
        <w:rPr>
          <w:rFonts w:eastAsia="Times New Roman"/>
          <w:color w:val="000000" w:themeColor="text1"/>
          <w:sz w:val="23"/>
        </w:rPr>
      </w:pPr>
      <w:r w:rsidRPr="0073488E">
        <w:rPr>
          <w:rFonts w:eastAsia="Times New Roman"/>
          <w:color w:val="000000" w:themeColor="text1"/>
          <w:sz w:val="23"/>
        </w:rPr>
        <w:tab/>
      </w:r>
      <w:r w:rsidRPr="0073488E">
        <w:rPr>
          <w:rFonts w:eastAsia="Times New Roman"/>
          <w:color w:val="000000" w:themeColor="text1"/>
          <w:sz w:val="23"/>
        </w:rPr>
        <w:tab/>
      </w:r>
      <w:r w:rsidR="00E607ED" w:rsidRPr="0073488E">
        <w:rPr>
          <w:rFonts w:eastAsia="Times New Roman"/>
          <w:color w:val="000000" w:themeColor="text1"/>
          <w:sz w:val="23"/>
        </w:rPr>
        <w:t>Owners of Section 236 projects that prepay their mortgages may request continuation of IRP</w:t>
      </w:r>
    </w:p>
    <w:p w:rsidR="00981D51" w:rsidRPr="0073488E" w:rsidRDefault="00E607ED">
      <w:pPr>
        <w:spacing w:before="3" w:line="268" w:lineRule="exact"/>
        <w:ind w:left="360" w:right="288"/>
        <w:textAlignment w:val="baseline"/>
        <w:rPr>
          <w:rFonts w:eastAsia="Times New Roman"/>
          <w:color w:val="000000" w:themeColor="text1"/>
          <w:sz w:val="23"/>
        </w:rPr>
      </w:pPr>
      <w:r w:rsidRPr="0073488E">
        <w:rPr>
          <w:rFonts w:eastAsia="Times New Roman"/>
          <w:color w:val="000000" w:themeColor="text1"/>
          <w:sz w:val="23"/>
        </w:rPr>
        <w:t>under one of two options, Section 236(e)(2) or Section 236(b). HUD uses the information provided to ensure that owners agree to maintain the projects as low-income housing resources through the various applicable agreements:</w:t>
      </w:r>
    </w:p>
    <w:p w:rsidR="00981D51" w:rsidRPr="0073488E" w:rsidRDefault="00E607ED">
      <w:pPr>
        <w:numPr>
          <w:ilvl w:val="0"/>
          <w:numId w:val="1"/>
        </w:numPr>
        <w:tabs>
          <w:tab w:val="clear" w:pos="360"/>
          <w:tab w:val="left" w:pos="1080"/>
        </w:tabs>
        <w:spacing w:before="293" w:line="268" w:lineRule="exact"/>
        <w:textAlignment w:val="baseline"/>
        <w:rPr>
          <w:rFonts w:eastAsia="Times New Roman"/>
          <w:color w:val="000000" w:themeColor="text1"/>
          <w:spacing w:val="1"/>
          <w:sz w:val="23"/>
        </w:rPr>
      </w:pPr>
      <w:r w:rsidRPr="0073488E">
        <w:rPr>
          <w:rFonts w:eastAsia="Times New Roman"/>
          <w:color w:val="000000" w:themeColor="text1"/>
          <w:spacing w:val="1"/>
          <w:sz w:val="23"/>
        </w:rPr>
        <w:t>form HUD-93173 Agreement for Interest Reduction Payments (§236(e)(2)</w:t>
      </w:r>
      <w:r w:rsidR="007B4389" w:rsidRPr="0073488E">
        <w:rPr>
          <w:rFonts w:eastAsia="Times New Roman"/>
          <w:color w:val="000000" w:themeColor="text1"/>
          <w:spacing w:val="1"/>
          <w:sz w:val="23"/>
        </w:rPr>
        <w:t>)</w:t>
      </w:r>
    </w:p>
    <w:p w:rsidR="00981D51" w:rsidRPr="0073488E" w:rsidRDefault="00E607ED">
      <w:pPr>
        <w:numPr>
          <w:ilvl w:val="0"/>
          <w:numId w:val="1"/>
        </w:numPr>
        <w:tabs>
          <w:tab w:val="clear" w:pos="360"/>
          <w:tab w:val="left" w:pos="1080"/>
        </w:tabs>
        <w:spacing w:before="16" w:line="268" w:lineRule="exact"/>
        <w:textAlignment w:val="baseline"/>
        <w:rPr>
          <w:rFonts w:eastAsia="Times New Roman"/>
          <w:color w:val="000000" w:themeColor="text1"/>
          <w:spacing w:val="1"/>
          <w:sz w:val="23"/>
        </w:rPr>
      </w:pPr>
      <w:r w:rsidRPr="0073488E">
        <w:rPr>
          <w:rFonts w:eastAsia="Times New Roman"/>
          <w:color w:val="000000" w:themeColor="text1"/>
          <w:spacing w:val="1"/>
          <w:sz w:val="23"/>
        </w:rPr>
        <w:t>form HUD-93175 Agreement for Interest Reduction Payments (§236(b)</w:t>
      </w:r>
      <w:r w:rsidR="007B4389" w:rsidRPr="0073488E">
        <w:rPr>
          <w:rFonts w:eastAsia="Times New Roman"/>
          <w:color w:val="000000" w:themeColor="text1"/>
          <w:spacing w:val="1"/>
          <w:sz w:val="23"/>
        </w:rPr>
        <w:t>)</w:t>
      </w:r>
    </w:p>
    <w:p w:rsidR="00981D51" w:rsidRPr="0073488E" w:rsidRDefault="00E607ED">
      <w:pPr>
        <w:numPr>
          <w:ilvl w:val="0"/>
          <w:numId w:val="1"/>
        </w:numPr>
        <w:tabs>
          <w:tab w:val="clear" w:pos="360"/>
          <w:tab w:val="left" w:pos="1080"/>
        </w:tabs>
        <w:spacing w:before="15" w:line="268" w:lineRule="exact"/>
        <w:textAlignment w:val="baseline"/>
        <w:rPr>
          <w:rFonts w:eastAsia="Times New Roman"/>
          <w:color w:val="000000" w:themeColor="text1"/>
          <w:sz w:val="23"/>
        </w:rPr>
      </w:pPr>
      <w:r w:rsidRPr="0073488E">
        <w:rPr>
          <w:rFonts w:eastAsia="Times New Roman"/>
          <w:color w:val="000000" w:themeColor="text1"/>
          <w:sz w:val="23"/>
        </w:rPr>
        <w:t>form HUD-93174 Use Agreement (§236(e)(2)</w:t>
      </w:r>
      <w:r w:rsidR="007B4389" w:rsidRPr="0073488E">
        <w:rPr>
          <w:rFonts w:eastAsia="Times New Roman"/>
          <w:color w:val="000000" w:themeColor="text1"/>
          <w:sz w:val="23"/>
        </w:rPr>
        <w:t>)</w:t>
      </w:r>
    </w:p>
    <w:p w:rsidR="00981D51" w:rsidRPr="0073488E" w:rsidRDefault="00E607ED">
      <w:pPr>
        <w:numPr>
          <w:ilvl w:val="0"/>
          <w:numId w:val="1"/>
        </w:numPr>
        <w:tabs>
          <w:tab w:val="clear" w:pos="360"/>
          <w:tab w:val="left" w:pos="1080"/>
        </w:tabs>
        <w:spacing w:before="15" w:line="268" w:lineRule="exact"/>
        <w:textAlignment w:val="baseline"/>
        <w:rPr>
          <w:rFonts w:eastAsia="Times New Roman"/>
          <w:color w:val="000000" w:themeColor="text1"/>
          <w:sz w:val="23"/>
        </w:rPr>
      </w:pPr>
      <w:r w:rsidRPr="0073488E">
        <w:rPr>
          <w:rFonts w:eastAsia="Times New Roman"/>
          <w:color w:val="000000" w:themeColor="text1"/>
          <w:sz w:val="23"/>
        </w:rPr>
        <w:t>form HUD-93176 Use Agreement (§236(b)</w:t>
      </w:r>
      <w:r w:rsidR="007B4389" w:rsidRPr="0073488E">
        <w:rPr>
          <w:rFonts w:eastAsia="Times New Roman"/>
          <w:color w:val="000000" w:themeColor="text1"/>
          <w:sz w:val="23"/>
        </w:rPr>
        <w:t>)</w:t>
      </w:r>
    </w:p>
    <w:p w:rsidR="00981D51" w:rsidRPr="0073488E" w:rsidRDefault="00E607ED">
      <w:pPr>
        <w:spacing w:before="276" w:line="268" w:lineRule="exact"/>
        <w:ind w:left="360" w:right="648"/>
        <w:textAlignment w:val="baseline"/>
        <w:rPr>
          <w:rFonts w:eastAsia="Times New Roman"/>
          <w:color w:val="000000" w:themeColor="text1"/>
          <w:sz w:val="23"/>
        </w:rPr>
      </w:pPr>
      <w:r w:rsidRPr="0073488E">
        <w:rPr>
          <w:rFonts w:eastAsia="Times New Roman"/>
          <w:color w:val="000000" w:themeColor="text1"/>
          <w:sz w:val="23"/>
        </w:rPr>
        <w:t>These agreements</w:t>
      </w:r>
      <w:r w:rsidR="008901F9" w:rsidRPr="0073488E">
        <w:rPr>
          <w:rFonts w:eastAsia="Times New Roman"/>
          <w:color w:val="000000" w:themeColor="text1"/>
          <w:sz w:val="23"/>
        </w:rPr>
        <w:t xml:space="preserve"> </w:t>
      </w:r>
      <w:r w:rsidRPr="0073488E">
        <w:rPr>
          <w:rFonts w:eastAsia="Times New Roman"/>
          <w:color w:val="000000" w:themeColor="text1"/>
          <w:sz w:val="23"/>
        </w:rPr>
        <w:t>will allow HUD to preserve low-incoming housing units that may otherwise be lost. All transactions are subject to the requirements of HUD’s Tenant Participation in Multifamily Housing Project Regulations at 24 CFR Part 245.</w:t>
      </w:r>
    </w:p>
    <w:p w:rsidR="00981D51" w:rsidRPr="0073488E" w:rsidRDefault="00E607ED">
      <w:pPr>
        <w:spacing w:before="277" w:line="267" w:lineRule="exact"/>
        <w:ind w:left="720"/>
        <w:textAlignment w:val="baseline"/>
        <w:rPr>
          <w:rFonts w:eastAsia="Times New Roman"/>
          <w:b/>
          <w:color w:val="000000" w:themeColor="text1"/>
          <w:sz w:val="23"/>
        </w:rPr>
      </w:pPr>
      <w:r w:rsidRPr="0073488E">
        <w:rPr>
          <w:rFonts w:eastAsia="Times New Roman"/>
          <w:b/>
          <w:color w:val="000000" w:themeColor="text1"/>
          <w:sz w:val="23"/>
        </w:rPr>
        <w:t>Section 236(e)(2)</w:t>
      </w:r>
    </w:p>
    <w:p w:rsidR="00981D51" w:rsidRPr="0073488E" w:rsidRDefault="00E607ED">
      <w:pPr>
        <w:spacing w:before="272" w:line="268" w:lineRule="exact"/>
        <w:ind w:left="720" w:right="72"/>
        <w:jc w:val="both"/>
        <w:textAlignment w:val="baseline"/>
        <w:rPr>
          <w:rFonts w:eastAsia="Times New Roman"/>
          <w:color w:val="000000" w:themeColor="text1"/>
          <w:sz w:val="23"/>
        </w:rPr>
      </w:pPr>
      <w:r w:rsidRPr="0073488E">
        <w:rPr>
          <w:rFonts w:eastAsia="Times New Roman"/>
          <w:color w:val="000000" w:themeColor="text1"/>
          <w:sz w:val="23"/>
        </w:rPr>
        <w:t>Under this option, a project owner may prepay a Section 236 mortgage, and HUD may continue the IRP subsidy, provided the owner enters into IRP and Use Agreements that require the continuation of the low-income housing resource for 5 years beyond the new IRP term. Any mortgagee may refinance the project if a public agency agrees to be the oversight entity (i.e., becomes a party to the IRP Agreement) to ensure compliance with the requirements of the IRP Agreement. If no public agency agrees to participate as the</w:t>
      </w:r>
    </w:p>
    <w:p w:rsidR="00981D51" w:rsidRPr="0073488E" w:rsidRDefault="00981D51">
      <w:pPr>
        <w:rPr>
          <w:color w:val="000000" w:themeColor="text1"/>
        </w:rPr>
        <w:sectPr w:rsidR="00981D51" w:rsidRPr="0073488E" w:rsidSect="0054773A">
          <w:headerReference w:type="default" r:id="rId13"/>
          <w:pgSz w:w="11904" w:h="16843"/>
          <w:pgMar w:top="1440" w:right="1440" w:bottom="1440" w:left="1440" w:header="720" w:footer="720" w:gutter="0"/>
          <w:cols w:space="720"/>
          <w:titlePg/>
          <w:docGrid w:linePitch="299"/>
        </w:sectPr>
      </w:pPr>
    </w:p>
    <w:p w:rsidR="00981D51" w:rsidRPr="0073488E" w:rsidRDefault="00E607ED">
      <w:pPr>
        <w:spacing w:before="23" w:line="268" w:lineRule="exact"/>
        <w:ind w:left="720" w:right="360"/>
        <w:textAlignment w:val="baseline"/>
        <w:rPr>
          <w:rFonts w:eastAsia="Times New Roman"/>
          <w:color w:val="000000" w:themeColor="text1"/>
          <w:sz w:val="23"/>
        </w:rPr>
      </w:pPr>
      <w:r w:rsidRPr="0073488E">
        <w:rPr>
          <w:rFonts w:eastAsia="Times New Roman"/>
          <w:color w:val="000000" w:themeColor="text1"/>
          <w:sz w:val="23"/>
        </w:rPr>
        <w:lastRenderedPageBreak/>
        <w:t>oversight entity, then the mortgagee must be a HUD-approved multifamily mortgagee, the refinancing must be through an FHA insured mortgage, and HUD will perform the oversight functions.</w:t>
      </w:r>
    </w:p>
    <w:p w:rsidR="00981D51" w:rsidRPr="0073488E" w:rsidRDefault="00E607ED">
      <w:pPr>
        <w:spacing w:before="277" w:line="267" w:lineRule="exact"/>
        <w:ind w:left="720"/>
        <w:textAlignment w:val="baseline"/>
        <w:rPr>
          <w:rFonts w:eastAsia="Times New Roman"/>
          <w:b/>
          <w:color w:val="000000" w:themeColor="text1"/>
          <w:sz w:val="23"/>
        </w:rPr>
      </w:pPr>
      <w:r w:rsidRPr="0073488E">
        <w:rPr>
          <w:rFonts w:eastAsia="Times New Roman"/>
          <w:b/>
          <w:color w:val="000000" w:themeColor="text1"/>
          <w:sz w:val="23"/>
        </w:rPr>
        <w:t>Section 236(b)</w:t>
      </w:r>
    </w:p>
    <w:p w:rsidR="00981D51" w:rsidRPr="0073488E" w:rsidRDefault="00E607ED">
      <w:pPr>
        <w:spacing w:before="277" w:line="268" w:lineRule="exact"/>
        <w:ind w:left="720"/>
        <w:textAlignment w:val="baseline"/>
        <w:rPr>
          <w:rFonts w:eastAsia="Times New Roman"/>
          <w:color w:val="000000" w:themeColor="text1"/>
          <w:sz w:val="23"/>
        </w:rPr>
      </w:pPr>
      <w:r w:rsidRPr="0073488E">
        <w:rPr>
          <w:rFonts w:eastAsia="Times New Roman"/>
          <w:color w:val="000000" w:themeColor="text1"/>
          <w:sz w:val="23"/>
        </w:rPr>
        <w:t>Under this option, an approved State or local agency Section 236(b) mortgagee must purchase the insured Section 236 mortgage, terminate the FHA insurance, and keep the Section 236 mortgage intact, and the owner must enter into new IRP and Use Agreements to maintain the property as a low-income housing resource. The original Section 236 note and mortgage must remain intact. FHA insurance will be terminated. The original Section 236 mortgage, which may be modified, restated, and enveloped in the closing transaction, must remain identifiable as the basis for the continued IRP assistance.</w:t>
      </w:r>
    </w:p>
    <w:p w:rsidR="00981D51" w:rsidRPr="0073488E" w:rsidRDefault="00E607ED">
      <w:pPr>
        <w:spacing w:before="272" w:line="268" w:lineRule="exact"/>
        <w:ind w:left="720"/>
        <w:textAlignment w:val="baseline"/>
        <w:rPr>
          <w:rFonts w:eastAsia="Times New Roman"/>
          <w:b/>
          <w:color w:val="000000" w:themeColor="text1"/>
          <w:sz w:val="23"/>
          <w:u w:val="single"/>
        </w:rPr>
      </w:pPr>
      <w:r w:rsidRPr="0073488E">
        <w:rPr>
          <w:rFonts w:eastAsia="Times New Roman"/>
          <w:b/>
          <w:color w:val="000000" w:themeColor="text1"/>
          <w:sz w:val="23"/>
          <w:u w:val="single"/>
        </w:rPr>
        <w:t>Interest Reduction Payment Agreement</w:t>
      </w:r>
      <w:r w:rsidRPr="0073488E">
        <w:rPr>
          <w:rFonts w:eastAsia="Times New Roman"/>
          <w:color w:val="000000" w:themeColor="text1"/>
          <w:sz w:val="23"/>
          <w:u w:val="single"/>
        </w:rPr>
        <w:t>.</w:t>
      </w:r>
      <w:r w:rsidRPr="0073488E">
        <w:rPr>
          <w:rFonts w:eastAsia="Times New Roman"/>
          <w:color w:val="000000" w:themeColor="text1"/>
          <w:sz w:val="23"/>
        </w:rPr>
        <w:t xml:space="preserve"> The IRP Agreement establishes the terms and conditions under which HUD shall continue to make interest reduction payments to the owner. There are two types of IRP Agreements. One for Section 236(e)(2) and one for Section 236(b).</w:t>
      </w:r>
    </w:p>
    <w:p w:rsidR="00981D51" w:rsidRPr="0073488E" w:rsidRDefault="00E607ED">
      <w:pPr>
        <w:spacing w:before="276" w:line="268" w:lineRule="exact"/>
        <w:ind w:left="720" w:right="360"/>
        <w:textAlignment w:val="baseline"/>
        <w:rPr>
          <w:rFonts w:eastAsia="Times New Roman"/>
          <w:b/>
          <w:color w:val="000000" w:themeColor="text1"/>
          <w:sz w:val="23"/>
          <w:u w:val="single"/>
        </w:rPr>
      </w:pPr>
      <w:r w:rsidRPr="0073488E">
        <w:rPr>
          <w:rFonts w:eastAsia="Times New Roman"/>
          <w:b/>
          <w:color w:val="000000" w:themeColor="text1"/>
          <w:sz w:val="23"/>
          <w:u w:val="single"/>
        </w:rPr>
        <w:t>Use Agreement</w:t>
      </w:r>
      <w:r w:rsidRPr="0073488E">
        <w:rPr>
          <w:rFonts w:eastAsia="Times New Roman"/>
          <w:color w:val="000000" w:themeColor="text1"/>
          <w:sz w:val="23"/>
          <w:u w:val="single"/>
        </w:rPr>
        <w:t>.</w:t>
      </w:r>
      <w:r w:rsidRPr="0073488E">
        <w:rPr>
          <w:rFonts w:eastAsia="Times New Roman"/>
          <w:color w:val="000000" w:themeColor="text1"/>
          <w:sz w:val="23"/>
        </w:rPr>
        <w:t xml:space="preserve"> In this agreement, the owner agrees to maintain the property as low-income housing. There are two types of Use Agreements. One for Section 236(e)(2) and one for Section 236(b).</w:t>
      </w:r>
    </w:p>
    <w:p w:rsidR="00981D51" w:rsidRPr="0073488E" w:rsidRDefault="00E607ED">
      <w:pPr>
        <w:spacing w:before="254" w:line="237" w:lineRule="exact"/>
        <w:ind w:left="360" w:right="144"/>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81D51" w:rsidRPr="0073488E" w:rsidRDefault="00E607ED" w:rsidP="0054773A">
      <w:pPr>
        <w:spacing w:before="298" w:line="268" w:lineRule="exact"/>
        <w:ind w:left="360"/>
        <w:textAlignment w:val="baseline"/>
        <w:rPr>
          <w:rFonts w:eastAsia="Times New Roman"/>
          <w:color w:val="000000" w:themeColor="text1"/>
          <w:sz w:val="23"/>
        </w:rPr>
      </w:pPr>
      <w:r w:rsidRPr="0073488E">
        <w:rPr>
          <w:rFonts w:eastAsia="Times New Roman"/>
          <w:color w:val="000000" w:themeColor="text1"/>
          <w:sz w:val="23"/>
        </w:rPr>
        <w:t>HUD has created an electronic application for eligible projects to retain the IRP benefits after refinancing. Upon approval of the application, owners must submit hard copies to HUD Headquarters for execution. Complete automation of the information collection is not feasible at this time because the agreements must be executed by the new mortgagee or public entity, the owner.</w:t>
      </w:r>
    </w:p>
    <w:p w:rsidR="00981D51" w:rsidRPr="0073488E" w:rsidRDefault="00E607ED">
      <w:pPr>
        <w:spacing w:before="252" w:line="237" w:lineRule="exact"/>
        <w:ind w:left="360" w:right="144"/>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4. Describe efforts to identify duplication. Show specifically why any similar information already available cannot be used or modified for use for the purposes described in Item 2 above.</w:t>
      </w:r>
    </w:p>
    <w:p w:rsidR="00981D51" w:rsidRPr="0073488E" w:rsidRDefault="00E607ED" w:rsidP="0054773A">
      <w:pPr>
        <w:tabs>
          <w:tab w:val="left" w:pos="360"/>
        </w:tabs>
        <w:spacing w:before="297" w:line="268" w:lineRule="exact"/>
        <w:ind w:left="360"/>
        <w:textAlignment w:val="baseline"/>
        <w:rPr>
          <w:rFonts w:eastAsia="Times New Roman"/>
          <w:color w:val="000000" w:themeColor="text1"/>
          <w:spacing w:val="1"/>
          <w:sz w:val="23"/>
        </w:rPr>
      </w:pPr>
      <w:r w:rsidRPr="0073488E">
        <w:rPr>
          <w:rFonts w:eastAsia="Times New Roman"/>
          <w:color w:val="000000" w:themeColor="text1"/>
          <w:spacing w:val="1"/>
          <w:sz w:val="23"/>
        </w:rPr>
        <w:t>There is no duplication of other sources for this information.</w:t>
      </w:r>
    </w:p>
    <w:p w:rsidR="00981D51" w:rsidRPr="0073488E" w:rsidRDefault="00E607ED" w:rsidP="0054773A">
      <w:pPr>
        <w:numPr>
          <w:ilvl w:val="0"/>
          <w:numId w:val="9"/>
        </w:numPr>
        <w:tabs>
          <w:tab w:val="left" w:pos="360"/>
          <w:tab w:val="left" w:pos="576"/>
        </w:tabs>
        <w:spacing w:before="252" w:line="237" w:lineRule="exact"/>
        <w:ind w:left="360" w:firstLine="0"/>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If the collection of information impacts small businesses or other small entities (Item 5 of OMB form 83-I) describe any methods used to minimize burden.</w:t>
      </w:r>
    </w:p>
    <w:p w:rsidR="00981D51" w:rsidRPr="0073488E" w:rsidRDefault="0054773A">
      <w:pPr>
        <w:tabs>
          <w:tab w:val="left" w:pos="360"/>
        </w:tabs>
        <w:spacing w:before="293" w:line="268" w:lineRule="exact"/>
        <w:textAlignment w:val="baseline"/>
        <w:rPr>
          <w:rFonts w:eastAsia="Times New Roman"/>
          <w:color w:val="000000" w:themeColor="text1"/>
          <w:sz w:val="23"/>
        </w:rPr>
      </w:pPr>
      <w:r w:rsidRPr="0073488E">
        <w:rPr>
          <w:rFonts w:eastAsia="Times New Roman"/>
          <w:color w:val="000000" w:themeColor="text1"/>
          <w:sz w:val="23"/>
        </w:rPr>
        <w:tab/>
      </w:r>
      <w:r w:rsidR="00E607ED" w:rsidRPr="0073488E">
        <w:rPr>
          <w:rFonts w:eastAsia="Times New Roman"/>
          <w:color w:val="000000" w:themeColor="text1"/>
          <w:sz w:val="23"/>
        </w:rPr>
        <w:t>The collection of information does not impact small businesses.</w:t>
      </w:r>
    </w:p>
    <w:p w:rsidR="00981D51" w:rsidRPr="0073488E" w:rsidRDefault="00E607ED">
      <w:pPr>
        <w:spacing w:before="252" w:line="236" w:lineRule="exact"/>
        <w:ind w:left="360" w:right="216"/>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6. Describe the consequence to Federal program or policy activities if the collection is not conducted or is conducted less frequently, as well as any technical or legal obstacles to reducing burden.</w:t>
      </w:r>
    </w:p>
    <w:p w:rsidR="00981D51" w:rsidRPr="0073488E" w:rsidRDefault="00981D51">
      <w:pPr>
        <w:rPr>
          <w:color w:val="000000" w:themeColor="text1"/>
        </w:rPr>
        <w:sectPr w:rsidR="00981D51" w:rsidRPr="0073488E" w:rsidSect="0054773A">
          <w:pgSz w:w="11904" w:h="16843"/>
          <w:pgMar w:top="1093" w:right="1440" w:bottom="1440" w:left="1440" w:header="720" w:footer="720" w:gutter="0"/>
          <w:cols w:space="720"/>
          <w:docGrid w:linePitch="299"/>
        </w:sectPr>
      </w:pPr>
    </w:p>
    <w:p w:rsidR="00981D51" w:rsidRPr="0073488E" w:rsidRDefault="00E607ED" w:rsidP="0054773A">
      <w:pPr>
        <w:spacing w:before="26" w:line="269" w:lineRule="exact"/>
        <w:ind w:left="360" w:right="576"/>
        <w:textAlignment w:val="baseline"/>
        <w:rPr>
          <w:rFonts w:eastAsia="Times New Roman"/>
          <w:color w:val="000000" w:themeColor="text1"/>
          <w:sz w:val="23"/>
        </w:rPr>
      </w:pPr>
      <w:r w:rsidRPr="0073488E">
        <w:rPr>
          <w:rFonts w:eastAsia="Times New Roman"/>
          <w:color w:val="000000" w:themeColor="text1"/>
          <w:sz w:val="23"/>
        </w:rPr>
        <w:t>HUD would risk improper payment of IRP assistance and the inability to preserve low-income housing resources if these binding commitments were not collected.</w:t>
      </w:r>
    </w:p>
    <w:p w:rsidR="00981D51" w:rsidRPr="0073488E" w:rsidRDefault="00E607ED">
      <w:pPr>
        <w:spacing w:before="251" w:line="236" w:lineRule="exact"/>
        <w:ind w:left="360" w:right="576"/>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7. Explain any special circumstances that would cause an information collection to be conducted in a manner:</w:t>
      </w:r>
    </w:p>
    <w:p w:rsidR="00981D51" w:rsidRPr="0073488E" w:rsidRDefault="00E607ED">
      <w:pPr>
        <w:numPr>
          <w:ilvl w:val="0"/>
          <w:numId w:val="3"/>
        </w:numPr>
        <w:tabs>
          <w:tab w:val="clear" w:pos="360"/>
          <w:tab w:val="left" w:pos="1080"/>
        </w:tabs>
        <w:spacing w:line="524" w:lineRule="exact"/>
        <w:ind w:left="360" w:right="720" w:firstLine="360"/>
        <w:textAlignment w:val="baseline"/>
        <w:rPr>
          <w:rFonts w:ascii="Calibri" w:eastAsia="Calibri" w:hAnsi="Calibri"/>
          <w:color w:val="000000" w:themeColor="text1"/>
          <w:sz w:val="20"/>
        </w:rPr>
      </w:pPr>
      <w:r w:rsidRPr="0073488E">
        <w:rPr>
          <w:rFonts w:ascii="Calibri" w:eastAsia="Calibri" w:hAnsi="Calibri"/>
          <w:color w:val="000000" w:themeColor="text1"/>
          <w:sz w:val="20"/>
        </w:rPr>
        <w:t xml:space="preserve">requiring respondents to report information to the agency more than quarterly; </w:t>
      </w:r>
      <w:r w:rsidRPr="0073488E">
        <w:rPr>
          <w:rFonts w:eastAsia="Times New Roman"/>
          <w:color w:val="000000" w:themeColor="text1"/>
          <w:sz w:val="23"/>
        </w:rPr>
        <w:t>There is no requirement for respondents to report the information more than quarterly.</w:t>
      </w:r>
    </w:p>
    <w:p w:rsidR="00981D51" w:rsidRPr="0073488E" w:rsidRDefault="00E607ED">
      <w:pPr>
        <w:numPr>
          <w:ilvl w:val="0"/>
          <w:numId w:val="3"/>
        </w:numPr>
        <w:tabs>
          <w:tab w:val="clear" w:pos="360"/>
          <w:tab w:val="left" w:pos="1080"/>
        </w:tabs>
        <w:spacing w:before="267" w:line="236" w:lineRule="exact"/>
        <w:ind w:left="1080" w:right="72" w:hanging="360"/>
        <w:jc w:val="both"/>
        <w:textAlignment w:val="baseline"/>
        <w:rPr>
          <w:rFonts w:ascii="Calibri" w:eastAsia="Calibri" w:hAnsi="Calibri"/>
          <w:color w:val="000000" w:themeColor="text1"/>
          <w:sz w:val="20"/>
        </w:rPr>
      </w:pPr>
      <w:r w:rsidRPr="0073488E">
        <w:rPr>
          <w:rFonts w:ascii="Calibri" w:eastAsia="Calibri" w:hAnsi="Calibri"/>
          <w:color w:val="000000" w:themeColor="text1"/>
          <w:sz w:val="20"/>
        </w:rPr>
        <w:t>requiring respondents to prepare a written response to a collection of information in fewer than 30 days after receipt of it;</w:t>
      </w:r>
    </w:p>
    <w:p w:rsidR="00981D51" w:rsidRPr="0073488E" w:rsidRDefault="00E607ED">
      <w:pPr>
        <w:spacing w:before="293" w:line="269" w:lineRule="exact"/>
        <w:ind w:left="360" w:right="72"/>
        <w:jc w:val="both"/>
        <w:textAlignment w:val="baseline"/>
        <w:rPr>
          <w:rFonts w:eastAsia="Times New Roman"/>
          <w:color w:val="000000" w:themeColor="text1"/>
          <w:sz w:val="23"/>
        </w:rPr>
      </w:pPr>
      <w:r w:rsidRPr="0073488E">
        <w:rPr>
          <w:rFonts w:eastAsia="Times New Roman"/>
          <w:color w:val="000000" w:themeColor="text1"/>
          <w:sz w:val="23"/>
        </w:rPr>
        <w:t>There is no requirement for respondents to prepare a written response to a collection in fewer than 30 days.</w:t>
      </w:r>
    </w:p>
    <w:p w:rsidR="00981D51" w:rsidRPr="0073488E" w:rsidRDefault="00E607ED">
      <w:pPr>
        <w:numPr>
          <w:ilvl w:val="0"/>
          <w:numId w:val="3"/>
        </w:numPr>
        <w:tabs>
          <w:tab w:val="clear" w:pos="360"/>
          <w:tab w:val="left" w:pos="1080"/>
        </w:tabs>
        <w:spacing w:before="263" w:line="236" w:lineRule="exact"/>
        <w:ind w:right="72"/>
        <w:textAlignment w:val="baseline"/>
        <w:rPr>
          <w:rFonts w:ascii="Calibri" w:eastAsia="Calibri" w:hAnsi="Calibri"/>
          <w:color w:val="000000" w:themeColor="text1"/>
          <w:sz w:val="20"/>
        </w:rPr>
      </w:pPr>
      <w:r w:rsidRPr="0073488E">
        <w:rPr>
          <w:rFonts w:ascii="Calibri" w:eastAsia="Calibri" w:hAnsi="Calibri"/>
          <w:color w:val="000000" w:themeColor="text1"/>
          <w:sz w:val="20"/>
        </w:rPr>
        <w:t>requiring respondents to submit more than an original and two copies of any document;</w:t>
      </w:r>
    </w:p>
    <w:p w:rsidR="00981D51" w:rsidRPr="0073488E" w:rsidRDefault="00E607ED">
      <w:pPr>
        <w:spacing w:before="292" w:line="269" w:lineRule="exact"/>
        <w:ind w:left="360" w:right="216"/>
        <w:textAlignment w:val="baseline"/>
        <w:rPr>
          <w:rFonts w:eastAsia="Times New Roman"/>
          <w:color w:val="000000" w:themeColor="text1"/>
          <w:sz w:val="23"/>
        </w:rPr>
      </w:pPr>
      <w:r w:rsidRPr="0073488E">
        <w:rPr>
          <w:rFonts w:eastAsia="Times New Roman"/>
          <w:color w:val="000000" w:themeColor="text1"/>
          <w:sz w:val="23"/>
        </w:rPr>
        <w:t>There is no requirement for respondents to submit more than an original and two copies of any document.</w:t>
      </w:r>
    </w:p>
    <w:p w:rsidR="00981D51" w:rsidRPr="0073488E" w:rsidRDefault="00E607ED">
      <w:pPr>
        <w:numPr>
          <w:ilvl w:val="0"/>
          <w:numId w:val="3"/>
        </w:numPr>
        <w:tabs>
          <w:tab w:val="clear" w:pos="360"/>
          <w:tab w:val="left" w:pos="1080"/>
        </w:tabs>
        <w:spacing w:before="268" w:line="236" w:lineRule="exact"/>
        <w:ind w:left="1080" w:right="72" w:hanging="360"/>
        <w:jc w:val="both"/>
        <w:textAlignment w:val="baseline"/>
        <w:rPr>
          <w:rFonts w:ascii="Calibri" w:eastAsia="Calibri" w:hAnsi="Calibri"/>
          <w:color w:val="000000" w:themeColor="text1"/>
          <w:sz w:val="20"/>
        </w:rPr>
      </w:pPr>
      <w:r w:rsidRPr="0073488E">
        <w:rPr>
          <w:rFonts w:ascii="Calibri" w:eastAsia="Calibri" w:hAnsi="Calibri"/>
          <w:color w:val="000000" w:themeColor="text1"/>
          <w:sz w:val="20"/>
        </w:rPr>
        <w:t>requiring respondents to retain records other than health, medical, government contract, grant-in-aid, or tax records for more than three years;</w:t>
      </w:r>
    </w:p>
    <w:p w:rsidR="00981D51" w:rsidRPr="0073488E" w:rsidRDefault="00E607ED">
      <w:pPr>
        <w:spacing w:before="258" w:line="269" w:lineRule="exact"/>
        <w:ind w:left="360" w:right="864"/>
        <w:textAlignment w:val="baseline"/>
        <w:rPr>
          <w:rFonts w:eastAsia="Times New Roman"/>
          <w:color w:val="000000" w:themeColor="text1"/>
          <w:sz w:val="23"/>
        </w:rPr>
      </w:pPr>
      <w:r w:rsidRPr="0073488E">
        <w:rPr>
          <w:rFonts w:eastAsia="Times New Roman"/>
          <w:color w:val="000000" w:themeColor="text1"/>
          <w:sz w:val="23"/>
        </w:rPr>
        <w:t>There is no requirement for respondents to retain records other than health, medical, government contract, grant-in-aid, or tax records for more than three years.</w:t>
      </w:r>
    </w:p>
    <w:p w:rsidR="00981D51" w:rsidRPr="0073488E" w:rsidRDefault="00E607ED">
      <w:pPr>
        <w:numPr>
          <w:ilvl w:val="0"/>
          <w:numId w:val="3"/>
        </w:numPr>
        <w:tabs>
          <w:tab w:val="clear" w:pos="360"/>
          <w:tab w:val="left" w:pos="1080"/>
        </w:tabs>
        <w:spacing w:before="224" w:line="236" w:lineRule="exact"/>
        <w:ind w:left="1080" w:right="360" w:hanging="360"/>
        <w:textAlignment w:val="baseline"/>
        <w:rPr>
          <w:rFonts w:ascii="Calibri" w:eastAsia="Calibri" w:hAnsi="Calibri"/>
          <w:color w:val="000000" w:themeColor="text1"/>
          <w:sz w:val="20"/>
        </w:rPr>
      </w:pPr>
      <w:r w:rsidRPr="0073488E">
        <w:rPr>
          <w:rFonts w:ascii="Calibri" w:eastAsia="Calibri" w:hAnsi="Calibri"/>
          <w:color w:val="000000" w:themeColor="text1"/>
          <w:sz w:val="20"/>
        </w:rPr>
        <w:t>in connection with a statistical survey, that is not designed to produce valid and reliable results than can be generalized to the universe of study;</w:t>
      </w:r>
    </w:p>
    <w:p w:rsidR="00981D51" w:rsidRPr="0073488E" w:rsidRDefault="00E607ED">
      <w:pPr>
        <w:spacing w:before="298" w:line="269" w:lineRule="exact"/>
        <w:ind w:left="360" w:right="72"/>
        <w:textAlignment w:val="baseline"/>
        <w:rPr>
          <w:rFonts w:eastAsia="Times New Roman"/>
          <w:color w:val="000000" w:themeColor="text1"/>
          <w:spacing w:val="1"/>
          <w:sz w:val="23"/>
        </w:rPr>
      </w:pPr>
      <w:r w:rsidRPr="0073488E">
        <w:rPr>
          <w:rFonts w:eastAsia="Times New Roman"/>
          <w:color w:val="000000" w:themeColor="text1"/>
          <w:spacing w:val="1"/>
          <w:sz w:val="23"/>
        </w:rPr>
        <w:t>This collection is not in connection with a statistical survey.</w:t>
      </w:r>
    </w:p>
    <w:p w:rsidR="00981D51" w:rsidRPr="0073488E" w:rsidRDefault="00E607ED">
      <w:pPr>
        <w:numPr>
          <w:ilvl w:val="0"/>
          <w:numId w:val="3"/>
        </w:numPr>
        <w:tabs>
          <w:tab w:val="clear" w:pos="360"/>
          <w:tab w:val="left" w:pos="1080"/>
        </w:tabs>
        <w:spacing w:before="265" w:line="236" w:lineRule="exact"/>
        <w:ind w:left="1080" w:right="360" w:hanging="360"/>
        <w:textAlignment w:val="baseline"/>
        <w:rPr>
          <w:rFonts w:ascii="Calibri" w:eastAsia="Calibri" w:hAnsi="Calibri"/>
          <w:color w:val="000000" w:themeColor="text1"/>
          <w:sz w:val="20"/>
        </w:rPr>
      </w:pPr>
      <w:r w:rsidRPr="0073488E">
        <w:rPr>
          <w:rFonts w:ascii="Calibri" w:eastAsia="Calibri" w:hAnsi="Calibri"/>
          <w:color w:val="000000" w:themeColor="text1"/>
          <w:sz w:val="20"/>
        </w:rPr>
        <w:t>requiring the use of a statistical data classification that has not been reviewed and approved by OMB;</w:t>
      </w:r>
    </w:p>
    <w:p w:rsidR="00981D51" w:rsidRPr="0073488E" w:rsidRDefault="00E607ED">
      <w:pPr>
        <w:spacing w:before="290" w:line="269" w:lineRule="exact"/>
        <w:ind w:left="360" w:right="72"/>
        <w:textAlignment w:val="baseline"/>
        <w:rPr>
          <w:rFonts w:eastAsia="Times New Roman"/>
          <w:color w:val="000000" w:themeColor="text1"/>
          <w:sz w:val="23"/>
        </w:rPr>
      </w:pPr>
      <w:r w:rsidRPr="0073488E">
        <w:rPr>
          <w:rFonts w:eastAsia="Times New Roman"/>
          <w:color w:val="000000" w:themeColor="text1"/>
          <w:sz w:val="23"/>
        </w:rPr>
        <w:t>There is no use of a statistical data classification.</w:t>
      </w:r>
    </w:p>
    <w:p w:rsidR="00981D51" w:rsidRPr="0073488E" w:rsidRDefault="00E607ED">
      <w:pPr>
        <w:numPr>
          <w:ilvl w:val="0"/>
          <w:numId w:val="3"/>
        </w:numPr>
        <w:tabs>
          <w:tab w:val="clear" w:pos="360"/>
          <w:tab w:val="left" w:pos="1080"/>
        </w:tabs>
        <w:spacing w:before="268" w:line="236" w:lineRule="exact"/>
        <w:ind w:left="1080" w:right="72" w:hanging="360"/>
        <w:textAlignment w:val="baseline"/>
        <w:rPr>
          <w:rFonts w:ascii="Calibri" w:eastAsia="Calibri" w:hAnsi="Calibri"/>
          <w:color w:val="000000" w:themeColor="text1"/>
          <w:sz w:val="20"/>
        </w:rPr>
      </w:pPr>
      <w:r w:rsidRPr="0073488E">
        <w:rPr>
          <w:rFonts w:ascii="Calibri" w:eastAsia="Calibri" w:hAnsi="Calibri"/>
          <w:color w:val="000000" w:themeColor="text1"/>
          <w:sz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81D51" w:rsidRPr="0073488E" w:rsidRDefault="00E607ED">
      <w:pPr>
        <w:spacing w:before="294" w:line="269" w:lineRule="exact"/>
        <w:ind w:left="360" w:right="72"/>
        <w:textAlignment w:val="baseline"/>
        <w:rPr>
          <w:rFonts w:eastAsia="Times New Roman"/>
          <w:color w:val="000000" w:themeColor="text1"/>
          <w:sz w:val="23"/>
        </w:rPr>
      </w:pPr>
      <w:r w:rsidRPr="0073488E">
        <w:rPr>
          <w:rFonts w:eastAsia="Times New Roman"/>
          <w:color w:val="000000" w:themeColor="text1"/>
          <w:sz w:val="23"/>
        </w:rPr>
        <w:t>There is no pledge of confidentiality that is not supported by authority established in statute or regulation.</w:t>
      </w:r>
    </w:p>
    <w:p w:rsidR="00981D51" w:rsidRPr="0073488E" w:rsidRDefault="00E607ED">
      <w:pPr>
        <w:numPr>
          <w:ilvl w:val="0"/>
          <w:numId w:val="3"/>
        </w:numPr>
        <w:tabs>
          <w:tab w:val="clear" w:pos="360"/>
          <w:tab w:val="left" w:pos="1080"/>
        </w:tabs>
        <w:spacing w:before="267" w:line="236" w:lineRule="exact"/>
        <w:ind w:left="1080" w:right="72" w:hanging="360"/>
        <w:textAlignment w:val="baseline"/>
        <w:rPr>
          <w:rFonts w:ascii="Calibri" w:eastAsia="Calibri" w:hAnsi="Calibri"/>
          <w:color w:val="000000" w:themeColor="text1"/>
          <w:sz w:val="20"/>
        </w:rPr>
      </w:pPr>
      <w:r w:rsidRPr="0073488E">
        <w:rPr>
          <w:rFonts w:ascii="Calibri" w:eastAsia="Calibri" w:hAnsi="Calibri"/>
          <w:color w:val="000000" w:themeColor="text1"/>
          <w:sz w:val="20"/>
        </w:rPr>
        <w:t>requiring respondents to submit proprietary trade secret, or other confidential information unless the agency can demonstrate that it has instituted procedures to protect the information’s confidentiality to the extent permitted by law.</w:t>
      </w:r>
    </w:p>
    <w:p w:rsidR="00981D51" w:rsidRPr="0073488E" w:rsidRDefault="00981D51">
      <w:pPr>
        <w:rPr>
          <w:color w:val="000000" w:themeColor="text1"/>
        </w:rPr>
        <w:sectPr w:rsidR="00981D51" w:rsidRPr="0073488E" w:rsidSect="0054773A">
          <w:pgSz w:w="11904" w:h="16843"/>
          <w:pgMar w:top="1090" w:right="1391" w:bottom="1987" w:left="1373" w:header="720" w:footer="720" w:gutter="0"/>
          <w:cols w:space="720"/>
        </w:sectPr>
      </w:pPr>
    </w:p>
    <w:p w:rsidR="00981D51" w:rsidRPr="0073488E" w:rsidRDefault="00E607ED">
      <w:pPr>
        <w:spacing w:before="22" w:line="269" w:lineRule="exact"/>
        <w:ind w:left="360" w:right="216"/>
        <w:textAlignment w:val="baseline"/>
        <w:rPr>
          <w:rFonts w:eastAsia="Times New Roman"/>
          <w:color w:val="000000" w:themeColor="text1"/>
          <w:sz w:val="23"/>
        </w:rPr>
      </w:pPr>
      <w:r w:rsidRPr="0073488E">
        <w:rPr>
          <w:rFonts w:eastAsia="Times New Roman"/>
          <w:color w:val="000000" w:themeColor="text1"/>
          <w:sz w:val="23"/>
        </w:rPr>
        <w:t>There are no special circumstances requiring respondents to submit proprietary trade secret, or other confidential information.</w:t>
      </w:r>
    </w:p>
    <w:p w:rsidR="00981D51" w:rsidRPr="0073488E" w:rsidRDefault="00E607ED">
      <w:pPr>
        <w:spacing w:before="255" w:line="237" w:lineRule="exact"/>
        <w:ind w:left="360"/>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81D51" w:rsidRPr="0073488E" w:rsidRDefault="00E607ED" w:rsidP="0054773A">
      <w:pPr>
        <w:spacing w:before="255" w:line="237" w:lineRule="exact"/>
        <w:ind w:left="360"/>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81D51" w:rsidRPr="0073488E" w:rsidRDefault="00E607ED" w:rsidP="0054773A">
      <w:pPr>
        <w:spacing w:before="255" w:line="237" w:lineRule="exact"/>
        <w:ind w:left="360"/>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981D51" w:rsidRPr="0073488E" w:rsidRDefault="00E607ED" w:rsidP="0054773A">
      <w:pPr>
        <w:spacing w:before="286" w:line="269" w:lineRule="exact"/>
        <w:ind w:left="360" w:right="360"/>
        <w:textAlignment w:val="baseline"/>
        <w:rPr>
          <w:rFonts w:eastAsia="Times New Roman"/>
          <w:color w:val="000000" w:themeColor="text1"/>
          <w:sz w:val="23"/>
        </w:rPr>
      </w:pPr>
      <w:r w:rsidRPr="0073488E">
        <w:rPr>
          <w:rFonts w:eastAsia="Times New Roman"/>
          <w:color w:val="000000" w:themeColor="text1"/>
          <w:sz w:val="23"/>
        </w:rPr>
        <w:t xml:space="preserve">Information collected is conducted in a manner consistent with the guidelines of 5 CFR 1320.8 (d). The Notice announcing this collection of information appeared in the Federal Register on [Date, </w:t>
      </w:r>
      <w:r w:rsidR="00F04746" w:rsidRPr="0073488E">
        <w:rPr>
          <w:rFonts w:eastAsia="Times New Roman"/>
          <w:b/>
          <w:color w:val="000000" w:themeColor="text1"/>
          <w:sz w:val="23"/>
          <w:u w:val="single"/>
        </w:rPr>
        <w:t>September 5</w:t>
      </w:r>
      <w:r w:rsidR="00C84E33" w:rsidRPr="0073488E">
        <w:rPr>
          <w:rFonts w:eastAsia="Times New Roman"/>
          <w:b/>
          <w:color w:val="000000" w:themeColor="text1"/>
          <w:sz w:val="23"/>
          <w:u w:val="single"/>
        </w:rPr>
        <w:t>, 201</w:t>
      </w:r>
      <w:r w:rsidR="00F04746" w:rsidRPr="0073488E">
        <w:rPr>
          <w:rFonts w:eastAsia="Times New Roman"/>
          <w:b/>
          <w:color w:val="000000" w:themeColor="text1"/>
          <w:sz w:val="23"/>
          <w:u w:val="single"/>
        </w:rPr>
        <w:t>7</w:t>
      </w:r>
      <w:r w:rsidR="00C84E33" w:rsidRPr="0073488E">
        <w:rPr>
          <w:rFonts w:eastAsia="Times New Roman"/>
          <w:color w:val="000000" w:themeColor="text1"/>
          <w:sz w:val="23"/>
        </w:rPr>
        <w:t xml:space="preserve">, </w:t>
      </w:r>
      <w:r w:rsidRPr="0073488E">
        <w:rPr>
          <w:rFonts w:eastAsia="Times New Roman"/>
          <w:color w:val="000000" w:themeColor="text1"/>
          <w:sz w:val="23"/>
        </w:rPr>
        <w:t xml:space="preserve">Volume, </w:t>
      </w:r>
      <w:r w:rsidR="00F04746" w:rsidRPr="0073488E">
        <w:rPr>
          <w:rFonts w:eastAsia="Times New Roman"/>
          <w:b/>
          <w:color w:val="000000" w:themeColor="text1"/>
          <w:sz w:val="23"/>
          <w:u w:val="single"/>
        </w:rPr>
        <w:t>82</w:t>
      </w:r>
      <w:r w:rsidR="00C84E33" w:rsidRPr="0073488E">
        <w:rPr>
          <w:rFonts w:eastAsia="Times New Roman"/>
          <w:color w:val="000000" w:themeColor="text1"/>
          <w:sz w:val="23"/>
        </w:rPr>
        <w:t xml:space="preserve">, </w:t>
      </w:r>
      <w:r w:rsidRPr="0073488E">
        <w:rPr>
          <w:rFonts w:eastAsia="Times New Roman"/>
          <w:color w:val="000000" w:themeColor="text1"/>
          <w:sz w:val="23"/>
        </w:rPr>
        <w:t xml:space="preserve">Number, </w:t>
      </w:r>
      <w:r w:rsidR="00C84E33" w:rsidRPr="0073488E">
        <w:rPr>
          <w:rFonts w:eastAsia="Times New Roman"/>
          <w:b/>
          <w:color w:val="000000" w:themeColor="text1"/>
          <w:sz w:val="23"/>
          <w:u w:val="single"/>
        </w:rPr>
        <w:t>115</w:t>
      </w:r>
      <w:r w:rsidR="00C84E33" w:rsidRPr="0073488E">
        <w:rPr>
          <w:rFonts w:eastAsia="Times New Roman"/>
          <w:color w:val="000000" w:themeColor="text1"/>
          <w:sz w:val="23"/>
        </w:rPr>
        <w:t xml:space="preserve">, </w:t>
      </w:r>
      <w:r w:rsidRPr="0073488E">
        <w:rPr>
          <w:rFonts w:eastAsia="Times New Roman"/>
          <w:color w:val="000000" w:themeColor="text1"/>
          <w:sz w:val="23"/>
        </w:rPr>
        <w:t>and Page</w:t>
      </w:r>
      <w:r w:rsidR="00C84E33" w:rsidRPr="0073488E">
        <w:rPr>
          <w:rFonts w:eastAsia="Times New Roman"/>
          <w:color w:val="000000" w:themeColor="text1"/>
          <w:sz w:val="23"/>
        </w:rPr>
        <w:t xml:space="preserve"> </w:t>
      </w:r>
      <w:r w:rsidR="00F04746" w:rsidRPr="0073488E">
        <w:rPr>
          <w:rFonts w:eastAsia="Times New Roman"/>
          <w:b/>
          <w:color w:val="000000" w:themeColor="text1"/>
          <w:sz w:val="23"/>
          <w:u w:val="single"/>
        </w:rPr>
        <w:t>41976</w:t>
      </w:r>
      <w:r w:rsidRPr="0073488E">
        <w:rPr>
          <w:rFonts w:eastAsia="Times New Roman"/>
          <w:color w:val="000000" w:themeColor="text1"/>
          <w:sz w:val="23"/>
        </w:rPr>
        <w:t xml:space="preserve">]. </w:t>
      </w:r>
      <w:r w:rsidR="00C84E33" w:rsidRPr="0073488E">
        <w:rPr>
          <w:rFonts w:eastAsia="Times New Roman"/>
          <w:color w:val="000000" w:themeColor="text1"/>
          <w:sz w:val="23"/>
        </w:rPr>
        <w:t xml:space="preserve"> </w:t>
      </w:r>
      <w:r w:rsidRPr="0073488E">
        <w:rPr>
          <w:rFonts w:eastAsia="Times New Roman"/>
          <w:color w:val="000000" w:themeColor="text1"/>
          <w:sz w:val="23"/>
        </w:rPr>
        <w:t xml:space="preserve">There </w:t>
      </w:r>
      <w:r w:rsidR="00C84E33" w:rsidRPr="0073488E">
        <w:rPr>
          <w:rFonts w:eastAsia="Times New Roman"/>
          <w:color w:val="000000" w:themeColor="text1"/>
          <w:sz w:val="23"/>
        </w:rPr>
        <w:t>a</w:t>
      </w:r>
      <w:r w:rsidRPr="0073488E">
        <w:rPr>
          <w:rFonts w:eastAsia="Times New Roman"/>
          <w:color w:val="000000" w:themeColor="text1"/>
          <w:sz w:val="23"/>
        </w:rPr>
        <w:t>re no comments.</w:t>
      </w:r>
    </w:p>
    <w:p w:rsidR="00981D51" w:rsidRPr="0073488E" w:rsidRDefault="00E607ED">
      <w:pPr>
        <w:spacing w:before="268" w:line="269" w:lineRule="exact"/>
        <w:ind w:left="360" w:right="360"/>
        <w:textAlignment w:val="baseline"/>
        <w:rPr>
          <w:rFonts w:eastAsia="Times New Roman"/>
          <w:color w:val="000000" w:themeColor="text1"/>
          <w:sz w:val="23"/>
        </w:rPr>
      </w:pPr>
      <w:r w:rsidRPr="0073488E">
        <w:rPr>
          <w:rFonts w:eastAsia="Times New Roman"/>
          <w:color w:val="000000" w:themeColor="text1"/>
          <w:sz w:val="23"/>
        </w:rPr>
        <w:t>In addition to the regulatory notice, three users of the documents were consulted to obtain their views on the reporting format, and the data elements to be disclosed. There were no comments.</w:t>
      </w:r>
    </w:p>
    <w:p w:rsidR="00981D51" w:rsidRPr="0073488E" w:rsidRDefault="00E607ED">
      <w:pPr>
        <w:spacing w:before="252" w:line="237" w:lineRule="exact"/>
        <w:ind w:left="360" w:right="792"/>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9. Explain any decision to provide any payment or gift to respondents, other than remuneration of contractors or grantees.</w:t>
      </w:r>
    </w:p>
    <w:p w:rsidR="00981D51" w:rsidRPr="0073488E" w:rsidRDefault="00C84E33">
      <w:pPr>
        <w:tabs>
          <w:tab w:val="left" w:pos="360"/>
        </w:tabs>
        <w:spacing w:before="291" w:line="269" w:lineRule="exact"/>
        <w:textAlignment w:val="baseline"/>
        <w:rPr>
          <w:rFonts w:eastAsia="Times New Roman"/>
          <w:color w:val="000000" w:themeColor="text1"/>
          <w:sz w:val="23"/>
        </w:rPr>
      </w:pPr>
      <w:r w:rsidRPr="0073488E">
        <w:rPr>
          <w:rFonts w:eastAsia="Times New Roman"/>
          <w:color w:val="000000" w:themeColor="text1"/>
          <w:spacing w:val="1"/>
          <w:sz w:val="23"/>
        </w:rPr>
        <w:tab/>
      </w:r>
      <w:r w:rsidR="00E607ED" w:rsidRPr="0073488E">
        <w:rPr>
          <w:rFonts w:eastAsia="Times New Roman"/>
          <w:color w:val="000000" w:themeColor="text1"/>
          <w:sz w:val="23"/>
        </w:rPr>
        <w:t>There are IRP payments to respondents pursuant to completion and approval of the</w:t>
      </w:r>
    </w:p>
    <w:p w:rsidR="00981D51" w:rsidRPr="0073488E" w:rsidRDefault="00E607ED">
      <w:pPr>
        <w:spacing w:line="269" w:lineRule="exact"/>
        <w:ind w:left="360"/>
        <w:textAlignment w:val="baseline"/>
        <w:rPr>
          <w:rFonts w:eastAsia="Times New Roman"/>
          <w:color w:val="000000" w:themeColor="text1"/>
          <w:sz w:val="23"/>
        </w:rPr>
      </w:pPr>
      <w:r w:rsidRPr="0073488E">
        <w:rPr>
          <w:rFonts w:eastAsia="Times New Roman"/>
          <w:color w:val="000000" w:themeColor="text1"/>
          <w:sz w:val="23"/>
        </w:rPr>
        <w:t>transaction. There are no gifts to respondents.</w:t>
      </w:r>
    </w:p>
    <w:p w:rsidR="00981D51" w:rsidRPr="0073488E" w:rsidRDefault="00E607ED">
      <w:pPr>
        <w:spacing w:before="252" w:line="237" w:lineRule="exact"/>
        <w:ind w:left="360" w:right="648"/>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10. Describe any assurance of confidentiality provided to respondents and the basis for assurance in statute, regulation or agency policy.</w:t>
      </w:r>
    </w:p>
    <w:p w:rsidR="00981D51" w:rsidRPr="0073488E" w:rsidRDefault="00E607ED" w:rsidP="00C84E33">
      <w:pPr>
        <w:spacing w:before="292" w:line="269" w:lineRule="exact"/>
        <w:ind w:firstLine="360"/>
        <w:textAlignment w:val="baseline"/>
        <w:rPr>
          <w:rFonts w:eastAsia="Times New Roman"/>
          <w:color w:val="000000" w:themeColor="text1"/>
          <w:sz w:val="23"/>
        </w:rPr>
      </w:pPr>
      <w:r w:rsidRPr="0073488E">
        <w:rPr>
          <w:rFonts w:eastAsia="Times New Roman"/>
          <w:color w:val="000000" w:themeColor="text1"/>
          <w:sz w:val="23"/>
        </w:rPr>
        <w:t>No assurance of confidentiality, statute, regulation, or agency policy is provided.</w:t>
      </w:r>
    </w:p>
    <w:p w:rsidR="00981D51" w:rsidRPr="0073488E" w:rsidRDefault="00E607ED">
      <w:pPr>
        <w:spacing w:before="256" w:line="237" w:lineRule="exact"/>
        <w:ind w:left="360" w:right="72"/>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81D51" w:rsidRPr="0073488E" w:rsidRDefault="00E607ED" w:rsidP="00C84E33">
      <w:pPr>
        <w:spacing w:before="291" w:line="269" w:lineRule="exact"/>
        <w:ind w:firstLine="360"/>
        <w:textAlignment w:val="baseline"/>
        <w:rPr>
          <w:rFonts w:eastAsia="Times New Roman"/>
          <w:color w:val="000000" w:themeColor="text1"/>
          <w:sz w:val="23"/>
        </w:rPr>
      </w:pPr>
      <w:r w:rsidRPr="0073488E">
        <w:rPr>
          <w:rFonts w:eastAsia="Times New Roman"/>
          <w:color w:val="000000" w:themeColor="text1"/>
          <w:sz w:val="23"/>
        </w:rPr>
        <w:t>There are no questions of a sensitive nature included in these documents.</w:t>
      </w:r>
    </w:p>
    <w:p w:rsidR="00981D51" w:rsidRPr="0073488E" w:rsidRDefault="00E607ED">
      <w:pPr>
        <w:spacing w:before="284" w:line="206" w:lineRule="exact"/>
        <w:ind w:left="360"/>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12. Provide estimates of the hour burden of the collection of information. The statement should:</w:t>
      </w:r>
    </w:p>
    <w:p w:rsidR="00981D51" w:rsidRPr="0073488E" w:rsidRDefault="00981D51">
      <w:pPr>
        <w:rPr>
          <w:color w:val="000000" w:themeColor="text1"/>
        </w:rPr>
        <w:sectPr w:rsidR="00981D51" w:rsidRPr="0073488E" w:rsidSect="0054773A">
          <w:pgSz w:w="11904" w:h="16843"/>
          <w:pgMar w:top="1090" w:right="1387" w:bottom="2127" w:left="1377" w:header="720" w:footer="720" w:gutter="0"/>
          <w:cols w:space="720"/>
        </w:sectPr>
      </w:pPr>
    </w:p>
    <w:p w:rsidR="00981D51" w:rsidRPr="0073488E" w:rsidRDefault="00E607ED">
      <w:pPr>
        <w:numPr>
          <w:ilvl w:val="0"/>
          <w:numId w:val="3"/>
        </w:numPr>
        <w:tabs>
          <w:tab w:val="clear" w:pos="360"/>
          <w:tab w:val="left" w:pos="1080"/>
        </w:tabs>
        <w:spacing w:before="26" w:line="236" w:lineRule="exact"/>
        <w:ind w:left="1080" w:right="1224" w:hanging="360"/>
        <w:textAlignment w:val="baseline"/>
        <w:rPr>
          <w:rFonts w:ascii="Calibri" w:eastAsia="Calibri" w:hAnsi="Calibri"/>
          <w:b/>
          <w:color w:val="000000" w:themeColor="text1"/>
          <w:spacing w:val="-2"/>
          <w:sz w:val="20"/>
        </w:rPr>
      </w:pPr>
      <w:r w:rsidRPr="0073488E">
        <w:rPr>
          <w:rFonts w:ascii="Calibri" w:eastAsia="Calibri" w:hAnsi="Calibri"/>
          <w:b/>
          <w:color w:val="000000" w:themeColor="text1"/>
          <w:spacing w:val="-2"/>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981D51" w:rsidRPr="0073488E" w:rsidRDefault="00E607ED">
      <w:pPr>
        <w:numPr>
          <w:ilvl w:val="0"/>
          <w:numId w:val="3"/>
        </w:numPr>
        <w:tabs>
          <w:tab w:val="clear" w:pos="360"/>
          <w:tab w:val="left" w:pos="1080"/>
        </w:tabs>
        <w:spacing w:before="248" w:line="236" w:lineRule="exact"/>
        <w:ind w:left="1080" w:right="1224" w:hanging="360"/>
        <w:jc w:val="both"/>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if this request covers more than one form, provide separate hour burden estimates for each form and aggregate the hour burdens in Item 13 of form OMB 83-I; and</w:t>
      </w:r>
    </w:p>
    <w:p w:rsidR="00981D51" w:rsidRPr="0073488E" w:rsidRDefault="00E607ED">
      <w:pPr>
        <w:numPr>
          <w:ilvl w:val="0"/>
          <w:numId w:val="3"/>
        </w:numPr>
        <w:tabs>
          <w:tab w:val="clear" w:pos="360"/>
          <w:tab w:val="left" w:pos="1080"/>
        </w:tabs>
        <w:spacing w:before="252" w:line="236" w:lineRule="exact"/>
        <w:ind w:left="1080" w:right="1008" w:hanging="360"/>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81D51" w:rsidRPr="0073488E" w:rsidRDefault="00C84E33" w:rsidP="00C84E33">
      <w:pPr>
        <w:tabs>
          <w:tab w:val="left" w:pos="288"/>
          <w:tab w:val="left" w:pos="360"/>
        </w:tabs>
        <w:spacing w:before="294" w:line="270" w:lineRule="exact"/>
        <w:ind w:left="72"/>
        <w:textAlignment w:val="baseline"/>
        <w:rPr>
          <w:rFonts w:eastAsia="Times New Roman"/>
          <w:color w:val="000000" w:themeColor="text1"/>
          <w:spacing w:val="1"/>
          <w:sz w:val="23"/>
        </w:rPr>
      </w:pPr>
      <w:r w:rsidRPr="0073488E">
        <w:rPr>
          <w:rFonts w:eastAsia="Times New Roman"/>
          <w:color w:val="000000" w:themeColor="text1"/>
          <w:spacing w:val="1"/>
          <w:sz w:val="23"/>
        </w:rPr>
        <w:tab/>
      </w:r>
      <w:r w:rsidRPr="0073488E">
        <w:rPr>
          <w:rFonts w:eastAsia="Times New Roman"/>
          <w:color w:val="000000" w:themeColor="text1"/>
          <w:spacing w:val="1"/>
          <w:sz w:val="23"/>
        </w:rPr>
        <w:tab/>
      </w:r>
      <w:r w:rsidR="00E607ED" w:rsidRPr="0073488E">
        <w:rPr>
          <w:rFonts w:eastAsia="Times New Roman"/>
          <w:color w:val="000000" w:themeColor="text1"/>
          <w:spacing w:val="1"/>
          <w:sz w:val="23"/>
        </w:rPr>
        <w:t>Annual Burden Estimate:</w:t>
      </w:r>
    </w:p>
    <w:p w:rsidR="00981D51" w:rsidRPr="0073488E" w:rsidRDefault="00E607ED">
      <w:pPr>
        <w:spacing w:before="273" w:line="269" w:lineRule="exact"/>
        <w:ind w:left="360" w:right="1152"/>
        <w:textAlignment w:val="baseline"/>
        <w:rPr>
          <w:rFonts w:eastAsia="Times New Roman"/>
          <w:color w:val="000000" w:themeColor="text1"/>
          <w:sz w:val="23"/>
        </w:rPr>
      </w:pPr>
      <w:r w:rsidRPr="0073488E">
        <w:rPr>
          <w:rFonts w:eastAsia="Times New Roman"/>
          <w:color w:val="000000" w:themeColor="text1"/>
          <w:sz w:val="23"/>
        </w:rPr>
        <w:t>Five individuals who normally submit this information collection were contacted regarding estimates of burden hours and suggestions on ways to reduce the public burden. The sample of individuals included, Owners counsel, Management Agent, HUD Reviewers, and a non</w:t>
      </w:r>
      <w:r w:rsidRPr="0073488E">
        <w:rPr>
          <w:rFonts w:eastAsia="Times New Roman"/>
          <w:color w:val="000000" w:themeColor="text1"/>
          <w:sz w:val="23"/>
        </w:rPr>
        <w:softHyphen/>
        <w:t>profit Developer.</w:t>
      </w:r>
    </w:p>
    <w:p w:rsidR="00981D51" w:rsidRPr="0073488E" w:rsidRDefault="00E607ED">
      <w:pPr>
        <w:spacing w:before="312" w:after="135" w:line="226" w:lineRule="exact"/>
        <w:ind w:left="3312"/>
        <w:textAlignment w:val="baseline"/>
        <w:rPr>
          <w:rFonts w:ascii="Calibri" w:eastAsia="Calibri" w:hAnsi="Calibri"/>
          <w:color w:val="000000" w:themeColor="text1"/>
        </w:rPr>
      </w:pPr>
      <w:r w:rsidRPr="0073488E">
        <w:rPr>
          <w:rFonts w:ascii="Calibri" w:eastAsia="Calibri" w:hAnsi="Calibri"/>
          <w:color w:val="000000" w:themeColor="text1"/>
        </w:rPr>
        <w:t>Estimates of the Hour burden of the Collection of Information</w:t>
      </w:r>
    </w:p>
    <w:tbl>
      <w:tblPr>
        <w:tblW w:w="8995" w:type="dxa"/>
        <w:tblInd w:w="10" w:type="dxa"/>
        <w:tblLayout w:type="fixed"/>
        <w:tblCellMar>
          <w:left w:w="0" w:type="dxa"/>
          <w:right w:w="0" w:type="dxa"/>
        </w:tblCellMar>
        <w:tblLook w:val="04A0" w:firstRow="1" w:lastRow="0" w:firstColumn="1" w:lastColumn="0" w:noHBand="0" w:noVBand="1"/>
      </w:tblPr>
      <w:tblGrid>
        <w:gridCol w:w="1525"/>
        <w:gridCol w:w="1170"/>
        <w:gridCol w:w="990"/>
        <w:gridCol w:w="900"/>
        <w:gridCol w:w="1170"/>
        <w:gridCol w:w="900"/>
        <w:gridCol w:w="1080"/>
        <w:gridCol w:w="1260"/>
      </w:tblGrid>
      <w:tr w:rsidR="0073488E" w:rsidRPr="0073488E" w:rsidTr="000809CC">
        <w:trPr>
          <w:trHeight w:hRule="exact" w:val="893"/>
        </w:trPr>
        <w:tc>
          <w:tcPr>
            <w:tcW w:w="1525"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after="374" w:line="257"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Information </w:t>
            </w:r>
            <w:r w:rsidRPr="0073488E">
              <w:rPr>
                <w:rFonts w:ascii="Calibri" w:eastAsia="Calibri" w:hAnsi="Calibri" w:cs="Calibri"/>
                <w:color w:val="000000" w:themeColor="text1"/>
                <w:sz w:val="16"/>
                <w:szCs w:val="16"/>
              </w:rPr>
              <w:br/>
              <w:t>Collection</w:t>
            </w:r>
          </w:p>
        </w:tc>
        <w:tc>
          <w:tcPr>
            <w:tcW w:w="117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line="257"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*Number </w:t>
            </w:r>
            <w:r w:rsidRPr="0073488E">
              <w:rPr>
                <w:rFonts w:ascii="Calibri" w:eastAsia="Calibri" w:hAnsi="Calibri" w:cs="Calibri"/>
                <w:color w:val="000000" w:themeColor="text1"/>
                <w:sz w:val="16"/>
                <w:szCs w:val="16"/>
              </w:rPr>
              <w:br/>
              <w:t>of</w:t>
            </w:r>
          </w:p>
          <w:p w:rsidR="00981D51" w:rsidRPr="0073488E" w:rsidRDefault="00E607ED">
            <w:pPr>
              <w:spacing w:before="38" w:after="110" w:line="226"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Respondents</w:t>
            </w:r>
          </w:p>
        </w:tc>
        <w:tc>
          <w:tcPr>
            <w:tcW w:w="99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line="227"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Frequency</w:t>
            </w:r>
          </w:p>
          <w:p w:rsidR="00981D51" w:rsidRPr="0073488E" w:rsidRDefault="00E607ED">
            <w:pPr>
              <w:spacing w:before="33" w:line="226"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of</w:t>
            </w:r>
          </w:p>
          <w:p w:rsidR="00981D51" w:rsidRPr="0073488E" w:rsidRDefault="00E607ED">
            <w:pPr>
              <w:spacing w:before="38" w:after="110" w:line="226"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Response</w:t>
            </w:r>
          </w:p>
        </w:tc>
        <w:tc>
          <w:tcPr>
            <w:tcW w:w="90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after="110" w:line="259"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Total </w:t>
            </w:r>
            <w:r w:rsidRPr="0073488E">
              <w:rPr>
                <w:rFonts w:ascii="Calibri" w:eastAsia="Calibri" w:hAnsi="Calibri" w:cs="Calibri"/>
                <w:color w:val="000000" w:themeColor="text1"/>
                <w:sz w:val="16"/>
                <w:szCs w:val="16"/>
              </w:rPr>
              <w:br/>
              <w:t xml:space="preserve">Annual </w:t>
            </w:r>
            <w:r w:rsidRPr="0073488E">
              <w:rPr>
                <w:rFonts w:ascii="Calibri" w:eastAsia="Calibri" w:hAnsi="Calibri" w:cs="Calibri"/>
                <w:color w:val="000000" w:themeColor="text1"/>
                <w:sz w:val="16"/>
                <w:szCs w:val="16"/>
              </w:rPr>
              <w:br/>
              <w:t>Responses</w:t>
            </w:r>
          </w:p>
        </w:tc>
        <w:tc>
          <w:tcPr>
            <w:tcW w:w="117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after="110" w:line="259"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Burden </w:t>
            </w:r>
            <w:r w:rsidRPr="0073488E">
              <w:rPr>
                <w:rFonts w:ascii="Calibri" w:eastAsia="Calibri" w:hAnsi="Calibri" w:cs="Calibri"/>
                <w:color w:val="000000" w:themeColor="text1"/>
                <w:sz w:val="16"/>
                <w:szCs w:val="16"/>
              </w:rPr>
              <w:br/>
              <w:t xml:space="preserve">Hours per </w:t>
            </w:r>
            <w:r w:rsidRPr="0073488E">
              <w:rPr>
                <w:rFonts w:ascii="Calibri" w:eastAsia="Calibri" w:hAnsi="Calibri" w:cs="Calibri"/>
                <w:color w:val="000000" w:themeColor="text1"/>
                <w:sz w:val="16"/>
                <w:szCs w:val="16"/>
              </w:rPr>
              <w:br/>
              <w:t>Response</w:t>
            </w:r>
          </w:p>
        </w:tc>
        <w:tc>
          <w:tcPr>
            <w:tcW w:w="90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after="110" w:line="259"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Annual </w:t>
            </w:r>
            <w:r w:rsidRPr="0073488E">
              <w:rPr>
                <w:rFonts w:ascii="Calibri" w:eastAsia="Calibri" w:hAnsi="Calibri" w:cs="Calibri"/>
                <w:color w:val="000000" w:themeColor="text1"/>
                <w:sz w:val="16"/>
                <w:szCs w:val="16"/>
              </w:rPr>
              <w:br/>
              <w:t xml:space="preserve">Burden </w:t>
            </w:r>
            <w:r w:rsidRPr="0073488E">
              <w:rPr>
                <w:rFonts w:ascii="Calibri" w:eastAsia="Calibri" w:hAnsi="Calibri" w:cs="Calibri"/>
                <w:color w:val="000000" w:themeColor="text1"/>
                <w:sz w:val="16"/>
                <w:szCs w:val="16"/>
              </w:rPr>
              <w:br/>
              <w:t>Hours</w:t>
            </w:r>
          </w:p>
        </w:tc>
        <w:tc>
          <w:tcPr>
            <w:tcW w:w="108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after="374" w:line="257" w:lineRule="exact"/>
              <w:ind w:left="360" w:hanging="216"/>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**Hourly Cost</w:t>
            </w:r>
          </w:p>
        </w:tc>
        <w:tc>
          <w:tcPr>
            <w:tcW w:w="126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after="110" w:line="259"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Total </w:t>
            </w:r>
            <w:r w:rsidRPr="0073488E">
              <w:rPr>
                <w:rFonts w:ascii="Calibri" w:eastAsia="Calibri" w:hAnsi="Calibri" w:cs="Calibri"/>
                <w:color w:val="000000" w:themeColor="text1"/>
                <w:sz w:val="16"/>
                <w:szCs w:val="16"/>
              </w:rPr>
              <w:br/>
              <w:t xml:space="preserve">Annual </w:t>
            </w:r>
            <w:r w:rsidRPr="0073488E">
              <w:rPr>
                <w:rFonts w:ascii="Calibri" w:eastAsia="Calibri" w:hAnsi="Calibri" w:cs="Calibri"/>
                <w:color w:val="000000" w:themeColor="text1"/>
                <w:sz w:val="16"/>
                <w:szCs w:val="16"/>
              </w:rPr>
              <w:br/>
              <w:t>Cost</w:t>
            </w:r>
          </w:p>
        </w:tc>
      </w:tr>
      <w:tr w:rsidR="0073488E" w:rsidRPr="0073488E" w:rsidTr="000809CC">
        <w:trPr>
          <w:trHeight w:hRule="exact" w:val="533"/>
        </w:trPr>
        <w:tc>
          <w:tcPr>
            <w:tcW w:w="1525"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before="129" w:line="199" w:lineRule="exact"/>
              <w:jc w:val="center"/>
              <w:textAlignment w:val="baseline"/>
              <w:rPr>
                <w:rFonts w:ascii="Calibri" w:eastAsia="Arial" w:hAnsi="Calibri" w:cs="Calibri"/>
                <w:color w:val="000000" w:themeColor="text1"/>
                <w:sz w:val="16"/>
                <w:szCs w:val="16"/>
              </w:rPr>
            </w:pPr>
            <w:r w:rsidRPr="0073488E">
              <w:rPr>
                <w:rFonts w:ascii="Calibri" w:eastAsia="Arial" w:hAnsi="Calibri" w:cs="Calibri"/>
                <w:color w:val="000000" w:themeColor="text1"/>
                <w:sz w:val="16"/>
                <w:szCs w:val="16"/>
              </w:rPr>
              <w:t xml:space="preserve">HUD-93173 IRP A </w:t>
            </w:r>
            <w:r w:rsidRPr="0073488E">
              <w:rPr>
                <w:rFonts w:ascii="Calibri" w:eastAsia="Arial" w:hAnsi="Calibri" w:cs="Calibri"/>
                <w:color w:val="000000" w:themeColor="text1"/>
                <w:sz w:val="16"/>
                <w:szCs w:val="16"/>
              </w:rPr>
              <w:br/>
              <w:t>236e(2)</w:t>
            </w:r>
          </w:p>
        </w:tc>
        <w:tc>
          <w:tcPr>
            <w:tcW w:w="1170"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288" w:after="28"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870</w:t>
            </w:r>
          </w:p>
        </w:tc>
        <w:tc>
          <w:tcPr>
            <w:tcW w:w="99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3" w:after="163"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1</w:t>
            </w:r>
          </w:p>
        </w:tc>
        <w:tc>
          <w:tcPr>
            <w:tcW w:w="900"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288" w:after="28" w:line="212" w:lineRule="exact"/>
              <w:ind w:right="376"/>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870</w:t>
            </w:r>
          </w:p>
        </w:tc>
        <w:tc>
          <w:tcPr>
            <w:tcW w:w="117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3" w:after="163" w:line="212" w:lineRule="exact"/>
              <w:ind w:right="465"/>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1</w:t>
            </w:r>
          </w:p>
        </w:tc>
        <w:tc>
          <w:tcPr>
            <w:tcW w:w="900"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288" w:after="28" w:line="212" w:lineRule="exact"/>
              <w:ind w:right="233"/>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870</w:t>
            </w:r>
          </w:p>
        </w:tc>
        <w:tc>
          <w:tcPr>
            <w:tcW w:w="108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tabs>
                <w:tab w:val="decimal" w:pos="576"/>
              </w:tabs>
              <w:spacing w:before="153" w:after="163" w:line="212" w:lineRule="exac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$ 96.53</w:t>
            </w:r>
          </w:p>
        </w:tc>
        <w:tc>
          <w:tcPr>
            <w:tcW w:w="126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3" w:after="158" w:line="217" w:lineRule="exact"/>
              <w:ind w:left="130"/>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$ 83,981</w:t>
            </w:r>
          </w:p>
        </w:tc>
      </w:tr>
      <w:tr w:rsidR="0073488E" w:rsidRPr="0073488E" w:rsidTr="000809CC">
        <w:trPr>
          <w:trHeight w:hRule="exact" w:val="532"/>
        </w:trPr>
        <w:tc>
          <w:tcPr>
            <w:tcW w:w="1525"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333" w:line="194" w:lineRule="exact"/>
              <w:jc w:val="center"/>
              <w:textAlignment w:val="baseline"/>
              <w:rPr>
                <w:rFonts w:ascii="Calibri" w:eastAsia="Arial" w:hAnsi="Calibri" w:cs="Calibri"/>
                <w:color w:val="000000" w:themeColor="text1"/>
                <w:sz w:val="16"/>
                <w:szCs w:val="16"/>
              </w:rPr>
            </w:pPr>
            <w:r w:rsidRPr="0073488E">
              <w:rPr>
                <w:rFonts w:ascii="Calibri" w:eastAsia="Arial" w:hAnsi="Calibri" w:cs="Calibri"/>
                <w:color w:val="000000" w:themeColor="text1"/>
                <w:sz w:val="16"/>
                <w:szCs w:val="16"/>
              </w:rPr>
              <w:t>HUD-93174 UA 236e(2)</w:t>
            </w:r>
          </w:p>
        </w:tc>
        <w:tc>
          <w:tcPr>
            <w:tcW w:w="1170"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287" w:after="28"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870</w:t>
            </w:r>
          </w:p>
        </w:tc>
        <w:tc>
          <w:tcPr>
            <w:tcW w:w="99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3" w:after="162"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1</w:t>
            </w:r>
          </w:p>
        </w:tc>
        <w:tc>
          <w:tcPr>
            <w:tcW w:w="90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3" w:after="162" w:line="212" w:lineRule="exact"/>
              <w:ind w:right="376"/>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870</w:t>
            </w:r>
          </w:p>
        </w:tc>
        <w:tc>
          <w:tcPr>
            <w:tcW w:w="117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3" w:after="162" w:line="212" w:lineRule="exact"/>
              <w:ind w:right="465"/>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1</w:t>
            </w:r>
          </w:p>
        </w:tc>
        <w:tc>
          <w:tcPr>
            <w:tcW w:w="90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3" w:after="162" w:line="212" w:lineRule="exact"/>
              <w:ind w:right="233"/>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870</w:t>
            </w:r>
          </w:p>
        </w:tc>
        <w:tc>
          <w:tcPr>
            <w:tcW w:w="108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tabs>
                <w:tab w:val="decimal" w:pos="576"/>
              </w:tabs>
              <w:spacing w:before="153" w:after="162" w:line="212" w:lineRule="exac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$ 96.53</w:t>
            </w:r>
          </w:p>
        </w:tc>
        <w:tc>
          <w:tcPr>
            <w:tcW w:w="126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3" w:after="158" w:line="216" w:lineRule="exact"/>
              <w:ind w:left="130"/>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$ 83,981</w:t>
            </w:r>
          </w:p>
        </w:tc>
      </w:tr>
      <w:tr w:rsidR="0073488E" w:rsidRPr="0073488E" w:rsidTr="000809CC">
        <w:trPr>
          <w:trHeight w:hRule="exact" w:val="533"/>
        </w:trPr>
        <w:tc>
          <w:tcPr>
            <w:tcW w:w="1525"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334" w:line="194" w:lineRule="exact"/>
              <w:jc w:val="center"/>
              <w:textAlignment w:val="baseline"/>
              <w:rPr>
                <w:rFonts w:ascii="Calibri" w:eastAsia="Arial" w:hAnsi="Calibri" w:cs="Calibri"/>
                <w:color w:val="000000" w:themeColor="text1"/>
                <w:sz w:val="16"/>
                <w:szCs w:val="16"/>
              </w:rPr>
            </w:pPr>
            <w:r w:rsidRPr="0073488E">
              <w:rPr>
                <w:rFonts w:ascii="Calibri" w:eastAsia="Arial" w:hAnsi="Calibri" w:cs="Calibri"/>
                <w:color w:val="000000" w:themeColor="text1"/>
                <w:sz w:val="16"/>
                <w:szCs w:val="16"/>
              </w:rPr>
              <w:t>HUD-93175 IRP A 236b</w:t>
            </w:r>
          </w:p>
        </w:tc>
        <w:tc>
          <w:tcPr>
            <w:tcW w:w="1170"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288" w:after="28"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5</w:t>
            </w:r>
          </w:p>
        </w:tc>
        <w:tc>
          <w:tcPr>
            <w:tcW w:w="99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4" w:after="162"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1</w:t>
            </w:r>
          </w:p>
        </w:tc>
        <w:tc>
          <w:tcPr>
            <w:tcW w:w="90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4" w:after="162" w:line="212" w:lineRule="exact"/>
              <w:ind w:left="481"/>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5</w:t>
            </w:r>
          </w:p>
        </w:tc>
        <w:tc>
          <w:tcPr>
            <w:tcW w:w="117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4" w:after="162" w:line="212" w:lineRule="exact"/>
              <w:ind w:right="465"/>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1</w:t>
            </w:r>
          </w:p>
        </w:tc>
        <w:tc>
          <w:tcPr>
            <w:tcW w:w="90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4" w:after="162" w:line="212" w:lineRule="exact"/>
              <w:ind w:right="323"/>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5</w:t>
            </w:r>
          </w:p>
        </w:tc>
        <w:tc>
          <w:tcPr>
            <w:tcW w:w="108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tabs>
                <w:tab w:val="decimal" w:pos="576"/>
              </w:tabs>
              <w:spacing w:before="154" w:after="162" w:line="212" w:lineRule="exac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$ 96.53</w:t>
            </w:r>
          </w:p>
        </w:tc>
        <w:tc>
          <w:tcPr>
            <w:tcW w:w="126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4" w:after="162" w:line="212" w:lineRule="exact"/>
              <w:ind w:left="130"/>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$ 482.65</w:t>
            </w:r>
          </w:p>
        </w:tc>
      </w:tr>
      <w:tr w:rsidR="0073488E" w:rsidRPr="0073488E" w:rsidTr="000809CC">
        <w:trPr>
          <w:trHeight w:hRule="exact" w:val="533"/>
        </w:trPr>
        <w:tc>
          <w:tcPr>
            <w:tcW w:w="1525"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329" w:line="199" w:lineRule="exact"/>
              <w:jc w:val="center"/>
              <w:textAlignment w:val="baseline"/>
              <w:rPr>
                <w:rFonts w:ascii="Calibri" w:eastAsia="Arial" w:hAnsi="Calibri" w:cs="Calibri"/>
                <w:color w:val="000000" w:themeColor="text1"/>
                <w:sz w:val="16"/>
                <w:szCs w:val="16"/>
              </w:rPr>
            </w:pPr>
            <w:r w:rsidRPr="0073488E">
              <w:rPr>
                <w:rFonts w:ascii="Calibri" w:eastAsia="Arial" w:hAnsi="Calibri" w:cs="Calibri"/>
                <w:color w:val="000000" w:themeColor="text1"/>
                <w:sz w:val="16"/>
                <w:szCs w:val="16"/>
              </w:rPr>
              <w:t>HUD-93176 UA 236b</w:t>
            </w:r>
          </w:p>
        </w:tc>
        <w:tc>
          <w:tcPr>
            <w:tcW w:w="1170"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288" w:after="28"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5</w:t>
            </w:r>
          </w:p>
        </w:tc>
        <w:tc>
          <w:tcPr>
            <w:tcW w:w="99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4" w:after="162"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1</w:t>
            </w:r>
          </w:p>
        </w:tc>
        <w:tc>
          <w:tcPr>
            <w:tcW w:w="90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4" w:after="162" w:line="212" w:lineRule="exact"/>
              <w:ind w:left="481"/>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5</w:t>
            </w:r>
          </w:p>
        </w:tc>
        <w:tc>
          <w:tcPr>
            <w:tcW w:w="117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4" w:after="162" w:line="212" w:lineRule="exact"/>
              <w:ind w:right="465"/>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1</w:t>
            </w:r>
          </w:p>
        </w:tc>
        <w:tc>
          <w:tcPr>
            <w:tcW w:w="90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4" w:after="162"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5</w:t>
            </w:r>
          </w:p>
        </w:tc>
        <w:tc>
          <w:tcPr>
            <w:tcW w:w="108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tabs>
                <w:tab w:val="decimal" w:pos="576"/>
              </w:tabs>
              <w:spacing w:before="154" w:after="162" w:line="212" w:lineRule="exac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$ 96.53</w:t>
            </w:r>
          </w:p>
        </w:tc>
        <w:tc>
          <w:tcPr>
            <w:tcW w:w="126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4" w:after="162" w:line="212" w:lineRule="exact"/>
              <w:ind w:left="130"/>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$ 482.65</w:t>
            </w:r>
          </w:p>
        </w:tc>
      </w:tr>
      <w:tr w:rsidR="0073488E" w:rsidRPr="0073488E" w:rsidTr="000809CC">
        <w:trPr>
          <w:trHeight w:hRule="exact" w:val="538"/>
        </w:trPr>
        <w:tc>
          <w:tcPr>
            <w:tcW w:w="1525"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3" w:after="163"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Total</w:t>
            </w:r>
          </w:p>
        </w:tc>
        <w:tc>
          <w:tcPr>
            <w:tcW w:w="1170"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288" w:after="28"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875</w:t>
            </w:r>
          </w:p>
        </w:tc>
        <w:tc>
          <w:tcPr>
            <w:tcW w:w="990" w:type="dxa"/>
            <w:tcBorders>
              <w:top w:val="single" w:sz="4" w:space="0" w:color="000000"/>
              <w:left w:val="single" w:sz="4" w:space="0" w:color="000000"/>
              <w:bottom w:val="single" w:sz="4" w:space="0" w:color="000000"/>
              <w:right w:val="single" w:sz="4" w:space="0" w:color="000000"/>
            </w:tcBorders>
            <w:shd w:val="clear" w:color="7F7F7F" w:fill="7F7F7F"/>
          </w:tcPr>
          <w:p w:rsidR="00981D51" w:rsidRPr="0073488E" w:rsidRDefault="00981D51">
            <w:pPr>
              <w:textAlignment w:val="baseline"/>
              <w:rPr>
                <w:rFonts w:ascii="Calibri" w:eastAsia="Arial" w:hAnsi="Calibri" w:cs="Calibri"/>
                <w:color w:val="000000" w:themeColor="text1"/>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3" w:after="163"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1750</w:t>
            </w:r>
          </w:p>
        </w:tc>
        <w:tc>
          <w:tcPr>
            <w:tcW w:w="1170" w:type="dxa"/>
            <w:tcBorders>
              <w:top w:val="single" w:sz="4" w:space="0" w:color="000000"/>
              <w:left w:val="single" w:sz="4" w:space="0" w:color="000000"/>
              <w:bottom w:val="single" w:sz="4" w:space="0" w:color="000000"/>
              <w:right w:val="single" w:sz="4" w:space="0" w:color="000000"/>
            </w:tcBorders>
            <w:shd w:val="clear" w:color="8C8C8C" w:fill="8C8C8C"/>
          </w:tcPr>
          <w:p w:rsidR="00981D51" w:rsidRPr="0073488E" w:rsidRDefault="00981D51">
            <w:pPr>
              <w:textAlignment w:val="baseline"/>
              <w:rPr>
                <w:rFonts w:ascii="Calibri" w:eastAsia="Arial" w:hAnsi="Calibri" w:cs="Calibri"/>
                <w:color w:val="000000" w:themeColor="text1"/>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3" w:after="163" w:line="212" w:lineRule="exact"/>
              <w:ind w:right="233"/>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1750</w:t>
            </w:r>
          </w:p>
        </w:tc>
        <w:tc>
          <w:tcPr>
            <w:tcW w:w="1080" w:type="dxa"/>
            <w:tcBorders>
              <w:top w:val="single" w:sz="4" w:space="0" w:color="000000"/>
              <w:left w:val="single" w:sz="4" w:space="0" w:color="000000"/>
              <w:bottom w:val="single" w:sz="4" w:space="0" w:color="000000"/>
              <w:right w:val="single" w:sz="4" w:space="0" w:color="000000"/>
            </w:tcBorders>
            <w:shd w:val="clear" w:color="8C8C8C" w:fill="8C8C8C"/>
          </w:tcPr>
          <w:p w:rsidR="00981D51" w:rsidRPr="0073488E" w:rsidRDefault="00981D51">
            <w:pPr>
              <w:textAlignment w:val="baseline"/>
              <w:rPr>
                <w:rFonts w:ascii="Calibri" w:eastAsia="Arial" w:hAnsi="Calibri" w:cs="Calibri"/>
                <w:color w:val="000000" w:themeColor="text1"/>
                <w:sz w:val="16"/>
                <w:szCs w:val="16"/>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3" w:after="158" w:line="217" w:lineRule="exact"/>
              <w:ind w:left="130"/>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$ 168,927</w:t>
            </w:r>
          </w:p>
        </w:tc>
      </w:tr>
    </w:tbl>
    <w:p w:rsidR="00981D51" w:rsidRPr="0073488E" w:rsidRDefault="00981D51">
      <w:pPr>
        <w:spacing w:after="370" w:line="20" w:lineRule="exact"/>
        <w:rPr>
          <w:color w:val="000000" w:themeColor="text1"/>
        </w:rPr>
      </w:pPr>
    </w:p>
    <w:p w:rsidR="00981D51" w:rsidRPr="0073488E" w:rsidRDefault="00E607ED">
      <w:pPr>
        <w:spacing w:before="5" w:line="185" w:lineRule="exact"/>
        <w:ind w:left="432"/>
        <w:textAlignment w:val="baseline"/>
        <w:rPr>
          <w:rFonts w:eastAsia="Times New Roman"/>
          <w:b/>
          <w:color w:val="000000" w:themeColor="text1"/>
          <w:spacing w:val="-2"/>
          <w:sz w:val="16"/>
        </w:rPr>
      </w:pPr>
      <w:r w:rsidRPr="0073488E">
        <w:rPr>
          <w:rFonts w:eastAsia="Times New Roman"/>
          <w:b/>
          <w:color w:val="000000" w:themeColor="text1"/>
          <w:spacing w:val="-2"/>
          <w:sz w:val="16"/>
        </w:rPr>
        <w:t>*Number of respondents is based on the current number of Section 236 projects in HUD systems that are eligible to decouple.</w:t>
      </w:r>
    </w:p>
    <w:p w:rsidR="00981D51" w:rsidRPr="0073488E" w:rsidRDefault="00E607ED">
      <w:pPr>
        <w:spacing w:before="273" w:line="269" w:lineRule="exact"/>
        <w:ind w:left="432" w:right="1080"/>
        <w:jc w:val="both"/>
        <w:textAlignment w:val="baseline"/>
        <w:rPr>
          <w:rFonts w:eastAsia="Times New Roman"/>
          <w:b/>
          <w:color w:val="000000" w:themeColor="text1"/>
          <w:sz w:val="16"/>
        </w:rPr>
      </w:pPr>
      <w:r w:rsidRPr="0073488E">
        <w:rPr>
          <w:rFonts w:eastAsia="Times New Roman"/>
          <w:b/>
          <w:color w:val="000000" w:themeColor="text1"/>
          <w:sz w:val="16"/>
        </w:rPr>
        <w:t xml:space="preserve">**Hourly cost estimates are based on the owner, owner’s attorney, or public agency’s staff to review, execute, and/or submit the documentation to HUD. Hourly cost is based on survey from </w:t>
      </w:r>
      <w:hyperlink r:id="rId14">
        <w:r w:rsidRPr="0073488E">
          <w:rPr>
            <w:rFonts w:eastAsia="Times New Roman"/>
            <w:b/>
            <w:color w:val="000000" w:themeColor="text1"/>
            <w:sz w:val="16"/>
            <w:u w:val="single"/>
          </w:rPr>
          <w:t>PayScale.com</w:t>
        </w:r>
      </w:hyperlink>
      <w:r w:rsidRPr="0073488E">
        <w:rPr>
          <w:rFonts w:eastAsia="Times New Roman"/>
          <w:b/>
          <w:color w:val="000000" w:themeColor="text1"/>
          <w:sz w:val="16"/>
        </w:rPr>
        <w:t>.</w:t>
      </w:r>
    </w:p>
    <w:p w:rsidR="00981D51" w:rsidRPr="0073488E" w:rsidRDefault="0054773A" w:rsidP="0054773A">
      <w:pPr>
        <w:tabs>
          <w:tab w:val="left" w:pos="288"/>
          <w:tab w:val="left" w:pos="360"/>
        </w:tabs>
        <w:spacing w:before="239" w:line="236" w:lineRule="exact"/>
        <w:ind w:left="360" w:right="1296"/>
        <w:jc w:val="both"/>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13</w:t>
      </w:r>
      <w:r w:rsidR="00C84E33" w:rsidRPr="0073488E">
        <w:rPr>
          <w:rFonts w:ascii="Calibri" w:eastAsia="Calibri" w:hAnsi="Calibri"/>
          <w:b/>
          <w:color w:val="000000" w:themeColor="text1"/>
          <w:sz w:val="20"/>
        </w:rPr>
        <w:t xml:space="preserve"> </w:t>
      </w:r>
      <w:r w:rsidR="00E607ED" w:rsidRPr="0073488E">
        <w:rPr>
          <w:rFonts w:ascii="Calibri" w:eastAsia="Calibri" w:hAnsi="Calibri"/>
          <w:b/>
          <w:color w:val="000000" w:themeColor="text1"/>
          <w:sz w:val="20"/>
        </w:rPr>
        <w:t>Provide an estimate of the total annual cost burden to respondents or record keepers resulting from the collection of information (do not include the cost of any hour burden shown in items 12 and 14).</w:t>
      </w:r>
    </w:p>
    <w:p w:rsidR="00981D51" w:rsidRPr="0073488E" w:rsidRDefault="00E607ED" w:rsidP="0054773A">
      <w:pPr>
        <w:numPr>
          <w:ilvl w:val="0"/>
          <w:numId w:val="5"/>
        </w:numPr>
        <w:tabs>
          <w:tab w:val="clear" w:pos="288"/>
          <w:tab w:val="left" w:pos="720"/>
        </w:tabs>
        <w:spacing w:before="6" w:line="237" w:lineRule="exact"/>
        <w:ind w:left="792" w:right="1008" w:hanging="288"/>
        <w:textAlignment w:val="baseline"/>
        <w:rPr>
          <w:rFonts w:ascii="Calibri" w:eastAsia="Calibri" w:hAnsi="Calibri"/>
          <w:b/>
          <w:color w:val="000000" w:themeColor="text1"/>
          <w:sz w:val="20"/>
        </w:rPr>
      </w:pPr>
      <w:r w:rsidRPr="0073488E">
        <w:rPr>
          <w:rFonts w:ascii="Calibri" w:eastAsia="Calibri" w:hAnsi="Calibri"/>
          <w:b/>
          <w:color w:val="000000" w:themeColor="text1"/>
          <w:spacing w:val="-1"/>
          <w:sz w:val="20"/>
        </w:rPr>
        <w:t>The cost estimate should be split into two components: (a) a total capital and start-up cost component (annualized over its expected useful life); and (b) a total operation and maintenance purchase of</w:t>
      </w:r>
      <w:r w:rsidR="0054773A" w:rsidRPr="0073488E">
        <w:rPr>
          <w:rFonts w:ascii="Calibri" w:eastAsia="Calibri" w:hAnsi="Calibri"/>
          <w:b/>
          <w:color w:val="000000" w:themeColor="text1"/>
          <w:spacing w:val="-1"/>
          <w:sz w:val="20"/>
        </w:rPr>
        <w:t xml:space="preserve"> </w:t>
      </w:r>
      <w:r w:rsidRPr="0073488E">
        <w:rPr>
          <w:rFonts w:ascii="Calibri" w:eastAsia="Calibri" w:hAnsi="Calibri"/>
          <w:b/>
          <w:color w:val="000000" w:themeColor="text1"/>
          <w:sz w:val="20"/>
        </w:rPr>
        <w:t>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81D51" w:rsidRPr="0073488E" w:rsidRDefault="00E607ED">
      <w:pPr>
        <w:numPr>
          <w:ilvl w:val="0"/>
          <w:numId w:val="3"/>
        </w:numPr>
        <w:tabs>
          <w:tab w:val="clear" w:pos="360"/>
          <w:tab w:val="left" w:pos="792"/>
        </w:tabs>
        <w:spacing w:before="256" w:line="237" w:lineRule="exact"/>
        <w:ind w:left="792" w:right="1152" w:hanging="360"/>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81D51" w:rsidRPr="0073488E" w:rsidRDefault="00E607ED">
      <w:pPr>
        <w:numPr>
          <w:ilvl w:val="0"/>
          <w:numId w:val="3"/>
        </w:numPr>
        <w:tabs>
          <w:tab w:val="clear" w:pos="360"/>
          <w:tab w:val="left" w:pos="792"/>
        </w:tabs>
        <w:spacing w:before="247" w:line="237" w:lineRule="exact"/>
        <w:ind w:left="792" w:right="1008" w:hanging="360"/>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81D51" w:rsidRPr="0073488E" w:rsidRDefault="00E607ED" w:rsidP="00C84E33">
      <w:pPr>
        <w:tabs>
          <w:tab w:val="left" w:pos="288"/>
          <w:tab w:val="left" w:pos="432"/>
        </w:tabs>
        <w:spacing w:before="296" w:line="271" w:lineRule="exact"/>
        <w:ind w:left="432"/>
        <w:textAlignment w:val="baseline"/>
        <w:rPr>
          <w:rFonts w:eastAsia="Times New Roman"/>
          <w:color w:val="000000" w:themeColor="text1"/>
          <w:spacing w:val="1"/>
          <w:sz w:val="23"/>
        </w:rPr>
      </w:pPr>
      <w:r w:rsidRPr="0073488E">
        <w:rPr>
          <w:rFonts w:eastAsia="Times New Roman"/>
          <w:color w:val="000000" w:themeColor="text1"/>
          <w:spacing w:val="1"/>
          <w:sz w:val="23"/>
        </w:rPr>
        <w:t>There are no additional costs to respondents.</w:t>
      </w:r>
    </w:p>
    <w:p w:rsidR="00981D51" w:rsidRPr="0073488E" w:rsidRDefault="00E607ED">
      <w:pPr>
        <w:spacing w:before="250" w:line="237" w:lineRule="exact"/>
        <w:ind w:left="432" w:right="1008"/>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81D51" w:rsidRPr="0073488E" w:rsidRDefault="00E607ED" w:rsidP="00C84E33">
      <w:pPr>
        <w:tabs>
          <w:tab w:val="left" w:pos="288"/>
          <w:tab w:val="left" w:pos="432"/>
        </w:tabs>
        <w:spacing w:before="295" w:line="271" w:lineRule="exact"/>
        <w:ind w:left="432"/>
        <w:textAlignment w:val="baseline"/>
        <w:rPr>
          <w:rFonts w:eastAsia="Times New Roman"/>
          <w:b/>
          <w:color w:val="000000" w:themeColor="text1"/>
          <w:spacing w:val="1"/>
          <w:sz w:val="23"/>
        </w:rPr>
      </w:pPr>
      <w:r w:rsidRPr="0073488E">
        <w:rPr>
          <w:rFonts w:eastAsia="Times New Roman"/>
          <w:b/>
          <w:color w:val="000000" w:themeColor="text1"/>
          <w:spacing w:val="1"/>
          <w:sz w:val="23"/>
        </w:rPr>
        <w:t>Annual Cost to the Federal Government:</w:t>
      </w:r>
    </w:p>
    <w:p w:rsidR="00981D51" w:rsidRPr="0073488E" w:rsidRDefault="00E607ED">
      <w:pPr>
        <w:spacing w:before="307" w:after="139" w:line="226" w:lineRule="exact"/>
        <w:ind w:left="1080"/>
        <w:textAlignment w:val="baseline"/>
        <w:rPr>
          <w:rFonts w:ascii="Calibri" w:eastAsia="Calibri" w:hAnsi="Calibri"/>
          <w:color w:val="000000" w:themeColor="text1"/>
        </w:rPr>
      </w:pPr>
      <w:r w:rsidRPr="0073488E">
        <w:rPr>
          <w:rFonts w:ascii="Calibri" w:eastAsia="Calibri" w:hAnsi="Calibri"/>
          <w:color w:val="000000" w:themeColor="text1"/>
        </w:rPr>
        <w:t>Estimates of Annualized Cost to the Federal Government</w:t>
      </w:r>
    </w:p>
    <w:tbl>
      <w:tblPr>
        <w:tblW w:w="8923" w:type="dxa"/>
        <w:tblInd w:w="82" w:type="dxa"/>
        <w:tblLayout w:type="fixed"/>
        <w:tblCellMar>
          <w:left w:w="0" w:type="dxa"/>
          <w:right w:w="0" w:type="dxa"/>
        </w:tblCellMar>
        <w:tblLook w:val="04A0" w:firstRow="1" w:lastRow="0" w:firstColumn="1" w:lastColumn="0" w:noHBand="0" w:noVBand="1"/>
      </w:tblPr>
      <w:tblGrid>
        <w:gridCol w:w="1453"/>
        <w:gridCol w:w="900"/>
        <w:gridCol w:w="990"/>
        <w:gridCol w:w="1260"/>
        <w:gridCol w:w="1350"/>
        <w:gridCol w:w="900"/>
        <w:gridCol w:w="900"/>
        <w:gridCol w:w="1170"/>
      </w:tblGrid>
      <w:tr w:rsidR="0073488E" w:rsidRPr="0073488E" w:rsidTr="000809CC">
        <w:trPr>
          <w:trHeight w:hRule="exact" w:val="888"/>
        </w:trPr>
        <w:tc>
          <w:tcPr>
            <w:tcW w:w="1453"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after="374" w:line="256"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Information </w:t>
            </w:r>
            <w:r w:rsidRPr="0073488E">
              <w:rPr>
                <w:rFonts w:ascii="Calibri" w:eastAsia="Calibri" w:hAnsi="Calibri" w:cs="Calibri"/>
                <w:color w:val="000000" w:themeColor="text1"/>
                <w:sz w:val="16"/>
                <w:szCs w:val="16"/>
              </w:rPr>
              <w:br/>
              <w:t>Collection</w:t>
            </w:r>
          </w:p>
        </w:tc>
        <w:tc>
          <w:tcPr>
            <w:tcW w:w="90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line="256"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Number </w:t>
            </w:r>
            <w:r w:rsidRPr="0073488E">
              <w:rPr>
                <w:rFonts w:ascii="Calibri" w:eastAsia="Calibri" w:hAnsi="Calibri" w:cs="Calibri"/>
                <w:color w:val="000000" w:themeColor="text1"/>
                <w:sz w:val="16"/>
                <w:szCs w:val="16"/>
              </w:rPr>
              <w:br/>
              <w:t>of</w:t>
            </w:r>
          </w:p>
          <w:p w:rsidR="00981D51" w:rsidRPr="0073488E" w:rsidRDefault="00E607ED">
            <w:pPr>
              <w:spacing w:before="33" w:after="115" w:line="226"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Respondents</w:t>
            </w:r>
          </w:p>
        </w:tc>
        <w:tc>
          <w:tcPr>
            <w:tcW w:w="99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line="226"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Frequency</w:t>
            </w:r>
          </w:p>
          <w:p w:rsidR="00981D51" w:rsidRPr="0073488E" w:rsidRDefault="00E607ED">
            <w:pPr>
              <w:spacing w:before="38" w:line="226" w:lineRule="exact"/>
              <w:ind w:right="518"/>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of</w:t>
            </w:r>
          </w:p>
          <w:p w:rsidR="00981D51" w:rsidRPr="0073488E" w:rsidRDefault="00E607ED">
            <w:pPr>
              <w:spacing w:before="33" w:after="115" w:line="226"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Response</w:t>
            </w:r>
          </w:p>
        </w:tc>
        <w:tc>
          <w:tcPr>
            <w:tcW w:w="126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after="115" w:line="257"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Total </w:t>
            </w:r>
            <w:r w:rsidRPr="0073488E">
              <w:rPr>
                <w:rFonts w:ascii="Calibri" w:eastAsia="Calibri" w:hAnsi="Calibri" w:cs="Calibri"/>
                <w:color w:val="000000" w:themeColor="text1"/>
                <w:sz w:val="16"/>
                <w:szCs w:val="16"/>
              </w:rPr>
              <w:br/>
              <w:t xml:space="preserve">Annual </w:t>
            </w:r>
            <w:r w:rsidRPr="0073488E">
              <w:rPr>
                <w:rFonts w:ascii="Calibri" w:eastAsia="Calibri" w:hAnsi="Calibri" w:cs="Calibri"/>
                <w:color w:val="000000" w:themeColor="text1"/>
                <w:sz w:val="16"/>
                <w:szCs w:val="16"/>
              </w:rPr>
              <w:br/>
              <w:t>Responses</w:t>
            </w:r>
          </w:p>
        </w:tc>
        <w:tc>
          <w:tcPr>
            <w:tcW w:w="135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after="115" w:line="257"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Burden </w:t>
            </w:r>
            <w:r w:rsidRPr="0073488E">
              <w:rPr>
                <w:rFonts w:ascii="Calibri" w:eastAsia="Calibri" w:hAnsi="Calibri" w:cs="Calibri"/>
                <w:color w:val="000000" w:themeColor="text1"/>
                <w:sz w:val="16"/>
                <w:szCs w:val="16"/>
              </w:rPr>
              <w:br/>
              <w:t xml:space="preserve">Hours per </w:t>
            </w:r>
            <w:r w:rsidRPr="0073488E">
              <w:rPr>
                <w:rFonts w:ascii="Calibri" w:eastAsia="Calibri" w:hAnsi="Calibri" w:cs="Calibri"/>
                <w:color w:val="000000" w:themeColor="text1"/>
                <w:sz w:val="16"/>
                <w:szCs w:val="16"/>
              </w:rPr>
              <w:br/>
              <w:t>Response</w:t>
            </w:r>
          </w:p>
        </w:tc>
        <w:tc>
          <w:tcPr>
            <w:tcW w:w="90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after="115" w:line="257"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Annual </w:t>
            </w:r>
            <w:r w:rsidRPr="0073488E">
              <w:rPr>
                <w:rFonts w:ascii="Calibri" w:eastAsia="Calibri" w:hAnsi="Calibri" w:cs="Calibri"/>
                <w:color w:val="000000" w:themeColor="text1"/>
                <w:sz w:val="16"/>
                <w:szCs w:val="16"/>
              </w:rPr>
              <w:br/>
              <w:t xml:space="preserve">Burden </w:t>
            </w:r>
            <w:r w:rsidRPr="0073488E">
              <w:rPr>
                <w:rFonts w:ascii="Calibri" w:eastAsia="Calibri" w:hAnsi="Calibri" w:cs="Calibri"/>
                <w:color w:val="000000" w:themeColor="text1"/>
                <w:sz w:val="16"/>
                <w:szCs w:val="16"/>
              </w:rPr>
              <w:br/>
              <w:t>Hours</w:t>
            </w:r>
          </w:p>
        </w:tc>
        <w:tc>
          <w:tcPr>
            <w:tcW w:w="90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after="374" w:line="256"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Hourly </w:t>
            </w:r>
            <w:r w:rsidRPr="0073488E">
              <w:rPr>
                <w:rFonts w:ascii="Calibri" w:eastAsia="Calibri" w:hAnsi="Calibri" w:cs="Calibri"/>
                <w:color w:val="000000" w:themeColor="text1"/>
                <w:sz w:val="16"/>
                <w:szCs w:val="16"/>
              </w:rPr>
              <w:br/>
              <w:t>Cost</w:t>
            </w:r>
          </w:p>
        </w:tc>
        <w:tc>
          <w:tcPr>
            <w:tcW w:w="1170"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after="115" w:line="257"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Total </w:t>
            </w:r>
            <w:r w:rsidRPr="0073488E">
              <w:rPr>
                <w:rFonts w:ascii="Calibri" w:eastAsia="Calibri" w:hAnsi="Calibri" w:cs="Calibri"/>
                <w:color w:val="000000" w:themeColor="text1"/>
                <w:sz w:val="16"/>
                <w:szCs w:val="16"/>
              </w:rPr>
              <w:br/>
              <w:t xml:space="preserve">Annual </w:t>
            </w:r>
            <w:r w:rsidRPr="0073488E">
              <w:rPr>
                <w:rFonts w:ascii="Calibri" w:eastAsia="Calibri" w:hAnsi="Calibri" w:cs="Calibri"/>
                <w:color w:val="000000" w:themeColor="text1"/>
                <w:sz w:val="16"/>
                <w:szCs w:val="16"/>
              </w:rPr>
              <w:br/>
              <w:t>Cost</w:t>
            </w:r>
          </w:p>
        </w:tc>
      </w:tr>
      <w:tr w:rsidR="0073488E" w:rsidRPr="0073488E" w:rsidTr="000809CC">
        <w:trPr>
          <w:trHeight w:hRule="exact" w:val="533"/>
        </w:trPr>
        <w:tc>
          <w:tcPr>
            <w:tcW w:w="1453" w:type="dxa"/>
            <w:tcBorders>
              <w:top w:val="single" w:sz="4" w:space="0" w:color="000000"/>
              <w:left w:val="single" w:sz="4" w:space="0" w:color="000000"/>
              <w:bottom w:val="single" w:sz="4" w:space="0" w:color="000000"/>
              <w:right w:val="single" w:sz="4" w:space="0" w:color="000000"/>
            </w:tcBorders>
          </w:tcPr>
          <w:p w:rsidR="00981D51" w:rsidRPr="0073488E" w:rsidRDefault="00E607ED">
            <w:pPr>
              <w:spacing w:before="132" w:line="200" w:lineRule="exact"/>
              <w:jc w:val="center"/>
              <w:textAlignment w:val="baseline"/>
              <w:rPr>
                <w:rFonts w:ascii="Calibri" w:eastAsia="Arial" w:hAnsi="Calibri" w:cs="Calibri"/>
                <w:color w:val="000000" w:themeColor="text1"/>
                <w:sz w:val="16"/>
                <w:szCs w:val="16"/>
              </w:rPr>
            </w:pPr>
            <w:r w:rsidRPr="0073488E">
              <w:rPr>
                <w:rFonts w:ascii="Calibri" w:eastAsia="Arial" w:hAnsi="Calibri" w:cs="Calibri"/>
                <w:color w:val="000000" w:themeColor="text1"/>
                <w:sz w:val="16"/>
                <w:szCs w:val="16"/>
              </w:rPr>
              <w:t>Form-HUD 93173 thru</w:t>
            </w:r>
          </w:p>
          <w:p w:rsidR="00981D51" w:rsidRPr="0073488E" w:rsidRDefault="00E607ED">
            <w:pPr>
              <w:spacing w:before="1" w:line="199" w:lineRule="exact"/>
              <w:jc w:val="center"/>
              <w:textAlignment w:val="baseline"/>
              <w:rPr>
                <w:rFonts w:ascii="Calibri" w:eastAsia="Arial" w:hAnsi="Calibri" w:cs="Calibri"/>
                <w:color w:val="000000" w:themeColor="text1"/>
                <w:sz w:val="16"/>
                <w:szCs w:val="16"/>
              </w:rPr>
            </w:pPr>
            <w:r w:rsidRPr="0073488E">
              <w:rPr>
                <w:rFonts w:ascii="Calibri" w:eastAsia="Arial" w:hAnsi="Calibri" w:cs="Calibri"/>
                <w:color w:val="000000" w:themeColor="text1"/>
                <w:sz w:val="16"/>
                <w:szCs w:val="16"/>
              </w:rPr>
              <w:t>93176</w:t>
            </w:r>
          </w:p>
        </w:tc>
        <w:tc>
          <w:tcPr>
            <w:tcW w:w="900"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287" w:after="33"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875</w:t>
            </w:r>
          </w:p>
        </w:tc>
        <w:tc>
          <w:tcPr>
            <w:tcW w:w="99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8" w:after="162" w:line="212" w:lineRule="exact"/>
              <w:ind w:right="518"/>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1</w:t>
            </w:r>
          </w:p>
        </w:tc>
        <w:tc>
          <w:tcPr>
            <w:tcW w:w="1260"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287" w:after="33"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875</w:t>
            </w:r>
          </w:p>
        </w:tc>
        <w:tc>
          <w:tcPr>
            <w:tcW w:w="135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8" w:after="162"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0.5</w:t>
            </w:r>
          </w:p>
        </w:tc>
        <w:tc>
          <w:tcPr>
            <w:tcW w:w="90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8" w:after="162"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437.5</w:t>
            </w:r>
          </w:p>
        </w:tc>
        <w:tc>
          <w:tcPr>
            <w:tcW w:w="90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8" w:after="162" w:line="212" w:lineRule="exact"/>
              <w:ind w:right="110"/>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w:t>
            </w:r>
            <w:r w:rsidR="00F04746" w:rsidRPr="0073488E">
              <w:rPr>
                <w:rFonts w:ascii="Calibri" w:eastAsia="Calibri" w:hAnsi="Calibri" w:cs="Calibri"/>
                <w:color w:val="000000" w:themeColor="text1"/>
                <w:sz w:val="16"/>
                <w:szCs w:val="16"/>
              </w:rPr>
              <w:t>53.68</w:t>
            </w:r>
          </w:p>
        </w:tc>
        <w:tc>
          <w:tcPr>
            <w:tcW w:w="117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8" w:after="158" w:line="216" w:lineRule="exact"/>
              <w:ind w:left="216"/>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xml:space="preserve">$ </w:t>
            </w:r>
            <w:r w:rsidR="00F04746" w:rsidRPr="0073488E">
              <w:rPr>
                <w:rFonts w:ascii="Calibri" w:eastAsia="Calibri" w:hAnsi="Calibri" w:cs="Calibri"/>
                <w:color w:val="000000" w:themeColor="text1"/>
                <w:sz w:val="16"/>
                <w:szCs w:val="16"/>
              </w:rPr>
              <w:t>23</w:t>
            </w:r>
            <w:r w:rsidRPr="0073488E">
              <w:rPr>
                <w:rFonts w:ascii="Calibri" w:eastAsia="Calibri" w:hAnsi="Calibri" w:cs="Calibri"/>
                <w:color w:val="000000" w:themeColor="text1"/>
                <w:sz w:val="16"/>
                <w:szCs w:val="16"/>
              </w:rPr>
              <w:t>,</w:t>
            </w:r>
            <w:r w:rsidR="00F04746" w:rsidRPr="0073488E">
              <w:rPr>
                <w:rFonts w:ascii="Calibri" w:eastAsia="Calibri" w:hAnsi="Calibri" w:cs="Calibri"/>
                <w:color w:val="000000" w:themeColor="text1"/>
                <w:sz w:val="16"/>
                <w:szCs w:val="16"/>
              </w:rPr>
              <w:t>485</w:t>
            </w:r>
          </w:p>
        </w:tc>
      </w:tr>
      <w:tr w:rsidR="00981D51" w:rsidRPr="0073488E" w:rsidTr="000809CC">
        <w:trPr>
          <w:trHeight w:hRule="exact" w:val="537"/>
        </w:trPr>
        <w:tc>
          <w:tcPr>
            <w:tcW w:w="1453"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7" w:after="163"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Total</w:t>
            </w:r>
          </w:p>
        </w:tc>
        <w:tc>
          <w:tcPr>
            <w:tcW w:w="900"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287" w:after="33"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875</w:t>
            </w:r>
          </w:p>
        </w:tc>
        <w:tc>
          <w:tcPr>
            <w:tcW w:w="99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7" w:after="163" w:line="212" w:lineRule="exact"/>
              <w:ind w:right="518"/>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1</w:t>
            </w:r>
          </w:p>
        </w:tc>
        <w:tc>
          <w:tcPr>
            <w:tcW w:w="1260" w:type="dxa"/>
            <w:tcBorders>
              <w:top w:val="single" w:sz="4" w:space="0" w:color="000000"/>
              <w:left w:val="single" w:sz="4" w:space="0" w:color="000000"/>
              <w:bottom w:val="single" w:sz="4" w:space="0" w:color="000000"/>
              <w:right w:val="single" w:sz="4" w:space="0" w:color="000000"/>
            </w:tcBorders>
            <w:vAlign w:val="bottom"/>
          </w:tcPr>
          <w:p w:rsidR="00981D51" w:rsidRPr="0073488E" w:rsidRDefault="00E607ED">
            <w:pPr>
              <w:spacing w:before="287" w:after="33"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875</w:t>
            </w:r>
          </w:p>
        </w:tc>
        <w:tc>
          <w:tcPr>
            <w:tcW w:w="135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7" w:after="163"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0.5</w:t>
            </w:r>
          </w:p>
        </w:tc>
        <w:tc>
          <w:tcPr>
            <w:tcW w:w="90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E607ED">
            <w:pPr>
              <w:spacing w:before="157" w:after="163" w:line="212" w:lineRule="exact"/>
              <w:jc w:val="center"/>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437.5</w:t>
            </w:r>
          </w:p>
        </w:tc>
        <w:tc>
          <w:tcPr>
            <w:tcW w:w="90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F04746">
            <w:pPr>
              <w:spacing w:before="157" w:after="163" w:line="212" w:lineRule="exact"/>
              <w:ind w:right="110"/>
              <w:jc w:val="right"/>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$53.68</w:t>
            </w:r>
          </w:p>
        </w:tc>
        <w:tc>
          <w:tcPr>
            <w:tcW w:w="1170" w:type="dxa"/>
            <w:tcBorders>
              <w:top w:val="single" w:sz="4" w:space="0" w:color="000000"/>
              <w:left w:val="single" w:sz="4" w:space="0" w:color="000000"/>
              <w:bottom w:val="single" w:sz="4" w:space="0" w:color="000000"/>
              <w:right w:val="single" w:sz="4" w:space="0" w:color="000000"/>
            </w:tcBorders>
            <w:vAlign w:val="center"/>
          </w:tcPr>
          <w:p w:rsidR="00981D51" w:rsidRPr="0073488E" w:rsidRDefault="00F04746">
            <w:pPr>
              <w:spacing w:before="157" w:after="158" w:line="217" w:lineRule="exact"/>
              <w:ind w:left="216"/>
              <w:textAlignment w:val="baseline"/>
              <w:rPr>
                <w:rFonts w:ascii="Calibri" w:eastAsia="Calibri" w:hAnsi="Calibri" w:cs="Calibri"/>
                <w:color w:val="000000" w:themeColor="text1"/>
                <w:sz w:val="16"/>
                <w:szCs w:val="16"/>
              </w:rPr>
            </w:pPr>
            <w:r w:rsidRPr="0073488E">
              <w:rPr>
                <w:rFonts w:ascii="Calibri" w:eastAsia="Calibri" w:hAnsi="Calibri" w:cs="Calibri"/>
                <w:color w:val="000000" w:themeColor="text1"/>
                <w:sz w:val="16"/>
                <w:szCs w:val="16"/>
              </w:rPr>
              <w:t>$ 23,485</w:t>
            </w:r>
          </w:p>
        </w:tc>
      </w:tr>
    </w:tbl>
    <w:p w:rsidR="00981D51" w:rsidRPr="0073488E" w:rsidRDefault="00981D51">
      <w:pPr>
        <w:spacing w:after="483" w:line="20" w:lineRule="exact"/>
        <w:rPr>
          <w:color w:val="000000" w:themeColor="text1"/>
        </w:rPr>
      </w:pPr>
    </w:p>
    <w:p w:rsidR="00981D51" w:rsidRPr="0073488E" w:rsidRDefault="00E607ED">
      <w:pPr>
        <w:spacing w:line="225" w:lineRule="exact"/>
        <w:ind w:left="432" w:right="1512"/>
        <w:jc w:val="both"/>
        <w:textAlignment w:val="baseline"/>
        <w:rPr>
          <w:rFonts w:eastAsia="Times New Roman"/>
          <w:b/>
          <w:color w:val="000000" w:themeColor="text1"/>
          <w:sz w:val="19"/>
        </w:rPr>
      </w:pPr>
      <w:r w:rsidRPr="0073488E">
        <w:rPr>
          <w:rFonts w:eastAsia="Times New Roman"/>
          <w:b/>
          <w:color w:val="000000" w:themeColor="text1"/>
          <w:sz w:val="19"/>
        </w:rPr>
        <w:t>*Estimated hourly cost is based on the annual salary of a GS-14 OAHP Reviewers, and GS-14 Attorney Advisors reviewing the information.</w:t>
      </w:r>
    </w:p>
    <w:p w:rsidR="0054773A" w:rsidRPr="0073488E" w:rsidRDefault="0054773A">
      <w:pPr>
        <w:spacing w:line="225" w:lineRule="exact"/>
        <w:ind w:left="432" w:right="1512"/>
        <w:jc w:val="both"/>
        <w:textAlignment w:val="baseline"/>
        <w:rPr>
          <w:rFonts w:eastAsia="Times New Roman"/>
          <w:b/>
          <w:color w:val="000000" w:themeColor="text1"/>
          <w:sz w:val="19"/>
        </w:rPr>
      </w:pPr>
    </w:p>
    <w:p w:rsidR="00981D51" w:rsidRPr="0073488E" w:rsidRDefault="0054773A" w:rsidP="0054773A">
      <w:pPr>
        <w:spacing w:before="5" w:line="237" w:lineRule="exact"/>
        <w:ind w:left="360"/>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 xml:space="preserve">15. </w:t>
      </w:r>
      <w:r w:rsidR="00E607ED" w:rsidRPr="0073488E">
        <w:rPr>
          <w:rFonts w:ascii="Calibri" w:eastAsia="Calibri" w:hAnsi="Calibri"/>
          <w:b/>
          <w:color w:val="000000" w:themeColor="text1"/>
          <w:sz w:val="20"/>
        </w:rPr>
        <w:t>Explain the reasons of any program changes or adjustments reported in Items 13 and 14 of the OMB form 83-I.</w:t>
      </w:r>
    </w:p>
    <w:p w:rsidR="00981D51" w:rsidRPr="0073488E" w:rsidRDefault="00AE4D5E" w:rsidP="0054773A">
      <w:pPr>
        <w:spacing w:before="295" w:line="269" w:lineRule="exact"/>
        <w:ind w:left="432" w:right="1512" w:hanging="72"/>
        <w:jc w:val="both"/>
        <w:textAlignment w:val="baseline"/>
        <w:rPr>
          <w:rFonts w:eastAsia="Times New Roman"/>
          <w:color w:val="000000" w:themeColor="text1"/>
          <w:sz w:val="23"/>
        </w:rPr>
      </w:pPr>
      <w:r w:rsidRPr="0073488E">
        <w:rPr>
          <w:rFonts w:eastAsia="Times New Roman"/>
          <w:color w:val="000000" w:themeColor="text1"/>
          <w:sz w:val="23"/>
        </w:rPr>
        <w:t>This is a</w:t>
      </w:r>
      <w:r w:rsidR="00737198" w:rsidRPr="0073488E">
        <w:rPr>
          <w:rFonts w:eastAsia="Times New Roman"/>
          <w:color w:val="000000" w:themeColor="text1"/>
          <w:sz w:val="23"/>
        </w:rPr>
        <w:t xml:space="preserve"> revision</w:t>
      </w:r>
      <w:r w:rsidRPr="0073488E">
        <w:rPr>
          <w:rFonts w:eastAsia="Times New Roman"/>
          <w:color w:val="000000" w:themeColor="text1"/>
          <w:sz w:val="23"/>
        </w:rPr>
        <w:t xml:space="preserve"> of a currently approved collection.  </w:t>
      </w:r>
      <w:r w:rsidR="00E607ED" w:rsidRPr="0073488E">
        <w:rPr>
          <w:rFonts w:eastAsia="Times New Roman"/>
          <w:color w:val="000000" w:themeColor="text1"/>
          <w:sz w:val="23"/>
        </w:rPr>
        <w:t xml:space="preserve">Adjustments reported in items 13 and 14 address </w:t>
      </w:r>
      <w:r w:rsidR="00E55A2D" w:rsidRPr="0073488E">
        <w:rPr>
          <w:rFonts w:eastAsia="Times New Roman"/>
          <w:color w:val="000000" w:themeColor="text1"/>
          <w:sz w:val="23"/>
        </w:rPr>
        <w:t>increases</w:t>
      </w:r>
      <w:r w:rsidR="00E607ED" w:rsidRPr="0073488E">
        <w:rPr>
          <w:rFonts w:eastAsia="Times New Roman"/>
          <w:color w:val="000000" w:themeColor="text1"/>
          <w:sz w:val="23"/>
        </w:rPr>
        <w:t xml:space="preserve"> in outstanding Section 236 projects, and actual numbers of decoupled loans in the current year.</w:t>
      </w:r>
      <w:r w:rsidR="00737198" w:rsidRPr="0073488E">
        <w:rPr>
          <w:rFonts w:eastAsia="Times New Roman"/>
          <w:color w:val="000000" w:themeColor="text1"/>
          <w:sz w:val="23"/>
        </w:rPr>
        <w:t xml:space="preserve"> HUD has created an electronic application for eligible projects to retain the IRP benefits after refinancing. Upon approval of the application, owners must submit hard copies to HUD Headquarters for execution. Complete automation of the information collection is not feasible at this time because the agreements must be executed by the new mortgagee or public entity, the owner.</w:t>
      </w:r>
    </w:p>
    <w:p w:rsidR="00981D51" w:rsidRPr="0073488E" w:rsidRDefault="00981D51">
      <w:pPr>
        <w:rPr>
          <w:color w:val="000000" w:themeColor="text1"/>
        </w:rPr>
      </w:pPr>
    </w:p>
    <w:p w:rsidR="0054773A" w:rsidRPr="0073488E" w:rsidRDefault="0054773A">
      <w:pPr>
        <w:rPr>
          <w:color w:val="000000" w:themeColor="text1"/>
        </w:rPr>
      </w:pPr>
    </w:p>
    <w:p w:rsidR="00981D51" w:rsidRPr="0073488E" w:rsidRDefault="00E607ED">
      <w:pPr>
        <w:spacing w:before="5" w:line="237" w:lineRule="exact"/>
        <w:ind w:left="360"/>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81D51" w:rsidRPr="0073488E" w:rsidRDefault="00E607ED" w:rsidP="0054773A">
      <w:pPr>
        <w:spacing w:before="295" w:line="271" w:lineRule="exact"/>
        <w:ind w:firstLine="360"/>
        <w:textAlignment w:val="baseline"/>
        <w:rPr>
          <w:rFonts w:eastAsia="Times New Roman"/>
          <w:color w:val="000000" w:themeColor="text1"/>
          <w:sz w:val="23"/>
        </w:rPr>
      </w:pPr>
      <w:r w:rsidRPr="0073488E">
        <w:rPr>
          <w:rFonts w:eastAsia="Times New Roman"/>
          <w:color w:val="000000" w:themeColor="text1"/>
          <w:sz w:val="23"/>
        </w:rPr>
        <w:t>The results of this collection will not be published.</w:t>
      </w:r>
    </w:p>
    <w:p w:rsidR="00981D51" w:rsidRPr="0073488E" w:rsidRDefault="00E607ED">
      <w:pPr>
        <w:spacing w:before="251" w:line="237" w:lineRule="exact"/>
        <w:ind w:left="360" w:right="216"/>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17. If seeking approval to not display the expiration date for OMB approval of the information collection, explain the reasons that display would be inappropriate.</w:t>
      </w:r>
    </w:p>
    <w:p w:rsidR="00981D51" w:rsidRPr="0073488E" w:rsidRDefault="000809CC" w:rsidP="000809CC">
      <w:pPr>
        <w:tabs>
          <w:tab w:val="left" w:pos="360"/>
        </w:tabs>
        <w:spacing w:before="290" w:line="271" w:lineRule="exact"/>
        <w:textAlignment w:val="baseline"/>
        <w:rPr>
          <w:rFonts w:eastAsia="Times New Roman"/>
          <w:color w:val="000000" w:themeColor="text1"/>
          <w:sz w:val="23"/>
        </w:rPr>
      </w:pPr>
      <w:r w:rsidRPr="0073488E">
        <w:rPr>
          <w:rFonts w:eastAsia="Times New Roman"/>
          <w:color w:val="000000" w:themeColor="text1"/>
          <w:sz w:val="23"/>
        </w:rPr>
        <w:tab/>
      </w:r>
      <w:r w:rsidR="00E607ED" w:rsidRPr="0073488E">
        <w:rPr>
          <w:rFonts w:eastAsia="Times New Roman"/>
          <w:color w:val="000000" w:themeColor="text1"/>
          <w:sz w:val="23"/>
        </w:rPr>
        <w:t>HUD is not requesting approval to avoid displaying the expiration date.</w:t>
      </w:r>
    </w:p>
    <w:p w:rsidR="00981D51" w:rsidRPr="0073488E" w:rsidRDefault="00E607ED" w:rsidP="000809CC">
      <w:pPr>
        <w:numPr>
          <w:ilvl w:val="0"/>
          <w:numId w:val="13"/>
        </w:numPr>
        <w:tabs>
          <w:tab w:val="left" w:pos="360"/>
          <w:tab w:val="left" w:pos="720"/>
        </w:tabs>
        <w:spacing w:before="283" w:line="207" w:lineRule="exact"/>
        <w:textAlignment w:val="baseline"/>
        <w:rPr>
          <w:rFonts w:ascii="Calibri" w:eastAsia="Calibri" w:hAnsi="Calibri"/>
          <w:b/>
          <w:color w:val="000000" w:themeColor="text1"/>
          <w:sz w:val="20"/>
        </w:rPr>
      </w:pPr>
      <w:r w:rsidRPr="0073488E">
        <w:rPr>
          <w:rFonts w:ascii="Calibri" w:eastAsia="Calibri" w:hAnsi="Calibri"/>
          <w:b/>
          <w:color w:val="000000" w:themeColor="text1"/>
          <w:sz w:val="20"/>
        </w:rPr>
        <w:t>Explain each exception to the certification statement identified in item 19</w:t>
      </w:r>
      <w:r w:rsidR="000809CC" w:rsidRPr="0073488E">
        <w:rPr>
          <w:rFonts w:ascii="Calibri" w:eastAsia="Calibri" w:hAnsi="Calibri"/>
          <w:b/>
          <w:color w:val="000000" w:themeColor="text1"/>
          <w:sz w:val="20"/>
        </w:rPr>
        <w:t>, “Certification for Paperwork Reduction Act Submissions” of OMB Form 83-I</w:t>
      </w:r>
      <w:r w:rsidRPr="0073488E">
        <w:rPr>
          <w:rFonts w:ascii="Calibri" w:eastAsia="Calibri" w:hAnsi="Calibri"/>
          <w:b/>
          <w:color w:val="000000" w:themeColor="text1"/>
          <w:sz w:val="20"/>
        </w:rPr>
        <w:t>.</w:t>
      </w:r>
    </w:p>
    <w:p w:rsidR="00981D51" w:rsidRPr="0073488E" w:rsidRDefault="00E607ED" w:rsidP="000809CC">
      <w:pPr>
        <w:spacing w:before="294" w:line="268" w:lineRule="exact"/>
        <w:ind w:left="360" w:right="288"/>
        <w:textAlignment w:val="baseline"/>
        <w:rPr>
          <w:rFonts w:eastAsia="Times New Roman"/>
          <w:color w:val="000000" w:themeColor="text1"/>
          <w:sz w:val="23"/>
        </w:rPr>
      </w:pPr>
      <w:r w:rsidRPr="0073488E">
        <w:rPr>
          <w:rFonts w:eastAsia="Times New Roman"/>
          <w:color w:val="000000" w:themeColor="text1"/>
          <w:sz w:val="23"/>
        </w:rPr>
        <w:t>There are no exceptions to the certification statement identified in Item #19 on form OMB 83-I, “Certification for Paperwork Reduction Act Submissions.”</w:t>
      </w:r>
    </w:p>
    <w:p w:rsidR="00981D51" w:rsidRPr="0073488E" w:rsidRDefault="00E607ED">
      <w:pPr>
        <w:spacing w:before="770" w:line="223" w:lineRule="exact"/>
        <w:textAlignment w:val="baseline"/>
        <w:rPr>
          <w:rFonts w:eastAsia="Times New Roman"/>
          <w:b/>
          <w:color w:val="000000" w:themeColor="text1"/>
          <w:spacing w:val="2"/>
          <w:sz w:val="19"/>
        </w:rPr>
      </w:pPr>
      <w:r w:rsidRPr="0073488E">
        <w:rPr>
          <w:rFonts w:eastAsia="Times New Roman"/>
          <w:b/>
          <w:color w:val="000000" w:themeColor="text1"/>
          <w:spacing w:val="2"/>
          <w:sz w:val="19"/>
        </w:rPr>
        <w:t>B. Collections of Information Employing Statistical Methods</w:t>
      </w:r>
    </w:p>
    <w:p w:rsidR="00981D51" w:rsidRPr="0073488E" w:rsidRDefault="00E607ED">
      <w:pPr>
        <w:spacing w:before="268" w:line="261" w:lineRule="exact"/>
        <w:ind w:left="360"/>
        <w:textAlignment w:val="baseline"/>
        <w:rPr>
          <w:rFonts w:eastAsia="Times New Roman"/>
          <w:color w:val="000000" w:themeColor="text1"/>
          <w:spacing w:val="1"/>
          <w:sz w:val="23"/>
        </w:rPr>
      </w:pPr>
      <w:r w:rsidRPr="0073488E">
        <w:rPr>
          <w:rFonts w:eastAsia="Times New Roman"/>
          <w:color w:val="000000" w:themeColor="text1"/>
          <w:spacing w:val="1"/>
          <w:sz w:val="23"/>
        </w:rPr>
        <w:t>This information collection does not employ statistical methods.</w:t>
      </w:r>
    </w:p>
    <w:sectPr w:rsidR="00981D51" w:rsidRPr="0073488E" w:rsidSect="000809CC">
      <w:pgSz w:w="11904" w:h="16843"/>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06" w:rsidRDefault="00523706" w:rsidP="00FE2526">
      <w:r>
        <w:separator/>
      </w:r>
    </w:p>
  </w:endnote>
  <w:endnote w:type="continuationSeparator" w:id="0">
    <w:p w:rsidR="00523706" w:rsidRDefault="00523706" w:rsidP="00FE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06" w:rsidRDefault="00523706" w:rsidP="00FE2526">
      <w:r>
        <w:separator/>
      </w:r>
    </w:p>
  </w:footnote>
  <w:footnote w:type="continuationSeparator" w:id="0">
    <w:p w:rsidR="00523706" w:rsidRDefault="00523706" w:rsidP="00FE2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26" w:rsidRDefault="00FE2526">
    <w:pPr>
      <w:pStyle w:val="Header"/>
      <w:jc w:val="right"/>
    </w:pPr>
    <w:r>
      <w:fldChar w:fldCharType="begin"/>
    </w:r>
    <w:r>
      <w:instrText xml:space="preserve"> PAGE   \* MERGEFORMAT </w:instrText>
    </w:r>
    <w:r>
      <w:fldChar w:fldCharType="separate"/>
    </w:r>
    <w:r w:rsidR="0073488E">
      <w:rPr>
        <w:noProof/>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90030"/>
    <w:multiLevelType w:val="hybridMultilevel"/>
    <w:tmpl w:val="1728C74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0314B"/>
    <w:multiLevelType w:val="hybridMultilevel"/>
    <w:tmpl w:val="77A0B714"/>
    <w:lvl w:ilvl="0" w:tplc="F0F233F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A969D5"/>
    <w:multiLevelType w:val="multilevel"/>
    <w:tmpl w:val="9EE2C00E"/>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001020"/>
    <w:multiLevelType w:val="multilevel"/>
    <w:tmpl w:val="898E8FFC"/>
    <w:lvl w:ilvl="0">
      <w:start w:val="4"/>
      <w:numFmt w:val="decimal"/>
      <w:lvlText w:val="%1."/>
      <w:lvlJc w:val="left"/>
      <w:pPr>
        <w:tabs>
          <w:tab w:val="left" w:pos="360"/>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8550BF"/>
    <w:multiLevelType w:val="multilevel"/>
    <w:tmpl w:val="0CFC9588"/>
    <w:lvl w:ilvl="0">
      <w:start w:val="13"/>
      <w:numFmt w:val="decimal"/>
      <w:lvlText w:val="%1."/>
      <w:lvlJc w:val="left"/>
      <w:pPr>
        <w:tabs>
          <w:tab w:val="left" w:pos="288"/>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EB4AFE"/>
    <w:multiLevelType w:val="hybridMultilevel"/>
    <w:tmpl w:val="24AAD1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661A21"/>
    <w:multiLevelType w:val="multilevel"/>
    <w:tmpl w:val="311A2012"/>
    <w:lvl w:ilvl="0">
      <w:start w:val="12"/>
      <w:numFmt w:val="decimal"/>
      <w:lvlText w:val="%1."/>
      <w:lvlJc w:val="left"/>
      <w:pPr>
        <w:tabs>
          <w:tab w:val="left" w:pos="288"/>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3B78DA"/>
    <w:multiLevelType w:val="multilevel"/>
    <w:tmpl w:val="288CF472"/>
    <w:lvl w:ilvl="0">
      <w:start w:val="1"/>
      <w:numFmt w:val="bullet"/>
      <w:lvlText w:val="·"/>
      <w:lvlJc w:val="left"/>
      <w:pPr>
        <w:tabs>
          <w:tab w:val="left" w:pos="360"/>
        </w:tabs>
        <w:ind w:left="720"/>
      </w:pPr>
      <w:rPr>
        <w:rFonts w:ascii="Symbol" w:eastAsia="Symbol" w:hAnsi="Symbol"/>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DC5114"/>
    <w:multiLevelType w:val="hybridMultilevel"/>
    <w:tmpl w:val="A894B014"/>
    <w:lvl w:ilvl="0" w:tplc="697AF12C">
      <w:start w:val="13"/>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6B3063B2"/>
    <w:multiLevelType w:val="multilevel"/>
    <w:tmpl w:val="E196BB56"/>
    <w:lvl w:ilvl="0">
      <w:start w:val="1"/>
      <w:numFmt w:val="bullet"/>
      <w:lvlText w:val="·"/>
      <w:lvlJc w:val="left"/>
      <w:pPr>
        <w:tabs>
          <w:tab w:val="left" w:pos="288"/>
        </w:tabs>
        <w:ind w:left="720"/>
      </w:pPr>
      <w:rPr>
        <w:rFonts w:ascii="Symbol" w:eastAsia="Symbol" w:hAnsi="Symbo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A84EC7"/>
    <w:multiLevelType w:val="hybridMultilevel"/>
    <w:tmpl w:val="CE8A3C4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0360A5"/>
    <w:multiLevelType w:val="multilevel"/>
    <w:tmpl w:val="A7F626F0"/>
    <w:lvl w:ilvl="0">
      <w:start w:val="17"/>
      <w:numFmt w:val="decimal"/>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E11A03"/>
    <w:multiLevelType w:val="hybridMultilevel"/>
    <w:tmpl w:val="325EA980"/>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6"/>
  </w:num>
  <w:num w:numId="5">
    <w:abstractNumId w:val="9"/>
  </w:num>
  <w:num w:numId="6">
    <w:abstractNumId w:val="4"/>
  </w:num>
  <w:num w:numId="7">
    <w:abstractNumId w:val="11"/>
  </w:num>
  <w:num w:numId="8">
    <w:abstractNumId w:val="1"/>
  </w:num>
  <w:num w:numId="9">
    <w:abstractNumId w:val="5"/>
  </w:num>
  <w:num w:numId="10">
    <w:abstractNumId w:val="8"/>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doNotTrackMoves/>
  <w:defaultTabStop w:val="720"/>
  <w:characterSpacingControl w:val="doNotCompress"/>
  <w:footnotePr>
    <w:footnote w:id="-1"/>
    <w:footnote w:id="0"/>
  </w:footnotePr>
  <w:endnotePr>
    <w:endnote w:id="-1"/>
    <w:endnote w:id="0"/>
  </w:endnotePr>
  <w:compat>
    <w:shapeLayoutLikeWW8/>
    <w:doNotUseHTMLParagraphAutoSpacing/>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D51"/>
    <w:rsid w:val="00074CDD"/>
    <w:rsid w:val="000809CC"/>
    <w:rsid w:val="001375C3"/>
    <w:rsid w:val="00202072"/>
    <w:rsid w:val="002518D2"/>
    <w:rsid w:val="003104BA"/>
    <w:rsid w:val="00352EE4"/>
    <w:rsid w:val="004715E6"/>
    <w:rsid w:val="004B67B8"/>
    <w:rsid w:val="00523706"/>
    <w:rsid w:val="005308E9"/>
    <w:rsid w:val="00545588"/>
    <w:rsid w:val="0054773A"/>
    <w:rsid w:val="0073488E"/>
    <w:rsid w:val="00737198"/>
    <w:rsid w:val="007B4389"/>
    <w:rsid w:val="008901F9"/>
    <w:rsid w:val="008A329A"/>
    <w:rsid w:val="00981D51"/>
    <w:rsid w:val="009F1CB1"/>
    <w:rsid w:val="00A46393"/>
    <w:rsid w:val="00A87E83"/>
    <w:rsid w:val="00AE4D5E"/>
    <w:rsid w:val="00B630E0"/>
    <w:rsid w:val="00B81E14"/>
    <w:rsid w:val="00B951F2"/>
    <w:rsid w:val="00C26A51"/>
    <w:rsid w:val="00C54AAB"/>
    <w:rsid w:val="00C6215A"/>
    <w:rsid w:val="00C84E33"/>
    <w:rsid w:val="00D51D26"/>
    <w:rsid w:val="00D842EE"/>
    <w:rsid w:val="00E55A2D"/>
    <w:rsid w:val="00E607ED"/>
    <w:rsid w:val="00F04746"/>
    <w:rsid w:val="00FE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A51"/>
    <w:pPr>
      <w:ind w:left="720"/>
      <w:contextualSpacing/>
    </w:pPr>
  </w:style>
  <w:style w:type="paragraph" w:styleId="Header">
    <w:name w:val="header"/>
    <w:basedOn w:val="Normal"/>
    <w:link w:val="HeaderChar"/>
    <w:uiPriority w:val="99"/>
    <w:unhideWhenUsed/>
    <w:rsid w:val="00FE2526"/>
    <w:pPr>
      <w:tabs>
        <w:tab w:val="center" w:pos="4680"/>
        <w:tab w:val="right" w:pos="9360"/>
      </w:tabs>
    </w:pPr>
  </w:style>
  <w:style w:type="character" w:customStyle="1" w:styleId="HeaderChar">
    <w:name w:val="Header Char"/>
    <w:link w:val="Header"/>
    <w:uiPriority w:val="99"/>
    <w:rsid w:val="00FE2526"/>
    <w:rPr>
      <w:sz w:val="22"/>
      <w:szCs w:val="22"/>
    </w:rPr>
  </w:style>
  <w:style w:type="paragraph" w:styleId="Footer">
    <w:name w:val="footer"/>
    <w:basedOn w:val="Normal"/>
    <w:link w:val="FooterChar"/>
    <w:uiPriority w:val="99"/>
    <w:unhideWhenUsed/>
    <w:rsid w:val="00FE2526"/>
    <w:pPr>
      <w:tabs>
        <w:tab w:val="center" w:pos="4680"/>
        <w:tab w:val="right" w:pos="9360"/>
      </w:tabs>
    </w:pPr>
  </w:style>
  <w:style w:type="character" w:customStyle="1" w:styleId="FooterChar">
    <w:name w:val="Footer Char"/>
    <w:link w:val="Footer"/>
    <w:uiPriority w:val="99"/>
    <w:rsid w:val="00FE2526"/>
    <w:rPr>
      <w:sz w:val="22"/>
      <w:szCs w:val="22"/>
    </w:rPr>
  </w:style>
  <w:style w:type="paragraph" w:styleId="BalloonText">
    <w:name w:val="Balloon Text"/>
    <w:basedOn w:val="Normal"/>
    <w:link w:val="BalloonTextChar"/>
    <w:uiPriority w:val="99"/>
    <w:semiHidden/>
    <w:unhideWhenUsed/>
    <w:rsid w:val="00AE4D5E"/>
    <w:rPr>
      <w:rFonts w:ascii="Tahoma" w:hAnsi="Tahoma" w:cs="Tahoma"/>
      <w:sz w:val="16"/>
      <w:szCs w:val="16"/>
    </w:rPr>
  </w:style>
  <w:style w:type="character" w:customStyle="1" w:styleId="BalloonTextChar">
    <w:name w:val="Balloon Text Char"/>
    <w:link w:val="BalloonText"/>
    <w:uiPriority w:val="99"/>
    <w:semiHidden/>
    <w:rsid w:val="00AE4D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PaySca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3" ma:contentTypeDescription="Create a new document." ma:contentTypeScope="" ma:versionID="4de60f81a3f43fdabd087e086836082d">
  <xsd:schema xmlns:xsd="http://www.w3.org/2001/XMLSchema" xmlns:xs="http://www.w3.org/2001/XMLSchema" xmlns:p="http://schemas.microsoft.com/office/2006/metadata/properties" xmlns:ns2="ae2a2941-2dbe-4eaa-9281-19e6e20101f1" xmlns:ns3="dca89f83-e7cb-46ce-8e9f-cb067c1b6911" targetNamespace="http://schemas.microsoft.com/office/2006/metadata/properties" ma:root="true" ma:fieldsID="7be84e7d3c1368c179d894b98e1e086f" ns2:_="" ns3:_="">
    <xsd:import namespace="ae2a2941-2dbe-4eaa-9281-19e6e20101f1"/>
    <xsd:import namespace="dca89f83-e7cb-46ce-8e9f-cb067c1b6911"/>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8"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9"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10"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learance xmlns="ae2a2941-2dbe-4eaa-9281-19e6e20101f1">1410</Clear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D83AB-9E2C-47DD-A0AB-40FEFB4CD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2792F-E0D6-423C-B124-B793B09F0657}">
  <ds:schemaRefs>
    <ds:schemaRef ds:uri="http://schemas.microsoft.com/sharepoint/events"/>
  </ds:schemaRefs>
</ds:datastoreItem>
</file>

<file path=customXml/itemProps3.xml><?xml version="1.0" encoding="utf-8"?>
<ds:datastoreItem xmlns:ds="http://schemas.openxmlformats.org/officeDocument/2006/customXml" ds:itemID="{26A0AD70-9EA3-4D96-B35E-3DCC8FE0A6E1}">
  <ds:schemaRefs>
    <ds:schemaRef ds:uri="http://schemas.microsoft.com/office/2006/metadata/longProperties"/>
  </ds:schemaRefs>
</ds:datastoreItem>
</file>

<file path=customXml/itemProps4.xml><?xml version="1.0" encoding="utf-8"?>
<ds:datastoreItem xmlns:ds="http://schemas.openxmlformats.org/officeDocument/2006/customXml" ds:itemID="{F1C3E99A-5521-4C4C-A8E4-993583870244}">
  <ds:schemaRefs>
    <ds:schemaRef ds:uri="http://schemas.microsoft.com/office/2006/documentManagement/types"/>
    <ds:schemaRef ds:uri="http://schemas.openxmlformats.org/package/2006/metadata/core-properties"/>
    <ds:schemaRef ds:uri="http://purl.org/dc/terms/"/>
    <ds:schemaRef ds:uri="ae2a2941-2dbe-4eaa-9281-19e6e20101f1"/>
    <ds:schemaRef ds:uri="http://purl.org/dc/elements/1.1/"/>
    <ds:schemaRef ds:uri="http://purl.org/dc/dcmitype/"/>
    <ds:schemaRef ds:uri="http://schemas.microsoft.com/office/2006/metadata/properties"/>
    <ds:schemaRef ds:uri="http://schemas.microsoft.com/office/infopath/2007/PartnerControls"/>
    <ds:schemaRef ds:uri="dca89f83-e7cb-46ce-8e9f-cb067c1b6911"/>
    <ds:schemaRef ds:uri="http://www.w3.org/XML/1998/namespace"/>
  </ds:schemaRefs>
</ds:datastoreItem>
</file>

<file path=customXml/itemProps5.xml><?xml version="1.0" encoding="utf-8"?>
<ds:datastoreItem xmlns:ds="http://schemas.openxmlformats.org/officeDocument/2006/customXml" ds:itemID="{18A368ED-DD3C-4158-B6C2-0B5696838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17302</CharactersWithSpaces>
  <SharedDoc>false</SharedDoc>
  <HLinks>
    <vt:vector size="6" baseType="variant">
      <vt:variant>
        <vt:i4>4390929</vt:i4>
      </vt:variant>
      <vt:variant>
        <vt:i4>0</vt:i4>
      </vt:variant>
      <vt:variant>
        <vt:i4>0</vt:i4>
      </vt:variant>
      <vt:variant>
        <vt:i4>5</vt:i4>
      </vt:variant>
      <vt:variant>
        <vt:lpwstr>http://payscale.com/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 Vivian M</dc:creator>
  <cp:keywords/>
  <cp:lastModifiedBy>SYSTEM</cp:lastModifiedBy>
  <cp:revision>2</cp:revision>
  <cp:lastPrinted>2017-09-18T19:20:00Z</cp:lastPrinted>
  <dcterms:created xsi:type="dcterms:W3CDTF">2017-12-18T16:12:00Z</dcterms:created>
  <dcterms:modified xsi:type="dcterms:W3CDTF">2017-12-18T16:12:00Z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NWH2NZWWXJPK-879-4349</vt:lpwstr>
  </property>
  <property fmtid="{D5CDD505-2E9C-101B-9397-08002B2CF9AE}" pid="3" name="_dlc_DocIdItemGuid">
    <vt:lpwstr>4c576972-f88b-4c40-ad3d-ec6eea663fcb</vt:lpwstr>
  </property>
  <property fmtid="{D5CDD505-2E9C-101B-9397-08002B2CF9AE}" pid="4" name="_dlc_DocIdUrl">
    <vt:lpwstr>http://hudsharepoint.hud.gov/sites/apps/Clearances/_layouts/DocIdRedir.aspx?ID=NWH2NZWWXJPK-879-4349, NWH2NZWWXJPK-879-4349</vt:lpwstr>
  </property>
</Properties>
</file>