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0CF7"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4173560B" w14:textId="77777777" w:rsidR="00A96B65" w:rsidRPr="00D001CE" w:rsidRDefault="00E864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FERC-725R</w:t>
      </w:r>
      <w:r w:rsidR="00570861">
        <w:rPr>
          <w:rFonts w:ascii="Times New Roman" w:hAnsi="Times New Roman" w:cs="Times New Roman"/>
          <w:b/>
          <w:sz w:val="24"/>
          <w:szCs w:val="24"/>
        </w:rPr>
        <w:t xml:space="preserve">, </w:t>
      </w:r>
      <w:r w:rsidR="00A71E14" w:rsidRPr="00A71E14">
        <w:rPr>
          <w:rFonts w:ascii="Times New Roman" w:hAnsi="Times New Roman" w:cs="Times New Roman"/>
          <w:b/>
          <w:sz w:val="24"/>
          <w:szCs w:val="24"/>
        </w:rPr>
        <w:t>Mandatory Reliability Standards: BAL Reliability Standards</w:t>
      </w:r>
    </w:p>
    <w:p w14:paraId="00B8B692" w14:textId="77777777" w:rsidR="003B3B61" w:rsidRDefault="003B3B61" w:rsidP="003B3B61">
      <w:pPr>
        <w:spacing w:after="0"/>
        <w:jc w:val="center"/>
        <w:rPr>
          <w:rFonts w:ascii="Times New Roman" w:hAnsi="Times New Roman" w:cs="Times New Roman"/>
          <w:sz w:val="24"/>
          <w:szCs w:val="24"/>
        </w:rPr>
      </w:pPr>
      <w:r w:rsidRPr="00D001CE">
        <w:rPr>
          <w:rFonts w:ascii="Times New Roman" w:hAnsi="Times New Roman" w:cs="Times New Roman"/>
          <w:sz w:val="24"/>
          <w:szCs w:val="24"/>
        </w:rPr>
        <w:t xml:space="preserve">for the </w:t>
      </w:r>
      <w:r w:rsidR="002A2A5B">
        <w:rPr>
          <w:rFonts w:ascii="Times New Roman" w:hAnsi="Times New Roman" w:cs="Times New Roman"/>
          <w:sz w:val="24"/>
          <w:szCs w:val="24"/>
        </w:rPr>
        <w:t>Final Rule</w:t>
      </w:r>
      <w:r w:rsidR="0002567F" w:rsidRPr="00D001CE">
        <w:rPr>
          <w:rFonts w:ascii="Times New Roman" w:hAnsi="Times New Roman" w:cs="Times New Roman"/>
          <w:sz w:val="24"/>
          <w:szCs w:val="24"/>
        </w:rPr>
        <w:t xml:space="preserve"> </w:t>
      </w:r>
      <w:r w:rsidR="00570861" w:rsidRPr="00D001CE">
        <w:rPr>
          <w:rFonts w:ascii="Times New Roman" w:hAnsi="Times New Roman" w:cs="Times New Roman"/>
          <w:sz w:val="24"/>
          <w:szCs w:val="24"/>
        </w:rPr>
        <w:t>in</w:t>
      </w:r>
      <w:r w:rsidR="007345D3">
        <w:rPr>
          <w:rFonts w:ascii="Times New Roman" w:hAnsi="Times New Roman" w:cs="Times New Roman"/>
          <w:sz w:val="24"/>
          <w:szCs w:val="24"/>
        </w:rPr>
        <w:t xml:space="preserve"> Docket Number RM16-7</w:t>
      </w:r>
      <w:r w:rsidR="00570861" w:rsidRPr="00D001CE">
        <w:rPr>
          <w:rFonts w:ascii="Times New Roman" w:hAnsi="Times New Roman" w:cs="Times New Roman"/>
          <w:sz w:val="24"/>
          <w:szCs w:val="24"/>
        </w:rPr>
        <w:t>-000</w:t>
      </w:r>
      <w:r w:rsidR="00BD7446" w:rsidRPr="00D001CE">
        <w:rPr>
          <w:rFonts w:ascii="Times New Roman" w:hAnsi="Times New Roman" w:cs="Times New Roman"/>
          <w:sz w:val="24"/>
          <w:szCs w:val="24"/>
        </w:rPr>
        <w:t xml:space="preserve"> (issued on </w:t>
      </w:r>
      <w:r w:rsidR="002A2A5B">
        <w:rPr>
          <w:rFonts w:ascii="Times New Roman" w:hAnsi="Times New Roman" w:cs="Times New Roman"/>
          <w:sz w:val="24"/>
          <w:szCs w:val="24"/>
        </w:rPr>
        <w:t>1/19/2017</w:t>
      </w:r>
      <w:r w:rsidRPr="00D001CE">
        <w:rPr>
          <w:rFonts w:ascii="Times New Roman" w:hAnsi="Times New Roman" w:cs="Times New Roman"/>
          <w:sz w:val="24"/>
          <w:szCs w:val="24"/>
        </w:rPr>
        <w:t>)</w:t>
      </w:r>
    </w:p>
    <w:p w14:paraId="4940B8F5" w14:textId="77777777" w:rsidR="00FD66F1" w:rsidRDefault="00FD66F1" w:rsidP="00F8440A">
      <w:pPr>
        <w:spacing w:after="0"/>
        <w:rPr>
          <w:rFonts w:ascii="Times New Roman" w:hAnsi="Times New Roman" w:cs="Times New Roman"/>
          <w:sz w:val="24"/>
          <w:szCs w:val="24"/>
        </w:rPr>
      </w:pPr>
    </w:p>
    <w:p w14:paraId="53047881"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D7446">
        <w:rPr>
          <w:rFonts w:ascii="Times New Roman" w:hAnsi="Times New Roman" w:cs="Times New Roman"/>
          <w:sz w:val="24"/>
          <w:szCs w:val="24"/>
        </w:rPr>
        <w:t>FERC-725R</w:t>
      </w:r>
      <w:r w:rsidR="00570861">
        <w:rPr>
          <w:rFonts w:ascii="Times New Roman" w:hAnsi="Times New Roman" w:cs="Times New Roman"/>
          <w:sz w:val="24"/>
          <w:szCs w:val="24"/>
        </w:rPr>
        <w:t xml:space="preserve"> (Mandatory Reliability Standard</w:t>
      </w:r>
      <w:r w:rsidR="008D6E39">
        <w:rPr>
          <w:rFonts w:ascii="Times New Roman" w:hAnsi="Times New Roman" w:cs="Times New Roman"/>
          <w:sz w:val="24"/>
          <w:szCs w:val="24"/>
        </w:rPr>
        <w:t>s for the Bulk-Power System: BAL</w:t>
      </w:r>
      <w:r w:rsidR="008D6E39" w:rsidRPr="005F0306">
        <w:rPr>
          <w:rStyle w:val="FootnoteReference"/>
          <w:rFonts w:ascii="Times New Roman" w:hAnsi="Times New Roman" w:cs="Times New Roman"/>
          <w:sz w:val="24"/>
          <w:szCs w:val="24"/>
          <w:vertAlign w:val="superscript"/>
        </w:rPr>
        <w:footnoteReference w:id="1"/>
      </w:r>
      <w:r w:rsidR="008D6E39">
        <w:rPr>
          <w:rFonts w:ascii="Times New Roman" w:hAnsi="Times New Roman" w:cs="Times New Roman"/>
          <w:sz w:val="24"/>
          <w:szCs w:val="24"/>
        </w:rPr>
        <w:t xml:space="preserve"> </w:t>
      </w:r>
      <w:r w:rsidR="00570861">
        <w:rPr>
          <w:rFonts w:ascii="Times New Roman" w:hAnsi="Times New Roman" w:cs="Times New Roman"/>
          <w:sz w:val="24"/>
          <w:szCs w:val="24"/>
        </w:rPr>
        <w:t>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w:t>
      </w:r>
      <w:r w:rsidR="00F55699">
        <w:rPr>
          <w:rFonts w:ascii="Times New Roman" w:hAnsi="Times New Roman" w:cs="Times New Roman"/>
          <w:sz w:val="24"/>
          <w:szCs w:val="24"/>
        </w:rPr>
        <w:t xml:space="preserve">referenced in </w:t>
      </w:r>
      <w:r w:rsidR="00570861">
        <w:rPr>
          <w:rFonts w:ascii="Times New Roman" w:hAnsi="Times New Roman" w:cs="Times New Roman"/>
          <w:sz w:val="24"/>
          <w:szCs w:val="24"/>
        </w:rPr>
        <w:t>the Commission’s regulations at 18 Code of Federal Regulations (CFR) Part 40.</w:t>
      </w:r>
    </w:p>
    <w:p w14:paraId="6D8FC893"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400E95D4" w14:textId="77777777" w:rsidR="00A72E7B" w:rsidRDefault="00351EE9" w:rsidP="00F8440A">
      <w:pPr>
        <w:spacing w:after="0"/>
        <w:rPr>
          <w:rFonts w:ascii="Times New Roman" w:hAnsi="Times New Roman" w:cs="Times New Roman"/>
          <w:sz w:val="24"/>
          <w:szCs w:val="24"/>
        </w:rPr>
      </w:pPr>
      <w:r>
        <w:rPr>
          <w:rFonts w:ascii="Times New Roman" w:hAnsi="Times New Roman" w:cs="Times New Roman"/>
          <w:sz w:val="24"/>
          <w:szCs w:val="24"/>
        </w:rPr>
        <w:t>In this Final Rule</w:t>
      </w:r>
      <w:r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Pr="00BD7446">
        <w:rPr>
          <w:rFonts w:ascii="Times New Roman" w:hAnsi="Times New Roman" w:cs="Times New Roman"/>
          <w:sz w:val="24"/>
          <w:szCs w:val="24"/>
        </w:rPr>
        <w:t>approve</w:t>
      </w:r>
      <w:r>
        <w:rPr>
          <w:rFonts w:ascii="Times New Roman" w:hAnsi="Times New Roman" w:cs="Times New Roman"/>
          <w:sz w:val="24"/>
          <w:szCs w:val="24"/>
        </w:rPr>
        <w:t>s</w:t>
      </w:r>
      <w:r w:rsidRPr="00BD7446">
        <w:rPr>
          <w:rFonts w:ascii="Times New Roman" w:hAnsi="Times New Roman" w:cs="Times New Roman"/>
          <w:sz w:val="24"/>
          <w:szCs w:val="24"/>
        </w:rPr>
        <w:t xml:space="preserve"> </w:t>
      </w:r>
      <w:r>
        <w:rPr>
          <w:rFonts w:ascii="Times New Roman" w:hAnsi="Times New Roman" w:cs="Times New Roman"/>
          <w:sz w:val="24"/>
          <w:szCs w:val="24"/>
        </w:rPr>
        <w:t xml:space="preserve">Reliability Standard BAL-002-2.  The BAL-002-2 Reliability Standard </w:t>
      </w:r>
      <w:r w:rsidRPr="007345D3">
        <w:rPr>
          <w:rFonts w:ascii="Times New Roman" w:hAnsi="Times New Roman" w:cs="Times New Roman"/>
          <w:sz w:val="24"/>
          <w:szCs w:val="24"/>
        </w:rPr>
        <w:t>is designed to en</w:t>
      </w:r>
      <w:r>
        <w:rPr>
          <w:rFonts w:ascii="Times New Roman" w:hAnsi="Times New Roman" w:cs="Times New Roman"/>
          <w:sz w:val="24"/>
          <w:szCs w:val="24"/>
        </w:rPr>
        <w:t>sure that a responsible entity (e</w:t>
      </w:r>
      <w:r w:rsidRPr="007345D3">
        <w:rPr>
          <w:rFonts w:ascii="Times New Roman" w:hAnsi="Times New Roman" w:cs="Times New Roman"/>
          <w:sz w:val="24"/>
          <w:szCs w:val="24"/>
        </w:rPr>
        <w:t>ither a balancing aut</w:t>
      </w:r>
      <w:r>
        <w:rPr>
          <w:rFonts w:ascii="Times New Roman" w:hAnsi="Times New Roman" w:cs="Times New Roman"/>
          <w:sz w:val="24"/>
          <w:szCs w:val="24"/>
        </w:rPr>
        <w:t>hority or reserve sharing group)</w:t>
      </w:r>
      <w:r w:rsidRPr="007345D3">
        <w:rPr>
          <w:rFonts w:ascii="Times New Roman" w:hAnsi="Times New Roman" w:cs="Times New Roman"/>
          <w:sz w:val="24"/>
          <w:szCs w:val="24"/>
        </w:rPr>
        <w:t xml:space="preserve"> is able to recover from system contingencies by deploying adequate reserves to return their </w:t>
      </w:r>
      <w:r>
        <w:rPr>
          <w:rFonts w:ascii="Times New Roman" w:hAnsi="Times New Roman" w:cs="Times New Roman"/>
          <w:sz w:val="24"/>
          <w:szCs w:val="24"/>
        </w:rPr>
        <w:t>Area Control Error (</w:t>
      </w:r>
      <w:r w:rsidRPr="007345D3">
        <w:rPr>
          <w:rFonts w:ascii="Times New Roman" w:hAnsi="Times New Roman" w:cs="Times New Roman"/>
          <w:sz w:val="24"/>
          <w:szCs w:val="24"/>
        </w:rPr>
        <w:t>ACE</w:t>
      </w:r>
      <w:r>
        <w:rPr>
          <w:rFonts w:ascii="Times New Roman" w:hAnsi="Times New Roman" w:cs="Times New Roman"/>
          <w:sz w:val="24"/>
          <w:szCs w:val="24"/>
        </w:rPr>
        <w:t>)</w:t>
      </w:r>
      <w:r w:rsidRPr="007345D3">
        <w:rPr>
          <w:rFonts w:ascii="Times New Roman" w:hAnsi="Times New Roman" w:cs="Times New Roman"/>
          <w:sz w:val="24"/>
          <w:szCs w:val="24"/>
        </w:rPr>
        <w:t xml:space="preserve"> to defined values and replacing the capacity and energy lost due to generation or transmissi</w:t>
      </w:r>
      <w:r>
        <w:rPr>
          <w:rFonts w:ascii="Times New Roman" w:hAnsi="Times New Roman" w:cs="Times New Roman"/>
          <w:sz w:val="24"/>
          <w:szCs w:val="24"/>
        </w:rPr>
        <w:t>on equipment outages</w:t>
      </w:r>
      <w:r w:rsidR="002A2A5B">
        <w:rPr>
          <w:rFonts w:ascii="Times New Roman" w:hAnsi="Times New Roman" w:cs="Times New Roman"/>
          <w:sz w:val="24"/>
          <w:szCs w:val="24"/>
        </w:rPr>
        <w:t xml:space="preserve">.  </w:t>
      </w:r>
      <w:r w:rsidR="007345D3" w:rsidRPr="007345D3">
        <w:rPr>
          <w:rFonts w:ascii="Times New Roman" w:hAnsi="Times New Roman" w:cs="Times New Roman"/>
          <w:sz w:val="24"/>
          <w:szCs w:val="24"/>
        </w:rPr>
        <w:t xml:space="preserve">Reliability Standard BAL-002-2, Requirement R1 requires a responsible entity, either a balancing authority or reserve sharing group, experiencing a Reportable Balancing Contingency Event to deploy its contingency reserves to recover its ACE to certain prescribed values within the Contingency Event Recovery </w:t>
      </w:r>
      <w:r w:rsidR="002A2A5B">
        <w:rPr>
          <w:rFonts w:ascii="Times New Roman" w:hAnsi="Times New Roman" w:cs="Times New Roman"/>
          <w:sz w:val="24"/>
          <w:szCs w:val="24"/>
        </w:rPr>
        <w:t xml:space="preserve">Period of 15 minutes.  </w:t>
      </w:r>
      <w:r w:rsidR="007345D3" w:rsidRPr="007345D3">
        <w:rPr>
          <w:rFonts w:ascii="Times New Roman" w:hAnsi="Times New Roman" w:cs="Times New Roman"/>
          <w:sz w:val="24"/>
          <w:szCs w:val="24"/>
        </w:rPr>
        <w:t>Requirement R2 requires a balancing authority or reserve sharing group to develop, review and maintain a process within its Operating Plans for determining its most severe single contingency and prepare to have contingency reserves equal to, or greater than, its most sever</w:t>
      </w:r>
      <w:r w:rsidR="002A2A5B">
        <w:rPr>
          <w:rFonts w:ascii="Times New Roman" w:hAnsi="Times New Roman" w:cs="Times New Roman"/>
          <w:sz w:val="24"/>
          <w:szCs w:val="24"/>
        </w:rPr>
        <w:t xml:space="preserve">e single contingency.  </w:t>
      </w:r>
      <w:r w:rsidR="007345D3" w:rsidRPr="007345D3">
        <w:rPr>
          <w:rFonts w:ascii="Times New Roman" w:hAnsi="Times New Roman" w:cs="Times New Roman"/>
          <w:sz w:val="24"/>
          <w:szCs w:val="24"/>
        </w:rPr>
        <w:t>Requirement R3 provides that, following a Reportable Balancing Contingency Event, the responsible entity shall restore its Contingency Reserve to at least its most severe single contingency, before the end of the Contingency Reserve R</w:t>
      </w:r>
      <w:r w:rsidR="007345D3">
        <w:rPr>
          <w:rFonts w:ascii="Times New Roman" w:hAnsi="Times New Roman" w:cs="Times New Roman"/>
          <w:sz w:val="24"/>
          <w:szCs w:val="24"/>
        </w:rPr>
        <w:t>estoration Period of 90 minutes.</w:t>
      </w:r>
      <w:r w:rsidR="00657A47">
        <w:rPr>
          <w:rFonts w:ascii="Times New Roman" w:hAnsi="Times New Roman" w:cs="Times New Roman"/>
          <w:sz w:val="24"/>
          <w:szCs w:val="24"/>
        </w:rPr>
        <w:t xml:space="preserve"> The Commission submits th</w:t>
      </w:r>
      <w:r w:rsidR="00F707CA">
        <w:rPr>
          <w:rFonts w:ascii="Times New Roman" w:hAnsi="Times New Roman" w:cs="Times New Roman"/>
          <w:sz w:val="24"/>
          <w:szCs w:val="24"/>
        </w:rPr>
        <w:t>e changes due to the</w:t>
      </w:r>
      <w:r w:rsidR="00657A47">
        <w:rPr>
          <w:rFonts w:ascii="Times New Roman" w:hAnsi="Times New Roman" w:cs="Times New Roman"/>
          <w:sz w:val="24"/>
          <w:szCs w:val="24"/>
        </w:rPr>
        <w:t xml:space="preserve"> </w:t>
      </w:r>
      <w:r w:rsidR="002A2A5B">
        <w:rPr>
          <w:rFonts w:ascii="Times New Roman" w:hAnsi="Times New Roman" w:cs="Times New Roman"/>
          <w:sz w:val="24"/>
          <w:szCs w:val="24"/>
        </w:rPr>
        <w:t>Final Rule</w:t>
      </w:r>
      <w:r w:rsidR="00A80B47">
        <w:rPr>
          <w:rFonts w:ascii="Times New Roman" w:hAnsi="Times New Roman" w:cs="Times New Roman"/>
          <w:sz w:val="24"/>
          <w:szCs w:val="24"/>
        </w:rPr>
        <w:t xml:space="preserve"> </w:t>
      </w:r>
      <w:r w:rsidR="00F707CA">
        <w:rPr>
          <w:rFonts w:ascii="Times New Roman" w:hAnsi="Times New Roman" w:cs="Times New Roman"/>
          <w:sz w:val="24"/>
          <w:szCs w:val="24"/>
        </w:rPr>
        <w:t xml:space="preserve">in Docket No. </w:t>
      </w:r>
      <w:r w:rsidR="007345D3">
        <w:rPr>
          <w:rFonts w:ascii="Times New Roman" w:hAnsi="Times New Roman" w:cs="Times New Roman"/>
          <w:sz w:val="24"/>
          <w:szCs w:val="24"/>
        </w:rPr>
        <w:t>RM16-7</w:t>
      </w:r>
      <w:r w:rsidR="00BB3B2C">
        <w:rPr>
          <w:rFonts w:ascii="Times New Roman" w:hAnsi="Times New Roman" w:cs="Times New Roman"/>
          <w:sz w:val="24"/>
          <w:szCs w:val="24"/>
        </w:rPr>
        <w:t xml:space="preserve">-000 </w:t>
      </w:r>
      <w:r w:rsidR="004A58CB" w:rsidRPr="00D001CE">
        <w:rPr>
          <w:rStyle w:val="FootnoteReference"/>
          <w:rFonts w:ascii="Times New Roman" w:hAnsi="Times New Roman" w:cs="Times New Roman"/>
          <w:sz w:val="24"/>
          <w:szCs w:val="24"/>
          <w:vertAlign w:val="superscript"/>
        </w:rPr>
        <w:footnoteReference w:id="2"/>
      </w:r>
      <w:r w:rsidR="00DE413B" w:rsidRPr="00D001CE">
        <w:rPr>
          <w:rFonts w:ascii="Times New Roman" w:hAnsi="Times New Roman" w:cs="Times New Roman"/>
          <w:sz w:val="24"/>
          <w:szCs w:val="24"/>
          <w:vertAlign w:val="superscript"/>
        </w:rPr>
        <w:t xml:space="preserve"> </w:t>
      </w:r>
      <w:r w:rsidR="00BD7446">
        <w:rPr>
          <w:rFonts w:ascii="Times New Roman" w:hAnsi="Times New Roman" w:cs="Times New Roman"/>
          <w:sz w:val="24"/>
          <w:szCs w:val="24"/>
        </w:rPr>
        <w:t>under the FERC-725R</w:t>
      </w:r>
      <w:r w:rsidR="00657A47">
        <w:rPr>
          <w:rFonts w:ascii="Times New Roman" w:hAnsi="Times New Roman" w:cs="Times New Roman"/>
          <w:sz w:val="24"/>
          <w:szCs w:val="24"/>
        </w:rPr>
        <w:t xml:space="preserve"> information colle</w:t>
      </w:r>
      <w:r w:rsidR="00BD7446">
        <w:rPr>
          <w:rFonts w:ascii="Times New Roman" w:hAnsi="Times New Roman" w:cs="Times New Roman"/>
          <w:sz w:val="24"/>
          <w:szCs w:val="24"/>
        </w:rPr>
        <w:t>ction (OMB Control No. 1902-0268</w:t>
      </w:r>
      <w:r w:rsidR="00657A47">
        <w:rPr>
          <w:rFonts w:ascii="Times New Roman" w:hAnsi="Times New Roman" w:cs="Times New Roman"/>
          <w:sz w:val="24"/>
          <w:szCs w:val="24"/>
        </w:rPr>
        <w:t>).</w:t>
      </w:r>
    </w:p>
    <w:p w14:paraId="0A96CB8C" w14:textId="77777777" w:rsidR="0002242D" w:rsidRDefault="0002242D" w:rsidP="00FD66F1">
      <w:pPr>
        <w:spacing w:after="0"/>
        <w:rPr>
          <w:rFonts w:ascii="Times New Roman" w:hAnsi="Times New Roman" w:cs="Times New Roman"/>
          <w:sz w:val="24"/>
          <w:szCs w:val="24"/>
        </w:rPr>
      </w:pPr>
    </w:p>
    <w:p w14:paraId="560B720E"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102365C5" w14:textId="77777777" w:rsidR="00A72E7B" w:rsidRDefault="00A72E7B" w:rsidP="00EB3E6F">
      <w:pPr>
        <w:spacing w:after="0"/>
        <w:rPr>
          <w:rFonts w:ascii="Times New Roman" w:hAnsi="Times New Roman" w:cs="Times New Roman"/>
          <w:sz w:val="24"/>
          <w:szCs w:val="24"/>
        </w:rPr>
      </w:pPr>
    </w:p>
    <w:p w14:paraId="3903F283" w14:textId="77777777" w:rsidR="00255F1F" w:rsidRPr="001B6A73" w:rsidRDefault="00255F1F" w:rsidP="00255F1F">
      <w:pPr>
        <w:spacing w:after="0"/>
        <w:rPr>
          <w:rFonts w:ascii="Times New Roman" w:hAnsi="Times New Roman" w:cs="Times New Roman"/>
          <w:sz w:val="24"/>
          <w:szCs w:val="24"/>
        </w:rPr>
      </w:pPr>
      <w:r w:rsidRPr="001B6A73">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w:t>
      </w:r>
      <w:r w:rsidRPr="001B6A73">
        <w:rPr>
          <w:rFonts w:ascii="Times New Roman" w:hAnsi="Times New Roman" w:cs="Times New Roman"/>
          <w:sz w:val="24"/>
          <w:szCs w:val="24"/>
        </w:rPr>
        <w:lastRenderedPageBreak/>
        <w:t xml:space="preserve">Organization (ERO) to develop mandatory and enforceable Reliability Standards, which are subject to Commission review and approval.  Once approved, the Reliability Standards may be enforced by the ERO, subject to Commission oversight. </w:t>
      </w:r>
    </w:p>
    <w:p w14:paraId="677B4B0D" w14:textId="77777777" w:rsidR="00255F1F" w:rsidRPr="001B6A73" w:rsidRDefault="00255F1F" w:rsidP="00255F1F">
      <w:pPr>
        <w:spacing w:after="0"/>
        <w:rPr>
          <w:rFonts w:ascii="Times New Roman" w:hAnsi="Times New Roman" w:cs="Times New Roman"/>
          <w:sz w:val="24"/>
          <w:szCs w:val="24"/>
        </w:rPr>
      </w:pPr>
    </w:p>
    <w:p w14:paraId="7FFB2C27" w14:textId="77777777" w:rsidR="0082479F" w:rsidRDefault="00255F1F" w:rsidP="00B837BA">
      <w:pPr>
        <w:spacing w:after="0"/>
        <w:rPr>
          <w:rFonts w:ascii="Times New Roman" w:hAnsi="Times New Roman" w:cs="Times New Roman"/>
          <w:sz w:val="24"/>
          <w:szCs w:val="24"/>
        </w:rPr>
      </w:pPr>
      <w:r w:rsidRPr="001B6A73">
        <w:rPr>
          <w:rFonts w:ascii="Times New Roman" w:hAnsi="Times New Roman" w:cs="Times New Roman"/>
          <w:sz w:val="24"/>
          <w:szCs w:val="24"/>
        </w:rPr>
        <w:t>On March 16, 2007, in Order No. 693, pursuant to section 215(d) of the FPA, the Commission approved 83 of 107 proposed Reliability Standards, six of the eight proposed regional differences, and the North American Electric Reliability Corpor</w:t>
      </w:r>
      <w:r>
        <w:rPr>
          <w:rFonts w:ascii="Times New Roman" w:hAnsi="Times New Roman" w:cs="Times New Roman"/>
          <w:sz w:val="24"/>
          <w:szCs w:val="24"/>
        </w:rPr>
        <w:t>ation (NERC) Glossary of Terms u</w:t>
      </w:r>
      <w:r w:rsidRPr="001B6A73">
        <w:rPr>
          <w:rFonts w:ascii="Times New Roman" w:hAnsi="Times New Roman" w:cs="Times New Roman"/>
          <w:sz w:val="24"/>
          <w:szCs w:val="24"/>
        </w:rPr>
        <w:t>sed in Reliability Standards (NERC Glossary), including currently-effective BAL-00</w:t>
      </w:r>
      <w:r w:rsidR="00926EC5">
        <w:rPr>
          <w:rFonts w:ascii="Times New Roman" w:hAnsi="Times New Roman" w:cs="Times New Roman"/>
          <w:sz w:val="24"/>
          <w:szCs w:val="24"/>
        </w:rPr>
        <w:t>1</w:t>
      </w:r>
      <w:r w:rsidRPr="001B6A73">
        <w:rPr>
          <w:rFonts w:ascii="Times New Roman" w:hAnsi="Times New Roman" w:cs="Times New Roman"/>
          <w:sz w:val="24"/>
          <w:szCs w:val="24"/>
        </w:rPr>
        <w:t>-</w:t>
      </w:r>
      <w:r w:rsidR="000F24CD">
        <w:rPr>
          <w:rFonts w:ascii="Times New Roman" w:hAnsi="Times New Roman" w:cs="Times New Roman"/>
          <w:sz w:val="24"/>
          <w:szCs w:val="24"/>
        </w:rPr>
        <w:t>1</w:t>
      </w:r>
      <w:r w:rsidR="00926EC5">
        <w:rPr>
          <w:rFonts w:ascii="Times New Roman" w:hAnsi="Times New Roman" w:cs="Times New Roman"/>
          <w:sz w:val="24"/>
          <w:szCs w:val="24"/>
        </w:rPr>
        <w:t xml:space="preserve"> and a companion standard BAL-002-0</w:t>
      </w:r>
      <w:r w:rsidRPr="001B6A73">
        <w:rPr>
          <w:rFonts w:ascii="Times New Roman" w:hAnsi="Times New Roman" w:cs="Times New Roman"/>
          <w:sz w:val="24"/>
          <w:szCs w:val="24"/>
        </w:rPr>
        <w:t>.</w:t>
      </w:r>
      <w:r w:rsidR="0021357B" w:rsidRPr="00FD196E">
        <w:rPr>
          <w:rStyle w:val="FootnoteReference"/>
          <w:rFonts w:ascii="Times New Roman" w:hAnsi="Times New Roman" w:cs="Times New Roman"/>
          <w:sz w:val="24"/>
          <w:szCs w:val="24"/>
          <w:vertAlign w:val="superscript"/>
        </w:rPr>
        <w:footnoteReference w:id="3"/>
      </w:r>
      <w:r w:rsidRPr="001B6A73">
        <w:rPr>
          <w:rFonts w:ascii="Times New Roman" w:hAnsi="Times New Roman" w:cs="Times New Roman"/>
          <w:sz w:val="24"/>
          <w:szCs w:val="24"/>
        </w:rPr>
        <w:t xml:space="preserve">  In addition, pursuant to section 215(d)(5) of the FPA, the Commission directed NERC, among other things, to develop modifications to </w:t>
      </w:r>
      <w:r w:rsidR="00926EC5" w:rsidRPr="00926EC5">
        <w:rPr>
          <w:rFonts w:ascii="Times New Roman" w:hAnsi="Times New Roman" w:cs="Times New Roman"/>
          <w:sz w:val="24"/>
          <w:szCs w:val="24"/>
        </w:rPr>
        <w:t>BAL-002-0</w:t>
      </w:r>
      <w:r w:rsidR="00926EC5">
        <w:rPr>
          <w:rFonts w:ascii="Times New Roman" w:hAnsi="Times New Roman" w:cs="Times New Roman"/>
          <w:sz w:val="24"/>
          <w:szCs w:val="24"/>
        </w:rPr>
        <w:t>.</w:t>
      </w:r>
      <w:r w:rsidR="00926EC5" w:rsidRPr="00926EC5">
        <w:rPr>
          <w:rFonts w:ascii="Times New Roman" w:hAnsi="Times New Roman" w:cs="Times New Roman"/>
          <w:sz w:val="24"/>
          <w:szCs w:val="24"/>
        </w:rPr>
        <w:t xml:space="preserve"> </w:t>
      </w:r>
      <w:r w:rsidR="00926EC5">
        <w:rPr>
          <w:rFonts w:ascii="Times New Roman" w:hAnsi="Times New Roman" w:cs="Times New Roman"/>
          <w:sz w:val="24"/>
          <w:szCs w:val="24"/>
        </w:rPr>
        <w:t>T</w:t>
      </w:r>
      <w:r w:rsidR="00926EC5" w:rsidRPr="00926EC5">
        <w:rPr>
          <w:rFonts w:ascii="Times New Roman" w:hAnsi="Times New Roman" w:cs="Times New Roman"/>
          <w:sz w:val="24"/>
          <w:szCs w:val="24"/>
        </w:rPr>
        <w:t>he Commission directed NERC “to modify this Reliability Standard to define a significant deviation and a reportable event, taking into account all events that have an impact on frequency, e.g., loss of supply, loss of load and significant scheduling problems, which can cause frequency disturbances and to address how balancing authorities should respond</w:t>
      </w:r>
      <w:r w:rsidR="00926EC5">
        <w:rPr>
          <w:rFonts w:ascii="Times New Roman" w:hAnsi="Times New Roman" w:cs="Times New Roman"/>
          <w:sz w:val="24"/>
          <w:szCs w:val="24"/>
        </w:rPr>
        <w:t>.</w:t>
      </w:r>
      <w:r w:rsidR="00296233">
        <w:rPr>
          <w:rFonts w:ascii="Times New Roman" w:hAnsi="Times New Roman" w:cs="Times New Roman"/>
          <w:sz w:val="24"/>
          <w:szCs w:val="24"/>
        </w:rPr>
        <w:t>”</w:t>
      </w:r>
    </w:p>
    <w:p w14:paraId="61D9CCBA" w14:textId="77777777" w:rsidR="00926EC5" w:rsidRDefault="00926EC5" w:rsidP="00B837BA">
      <w:pPr>
        <w:spacing w:after="0"/>
        <w:rPr>
          <w:rFonts w:ascii="Times New Roman" w:hAnsi="Times New Roman" w:cs="Times New Roman"/>
          <w:sz w:val="24"/>
          <w:szCs w:val="24"/>
        </w:rPr>
      </w:pPr>
    </w:p>
    <w:p w14:paraId="7B8FDF72" w14:textId="77777777" w:rsidR="00B837BA" w:rsidRDefault="002A2A5B" w:rsidP="00B837BA">
      <w:pPr>
        <w:spacing w:after="0"/>
        <w:rPr>
          <w:rFonts w:ascii="Times New Roman" w:hAnsi="Times New Roman" w:cs="Times New Roman"/>
          <w:sz w:val="24"/>
          <w:szCs w:val="24"/>
        </w:rPr>
      </w:pPr>
      <w:r>
        <w:rPr>
          <w:rFonts w:ascii="Times New Roman" w:hAnsi="Times New Roman" w:cs="Times New Roman"/>
          <w:sz w:val="24"/>
          <w:szCs w:val="24"/>
        </w:rPr>
        <w:t xml:space="preserve">This Final Rule </w:t>
      </w:r>
      <w:r w:rsidR="007345D3">
        <w:rPr>
          <w:rFonts w:ascii="Times New Roman" w:hAnsi="Times New Roman" w:cs="Times New Roman"/>
          <w:sz w:val="24"/>
          <w:szCs w:val="24"/>
        </w:rPr>
        <w:t>approve</w:t>
      </w:r>
      <w:r>
        <w:rPr>
          <w:rFonts w:ascii="Times New Roman" w:hAnsi="Times New Roman" w:cs="Times New Roman"/>
          <w:sz w:val="24"/>
          <w:szCs w:val="24"/>
        </w:rPr>
        <w:t>s</w:t>
      </w:r>
      <w:r w:rsidR="00B837BA">
        <w:rPr>
          <w:rFonts w:ascii="Times New Roman" w:hAnsi="Times New Roman" w:cs="Times New Roman"/>
          <w:sz w:val="24"/>
          <w:szCs w:val="24"/>
        </w:rPr>
        <w:t xml:space="preserve"> </w:t>
      </w:r>
      <w:r w:rsidR="007345D3" w:rsidRPr="007345D3">
        <w:rPr>
          <w:rFonts w:ascii="Times New Roman" w:hAnsi="Times New Roman" w:cs="Times New Roman"/>
          <w:sz w:val="24"/>
          <w:szCs w:val="24"/>
        </w:rPr>
        <w:t>Reliability Standard BAL-002-2,  which is designed to ensure that a responsible entity, either a balancing authority or reserve sharing group, is able to recover from system contingencies by deploying adequate reserves to return their ACE to defined values and replacing the capacity and energy lost due to generation or transmission equipment outage</w:t>
      </w:r>
      <w:r w:rsidR="000B5CE7">
        <w:rPr>
          <w:rFonts w:ascii="Times New Roman" w:hAnsi="Times New Roman" w:cs="Times New Roman"/>
          <w:sz w:val="24"/>
          <w:szCs w:val="24"/>
        </w:rPr>
        <w:t xml:space="preserve">s.  </w:t>
      </w:r>
      <w:r w:rsidR="007345D3" w:rsidRPr="007345D3">
        <w:rPr>
          <w:rFonts w:ascii="Times New Roman" w:hAnsi="Times New Roman" w:cs="Times New Roman"/>
          <w:sz w:val="24"/>
          <w:szCs w:val="24"/>
        </w:rPr>
        <w:t xml:space="preserve">Reliability Standard BAL-002-2, Requirement R1 requires a responsible entity, either a balancing authority or reserve sharing group, experiencing a Reportable Balancing Contingency Event to deploy its contingency reserves to recover its ACE to certain prescribed values within the Contingency Event Recovery </w:t>
      </w:r>
      <w:r w:rsidR="000B5CE7">
        <w:rPr>
          <w:rFonts w:ascii="Times New Roman" w:hAnsi="Times New Roman" w:cs="Times New Roman"/>
          <w:sz w:val="24"/>
          <w:szCs w:val="24"/>
        </w:rPr>
        <w:t xml:space="preserve">Period of 15 minutes.  </w:t>
      </w:r>
      <w:r w:rsidR="007345D3" w:rsidRPr="007345D3">
        <w:rPr>
          <w:rFonts w:ascii="Times New Roman" w:hAnsi="Times New Roman" w:cs="Times New Roman"/>
          <w:sz w:val="24"/>
          <w:szCs w:val="24"/>
        </w:rPr>
        <w:t>Requirement R2 requires a balancing authority or reserve sharing group to develop, review and maintain a process within its Operating Plans for determining its most severe single contingency and prepare to have contingency reserves equal to, or greater than, its most sever</w:t>
      </w:r>
      <w:r w:rsidR="000B5CE7">
        <w:rPr>
          <w:rFonts w:ascii="Times New Roman" w:hAnsi="Times New Roman" w:cs="Times New Roman"/>
          <w:sz w:val="24"/>
          <w:szCs w:val="24"/>
        </w:rPr>
        <w:t xml:space="preserve">e single contingency.  </w:t>
      </w:r>
      <w:r w:rsidR="007345D3" w:rsidRPr="007345D3">
        <w:rPr>
          <w:rFonts w:ascii="Times New Roman" w:hAnsi="Times New Roman" w:cs="Times New Roman"/>
          <w:sz w:val="24"/>
          <w:szCs w:val="24"/>
        </w:rPr>
        <w:t>Requirement R3 provides that, following a Reportable Balancing Contingency Event, the responsible entity shall restore its Contingency Reserve to at least its most severe single contingency, before the end of the Contingency Reserve Restoration Period of 90 minutes.</w:t>
      </w:r>
    </w:p>
    <w:p w14:paraId="597C1D7C" w14:textId="77777777" w:rsidR="00EB3E6F" w:rsidRPr="00EB3E6F" w:rsidRDefault="00EB3E6F" w:rsidP="00EB3E6F">
      <w:pPr>
        <w:spacing w:after="0"/>
        <w:rPr>
          <w:rFonts w:ascii="Times New Roman" w:hAnsi="Times New Roman" w:cs="Times New Roman"/>
          <w:sz w:val="24"/>
          <w:szCs w:val="24"/>
        </w:rPr>
      </w:pPr>
    </w:p>
    <w:p w14:paraId="09840EA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2A3369D3" w14:textId="77777777" w:rsidR="00EB3E6F" w:rsidRDefault="00EB3E6F" w:rsidP="00EB3E6F">
      <w:pPr>
        <w:spacing w:after="0"/>
        <w:rPr>
          <w:rFonts w:ascii="Times New Roman" w:hAnsi="Times New Roman" w:cs="Times New Roman"/>
          <w:sz w:val="24"/>
          <w:szCs w:val="24"/>
        </w:rPr>
      </w:pPr>
    </w:p>
    <w:p w14:paraId="116F83DE" w14:textId="77777777" w:rsidR="00925502" w:rsidRPr="004665F4" w:rsidRDefault="007345D3" w:rsidP="00EB3E6F">
      <w:pPr>
        <w:spacing w:after="0"/>
        <w:rPr>
          <w:rFonts w:ascii="Times New Roman" w:hAnsi="Times New Roman" w:cs="Times New Roman"/>
          <w:sz w:val="24"/>
          <w:szCs w:val="24"/>
        </w:rPr>
      </w:pPr>
      <w:r w:rsidRPr="004665F4">
        <w:rPr>
          <w:rFonts w:ascii="Times New Roman" w:hAnsi="Times New Roman" w:cs="Times New Roman"/>
          <w:sz w:val="24"/>
          <w:szCs w:val="24"/>
        </w:rPr>
        <w:t>Reliability Standard BAL-002-2 has three</w:t>
      </w:r>
      <w:r w:rsidR="00925502" w:rsidRPr="004665F4">
        <w:rPr>
          <w:rFonts w:ascii="Times New Roman" w:hAnsi="Times New Roman" w:cs="Times New Roman"/>
          <w:sz w:val="24"/>
          <w:szCs w:val="24"/>
        </w:rPr>
        <w:t xml:space="preserve"> requirements</w:t>
      </w:r>
      <w:r w:rsidR="002C210D">
        <w:rPr>
          <w:rFonts w:ascii="Times New Roman" w:hAnsi="Times New Roman" w:cs="Times New Roman"/>
          <w:sz w:val="24"/>
          <w:szCs w:val="24"/>
        </w:rPr>
        <w:t xml:space="preserve"> that</w:t>
      </w:r>
      <w:r w:rsidR="003F3C9A" w:rsidRPr="004665F4">
        <w:rPr>
          <w:rFonts w:ascii="Times New Roman" w:hAnsi="Times New Roman" w:cs="Times New Roman"/>
          <w:sz w:val="24"/>
          <w:szCs w:val="24"/>
        </w:rPr>
        <w:t xml:space="preserve"> clarifies</w:t>
      </w:r>
      <w:r w:rsidR="002C210D">
        <w:rPr>
          <w:rFonts w:ascii="Times New Roman" w:hAnsi="Times New Roman" w:cs="Times New Roman"/>
          <w:sz w:val="24"/>
          <w:szCs w:val="24"/>
        </w:rPr>
        <w:t xml:space="preserve"> the</w:t>
      </w:r>
      <w:r w:rsidR="003F3C9A" w:rsidRPr="004665F4">
        <w:rPr>
          <w:rFonts w:ascii="Times New Roman" w:hAnsi="Times New Roman" w:cs="Times New Roman"/>
          <w:sz w:val="24"/>
          <w:szCs w:val="24"/>
        </w:rPr>
        <w:t xml:space="preserve"> obligations associated with BAL-002 by streamlining and organizing the responsibilities required, thus, enhancing the obligation to maintain reserves and further defining events that predicate action under the standard</w:t>
      </w:r>
      <w:r w:rsidR="00925502" w:rsidRPr="004665F4">
        <w:rPr>
          <w:rFonts w:ascii="Times New Roman" w:hAnsi="Times New Roman" w:cs="Times New Roman"/>
          <w:sz w:val="24"/>
          <w:szCs w:val="24"/>
        </w:rPr>
        <w:t xml:space="preserve">.  </w:t>
      </w:r>
    </w:p>
    <w:p w14:paraId="7E22A8AC" w14:textId="77777777" w:rsidR="00925502" w:rsidRPr="004665F4" w:rsidRDefault="00925502" w:rsidP="00EB3E6F">
      <w:pPr>
        <w:spacing w:after="0"/>
        <w:rPr>
          <w:rFonts w:ascii="Times New Roman" w:hAnsi="Times New Roman" w:cs="Times New Roman"/>
          <w:sz w:val="24"/>
          <w:szCs w:val="24"/>
        </w:rPr>
      </w:pPr>
    </w:p>
    <w:p w14:paraId="12ADC433" w14:textId="77777777" w:rsidR="003A17AE" w:rsidRPr="004665F4" w:rsidRDefault="003A17AE" w:rsidP="00EB3E6F">
      <w:pPr>
        <w:spacing w:after="0"/>
        <w:rPr>
          <w:rFonts w:ascii="Times New Roman" w:hAnsi="Times New Roman" w:cs="Times New Roman"/>
          <w:sz w:val="24"/>
          <w:szCs w:val="24"/>
        </w:rPr>
      </w:pPr>
      <w:r w:rsidRPr="004665F4">
        <w:rPr>
          <w:rFonts w:ascii="Times New Roman" w:hAnsi="Times New Roman" w:cs="Times New Roman"/>
          <w:sz w:val="24"/>
          <w:szCs w:val="24"/>
          <w:u w:val="single"/>
        </w:rPr>
        <w:t>Requirement R1</w:t>
      </w:r>
      <w:r w:rsidRPr="004665F4">
        <w:rPr>
          <w:rFonts w:ascii="Times New Roman" w:hAnsi="Times New Roman" w:cs="Times New Roman"/>
          <w:sz w:val="24"/>
          <w:szCs w:val="24"/>
        </w:rPr>
        <w:t>:</w:t>
      </w:r>
    </w:p>
    <w:p w14:paraId="2F4C99CB" w14:textId="77777777" w:rsidR="009942F8" w:rsidRPr="00F65F0C" w:rsidRDefault="003F3C9A" w:rsidP="00EB3E6F">
      <w:pPr>
        <w:spacing w:after="0"/>
        <w:rPr>
          <w:rFonts w:ascii="Times New Roman" w:hAnsi="Times New Roman" w:cs="Times New Roman"/>
          <w:sz w:val="24"/>
          <w:szCs w:val="24"/>
        </w:rPr>
      </w:pPr>
      <w:r w:rsidRPr="00F65F0C">
        <w:rPr>
          <w:rFonts w:ascii="Times New Roman" w:hAnsi="Times New Roman" w:cs="Times New Roman"/>
          <w:sz w:val="24"/>
          <w:szCs w:val="24"/>
        </w:rPr>
        <w:t>Requirement R1 requires responsible entities [Balancing Authorities (BA) or Reserve Sharing (RSG) Groups] experiencing a Reportable Balancing Contingency Event to deploy its contingency reserves to recover its ACE to prescribed values within the Contingency Event Recovery Period of 15 minutes</w:t>
      </w:r>
      <w:r w:rsidR="00AF19D9" w:rsidRPr="00F65F0C">
        <w:rPr>
          <w:rFonts w:ascii="Times New Roman" w:hAnsi="Times New Roman" w:cs="Times New Roman"/>
          <w:sz w:val="24"/>
          <w:szCs w:val="24"/>
        </w:rPr>
        <w:t>.</w:t>
      </w:r>
    </w:p>
    <w:p w14:paraId="28B4BC3E" w14:textId="77777777" w:rsidR="003F3C9A" w:rsidRPr="00F65F0C" w:rsidRDefault="003F3C9A" w:rsidP="00EB3E6F">
      <w:pPr>
        <w:spacing w:after="0"/>
        <w:rPr>
          <w:rFonts w:ascii="Times New Roman" w:hAnsi="Times New Roman" w:cs="Times New Roman"/>
          <w:sz w:val="24"/>
          <w:szCs w:val="24"/>
        </w:rPr>
      </w:pPr>
    </w:p>
    <w:p w14:paraId="38A6528B" w14:textId="77777777" w:rsidR="003F3C9A" w:rsidRDefault="003F3C9A"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Part 1.3.1 provides that a BA or RSG is not subject to Requirement R1, Part 1.1 if: (1) is experiencing a Reliability Coordinator declared Energy Emergency Alert Level; (2) is utilizing its contingency reserve to mitigate an operating emergency in accordance with its emergency Operating Plan, </w:t>
      </w:r>
      <w:r w:rsidRPr="00F65F0C">
        <w:rPr>
          <w:rFonts w:ascii="Times New Roman" w:hAnsi="Times New Roman"/>
          <w:sz w:val="24"/>
          <w:szCs w:val="24"/>
        </w:rPr>
        <w:t>and</w:t>
      </w:r>
      <w:r w:rsidRPr="00F65F0C">
        <w:rPr>
          <w:rFonts w:ascii="Times New Roman" w:hAnsi="Times New Roman" w:cs="Times New Roman"/>
          <w:sz w:val="24"/>
          <w:szCs w:val="24"/>
        </w:rPr>
        <w:t xml:space="preserve"> (3) has depleted its contingency reserve to a level below its </w:t>
      </w:r>
      <w:r w:rsidR="002C210D" w:rsidRPr="00F65F0C">
        <w:rPr>
          <w:rFonts w:ascii="Times New Roman" w:hAnsi="Times New Roman" w:cs="Times New Roman"/>
          <w:sz w:val="24"/>
          <w:szCs w:val="24"/>
        </w:rPr>
        <w:t>Most Severe Single Contingency</w:t>
      </w:r>
      <w:r w:rsidRPr="00F65F0C">
        <w:rPr>
          <w:rFonts w:ascii="Times New Roman" w:hAnsi="Times New Roman" w:cs="Times New Roman"/>
          <w:sz w:val="24"/>
          <w:szCs w:val="24"/>
        </w:rPr>
        <w:t xml:space="preserve"> (MSSC).  </w:t>
      </w:r>
      <w:r w:rsidR="00351EE9">
        <w:rPr>
          <w:rFonts w:ascii="Times New Roman" w:hAnsi="Times New Roman" w:cs="Times New Roman"/>
          <w:sz w:val="24"/>
          <w:szCs w:val="24"/>
        </w:rPr>
        <w:t>Each of the three aforementioned conditions needs to be satisfied for a BA or RSG not to be subjected to Requirement R1.</w:t>
      </w:r>
    </w:p>
    <w:p w14:paraId="5FB964ED" w14:textId="77777777" w:rsidR="000B5CE7" w:rsidRPr="00F65F0C" w:rsidRDefault="000B5CE7" w:rsidP="00EB3E6F">
      <w:pPr>
        <w:spacing w:after="0"/>
        <w:rPr>
          <w:rFonts w:ascii="Times New Roman" w:hAnsi="Times New Roman" w:cs="Times New Roman"/>
          <w:sz w:val="24"/>
          <w:szCs w:val="24"/>
        </w:rPr>
      </w:pPr>
    </w:p>
    <w:p w14:paraId="6661CE68" w14:textId="77777777" w:rsidR="00022043" w:rsidRPr="00F65F0C" w:rsidRDefault="00022043"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Part 1.3.2 provides that a BA or RSG is not subject to Requirement R1, Part 1.1 if the balancing authority or reserve sharing group experiences: (1) multiple Contingencies where the combined megawatt (MW) loss exceeds its </w:t>
      </w:r>
      <w:r w:rsidR="00F65F0C" w:rsidRPr="00F65F0C">
        <w:rPr>
          <w:rFonts w:ascii="Times New Roman" w:hAnsi="Times New Roman" w:cs="Times New Roman"/>
          <w:sz w:val="24"/>
          <w:szCs w:val="24"/>
        </w:rPr>
        <w:t>MSSC</w:t>
      </w:r>
      <w:r w:rsidR="002C210D" w:rsidRPr="00F65F0C">
        <w:rPr>
          <w:rFonts w:ascii="Times New Roman" w:hAnsi="Times New Roman" w:cs="Times New Roman"/>
          <w:sz w:val="24"/>
          <w:szCs w:val="24"/>
        </w:rPr>
        <w:t xml:space="preserve"> </w:t>
      </w:r>
      <w:r w:rsidRPr="00F65F0C">
        <w:rPr>
          <w:rFonts w:ascii="Times New Roman" w:hAnsi="Times New Roman" w:cs="Times New Roman"/>
          <w:sz w:val="24"/>
          <w:szCs w:val="24"/>
        </w:rPr>
        <w:t xml:space="preserve">and that are defined as a single Balancing Contingency Event </w:t>
      </w:r>
      <w:r w:rsidRPr="00F65F0C">
        <w:rPr>
          <w:rFonts w:ascii="Times New Roman" w:hAnsi="Times New Roman"/>
          <w:sz w:val="24"/>
          <w:szCs w:val="24"/>
        </w:rPr>
        <w:t>or</w:t>
      </w:r>
      <w:r w:rsidRPr="00F65F0C">
        <w:rPr>
          <w:rFonts w:ascii="Times New Roman" w:hAnsi="Times New Roman" w:cs="Times New Roman"/>
          <w:sz w:val="24"/>
          <w:szCs w:val="24"/>
        </w:rPr>
        <w:t xml:space="preserve"> (2) multiple Balancing Contingency Events within the sum of the time periods defined by the Contingency Event Recovery Period and Contingency Reserve Restoration Period whose combined magnitude exceeds the Responsible Entity’s </w:t>
      </w:r>
      <w:r w:rsidR="00F65F0C" w:rsidRPr="00F65F0C">
        <w:rPr>
          <w:rFonts w:ascii="Times New Roman" w:hAnsi="Times New Roman" w:cs="Times New Roman"/>
          <w:sz w:val="24"/>
          <w:szCs w:val="24"/>
        </w:rPr>
        <w:t>MSSC</w:t>
      </w:r>
      <w:r w:rsidRPr="00F65F0C">
        <w:rPr>
          <w:rFonts w:ascii="Times New Roman" w:hAnsi="Times New Roman" w:cs="Times New Roman"/>
          <w:sz w:val="24"/>
          <w:szCs w:val="24"/>
        </w:rPr>
        <w:t>.</w:t>
      </w:r>
    </w:p>
    <w:p w14:paraId="513864B7" w14:textId="77777777" w:rsidR="003A17AE" w:rsidRPr="00F65F0C" w:rsidRDefault="003A17AE" w:rsidP="00EB3E6F">
      <w:pPr>
        <w:spacing w:after="0"/>
        <w:rPr>
          <w:rFonts w:ascii="Times New Roman" w:hAnsi="Times New Roman" w:cs="Times New Roman"/>
          <w:sz w:val="24"/>
          <w:szCs w:val="24"/>
        </w:rPr>
      </w:pPr>
    </w:p>
    <w:p w14:paraId="7B7CA0C3" w14:textId="77777777" w:rsidR="003A17AE" w:rsidRPr="00F65F0C" w:rsidRDefault="003A17AE" w:rsidP="00EB3E6F">
      <w:pPr>
        <w:spacing w:after="0"/>
        <w:rPr>
          <w:rFonts w:ascii="Times New Roman" w:hAnsi="Times New Roman" w:cs="Times New Roman"/>
          <w:sz w:val="24"/>
          <w:szCs w:val="24"/>
        </w:rPr>
      </w:pPr>
      <w:r w:rsidRPr="00F65F0C">
        <w:rPr>
          <w:rFonts w:ascii="Times New Roman" w:hAnsi="Times New Roman" w:cs="Times New Roman"/>
          <w:sz w:val="24"/>
          <w:szCs w:val="24"/>
          <w:u w:val="single"/>
        </w:rPr>
        <w:t>Requirement R2</w:t>
      </w:r>
      <w:r w:rsidRPr="00F65F0C">
        <w:rPr>
          <w:rFonts w:ascii="Times New Roman" w:hAnsi="Times New Roman" w:cs="Times New Roman"/>
          <w:sz w:val="24"/>
          <w:szCs w:val="24"/>
        </w:rPr>
        <w:t>:</w:t>
      </w:r>
    </w:p>
    <w:p w14:paraId="77304256" w14:textId="77777777" w:rsidR="003410FA" w:rsidRPr="00F65F0C" w:rsidRDefault="002D438A"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R2 requires responsible entities to demonstrate that their process for calculating their </w:t>
      </w:r>
      <w:r w:rsidR="00F65F0C" w:rsidRPr="00F65F0C">
        <w:rPr>
          <w:rFonts w:ascii="Times New Roman" w:hAnsi="Times New Roman" w:cs="Times New Roman"/>
          <w:sz w:val="24"/>
          <w:szCs w:val="24"/>
        </w:rPr>
        <w:t>MSSC</w:t>
      </w:r>
      <w:r w:rsidR="00F65F0C">
        <w:rPr>
          <w:rFonts w:ascii="Times New Roman" w:hAnsi="Times New Roman" w:cs="Times New Roman"/>
          <w:sz w:val="24"/>
          <w:szCs w:val="24"/>
        </w:rPr>
        <w:t xml:space="preserve"> </w:t>
      </w:r>
      <w:r w:rsidRPr="00F65F0C">
        <w:rPr>
          <w:rFonts w:ascii="Times New Roman" w:hAnsi="Times New Roman" w:cs="Times New Roman"/>
          <w:sz w:val="24"/>
          <w:szCs w:val="24"/>
        </w:rPr>
        <w:t>“surveys all contingencies, including single points of failure, to identify the event that would cause the greatest loss of resource output used by the [reserve sharing group or balancing authority] to meet Firm Demand.”   NERC further states that Requirement R2 supports Requirements R1 and R3 in proposed Reliability Standard BAL-002-2 “as these requirements rely on proper calculation of [</w:t>
      </w:r>
      <w:r w:rsidR="002C210D" w:rsidRPr="00F65F0C">
        <w:rPr>
          <w:rFonts w:ascii="Times New Roman" w:hAnsi="Times New Roman" w:cs="Times New Roman"/>
          <w:sz w:val="24"/>
          <w:szCs w:val="24"/>
        </w:rPr>
        <w:t>Most Severe Single Contingency</w:t>
      </w:r>
      <w:r w:rsidRPr="00F65F0C">
        <w:rPr>
          <w:rFonts w:ascii="Times New Roman" w:hAnsi="Times New Roman" w:cs="Times New Roman"/>
          <w:sz w:val="24"/>
          <w:szCs w:val="24"/>
        </w:rPr>
        <w:t>]</w:t>
      </w:r>
      <w:r w:rsidR="003410FA" w:rsidRPr="00F65F0C">
        <w:rPr>
          <w:rFonts w:ascii="Times New Roman" w:hAnsi="Times New Roman" w:cs="Times New Roman"/>
          <w:sz w:val="24"/>
          <w:szCs w:val="24"/>
        </w:rPr>
        <w:t>.</w:t>
      </w:r>
      <w:r w:rsidR="004665F4" w:rsidRPr="00F65F0C">
        <w:rPr>
          <w:rFonts w:ascii="Times New Roman" w:hAnsi="Times New Roman" w:cs="Times New Roman"/>
          <w:sz w:val="24"/>
          <w:szCs w:val="24"/>
        </w:rPr>
        <w:t>”</w:t>
      </w:r>
    </w:p>
    <w:p w14:paraId="116DD3DB" w14:textId="77777777" w:rsidR="004665F4" w:rsidRPr="00F65F0C" w:rsidRDefault="004665F4" w:rsidP="00EB3E6F">
      <w:pPr>
        <w:spacing w:after="0"/>
        <w:rPr>
          <w:rFonts w:ascii="Times New Roman" w:hAnsi="Times New Roman" w:cs="Times New Roman"/>
          <w:sz w:val="24"/>
          <w:szCs w:val="24"/>
        </w:rPr>
      </w:pPr>
    </w:p>
    <w:p w14:paraId="3D6540B7" w14:textId="77777777" w:rsidR="004665F4" w:rsidRPr="004665F4" w:rsidRDefault="004665F4" w:rsidP="00EB3E6F">
      <w:pPr>
        <w:spacing w:after="0"/>
        <w:rPr>
          <w:rFonts w:ascii="Times New Roman" w:hAnsi="Times New Roman" w:cs="Times New Roman"/>
          <w:sz w:val="24"/>
          <w:szCs w:val="24"/>
        </w:rPr>
      </w:pPr>
      <w:r w:rsidRPr="00F65F0C">
        <w:rPr>
          <w:rFonts w:ascii="Times New Roman" w:hAnsi="Times New Roman" w:cs="Times New Roman"/>
          <w:sz w:val="24"/>
          <w:szCs w:val="24"/>
          <w:u w:val="single"/>
        </w:rPr>
        <w:t>Requirement R3</w:t>
      </w:r>
      <w:r w:rsidRPr="00F65F0C">
        <w:rPr>
          <w:rFonts w:ascii="Times New Roman" w:hAnsi="Times New Roman" w:cs="Times New Roman"/>
          <w:sz w:val="24"/>
          <w:szCs w:val="24"/>
        </w:rPr>
        <w:t>:</w:t>
      </w:r>
    </w:p>
    <w:p w14:paraId="7070833F" w14:textId="77777777" w:rsidR="004665F4" w:rsidRPr="004665F4" w:rsidRDefault="004665F4" w:rsidP="00EB3E6F">
      <w:pPr>
        <w:spacing w:after="0"/>
        <w:rPr>
          <w:rFonts w:ascii="Times New Roman" w:eastAsia="Times New Roman" w:hAnsi="Times New Roman" w:cs="Times New Roman"/>
          <w:sz w:val="24"/>
          <w:szCs w:val="24"/>
        </w:rPr>
      </w:pPr>
      <w:r w:rsidRPr="004665F4">
        <w:rPr>
          <w:rFonts w:ascii="Times New Roman" w:eastAsia="Times New Roman" w:hAnsi="Times New Roman" w:cs="Times New Roman"/>
          <w:sz w:val="24"/>
          <w:szCs w:val="24"/>
        </w:rPr>
        <w:t>Requirement R3provides that “each Responsible Entity, following a Reportable Balancing Contingency Event, shall restore its Contingency Reserve to at least its Most Severe Single Contingency, before the end of the Contingency Reserve Restoration Period [90 minutes], but any Balancing Contingency Event that occurs before the end of a Contingency Reserve Restoration Period resets the beginning of the Contingency Event Recovery Period.”</w:t>
      </w:r>
    </w:p>
    <w:p w14:paraId="2767EEC4" w14:textId="77777777" w:rsidR="004665F4" w:rsidRPr="004665F4" w:rsidRDefault="004665F4" w:rsidP="00EB3E6F">
      <w:pPr>
        <w:spacing w:after="0"/>
        <w:rPr>
          <w:rFonts w:ascii="Times New Roman" w:eastAsia="Times New Roman" w:hAnsi="Times New Roman" w:cs="Times New Roman"/>
          <w:sz w:val="24"/>
          <w:szCs w:val="24"/>
        </w:rPr>
      </w:pPr>
    </w:p>
    <w:p w14:paraId="593F97D0" w14:textId="77777777" w:rsidR="004665F4" w:rsidRPr="004665F4" w:rsidRDefault="00832C80" w:rsidP="00EB3E6F">
      <w:pPr>
        <w:spacing w:after="0"/>
        <w:rPr>
          <w:rFonts w:ascii="Times New Roman" w:hAnsi="Times New Roman" w:cs="Times New Roman"/>
          <w:sz w:val="24"/>
          <w:szCs w:val="24"/>
        </w:rPr>
      </w:pPr>
      <w:r>
        <w:rPr>
          <w:rFonts w:ascii="Times New Roman" w:hAnsi="Times New Roman" w:cs="Times New Roman"/>
          <w:sz w:val="24"/>
          <w:szCs w:val="24"/>
        </w:rPr>
        <w:t>NERC states that the</w:t>
      </w:r>
      <w:r w:rsidR="004665F4" w:rsidRPr="004665F4">
        <w:rPr>
          <w:rFonts w:ascii="Times New Roman" w:hAnsi="Times New Roman" w:cs="Times New Roman"/>
          <w:sz w:val="24"/>
          <w:szCs w:val="24"/>
        </w:rPr>
        <w:t xml:space="preserve"> new definitions for Balancing Contingency Event and Reportable Balancing Contingency Event more clearly identify the types of events that cause frequency </w:t>
      </w:r>
      <w:r w:rsidR="004665F4" w:rsidRPr="004665F4">
        <w:rPr>
          <w:rFonts w:ascii="Times New Roman" w:hAnsi="Times New Roman" w:cs="Times New Roman"/>
          <w:sz w:val="24"/>
          <w:szCs w:val="24"/>
        </w:rPr>
        <w:lastRenderedPageBreak/>
        <w:t>deviations necessi</w:t>
      </w:r>
      <w:r>
        <w:rPr>
          <w:rFonts w:ascii="Times New Roman" w:hAnsi="Times New Roman" w:cs="Times New Roman"/>
          <w:sz w:val="24"/>
          <w:szCs w:val="24"/>
        </w:rPr>
        <w:t>tating action under the</w:t>
      </w:r>
      <w:r w:rsidR="004665F4" w:rsidRPr="004665F4">
        <w:rPr>
          <w:rFonts w:ascii="Times New Roman" w:hAnsi="Times New Roman" w:cs="Times New Roman"/>
          <w:sz w:val="24"/>
          <w:szCs w:val="24"/>
        </w:rPr>
        <w:t xml:space="preserve"> Reliability Standard and provide additional detail regarding the types of resources that may be identified as contingency reserves.</w:t>
      </w:r>
    </w:p>
    <w:p w14:paraId="77AFF2C2" w14:textId="77777777" w:rsidR="004276A5" w:rsidRPr="00EB3E6F" w:rsidRDefault="004276A5" w:rsidP="004276A5">
      <w:pPr>
        <w:spacing w:after="0"/>
        <w:rPr>
          <w:rFonts w:ascii="Times New Roman" w:hAnsi="Times New Roman" w:cs="Times New Roman"/>
          <w:sz w:val="24"/>
          <w:szCs w:val="24"/>
        </w:rPr>
      </w:pPr>
    </w:p>
    <w:p w14:paraId="3400E168"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20D42009" w14:textId="77777777" w:rsidR="00EB3E6F" w:rsidRDefault="00EB3E6F" w:rsidP="00EB3E6F">
      <w:pPr>
        <w:spacing w:after="0"/>
        <w:rPr>
          <w:rFonts w:ascii="Times New Roman" w:hAnsi="Times New Roman" w:cs="Times New Roman"/>
          <w:sz w:val="24"/>
          <w:szCs w:val="24"/>
        </w:rPr>
      </w:pPr>
    </w:p>
    <w:p w14:paraId="04DDB72A" w14:textId="77777777" w:rsidR="009A30BD" w:rsidRPr="009A30BD" w:rsidRDefault="009A30BD" w:rsidP="009A30BD">
      <w:pPr>
        <w:spacing w:after="0"/>
        <w:rPr>
          <w:rFonts w:ascii="Times New Roman" w:hAnsi="Times New Roman" w:cs="Times New Roman"/>
          <w:sz w:val="24"/>
          <w:szCs w:val="24"/>
        </w:rPr>
      </w:pPr>
      <w:r w:rsidRPr="009A30BD">
        <w:rPr>
          <w:rFonts w:ascii="Times New Roman" w:hAnsi="Times New Roman" w:cs="Times New Roman"/>
          <w:sz w:val="24"/>
          <w:szCs w:val="24"/>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48C87B15" w14:textId="77777777" w:rsidR="009A30BD" w:rsidRPr="009A30BD" w:rsidRDefault="009A30BD" w:rsidP="009A30BD">
      <w:pPr>
        <w:spacing w:after="0"/>
        <w:rPr>
          <w:rFonts w:ascii="Times New Roman" w:hAnsi="Times New Roman" w:cs="Times New Roman"/>
          <w:sz w:val="24"/>
          <w:szCs w:val="24"/>
        </w:rPr>
      </w:pPr>
    </w:p>
    <w:p w14:paraId="4E26B0A4" w14:textId="77777777" w:rsidR="0045480C" w:rsidRDefault="009A30BD" w:rsidP="009A30BD">
      <w:pPr>
        <w:spacing w:after="0"/>
        <w:rPr>
          <w:rFonts w:ascii="Times New Roman" w:hAnsi="Times New Roman" w:cs="Times New Roman"/>
          <w:sz w:val="24"/>
          <w:szCs w:val="24"/>
        </w:rPr>
      </w:pPr>
      <w:r w:rsidRPr="009A30BD">
        <w:rPr>
          <w:rFonts w:ascii="Times New Roman" w:hAnsi="Times New Roman" w:cs="Times New Roman"/>
          <w:sz w:val="24"/>
          <w:szCs w:val="24"/>
        </w:rPr>
        <w:t>In general, the Commission supports the use of information technology to reduce burden</w:t>
      </w:r>
      <w:r w:rsidR="0045480C" w:rsidRPr="00AD5F12">
        <w:rPr>
          <w:rFonts w:ascii="Times New Roman" w:hAnsi="Times New Roman" w:cs="Times New Roman"/>
          <w:sz w:val="24"/>
          <w:szCs w:val="24"/>
        </w:rPr>
        <w:t>.</w:t>
      </w:r>
    </w:p>
    <w:p w14:paraId="3D535F84" w14:textId="77777777" w:rsidR="00466C57" w:rsidRPr="00EB3E6F" w:rsidRDefault="00466C57" w:rsidP="00EB3E6F">
      <w:pPr>
        <w:spacing w:after="0"/>
        <w:rPr>
          <w:rFonts w:ascii="Times New Roman" w:hAnsi="Times New Roman" w:cs="Times New Roman"/>
          <w:sz w:val="24"/>
          <w:szCs w:val="24"/>
        </w:rPr>
      </w:pPr>
    </w:p>
    <w:p w14:paraId="42841FE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1C979D3" w14:textId="77777777" w:rsidR="00EB3E6F" w:rsidRDefault="00EB3E6F" w:rsidP="00EB3E6F">
      <w:pPr>
        <w:spacing w:after="0"/>
        <w:rPr>
          <w:rFonts w:ascii="Times New Roman" w:hAnsi="Times New Roman" w:cs="Times New Roman"/>
          <w:sz w:val="24"/>
          <w:szCs w:val="24"/>
        </w:rPr>
      </w:pPr>
    </w:p>
    <w:p w14:paraId="09536C5F" w14:textId="77777777"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Reliability Standard </w:t>
      </w:r>
      <w:r w:rsidR="004665F4">
        <w:rPr>
          <w:rFonts w:ascii="Times New Roman" w:hAnsi="Times New Roman" w:cs="Times New Roman"/>
          <w:sz w:val="24"/>
          <w:szCs w:val="24"/>
        </w:rPr>
        <w:t>BAL-002</w:t>
      </w:r>
      <w:r w:rsidR="003410FA">
        <w:rPr>
          <w:rFonts w:ascii="Times New Roman" w:hAnsi="Times New Roman" w:cs="Times New Roman"/>
          <w:sz w:val="24"/>
          <w:szCs w:val="24"/>
        </w:rPr>
        <w:t>-2</w:t>
      </w:r>
      <w:r w:rsidR="00731C22">
        <w:rPr>
          <w:rFonts w:ascii="Times New Roman" w:hAnsi="Times New Roman" w:cs="Times New Roman"/>
          <w:sz w:val="24"/>
          <w:szCs w:val="24"/>
        </w:rPr>
        <w:t xml:space="preserve"> does not duplicate an</w:t>
      </w:r>
      <w:r w:rsidR="000B5CE7">
        <w:rPr>
          <w:rFonts w:ascii="Times New Roman" w:hAnsi="Times New Roman" w:cs="Times New Roman"/>
          <w:sz w:val="24"/>
          <w:szCs w:val="24"/>
        </w:rPr>
        <w:t>y filing requirements since this Final Rule</w:t>
      </w:r>
      <w:r w:rsidR="00731C22">
        <w:rPr>
          <w:rFonts w:ascii="Times New Roman" w:hAnsi="Times New Roman" w:cs="Times New Roman"/>
          <w:sz w:val="24"/>
          <w:szCs w:val="24"/>
        </w:rPr>
        <w:t xml:space="preserve"> </w:t>
      </w:r>
      <w:r w:rsidR="004665F4">
        <w:rPr>
          <w:rFonts w:ascii="Times New Roman" w:hAnsi="Times New Roman" w:cs="Times New Roman"/>
          <w:sz w:val="24"/>
          <w:szCs w:val="24"/>
        </w:rPr>
        <w:t>revise</w:t>
      </w:r>
      <w:r w:rsidR="000B5CE7">
        <w:rPr>
          <w:rFonts w:ascii="Times New Roman" w:hAnsi="Times New Roman" w:cs="Times New Roman"/>
          <w:sz w:val="24"/>
          <w:szCs w:val="24"/>
        </w:rPr>
        <w:t>s</w:t>
      </w:r>
      <w:r w:rsidR="003410FA">
        <w:rPr>
          <w:rFonts w:ascii="Times New Roman" w:hAnsi="Times New Roman" w:cs="Times New Roman"/>
          <w:sz w:val="24"/>
          <w:szCs w:val="24"/>
        </w:rPr>
        <w:t xml:space="preserve"> an existing standard </w:t>
      </w:r>
      <w:r w:rsidR="009A19ED">
        <w:rPr>
          <w:rFonts w:ascii="Times New Roman" w:hAnsi="Times New Roman" w:cs="Times New Roman"/>
          <w:sz w:val="24"/>
          <w:szCs w:val="24"/>
        </w:rPr>
        <w:t>to improve</w:t>
      </w:r>
      <w:r w:rsidR="003410FA">
        <w:rPr>
          <w:rFonts w:ascii="Times New Roman" w:hAnsi="Times New Roman" w:cs="Times New Roman"/>
          <w:sz w:val="24"/>
          <w:szCs w:val="24"/>
        </w:rPr>
        <w:t xml:space="preserve"> clarity and efficiency</w:t>
      </w:r>
      <w:r w:rsidR="00731C22">
        <w:rPr>
          <w:rFonts w:ascii="Times New Roman" w:hAnsi="Times New Roman" w:cs="Times New Roman"/>
          <w:sz w:val="24"/>
          <w:szCs w:val="24"/>
        </w:rPr>
        <w:t xml:space="preserve">.  </w:t>
      </w:r>
    </w:p>
    <w:p w14:paraId="60712E62" w14:textId="77777777" w:rsidR="00466C57" w:rsidRPr="00EB3E6F" w:rsidRDefault="00466C57" w:rsidP="00EB3E6F">
      <w:pPr>
        <w:spacing w:after="0"/>
        <w:rPr>
          <w:rFonts w:ascii="Times New Roman" w:hAnsi="Times New Roman" w:cs="Times New Roman"/>
          <w:sz w:val="24"/>
          <w:szCs w:val="24"/>
        </w:rPr>
      </w:pPr>
    </w:p>
    <w:p w14:paraId="710D5671"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7BA1C05" w14:textId="77777777" w:rsidR="00EB3E6F" w:rsidRDefault="00EB3E6F" w:rsidP="00EB3E6F">
      <w:pPr>
        <w:spacing w:after="0"/>
        <w:rPr>
          <w:rFonts w:ascii="Times New Roman" w:hAnsi="Times New Roman" w:cs="Times New Roman"/>
          <w:sz w:val="24"/>
          <w:szCs w:val="24"/>
        </w:rPr>
      </w:pPr>
    </w:p>
    <w:p w14:paraId="29D1C61B" w14:textId="77777777"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736047">
        <w:rPr>
          <w:rFonts w:ascii="Times New Roman" w:hAnsi="Times New Roman" w:cs="Times New Roman"/>
          <w:sz w:val="24"/>
          <w:szCs w:val="24"/>
        </w:rPr>
        <w:t>RC estimates that there are 2</w:t>
      </w:r>
      <w:r w:rsidR="003410FA">
        <w:rPr>
          <w:rFonts w:ascii="Times New Roman" w:hAnsi="Times New Roman" w:cs="Times New Roman"/>
          <w:sz w:val="24"/>
          <w:szCs w:val="24"/>
        </w:rPr>
        <w:t>3</w:t>
      </w:r>
      <w:r w:rsidR="00CF759C" w:rsidRPr="00CF759C">
        <w:rPr>
          <w:rStyle w:val="FootnoteReference"/>
          <w:rFonts w:ascii="Times New Roman" w:hAnsi="Times New Roman" w:cs="Times New Roman"/>
          <w:sz w:val="24"/>
          <w:szCs w:val="24"/>
          <w:vertAlign w:val="superscript"/>
        </w:rPr>
        <w:footnoteReference w:id="4"/>
      </w:r>
      <w:r w:rsidR="00736047">
        <w:rPr>
          <w:rFonts w:ascii="Times New Roman" w:hAnsi="Times New Roman" w:cs="Times New Roman"/>
          <w:sz w:val="24"/>
          <w:szCs w:val="24"/>
        </w:rPr>
        <w:t xml:space="preserve"> small entities</w:t>
      </w:r>
      <w:r w:rsidR="00A95E88">
        <w:rPr>
          <w:rFonts w:ascii="Times New Roman" w:hAnsi="Times New Roman" w:cs="Times New Roman"/>
          <w:sz w:val="24"/>
          <w:szCs w:val="24"/>
        </w:rPr>
        <w:t xml:space="preserve"> applicable to this rule.</w:t>
      </w:r>
      <w:r w:rsidRPr="001348AC">
        <w:rPr>
          <w:rFonts w:ascii="Times New Roman" w:hAnsi="Times New Roman" w:cs="Times New Roman"/>
          <w:sz w:val="24"/>
          <w:szCs w:val="24"/>
        </w:rPr>
        <w:t xml:space="preserve"> </w:t>
      </w:r>
      <w:r w:rsidR="008925A8">
        <w:rPr>
          <w:rFonts w:ascii="Times New Roman" w:hAnsi="Times New Roman" w:cs="Times New Roman"/>
          <w:sz w:val="24"/>
          <w:szCs w:val="24"/>
        </w:rPr>
        <w:t>(Of these, FERC estimates that one of the small entities will be affected b</w:t>
      </w:r>
      <w:r w:rsidR="005F4FB2">
        <w:rPr>
          <w:rFonts w:ascii="Times New Roman" w:hAnsi="Times New Roman" w:cs="Times New Roman"/>
          <w:sz w:val="24"/>
          <w:szCs w:val="24"/>
        </w:rPr>
        <w:t>y the new requirement of BAL-002</w:t>
      </w:r>
      <w:r w:rsidR="008925A8">
        <w:rPr>
          <w:rFonts w:ascii="Times New Roman" w:hAnsi="Times New Roman" w:cs="Times New Roman"/>
          <w:sz w:val="24"/>
          <w:szCs w:val="24"/>
        </w:rPr>
        <w:t xml:space="preserve">-2.)  </w:t>
      </w:r>
      <w:r w:rsidRPr="001348AC">
        <w:rPr>
          <w:rFonts w:ascii="Times New Roman" w:hAnsi="Times New Roman" w:cs="Times New Roman"/>
          <w:sz w:val="24"/>
          <w:szCs w:val="24"/>
        </w:rPr>
        <w:t xml:space="preserve">FERC considers the impact of the rule to be very minimal.  </w:t>
      </w:r>
      <w:r w:rsidR="00736047">
        <w:rPr>
          <w:rFonts w:ascii="Times New Roman" w:hAnsi="Times New Roman" w:cs="Times New Roman"/>
          <w:sz w:val="24"/>
          <w:szCs w:val="24"/>
        </w:rPr>
        <w:t xml:space="preserve">In general, small entities may reduce their burden by taking part in a joint registration organization or a coordinated functional registration.  These options allow a small entity to share the compliance burden with other </w:t>
      </w:r>
      <w:r w:rsidR="00736047">
        <w:rPr>
          <w:rFonts w:ascii="Times New Roman" w:hAnsi="Times New Roman" w:cs="Times New Roman"/>
          <w:sz w:val="24"/>
          <w:szCs w:val="24"/>
        </w:rPr>
        <w:lastRenderedPageBreak/>
        <w:t>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5"/>
      </w:r>
      <w:r w:rsidR="0093102B">
        <w:rPr>
          <w:rFonts w:ascii="Times New Roman" w:hAnsi="Times New Roman" w:cs="Times New Roman"/>
          <w:sz w:val="24"/>
          <w:szCs w:val="24"/>
        </w:rPr>
        <w:t>.</w:t>
      </w:r>
    </w:p>
    <w:p w14:paraId="6FA9CEED" w14:textId="77777777" w:rsidR="001348AC" w:rsidRPr="00EB3E6F" w:rsidRDefault="001348AC" w:rsidP="00EB3E6F">
      <w:pPr>
        <w:spacing w:after="0"/>
        <w:rPr>
          <w:rFonts w:ascii="Times New Roman" w:hAnsi="Times New Roman" w:cs="Times New Roman"/>
          <w:sz w:val="24"/>
          <w:szCs w:val="24"/>
        </w:rPr>
      </w:pPr>
    </w:p>
    <w:p w14:paraId="6074411F"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6F3392C" w14:textId="77777777" w:rsidR="00EB3E6F" w:rsidRDefault="00EB3E6F" w:rsidP="00EB3E6F">
      <w:pPr>
        <w:spacing w:after="0"/>
        <w:rPr>
          <w:rFonts w:ascii="Times New Roman" w:hAnsi="Times New Roman" w:cs="Times New Roman"/>
          <w:sz w:val="24"/>
          <w:szCs w:val="24"/>
        </w:rPr>
      </w:pPr>
    </w:p>
    <w:p w14:paraId="1BE530F1" w14:textId="77777777" w:rsidR="00F00E4E" w:rsidRDefault="00937A89" w:rsidP="00EB3E6F">
      <w:pPr>
        <w:spacing w:after="0"/>
        <w:rPr>
          <w:rFonts w:ascii="Times New Roman" w:hAnsi="Times New Roman" w:cs="Times New Roman"/>
          <w:sz w:val="24"/>
          <w:szCs w:val="24"/>
        </w:rPr>
      </w:pPr>
      <w:r>
        <w:rPr>
          <w:rFonts w:ascii="Times New Roman" w:hAnsi="Times New Roman" w:cs="Times New Roman"/>
          <w:sz w:val="24"/>
          <w:szCs w:val="24"/>
        </w:rPr>
        <w:t xml:space="preserve">If the requirements of this standard (and its associated information collection requirements) were performed less frequently, </w:t>
      </w:r>
      <w:r w:rsidR="008A7624">
        <w:rPr>
          <w:rFonts w:ascii="Times New Roman" w:hAnsi="Times New Roman"/>
          <w:sz w:val="24"/>
          <w:szCs w:val="24"/>
        </w:rPr>
        <w:t>NERC would not be provided the necessary information to appropriately</w:t>
      </w:r>
      <w:r w:rsidR="00CC5C89">
        <w:rPr>
          <w:rFonts w:ascii="Times New Roman" w:hAnsi="Times New Roman"/>
          <w:sz w:val="24"/>
          <w:szCs w:val="24"/>
        </w:rPr>
        <w:t xml:space="preserve"> maintain reserves nor adequately </w:t>
      </w:r>
      <w:r w:rsidR="00074158">
        <w:rPr>
          <w:rFonts w:ascii="Times New Roman" w:hAnsi="Times New Roman"/>
          <w:sz w:val="24"/>
          <w:szCs w:val="24"/>
        </w:rPr>
        <w:t xml:space="preserve">define </w:t>
      </w:r>
      <w:r w:rsidR="00CC5C89">
        <w:rPr>
          <w:rFonts w:ascii="Times New Roman" w:hAnsi="Times New Roman"/>
          <w:sz w:val="24"/>
          <w:szCs w:val="24"/>
        </w:rPr>
        <w:t>events that predicate action under the BAL-002-2 Reliability Standard</w:t>
      </w:r>
      <w:r w:rsidR="008A7624">
        <w:rPr>
          <w:rFonts w:ascii="Times New Roman" w:hAnsi="Times New Roman"/>
          <w:sz w:val="24"/>
          <w:szCs w:val="24"/>
        </w:rPr>
        <w:t>.</w:t>
      </w:r>
      <w:r w:rsidR="001857F7">
        <w:rPr>
          <w:rFonts w:ascii="Times New Roman" w:hAnsi="Times New Roman"/>
          <w:sz w:val="24"/>
          <w:szCs w:val="24"/>
        </w:rPr>
        <w:t xml:space="preserve">  </w:t>
      </w:r>
      <w:r w:rsidR="00F00E4E" w:rsidRPr="00F00E4E">
        <w:rPr>
          <w:rFonts w:ascii="Times New Roman" w:hAnsi="Times New Roman" w:cs="Times New Roman"/>
          <w:sz w:val="24"/>
          <w:szCs w:val="24"/>
        </w:rPr>
        <w:t xml:space="preserve">Without this data, NERC would not be able to ensure that interconnection frequency is maintained within predefined limits to improve reliability. </w:t>
      </w:r>
    </w:p>
    <w:p w14:paraId="42934CDE" w14:textId="77777777" w:rsidR="00CC5C89" w:rsidRPr="00EB3E6F" w:rsidRDefault="00CC5C89" w:rsidP="00EB3E6F">
      <w:pPr>
        <w:spacing w:after="0"/>
        <w:rPr>
          <w:rFonts w:ascii="Times New Roman" w:hAnsi="Times New Roman" w:cs="Times New Roman"/>
          <w:sz w:val="24"/>
          <w:szCs w:val="24"/>
        </w:rPr>
      </w:pPr>
    </w:p>
    <w:p w14:paraId="27F8A6C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09232119" w14:textId="77777777" w:rsidR="00EB3E6F" w:rsidRDefault="00EB3E6F" w:rsidP="00EB3E6F">
      <w:pPr>
        <w:spacing w:after="0"/>
        <w:rPr>
          <w:rFonts w:ascii="Times New Roman" w:hAnsi="Times New Roman" w:cs="Times New Roman"/>
          <w:sz w:val="24"/>
          <w:szCs w:val="24"/>
        </w:rPr>
      </w:pPr>
    </w:p>
    <w:p w14:paraId="23B978C7" w14:textId="77777777" w:rsidR="00E954EE" w:rsidRPr="009468C0" w:rsidRDefault="00E954EE" w:rsidP="00E954EE">
      <w:pPr>
        <w:spacing w:after="0" w:line="240" w:lineRule="auto"/>
        <w:rPr>
          <w:rFonts w:ascii="Times New Roman" w:hAnsi="Times New Roman"/>
          <w:sz w:val="24"/>
          <w:szCs w:val="24"/>
        </w:rPr>
      </w:pPr>
      <w:r w:rsidRPr="009468C0">
        <w:rPr>
          <w:rFonts w:ascii="Times New Roman" w:hAnsi="Times New Roman"/>
          <w:sz w:val="24"/>
          <w:szCs w:val="24"/>
        </w:rPr>
        <w:t xml:space="preserve">There </w:t>
      </w:r>
      <w:r>
        <w:rPr>
          <w:rFonts w:ascii="Times New Roman" w:hAnsi="Times New Roman"/>
          <w:sz w:val="24"/>
          <w:szCs w:val="24"/>
        </w:rPr>
        <w:t>is one</w:t>
      </w:r>
      <w:r w:rsidRPr="009468C0">
        <w:rPr>
          <w:rFonts w:ascii="Times New Roman" w:hAnsi="Times New Roman"/>
          <w:sz w:val="24"/>
          <w:szCs w:val="24"/>
        </w:rPr>
        <w:t xml:space="preserve"> special circumstances as described in 5 CFR 1320.5(d)(2) related</w:t>
      </w:r>
      <w:r>
        <w:rPr>
          <w:rFonts w:ascii="Times New Roman" w:hAnsi="Times New Roman"/>
          <w:sz w:val="24"/>
          <w:szCs w:val="24"/>
        </w:rPr>
        <w:t xml:space="preserve"> to this information collection</w:t>
      </w:r>
      <w:r w:rsidR="008925A8">
        <w:rPr>
          <w:rFonts w:ascii="Times New Roman" w:hAnsi="Times New Roman"/>
          <w:sz w:val="24"/>
          <w:szCs w:val="24"/>
        </w:rPr>
        <w:t>.</w:t>
      </w:r>
    </w:p>
    <w:p w14:paraId="1D5B22B7" w14:textId="77777777" w:rsidR="00E954EE" w:rsidRPr="009468C0" w:rsidRDefault="00E954EE" w:rsidP="00E954EE">
      <w:pPr>
        <w:spacing w:after="0" w:line="240" w:lineRule="auto"/>
        <w:rPr>
          <w:rFonts w:ascii="Times New Roman" w:hAnsi="Times New Roman"/>
          <w:sz w:val="24"/>
          <w:szCs w:val="24"/>
        </w:rPr>
      </w:pPr>
    </w:p>
    <w:p w14:paraId="4C4F97B4" w14:textId="77777777"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 xml:space="preserve">The data retention requirement in </w:t>
      </w:r>
      <w:r w:rsidR="00416606">
        <w:rPr>
          <w:rFonts w:ascii="Times New Roman" w:hAnsi="Times New Roman"/>
          <w:sz w:val="24"/>
          <w:szCs w:val="24"/>
        </w:rPr>
        <w:t>the Reliability Standard BAL-002</w:t>
      </w:r>
      <w:r>
        <w:rPr>
          <w:rFonts w:ascii="Times New Roman" w:hAnsi="Times New Roman"/>
          <w:sz w:val="24"/>
          <w:szCs w:val="24"/>
        </w:rPr>
        <w:t xml:space="preserve">-2 </w:t>
      </w:r>
      <w:r w:rsidR="00D31CD6">
        <w:rPr>
          <w:rFonts w:ascii="Times New Roman" w:hAnsi="Times New Roman"/>
          <w:sz w:val="24"/>
          <w:szCs w:val="24"/>
        </w:rPr>
        <w:t xml:space="preserve">(at Compliance 1.2) </w:t>
      </w:r>
      <w:r>
        <w:rPr>
          <w:rFonts w:ascii="Times New Roman" w:hAnsi="Times New Roman"/>
          <w:sz w:val="24"/>
          <w:szCs w:val="24"/>
        </w:rPr>
        <w:t>says:</w:t>
      </w:r>
    </w:p>
    <w:p w14:paraId="247BAA56" w14:textId="77777777" w:rsidR="00E954EE" w:rsidRDefault="00E954EE" w:rsidP="00E954EE">
      <w:pPr>
        <w:spacing w:after="0" w:line="240" w:lineRule="auto"/>
        <w:rPr>
          <w:rFonts w:ascii="Times New Roman" w:hAnsi="Times New Roman"/>
          <w:sz w:val="24"/>
          <w:szCs w:val="24"/>
        </w:rPr>
      </w:pPr>
    </w:p>
    <w:p w14:paraId="374265D5" w14:textId="77777777" w:rsidR="00E954EE" w:rsidRPr="009468C0" w:rsidRDefault="00416606" w:rsidP="00E954EE">
      <w:pPr>
        <w:autoSpaceDE w:val="0"/>
        <w:autoSpaceDN w:val="0"/>
        <w:adjustRightInd w:val="0"/>
        <w:spacing w:after="0" w:line="240" w:lineRule="auto"/>
        <w:ind w:left="720"/>
        <w:rPr>
          <w:rFonts w:ascii="Times New Roman" w:hAnsi="Times New Roman"/>
          <w:sz w:val="24"/>
          <w:szCs w:val="24"/>
        </w:rPr>
      </w:pPr>
      <w:r w:rsidRPr="00416606">
        <w:rPr>
          <w:rFonts w:ascii="Times New Roman" w:hAnsi="Times New Roman" w:cs="Times New Roman"/>
          <w:sz w:val="24"/>
          <w:szCs w:val="24"/>
        </w:rPr>
        <w:t>The Responsible Entity shall retain data or evidence to show compliance for the current year, plus three previous calendar years, unless directed by its Compliance Enforcement Authority to retain specific evidence for a longer period of time as part of an investigation</w:t>
      </w:r>
      <w:r w:rsidR="00E954EE">
        <w:rPr>
          <w:rFonts w:ascii="Times New Roman" w:hAnsi="Times New Roman" w:cs="Times New Roman"/>
          <w:sz w:val="24"/>
          <w:szCs w:val="24"/>
        </w:rPr>
        <w:t>.</w:t>
      </w:r>
    </w:p>
    <w:p w14:paraId="094965E3" w14:textId="77777777" w:rsidR="00E954EE" w:rsidRDefault="00E954EE" w:rsidP="00E954EE">
      <w:pPr>
        <w:spacing w:after="0" w:line="240" w:lineRule="auto"/>
        <w:rPr>
          <w:rFonts w:ascii="Times New Roman" w:hAnsi="Times New Roman"/>
          <w:sz w:val="24"/>
          <w:szCs w:val="24"/>
        </w:rPr>
      </w:pPr>
    </w:p>
    <w:p w14:paraId="5FD67035" w14:textId="77777777"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 xml:space="preserve">This is the language adopted by the standards </w:t>
      </w:r>
      <w:r w:rsidR="00D31CD6">
        <w:rPr>
          <w:rFonts w:ascii="Times New Roman" w:hAnsi="Times New Roman"/>
          <w:sz w:val="24"/>
          <w:szCs w:val="24"/>
        </w:rPr>
        <w:t xml:space="preserve">drafting </w:t>
      </w:r>
      <w:r>
        <w:rPr>
          <w:rFonts w:ascii="Times New Roman" w:hAnsi="Times New Roman"/>
          <w:sz w:val="24"/>
          <w:szCs w:val="24"/>
        </w:rPr>
        <w:t>team and approved by industry representatives during the balloting process.  As such, this is the data retention period deemed necessary for the reliability purposes contained in this standard.</w:t>
      </w:r>
    </w:p>
    <w:p w14:paraId="409B8AAE" w14:textId="77777777" w:rsidR="008D310F" w:rsidRPr="00EB3E6F" w:rsidRDefault="008D310F" w:rsidP="00EB3E6F">
      <w:pPr>
        <w:spacing w:after="0"/>
        <w:rPr>
          <w:rFonts w:ascii="Times New Roman" w:hAnsi="Times New Roman" w:cs="Times New Roman"/>
          <w:sz w:val="24"/>
          <w:szCs w:val="24"/>
        </w:rPr>
      </w:pPr>
    </w:p>
    <w:p w14:paraId="2A23FE7E"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1E6F3FA" w14:textId="77777777" w:rsidR="00EB3E6F" w:rsidRDefault="00EB3E6F" w:rsidP="00EB3E6F">
      <w:pPr>
        <w:spacing w:after="0"/>
        <w:rPr>
          <w:rFonts w:ascii="Times New Roman" w:hAnsi="Times New Roman" w:cs="Times New Roman"/>
          <w:sz w:val="24"/>
          <w:szCs w:val="24"/>
        </w:rPr>
      </w:pPr>
    </w:p>
    <w:p w14:paraId="542A8D3E" w14:textId="77777777" w:rsidR="0009272C"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w:t>
      </w:r>
      <w:r w:rsidR="00D249B5" w:rsidRPr="00A84D05">
        <w:rPr>
          <w:rStyle w:val="FootnoteReference"/>
          <w:rFonts w:ascii="Times New Roman" w:hAnsi="Times New Roman" w:cs="Times New Roman"/>
          <w:sz w:val="24"/>
          <w:szCs w:val="24"/>
          <w:vertAlign w:val="superscript"/>
        </w:rPr>
        <w:footnoteReference w:id="6"/>
      </w:r>
      <w:r w:rsidRPr="00A84D05">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T</w:t>
      </w:r>
      <w:r w:rsidR="00832C80">
        <w:rPr>
          <w:rFonts w:ascii="Times New Roman" w:hAnsi="Times New Roman" w:cs="Times New Roman"/>
          <w:sz w:val="24"/>
          <w:szCs w:val="24"/>
        </w:rPr>
        <w:t>he approved</w:t>
      </w:r>
      <w:r w:rsidRPr="002C1BFB">
        <w:rPr>
          <w:rFonts w:ascii="Times New Roman" w:hAnsi="Times New Roman" w:cs="Times New Roman"/>
          <w:sz w:val="24"/>
          <w:szCs w:val="24"/>
        </w:rPr>
        <w:t xml:space="preserve"> </w:t>
      </w:r>
      <w:r>
        <w:rPr>
          <w:rFonts w:ascii="Times New Roman" w:hAnsi="Times New Roman" w:cs="Times New Roman"/>
          <w:sz w:val="24"/>
          <w:szCs w:val="24"/>
        </w:rPr>
        <w:t xml:space="preserve">reliability </w:t>
      </w:r>
      <w:r w:rsidRPr="002C1BFB">
        <w:rPr>
          <w:rFonts w:ascii="Times New Roman" w:hAnsi="Times New Roman" w:cs="Times New Roman"/>
          <w:sz w:val="24"/>
          <w:szCs w:val="24"/>
        </w:rPr>
        <w:t xml:space="preserve">standard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 xml:space="preserve">submitted </w:t>
      </w:r>
      <w:r w:rsidR="00642A26">
        <w:rPr>
          <w:rFonts w:ascii="Times New Roman" w:hAnsi="Times New Roman" w:cs="Times New Roman"/>
          <w:sz w:val="24"/>
          <w:szCs w:val="24"/>
        </w:rPr>
        <w:t xml:space="preserve">by NERC </w:t>
      </w:r>
      <w:r w:rsidRPr="002C1BFB">
        <w:rPr>
          <w:rFonts w:ascii="Times New Roman" w:hAnsi="Times New Roman" w:cs="Times New Roman"/>
          <w:sz w:val="24"/>
          <w:szCs w:val="24"/>
        </w:rPr>
        <w:t>to the FERC for review and approval.   In addition, each FERC rulemaking (both proposed and final rules) is pu</w:t>
      </w:r>
      <w:r>
        <w:rPr>
          <w:rFonts w:ascii="Times New Roman" w:hAnsi="Times New Roman" w:cs="Times New Roman"/>
          <w:sz w:val="24"/>
          <w:szCs w:val="24"/>
        </w:rPr>
        <w:t xml:space="preserve">blished </w:t>
      </w:r>
      <w:r>
        <w:rPr>
          <w:rFonts w:ascii="Times New Roman" w:hAnsi="Times New Roman" w:cs="Times New Roman"/>
          <w:sz w:val="24"/>
          <w:szCs w:val="24"/>
        </w:rPr>
        <w:lastRenderedPageBreak/>
        <w:t>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w:t>
      </w:r>
      <w:r w:rsidR="00832C80">
        <w:rPr>
          <w:rFonts w:ascii="Times New Roman" w:hAnsi="Times New Roman" w:cs="Times New Roman"/>
          <w:sz w:val="24"/>
          <w:szCs w:val="24"/>
        </w:rPr>
        <w:t>gestions concerning the</w:t>
      </w:r>
      <w:r w:rsidRPr="002C1BFB">
        <w:rPr>
          <w:rFonts w:ascii="Times New Roman" w:hAnsi="Times New Roman" w:cs="Times New Roman"/>
          <w:sz w:val="24"/>
          <w:szCs w:val="24"/>
        </w:rPr>
        <w:t xml:space="preserve"> c</w:t>
      </w:r>
      <w:r w:rsidR="006E41DA">
        <w:rPr>
          <w:rFonts w:ascii="Times New Roman" w:hAnsi="Times New Roman" w:cs="Times New Roman"/>
          <w:sz w:val="24"/>
          <w:szCs w:val="24"/>
        </w:rPr>
        <w:t>ollection of data.  The final</w:t>
      </w:r>
      <w:r w:rsidRPr="002C1BFB">
        <w:rPr>
          <w:rFonts w:ascii="Times New Roman" w:hAnsi="Times New Roman" w:cs="Times New Roman"/>
          <w:sz w:val="24"/>
          <w:szCs w:val="24"/>
        </w:rPr>
        <w:t xml:space="preserve"> rule was published</w:t>
      </w:r>
      <w:r>
        <w:rPr>
          <w:rFonts w:ascii="Times New Roman" w:hAnsi="Times New Roman" w:cs="Times New Roman"/>
          <w:sz w:val="24"/>
          <w:szCs w:val="24"/>
        </w:rPr>
        <w:t xml:space="preserve"> in the Federal Register </w:t>
      </w:r>
      <w:r w:rsidRPr="00DD3A46">
        <w:rPr>
          <w:rFonts w:ascii="Times New Roman" w:hAnsi="Times New Roman" w:cs="Times New Roman"/>
          <w:sz w:val="24"/>
          <w:szCs w:val="24"/>
        </w:rPr>
        <w:t xml:space="preserve">on </w:t>
      </w:r>
      <w:r w:rsidR="00DD3A46" w:rsidRPr="00DD3A46">
        <w:rPr>
          <w:rFonts w:ascii="Times New Roman" w:hAnsi="Times New Roman" w:cs="Times New Roman"/>
          <w:sz w:val="24"/>
          <w:szCs w:val="24"/>
        </w:rPr>
        <w:t>2/2</w:t>
      </w:r>
      <w:r w:rsidR="009F23E0" w:rsidRPr="00DD3A46">
        <w:rPr>
          <w:rFonts w:ascii="Times New Roman" w:hAnsi="Times New Roman" w:cs="Times New Roman"/>
          <w:sz w:val="24"/>
          <w:szCs w:val="24"/>
        </w:rPr>
        <w:t>/</w:t>
      </w:r>
      <w:r w:rsidR="00DD3A46" w:rsidRPr="00DD3A46">
        <w:rPr>
          <w:rFonts w:ascii="Times New Roman" w:hAnsi="Times New Roman" w:cs="Times New Roman"/>
          <w:sz w:val="24"/>
          <w:szCs w:val="24"/>
        </w:rPr>
        <w:t>2017 (82 FR 8894</w:t>
      </w:r>
      <w:r w:rsidRPr="00DD3A46">
        <w:rPr>
          <w:rFonts w:ascii="Times New Roman" w:hAnsi="Times New Roman" w:cs="Times New Roman"/>
          <w:sz w:val="24"/>
          <w:szCs w:val="24"/>
        </w:rPr>
        <w:t>).</w:t>
      </w:r>
    </w:p>
    <w:p w14:paraId="7F79720A" w14:textId="77777777" w:rsidR="0009272C" w:rsidRDefault="0009272C" w:rsidP="00EB3E6F">
      <w:pPr>
        <w:spacing w:after="0"/>
        <w:rPr>
          <w:rFonts w:ascii="Times New Roman" w:hAnsi="Times New Roman" w:cs="Times New Roman"/>
          <w:sz w:val="24"/>
          <w:szCs w:val="24"/>
        </w:rPr>
      </w:pPr>
    </w:p>
    <w:p w14:paraId="7118E6C3" w14:textId="77777777" w:rsidR="00EB3E6F" w:rsidRPr="00EB3E6F" w:rsidRDefault="00DD3A46" w:rsidP="00EB3E6F">
      <w:pPr>
        <w:spacing w:after="0"/>
        <w:rPr>
          <w:rFonts w:ascii="Times New Roman" w:hAnsi="Times New Roman" w:cs="Times New Roman"/>
          <w:sz w:val="24"/>
          <w:szCs w:val="24"/>
        </w:rPr>
      </w:pPr>
      <w:r w:rsidRPr="00DD3A46">
        <w:rPr>
          <w:rFonts w:ascii="Times New Roman" w:hAnsi="Times New Roman" w:cs="Times New Roman"/>
          <w:sz w:val="24"/>
          <w:szCs w:val="24"/>
        </w:rPr>
        <w:t>Eleven entities submitted comments in response to the NOPR, including NERC, several individual energy companies, ISO/RTOs and trade associations.  The commenters addressed a number of technical issues associated with the Reliability Standard, including possible extensions of the 15-minute ACE recovery period, contingency reserve restoration, and limiting the scope of the Reliability Standard to an entity’s most severe single contingency.  The Commission did not receive any comments regarding the information collection requirements contained in the Reliability Standard</w:t>
      </w:r>
      <w:r>
        <w:rPr>
          <w:rFonts w:ascii="Times New Roman" w:hAnsi="Times New Roman" w:cs="Times New Roman"/>
          <w:sz w:val="24"/>
          <w:szCs w:val="24"/>
        </w:rPr>
        <w:t>.</w:t>
      </w:r>
      <w:r w:rsidR="008D310F">
        <w:rPr>
          <w:rFonts w:ascii="Times New Roman" w:hAnsi="Times New Roman" w:cs="Times New Roman"/>
          <w:sz w:val="24"/>
          <w:szCs w:val="24"/>
        </w:rPr>
        <w:br/>
      </w:r>
    </w:p>
    <w:p w14:paraId="6359ADDD"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026FEE33" w14:textId="77777777" w:rsidR="00D80FBD" w:rsidRDefault="00D80FBD" w:rsidP="00D80FBD">
      <w:pPr>
        <w:spacing w:after="0"/>
        <w:rPr>
          <w:rFonts w:ascii="Times New Roman" w:hAnsi="Times New Roman" w:cs="Times New Roman"/>
          <w:sz w:val="24"/>
          <w:szCs w:val="24"/>
        </w:rPr>
      </w:pPr>
    </w:p>
    <w:p w14:paraId="1B11D81F"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169CDC95" w14:textId="77777777" w:rsidR="008D310F" w:rsidRPr="00D80FBD" w:rsidRDefault="008D310F" w:rsidP="00D80FBD">
      <w:pPr>
        <w:spacing w:after="0"/>
        <w:rPr>
          <w:rFonts w:ascii="Times New Roman" w:hAnsi="Times New Roman" w:cs="Times New Roman"/>
          <w:sz w:val="24"/>
          <w:szCs w:val="24"/>
        </w:rPr>
      </w:pPr>
    </w:p>
    <w:p w14:paraId="1AC6F6E7"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5DFACD4A" w14:textId="77777777" w:rsidR="00D80FBD" w:rsidRDefault="00D80FBD" w:rsidP="00D80FBD">
      <w:pPr>
        <w:spacing w:after="0"/>
        <w:rPr>
          <w:rFonts w:ascii="Times New Roman" w:hAnsi="Times New Roman" w:cs="Times New Roman"/>
          <w:sz w:val="24"/>
          <w:szCs w:val="24"/>
        </w:rPr>
      </w:pPr>
    </w:p>
    <w:p w14:paraId="79A273C2"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w:t>
      </w:r>
      <w:r w:rsidR="001A4B2D">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Pr="001507E4">
        <w:rPr>
          <w:rStyle w:val="FootnoteReference"/>
          <w:rFonts w:ascii="Times New Roman" w:hAnsi="Times New Roman" w:cs="Times New Roman"/>
          <w:sz w:val="24"/>
          <w:szCs w:val="24"/>
          <w:vertAlign w:val="superscript"/>
        </w:rPr>
        <w:footnoteReference w:id="7"/>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683FDE8C" w14:textId="77777777" w:rsidR="002C1BFB" w:rsidRDefault="002C1BFB" w:rsidP="002C1BFB">
      <w:pPr>
        <w:spacing w:after="0"/>
        <w:rPr>
          <w:rFonts w:ascii="Times New Roman" w:hAnsi="Times New Roman" w:cs="Times New Roman"/>
          <w:sz w:val="24"/>
          <w:szCs w:val="24"/>
        </w:rPr>
      </w:pPr>
    </w:p>
    <w:p w14:paraId="75499179"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informati</w:t>
      </w:r>
      <w:r w:rsidR="006E41DA">
        <w:rPr>
          <w:rFonts w:ascii="Times New Roman" w:hAnsi="Times New Roman" w:cs="Times New Roman"/>
          <w:sz w:val="24"/>
          <w:szCs w:val="24"/>
        </w:rPr>
        <w:t xml:space="preserve">on collected under the </w:t>
      </w:r>
      <w:r>
        <w:rPr>
          <w:rFonts w:ascii="Times New Roman" w:hAnsi="Times New Roman" w:cs="Times New Roman"/>
          <w:sz w:val="24"/>
          <w:szCs w:val="24"/>
        </w:rPr>
        <w:t>Reliability Standard to FERC.  Rather, they maintain it internally.  Since there are no submissions made to FERC, FERC provides no specific provisions in or</w:t>
      </w:r>
      <w:r w:rsidR="004F6780">
        <w:rPr>
          <w:rFonts w:ascii="Times New Roman" w:hAnsi="Times New Roman" w:cs="Times New Roman"/>
          <w:sz w:val="24"/>
          <w:szCs w:val="24"/>
        </w:rPr>
        <w:t>der to protect confidentiality.</w:t>
      </w:r>
    </w:p>
    <w:p w14:paraId="225ECF63" w14:textId="77777777" w:rsidR="008D310F" w:rsidRPr="00D80FBD" w:rsidRDefault="008D310F" w:rsidP="00D80FBD">
      <w:pPr>
        <w:spacing w:after="0"/>
        <w:rPr>
          <w:rFonts w:ascii="Times New Roman" w:hAnsi="Times New Roman" w:cs="Times New Roman"/>
          <w:sz w:val="24"/>
          <w:szCs w:val="24"/>
        </w:rPr>
      </w:pPr>
    </w:p>
    <w:p w14:paraId="2A46C95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78A6767A" w14:textId="77777777" w:rsidR="00D80FBD" w:rsidRDefault="00D80FBD" w:rsidP="00D80FBD">
      <w:pPr>
        <w:spacing w:after="0"/>
        <w:rPr>
          <w:rFonts w:ascii="Times New Roman" w:hAnsi="Times New Roman" w:cs="Times New Roman"/>
          <w:sz w:val="24"/>
          <w:szCs w:val="24"/>
        </w:rPr>
      </w:pPr>
    </w:p>
    <w:p w14:paraId="251C13CB"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13014C2" w14:textId="77777777" w:rsidR="0074195A" w:rsidRPr="00D80FBD" w:rsidRDefault="0074195A" w:rsidP="00D80FBD">
      <w:pPr>
        <w:spacing w:after="0"/>
        <w:rPr>
          <w:rFonts w:ascii="Times New Roman" w:hAnsi="Times New Roman" w:cs="Times New Roman"/>
          <w:sz w:val="24"/>
          <w:szCs w:val="24"/>
        </w:rPr>
      </w:pPr>
    </w:p>
    <w:p w14:paraId="6C99314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4C04C36A" w14:textId="77777777" w:rsidR="00D80FBD" w:rsidRDefault="00D80FBD" w:rsidP="00D80FBD">
      <w:pPr>
        <w:spacing w:after="0"/>
        <w:rPr>
          <w:rFonts w:ascii="Times New Roman" w:hAnsi="Times New Roman" w:cs="Times New Roman"/>
          <w:sz w:val="24"/>
          <w:szCs w:val="24"/>
        </w:rPr>
      </w:pPr>
    </w:p>
    <w:p w14:paraId="6DC9AA1F" w14:textId="77777777" w:rsidR="00720C5A" w:rsidRDefault="00E954EE" w:rsidP="00E954EE">
      <w:pPr>
        <w:spacing w:after="0"/>
        <w:rPr>
          <w:rFonts w:ascii="Times New Roman" w:hAnsi="Times New Roman" w:cs="Times New Roman"/>
          <w:sz w:val="24"/>
          <w:szCs w:val="24"/>
        </w:rPr>
      </w:pPr>
      <w:r w:rsidRPr="00E954EE">
        <w:rPr>
          <w:rFonts w:ascii="Times New Roman" w:hAnsi="Times New Roman" w:cs="Times New Roman"/>
          <w:sz w:val="24"/>
          <w:szCs w:val="24"/>
        </w:rPr>
        <w:t>According to the NERC Compliance Registry</w:t>
      </w:r>
      <w:r w:rsidR="00417400">
        <w:rPr>
          <w:rFonts w:ascii="Times New Roman" w:hAnsi="Times New Roman" w:cs="Times New Roman"/>
          <w:sz w:val="24"/>
          <w:szCs w:val="24"/>
        </w:rPr>
        <w:t xml:space="preserve"> as of </w:t>
      </w:r>
      <w:r w:rsidR="00284511">
        <w:rPr>
          <w:rFonts w:ascii="Times New Roman" w:hAnsi="Times New Roman" w:cs="Times New Roman"/>
          <w:sz w:val="24"/>
          <w:szCs w:val="24"/>
        </w:rPr>
        <w:t>4</w:t>
      </w:r>
      <w:r w:rsidR="009F23E0">
        <w:rPr>
          <w:rFonts w:ascii="Times New Roman" w:hAnsi="Times New Roman" w:cs="Times New Roman"/>
          <w:sz w:val="24"/>
          <w:szCs w:val="24"/>
        </w:rPr>
        <w:t>/15</w:t>
      </w:r>
      <w:r w:rsidR="00284511">
        <w:rPr>
          <w:rFonts w:ascii="Times New Roman" w:hAnsi="Times New Roman" w:cs="Times New Roman"/>
          <w:sz w:val="24"/>
          <w:szCs w:val="24"/>
        </w:rPr>
        <w:t>/2016</w:t>
      </w:r>
      <w:r w:rsidR="009F23E0">
        <w:rPr>
          <w:rFonts w:ascii="Times New Roman" w:hAnsi="Times New Roman" w:cs="Times New Roman"/>
          <w:sz w:val="24"/>
          <w:szCs w:val="24"/>
        </w:rPr>
        <w:t>, there are 70</w:t>
      </w:r>
      <w:r w:rsidRPr="00E954EE">
        <w:rPr>
          <w:rFonts w:ascii="Times New Roman" w:hAnsi="Times New Roman" w:cs="Times New Roman"/>
          <w:sz w:val="24"/>
          <w:szCs w:val="24"/>
        </w:rPr>
        <w:t xml:space="preserve"> balancing authorities in the Eastern Interconnection, 34 balancing authorities in th</w:t>
      </w:r>
      <w:r w:rsidR="009F23E0">
        <w:rPr>
          <w:rFonts w:ascii="Times New Roman" w:hAnsi="Times New Roman" w:cs="Times New Roman"/>
          <w:sz w:val="24"/>
          <w:szCs w:val="24"/>
        </w:rPr>
        <w:t xml:space="preserve">e Western Interconnection and </w:t>
      </w:r>
      <w:r w:rsidRPr="00E954EE">
        <w:rPr>
          <w:rFonts w:ascii="Times New Roman" w:hAnsi="Times New Roman" w:cs="Times New Roman"/>
          <w:sz w:val="24"/>
          <w:szCs w:val="24"/>
        </w:rPr>
        <w:t xml:space="preserve">one balancing authority in the Electric Reliability Council of Texas (ERCOT).  The Commission bases individual burden estimates on the time needed for balancing authorities to develop tools needed to facilitate reporting that are required in the Reliability Standard.  These burden estimates are consistent with estimates for similar tasks in other Commission-approved Reliability Standards.  </w:t>
      </w:r>
    </w:p>
    <w:p w14:paraId="6C9067B0" w14:textId="77777777" w:rsidR="00284511" w:rsidRDefault="00284511" w:rsidP="00E954EE">
      <w:pPr>
        <w:spacing w:after="0"/>
        <w:rPr>
          <w:rFonts w:ascii="Times New Roman" w:hAnsi="Times New Roman" w:cs="Times New Roman"/>
          <w:sz w:val="24"/>
          <w:szCs w:val="24"/>
        </w:rPr>
      </w:pP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632"/>
        <w:gridCol w:w="1531"/>
        <w:gridCol w:w="1404"/>
        <w:gridCol w:w="1427"/>
        <w:gridCol w:w="1404"/>
        <w:gridCol w:w="1531"/>
      </w:tblGrid>
      <w:tr w:rsidR="009F23E0" w:rsidRPr="004F6780" w14:paraId="7F3AA1CB" w14:textId="77777777" w:rsidTr="00CF0F8E">
        <w:tc>
          <w:tcPr>
            <w:tcW w:w="10327" w:type="dxa"/>
            <w:gridSpan w:val="7"/>
            <w:tcBorders>
              <w:bottom w:val="single" w:sz="4" w:space="0" w:color="auto"/>
            </w:tcBorders>
            <w:shd w:val="clear" w:color="auto" w:fill="D9D9D9" w:themeFill="background1" w:themeFillShade="D9"/>
          </w:tcPr>
          <w:p w14:paraId="7AE6B1A9" w14:textId="77777777" w:rsidR="009F23E0" w:rsidRPr="004F6780" w:rsidRDefault="00C30D75"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FERC-725R, as modified by </w:t>
            </w:r>
            <w:r w:rsidR="006E41DA">
              <w:rPr>
                <w:rFonts w:ascii="Times New Roman" w:eastAsia="Calibri" w:hAnsi="Times New Roman" w:cs="Times New Roman"/>
                <w:b/>
                <w:sz w:val="20"/>
                <w:szCs w:val="20"/>
              </w:rPr>
              <w:t>RM16-7-000 Final Rule</w:t>
            </w:r>
            <w:r w:rsidR="009F23E0" w:rsidRPr="004F6780">
              <w:rPr>
                <w:rFonts w:ascii="Times New Roman" w:eastAsia="Calibri" w:hAnsi="Times New Roman" w:cs="Times New Roman"/>
                <w:b/>
                <w:sz w:val="20"/>
                <w:szCs w:val="20"/>
              </w:rPr>
              <w:t xml:space="preserve"> (BAL-002-2: Disturbance Control Standard—Contingency Reserve for Recovery from a Balancing Contingency Event</w:t>
            </w:r>
            <w:r w:rsidR="009F23E0" w:rsidRPr="002F4CC4">
              <w:rPr>
                <w:rFonts w:ascii="Times New Roman" w:eastAsia="Calibri" w:hAnsi="Times New Roman" w:cs="Times New Roman"/>
                <w:b/>
                <w:sz w:val="20"/>
                <w:szCs w:val="20"/>
              </w:rPr>
              <w:t>)</w:t>
            </w:r>
            <w:r w:rsidR="009F23E0" w:rsidRPr="002F4CC4">
              <w:rPr>
                <w:rFonts w:ascii="Times New Roman" w:eastAsia="Times New Roman" w:hAnsi="Times New Roman" w:cs="Times New Roman"/>
                <w:b/>
                <w:sz w:val="20"/>
                <w:szCs w:val="20"/>
                <w:vertAlign w:val="superscript"/>
              </w:rPr>
              <w:footnoteReference w:id="8"/>
            </w:r>
          </w:p>
        </w:tc>
      </w:tr>
      <w:tr w:rsidR="009F23E0" w:rsidRPr="004F6780" w14:paraId="1863F42B" w14:textId="77777777" w:rsidTr="009F23E0">
        <w:tc>
          <w:tcPr>
            <w:tcW w:w="1398" w:type="dxa"/>
            <w:shd w:val="clear" w:color="auto" w:fill="D9D9D9"/>
          </w:tcPr>
          <w:p w14:paraId="075DDD43"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1632" w:type="dxa"/>
            <w:shd w:val="clear" w:color="auto" w:fill="D9D9D9"/>
            <w:vAlign w:val="bottom"/>
          </w:tcPr>
          <w:p w14:paraId="36FE1833"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Number of Respondents</w:t>
            </w:r>
            <w:r w:rsidRPr="004F6780">
              <w:rPr>
                <w:rFonts w:ascii="Times New Roman" w:eastAsia="Calibri" w:hAnsi="Times New Roman" w:cs="Times New Roman"/>
                <w:b/>
                <w:sz w:val="20"/>
                <w:szCs w:val="20"/>
              </w:rPr>
              <w:br/>
              <w:t>(1)</w:t>
            </w:r>
          </w:p>
        </w:tc>
        <w:tc>
          <w:tcPr>
            <w:tcW w:w="1531" w:type="dxa"/>
            <w:shd w:val="clear" w:color="auto" w:fill="D9D9D9"/>
            <w:vAlign w:val="bottom"/>
          </w:tcPr>
          <w:p w14:paraId="4CF33398"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Annual Number of Responses per Respondent</w:t>
            </w:r>
          </w:p>
          <w:p w14:paraId="290F2A9B"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(2)</w:t>
            </w:r>
          </w:p>
        </w:tc>
        <w:tc>
          <w:tcPr>
            <w:tcW w:w="1404" w:type="dxa"/>
            <w:shd w:val="clear" w:color="auto" w:fill="D9D9D9"/>
            <w:vAlign w:val="bottom"/>
          </w:tcPr>
          <w:p w14:paraId="45E254B9"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 Number of Responses (1)*(2)=(3)</w:t>
            </w:r>
          </w:p>
        </w:tc>
        <w:tc>
          <w:tcPr>
            <w:tcW w:w="1427" w:type="dxa"/>
            <w:shd w:val="clear" w:color="auto" w:fill="D9D9D9"/>
            <w:vAlign w:val="bottom"/>
          </w:tcPr>
          <w:p w14:paraId="16D923F0"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Average Burden Hours</w:t>
            </w:r>
            <w:r w:rsidR="008F7E17">
              <w:rPr>
                <w:rFonts w:ascii="Times New Roman" w:eastAsia="Calibri" w:hAnsi="Times New Roman" w:cs="Times New Roman"/>
                <w:b/>
                <w:sz w:val="20"/>
                <w:szCs w:val="20"/>
              </w:rPr>
              <w:t xml:space="preserve"> </w:t>
            </w:r>
            <w:r w:rsidRPr="004F6780">
              <w:rPr>
                <w:rFonts w:ascii="Times New Roman" w:eastAsia="Calibri" w:hAnsi="Times New Roman" w:cs="Times New Roman"/>
                <w:b/>
                <w:sz w:val="20"/>
                <w:szCs w:val="20"/>
              </w:rPr>
              <w:t>&amp; Cost Per Response</w:t>
            </w:r>
            <w:r w:rsidRPr="004F6780">
              <w:rPr>
                <w:rFonts w:ascii="Times New Roman" w:eastAsia="Times New Roman" w:hAnsi="Times New Roman" w:cs="Times New Roman"/>
                <w:b/>
                <w:sz w:val="20"/>
                <w:szCs w:val="20"/>
                <w:vertAlign w:val="superscript"/>
              </w:rPr>
              <w:footnoteReference w:id="9"/>
            </w:r>
          </w:p>
          <w:p w14:paraId="234462CA"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(4)</w:t>
            </w:r>
          </w:p>
        </w:tc>
        <w:tc>
          <w:tcPr>
            <w:tcW w:w="1404" w:type="dxa"/>
            <w:shd w:val="clear" w:color="auto" w:fill="D9D9D9"/>
            <w:vAlign w:val="bottom"/>
          </w:tcPr>
          <w:p w14:paraId="118EA67E"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 Annual Burden Hours &amp; Total Annual Cost</w:t>
            </w:r>
          </w:p>
          <w:p w14:paraId="2895F1B6"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(3)*(4)=(5)</w:t>
            </w:r>
          </w:p>
        </w:tc>
        <w:tc>
          <w:tcPr>
            <w:tcW w:w="1531" w:type="dxa"/>
            <w:shd w:val="clear" w:color="auto" w:fill="D9D9D9"/>
            <w:vAlign w:val="bottom"/>
          </w:tcPr>
          <w:p w14:paraId="1B66A6F7"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Cost per Respondent</w:t>
            </w:r>
          </w:p>
          <w:p w14:paraId="4C200F05"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 xml:space="preserve"> ($)</w:t>
            </w:r>
          </w:p>
          <w:p w14:paraId="04ED22FD"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(5)÷(1)</w:t>
            </w:r>
          </w:p>
        </w:tc>
      </w:tr>
      <w:tr w:rsidR="009F23E0" w:rsidRPr="004F6780" w14:paraId="0700E4F9" w14:textId="77777777" w:rsidTr="009F23E0">
        <w:tc>
          <w:tcPr>
            <w:tcW w:w="1398" w:type="dxa"/>
          </w:tcPr>
          <w:p w14:paraId="4D9AC832"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sz w:val="20"/>
                <w:szCs w:val="20"/>
              </w:rPr>
            </w:pPr>
            <w:r w:rsidRPr="004F6780">
              <w:rPr>
                <w:rFonts w:ascii="Times New Roman" w:eastAsia="Calibri" w:hAnsi="Times New Roman" w:cs="Times New Roman"/>
                <w:sz w:val="20"/>
                <w:szCs w:val="20"/>
              </w:rPr>
              <w:t>BA</w:t>
            </w:r>
            <w:bookmarkStart w:id="1" w:name="_Ref402532668"/>
            <w:r w:rsidRPr="004F6780">
              <w:rPr>
                <w:rFonts w:ascii="Times New Roman" w:eastAsia="Calibri" w:hAnsi="Times New Roman" w:cs="Times New Roman"/>
                <w:sz w:val="20"/>
                <w:szCs w:val="20"/>
              </w:rPr>
              <w:t>/RSG:</w:t>
            </w:r>
            <w:r w:rsidRPr="004F6780">
              <w:rPr>
                <w:rFonts w:ascii="Times New Roman" w:eastAsia="Calibri" w:hAnsi="Times New Roman" w:cs="Times New Roman"/>
                <w:sz w:val="20"/>
                <w:szCs w:val="20"/>
                <w:vertAlign w:val="superscript"/>
              </w:rPr>
              <w:footnoteReference w:id="10"/>
            </w:r>
            <w:bookmarkEnd w:id="1"/>
            <w:r w:rsidRPr="004F6780">
              <w:rPr>
                <w:rFonts w:ascii="Times New Roman" w:eastAsia="Calibri" w:hAnsi="Times New Roman" w:cs="Times New Roman"/>
                <w:sz w:val="20"/>
                <w:szCs w:val="20"/>
              </w:rPr>
              <w:t xml:space="preserve"> Develop and Maintain annually, Operating Process and Operating Plans</w:t>
            </w:r>
          </w:p>
        </w:tc>
        <w:tc>
          <w:tcPr>
            <w:tcW w:w="1632" w:type="dxa"/>
          </w:tcPr>
          <w:p w14:paraId="45FF174E"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p w14:paraId="662DEFD0"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531" w:type="dxa"/>
          </w:tcPr>
          <w:p w14:paraId="0B55EEA9"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w:t>
            </w:r>
          </w:p>
        </w:tc>
        <w:tc>
          <w:tcPr>
            <w:tcW w:w="1404" w:type="dxa"/>
          </w:tcPr>
          <w:p w14:paraId="7AB172AD"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427" w:type="dxa"/>
          </w:tcPr>
          <w:p w14:paraId="04895A47"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8</w:t>
            </w:r>
            <w:r w:rsidR="00351EE9" w:rsidRPr="00A2476B">
              <w:rPr>
                <w:rStyle w:val="FootnoteReference"/>
                <w:rFonts w:ascii="Times New Roman" w:eastAsia="Calibri" w:hAnsi="Times New Roman" w:cs="Times New Roman"/>
                <w:sz w:val="20"/>
                <w:szCs w:val="20"/>
                <w:vertAlign w:val="superscript"/>
              </w:rPr>
              <w:footnoteReference w:id="11"/>
            </w:r>
            <w:r w:rsidR="00351EE9">
              <w:rPr>
                <w:rFonts w:ascii="Times New Roman" w:eastAsia="Calibri" w:hAnsi="Times New Roman" w:cs="Times New Roman"/>
                <w:sz w:val="20"/>
                <w:szCs w:val="20"/>
              </w:rPr>
              <w:t xml:space="preserve"> </w:t>
            </w:r>
            <w:r w:rsidR="008F7E17">
              <w:rPr>
                <w:rFonts w:ascii="Times New Roman" w:eastAsia="Calibri" w:hAnsi="Times New Roman" w:cs="Times New Roman"/>
                <w:sz w:val="20"/>
                <w:szCs w:val="20"/>
              </w:rPr>
              <w:t xml:space="preserve"> hrs.;</w:t>
            </w:r>
          </w:p>
          <w:p w14:paraId="2458F9FC"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$773</w:t>
            </w:r>
          </w:p>
        </w:tc>
        <w:tc>
          <w:tcPr>
            <w:tcW w:w="1404" w:type="dxa"/>
          </w:tcPr>
          <w:p w14:paraId="047B0820"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 840</w:t>
            </w:r>
            <w:r w:rsidR="008F7E17">
              <w:rPr>
                <w:rFonts w:ascii="Times New Roman" w:eastAsia="Calibri" w:hAnsi="Times New Roman" w:cs="Times New Roman"/>
                <w:sz w:val="20"/>
                <w:szCs w:val="20"/>
              </w:rPr>
              <w:t xml:space="preserve"> hrs.;</w:t>
            </w:r>
          </w:p>
          <w:p w14:paraId="7EF3635A"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$81,119 </w:t>
            </w:r>
          </w:p>
        </w:tc>
        <w:tc>
          <w:tcPr>
            <w:tcW w:w="1531" w:type="dxa"/>
          </w:tcPr>
          <w:p w14:paraId="5A376895"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$773 </w:t>
            </w:r>
          </w:p>
          <w:p w14:paraId="1AB403C2"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9F23E0" w:rsidRPr="004F6780" w14:paraId="13B091F2" w14:textId="77777777" w:rsidTr="009F23E0">
        <w:tc>
          <w:tcPr>
            <w:tcW w:w="1398" w:type="dxa"/>
          </w:tcPr>
          <w:p w14:paraId="485CE079"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sz w:val="20"/>
                <w:szCs w:val="20"/>
              </w:rPr>
            </w:pPr>
            <w:r w:rsidRPr="004F6780">
              <w:rPr>
                <w:rFonts w:ascii="Times New Roman" w:eastAsia="Calibri" w:hAnsi="Times New Roman" w:cs="Times New Roman"/>
                <w:sz w:val="20"/>
                <w:szCs w:val="20"/>
              </w:rPr>
              <w:t>BA/RSG</w:t>
            </w:r>
            <w:r w:rsidRPr="004F6780">
              <w:rPr>
                <w:rFonts w:ascii="Times New Roman" w:eastAsia="Calibri" w:hAnsi="Times New Roman" w:cs="Times New Roman"/>
                <w:sz w:val="20"/>
                <w:szCs w:val="20"/>
                <w:vertAlign w:val="superscript"/>
              </w:rPr>
              <w:t>:</w:t>
            </w:r>
            <w:r w:rsidRPr="004F6780">
              <w:rPr>
                <w:rFonts w:ascii="Times New Roman" w:eastAsia="Calibri" w:hAnsi="Times New Roman" w:cs="Times New Roman"/>
                <w:sz w:val="20"/>
                <w:szCs w:val="20"/>
              </w:rPr>
              <w:t xml:space="preserve"> Record Retention</w:t>
            </w:r>
            <w:r w:rsidRPr="004F6780">
              <w:rPr>
                <w:rFonts w:ascii="Times New Roman" w:eastAsia="Calibri" w:hAnsi="Times New Roman" w:cs="Times New Roman"/>
                <w:sz w:val="20"/>
                <w:szCs w:val="20"/>
                <w:vertAlign w:val="superscript"/>
              </w:rPr>
              <w:footnoteReference w:id="12"/>
            </w:r>
          </w:p>
        </w:tc>
        <w:tc>
          <w:tcPr>
            <w:tcW w:w="1632" w:type="dxa"/>
          </w:tcPr>
          <w:p w14:paraId="2E1C6EC1"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531" w:type="dxa"/>
          </w:tcPr>
          <w:p w14:paraId="13D1B211"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w:t>
            </w:r>
          </w:p>
        </w:tc>
        <w:tc>
          <w:tcPr>
            <w:tcW w:w="1404" w:type="dxa"/>
          </w:tcPr>
          <w:p w14:paraId="6EA8E262"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427" w:type="dxa"/>
          </w:tcPr>
          <w:p w14:paraId="6001A9E2"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4</w:t>
            </w:r>
            <w:r w:rsidR="008F7E17">
              <w:rPr>
                <w:rFonts w:ascii="Times New Roman" w:eastAsia="Calibri" w:hAnsi="Times New Roman" w:cs="Times New Roman"/>
                <w:sz w:val="20"/>
                <w:szCs w:val="20"/>
              </w:rPr>
              <w:t xml:space="preserve"> hrs.;</w:t>
            </w:r>
          </w:p>
          <w:p w14:paraId="3ADF2CAD"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$112</w:t>
            </w:r>
          </w:p>
        </w:tc>
        <w:tc>
          <w:tcPr>
            <w:tcW w:w="1404" w:type="dxa"/>
          </w:tcPr>
          <w:p w14:paraId="1EC1C011"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420</w:t>
            </w:r>
            <w:r w:rsidR="008F7E17">
              <w:rPr>
                <w:rFonts w:ascii="Times New Roman" w:eastAsia="Calibri" w:hAnsi="Times New Roman" w:cs="Times New Roman"/>
                <w:sz w:val="20"/>
                <w:szCs w:val="20"/>
              </w:rPr>
              <w:t xml:space="preserve"> hrs.;</w:t>
            </w:r>
          </w:p>
          <w:p w14:paraId="09F21024"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$11,760</w:t>
            </w:r>
          </w:p>
        </w:tc>
        <w:tc>
          <w:tcPr>
            <w:tcW w:w="1531" w:type="dxa"/>
          </w:tcPr>
          <w:p w14:paraId="2661DEE4"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$112</w:t>
            </w:r>
          </w:p>
        </w:tc>
      </w:tr>
      <w:tr w:rsidR="009F23E0" w:rsidRPr="004F6780" w14:paraId="3985D57B" w14:textId="77777777" w:rsidTr="004F6780">
        <w:trPr>
          <w:trHeight w:val="485"/>
        </w:trPr>
        <w:tc>
          <w:tcPr>
            <w:tcW w:w="1398" w:type="dxa"/>
            <w:tcBorders>
              <w:bottom w:val="single" w:sz="4" w:space="0" w:color="auto"/>
            </w:tcBorders>
          </w:tcPr>
          <w:p w14:paraId="77DB9E78"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w:t>
            </w:r>
          </w:p>
        </w:tc>
        <w:tc>
          <w:tcPr>
            <w:tcW w:w="3163" w:type="dxa"/>
            <w:gridSpan w:val="2"/>
            <w:tcBorders>
              <w:bottom w:val="single" w:sz="4" w:space="0" w:color="auto"/>
            </w:tcBorders>
            <w:shd w:val="clear" w:color="auto" w:fill="D9D9D9"/>
          </w:tcPr>
          <w:p w14:paraId="3F5B4C38"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404" w:type="dxa"/>
            <w:tcBorders>
              <w:bottom w:val="single" w:sz="4" w:space="0" w:color="auto"/>
            </w:tcBorders>
            <w:shd w:val="clear" w:color="auto" w:fill="auto"/>
          </w:tcPr>
          <w:p w14:paraId="2C87C61A"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210</w:t>
            </w:r>
          </w:p>
        </w:tc>
        <w:tc>
          <w:tcPr>
            <w:tcW w:w="1427" w:type="dxa"/>
            <w:tcBorders>
              <w:bottom w:val="single" w:sz="4" w:space="0" w:color="auto"/>
            </w:tcBorders>
            <w:shd w:val="clear" w:color="auto" w:fill="D9D9D9"/>
          </w:tcPr>
          <w:p w14:paraId="6FC7B167"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404" w:type="dxa"/>
            <w:tcBorders>
              <w:bottom w:val="single" w:sz="4" w:space="0" w:color="auto"/>
            </w:tcBorders>
          </w:tcPr>
          <w:p w14:paraId="5AEDB414" w14:textId="77777777" w:rsidR="009F23E0" w:rsidRPr="004F6780" w:rsidRDefault="00CF0F8E"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1,</w:t>
            </w:r>
            <w:r w:rsidR="009F23E0" w:rsidRPr="004F6780">
              <w:rPr>
                <w:rFonts w:ascii="Times New Roman" w:eastAsia="Calibri" w:hAnsi="Times New Roman" w:cs="Times New Roman"/>
                <w:b/>
                <w:sz w:val="20"/>
                <w:szCs w:val="20"/>
              </w:rPr>
              <w:t>260</w:t>
            </w:r>
            <w:r w:rsidR="008F7E17">
              <w:rPr>
                <w:rFonts w:ascii="Times New Roman" w:eastAsia="Calibri" w:hAnsi="Times New Roman" w:cs="Times New Roman"/>
                <w:b/>
                <w:sz w:val="20"/>
                <w:szCs w:val="20"/>
              </w:rPr>
              <w:t xml:space="preserve"> hrs.;</w:t>
            </w:r>
          </w:p>
          <w:p w14:paraId="6C224040"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$92,879</w:t>
            </w:r>
          </w:p>
        </w:tc>
        <w:tc>
          <w:tcPr>
            <w:tcW w:w="1531" w:type="dxa"/>
            <w:tcBorders>
              <w:bottom w:val="single" w:sz="4" w:space="0" w:color="auto"/>
            </w:tcBorders>
            <w:shd w:val="clear" w:color="auto" w:fill="BFBFBF" w:themeFill="background1" w:themeFillShade="BF"/>
          </w:tcPr>
          <w:p w14:paraId="7907C10C"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p>
        </w:tc>
      </w:tr>
    </w:tbl>
    <w:p w14:paraId="5E5BADB8" w14:textId="77777777" w:rsidR="00720C5A" w:rsidRDefault="00720C5A" w:rsidP="00E954EE">
      <w:pPr>
        <w:spacing w:after="0"/>
        <w:rPr>
          <w:rFonts w:ascii="Times New Roman" w:hAnsi="Times New Roman" w:cs="Times New Roman"/>
          <w:sz w:val="24"/>
          <w:szCs w:val="24"/>
        </w:rPr>
      </w:pPr>
    </w:p>
    <w:p w14:paraId="7E24441B" w14:textId="77777777" w:rsidR="00EA5C58" w:rsidRPr="00D80FBD" w:rsidRDefault="00EA5C58" w:rsidP="008D310F">
      <w:pPr>
        <w:spacing w:after="0"/>
        <w:rPr>
          <w:rFonts w:ascii="Times New Roman" w:hAnsi="Times New Roman" w:cs="Times New Roman"/>
          <w:sz w:val="24"/>
          <w:szCs w:val="24"/>
        </w:rPr>
      </w:pPr>
    </w:p>
    <w:p w14:paraId="5055BEF6"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048BC6A7" w14:textId="77777777" w:rsidR="00E636D7" w:rsidRDefault="00E636D7" w:rsidP="00E636D7">
      <w:pPr>
        <w:spacing w:after="0"/>
        <w:rPr>
          <w:rFonts w:ascii="Times New Roman" w:hAnsi="Times New Roman" w:cs="Times New Roman"/>
          <w:sz w:val="24"/>
          <w:szCs w:val="24"/>
        </w:rPr>
      </w:pPr>
    </w:p>
    <w:p w14:paraId="01509BA3" w14:textId="77777777"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sidR="00AD16A3">
        <w:rPr>
          <w:rFonts w:ascii="Times New Roman" w:hAnsi="Times New Roman" w:cs="Times New Roman"/>
          <w:sz w:val="24"/>
          <w:szCs w:val="24"/>
        </w:rPr>
        <w:t>the FERC-725</w:t>
      </w:r>
      <w:r w:rsidR="005C18F6">
        <w:rPr>
          <w:rFonts w:ascii="Times New Roman" w:hAnsi="Times New Roman" w:cs="Times New Roman"/>
          <w:sz w:val="24"/>
          <w:szCs w:val="24"/>
        </w:rPr>
        <w:t>R</w:t>
      </w:r>
      <w:r w:rsidRPr="0074195A">
        <w:rPr>
          <w:rFonts w:ascii="Times New Roman" w:hAnsi="Times New Roman" w:cs="Times New Roman"/>
          <w:sz w:val="24"/>
          <w:szCs w:val="24"/>
        </w:rPr>
        <w:t>.</w:t>
      </w:r>
    </w:p>
    <w:p w14:paraId="0C6F5AB7" w14:textId="77777777" w:rsidR="0074195A" w:rsidRPr="0074195A" w:rsidRDefault="0074195A" w:rsidP="0074195A">
      <w:pPr>
        <w:spacing w:after="0"/>
        <w:rPr>
          <w:rFonts w:ascii="Times New Roman" w:hAnsi="Times New Roman" w:cs="Times New Roman"/>
          <w:sz w:val="24"/>
          <w:szCs w:val="24"/>
        </w:rPr>
      </w:pPr>
    </w:p>
    <w:p w14:paraId="26F7CF30" w14:textId="77777777"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832C80">
        <w:rPr>
          <w:rFonts w:ascii="Times New Roman" w:hAnsi="Times New Roman" w:cs="Times New Roman"/>
          <w:sz w:val="24"/>
          <w:szCs w:val="24"/>
        </w:rPr>
        <w:t>final</w:t>
      </w:r>
      <w:r w:rsidR="00AD16A3">
        <w:rPr>
          <w:rFonts w:ascii="Times New Roman" w:hAnsi="Times New Roman" w:cs="Times New Roman"/>
          <w:sz w:val="24"/>
          <w:szCs w:val="24"/>
        </w:rPr>
        <w:t xml:space="preserve"> rule</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0BD425F7" w14:textId="77777777" w:rsidR="0074195A" w:rsidRPr="00E636D7" w:rsidRDefault="0074195A" w:rsidP="0074195A">
      <w:pPr>
        <w:spacing w:after="0"/>
        <w:rPr>
          <w:rFonts w:ascii="Times New Roman" w:hAnsi="Times New Roman" w:cs="Times New Roman"/>
          <w:sz w:val="24"/>
          <w:szCs w:val="24"/>
        </w:rPr>
      </w:pPr>
    </w:p>
    <w:p w14:paraId="64C1356E"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32BA419" w14:textId="77777777" w:rsidR="00A276F5" w:rsidRDefault="00A276F5" w:rsidP="00A276F5">
      <w:pPr>
        <w:spacing w:after="0"/>
        <w:rPr>
          <w:rFonts w:ascii="Times New Roman" w:hAnsi="Times New Roman" w:cs="Times New Roman"/>
          <w:sz w:val="24"/>
          <w:szCs w:val="24"/>
        </w:rPr>
      </w:pPr>
    </w:p>
    <w:p w14:paraId="1C43413B" w14:textId="77777777" w:rsidR="002A41B5" w:rsidRDefault="002A41B5" w:rsidP="00A276F5">
      <w:pPr>
        <w:spacing w:after="0"/>
        <w:rPr>
          <w:rFonts w:ascii="Times New Roman" w:hAnsi="Times New Roman" w:cs="Times New Roman"/>
          <w:sz w:val="24"/>
          <w:szCs w:val="24"/>
        </w:rPr>
      </w:pPr>
      <w:r w:rsidRPr="00077FB9">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Pr>
          <w:rFonts w:ascii="Times New Roman" w:hAnsi="Times New Roman"/>
          <w:sz w:val="24"/>
          <w:szCs w:val="24"/>
        </w:rPr>
        <w:t xml:space="preserve">OMB Control No. </w:t>
      </w:r>
      <w:r w:rsidRPr="00077FB9">
        <w:rPr>
          <w:rFonts w:ascii="Times New Roman" w:hAnsi="Times New Roman"/>
          <w:sz w:val="24"/>
          <w:szCs w:val="24"/>
        </w:rPr>
        <w:t>1902-0225) and is not part of this request or package</w:t>
      </w:r>
      <w:r>
        <w:rPr>
          <w:rFonts w:ascii="Times New Roman" w:hAnsi="Times New Roman"/>
          <w:sz w:val="24"/>
          <w:szCs w:val="24"/>
        </w:rPr>
        <w:t>.</w:t>
      </w:r>
    </w:p>
    <w:p w14:paraId="5B2A285C" w14:textId="77777777" w:rsidR="002A41B5" w:rsidRDefault="002A41B5" w:rsidP="00A276F5">
      <w:pPr>
        <w:spacing w:after="0"/>
        <w:rPr>
          <w:rFonts w:ascii="Times New Roman" w:hAnsi="Times New Roman" w:cs="Times New Roman"/>
          <w:sz w:val="24"/>
          <w:szCs w:val="24"/>
        </w:rPr>
      </w:pPr>
    </w:p>
    <w:p w14:paraId="7B5B268A" w14:textId="77777777"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w:t>
      </w:r>
      <w:r w:rsidR="00041041">
        <w:rPr>
          <w:rFonts w:ascii="Times New Roman" w:hAnsi="Times New Roman" w:cs="Times New Roman"/>
          <w:sz w:val="24"/>
          <w:szCs w:val="24"/>
        </w:rPr>
        <w:t>R</w:t>
      </w:r>
      <w:r w:rsidRPr="00630A34">
        <w:rPr>
          <w:rFonts w:ascii="Times New Roman" w:hAnsi="Times New Roman" w:cs="Times New Roman"/>
          <w:sz w:val="24"/>
          <w:szCs w:val="24"/>
        </w:rPr>
        <w:t xml:space="preserve"> as related</w:t>
      </w:r>
      <w:r w:rsidR="00832C80">
        <w:rPr>
          <w:rFonts w:ascii="Times New Roman" w:hAnsi="Times New Roman" w:cs="Times New Roman"/>
          <w:sz w:val="24"/>
          <w:szCs w:val="24"/>
        </w:rPr>
        <w:t xml:space="preserve"> to the requirements in the Final Rule</w:t>
      </w:r>
      <w:r w:rsidRPr="00630A34">
        <w:rPr>
          <w:rFonts w:ascii="Times New Roman" w:hAnsi="Times New Roman" w:cs="Times New Roman"/>
          <w:sz w:val="24"/>
          <w:szCs w:val="24"/>
        </w:rPr>
        <w:t xml:space="preserve"> in </w:t>
      </w:r>
      <w:r w:rsidR="00CF0F8E">
        <w:rPr>
          <w:rFonts w:ascii="Times New Roman" w:hAnsi="Times New Roman" w:cs="Times New Roman"/>
          <w:sz w:val="24"/>
          <w:szCs w:val="24"/>
        </w:rPr>
        <w:t>RM16-7</w:t>
      </w:r>
      <w:r w:rsidR="00AD16A3">
        <w:rPr>
          <w:rFonts w:ascii="Times New Roman" w:hAnsi="Times New Roman" w:cs="Times New Roman"/>
          <w:sz w:val="24"/>
          <w:szCs w:val="24"/>
        </w:rPr>
        <w:t>-000</w:t>
      </w:r>
      <w:r w:rsidRPr="00630A34">
        <w:rPr>
          <w:rFonts w:ascii="Times New Roman" w:hAnsi="Times New Roman" w:cs="Times New Roman"/>
          <w:sz w:val="24"/>
          <w:szCs w:val="24"/>
        </w:rPr>
        <w:t xml:space="preserve"> follows:</w:t>
      </w:r>
    </w:p>
    <w:p w14:paraId="72E26328"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0F7D58F8"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7202EC71"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75358F14"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2BEDEF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68771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56CAD964" w14:textId="77777777" w:rsidR="00630A34" w:rsidRPr="00630A34" w:rsidRDefault="00AD16A3" w:rsidP="007E220F">
            <w:pPr>
              <w:spacing w:after="0"/>
              <w:rPr>
                <w:rFonts w:ascii="Times New Roman" w:hAnsi="Times New Roman" w:cs="Times New Roman"/>
                <w:sz w:val="24"/>
                <w:szCs w:val="24"/>
              </w:rPr>
            </w:pPr>
            <w:r>
              <w:rPr>
                <w:rFonts w:ascii="Times New Roman" w:hAnsi="Times New Roman" w:cs="Times New Roman"/>
                <w:sz w:val="24"/>
                <w:szCs w:val="24"/>
              </w:rPr>
              <w:t>FERC-725</w:t>
            </w:r>
            <w:r w:rsidR="00041041">
              <w:rPr>
                <w:rFonts w:ascii="Times New Roman" w:hAnsi="Times New Roman" w:cs="Times New Roman"/>
                <w:sz w:val="24"/>
                <w:szCs w:val="24"/>
              </w:rPr>
              <w:t>R</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3F02AD1E"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64B81EEE"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2F9B3376" w14:textId="77777777" w:rsidTr="002C63E1">
        <w:tc>
          <w:tcPr>
            <w:tcW w:w="3182" w:type="dxa"/>
            <w:tcBorders>
              <w:top w:val="single" w:sz="4" w:space="0" w:color="auto"/>
              <w:left w:val="single" w:sz="4" w:space="0" w:color="auto"/>
              <w:bottom w:val="single" w:sz="4" w:space="0" w:color="auto"/>
              <w:right w:val="single" w:sz="4" w:space="0" w:color="auto"/>
            </w:tcBorders>
          </w:tcPr>
          <w:p w14:paraId="152550B7"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3"/>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3963965"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4524CB61" w14:textId="77777777" w:rsidR="00AD16A3" w:rsidRPr="00630A34" w:rsidRDefault="00284511" w:rsidP="00240E8F">
            <w:pPr>
              <w:spacing w:after="0"/>
              <w:rPr>
                <w:rFonts w:ascii="Times New Roman" w:hAnsi="Times New Roman" w:cs="Times New Roman"/>
                <w:sz w:val="24"/>
                <w:szCs w:val="24"/>
              </w:rPr>
            </w:pPr>
            <w:r>
              <w:rPr>
                <w:rFonts w:ascii="Times New Roman" w:hAnsi="Times New Roman" w:cs="Times New Roman"/>
                <w:sz w:val="24"/>
                <w:szCs w:val="24"/>
              </w:rPr>
              <w:t>$5,</w:t>
            </w:r>
            <w:r w:rsidR="00240E8F">
              <w:rPr>
                <w:rFonts w:ascii="Times New Roman" w:hAnsi="Times New Roman" w:cs="Times New Roman"/>
                <w:sz w:val="24"/>
                <w:szCs w:val="24"/>
              </w:rPr>
              <w:t>481</w:t>
            </w:r>
          </w:p>
        </w:tc>
      </w:tr>
      <w:tr w:rsidR="00AD16A3" w:rsidRPr="00630A34" w14:paraId="16F73A95"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70120CEE"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7F870935"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A79351B" w14:textId="77777777" w:rsidR="00AD16A3" w:rsidRPr="00630A34" w:rsidRDefault="00D001CE" w:rsidP="00240E8F">
            <w:pPr>
              <w:spacing w:after="0"/>
              <w:rPr>
                <w:rFonts w:ascii="Times New Roman" w:hAnsi="Times New Roman" w:cs="Times New Roman"/>
                <w:sz w:val="24"/>
                <w:szCs w:val="24"/>
              </w:rPr>
            </w:pPr>
            <w:r w:rsidRPr="00D001CE">
              <w:rPr>
                <w:rFonts w:ascii="Times New Roman" w:hAnsi="Times New Roman" w:cs="Times New Roman"/>
                <w:sz w:val="24"/>
                <w:szCs w:val="24"/>
              </w:rPr>
              <w:t>$5,</w:t>
            </w:r>
            <w:r w:rsidR="00240E8F">
              <w:rPr>
                <w:rFonts w:ascii="Times New Roman" w:hAnsi="Times New Roman" w:cs="Times New Roman"/>
                <w:sz w:val="24"/>
                <w:szCs w:val="24"/>
              </w:rPr>
              <w:t>481</w:t>
            </w:r>
          </w:p>
        </w:tc>
      </w:tr>
    </w:tbl>
    <w:p w14:paraId="258F1DA7" w14:textId="77777777" w:rsidR="006B437C" w:rsidRPr="006B437C" w:rsidRDefault="006B437C" w:rsidP="006B437C">
      <w:pPr>
        <w:spacing w:after="0"/>
        <w:rPr>
          <w:rFonts w:ascii="Times New Roman" w:hAnsi="Times New Roman" w:cs="Times New Roman"/>
          <w:sz w:val="24"/>
          <w:szCs w:val="24"/>
        </w:rPr>
      </w:pPr>
    </w:p>
    <w:p w14:paraId="7E7159FE" w14:textId="77777777" w:rsidR="006B437C" w:rsidRPr="00A276F5" w:rsidRDefault="006B437C" w:rsidP="006B437C">
      <w:pPr>
        <w:spacing w:after="0"/>
        <w:rPr>
          <w:rFonts w:ascii="Times New Roman" w:hAnsi="Times New Roman" w:cs="Times New Roman"/>
          <w:sz w:val="24"/>
          <w:szCs w:val="24"/>
        </w:rPr>
      </w:pPr>
    </w:p>
    <w:p w14:paraId="5D966CAB"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ED3BEA6" w14:textId="77777777" w:rsidR="003316E0" w:rsidRPr="003316E0" w:rsidRDefault="003316E0" w:rsidP="003316E0">
      <w:pPr>
        <w:spacing w:after="0"/>
        <w:rPr>
          <w:rFonts w:ascii="Times New Roman" w:hAnsi="Times New Roman" w:cs="Times New Roman"/>
          <w:sz w:val="24"/>
          <w:szCs w:val="24"/>
        </w:rPr>
      </w:pPr>
    </w:p>
    <w:p w14:paraId="4C45E109" w14:textId="77777777" w:rsid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 xml:space="preserve">The </w:t>
      </w:r>
      <w:r w:rsidR="000D42A6">
        <w:rPr>
          <w:rFonts w:ascii="Times New Roman" w:hAnsi="Times New Roman" w:cs="Times New Roman"/>
          <w:sz w:val="24"/>
          <w:szCs w:val="24"/>
        </w:rPr>
        <w:t xml:space="preserve">estimated annual </w:t>
      </w:r>
      <w:r w:rsidRPr="003316E0">
        <w:rPr>
          <w:rFonts w:ascii="Times New Roman" w:hAnsi="Times New Roman" w:cs="Times New Roman"/>
          <w:sz w:val="24"/>
          <w:szCs w:val="24"/>
        </w:rPr>
        <w:t>burden for</w:t>
      </w:r>
      <w:r>
        <w:rPr>
          <w:rFonts w:ascii="Times New Roman" w:hAnsi="Times New Roman" w:cs="Times New Roman"/>
          <w:sz w:val="24"/>
          <w:szCs w:val="24"/>
        </w:rPr>
        <w:t xml:space="preserve"> </w:t>
      </w:r>
      <w:r w:rsidR="007B193F">
        <w:rPr>
          <w:rFonts w:ascii="Times New Roman" w:hAnsi="Times New Roman" w:cs="Times New Roman"/>
          <w:sz w:val="24"/>
          <w:szCs w:val="24"/>
        </w:rPr>
        <w:t>the FERC-725</w:t>
      </w:r>
      <w:r w:rsidR="0015129F">
        <w:rPr>
          <w:rFonts w:ascii="Times New Roman" w:hAnsi="Times New Roman" w:cs="Times New Roman"/>
          <w:sz w:val="24"/>
          <w:szCs w:val="24"/>
        </w:rPr>
        <w:t>R</w:t>
      </w:r>
      <w:r w:rsidR="007B193F">
        <w:rPr>
          <w:rFonts w:ascii="Times New Roman" w:hAnsi="Times New Roman" w:cs="Times New Roman"/>
          <w:sz w:val="24"/>
          <w:szCs w:val="24"/>
        </w:rPr>
        <w:t xml:space="preserve"> information collection increased</w:t>
      </w:r>
      <w:r w:rsidR="00D87A76" w:rsidRPr="00CB26E8">
        <w:rPr>
          <w:rStyle w:val="FootnoteReference"/>
          <w:rFonts w:ascii="Times New Roman" w:hAnsi="Times New Roman" w:cs="Times New Roman"/>
          <w:sz w:val="24"/>
          <w:szCs w:val="24"/>
          <w:vertAlign w:val="superscript"/>
        </w:rPr>
        <w:footnoteReference w:id="15"/>
      </w:r>
      <w:r w:rsidR="007B193F">
        <w:rPr>
          <w:rFonts w:ascii="Times New Roman" w:hAnsi="Times New Roman" w:cs="Times New Roman"/>
          <w:sz w:val="24"/>
          <w:szCs w:val="24"/>
        </w:rPr>
        <w:t xml:space="preserve"> due to</w:t>
      </w:r>
      <w:r w:rsidR="00D87A76">
        <w:rPr>
          <w:rFonts w:ascii="Times New Roman" w:hAnsi="Times New Roman" w:cs="Times New Roman"/>
          <w:sz w:val="24"/>
          <w:szCs w:val="24"/>
        </w:rPr>
        <w:t xml:space="preserve"> the </w:t>
      </w:r>
      <w:r w:rsidR="00832C80">
        <w:rPr>
          <w:rFonts w:ascii="Times New Roman" w:hAnsi="Times New Roman" w:cs="Times New Roman"/>
          <w:sz w:val="24"/>
          <w:szCs w:val="24"/>
        </w:rPr>
        <w:t>Final Rule</w:t>
      </w:r>
      <w:r w:rsidR="004139F1">
        <w:rPr>
          <w:rFonts w:ascii="Times New Roman" w:hAnsi="Times New Roman" w:cs="Times New Roman"/>
          <w:sz w:val="24"/>
          <w:szCs w:val="24"/>
        </w:rPr>
        <w:t xml:space="preserve"> </w:t>
      </w:r>
      <w:r w:rsidR="004E00E3">
        <w:rPr>
          <w:rFonts w:ascii="Times New Roman" w:hAnsi="Times New Roman" w:cs="Times New Roman"/>
          <w:sz w:val="24"/>
          <w:szCs w:val="24"/>
        </w:rPr>
        <w:t>in RM16-7</w:t>
      </w:r>
      <w:r w:rsidR="007B193F">
        <w:rPr>
          <w:rFonts w:ascii="Times New Roman" w:hAnsi="Times New Roman" w:cs="Times New Roman"/>
          <w:sz w:val="24"/>
          <w:szCs w:val="24"/>
        </w:rPr>
        <w:t>:</w:t>
      </w:r>
    </w:p>
    <w:p w14:paraId="2FD7047E" w14:textId="77777777" w:rsidR="00063143" w:rsidRPr="00063143" w:rsidRDefault="00063143" w:rsidP="00F65F0C">
      <w:pPr>
        <w:pStyle w:val="ListParagraph"/>
        <w:numPr>
          <w:ilvl w:val="0"/>
          <w:numId w:val="7"/>
        </w:numPr>
        <w:spacing w:after="0"/>
        <w:rPr>
          <w:rFonts w:ascii="Times New Roman" w:hAnsi="Times New Roman" w:cs="Times New Roman"/>
          <w:sz w:val="24"/>
          <w:szCs w:val="24"/>
        </w:rPr>
      </w:pPr>
      <w:r w:rsidRPr="00063143">
        <w:rPr>
          <w:rFonts w:ascii="Times New Roman" w:hAnsi="Times New Roman" w:cs="Times New Roman"/>
          <w:sz w:val="24"/>
          <w:szCs w:val="24"/>
        </w:rPr>
        <w:t>The Measure (M1) related to the new Requirement R1 states: Each Responsible Entity shall have, and provide upon request, as evidence, a CR Form 1 with date and time of occurrence to show compliance with Requirement R1. If Requirement R1 part 1.3 applies, then dated documentation that demonstrates compliance with Requirement R1 part 1.3 must also be provided.</w:t>
      </w:r>
    </w:p>
    <w:p w14:paraId="66D410AA" w14:textId="77777777" w:rsidR="00240E8F" w:rsidRDefault="00847349" w:rsidP="00DD7574">
      <w:pPr>
        <w:pStyle w:val="ListParagraph"/>
        <w:numPr>
          <w:ilvl w:val="0"/>
          <w:numId w:val="7"/>
        </w:numPr>
        <w:spacing w:after="0"/>
        <w:rPr>
          <w:rFonts w:ascii="Times New Roman" w:hAnsi="Times New Roman" w:cs="Times New Roman"/>
          <w:sz w:val="24"/>
          <w:szCs w:val="24"/>
        </w:rPr>
      </w:pPr>
      <w:r w:rsidRPr="00847349">
        <w:rPr>
          <w:rFonts w:ascii="Times New Roman" w:hAnsi="Times New Roman" w:cs="Times New Roman"/>
          <w:sz w:val="24"/>
          <w:szCs w:val="24"/>
        </w:rPr>
        <w:lastRenderedPageBreak/>
        <w:t>The Measure (M2) related to the new Requirement R2 states:  “</w:t>
      </w:r>
      <w:r w:rsidR="00DD7574" w:rsidRPr="00DD7574">
        <w:rPr>
          <w:rFonts w:ascii="Times New Roman" w:hAnsi="Times New Roman" w:cs="Times New Roman"/>
          <w:sz w:val="24"/>
          <w:szCs w:val="24"/>
        </w:rPr>
        <w:t>Each Responsible Entity will have the following documentation to show compliance with Requirement R2</w:t>
      </w:r>
      <w:r w:rsidR="00240E8F">
        <w:rPr>
          <w:rFonts w:ascii="Times New Roman" w:hAnsi="Times New Roman" w:cs="Times New Roman"/>
          <w:sz w:val="24"/>
          <w:szCs w:val="24"/>
        </w:rPr>
        <w:t>:</w:t>
      </w:r>
    </w:p>
    <w:p w14:paraId="7090411E" w14:textId="77777777" w:rsidR="00240E8F" w:rsidRPr="00240E8F" w:rsidRDefault="00240E8F" w:rsidP="00240E8F">
      <w:pPr>
        <w:pStyle w:val="ListParagraph"/>
        <w:numPr>
          <w:ilvl w:val="1"/>
          <w:numId w:val="7"/>
        </w:numPr>
        <w:rPr>
          <w:rFonts w:ascii="Times New Roman" w:hAnsi="Times New Roman" w:cs="Times New Roman"/>
          <w:sz w:val="24"/>
          <w:szCs w:val="24"/>
        </w:rPr>
      </w:pPr>
      <w:r w:rsidRPr="00240E8F">
        <w:rPr>
          <w:rFonts w:ascii="Times New Roman" w:hAnsi="Times New Roman" w:cs="Times New Roman"/>
          <w:sz w:val="24"/>
          <w:szCs w:val="24"/>
        </w:rPr>
        <w:t>a dated Operating Process;</w:t>
      </w:r>
    </w:p>
    <w:p w14:paraId="691F034C" w14:textId="77777777" w:rsidR="00240E8F" w:rsidRDefault="00240E8F" w:rsidP="00A84D05">
      <w:pPr>
        <w:pStyle w:val="ListParagraph"/>
        <w:numPr>
          <w:ilvl w:val="1"/>
          <w:numId w:val="7"/>
        </w:numPr>
        <w:spacing w:after="0"/>
        <w:rPr>
          <w:rFonts w:ascii="Times New Roman" w:hAnsi="Times New Roman" w:cs="Times New Roman"/>
          <w:sz w:val="24"/>
          <w:szCs w:val="24"/>
        </w:rPr>
      </w:pPr>
      <w:r w:rsidRPr="00240E8F">
        <w:rPr>
          <w:rFonts w:ascii="Times New Roman" w:hAnsi="Times New Roman" w:cs="Times New Roman"/>
          <w:sz w:val="24"/>
          <w:szCs w:val="24"/>
        </w:rPr>
        <w:t xml:space="preserve">evidence to indicate that the Operating Process has been reviewed and </w:t>
      </w:r>
      <w:r w:rsidRPr="00482CA1">
        <w:rPr>
          <w:rFonts w:ascii="Times New Roman" w:hAnsi="Times New Roman" w:cs="Times New Roman"/>
          <w:sz w:val="24"/>
          <w:szCs w:val="24"/>
        </w:rPr>
        <w:t>maintained annually; and,</w:t>
      </w:r>
      <w:r w:rsidRPr="0021357B">
        <w:rPr>
          <w:rFonts w:ascii="Times New Roman" w:hAnsi="Times New Roman" w:cs="Times New Roman"/>
          <w:sz w:val="24"/>
          <w:szCs w:val="24"/>
        </w:rPr>
        <w:t xml:space="preserve"> </w:t>
      </w:r>
    </w:p>
    <w:p w14:paraId="65CE6DEC" w14:textId="77777777" w:rsidR="00847349" w:rsidRPr="00240E8F" w:rsidRDefault="00240E8F" w:rsidP="00A84D05">
      <w:pPr>
        <w:pStyle w:val="ListParagraph"/>
        <w:numPr>
          <w:ilvl w:val="1"/>
          <w:numId w:val="7"/>
        </w:numPr>
        <w:spacing w:after="0"/>
        <w:rPr>
          <w:rFonts w:ascii="Times New Roman" w:hAnsi="Times New Roman" w:cs="Times New Roman"/>
          <w:sz w:val="24"/>
          <w:szCs w:val="24"/>
        </w:rPr>
      </w:pPr>
      <w:r w:rsidRPr="00240E8F">
        <w:rPr>
          <w:rFonts w:ascii="Times New Roman" w:hAnsi="Times New Roman" w:cs="Times New Roman"/>
          <w:sz w:val="24"/>
          <w:szCs w:val="24"/>
        </w:rPr>
        <w:t>evidence suc</w:t>
      </w:r>
      <w:r w:rsidRPr="00482CA1">
        <w:rPr>
          <w:rFonts w:ascii="Times New Roman" w:hAnsi="Times New Roman" w:cs="Times New Roman"/>
          <w:sz w:val="24"/>
          <w:szCs w:val="24"/>
        </w:rPr>
        <w:t>h as Operating Plans or other operator documentation that</w:t>
      </w:r>
      <w:r w:rsidRPr="0021357B">
        <w:rPr>
          <w:rFonts w:ascii="Times New Roman" w:hAnsi="Times New Roman" w:cs="Times New Roman"/>
          <w:sz w:val="24"/>
          <w:szCs w:val="24"/>
        </w:rPr>
        <w:t xml:space="preserve"> demonstrate that the entity determines its Most Severe Single Contingency and </w:t>
      </w:r>
      <w:r w:rsidRPr="001F3F14">
        <w:rPr>
          <w:rFonts w:ascii="Times New Roman" w:hAnsi="Times New Roman" w:cs="Times New Roman"/>
          <w:sz w:val="24"/>
          <w:szCs w:val="24"/>
        </w:rPr>
        <w:t>that Contingency Reserves equal to or greater than its Most Severe Single</w:t>
      </w:r>
      <w:r w:rsidRPr="00A8570A">
        <w:rPr>
          <w:rFonts w:ascii="Times New Roman" w:hAnsi="Times New Roman" w:cs="Times New Roman"/>
          <w:sz w:val="24"/>
          <w:szCs w:val="24"/>
        </w:rPr>
        <w:t xml:space="preserve"> </w:t>
      </w:r>
      <w:r w:rsidRPr="00240E8F">
        <w:rPr>
          <w:rFonts w:ascii="Times New Roman" w:hAnsi="Times New Roman" w:cs="Times New Roman"/>
          <w:sz w:val="24"/>
          <w:szCs w:val="24"/>
        </w:rPr>
        <w:t>Contingency are included in this process.</w:t>
      </w:r>
      <w:r w:rsidR="00EE128E" w:rsidRPr="00240E8F">
        <w:rPr>
          <w:rFonts w:ascii="Times New Roman" w:hAnsi="Times New Roman" w:cs="Times New Roman"/>
          <w:sz w:val="24"/>
          <w:szCs w:val="24"/>
        </w:rPr>
        <w:t>”</w:t>
      </w:r>
    </w:p>
    <w:p w14:paraId="3B5BE57B" w14:textId="77777777" w:rsidR="00DE413B" w:rsidRPr="004E00E3" w:rsidRDefault="00EE128E" w:rsidP="00DD757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Data Retention </w:t>
      </w:r>
      <w:r w:rsidR="00847349" w:rsidRPr="00847349">
        <w:rPr>
          <w:rFonts w:ascii="Times New Roman" w:hAnsi="Times New Roman" w:cs="Times New Roman"/>
          <w:sz w:val="24"/>
          <w:szCs w:val="24"/>
        </w:rPr>
        <w:t>says in part “</w:t>
      </w:r>
      <w:r w:rsidR="00DD7574" w:rsidRPr="00DD7574">
        <w:rPr>
          <w:rFonts w:ascii="Times New Roman" w:hAnsi="Times New Roman" w:cs="Times New Roman"/>
          <w:sz w:val="24"/>
          <w:szCs w:val="24"/>
        </w:rPr>
        <w:t>The Responsible Entity shall retain data or evidence to show compliance for the current year, plus three previous calendar years, unless directed by its Compliance Enforcement Authority to retain specific evidence for a longer period of time as part of an investigation</w:t>
      </w:r>
      <w:r w:rsidR="00847349" w:rsidRPr="00847349">
        <w:rPr>
          <w:rFonts w:ascii="Times New Roman" w:hAnsi="Times New Roman" w:cs="Times New Roman"/>
          <w:sz w:val="24"/>
          <w:szCs w:val="24"/>
        </w:rPr>
        <w:t>.</w:t>
      </w:r>
      <w:r w:rsidR="00633561">
        <w:rPr>
          <w:rFonts w:ascii="Times New Roman" w:hAnsi="Times New Roman" w:cs="Times New Roman"/>
          <w:sz w:val="24"/>
          <w:szCs w:val="24"/>
        </w:rPr>
        <w:t>”</w:t>
      </w:r>
    </w:p>
    <w:p w14:paraId="4F7F64FE" w14:textId="77777777" w:rsidR="00DE413B" w:rsidRDefault="00DE413B" w:rsidP="003316E0">
      <w:pPr>
        <w:spacing w:after="0"/>
        <w:rPr>
          <w:rFonts w:ascii="Times New Roman" w:hAnsi="Times New Roman" w:cs="Times New Roman"/>
          <w:sz w:val="24"/>
          <w:szCs w:val="24"/>
        </w:rPr>
      </w:pPr>
    </w:p>
    <w:p w14:paraId="65523EC9" w14:textId="77777777" w:rsidR="00351EE9" w:rsidRPr="008F62FC" w:rsidRDefault="00351EE9" w:rsidP="00351EE9">
      <w:pPr>
        <w:spacing w:after="0"/>
        <w:rPr>
          <w:rFonts w:ascii="Times New Roman" w:hAnsi="Times New Roman" w:cs="Times New Roman"/>
          <w:sz w:val="24"/>
          <w:szCs w:val="24"/>
        </w:rPr>
      </w:pPr>
      <w:r w:rsidRPr="008F62FC">
        <w:rPr>
          <w:rFonts w:ascii="Times New Roman" w:hAnsi="Times New Roman" w:cs="Times New Roman"/>
          <w:sz w:val="24"/>
          <w:szCs w:val="24"/>
        </w:rPr>
        <w:t>The current OMB-approved inventory is listed under the “Previously Approved” column.  The annual respon</w:t>
      </w:r>
      <w:r w:rsidR="004B7B3D">
        <w:rPr>
          <w:rFonts w:ascii="Times New Roman" w:hAnsi="Times New Roman" w:cs="Times New Roman"/>
          <w:sz w:val="24"/>
          <w:szCs w:val="24"/>
        </w:rPr>
        <w:t>ses and annual burden was 3,802 and 31,104</w:t>
      </w:r>
      <w:r w:rsidRPr="008F62FC">
        <w:rPr>
          <w:rFonts w:ascii="Times New Roman" w:hAnsi="Times New Roman" w:cs="Times New Roman"/>
          <w:sz w:val="24"/>
          <w:szCs w:val="24"/>
        </w:rPr>
        <w:t xml:space="preserve"> respectively.  The added annual responses and annual burden (change due to </w:t>
      </w:r>
      <w:r>
        <w:rPr>
          <w:rFonts w:ascii="Times New Roman" w:hAnsi="Times New Roman" w:cs="Times New Roman"/>
          <w:sz w:val="24"/>
          <w:szCs w:val="24"/>
        </w:rPr>
        <w:t>agency discretion</w:t>
      </w:r>
      <w:r w:rsidRPr="008F62FC">
        <w:rPr>
          <w:rFonts w:ascii="Times New Roman" w:hAnsi="Times New Roman" w:cs="Times New Roman"/>
          <w:sz w:val="24"/>
          <w:szCs w:val="24"/>
        </w:rPr>
        <w:t xml:space="preserve"> as discussed above</w:t>
      </w:r>
      <w:r w:rsidR="004B7B3D">
        <w:rPr>
          <w:rFonts w:ascii="Times New Roman" w:hAnsi="Times New Roman" w:cs="Times New Roman"/>
          <w:sz w:val="24"/>
          <w:szCs w:val="24"/>
        </w:rPr>
        <w:t>) is 210 and 1,260</w:t>
      </w:r>
      <w:r w:rsidRPr="008F62FC">
        <w:rPr>
          <w:rFonts w:ascii="Times New Roman" w:hAnsi="Times New Roman" w:cs="Times New Roman"/>
          <w:sz w:val="24"/>
          <w:szCs w:val="24"/>
        </w:rPr>
        <w:t xml:space="preserve"> respectively.</w:t>
      </w:r>
    </w:p>
    <w:p w14:paraId="1F3F8F0C" w14:textId="77777777" w:rsidR="004F6780" w:rsidRDefault="004F6780"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61E74D17" w14:textId="77777777" w:rsidTr="002C63E1">
        <w:trPr>
          <w:trHeight w:val="870"/>
        </w:trPr>
        <w:tc>
          <w:tcPr>
            <w:tcW w:w="2589" w:type="dxa"/>
            <w:shd w:val="clear" w:color="auto" w:fill="D9D9D9"/>
            <w:vAlign w:val="bottom"/>
          </w:tcPr>
          <w:p w14:paraId="645F73A8"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w:t>
            </w:r>
            <w:r w:rsidR="00251D43">
              <w:rPr>
                <w:rFonts w:ascii="Times New Roman" w:hAnsi="Times New Roman" w:cs="Times New Roman"/>
                <w:b/>
                <w:sz w:val="24"/>
                <w:szCs w:val="24"/>
              </w:rPr>
              <w:t>R</w:t>
            </w:r>
          </w:p>
        </w:tc>
        <w:tc>
          <w:tcPr>
            <w:tcW w:w="1779" w:type="dxa"/>
            <w:shd w:val="clear" w:color="auto" w:fill="D9D9D9"/>
            <w:vAlign w:val="bottom"/>
          </w:tcPr>
          <w:p w14:paraId="3CE4EBFE"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353E41B2"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306B1C0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181E6A78"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104EBFCE" w14:textId="77777777" w:rsidTr="002C63E1">
        <w:trPr>
          <w:trHeight w:val="591"/>
        </w:trPr>
        <w:tc>
          <w:tcPr>
            <w:tcW w:w="2589" w:type="dxa"/>
          </w:tcPr>
          <w:p w14:paraId="018560D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4E1111D" w14:textId="77777777" w:rsidR="003316E0" w:rsidRPr="003316E0" w:rsidRDefault="00A84D05" w:rsidP="003316E0">
            <w:pPr>
              <w:spacing w:after="0"/>
              <w:rPr>
                <w:rFonts w:ascii="Times New Roman" w:hAnsi="Times New Roman" w:cs="Times New Roman"/>
                <w:sz w:val="24"/>
                <w:szCs w:val="24"/>
              </w:rPr>
            </w:pPr>
            <w:r>
              <w:rPr>
                <w:rFonts w:ascii="Times New Roman" w:hAnsi="Times New Roman" w:cs="Times New Roman"/>
                <w:sz w:val="24"/>
                <w:szCs w:val="24"/>
              </w:rPr>
              <w:t>4,012</w:t>
            </w:r>
          </w:p>
        </w:tc>
        <w:tc>
          <w:tcPr>
            <w:tcW w:w="1959" w:type="dxa"/>
            <w:vAlign w:val="center"/>
          </w:tcPr>
          <w:p w14:paraId="795A6CC9" w14:textId="77777777"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3,802</w:t>
            </w:r>
          </w:p>
        </w:tc>
        <w:tc>
          <w:tcPr>
            <w:tcW w:w="1683" w:type="dxa"/>
            <w:vAlign w:val="center"/>
          </w:tcPr>
          <w:p w14:paraId="1D0C4BF0"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7BCA05D5" w14:textId="77777777" w:rsidR="003316E0" w:rsidRPr="003316E0" w:rsidRDefault="00A84D05" w:rsidP="003316E0">
            <w:pPr>
              <w:spacing w:after="0"/>
              <w:rPr>
                <w:rFonts w:ascii="Times New Roman" w:hAnsi="Times New Roman" w:cs="Times New Roman"/>
                <w:sz w:val="24"/>
                <w:szCs w:val="24"/>
              </w:rPr>
            </w:pPr>
            <w:r>
              <w:rPr>
                <w:rFonts w:ascii="Times New Roman" w:hAnsi="Times New Roman" w:cs="Times New Roman"/>
                <w:sz w:val="24"/>
                <w:szCs w:val="24"/>
              </w:rPr>
              <w:t>210</w:t>
            </w:r>
          </w:p>
        </w:tc>
      </w:tr>
      <w:tr w:rsidR="003316E0" w:rsidRPr="003316E0" w14:paraId="2F6E5D9F" w14:textId="77777777" w:rsidTr="002C63E1">
        <w:trPr>
          <w:trHeight w:val="575"/>
        </w:trPr>
        <w:tc>
          <w:tcPr>
            <w:tcW w:w="2589" w:type="dxa"/>
          </w:tcPr>
          <w:p w14:paraId="38210C64"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p>
        </w:tc>
        <w:tc>
          <w:tcPr>
            <w:tcW w:w="1779" w:type="dxa"/>
            <w:vAlign w:val="center"/>
          </w:tcPr>
          <w:p w14:paraId="66E527E6" w14:textId="77777777"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32,364</w:t>
            </w:r>
          </w:p>
        </w:tc>
        <w:tc>
          <w:tcPr>
            <w:tcW w:w="1959" w:type="dxa"/>
            <w:vAlign w:val="center"/>
          </w:tcPr>
          <w:p w14:paraId="00389F04" w14:textId="77777777"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31,104</w:t>
            </w:r>
          </w:p>
        </w:tc>
        <w:tc>
          <w:tcPr>
            <w:tcW w:w="1683" w:type="dxa"/>
            <w:vAlign w:val="center"/>
          </w:tcPr>
          <w:p w14:paraId="1739049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0172E2AB" w14:textId="77777777"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1,260</w:t>
            </w:r>
          </w:p>
        </w:tc>
      </w:tr>
      <w:tr w:rsidR="003316E0" w:rsidRPr="003316E0" w14:paraId="159E24A9" w14:textId="77777777" w:rsidTr="002C63E1">
        <w:trPr>
          <w:trHeight w:val="295"/>
        </w:trPr>
        <w:tc>
          <w:tcPr>
            <w:tcW w:w="2589" w:type="dxa"/>
          </w:tcPr>
          <w:p w14:paraId="380A5BD6"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0071E54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2C769C88"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5D5FD3EA"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40519A6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6EF131CC" w14:textId="77777777" w:rsidR="003316E0" w:rsidRPr="00A276F5" w:rsidRDefault="003316E0" w:rsidP="003316E0">
      <w:pPr>
        <w:spacing w:after="0"/>
        <w:rPr>
          <w:rFonts w:ascii="Times New Roman" w:hAnsi="Times New Roman" w:cs="Times New Roman"/>
          <w:sz w:val="24"/>
          <w:szCs w:val="24"/>
        </w:rPr>
      </w:pPr>
    </w:p>
    <w:p w14:paraId="3610471C"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2984DB82" w14:textId="77777777" w:rsidR="00414F32" w:rsidRDefault="00414F32" w:rsidP="00414F32">
      <w:pPr>
        <w:spacing w:after="0"/>
        <w:rPr>
          <w:rFonts w:ascii="Times New Roman" w:hAnsi="Times New Roman" w:cs="Times New Roman"/>
          <w:sz w:val="24"/>
          <w:szCs w:val="24"/>
        </w:rPr>
      </w:pPr>
    </w:p>
    <w:p w14:paraId="68E5D800"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 xml:space="preserve">FERC does not publish any data associated with </w:t>
      </w:r>
      <w:r w:rsidR="0039318D">
        <w:rPr>
          <w:rFonts w:ascii="Times New Roman" w:hAnsi="Times New Roman" w:cs="Times New Roman"/>
          <w:sz w:val="24"/>
          <w:szCs w:val="24"/>
        </w:rPr>
        <w:t xml:space="preserve">this </w:t>
      </w:r>
      <w:r>
        <w:rPr>
          <w:rFonts w:ascii="Times New Roman" w:hAnsi="Times New Roman" w:cs="Times New Roman"/>
          <w:sz w:val="24"/>
          <w:szCs w:val="24"/>
        </w:rPr>
        <w:t>collection.</w:t>
      </w:r>
    </w:p>
    <w:p w14:paraId="549C66AB" w14:textId="77777777" w:rsidR="00197A36" w:rsidRPr="00414F32" w:rsidRDefault="00197A36" w:rsidP="00414F32">
      <w:pPr>
        <w:spacing w:after="0"/>
        <w:rPr>
          <w:rFonts w:ascii="Times New Roman" w:hAnsi="Times New Roman" w:cs="Times New Roman"/>
          <w:sz w:val="24"/>
          <w:szCs w:val="24"/>
        </w:rPr>
      </w:pPr>
    </w:p>
    <w:p w14:paraId="0F1B92D4"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FDC874A" w14:textId="77777777" w:rsidR="00414F32" w:rsidRDefault="00414F32" w:rsidP="00414F32">
      <w:pPr>
        <w:spacing w:after="0"/>
        <w:rPr>
          <w:rFonts w:ascii="Times New Roman" w:hAnsi="Times New Roman" w:cs="Times New Roman"/>
          <w:sz w:val="24"/>
          <w:szCs w:val="24"/>
        </w:rPr>
      </w:pPr>
    </w:p>
    <w:p w14:paraId="3A3EE52B" w14:textId="77777777"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w:t>
      </w:r>
      <w:r w:rsidR="00251D43">
        <w:rPr>
          <w:rFonts w:ascii="Times New Roman" w:hAnsi="Times New Roman" w:cs="Times New Roman"/>
          <w:sz w:val="24"/>
          <w:szCs w:val="24"/>
        </w:rPr>
        <w:t>R</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19EA80CF" w14:textId="77777777" w:rsidR="00C27D56" w:rsidRDefault="00C27D56" w:rsidP="00414F32">
      <w:pPr>
        <w:spacing w:after="0"/>
        <w:rPr>
          <w:rFonts w:ascii="Times New Roman" w:hAnsi="Times New Roman" w:cs="Times New Roman"/>
          <w:sz w:val="24"/>
          <w:szCs w:val="24"/>
        </w:rPr>
      </w:pPr>
    </w:p>
    <w:p w14:paraId="545C450A"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72D1612E" w14:textId="77777777" w:rsidR="00197A36" w:rsidRPr="00414F32" w:rsidRDefault="00197A36" w:rsidP="00414F32">
      <w:pPr>
        <w:spacing w:after="0"/>
        <w:rPr>
          <w:rFonts w:ascii="Times New Roman" w:hAnsi="Times New Roman" w:cs="Times New Roman"/>
          <w:sz w:val="24"/>
          <w:szCs w:val="24"/>
        </w:rPr>
      </w:pPr>
    </w:p>
    <w:p w14:paraId="658A05AA"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7B083095" w14:textId="77777777" w:rsidR="00970FE4" w:rsidRDefault="00970FE4" w:rsidP="0057700F">
      <w:pPr>
        <w:spacing w:after="0"/>
        <w:rPr>
          <w:rFonts w:ascii="Times New Roman" w:hAnsi="Times New Roman" w:cs="Times New Roman"/>
          <w:sz w:val="24"/>
          <w:szCs w:val="24"/>
        </w:rPr>
      </w:pPr>
    </w:p>
    <w:p w14:paraId="043CBE91" w14:textId="77777777" w:rsidR="00414F32" w:rsidRPr="007A2F92" w:rsidRDefault="000F24CD" w:rsidP="007A2F92">
      <w:pPr>
        <w:spacing w:after="0"/>
        <w:rPr>
          <w:rFonts w:ascii="Times New Roman" w:hAnsi="Times New Roman" w:cs="Times New Roman"/>
          <w:sz w:val="24"/>
          <w:szCs w:val="24"/>
        </w:rPr>
      </w:pPr>
      <w:r>
        <w:rPr>
          <w:rFonts w:ascii="Times New Roman" w:hAnsi="Times New Roman" w:cs="Times New Roman"/>
          <w:sz w:val="24"/>
          <w:szCs w:val="24"/>
        </w:rPr>
        <w:t>T</w:t>
      </w:r>
      <w:r w:rsidR="00197A36" w:rsidRPr="00197A36">
        <w:rPr>
          <w:rFonts w:ascii="Times New Roman" w:hAnsi="Times New Roman" w:cs="Times New Roman"/>
          <w:sz w:val="24"/>
          <w:szCs w:val="24"/>
        </w:rPr>
        <w:t>he</w:t>
      </w:r>
      <w:r w:rsidR="00482CA1">
        <w:rPr>
          <w:rFonts w:ascii="Times New Roman" w:hAnsi="Times New Roman" w:cs="Times New Roman"/>
          <w:sz w:val="24"/>
          <w:szCs w:val="24"/>
        </w:rPr>
        <w:t>re are no exceptions.</w:t>
      </w:r>
    </w:p>
    <w:sectPr w:rsidR="00414F32" w:rsidRPr="007A2F92" w:rsidSect="007861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20798" w14:textId="77777777" w:rsidR="007D1FD5" w:rsidRDefault="007D1FD5" w:rsidP="00FD66F1">
      <w:pPr>
        <w:spacing w:after="0" w:line="240" w:lineRule="auto"/>
      </w:pPr>
      <w:r>
        <w:separator/>
      </w:r>
    </w:p>
  </w:endnote>
  <w:endnote w:type="continuationSeparator" w:id="0">
    <w:p w14:paraId="2D118760" w14:textId="77777777" w:rsidR="007D1FD5" w:rsidRDefault="007D1FD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2FF2CFF7" w14:textId="77777777" w:rsidR="00611B07" w:rsidRPr="00DD79FB" w:rsidRDefault="00611B0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886543">
          <w:rPr>
            <w:rFonts w:ascii="Times New Roman" w:hAnsi="Times New Roman" w:cs="Times New Roman"/>
            <w:noProof/>
          </w:rPr>
          <w:t>1</w:t>
        </w:r>
        <w:r w:rsidRPr="00DD79FB">
          <w:rPr>
            <w:rFonts w:ascii="Times New Roman" w:hAnsi="Times New Roman" w:cs="Times New Roman"/>
            <w:noProof/>
          </w:rPr>
          <w:fldChar w:fldCharType="end"/>
        </w:r>
      </w:p>
    </w:sdtContent>
  </w:sdt>
  <w:p w14:paraId="1121088E" w14:textId="77777777" w:rsidR="00611B07" w:rsidRDefault="00611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89A17" w14:textId="77777777" w:rsidR="007D1FD5" w:rsidRDefault="007D1FD5" w:rsidP="00FD66F1">
      <w:pPr>
        <w:spacing w:after="0" w:line="240" w:lineRule="auto"/>
      </w:pPr>
      <w:r>
        <w:separator/>
      </w:r>
    </w:p>
  </w:footnote>
  <w:footnote w:type="continuationSeparator" w:id="0">
    <w:p w14:paraId="6B2C29DD" w14:textId="77777777" w:rsidR="007D1FD5" w:rsidRDefault="007D1FD5" w:rsidP="00FD66F1">
      <w:pPr>
        <w:spacing w:after="0" w:line="240" w:lineRule="auto"/>
      </w:pPr>
      <w:r>
        <w:continuationSeparator/>
      </w:r>
    </w:p>
  </w:footnote>
  <w:footnote w:id="1">
    <w:p w14:paraId="203518C2" w14:textId="77777777" w:rsidR="00611B07" w:rsidRPr="009F23E0" w:rsidRDefault="00611B07" w:rsidP="009F23E0">
      <w:pPr>
        <w:pStyle w:val="FootnoteText"/>
      </w:pPr>
      <w:r w:rsidRPr="009F23E0">
        <w:rPr>
          <w:rStyle w:val="FootnoteReference"/>
        </w:rPr>
        <w:footnoteRef/>
      </w:r>
      <w:r w:rsidRPr="009F23E0">
        <w:t xml:space="preserve"> BAL is not an acronym. Rather, it is a prefix that denotes reliability standards related to “Resource and Demand Balancing”.</w:t>
      </w:r>
    </w:p>
  </w:footnote>
  <w:footnote w:id="2">
    <w:p w14:paraId="30038F69" w14:textId="77777777" w:rsidR="00611B07" w:rsidRPr="009F23E0" w:rsidRDefault="00611B07" w:rsidP="009F23E0">
      <w:pPr>
        <w:pStyle w:val="FootnoteText"/>
      </w:pPr>
      <w:r w:rsidRPr="009F23E0">
        <w:rPr>
          <w:rStyle w:val="FootnoteReference"/>
        </w:rPr>
        <w:footnoteRef/>
      </w:r>
      <w:r w:rsidRPr="009F23E0">
        <w:t xml:space="preserve"> The </w:t>
      </w:r>
      <w:r w:rsidR="00832C80">
        <w:t>Final Rule</w:t>
      </w:r>
      <w:r w:rsidR="00193A0F">
        <w:t xml:space="preserve"> </w:t>
      </w:r>
      <w:r w:rsidRPr="009F23E0">
        <w:t xml:space="preserve">is posted on FERC’s eLibrary at </w:t>
      </w:r>
      <w:hyperlink r:id="rId1" w:history="1">
        <w:r w:rsidR="00832C80" w:rsidRPr="00FE1D1A">
          <w:rPr>
            <w:rStyle w:val="Hyperlink"/>
          </w:rPr>
          <w:t>https://elibrary.ferc.gov/idmws/common/OpenNat.asp?fileID=14469204</w:t>
        </w:r>
      </w:hyperlink>
      <w:r w:rsidR="00832C80">
        <w:t xml:space="preserve"> </w:t>
      </w:r>
      <w:r w:rsidRPr="009F23E0">
        <w:t xml:space="preserve">and included in Supplementary Documents in reginfo.gov and ROCIS. </w:t>
      </w:r>
    </w:p>
  </w:footnote>
  <w:footnote w:id="3">
    <w:p w14:paraId="13A18D2F" w14:textId="77777777" w:rsidR="0021357B" w:rsidRDefault="0021357B">
      <w:pPr>
        <w:pStyle w:val="FootnoteText"/>
      </w:pPr>
      <w:r>
        <w:rPr>
          <w:rStyle w:val="FootnoteReference"/>
        </w:rPr>
        <w:footnoteRef/>
      </w:r>
      <w:r>
        <w:t xml:space="preserve"> The original standards in Order 693 were included in FERC-725A (OMB Control No. 1902-0244).</w:t>
      </w:r>
    </w:p>
  </w:footnote>
  <w:footnote w:id="4">
    <w:p w14:paraId="37B1F5FA" w14:textId="77777777" w:rsidR="00611B07" w:rsidRPr="009F23E0" w:rsidRDefault="00611B07" w:rsidP="009F23E0">
      <w:pPr>
        <w:pStyle w:val="FootnoteText"/>
      </w:pPr>
      <w:r w:rsidRPr="009F23E0">
        <w:rPr>
          <w:rStyle w:val="FootnoteReference"/>
        </w:rPr>
        <w:footnoteRef/>
      </w:r>
      <w:r w:rsidRPr="009F23E0">
        <w:t xml:space="preserve"> 21</w:t>
      </w:r>
      <w:r w:rsidR="005F4FB2" w:rsidRPr="009F23E0">
        <w:t>.73</w:t>
      </w:r>
      <w:r w:rsidRPr="009F23E0">
        <w:t>% of affected entities</w:t>
      </w:r>
    </w:p>
  </w:footnote>
  <w:footnote w:id="5">
    <w:p w14:paraId="4136509C" w14:textId="77777777" w:rsidR="00611B07" w:rsidRPr="009F23E0" w:rsidRDefault="00611B07" w:rsidP="009F23E0">
      <w:pPr>
        <w:pStyle w:val="FootnoteText"/>
      </w:pPr>
      <w:r w:rsidRPr="009F23E0">
        <w:rPr>
          <w:rStyle w:val="FootnoteReference"/>
        </w:rPr>
        <w:footnoteRef/>
      </w:r>
      <w:r w:rsidRPr="009F23E0">
        <w:t xml:space="preserve"> </w:t>
      </w:r>
      <w:r w:rsidR="002F4CC4">
        <w:t xml:space="preserve">NERC Rules of Procedure Sections 507 and 508: </w:t>
      </w:r>
      <w:hyperlink r:id="rId2" w:history="1">
        <w:r w:rsidRPr="009F23E0">
          <w:rPr>
            <w:rStyle w:val="Hyperlink"/>
          </w:rPr>
          <w:t>http://www.nerc.com/FilingsOrders/us/RuleOfProcedureDL/NERC_ROP_Effective_20140701_updated_20140602%20(updated).pdf</w:t>
        </w:r>
      </w:hyperlink>
    </w:p>
  </w:footnote>
  <w:footnote w:id="6">
    <w:p w14:paraId="5BBF53E0" w14:textId="77777777" w:rsidR="00D249B5" w:rsidRDefault="00D249B5">
      <w:pPr>
        <w:pStyle w:val="FootnoteText"/>
      </w:pPr>
      <w:r>
        <w:rPr>
          <w:rStyle w:val="FootnoteReference"/>
        </w:rPr>
        <w:footnoteRef/>
      </w:r>
      <w:r>
        <w:t xml:space="preserve"> The NERC “Standard Processes Manual” which describes the process for developing Reliability Standards is posted at </w:t>
      </w:r>
      <w:hyperlink r:id="rId3" w:history="1">
        <w:r w:rsidRPr="00614C2B">
          <w:rPr>
            <w:rStyle w:val="Hyperlink"/>
          </w:rPr>
          <w:t>http://www.nerc.com/comm/SC/Documents/Appendix_3A_StandardsProcessesManual.pdf</w:t>
        </w:r>
      </w:hyperlink>
      <w:r>
        <w:t xml:space="preserve"> .</w:t>
      </w:r>
    </w:p>
  </w:footnote>
  <w:footnote w:id="7">
    <w:p w14:paraId="5601A518" w14:textId="77777777" w:rsidR="00611B07" w:rsidRPr="009F23E0" w:rsidRDefault="00611B07" w:rsidP="009F23E0">
      <w:pPr>
        <w:pStyle w:val="FootnoteText"/>
      </w:pPr>
      <w:r w:rsidRPr="009F23E0">
        <w:rPr>
          <w:rStyle w:val="FootnoteReference"/>
        </w:rPr>
        <w:footnoteRef/>
      </w:r>
      <w:r w:rsidRPr="009F23E0">
        <w:t xml:space="preserve"> Section 1502, Paragraph 2, available at NERCs website.</w:t>
      </w:r>
    </w:p>
  </w:footnote>
  <w:footnote w:id="8">
    <w:p w14:paraId="18277911" w14:textId="77777777" w:rsidR="009F23E0" w:rsidRPr="009F23E0" w:rsidRDefault="009F23E0" w:rsidP="009F23E0">
      <w:pPr>
        <w:pStyle w:val="FootnoteText"/>
      </w:pPr>
      <w:r w:rsidRPr="009F23E0">
        <w:rPr>
          <w:rStyle w:val="FootnoteReference"/>
        </w:rPr>
        <w:footnoteRef/>
      </w:r>
      <w:r w:rsidR="00832C80">
        <w:t xml:space="preserve"> </w:t>
      </w:r>
      <w:r w:rsidRPr="009F23E0">
        <w:t xml:space="preserve">Reliability Standard BAL-002-2 applies to balancing authorities and reserve sharing groups.  However, the burden associated with the balancing authorities complying with Requirements R1and R3 is not included within this table because </w:t>
      </w:r>
      <w:r w:rsidR="008F7E17">
        <w:t xml:space="preserve">that burden doesn’t change and </w:t>
      </w:r>
      <w:r w:rsidRPr="009F23E0">
        <w:t xml:space="preserve">the Commission </w:t>
      </w:r>
      <w:r w:rsidR="008F7E17">
        <w:t xml:space="preserve">already </w:t>
      </w:r>
      <w:r w:rsidRPr="009F23E0">
        <w:t>accounted for it under Commission-approved Reliability Standard BAL-002-1.</w:t>
      </w:r>
    </w:p>
  </w:footnote>
  <w:footnote w:id="9">
    <w:p w14:paraId="3D5C3181" w14:textId="77777777" w:rsidR="009F23E0" w:rsidRPr="009F23E0" w:rsidRDefault="009F23E0" w:rsidP="009F23E0">
      <w:pPr>
        <w:pStyle w:val="FootnoteText"/>
      </w:pPr>
      <w:r w:rsidRPr="009F23E0">
        <w:rPr>
          <w:rStyle w:val="FootnoteReference"/>
        </w:rPr>
        <w:footnoteRef/>
      </w:r>
      <w:r w:rsidRPr="009F23E0">
        <w:t xml:space="preserve"> The estimated hourly cost (salary plus benefits) of $96.57 is an average based on Bureau of Labor Statistics (BLS) information (available at </w:t>
      </w:r>
      <w:hyperlink r:id="rId4" w:history="1">
        <w:r w:rsidRPr="009F23E0">
          <w:t>http://www.bls.gov/oes/current/naics2_22.htm</w:t>
        </w:r>
      </w:hyperlink>
      <w:r w:rsidRPr="009F23E0">
        <w:t xml:space="preserve">) for an electrical engineer ($64.20/hour) and a lawyer ($128.94). </w:t>
      </w:r>
    </w:p>
  </w:footnote>
  <w:footnote w:id="10">
    <w:p w14:paraId="14E401C6" w14:textId="77777777" w:rsidR="009F23E0" w:rsidRPr="009F23E0" w:rsidRDefault="009F23E0" w:rsidP="009F23E0">
      <w:pPr>
        <w:pStyle w:val="FootnoteText"/>
      </w:pPr>
      <w:r w:rsidRPr="009F23E0">
        <w:rPr>
          <w:rStyle w:val="FootnoteReference"/>
        </w:rPr>
        <w:footnoteRef/>
      </w:r>
      <w:r w:rsidRPr="009F23E0">
        <w:t xml:space="preserve"> BA=Balancing Authority; RSG=Reserve Sharing Group.</w:t>
      </w:r>
    </w:p>
  </w:footnote>
  <w:footnote w:id="11">
    <w:p w14:paraId="0A24CF97" w14:textId="77777777" w:rsidR="00351EE9" w:rsidRDefault="00351EE9" w:rsidP="00351EE9">
      <w:pPr>
        <w:pStyle w:val="FootnoteText"/>
      </w:pPr>
      <w:r>
        <w:rPr>
          <w:rStyle w:val="FootnoteReference"/>
        </w:rPr>
        <w:footnoteRef/>
      </w:r>
      <w:r>
        <w:t xml:space="preserve"> This figure of 8 hours/response is an average of the hourly burden per response for Years 1-3.  Year 1 burden: 12 hours per response; Years 2-3: 6 hours/response. 12 hours + 6 hours + 6 hours = 24 hours ÷ 3 = 8 hours/response.</w:t>
      </w:r>
    </w:p>
  </w:footnote>
  <w:footnote w:id="12">
    <w:p w14:paraId="413C9259" w14:textId="77777777" w:rsidR="009F23E0" w:rsidRPr="009F23E0" w:rsidRDefault="009F23E0" w:rsidP="009F23E0">
      <w:pPr>
        <w:pStyle w:val="FootnoteText"/>
      </w:pPr>
      <w:r w:rsidRPr="009F23E0">
        <w:rPr>
          <w:rStyle w:val="FootnoteReference"/>
        </w:rPr>
        <w:footnoteRef/>
      </w:r>
      <w:r w:rsidRPr="009F23E0">
        <w:t xml:space="preserve"> $</w:t>
      </w:r>
      <w:r w:rsidRPr="006F64C9">
        <w:t>28/hour, based on a Commission staff study of record retention burden cost.</w:t>
      </w:r>
    </w:p>
  </w:footnote>
  <w:footnote w:id="13">
    <w:p w14:paraId="4BC7268A" w14:textId="77777777" w:rsidR="00611B07" w:rsidRPr="009F23E0" w:rsidRDefault="00611B07" w:rsidP="009F23E0">
      <w:pPr>
        <w:pStyle w:val="FootnoteText"/>
      </w:pPr>
      <w:r w:rsidRPr="009F23E0">
        <w:rPr>
          <w:rStyle w:val="FootnoteReference"/>
        </w:rPr>
        <w:footnoteRef/>
      </w:r>
      <w:r w:rsidRPr="009F23E0">
        <w:t xml:space="preserve"> Paperwork Reduction Act of 1995 (PRA)</w:t>
      </w:r>
    </w:p>
  </w:footnote>
  <w:footnote w:id="14">
    <w:p w14:paraId="321E5D8A" w14:textId="77777777" w:rsidR="00611B07" w:rsidRPr="009F23E0" w:rsidRDefault="00611B07" w:rsidP="009F23E0">
      <w:pPr>
        <w:pStyle w:val="FootnoteText"/>
      </w:pPr>
      <w:r w:rsidRPr="009F23E0">
        <w:rPr>
          <w:rStyle w:val="FootnoteReference"/>
        </w:rPr>
        <w:footnoteRef/>
      </w:r>
      <w:r w:rsidRPr="009F23E0">
        <w:t xml:space="preserve">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the </w:t>
      </w:r>
      <w:r w:rsidR="00832C80">
        <w:t>Final Rule</w:t>
      </w:r>
      <w:r w:rsidR="00D001CE" w:rsidRPr="009F23E0">
        <w:t xml:space="preserve"> </w:t>
      </w:r>
      <w:r w:rsidR="004F6780">
        <w:t>in Docket No. RM16-7)</w:t>
      </w:r>
      <w:r w:rsidRPr="009F23E0">
        <w:t>, and other changes to the collection</w:t>
      </w:r>
      <w:r w:rsidR="00240E8F">
        <w:t>, and publication of the associated notice in the Federal Register</w:t>
      </w:r>
      <w:r w:rsidRPr="009F23E0">
        <w:t xml:space="preserve">.  </w:t>
      </w:r>
    </w:p>
  </w:footnote>
  <w:footnote w:id="15">
    <w:p w14:paraId="51F75611" w14:textId="77777777" w:rsidR="00611B07" w:rsidRPr="009F23E0" w:rsidRDefault="00611B07" w:rsidP="009F23E0">
      <w:pPr>
        <w:pStyle w:val="FootnoteText"/>
      </w:pPr>
      <w:r w:rsidRPr="009F23E0">
        <w:rPr>
          <w:rStyle w:val="FootnoteReference"/>
        </w:rPr>
        <w:footnoteRef/>
      </w:r>
      <w:r w:rsidRPr="009F23E0">
        <w:t xml:space="preserve"> This increase is over and above the baseline burden (being retained at this time) of the existing standards included in FERC-725A (OMB Control Number: 1902-0268)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963B" w14:textId="77777777" w:rsidR="00611B07" w:rsidRPr="00DE413B" w:rsidRDefault="00611B07" w:rsidP="00963609">
    <w:pPr>
      <w:pStyle w:val="Header"/>
      <w:rPr>
        <w:rFonts w:ascii="Times New Roman" w:hAnsi="Times New Roman" w:cs="Times New Roman"/>
        <w:sz w:val="24"/>
        <w:szCs w:val="24"/>
      </w:rPr>
    </w:pPr>
    <w:r>
      <w:rPr>
        <w:rFonts w:ascii="Times New Roman" w:hAnsi="Times New Roman" w:cs="Times New Roman"/>
        <w:sz w:val="24"/>
        <w:szCs w:val="24"/>
      </w:rPr>
      <w:t>FERC-</w:t>
    </w:r>
    <w:r w:rsidRPr="00DE413B">
      <w:rPr>
        <w:rFonts w:ascii="Times New Roman" w:hAnsi="Times New Roman" w:cs="Times New Roman"/>
        <w:sz w:val="24"/>
        <w:szCs w:val="24"/>
      </w:rPr>
      <w:t>725R (OMB Control Number: 1902-0268)</w:t>
    </w:r>
  </w:p>
  <w:p w14:paraId="5D154633" w14:textId="77777777" w:rsidR="00611B07" w:rsidRDefault="00E5750C" w:rsidP="00AD3DE5">
    <w:pPr>
      <w:pStyle w:val="Header"/>
      <w:rPr>
        <w:rFonts w:ascii="Times New Roman" w:hAnsi="Times New Roman" w:cs="Times New Roman"/>
        <w:sz w:val="24"/>
        <w:szCs w:val="24"/>
      </w:rPr>
    </w:pPr>
    <w:r>
      <w:rPr>
        <w:rFonts w:ascii="Times New Roman" w:hAnsi="Times New Roman" w:cs="Times New Roman"/>
        <w:sz w:val="24"/>
        <w:szCs w:val="24"/>
      </w:rPr>
      <w:t>Final Rule</w:t>
    </w:r>
    <w:r w:rsidR="00611B07" w:rsidRPr="00DE413B">
      <w:rPr>
        <w:rFonts w:ascii="Times New Roman" w:hAnsi="Times New Roman" w:cs="Times New Roman"/>
        <w:sz w:val="24"/>
        <w:szCs w:val="24"/>
      </w:rPr>
      <w:t xml:space="preserve"> (issued </w:t>
    </w:r>
    <w:r>
      <w:rPr>
        <w:rFonts w:ascii="Times New Roman" w:hAnsi="Times New Roman" w:cs="Times New Roman"/>
        <w:sz w:val="24"/>
        <w:szCs w:val="24"/>
      </w:rPr>
      <w:t>1/19/2017</w:t>
    </w:r>
    <w:r w:rsidR="00611B07" w:rsidRPr="00DE413B">
      <w:rPr>
        <w:rFonts w:ascii="Times New Roman" w:hAnsi="Times New Roman" w:cs="Times New Roman"/>
        <w:sz w:val="24"/>
        <w:szCs w:val="24"/>
      </w:rPr>
      <w:t>) in Docket</w:t>
    </w:r>
    <w:r w:rsidR="007345D3">
      <w:rPr>
        <w:rFonts w:ascii="Times New Roman" w:hAnsi="Times New Roman" w:cs="Times New Roman"/>
        <w:sz w:val="24"/>
        <w:szCs w:val="24"/>
      </w:rPr>
      <w:t xml:space="preserve"> No. RM16-7</w:t>
    </w:r>
    <w:r w:rsidR="00611B07" w:rsidRPr="00CE2CDA">
      <w:rPr>
        <w:rFonts w:ascii="Times New Roman" w:hAnsi="Times New Roman" w:cs="Times New Roman"/>
        <w:sz w:val="24"/>
        <w:szCs w:val="24"/>
      </w:rPr>
      <w:t>-000</w:t>
    </w:r>
  </w:p>
  <w:p w14:paraId="1432FA9B" w14:textId="77777777" w:rsidR="00EE128E" w:rsidRDefault="00C711AF" w:rsidP="00AD3DE5">
    <w:pPr>
      <w:pStyle w:val="Header"/>
      <w:rPr>
        <w:rFonts w:ascii="Times New Roman" w:hAnsi="Times New Roman" w:cs="Times New Roman"/>
        <w:sz w:val="24"/>
        <w:szCs w:val="24"/>
      </w:rPr>
    </w:pPr>
    <w:r>
      <w:rPr>
        <w:rFonts w:ascii="Times New Roman" w:hAnsi="Times New Roman" w:cs="Times New Roman"/>
        <w:sz w:val="24"/>
        <w:szCs w:val="24"/>
      </w:rPr>
      <w:t>RIN: 1902-</w:t>
    </w:r>
    <w:r w:rsidR="00193A0F">
      <w:rPr>
        <w:rFonts w:ascii="Times New Roman" w:hAnsi="Times New Roman" w:cs="Times New Roman"/>
        <w:sz w:val="24"/>
        <w:szCs w:val="24"/>
      </w:rPr>
      <w:t>AF21</w:t>
    </w:r>
  </w:p>
  <w:p w14:paraId="7E2F60AC" w14:textId="7A9C9719" w:rsidR="009209BC" w:rsidRDefault="009209BC" w:rsidP="00AD3DE5">
    <w:pPr>
      <w:pStyle w:val="Header"/>
      <w:rPr>
        <w:rFonts w:ascii="Times New Roman" w:hAnsi="Times New Roman" w:cs="Times New Roman"/>
        <w:sz w:val="24"/>
        <w:szCs w:val="24"/>
      </w:rPr>
    </w:pPr>
    <w:r>
      <w:rPr>
        <w:rFonts w:ascii="Times New Roman" w:hAnsi="Times New Roman" w:cs="Times New Roman"/>
        <w:sz w:val="24"/>
        <w:szCs w:val="24"/>
      </w:rPr>
      <w:t>[updated 3/16/2017]</w:t>
    </w:r>
  </w:p>
  <w:p w14:paraId="02C4CB41" w14:textId="77777777" w:rsidR="00611B07" w:rsidRDefault="00611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2E63"/>
    <w:rsid w:val="00004742"/>
    <w:rsid w:val="00022043"/>
    <w:rsid w:val="0002242D"/>
    <w:rsid w:val="0002567F"/>
    <w:rsid w:val="00035845"/>
    <w:rsid w:val="00041041"/>
    <w:rsid w:val="000431EF"/>
    <w:rsid w:val="00053BD8"/>
    <w:rsid w:val="00063143"/>
    <w:rsid w:val="000721A0"/>
    <w:rsid w:val="00073E23"/>
    <w:rsid w:val="00074158"/>
    <w:rsid w:val="00074DC8"/>
    <w:rsid w:val="0007636B"/>
    <w:rsid w:val="00076D8F"/>
    <w:rsid w:val="000864E3"/>
    <w:rsid w:val="0008710E"/>
    <w:rsid w:val="0008733C"/>
    <w:rsid w:val="0009272C"/>
    <w:rsid w:val="000B09AD"/>
    <w:rsid w:val="000B0C37"/>
    <w:rsid w:val="000B1D14"/>
    <w:rsid w:val="000B5CE7"/>
    <w:rsid w:val="000C4988"/>
    <w:rsid w:val="000D42A6"/>
    <w:rsid w:val="000D58F6"/>
    <w:rsid w:val="000E0C95"/>
    <w:rsid w:val="000E4246"/>
    <w:rsid w:val="000E5772"/>
    <w:rsid w:val="000F24CD"/>
    <w:rsid w:val="000F34E5"/>
    <w:rsid w:val="000F4112"/>
    <w:rsid w:val="000F41C9"/>
    <w:rsid w:val="001063A3"/>
    <w:rsid w:val="001078E9"/>
    <w:rsid w:val="001348AC"/>
    <w:rsid w:val="00137DB4"/>
    <w:rsid w:val="00143103"/>
    <w:rsid w:val="0015129F"/>
    <w:rsid w:val="00151F49"/>
    <w:rsid w:val="001700DE"/>
    <w:rsid w:val="00172386"/>
    <w:rsid w:val="0017533A"/>
    <w:rsid w:val="00177B9B"/>
    <w:rsid w:val="00177BBE"/>
    <w:rsid w:val="001800C1"/>
    <w:rsid w:val="00181727"/>
    <w:rsid w:val="00182143"/>
    <w:rsid w:val="00185730"/>
    <w:rsid w:val="001857F7"/>
    <w:rsid w:val="00193A0F"/>
    <w:rsid w:val="00193ADB"/>
    <w:rsid w:val="00197A36"/>
    <w:rsid w:val="001A05A0"/>
    <w:rsid w:val="001A4B2D"/>
    <w:rsid w:val="001A4FC2"/>
    <w:rsid w:val="001B3BF0"/>
    <w:rsid w:val="001C1170"/>
    <w:rsid w:val="001C1E51"/>
    <w:rsid w:val="001C5284"/>
    <w:rsid w:val="001E0B66"/>
    <w:rsid w:val="001F3F14"/>
    <w:rsid w:val="001F7BC2"/>
    <w:rsid w:val="0021357B"/>
    <w:rsid w:val="00215F2D"/>
    <w:rsid w:val="00221269"/>
    <w:rsid w:val="00235E83"/>
    <w:rsid w:val="00236674"/>
    <w:rsid w:val="00240E8F"/>
    <w:rsid w:val="00247B75"/>
    <w:rsid w:val="00251D43"/>
    <w:rsid w:val="00255F1F"/>
    <w:rsid w:val="00256836"/>
    <w:rsid w:val="0026674D"/>
    <w:rsid w:val="00272108"/>
    <w:rsid w:val="002779D9"/>
    <w:rsid w:val="00277BB8"/>
    <w:rsid w:val="00284511"/>
    <w:rsid w:val="0028531B"/>
    <w:rsid w:val="00296233"/>
    <w:rsid w:val="00297631"/>
    <w:rsid w:val="002A0D26"/>
    <w:rsid w:val="002A1294"/>
    <w:rsid w:val="002A2A5B"/>
    <w:rsid w:val="002A40A7"/>
    <w:rsid w:val="002A41B5"/>
    <w:rsid w:val="002B13E2"/>
    <w:rsid w:val="002B54E7"/>
    <w:rsid w:val="002C1BFB"/>
    <w:rsid w:val="002C210D"/>
    <w:rsid w:val="002C63E1"/>
    <w:rsid w:val="002D438A"/>
    <w:rsid w:val="002E3C5B"/>
    <w:rsid w:val="002E3DCD"/>
    <w:rsid w:val="002F4CC4"/>
    <w:rsid w:val="00316C42"/>
    <w:rsid w:val="003228C4"/>
    <w:rsid w:val="0032791F"/>
    <w:rsid w:val="003316E0"/>
    <w:rsid w:val="003410FA"/>
    <w:rsid w:val="00351EE9"/>
    <w:rsid w:val="00362710"/>
    <w:rsid w:val="00363B01"/>
    <w:rsid w:val="003800E6"/>
    <w:rsid w:val="0039318D"/>
    <w:rsid w:val="00393BCC"/>
    <w:rsid w:val="003967A4"/>
    <w:rsid w:val="003A17AE"/>
    <w:rsid w:val="003B0249"/>
    <w:rsid w:val="003B3B61"/>
    <w:rsid w:val="003D5A4D"/>
    <w:rsid w:val="003E465C"/>
    <w:rsid w:val="003F3C9A"/>
    <w:rsid w:val="003F3DB5"/>
    <w:rsid w:val="004139F1"/>
    <w:rsid w:val="00414F32"/>
    <w:rsid w:val="00416606"/>
    <w:rsid w:val="00417400"/>
    <w:rsid w:val="00423651"/>
    <w:rsid w:val="0042459F"/>
    <w:rsid w:val="00424DE0"/>
    <w:rsid w:val="004276A5"/>
    <w:rsid w:val="0044163A"/>
    <w:rsid w:val="00443588"/>
    <w:rsid w:val="0045480C"/>
    <w:rsid w:val="0045680D"/>
    <w:rsid w:val="004665F4"/>
    <w:rsid w:val="00466C57"/>
    <w:rsid w:val="004712CF"/>
    <w:rsid w:val="00482CA1"/>
    <w:rsid w:val="004A3059"/>
    <w:rsid w:val="004A58CB"/>
    <w:rsid w:val="004B043F"/>
    <w:rsid w:val="004B286D"/>
    <w:rsid w:val="004B7B3D"/>
    <w:rsid w:val="004C4C89"/>
    <w:rsid w:val="004C5E0E"/>
    <w:rsid w:val="004D7CB8"/>
    <w:rsid w:val="004E00E3"/>
    <w:rsid w:val="004E42D3"/>
    <w:rsid w:val="004E651C"/>
    <w:rsid w:val="004F459B"/>
    <w:rsid w:val="004F6780"/>
    <w:rsid w:val="004F6977"/>
    <w:rsid w:val="00510F69"/>
    <w:rsid w:val="00522F69"/>
    <w:rsid w:val="005320AE"/>
    <w:rsid w:val="0053287C"/>
    <w:rsid w:val="00540572"/>
    <w:rsid w:val="00541B4E"/>
    <w:rsid w:val="00541FBD"/>
    <w:rsid w:val="005421CA"/>
    <w:rsid w:val="005462B6"/>
    <w:rsid w:val="00547E41"/>
    <w:rsid w:val="00565307"/>
    <w:rsid w:val="00565CB1"/>
    <w:rsid w:val="00566CB0"/>
    <w:rsid w:val="0057031F"/>
    <w:rsid w:val="00570861"/>
    <w:rsid w:val="00571C5E"/>
    <w:rsid w:val="00576FDE"/>
    <w:rsid w:val="0057700F"/>
    <w:rsid w:val="00582E7E"/>
    <w:rsid w:val="00591BAD"/>
    <w:rsid w:val="005A00AD"/>
    <w:rsid w:val="005A2792"/>
    <w:rsid w:val="005A29F9"/>
    <w:rsid w:val="005B77CE"/>
    <w:rsid w:val="005C18F6"/>
    <w:rsid w:val="005C2FC7"/>
    <w:rsid w:val="005E2146"/>
    <w:rsid w:val="005F0306"/>
    <w:rsid w:val="005F1C3C"/>
    <w:rsid w:val="005F4FB2"/>
    <w:rsid w:val="00607351"/>
    <w:rsid w:val="00607B61"/>
    <w:rsid w:val="00611B07"/>
    <w:rsid w:val="006132D8"/>
    <w:rsid w:val="006166FA"/>
    <w:rsid w:val="00630A34"/>
    <w:rsid w:val="00633561"/>
    <w:rsid w:val="00637CE1"/>
    <w:rsid w:val="00642A26"/>
    <w:rsid w:val="00645164"/>
    <w:rsid w:val="00657790"/>
    <w:rsid w:val="00657A47"/>
    <w:rsid w:val="00664BC0"/>
    <w:rsid w:val="00674FD8"/>
    <w:rsid w:val="0068619C"/>
    <w:rsid w:val="0068681F"/>
    <w:rsid w:val="00690136"/>
    <w:rsid w:val="0069237F"/>
    <w:rsid w:val="0069693D"/>
    <w:rsid w:val="006B38A8"/>
    <w:rsid w:val="006B437C"/>
    <w:rsid w:val="006B6D60"/>
    <w:rsid w:val="006C10F1"/>
    <w:rsid w:val="006C66D3"/>
    <w:rsid w:val="006C68B9"/>
    <w:rsid w:val="006C71D3"/>
    <w:rsid w:val="006E3CFD"/>
    <w:rsid w:val="006E41DA"/>
    <w:rsid w:val="006F64C9"/>
    <w:rsid w:val="006F750C"/>
    <w:rsid w:val="00703161"/>
    <w:rsid w:val="0071141E"/>
    <w:rsid w:val="00711903"/>
    <w:rsid w:val="00716469"/>
    <w:rsid w:val="00720C5A"/>
    <w:rsid w:val="0072564F"/>
    <w:rsid w:val="00731C22"/>
    <w:rsid w:val="007345D3"/>
    <w:rsid w:val="007353C5"/>
    <w:rsid w:val="00736047"/>
    <w:rsid w:val="0074195A"/>
    <w:rsid w:val="007439F7"/>
    <w:rsid w:val="00761A02"/>
    <w:rsid w:val="0076397C"/>
    <w:rsid w:val="00773AEB"/>
    <w:rsid w:val="007849C5"/>
    <w:rsid w:val="00784CC7"/>
    <w:rsid w:val="0078612A"/>
    <w:rsid w:val="00787670"/>
    <w:rsid w:val="007A2F92"/>
    <w:rsid w:val="007A6142"/>
    <w:rsid w:val="007B193F"/>
    <w:rsid w:val="007C4934"/>
    <w:rsid w:val="007D1FD5"/>
    <w:rsid w:val="007E1F0A"/>
    <w:rsid w:val="007E220F"/>
    <w:rsid w:val="007E3C37"/>
    <w:rsid w:val="007E7C0F"/>
    <w:rsid w:val="0082479F"/>
    <w:rsid w:val="00832C80"/>
    <w:rsid w:val="00834C7F"/>
    <w:rsid w:val="008408BB"/>
    <w:rsid w:val="00847349"/>
    <w:rsid w:val="00855EC8"/>
    <w:rsid w:val="00856C0A"/>
    <w:rsid w:val="008619E1"/>
    <w:rsid w:val="00876F75"/>
    <w:rsid w:val="00886543"/>
    <w:rsid w:val="008925A8"/>
    <w:rsid w:val="00896C01"/>
    <w:rsid w:val="008974D9"/>
    <w:rsid w:val="008A21A4"/>
    <w:rsid w:val="008A52E9"/>
    <w:rsid w:val="008A7624"/>
    <w:rsid w:val="008B703B"/>
    <w:rsid w:val="008B7610"/>
    <w:rsid w:val="008C238C"/>
    <w:rsid w:val="008C288D"/>
    <w:rsid w:val="008C2F02"/>
    <w:rsid w:val="008D310F"/>
    <w:rsid w:val="008D5696"/>
    <w:rsid w:val="008D6E39"/>
    <w:rsid w:val="008E70CD"/>
    <w:rsid w:val="008F0825"/>
    <w:rsid w:val="008F7E17"/>
    <w:rsid w:val="00910205"/>
    <w:rsid w:val="00911FF4"/>
    <w:rsid w:val="00913A8B"/>
    <w:rsid w:val="009209BC"/>
    <w:rsid w:val="009214EF"/>
    <w:rsid w:val="00925502"/>
    <w:rsid w:val="00926EC5"/>
    <w:rsid w:val="0093102B"/>
    <w:rsid w:val="00935C6E"/>
    <w:rsid w:val="00937A89"/>
    <w:rsid w:val="009430EF"/>
    <w:rsid w:val="00944A32"/>
    <w:rsid w:val="00950ECA"/>
    <w:rsid w:val="00963609"/>
    <w:rsid w:val="00967D28"/>
    <w:rsid w:val="00970FE4"/>
    <w:rsid w:val="00971AB3"/>
    <w:rsid w:val="009771DA"/>
    <w:rsid w:val="00980A72"/>
    <w:rsid w:val="00991A7D"/>
    <w:rsid w:val="0099336E"/>
    <w:rsid w:val="009942F8"/>
    <w:rsid w:val="009947BB"/>
    <w:rsid w:val="009A19ED"/>
    <w:rsid w:val="009A30BD"/>
    <w:rsid w:val="009B1D7E"/>
    <w:rsid w:val="009B5DEC"/>
    <w:rsid w:val="009B61EA"/>
    <w:rsid w:val="009D1251"/>
    <w:rsid w:val="009D6BD3"/>
    <w:rsid w:val="009E1190"/>
    <w:rsid w:val="009E5E01"/>
    <w:rsid w:val="009E5E4D"/>
    <w:rsid w:val="009F23E0"/>
    <w:rsid w:val="00A0152A"/>
    <w:rsid w:val="00A02329"/>
    <w:rsid w:val="00A07663"/>
    <w:rsid w:val="00A1360C"/>
    <w:rsid w:val="00A17C21"/>
    <w:rsid w:val="00A247FF"/>
    <w:rsid w:val="00A276F5"/>
    <w:rsid w:val="00A35926"/>
    <w:rsid w:val="00A47FB4"/>
    <w:rsid w:val="00A5648B"/>
    <w:rsid w:val="00A61802"/>
    <w:rsid w:val="00A62953"/>
    <w:rsid w:val="00A71E14"/>
    <w:rsid w:val="00A72E7B"/>
    <w:rsid w:val="00A74137"/>
    <w:rsid w:val="00A74158"/>
    <w:rsid w:val="00A74659"/>
    <w:rsid w:val="00A76B45"/>
    <w:rsid w:val="00A80B47"/>
    <w:rsid w:val="00A81339"/>
    <w:rsid w:val="00A84D05"/>
    <w:rsid w:val="00A8570A"/>
    <w:rsid w:val="00A9186C"/>
    <w:rsid w:val="00A93F1B"/>
    <w:rsid w:val="00A95E88"/>
    <w:rsid w:val="00A96B65"/>
    <w:rsid w:val="00AB02E0"/>
    <w:rsid w:val="00AC274E"/>
    <w:rsid w:val="00AD16A3"/>
    <w:rsid w:val="00AD3DE5"/>
    <w:rsid w:val="00AD50EA"/>
    <w:rsid w:val="00AD559B"/>
    <w:rsid w:val="00AF19D9"/>
    <w:rsid w:val="00AF5F21"/>
    <w:rsid w:val="00B01AC9"/>
    <w:rsid w:val="00B05E0F"/>
    <w:rsid w:val="00B169FF"/>
    <w:rsid w:val="00B21AD8"/>
    <w:rsid w:val="00B27783"/>
    <w:rsid w:val="00B63BF9"/>
    <w:rsid w:val="00B67D38"/>
    <w:rsid w:val="00B71E33"/>
    <w:rsid w:val="00B7200D"/>
    <w:rsid w:val="00B74F04"/>
    <w:rsid w:val="00B837BA"/>
    <w:rsid w:val="00B9413E"/>
    <w:rsid w:val="00BA1C7D"/>
    <w:rsid w:val="00BA7C56"/>
    <w:rsid w:val="00BB3B2C"/>
    <w:rsid w:val="00BC1871"/>
    <w:rsid w:val="00BC2968"/>
    <w:rsid w:val="00BC31A2"/>
    <w:rsid w:val="00BD7446"/>
    <w:rsid w:val="00BE2C9F"/>
    <w:rsid w:val="00BF2816"/>
    <w:rsid w:val="00BF3FB4"/>
    <w:rsid w:val="00C01698"/>
    <w:rsid w:val="00C14FF5"/>
    <w:rsid w:val="00C1601C"/>
    <w:rsid w:val="00C27D56"/>
    <w:rsid w:val="00C30D75"/>
    <w:rsid w:val="00C35DFC"/>
    <w:rsid w:val="00C47527"/>
    <w:rsid w:val="00C510DD"/>
    <w:rsid w:val="00C55DC6"/>
    <w:rsid w:val="00C61E8F"/>
    <w:rsid w:val="00C711AF"/>
    <w:rsid w:val="00C85D6E"/>
    <w:rsid w:val="00C96C91"/>
    <w:rsid w:val="00CA495F"/>
    <w:rsid w:val="00CA59C3"/>
    <w:rsid w:val="00CB26E8"/>
    <w:rsid w:val="00CC0D08"/>
    <w:rsid w:val="00CC5C89"/>
    <w:rsid w:val="00CE2CDA"/>
    <w:rsid w:val="00CF0F8E"/>
    <w:rsid w:val="00CF6797"/>
    <w:rsid w:val="00CF759C"/>
    <w:rsid w:val="00D001CE"/>
    <w:rsid w:val="00D075A0"/>
    <w:rsid w:val="00D21D86"/>
    <w:rsid w:val="00D249B5"/>
    <w:rsid w:val="00D24BF7"/>
    <w:rsid w:val="00D269B1"/>
    <w:rsid w:val="00D27336"/>
    <w:rsid w:val="00D31CD6"/>
    <w:rsid w:val="00D32964"/>
    <w:rsid w:val="00D43F87"/>
    <w:rsid w:val="00D63739"/>
    <w:rsid w:val="00D750E8"/>
    <w:rsid w:val="00D76508"/>
    <w:rsid w:val="00D80FBD"/>
    <w:rsid w:val="00D83445"/>
    <w:rsid w:val="00D83746"/>
    <w:rsid w:val="00D84822"/>
    <w:rsid w:val="00D86DD2"/>
    <w:rsid w:val="00D87A60"/>
    <w:rsid w:val="00D87A76"/>
    <w:rsid w:val="00D9209B"/>
    <w:rsid w:val="00DA06F4"/>
    <w:rsid w:val="00DB55F4"/>
    <w:rsid w:val="00DB58D2"/>
    <w:rsid w:val="00DB6DC8"/>
    <w:rsid w:val="00DC4E36"/>
    <w:rsid w:val="00DD3A46"/>
    <w:rsid w:val="00DD7574"/>
    <w:rsid w:val="00DD79FB"/>
    <w:rsid w:val="00DE413B"/>
    <w:rsid w:val="00DF2B18"/>
    <w:rsid w:val="00DF4E23"/>
    <w:rsid w:val="00E11CA6"/>
    <w:rsid w:val="00E128C1"/>
    <w:rsid w:val="00E12A4B"/>
    <w:rsid w:val="00E13D58"/>
    <w:rsid w:val="00E14565"/>
    <w:rsid w:val="00E15F89"/>
    <w:rsid w:val="00E17F33"/>
    <w:rsid w:val="00E20612"/>
    <w:rsid w:val="00E23E64"/>
    <w:rsid w:val="00E25243"/>
    <w:rsid w:val="00E36246"/>
    <w:rsid w:val="00E423CF"/>
    <w:rsid w:val="00E456A0"/>
    <w:rsid w:val="00E52D63"/>
    <w:rsid w:val="00E5750C"/>
    <w:rsid w:val="00E636D7"/>
    <w:rsid w:val="00E70F74"/>
    <w:rsid w:val="00E864B3"/>
    <w:rsid w:val="00E866CE"/>
    <w:rsid w:val="00E87A4F"/>
    <w:rsid w:val="00E954EE"/>
    <w:rsid w:val="00EA219C"/>
    <w:rsid w:val="00EA2FAF"/>
    <w:rsid w:val="00EA5C58"/>
    <w:rsid w:val="00EB3E6F"/>
    <w:rsid w:val="00EC005D"/>
    <w:rsid w:val="00ED5560"/>
    <w:rsid w:val="00EE0C3A"/>
    <w:rsid w:val="00EE128E"/>
    <w:rsid w:val="00EF3400"/>
    <w:rsid w:val="00EF6D5E"/>
    <w:rsid w:val="00F00E4E"/>
    <w:rsid w:val="00F05A6A"/>
    <w:rsid w:val="00F12DC2"/>
    <w:rsid w:val="00F14038"/>
    <w:rsid w:val="00F142B1"/>
    <w:rsid w:val="00F152DF"/>
    <w:rsid w:val="00F160E8"/>
    <w:rsid w:val="00F23AFA"/>
    <w:rsid w:val="00F370B9"/>
    <w:rsid w:val="00F42935"/>
    <w:rsid w:val="00F515C1"/>
    <w:rsid w:val="00F55699"/>
    <w:rsid w:val="00F62674"/>
    <w:rsid w:val="00F65F0C"/>
    <w:rsid w:val="00F707CA"/>
    <w:rsid w:val="00F76B02"/>
    <w:rsid w:val="00F77257"/>
    <w:rsid w:val="00F81142"/>
    <w:rsid w:val="00F8440A"/>
    <w:rsid w:val="00F85870"/>
    <w:rsid w:val="00F86F5A"/>
    <w:rsid w:val="00F96167"/>
    <w:rsid w:val="00FA64E4"/>
    <w:rsid w:val="00FB1032"/>
    <w:rsid w:val="00FD196E"/>
    <w:rsid w:val="00FD66F1"/>
    <w:rsid w:val="00FE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B8F63"/>
  <w15:docId w15:val="{E641C177-5600-4B04-804C-CB48BE2C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comm/SC/Documents/Appendix_3A_StandardsProcessesManual.pdf" TargetMode="External"/><Relationship Id="rId2" Type="http://schemas.openxmlformats.org/officeDocument/2006/relationships/hyperlink" Target="http://www.nerc.com/FilingsOrders/us/RuleOfProcedureDL/NERC_ROP_Effective_20140701_updated_20140602%20(updated).pdf" TargetMode="External"/><Relationship Id="rId1" Type="http://schemas.openxmlformats.org/officeDocument/2006/relationships/hyperlink" Target="https://elibrary.ferc.gov/idmws/common/OpenNat.asp?fileID=14469204"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documentManagement>
    <Date xmlns="d6eefc7d-9817-4fa6-84d5-3bc009be21b8">2017-03-16T04:00:00+00:00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725R</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RM16-7</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DB787C23-03BD-4B5C-BD92-3CA3B712AEDB}">
  <ds:schemaRefs>
    <ds:schemaRef ds:uri="http://schemas.microsoft.com/office/2006/metadata/customXsn"/>
  </ds:schemaRefs>
</ds:datastoreItem>
</file>

<file path=customXml/itemProps3.xml><?xml version="1.0" encoding="utf-8"?>
<ds:datastoreItem xmlns:ds="http://schemas.openxmlformats.org/officeDocument/2006/customXml" ds:itemID="{C79D3C06-B5D3-458E-9673-B818BA230777}">
  <ds:schemaRefs>
    <ds:schemaRef ds:uri="Microsoft.SharePoint.Taxonomy.ContentTypeSync"/>
  </ds:schemaRefs>
</ds:datastoreItem>
</file>

<file path=customXml/itemProps4.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5.xml><?xml version="1.0" encoding="utf-8"?>
<ds:datastoreItem xmlns:ds="http://schemas.openxmlformats.org/officeDocument/2006/customXml" ds:itemID="{78E1B996-6C14-44C0-8BBC-9C3A73F0F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79B387-F40A-44D2-9ED5-FEF37E3B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RM16-7-000 Final Rule supporting statement (3-16-2017)</vt:lpstr>
    </vt:vector>
  </TitlesOfParts>
  <Company>FERC</Company>
  <LinksUpToDate>false</LinksUpToDate>
  <CharactersWithSpaces>18405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RM16-7-000 Final Rule supporting statement (3-16-2017)</dc:title>
  <dc:creator>ferc</dc:creator>
  <cp:lastModifiedBy>Michele Chambers</cp:lastModifiedBy>
  <cp:revision>2</cp:revision>
  <cp:lastPrinted>2016-05-25T15:49:00Z</cp:lastPrinted>
  <dcterms:created xsi:type="dcterms:W3CDTF">2017-06-19T20:04:00Z</dcterms:created>
  <dcterms:modified xsi:type="dcterms:W3CDTF">2017-06-19T20:04:00Z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AdHocReviewCycleID">
    <vt:i4>911165345</vt:i4>
  </property>
  <property fmtid="{D5CDD505-2E9C-101B-9397-08002B2CF9AE}" pid="4" name="_NewReviewCycle">
    <vt:lpwstr/>
  </property>
  <property fmtid="{D5CDD505-2E9C-101B-9397-08002B2CF9AE}" pid="5" name="_EmailSubject">
    <vt:lpwstr>FERC-725R (Final Rule in RM16-7) FW: RM16-7 supporting statement</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