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BF805" w14:textId="77777777" w:rsidR="007D5D18" w:rsidRPr="00EC4BC4" w:rsidRDefault="007D5D18" w:rsidP="007D5D18">
      <w:pPr>
        <w:jc w:val="center"/>
      </w:pPr>
      <w:bookmarkStart w:id="0" w:name="_GoBack"/>
      <w:bookmarkEnd w:id="0"/>
      <w:smartTag w:uri="urn:schemas-microsoft-com:office:smarttags" w:element="country-region">
        <w:smartTag w:uri="urn:schemas-microsoft-com:office:smarttags" w:element="place">
          <w:r w:rsidRPr="00EC4BC4">
            <w:t>UNITED STATES OF AMERICA</w:t>
          </w:r>
        </w:smartTag>
      </w:smartTag>
    </w:p>
    <w:p w14:paraId="43A69196" w14:textId="77777777" w:rsidR="007D5D18" w:rsidRPr="00EC4BC4" w:rsidRDefault="007D5D18" w:rsidP="007D5D18">
      <w:pPr>
        <w:jc w:val="center"/>
      </w:pPr>
      <w:r w:rsidRPr="00EC4BC4">
        <w:t>FEDERAL ENERGY REGULATORY COMMISSION</w:t>
      </w:r>
    </w:p>
    <w:p w14:paraId="682C030D" w14:textId="77777777" w:rsidR="007D5D18" w:rsidRPr="00EC4BC4" w:rsidRDefault="007D5D18" w:rsidP="007D5D18"/>
    <w:p w14:paraId="7B7E0893" w14:textId="77777777" w:rsidR="007D5D18" w:rsidRPr="00EC4BC4" w:rsidRDefault="007D5D18" w:rsidP="007D5D18">
      <w:pPr>
        <w:jc w:val="center"/>
      </w:pPr>
      <w:r w:rsidRPr="00EC4BC4">
        <w:t>[Docket No. IC17-1</w:t>
      </w:r>
      <w:r>
        <w:t>2</w:t>
      </w:r>
      <w:r w:rsidRPr="00EC4BC4">
        <w:t>-000]</w:t>
      </w:r>
    </w:p>
    <w:p w14:paraId="2D1BDD19" w14:textId="77777777" w:rsidR="007D5D18" w:rsidRPr="00EC4BC4" w:rsidRDefault="007D5D18" w:rsidP="007D5D18"/>
    <w:p w14:paraId="20FDDEED" w14:textId="77777777" w:rsidR="007D5D18" w:rsidRDefault="007D5D18" w:rsidP="007D5D18">
      <w:pPr>
        <w:jc w:val="center"/>
      </w:pPr>
      <w:r w:rsidRPr="00EC4BC4">
        <w:t>COMMISSION INFORMATION COLLECTION ACTIVITIES</w:t>
      </w:r>
    </w:p>
    <w:p w14:paraId="465DF194" w14:textId="77777777" w:rsidR="007D5D18" w:rsidRDefault="007D5D18" w:rsidP="007D5D18">
      <w:pPr>
        <w:jc w:val="center"/>
      </w:pPr>
      <w:r w:rsidRPr="00EC4BC4">
        <w:t xml:space="preserve"> (FERC</w:t>
      </w:r>
      <w:r>
        <w:t>-523</w:t>
      </w:r>
      <w:r w:rsidRPr="00EC4BC4">
        <w:t xml:space="preserve">); </w:t>
      </w:r>
    </w:p>
    <w:p w14:paraId="1D099F8C" w14:textId="77777777" w:rsidR="007D5D18" w:rsidRPr="00EC4BC4" w:rsidRDefault="007D5D18" w:rsidP="007D5D18">
      <w:pPr>
        <w:jc w:val="center"/>
      </w:pPr>
      <w:r w:rsidRPr="00EC4BC4">
        <w:t>COMMENT REQUEST</w:t>
      </w:r>
      <w:r>
        <w:t>; REVISION AND EXTENSION</w:t>
      </w:r>
      <w:r w:rsidRPr="00EC4BC4">
        <w:t xml:space="preserve">  </w:t>
      </w:r>
    </w:p>
    <w:p w14:paraId="153A7D1A" w14:textId="77777777" w:rsidR="007D5D18" w:rsidRPr="00EC4BC4" w:rsidRDefault="007D5D18" w:rsidP="007D5D18"/>
    <w:p w14:paraId="337E87CB" w14:textId="4FC2F519" w:rsidR="00092A8F" w:rsidRDefault="00092A8F" w:rsidP="00092A8F">
      <w:pPr>
        <w:jc w:val="center"/>
      </w:pPr>
      <w:r w:rsidRPr="00092A8F">
        <w:t>(July 20, 2017)</w:t>
      </w:r>
    </w:p>
    <w:p w14:paraId="04BCF83C" w14:textId="77777777" w:rsidR="007D5D18" w:rsidRDefault="007D5D18" w:rsidP="007D5D18"/>
    <w:p w14:paraId="608BD243" w14:textId="77777777" w:rsidR="007D5D18" w:rsidRDefault="007D5D18" w:rsidP="007D5D18">
      <w:pPr>
        <w:spacing w:line="480" w:lineRule="auto"/>
      </w:pPr>
      <w:r w:rsidRPr="00C0217E">
        <w:rPr>
          <w:b/>
        </w:rPr>
        <w:t>AGENCY:</w:t>
      </w:r>
      <w:r>
        <w:t xml:space="preserve">  Federal Energy Regulatory Commission.</w:t>
      </w:r>
    </w:p>
    <w:p w14:paraId="6F0E4494" w14:textId="77777777" w:rsidR="007D5D18" w:rsidRDefault="007D5D18" w:rsidP="007D5D18">
      <w:pPr>
        <w:spacing w:line="480" w:lineRule="auto"/>
      </w:pPr>
      <w:r w:rsidRPr="00C0217E">
        <w:rPr>
          <w:b/>
        </w:rPr>
        <w:t>ACTION:</w:t>
      </w:r>
      <w:r>
        <w:t xml:space="preserve">  Comment request.</w:t>
      </w:r>
    </w:p>
    <w:p w14:paraId="1169E5B8" w14:textId="77777777" w:rsidR="0052545C" w:rsidRDefault="007D5D18" w:rsidP="007D5D18">
      <w:pPr>
        <w:spacing w:line="480" w:lineRule="auto"/>
      </w:pPr>
      <w:r w:rsidRPr="00C0217E">
        <w:rPr>
          <w:b/>
        </w:rPr>
        <w:t>SUMMARY:</w:t>
      </w:r>
      <w:r>
        <w:t xml:space="preserve">  In compliance with the requirements of the Paperwork Reduction Act of 1995,</w:t>
      </w:r>
      <w:r w:rsidRPr="000253DB">
        <w:rPr>
          <w:szCs w:val="26"/>
        </w:rPr>
        <w:t xml:space="preserve"> </w:t>
      </w:r>
      <w:r>
        <w:t>44 U</w:t>
      </w:r>
      <w:r w:rsidRPr="000253DB">
        <w:t>SC 3507</w:t>
      </w:r>
      <w:r>
        <w:t xml:space="preserve">(a)(1)(D), the Federal Energy Regulatory Commission (Commission or FERC) is submitting its information collection FERC-523, </w:t>
      </w:r>
      <w:r>
        <w:rPr>
          <w:szCs w:val="26"/>
        </w:rPr>
        <w:t>(</w:t>
      </w:r>
      <w:r w:rsidRPr="003B29FB">
        <w:rPr>
          <w:color w:val="000000"/>
          <w:szCs w:val="26"/>
        </w:rPr>
        <w:t>Application for Authorization for the Issuance of Securities or the Assumption of Liabilities</w:t>
      </w:r>
      <w:r>
        <w:rPr>
          <w:color w:val="000000"/>
          <w:szCs w:val="26"/>
        </w:rPr>
        <w:t>)</w:t>
      </w:r>
      <w:r w:rsidRPr="007D5D18">
        <w:t xml:space="preserve"> </w:t>
      </w:r>
      <w:r>
        <w:t xml:space="preserve">to the Office of Management and Budget (OMB) for review of the information collection requirements.  Any interested person may file comments directly with OMB </w:t>
      </w:r>
      <w:r w:rsidRPr="00EC4BC4">
        <w:t>and should address a copy of those comments to the Commission as explained below.  The Commission previously issued a Notice in the Federal Register (82 FR</w:t>
      </w:r>
      <w:r>
        <w:t xml:space="preserve"> 20475, 5/2/2017) requesting public comments.  </w:t>
      </w:r>
      <w:r>
        <w:rPr>
          <w:color w:val="000000"/>
          <w:szCs w:val="26"/>
        </w:rPr>
        <w:t xml:space="preserve"> </w:t>
      </w:r>
      <w:r w:rsidRPr="00EC4BC4">
        <w:t xml:space="preserve">The Commission received </w:t>
      </w:r>
      <w:r>
        <w:t xml:space="preserve">no </w:t>
      </w:r>
      <w:r w:rsidRPr="00EC4BC4">
        <w:t>comment</w:t>
      </w:r>
      <w:r>
        <w:t>s</w:t>
      </w:r>
      <w:r w:rsidRPr="00EC4BC4">
        <w:t xml:space="preserve"> on FERC-5</w:t>
      </w:r>
      <w:r>
        <w:t>23</w:t>
      </w:r>
      <w:r w:rsidRPr="00EC4BC4">
        <w:t xml:space="preserve"> and is making this notation in its submittal to OMB.  </w:t>
      </w:r>
    </w:p>
    <w:p w14:paraId="269E7260" w14:textId="0C90FF7E" w:rsidR="007D5D18" w:rsidRDefault="007D5D18" w:rsidP="007D5D18">
      <w:pPr>
        <w:spacing w:line="480" w:lineRule="auto"/>
      </w:pPr>
      <w:r w:rsidRPr="00F04F4C">
        <w:rPr>
          <w:b/>
        </w:rPr>
        <w:t>DATES:</w:t>
      </w:r>
      <w:r>
        <w:rPr>
          <w:b/>
        </w:rPr>
        <w:t xml:space="preserve"> </w:t>
      </w:r>
      <w:r>
        <w:t xml:space="preserve"> Comments on the collection of information are due by [</w:t>
      </w:r>
      <w:r w:rsidR="00092A8F" w:rsidRPr="00092A8F">
        <w:rPr>
          <w:b/>
        </w:rPr>
        <w:t xml:space="preserve">Insert date </w:t>
      </w:r>
      <w:r w:rsidR="00092A8F">
        <w:rPr>
          <w:b/>
        </w:rPr>
        <w:t xml:space="preserve">that is </w:t>
      </w:r>
      <w:r w:rsidRPr="009A4F6E">
        <w:rPr>
          <w:b/>
        </w:rPr>
        <w:t>30 days after publication of this Notice in the Federal Register</w:t>
      </w:r>
      <w:r>
        <w:t xml:space="preserve">].   </w:t>
      </w:r>
    </w:p>
    <w:p w14:paraId="27969F00" w14:textId="77777777" w:rsidR="007D5D18" w:rsidRPr="00EC4BC4" w:rsidRDefault="007D5D18" w:rsidP="007D5D18">
      <w:pPr>
        <w:spacing w:line="480" w:lineRule="auto"/>
      </w:pPr>
      <w:r w:rsidRPr="00EC4BC4">
        <w:rPr>
          <w:b/>
        </w:rPr>
        <w:t>ADDRESSES:</w:t>
      </w:r>
      <w:r w:rsidRPr="00EC4BC4">
        <w:t xml:space="preserve">  Comments filed with OMB, identified by the OMB Control No. 1902-0</w:t>
      </w:r>
      <w:r>
        <w:t>043</w:t>
      </w:r>
      <w:r w:rsidRPr="00EC4BC4">
        <w:t xml:space="preserve">, should be sent via email to the Office of Information and Regulatory Affairs: </w:t>
      </w:r>
      <w:hyperlink r:id="rId12" w:history="1">
        <w:r w:rsidRPr="00EC4BC4">
          <w:rPr>
            <w:rStyle w:val="Hyperlink"/>
          </w:rPr>
          <w:t>oira_submission@omb.gov</w:t>
        </w:r>
      </w:hyperlink>
      <w:r w:rsidRPr="00EC4BC4">
        <w:t>.  Attention: Federal Energy Regulatory Commission Desk Officer.  The Desk Officer may also be reached via telephone at 202-395-4718.</w:t>
      </w:r>
    </w:p>
    <w:p w14:paraId="585E7979" w14:textId="77777777" w:rsidR="007D5D18" w:rsidRDefault="007D5D18" w:rsidP="007D5D18">
      <w:pPr>
        <w:spacing w:line="480" w:lineRule="auto"/>
        <w:ind w:firstLine="720"/>
      </w:pPr>
      <w:r w:rsidRPr="00EC4BC4">
        <w:t>A copy of the comments should also be sent to the Commission, in Docket No. IC17-1</w:t>
      </w:r>
      <w:r>
        <w:t>2</w:t>
      </w:r>
      <w:r w:rsidRPr="00EC4BC4">
        <w:t>-000, by either of the following methods:</w:t>
      </w:r>
    </w:p>
    <w:p w14:paraId="3B66F2D2" w14:textId="77777777" w:rsidR="007D5D18" w:rsidRDefault="007D5D18" w:rsidP="007D5D18">
      <w:pPr>
        <w:numPr>
          <w:ilvl w:val="0"/>
          <w:numId w:val="1"/>
        </w:numPr>
        <w:tabs>
          <w:tab w:val="clear" w:pos="1500"/>
          <w:tab w:val="num" w:pos="1080"/>
        </w:tabs>
        <w:spacing w:line="480" w:lineRule="auto"/>
        <w:ind w:left="720" w:firstLine="0"/>
      </w:pPr>
      <w:r>
        <w:t xml:space="preserve">eFiling at Commission’s Web Site: </w:t>
      </w:r>
      <w:hyperlink r:id="rId13" w:history="1">
        <w:r w:rsidRPr="0057675D">
          <w:rPr>
            <w:rStyle w:val="Hyperlink"/>
          </w:rPr>
          <w:t>http://www.ferc.gov/docs-filing/efiling.asp</w:t>
        </w:r>
      </w:hyperlink>
      <w:r>
        <w:t xml:space="preserve">.  </w:t>
      </w:r>
    </w:p>
    <w:p w14:paraId="777E3049" w14:textId="77777777" w:rsidR="007D5D18" w:rsidRDefault="007D5D18" w:rsidP="007D5D18">
      <w:pPr>
        <w:numPr>
          <w:ilvl w:val="0"/>
          <w:numId w:val="1"/>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3F0F6418" w14:textId="77777777" w:rsidR="007D5D18" w:rsidRDefault="007D5D18" w:rsidP="007D5D18">
      <w:pPr>
        <w:spacing w:line="480" w:lineRule="auto"/>
      </w:pPr>
      <w:r>
        <w:rPr>
          <w:i/>
        </w:rPr>
        <w:t xml:space="preserve">Instructions: </w:t>
      </w:r>
      <w:r>
        <w:t xml:space="preserve">All submissions must be formatted and filed in accordance with submission guidelines at: </w:t>
      </w:r>
      <w:hyperlink r:id="rId14"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4C7FC50F" w14:textId="77777777" w:rsidR="007D5D18" w:rsidRDefault="007D5D18" w:rsidP="007D5D18">
      <w:pPr>
        <w:spacing w:line="480" w:lineRule="auto"/>
      </w:pPr>
      <w:r>
        <w:rPr>
          <w:i/>
        </w:rPr>
        <w:t>Docket:</w:t>
      </w:r>
      <w:r>
        <w:t xml:space="preserve"> Users interested in receiving automatic notification of activity in this docket or in viewing/downloading comments and issuances in this docket may do so at </w:t>
      </w:r>
      <w:hyperlink r:id="rId15" w:history="1">
        <w:r w:rsidRPr="0057675D">
          <w:rPr>
            <w:rStyle w:val="Hyperlink"/>
          </w:rPr>
          <w:t>http://www.ferc.gov/docs-filing/docs-filing.asp</w:t>
        </w:r>
      </w:hyperlink>
      <w:r>
        <w:t xml:space="preserve">.  </w:t>
      </w:r>
    </w:p>
    <w:p w14:paraId="5CB7B035" w14:textId="77777777" w:rsidR="007D5D18" w:rsidRDefault="007D5D18" w:rsidP="007D5D18">
      <w:pPr>
        <w:spacing w:line="480" w:lineRule="auto"/>
      </w:pPr>
      <w:r w:rsidRPr="00F04F4C">
        <w:rPr>
          <w:b/>
        </w:rPr>
        <w:t xml:space="preserve">FOR FURTHER </w:t>
      </w:r>
      <w:r w:rsidRPr="00EC4BC4">
        <w:rPr>
          <w:b/>
        </w:rPr>
        <w:t>INFORMATION:</w:t>
      </w:r>
      <w:r w:rsidRPr="00EC4BC4">
        <w:t xml:space="preserve">   </w:t>
      </w:r>
      <w:smartTag w:uri="urn:schemas-microsoft-com:office:smarttags" w:element="PersonName">
        <w:r w:rsidRPr="00EC4BC4">
          <w:t>Ellen Brown</w:t>
        </w:r>
      </w:smartTag>
      <w:r w:rsidRPr="00EC4BC4">
        <w:t xml:space="preserve"> may</w:t>
      </w:r>
      <w:r>
        <w:t xml:space="preserve"> be reached by e-mail at </w:t>
      </w:r>
      <w:hyperlink r:id="rId16" w:history="1">
        <w:r w:rsidRPr="00006D4B">
          <w:rPr>
            <w:rStyle w:val="Hyperlink"/>
          </w:rPr>
          <w:t>DataClearance@FERC.gov</w:t>
        </w:r>
      </w:hyperlink>
      <w:r>
        <w:t xml:space="preserve">, by telephone at (202) 502-8663, and by fax at (202) 273-0873. </w:t>
      </w:r>
    </w:p>
    <w:p w14:paraId="0DEFC057" w14:textId="77777777" w:rsidR="007D5D18" w:rsidRDefault="007D5D18" w:rsidP="007D5D18">
      <w:pPr>
        <w:spacing w:line="480" w:lineRule="auto"/>
      </w:pPr>
      <w:r w:rsidRPr="001C3703">
        <w:rPr>
          <w:b/>
        </w:rPr>
        <w:t>SUPPLEMENTARY INFORMATION:</w:t>
      </w:r>
      <w:r>
        <w:t xml:space="preserve">  </w:t>
      </w:r>
    </w:p>
    <w:p w14:paraId="41B29057" w14:textId="77777777" w:rsidR="007D5D18" w:rsidRPr="003B29FB" w:rsidRDefault="007D5D18" w:rsidP="007D5D18">
      <w:pPr>
        <w:spacing w:line="480" w:lineRule="auto"/>
        <w:rPr>
          <w:color w:val="000000"/>
          <w:szCs w:val="26"/>
        </w:rPr>
      </w:pPr>
      <w:r>
        <w:rPr>
          <w:i/>
        </w:rPr>
        <w:t xml:space="preserve">Title: </w:t>
      </w:r>
      <w:r>
        <w:rPr>
          <w:szCs w:val="26"/>
        </w:rPr>
        <w:t>FERC-</w:t>
      </w:r>
      <w:r w:rsidRPr="003B29FB">
        <w:rPr>
          <w:szCs w:val="26"/>
        </w:rPr>
        <w:t xml:space="preserve">523, </w:t>
      </w:r>
      <w:r w:rsidRPr="003B29FB">
        <w:rPr>
          <w:color w:val="000000"/>
          <w:szCs w:val="26"/>
        </w:rPr>
        <w:t>Application for Authorization for the Issuance of Securities or the Assumption of Liabilities</w:t>
      </w:r>
    </w:p>
    <w:p w14:paraId="7A581F10" w14:textId="77777777" w:rsidR="007D5D18" w:rsidRPr="003B29FB" w:rsidRDefault="007D5D18" w:rsidP="007D5D18">
      <w:pPr>
        <w:spacing w:line="480" w:lineRule="auto"/>
        <w:rPr>
          <w:szCs w:val="26"/>
        </w:rPr>
      </w:pPr>
      <w:r w:rsidRPr="003B29FB">
        <w:rPr>
          <w:i/>
          <w:szCs w:val="26"/>
        </w:rPr>
        <w:t>OMB Control No.:</w:t>
      </w:r>
      <w:r w:rsidRPr="003B29FB">
        <w:rPr>
          <w:szCs w:val="26"/>
        </w:rPr>
        <w:t xml:space="preserve"> 1902-0043</w:t>
      </w:r>
    </w:p>
    <w:p w14:paraId="21AC9144" w14:textId="77777777" w:rsidR="007D5D18" w:rsidRPr="003B29FB" w:rsidRDefault="007D5D18" w:rsidP="007D5D18">
      <w:pPr>
        <w:spacing w:line="480" w:lineRule="auto"/>
        <w:rPr>
          <w:szCs w:val="26"/>
        </w:rPr>
      </w:pPr>
      <w:r w:rsidRPr="003B29FB">
        <w:rPr>
          <w:i/>
          <w:szCs w:val="26"/>
        </w:rPr>
        <w:lastRenderedPageBreak/>
        <w:t>Type of Request:</w:t>
      </w:r>
      <w:r w:rsidRPr="003B29FB">
        <w:rPr>
          <w:szCs w:val="26"/>
        </w:rPr>
        <w:t xml:space="preserve"> Three-year approval of the FERC-523 information collection requirements with no changes to the current reporting requirements. </w:t>
      </w:r>
    </w:p>
    <w:p w14:paraId="744D9945" w14:textId="77777777" w:rsidR="007D5D18" w:rsidRPr="003B29FB" w:rsidRDefault="007D5D18" w:rsidP="007D5D18">
      <w:pPr>
        <w:spacing w:line="480" w:lineRule="auto"/>
        <w:rPr>
          <w:szCs w:val="26"/>
        </w:rPr>
      </w:pPr>
      <w:r w:rsidRPr="003B29FB">
        <w:rPr>
          <w:i/>
          <w:szCs w:val="26"/>
        </w:rPr>
        <w:t xml:space="preserve">Abstract: </w:t>
      </w:r>
      <w:r>
        <w:rPr>
          <w:szCs w:val="26"/>
        </w:rPr>
        <w:t xml:space="preserve">The information collected by FERC-523 is required to implement the statutory provisions of section 204 of the </w:t>
      </w:r>
      <w:r w:rsidRPr="003B29FB">
        <w:rPr>
          <w:szCs w:val="26"/>
        </w:rPr>
        <w:t xml:space="preserve">Federal Power Act (FPA) </w:t>
      </w:r>
      <w:r>
        <w:rPr>
          <w:szCs w:val="26"/>
        </w:rPr>
        <w:t>(1</w:t>
      </w:r>
      <w:r w:rsidRPr="003B29FB">
        <w:rPr>
          <w:szCs w:val="26"/>
        </w:rPr>
        <w:t>6 U.S.C. 824c</w:t>
      </w:r>
      <w:r>
        <w:rPr>
          <w:szCs w:val="26"/>
        </w:rPr>
        <w:t>).  Under section 204 of the FPA</w:t>
      </w:r>
      <w:r w:rsidRPr="003B29FB">
        <w:rPr>
          <w:szCs w:val="26"/>
        </w:rPr>
        <w:t xml:space="preserve"> no public utility or licensee shall issue any security, or assume any obligation or liability as guarantor, endorser, surety, or otherwise in respect of any security of another person, until the public utility applies for and receives Commission approval by order authorizing the issue or assumption of the liability.  The Commission issues an order if it finds that such issue or assumption (a) is for lawful object, within the corporate purposes of the applicant and compatible with the public interest, which is necessary or appropriate for or consistent with the proper performance by the applicant as a public utility, and which will not impair its ability to perform that service, and (b) is reasonably necessary or appropriate for such purposes.</w:t>
      </w:r>
    </w:p>
    <w:p w14:paraId="5FFDD56A" w14:textId="77777777" w:rsidR="007D5D18" w:rsidRPr="003B29FB" w:rsidRDefault="007D5D18" w:rsidP="007D5D18">
      <w:pPr>
        <w:spacing w:line="480" w:lineRule="auto"/>
        <w:ind w:firstLine="720"/>
        <w:rPr>
          <w:szCs w:val="26"/>
        </w:rPr>
      </w:pPr>
      <w:r w:rsidRPr="003B29FB">
        <w:rPr>
          <w:szCs w:val="26"/>
        </w:rPr>
        <w:t xml:space="preserve">The Commission uses the information contained in filings to determine its acceptance and/or rejection of applications for authorization to either issue securities or to assume an obligation or liability by the public utilities and their licensees who submit these applications. </w:t>
      </w:r>
    </w:p>
    <w:p w14:paraId="27F12C56" w14:textId="77777777" w:rsidR="007D5D18" w:rsidRPr="003B29FB" w:rsidRDefault="007D5D18" w:rsidP="007D5D18">
      <w:pPr>
        <w:spacing w:line="480" w:lineRule="auto"/>
        <w:ind w:firstLine="720"/>
        <w:rPr>
          <w:szCs w:val="26"/>
        </w:rPr>
      </w:pPr>
      <w:r w:rsidRPr="003B29FB">
        <w:rPr>
          <w:szCs w:val="26"/>
        </w:rPr>
        <w:t>The specific application requirements and filing format are found at 18 CFR Part 34; and 18 CFR 131.43 and 131.50.  This information is filed electronically.</w:t>
      </w:r>
    </w:p>
    <w:p w14:paraId="6A3E9723" w14:textId="77777777" w:rsidR="007D5D18" w:rsidRPr="003B29FB" w:rsidRDefault="007D5D18" w:rsidP="007D5D18">
      <w:pPr>
        <w:spacing w:line="480" w:lineRule="auto"/>
        <w:rPr>
          <w:szCs w:val="26"/>
        </w:rPr>
      </w:pPr>
      <w:r w:rsidRPr="003B29FB">
        <w:rPr>
          <w:i/>
          <w:szCs w:val="26"/>
        </w:rPr>
        <w:t xml:space="preserve">Type of Respondents: </w:t>
      </w:r>
      <w:r w:rsidRPr="003B29FB">
        <w:rPr>
          <w:szCs w:val="26"/>
        </w:rPr>
        <w:t>Public utilities subject to the F</w:t>
      </w:r>
      <w:r>
        <w:rPr>
          <w:szCs w:val="26"/>
        </w:rPr>
        <w:t xml:space="preserve">ederal </w:t>
      </w:r>
      <w:r w:rsidRPr="003B29FB">
        <w:rPr>
          <w:szCs w:val="26"/>
        </w:rPr>
        <w:t>P</w:t>
      </w:r>
      <w:r>
        <w:rPr>
          <w:szCs w:val="26"/>
        </w:rPr>
        <w:t xml:space="preserve">ower </w:t>
      </w:r>
      <w:r w:rsidRPr="003B29FB">
        <w:rPr>
          <w:szCs w:val="26"/>
        </w:rPr>
        <w:t>A</w:t>
      </w:r>
      <w:r>
        <w:rPr>
          <w:szCs w:val="26"/>
        </w:rPr>
        <w:t>ct</w:t>
      </w:r>
      <w:r w:rsidRPr="003B29FB">
        <w:rPr>
          <w:szCs w:val="26"/>
        </w:rPr>
        <w:t>.</w:t>
      </w:r>
    </w:p>
    <w:p w14:paraId="7E3906E2" w14:textId="77777777" w:rsidR="007D5D18" w:rsidRPr="003B29FB" w:rsidRDefault="007D5D18" w:rsidP="007D5D18">
      <w:pPr>
        <w:spacing w:line="480" w:lineRule="auto"/>
        <w:rPr>
          <w:szCs w:val="26"/>
        </w:rPr>
      </w:pPr>
      <w:r w:rsidRPr="003B29FB">
        <w:rPr>
          <w:i/>
          <w:szCs w:val="26"/>
        </w:rPr>
        <w:t>Estimate of Annual Burden</w:t>
      </w:r>
      <w:r w:rsidRPr="003B29FB">
        <w:rPr>
          <w:rStyle w:val="FootnoteReference"/>
          <w:i/>
        </w:rPr>
        <w:footnoteReference w:id="1"/>
      </w:r>
      <w:r w:rsidRPr="003B29FB">
        <w:rPr>
          <w:i/>
          <w:szCs w:val="26"/>
        </w:rPr>
        <w:t xml:space="preserve">: </w:t>
      </w:r>
      <w:r w:rsidRPr="003B29FB">
        <w:rPr>
          <w:szCs w:val="26"/>
        </w:rPr>
        <w:t>The Commission estimates the reduction in the annual public reporting burden for the FERC-523, as follows:</w:t>
      </w:r>
    </w:p>
    <w:tbl>
      <w:tblPr>
        <w:tblW w:w="499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7"/>
        <w:gridCol w:w="1352"/>
        <w:gridCol w:w="1536"/>
        <w:gridCol w:w="1444"/>
        <w:gridCol w:w="1345"/>
        <w:gridCol w:w="1729"/>
      </w:tblGrid>
      <w:tr w:rsidR="007D5D18" w:rsidRPr="003B29FB" w14:paraId="1C445529" w14:textId="77777777" w:rsidTr="0099056B">
        <w:trPr>
          <w:cantSplit/>
        </w:trPr>
        <w:tc>
          <w:tcPr>
            <w:tcW w:w="5000" w:type="pct"/>
            <w:gridSpan w:val="6"/>
            <w:shd w:val="clear" w:color="auto" w:fill="D9D9D9"/>
            <w:vAlign w:val="bottom"/>
          </w:tcPr>
          <w:p w14:paraId="6CC9FEE4" w14:textId="77777777" w:rsidR="007D5D18" w:rsidRPr="003B29FB" w:rsidRDefault="007D5D18" w:rsidP="0099056B">
            <w:pPr>
              <w:jc w:val="center"/>
              <w:rPr>
                <w:rFonts w:eastAsia="Calibri"/>
                <w:b/>
                <w:szCs w:val="26"/>
              </w:rPr>
            </w:pPr>
            <w:r w:rsidRPr="003B29FB">
              <w:rPr>
                <w:rFonts w:eastAsia="Calibri"/>
                <w:b/>
                <w:szCs w:val="26"/>
              </w:rPr>
              <w:t>FERC-523, Applications for Authorization for Issuance of Securities or Assumption of Liability</w:t>
            </w:r>
          </w:p>
        </w:tc>
      </w:tr>
      <w:tr w:rsidR="007D5D18" w:rsidRPr="003B29FB" w14:paraId="494CF302" w14:textId="77777777" w:rsidTr="0099056B">
        <w:trPr>
          <w:cantSplit/>
        </w:trPr>
        <w:tc>
          <w:tcPr>
            <w:tcW w:w="1128" w:type="pct"/>
            <w:shd w:val="clear" w:color="auto" w:fill="D9D9D9"/>
            <w:vAlign w:val="bottom"/>
          </w:tcPr>
          <w:p w14:paraId="0483C1C4" w14:textId="77777777" w:rsidR="007D5D18" w:rsidRPr="003B29FB" w:rsidRDefault="007D5D18" w:rsidP="0099056B">
            <w:pPr>
              <w:jc w:val="center"/>
              <w:rPr>
                <w:rFonts w:eastAsia="Calibri"/>
                <w:b/>
                <w:szCs w:val="26"/>
              </w:rPr>
            </w:pPr>
            <w:r w:rsidRPr="003B29FB">
              <w:rPr>
                <w:rFonts w:eastAsia="Calibri"/>
                <w:b/>
                <w:szCs w:val="26"/>
              </w:rPr>
              <w:t xml:space="preserve">Information Collection Requirements </w:t>
            </w:r>
          </w:p>
        </w:tc>
        <w:tc>
          <w:tcPr>
            <w:tcW w:w="707" w:type="pct"/>
            <w:shd w:val="clear" w:color="auto" w:fill="D9D9D9"/>
            <w:vAlign w:val="bottom"/>
          </w:tcPr>
          <w:p w14:paraId="4DAD34B3" w14:textId="77777777" w:rsidR="007D5D18" w:rsidRPr="003B29FB" w:rsidRDefault="007D5D18" w:rsidP="0099056B">
            <w:pPr>
              <w:jc w:val="center"/>
              <w:rPr>
                <w:rFonts w:eastAsia="Calibri"/>
                <w:b/>
                <w:szCs w:val="26"/>
                <w:highlight w:val="yellow"/>
              </w:rPr>
            </w:pPr>
            <w:r w:rsidRPr="008D20FF">
              <w:rPr>
                <w:rFonts w:eastAsia="Calibri"/>
                <w:b/>
                <w:szCs w:val="26"/>
              </w:rPr>
              <w:t>Number of Respondents</w:t>
            </w:r>
            <w:r w:rsidRPr="00E26ABB">
              <w:rPr>
                <w:rFonts w:eastAsia="Calibri"/>
                <w:szCs w:val="26"/>
                <w:vertAlign w:val="superscript"/>
              </w:rPr>
              <w:footnoteReference w:id="2"/>
            </w:r>
            <w:r w:rsidRPr="008D20FF">
              <w:rPr>
                <w:rFonts w:eastAsia="Calibri"/>
                <w:b/>
                <w:szCs w:val="26"/>
              </w:rPr>
              <w:br/>
              <w:t>(1)</w:t>
            </w:r>
          </w:p>
        </w:tc>
        <w:tc>
          <w:tcPr>
            <w:tcW w:w="803" w:type="pct"/>
            <w:shd w:val="clear" w:color="auto" w:fill="D9D9D9"/>
            <w:vAlign w:val="bottom"/>
          </w:tcPr>
          <w:p w14:paraId="08CB8F39" w14:textId="77777777" w:rsidR="007D5D18" w:rsidRPr="008D20FF" w:rsidRDefault="007D5D18" w:rsidP="0099056B">
            <w:pPr>
              <w:jc w:val="center"/>
              <w:rPr>
                <w:rFonts w:eastAsia="Calibri"/>
                <w:b/>
                <w:szCs w:val="26"/>
              </w:rPr>
            </w:pPr>
            <w:r w:rsidRPr="008D20FF">
              <w:rPr>
                <w:rFonts w:eastAsia="Calibri"/>
                <w:b/>
                <w:szCs w:val="26"/>
              </w:rPr>
              <w:t>Annual Number of Responses per Respondent</w:t>
            </w:r>
          </w:p>
          <w:p w14:paraId="0442292B" w14:textId="77777777" w:rsidR="007D5D18" w:rsidRPr="003B29FB" w:rsidRDefault="007D5D18" w:rsidP="0099056B">
            <w:pPr>
              <w:jc w:val="center"/>
              <w:rPr>
                <w:rFonts w:eastAsia="Calibri"/>
                <w:b/>
                <w:szCs w:val="26"/>
                <w:highlight w:val="yellow"/>
              </w:rPr>
            </w:pPr>
            <w:r w:rsidRPr="008D20FF">
              <w:rPr>
                <w:rFonts w:eastAsia="Calibri"/>
                <w:b/>
                <w:szCs w:val="26"/>
              </w:rPr>
              <w:t>(2)</w:t>
            </w:r>
          </w:p>
        </w:tc>
        <w:tc>
          <w:tcPr>
            <w:tcW w:w="755" w:type="pct"/>
            <w:shd w:val="clear" w:color="auto" w:fill="D9D9D9"/>
            <w:vAlign w:val="bottom"/>
          </w:tcPr>
          <w:p w14:paraId="79321795" w14:textId="77777777" w:rsidR="007D5D18" w:rsidRPr="003B29FB" w:rsidRDefault="007D5D18" w:rsidP="0099056B">
            <w:pPr>
              <w:jc w:val="center"/>
              <w:rPr>
                <w:rFonts w:eastAsia="Calibri"/>
                <w:b/>
                <w:szCs w:val="26"/>
                <w:highlight w:val="yellow"/>
              </w:rPr>
            </w:pPr>
            <w:r w:rsidRPr="008D20FF">
              <w:rPr>
                <w:rFonts w:eastAsia="Calibri"/>
                <w:b/>
                <w:szCs w:val="26"/>
              </w:rPr>
              <w:t>Total Number of Responses (1)*(2)=(3)</w:t>
            </w:r>
          </w:p>
        </w:tc>
        <w:tc>
          <w:tcPr>
            <w:tcW w:w="703" w:type="pct"/>
            <w:shd w:val="clear" w:color="auto" w:fill="D9D9D9"/>
            <w:vAlign w:val="bottom"/>
          </w:tcPr>
          <w:p w14:paraId="11BF9B7A" w14:textId="77777777" w:rsidR="007D5D18" w:rsidRPr="00717629" w:rsidRDefault="007D5D18" w:rsidP="0099056B">
            <w:pPr>
              <w:jc w:val="center"/>
              <w:rPr>
                <w:rFonts w:eastAsia="Calibri"/>
                <w:b/>
                <w:sz w:val="20"/>
                <w:szCs w:val="20"/>
              </w:rPr>
            </w:pPr>
            <w:r w:rsidRPr="003B29FB">
              <w:rPr>
                <w:rFonts w:eastAsia="Calibri"/>
                <w:b/>
                <w:szCs w:val="26"/>
              </w:rPr>
              <w:t>Average Burden Hours &amp; Cost Per Response</w:t>
            </w:r>
            <w:bookmarkStart w:id="1" w:name="_Ref477435767"/>
            <w:r w:rsidRPr="00717629">
              <w:rPr>
                <w:b/>
                <w:szCs w:val="26"/>
                <w:vertAlign w:val="superscript"/>
              </w:rPr>
              <w:footnoteReference w:id="3"/>
            </w:r>
            <w:bookmarkEnd w:id="1"/>
          </w:p>
          <w:p w14:paraId="7EBC63F8" w14:textId="77777777" w:rsidR="007D5D18" w:rsidRPr="003B29FB" w:rsidRDefault="007D5D18" w:rsidP="0099056B">
            <w:pPr>
              <w:jc w:val="center"/>
              <w:rPr>
                <w:rFonts w:eastAsia="Calibri"/>
                <w:b/>
                <w:szCs w:val="26"/>
              </w:rPr>
            </w:pPr>
          </w:p>
          <w:p w14:paraId="1C541A55" w14:textId="77777777" w:rsidR="007D5D18" w:rsidRPr="003B29FB" w:rsidRDefault="007D5D18" w:rsidP="0099056B">
            <w:pPr>
              <w:jc w:val="center"/>
              <w:rPr>
                <w:rFonts w:eastAsia="Calibri"/>
                <w:b/>
                <w:szCs w:val="26"/>
              </w:rPr>
            </w:pPr>
            <w:r w:rsidRPr="003B29FB">
              <w:rPr>
                <w:rFonts w:eastAsia="Calibri"/>
                <w:b/>
                <w:szCs w:val="26"/>
              </w:rPr>
              <w:t>(4)</w:t>
            </w:r>
          </w:p>
        </w:tc>
        <w:tc>
          <w:tcPr>
            <w:tcW w:w="905" w:type="pct"/>
            <w:shd w:val="clear" w:color="auto" w:fill="D9D9D9"/>
            <w:vAlign w:val="bottom"/>
          </w:tcPr>
          <w:p w14:paraId="6182DE75" w14:textId="77777777" w:rsidR="007D5D18" w:rsidRPr="003B29FB" w:rsidRDefault="007D5D18" w:rsidP="0099056B">
            <w:pPr>
              <w:jc w:val="center"/>
              <w:rPr>
                <w:rFonts w:eastAsia="Calibri"/>
                <w:b/>
                <w:szCs w:val="26"/>
              </w:rPr>
            </w:pPr>
            <w:r w:rsidRPr="003B29FB">
              <w:rPr>
                <w:rFonts w:eastAsia="Calibri"/>
                <w:b/>
                <w:szCs w:val="26"/>
              </w:rPr>
              <w:t>Total Annual Burden Hours &amp; Total Annual Cost</w:t>
            </w:r>
          </w:p>
          <w:p w14:paraId="749D1574" w14:textId="77777777" w:rsidR="007D5D18" w:rsidRPr="003B29FB" w:rsidRDefault="007D5D18" w:rsidP="0099056B">
            <w:pPr>
              <w:jc w:val="center"/>
              <w:rPr>
                <w:rFonts w:eastAsia="Calibri"/>
                <w:b/>
                <w:szCs w:val="26"/>
              </w:rPr>
            </w:pPr>
            <w:r w:rsidRPr="003B29FB">
              <w:rPr>
                <w:rFonts w:eastAsia="Calibri"/>
                <w:b/>
                <w:szCs w:val="26"/>
              </w:rPr>
              <w:t>(3)*(4)=(5)</w:t>
            </w:r>
          </w:p>
        </w:tc>
      </w:tr>
      <w:tr w:rsidR="007D5D18" w:rsidRPr="003B29FB" w14:paraId="0DEFAB8B" w14:textId="77777777" w:rsidTr="0099056B">
        <w:trPr>
          <w:cantSplit/>
        </w:trPr>
        <w:tc>
          <w:tcPr>
            <w:tcW w:w="1128" w:type="pct"/>
            <w:shd w:val="clear" w:color="auto" w:fill="auto"/>
            <w:vAlign w:val="bottom"/>
          </w:tcPr>
          <w:p w14:paraId="281374E9" w14:textId="77777777" w:rsidR="007D5D18" w:rsidRPr="005B22D0" w:rsidRDefault="007D5D18" w:rsidP="0099056B">
            <w:pPr>
              <w:rPr>
                <w:rFonts w:eastAsia="Calibri"/>
                <w:szCs w:val="26"/>
              </w:rPr>
            </w:pPr>
            <w:r w:rsidRPr="005B22D0">
              <w:rPr>
                <w:rFonts w:eastAsia="Calibri"/>
                <w:szCs w:val="26"/>
              </w:rPr>
              <w:t>FERC-523</w:t>
            </w:r>
          </w:p>
        </w:tc>
        <w:tc>
          <w:tcPr>
            <w:tcW w:w="707" w:type="pct"/>
            <w:shd w:val="clear" w:color="auto" w:fill="auto"/>
            <w:vAlign w:val="bottom"/>
          </w:tcPr>
          <w:p w14:paraId="0D78D8AD" w14:textId="77777777" w:rsidR="007D5D18" w:rsidRPr="005B22D0" w:rsidRDefault="007D5D18" w:rsidP="0099056B">
            <w:pPr>
              <w:jc w:val="right"/>
              <w:rPr>
                <w:rFonts w:eastAsia="Calibri"/>
                <w:szCs w:val="26"/>
              </w:rPr>
            </w:pPr>
            <w:r w:rsidRPr="005B22D0">
              <w:rPr>
                <w:rFonts w:eastAsia="Calibri"/>
                <w:szCs w:val="26"/>
              </w:rPr>
              <w:t>145</w:t>
            </w:r>
          </w:p>
        </w:tc>
        <w:tc>
          <w:tcPr>
            <w:tcW w:w="803" w:type="pct"/>
            <w:shd w:val="clear" w:color="auto" w:fill="auto"/>
            <w:vAlign w:val="bottom"/>
          </w:tcPr>
          <w:p w14:paraId="701D2A01" w14:textId="77777777" w:rsidR="007D5D18" w:rsidRPr="005B22D0" w:rsidRDefault="007D5D18" w:rsidP="0099056B">
            <w:pPr>
              <w:jc w:val="right"/>
              <w:rPr>
                <w:rFonts w:eastAsia="Calibri"/>
                <w:szCs w:val="26"/>
              </w:rPr>
            </w:pPr>
            <w:r w:rsidRPr="005B22D0">
              <w:rPr>
                <w:rFonts w:eastAsia="Calibri"/>
                <w:szCs w:val="26"/>
              </w:rPr>
              <w:t>1</w:t>
            </w:r>
          </w:p>
        </w:tc>
        <w:tc>
          <w:tcPr>
            <w:tcW w:w="755" w:type="pct"/>
            <w:shd w:val="clear" w:color="auto" w:fill="auto"/>
            <w:vAlign w:val="bottom"/>
          </w:tcPr>
          <w:p w14:paraId="29E15B4E" w14:textId="77777777" w:rsidR="007D5D18" w:rsidRPr="005B22D0" w:rsidRDefault="007D5D18" w:rsidP="0099056B">
            <w:pPr>
              <w:jc w:val="right"/>
              <w:rPr>
                <w:rFonts w:eastAsia="Calibri"/>
                <w:szCs w:val="26"/>
                <w:highlight w:val="yellow"/>
              </w:rPr>
            </w:pPr>
            <w:r w:rsidRPr="005B22D0">
              <w:rPr>
                <w:rFonts w:eastAsia="Calibri"/>
                <w:szCs w:val="26"/>
              </w:rPr>
              <w:t>145</w:t>
            </w:r>
          </w:p>
        </w:tc>
        <w:tc>
          <w:tcPr>
            <w:tcW w:w="703" w:type="pct"/>
            <w:shd w:val="clear" w:color="auto" w:fill="auto"/>
            <w:vAlign w:val="bottom"/>
          </w:tcPr>
          <w:p w14:paraId="45788B63" w14:textId="77777777" w:rsidR="007D5D18" w:rsidRPr="005B22D0" w:rsidRDefault="007D5D18" w:rsidP="0099056B">
            <w:pPr>
              <w:jc w:val="right"/>
              <w:rPr>
                <w:rFonts w:eastAsia="Calibri"/>
                <w:szCs w:val="26"/>
              </w:rPr>
            </w:pPr>
            <w:r w:rsidRPr="005B22D0">
              <w:rPr>
                <w:rFonts w:eastAsia="Calibri"/>
                <w:szCs w:val="26"/>
              </w:rPr>
              <w:t>70</w:t>
            </w:r>
          </w:p>
          <w:p w14:paraId="3C883CD1" w14:textId="77777777" w:rsidR="007D5D18" w:rsidRPr="005B22D0" w:rsidRDefault="007D5D18" w:rsidP="0099056B">
            <w:pPr>
              <w:jc w:val="right"/>
              <w:rPr>
                <w:rFonts w:eastAsia="Calibri"/>
                <w:szCs w:val="26"/>
              </w:rPr>
            </w:pPr>
            <w:r w:rsidRPr="005B22D0">
              <w:rPr>
                <w:rFonts w:eastAsia="Calibri"/>
                <w:szCs w:val="26"/>
              </w:rPr>
              <w:t>$</w:t>
            </w:r>
            <w:r>
              <w:rPr>
                <w:rFonts w:eastAsia="Calibri"/>
                <w:szCs w:val="26"/>
              </w:rPr>
              <w:t>5,355</w:t>
            </w:r>
          </w:p>
        </w:tc>
        <w:tc>
          <w:tcPr>
            <w:tcW w:w="905" w:type="pct"/>
            <w:shd w:val="clear" w:color="auto" w:fill="auto"/>
            <w:vAlign w:val="bottom"/>
          </w:tcPr>
          <w:p w14:paraId="5191EE53" w14:textId="77777777" w:rsidR="007D5D18" w:rsidRPr="005B22D0" w:rsidRDefault="007D5D18" w:rsidP="0099056B">
            <w:pPr>
              <w:jc w:val="right"/>
              <w:rPr>
                <w:rFonts w:eastAsia="Calibri"/>
                <w:szCs w:val="26"/>
              </w:rPr>
            </w:pPr>
            <w:r w:rsidRPr="005B22D0">
              <w:rPr>
                <w:rFonts w:eastAsia="Calibri"/>
                <w:szCs w:val="26"/>
              </w:rPr>
              <w:t>10,150</w:t>
            </w:r>
          </w:p>
          <w:p w14:paraId="6670BC2B" w14:textId="77777777" w:rsidR="007D5D18" w:rsidRPr="005B22D0" w:rsidRDefault="007D5D18" w:rsidP="0099056B">
            <w:pPr>
              <w:jc w:val="right"/>
              <w:rPr>
                <w:rFonts w:eastAsia="Calibri"/>
                <w:szCs w:val="26"/>
              </w:rPr>
            </w:pPr>
            <w:r w:rsidRPr="005B22D0">
              <w:rPr>
                <w:rFonts w:eastAsia="Calibri"/>
                <w:szCs w:val="26"/>
              </w:rPr>
              <w:t>$</w:t>
            </w:r>
            <w:r>
              <w:rPr>
                <w:rFonts w:eastAsia="Calibri"/>
                <w:szCs w:val="26"/>
              </w:rPr>
              <w:t>776,475</w:t>
            </w:r>
          </w:p>
        </w:tc>
      </w:tr>
    </w:tbl>
    <w:p w14:paraId="3E94B8E1" w14:textId="77777777" w:rsidR="007D5D18" w:rsidRPr="003B29FB" w:rsidRDefault="007D5D18" w:rsidP="007D5D18">
      <w:pPr>
        <w:spacing w:line="480" w:lineRule="auto"/>
        <w:rPr>
          <w:szCs w:val="26"/>
        </w:rPr>
      </w:pPr>
    </w:p>
    <w:p w14:paraId="6A857138" w14:textId="77777777" w:rsidR="007D5D18" w:rsidRPr="003B29FB" w:rsidRDefault="007D5D18" w:rsidP="007D5D18">
      <w:pPr>
        <w:spacing w:line="480" w:lineRule="auto"/>
        <w:rPr>
          <w:szCs w:val="26"/>
        </w:rPr>
      </w:pPr>
      <w:r w:rsidRPr="003B29FB">
        <w:rPr>
          <w:i/>
          <w:szCs w:val="26"/>
        </w:rPr>
        <w:t xml:space="preserve">Comments:  </w:t>
      </w:r>
      <w:r w:rsidRPr="003B29FB">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1C555740" w14:textId="77777777" w:rsidR="007D5D18" w:rsidRPr="003B29FB" w:rsidRDefault="007D5D18" w:rsidP="007D5D18">
      <w:pPr>
        <w:rPr>
          <w:szCs w:val="26"/>
        </w:rPr>
      </w:pPr>
    </w:p>
    <w:p w14:paraId="1100E6EE" w14:textId="77777777" w:rsidR="007D5D18" w:rsidRPr="003B29FB" w:rsidRDefault="007D5D18" w:rsidP="007D5D18">
      <w:pPr>
        <w:rPr>
          <w:szCs w:val="26"/>
        </w:rPr>
      </w:pPr>
    </w:p>
    <w:p w14:paraId="6AA7E02C" w14:textId="77777777" w:rsidR="007D5D18" w:rsidRPr="003B29FB" w:rsidRDefault="007D5D18" w:rsidP="007D5D18">
      <w:pPr>
        <w:ind w:firstLine="2174"/>
        <w:jc w:val="center"/>
        <w:rPr>
          <w:szCs w:val="26"/>
        </w:rPr>
      </w:pPr>
      <w:r w:rsidRPr="003B29FB">
        <w:rPr>
          <w:szCs w:val="26"/>
        </w:rPr>
        <w:t>Kimberly D. Bose,</w:t>
      </w:r>
    </w:p>
    <w:p w14:paraId="454FDC2A" w14:textId="77777777" w:rsidR="007D5D18" w:rsidRPr="003B29FB" w:rsidRDefault="007D5D18" w:rsidP="007D5D18">
      <w:pPr>
        <w:ind w:firstLine="2174"/>
        <w:jc w:val="center"/>
        <w:rPr>
          <w:szCs w:val="26"/>
        </w:rPr>
      </w:pPr>
      <w:r w:rsidRPr="003B29FB">
        <w:rPr>
          <w:szCs w:val="26"/>
        </w:rPr>
        <w:t>Secretary.</w:t>
      </w:r>
    </w:p>
    <w:p w14:paraId="23BE0B7B" w14:textId="77777777" w:rsidR="007D5D18" w:rsidRDefault="007D5D18" w:rsidP="007D5D18">
      <w:pPr>
        <w:spacing w:line="480" w:lineRule="auto"/>
      </w:pPr>
    </w:p>
    <w:sectPr w:rsidR="007D5D18" w:rsidSect="00092A8F">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A7FE3" w14:textId="77777777" w:rsidR="00196556" w:rsidRDefault="00196556" w:rsidP="007D5D18">
      <w:r>
        <w:separator/>
      </w:r>
    </w:p>
  </w:endnote>
  <w:endnote w:type="continuationSeparator" w:id="0">
    <w:p w14:paraId="4D2FFA14" w14:textId="77777777" w:rsidR="00196556" w:rsidRDefault="00196556" w:rsidP="007D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1501C" w14:textId="77777777" w:rsidR="00196556" w:rsidRDefault="00196556" w:rsidP="007D5D18">
      <w:r>
        <w:separator/>
      </w:r>
    </w:p>
  </w:footnote>
  <w:footnote w:type="continuationSeparator" w:id="0">
    <w:p w14:paraId="5280CE2D" w14:textId="77777777" w:rsidR="00196556" w:rsidRDefault="00196556" w:rsidP="007D5D18">
      <w:r>
        <w:continuationSeparator/>
      </w:r>
    </w:p>
  </w:footnote>
  <w:footnote w:id="1">
    <w:p w14:paraId="246F1279" w14:textId="77777777" w:rsidR="007D5D18" w:rsidRPr="00277B18" w:rsidRDefault="007D5D18" w:rsidP="007D5D18">
      <w:pPr>
        <w:pStyle w:val="FootnoteText"/>
        <w:rPr>
          <w:sz w:val="20"/>
        </w:rPr>
      </w:pPr>
      <w:r w:rsidRPr="000D189D">
        <w:rPr>
          <w:rStyle w:val="FootnoteReference"/>
        </w:rPr>
        <w:footnoteRef/>
      </w:r>
      <w:r w:rsidRPr="000D189D">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2">
    <w:p w14:paraId="54247C94" w14:textId="77777777" w:rsidR="007D5D18" w:rsidRPr="008614F2" w:rsidRDefault="007D5D18" w:rsidP="007D5D18">
      <w:pPr>
        <w:pStyle w:val="FootnoteText"/>
        <w:rPr>
          <w:sz w:val="26"/>
          <w:szCs w:val="26"/>
        </w:rPr>
      </w:pPr>
      <w:r w:rsidRPr="00804E95">
        <w:rPr>
          <w:rStyle w:val="FootnoteReference"/>
        </w:rPr>
        <w:footnoteRef/>
      </w:r>
      <w:r w:rsidRPr="00804E95">
        <w:rPr>
          <w:sz w:val="26"/>
          <w:szCs w:val="26"/>
        </w:rPr>
        <w:t xml:space="preserve"> The number of respondents is derived from </w:t>
      </w:r>
      <w:r w:rsidRPr="008614F2">
        <w:rPr>
          <w:sz w:val="26"/>
          <w:szCs w:val="26"/>
        </w:rPr>
        <w:t xml:space="preserve">the actual number of applications processed. </w:t>
      </w:r>
    </w:p>
  </w:footnote>
  <w:footnote w:id="3">
    <w:p w14:paraId="16CC24B1" w14:textId="77777777" w:rsidR="007D5D18" w:rsidRPr="00717629" w:rsidRDefault="007D5D18" w:rsidP="007D5D18">
      <w:pPr>
        <w:pStyle w:val="FootnoteText"/>
        <w:rPr>
          <w:szCs w:val="22"/>
        </w:rPr>
      </w:pPr>
      <w:r w:rsidRPr="00717629">
        <w:rPr>
          <w:rStyle w:val="FootnoteReference"/>
          <w:sz w:val="20"/>
          <w:szCs w:val="20"/>
        </w:rPr>
        <w:footnoteRef/>
      </w:r>
      <w:r w:rsidRPr="00717629">
        <w:rPr>
          <w:sz w:val="20"/>
        </w:rPr>
        <w:t xml:space="preserve"> </w:t>
      </w:r>
      <w:r w:rsidRPr="00717629">
        <w:rPr>
          <w:sz w:val="26"/>
          <w:szCs w:val="26"/>
        </w:rPr>
        <w:t>The Commission staff thinks that the average respondent for this collection is similarly situated to the Commission, in terms of salary plus benefits.   Based upon FERC’s 2017 annual average of $158,754 (for salary plus benefits), the average hourly cost is $76.50/hour.</w:t>
      </w:r>
      <w:r w:rsidRPr="00717629">
        <w:rPr>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48898"/>
      <w:docPartObj>
        <w:docPartGallery w:val="Page Numbers (Top of Page)"/>
        <w:docPartUnique/>
      </w:docPartObj>
    </w:sdtPr>
    <w:sdtEndPr>
      <w:rPr>
        <w:noProof/>
      </w:rPr>
    </w:sdtEndPr>
    <w:sdtContent>
      <w:p w14:paraId="41A50B2F" w14:textId="01851679" w:rsidR="00092A8F" w:rsidRDefault="00092A8F" w:rsidP="00092A8F">
        <w:pPr>
          <w:pStyle w:val="Header"/>
        </w:pPr>
        <w:r w:rsidRPr="00EC4BC4">
          <w:t>Docket No. IC17-1</w:t>
        </w:r>
        <w:r>
          <w:t>2</w:t>
        </w:r>
        <w:r w:rsidRPr="00EC4BC4">
          <w:t>-000</w:t>
        </w:r>
        <w:r>
          <w:tab/>
        </w:r>
        <w:r>
          <w:fldChar w:fldCharType="begin"/>
        </w:r>
        <w:r>
          <w:instrText xml:space="preserve"> PAGE   \* MERGEFORMAT </w:instrText>
        </w:r>
        <w:r>
          <w:fldChar w:fldCharType="separate"/>
        </w:r>
        <w:r w:rsidR="00D343B5">
          <w:rPr>
            <w:noProof/>
          </w:rPr>
          <w:t>2</w:t>
        </w:r>
        <w:r>
          <w:rPr>
            <w:noProof/>
          </w:rPr>
          <w:fldChar w:fldCharType="end"/>
        </w:r>
      </w:p>
    </w:sdtContent>
  </w:sdt>
  <w:p w14:paraId="592521D6" w14:textId="24E35E4A" w:rsidR="00092A8F" w:rsidRDefault="00092A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18"/>
    <w:rsid w:val="00092A8F"/>
    <w:rsid w:val="00173CA3"/>
    <w:rsid w:val="00196556"/>
    <w:rsid w:val="003F6E4F"/>
    <w:rsid w:val="00422545"/>
    <w:rsid w:val="004756B6"/>
    <w:rsid w:val="007A3197"/>
    <w:rsid w:val="007D5D18"/>
    <w:rsid w:val="00C84FDE"/>
    <w:rsid w:val="00D3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433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D18"/>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5D18"/>
    <w:rPr>
      <w:color w:val="0000FF"/>
      <w:u w:val="single"/>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7D5D18"/>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2"/>
    <w:uiPriority w:val="99"/>
    <w:rsid w:val="007D5D18"/>
    <w:rPr>
      <w:sz w:val="22"/>
      <w:szCs w:val="20"/>
    </w:rPr>
  </w:style>
  <w:style w:type="character" w:customStyle="1" w:styleId="FootnoteTextChar">
    <w:name w:val="Footnote Text Char"/>
    <w:basedOn w:val="DefaultParagraphFont"/>
    <w:uiPriority w:val="99"/>
    <w:semiHidden/>
    <w:rsid w:val="007D5D18"/>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uiPriority w:val="99"/>
    <w:rsid w:val="007D5D18"/>
    <w:rPr>
      <w:rFonts w:ascii="Times New Roman" w:eastAsia="Times New Roman" w:hAnsi="Times New Roman" w:cs="Times New Roman"/>
      <w:szCs w:val="20"/>
    </w:rPr>
  </w:style>
  <w:style w:type="paragraph" w:styleId="Header">
    <w:name w:val="header"/>
    <w:basedOn w:val="Normal"/>
    <w:link w:val="HeaderChar"/>
    <w:uiPriority w:val="99"/>
    <w:unhideWhenUsed/>
    <w:rsid w:val="00092A8F"/>
    <w:pPr>
      <w:tabs>
        <w:tab w:val="center" w:pos="4680"/>
        <w:tab w:val="right" w:pos="9360"/>
      </w:tabs>
    </w:pPr>
  </w:style>
  <w:style w:type="character" w:customStyle="1" w:styleId="HeaderChar">
    <w:name w:val="Header Char"/>
    <w:basedOn w:val="DefaultParagraphFont"/>
    <w:link w:val="Header"/>
    <w:uiPriority w:val="99"/>
    <w:rsid w:val="00092A8F"/>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92A8F"/>
    <w:pPr>
      <w:tabs>
        <w:tab w:val="center" w:pos="4680"/>
        <w:tab w:val="right" w:pos="9360"/>
      </w:tabs>
    </w:pPr>
  </w:style>
  <w:style w:type="character" w:customStyle="1" w:styleId="FooterChar">
    <w:name w:val="Footer Char"/>
    <w:basedOn w:val="DefaultParagraphFont"/>
    <w:link w:val="Footer"/>
    <w:uiPriority w:val="99"/>
    <w:rsid w:val="00092A8F"/>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D18"/>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5D18"/>
    <w:rPr>
      <w:color w:val="0000FF"/>
      <w:u w:val="single"/>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7D5D18"/>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2"/>
    <w:uiPriority w:val="99"/>
    <w:rsid w:val="007D5D18"/>
    <w:rPr>
      <w:sz w:val="22"/>
      <w:szCs w:val="20"/>
    </w:rPr>
  </w:style>
  <w:style w:type="character" w:customStyle="1" w:styleId="FootnoteTextChar">
    <w:name w:val="Footnote Text Char"/>
    <w:basedOn w:val="DefaultParagraphFont"/>
    <w:uiPriority w:val="99"/>
    <w:semiHidden/>
    <w:rsid w:val="007D5D18"/>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uiPriority w:val="99"/>
    <w:rsid w:val="007D5D18"/>
    <w:rPr>
      <w:rFonts w:ascii="Times New Roman" w:eastAsia="Times New Roman" w:hAnsi="Times New Roman" w:cs="Times New Roman"/>
      <w:szCs w:val="20"/>
    </w:rPr>
  </w:style>
  <w:style w:type="paragraph" w:styleId="Header">
    <w:name w:val="header"/>
    <w:basedOn w:val="Normal"/>
    <w:link w:val="HeaderChar"/>
    <w:uiPriority w:val="99"/>
    <w:unhideWhenUsed/>
    <w:rsid w:val="00092A8F"/>
    <w:pPr>
      <w:tabs>
        <w:tab w:val="center" w:pos="4680"/>
        <w:tab w:val="right" w:pos="9360"/>
      </w:tabs>
    </w:pPr>
  </w:style>
  <w:style w:type="character" w:customStyle="1" w:styleId="HeaderChar">
    <w:name w:val="Header Char"/>
    <w:basedOn w:val="DefaultParagraphFont"/>
    <w:link w:val="Header"/>
    <w:uiPriority w:val="99"/>
    <w:rsid w:val="00092A8F"/>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92A8F"/>
    <w:pPr>
      <w:tabs>
        <w:tab w:val="center" w:pos="4680"/>
        <w:tab w:val="right" w:pos="9360"/>
      </w:tabs>
    </w:pPr>
  </w:style>
  <w:style w:type="character" w:customStyle="1" w:styleId="FooterChar">
    <w:name w:val="Footer Char"/>
    <w:basedOn w:val="DefaultParagraphFont"/>
    <w:link w:val="Footer"/>
    <w:uiPriority w:val="99"/>
    <w:rsid w:val="00092A8F"/>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ABDCA-A70A-4D6A-AB62-0FDBC8437A41}">
  <ds:schemaRefs>
    <ds:schemaRef ds:uri="Microsoft.SharePoint.Taxonomy.ContentTypeSync"/>
  </ds:schemaRefs>
</ds:datastoreItem>
</file>

<file path=customXml/itemProps2.xml><?xml version="1.0" encoding="utf-8"?>
<ds:datastoreItem xmlns:ds="http://schemas.openxmlformats.org/officeDocument/2006/customXml" ds:itemID="{559BBE20-D20F-4485-951D-6EB921817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5768B-AA97-4F04-94D0-5EDB5D4DA104}">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7276514C-71E8-414F-88E5-FD9F6C429A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2017-07-25T13:35:00Z</dcterms:created>
  <dcterms:modified xsi:type="dcterms:W3CDTF">2017-07-25T13:35:00Z</dcterms:modified>
  <cp:category/>
  <dc:identifier/>
  <cp:contentStatus/>
  <cp:version/>
</cp:coreProperties>
</file>