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44F" w:rsidRPr="0036124C" w:rsidRDefault="006E044F" w:rsidP="00BE6545">
      <w:pPr>
        <w:jc w:val="center"/>
        <w:rPr>
          <w:rFonts w:ascii="CG Times" w:hAnsi="CG Times" w:cs="CG Times"/>
          <w:b/>
          <w:bCs/>
          <w:sz w:val="24"/>
          <w:szCs w:val="24"/>
        </w:rPr>
      </w:pPr>
      <w:r w:rsidRPr="0036124C">
        <w:rPr>
          <w:b/>
          <w:sz w:val="24"/>
          <w:szCs w:val="24"/>
          <w:lang w:val="en-CA"/>
        </w:rPr>
        <w:fldChar w:fldCharType="begin"/>
      </w:r>
      <w:r w:rsidRPr="0036124C">
        <w:rPr>
          <w:b/>
          <w:sz w:val="24"/>
          <w:szCs w:val="24"/>
          <w:lang w:val="en-CA"/>
        </w:rPr>
        <w:instrText xml:space="preserve"> SEQ CHAPTER \h \r 1</w:instrText>
      </w:r>
      <w:r w:rsidRPr="0036124C">
        <w:rPr>
          <w:b/>
          <w:sz w:val="24"/>
          <w:szCs w:val="24"/>
          <w:lang w:val="en-CA"/>
        </w:rPr>
        <w:fldChar w:fldCharType="end"/>
      </w:r>
      <w:r w:rsidRPr="0036124C">
        <w:rPr>
          <w:rFonts w:ascii="CG Times" w:hAnsi="CG Times" w:cs="CG Times"/>
          <w:b/>
          <w:bCs/>
          <w:sz w:val="24"/>
          <w:szCs w:val="24"/>
        </w:rPr>
        <w:t>SUPPORTING STATEMENT</w:t>
      </w:r>
    </w:p>
    <w:p w:rsidR="0036124C" w:rsidRPr="0036124C" w:rsidRDefault="0036124C" w:rsidP="00BE6545">
      <w:pPr>
        <w:jc w:val="center"/>
        <w:rPr>
          <w:rFonts w:ascii="CG Times" w:hAnsi="CG Times" w:cs="CG Times"/>
          <w:b/>
          <w:bCs/>
          <w:sz w:val="24"/>
          <w:szCs w:val="24"/>
        </w:rPr>
      </w:pPr>
      <w:r w:rsidRPr="0036124C">
        <w:rPr>
          <w:rFonts w:ascii="CG Times" w:hAnsi="CG Times" w:cs="CG Times"/>
          <w:b/>
          <w:bCs/>
          <w:sz w:val="24"/>
          <w:szCs w:val="24"/>
        </w:rPr>
        <w:t xml:space="preserve">Internal </w:t>
      </w:r>
      <w:r w:rsidR="00512D3F">
        <w:rPr>
          <w:rFonts w:ascii="CG Times" w:hAnsi="CG Times" w:cs="CG Times"/>
          <w:b/>
          <w:bCs/>
          <w:sz w:val="24"/>
          <w:szCs w:val="24"/>
        </w:rPr>
        <w:t>R</w:t>
      </w:r>
      <w:bookmarkStart w:id="0" w:name="_GoBack"/>
      <w:bookmarkEnd w:id="0"/>
      <w:r w:rsidRPr="0036124C">
        <w:rPr>
          <w:rFonts w:ascii="CG Times" w:hAnsi="CG Times" w:cs="CG Times"/>
          <w:b/>
          <w:bCs/>
          <w:sz w:val="24"/>
          <w:szCs w:val="24"/>
        </w:rPr>
        <w:t>evenue Service</w:t>
      </w:r>
    </w:p>
    <w:p w:rsidR="00DA5383" w:rsidRPr="00DA5383" w:rsidRDefault="00DA5383" w:rsidP="00DA5383">
      <w:pPr>
        <w:jc w:val="center"/>
        <w:rPr>
          <w:rFonts w:ascii="CG Times" w:hAnsi="CG Times" w:cs="CG Times"/>
          <w:bCs/>
          <w:sz w:val="24"/>
          <w:szCs w:val="24"/>
        </w:rPr>
      </w:pPr>
      <w:r w:rsidRPr="00DA5383">
        <w:rPr>
          <w:rFonts w:ascii="CG Times" w:hAnsi="CG Times" w:cs="CG Times"/>
          <w:bCs/>
          <w:sz w:val="24"/>
          <w:szCs w:val="24"/>
        </w:rPr>
        <w:t>Rollover</w:t>
      </w:r>
      <w:r>
        <w:rPr>
          <w:rFonts w:ascii="CG Times" w:hAnsi="CG Times" w:cs="CG Times"/>
          <w:bCs/>
          <w:sz w:val="24"/>
          <w:szCs w:val="24"/>
        </w:rPr>
        <w:t xml:space="preserve"> </w:t>
      </w:r>
      <w:r w:rsidRPr="00DA5383">
        <w:rPr>
          <w:rFonts w:ascii="CG Times" w:hAnsi="CG Times" w:cs="CG Times"/>
          <w:bCs/>
          <w:sz w:val="24"/>
          <w:szCs w:val="24"/>
        </w:rPr>
        <w:t xml:space="preserve">of Gain </w:t>
      </w:r>
      <w:r>
        <w:rPr>
          <w:rFonts w:ascii="CG Times" w:hAnsi="CG Times" w:cs="CG Times"/>
          <w:bCs/>
          <w:sz w:val="24"/>
          <w:szCs w:val="24"/>
        </w:rPr>
        <w:t>f</w:t>
      </w:r>
      <w:r w:rsidRPr="00DA5383">
        <w:rPr>
          <w:rFonts w:ascii="CG Times" w:hAnsi="CG Times" w:cs="CG Times"/>
          <w:bCs/>
          <w:sz w:val="24"/>
          <w:szCs w:val="24"/>
        </w:rPr>
        <w:t>rom Qualified</w:t>
      </w:r>
      <w:r>
        <w:rPr>
          <w:rFonts w:ascii="CG Times" w:hAnsi="CG Times" w:cs="CG Times"/>
          <w:bCs/>
          <w:sz w:val="24"/>
          <w:szCs w:val="24"/>
        </w:rPr>
        <w:t xml:space="preserve"> </w:t>
      </w:r>
      <w:r w:rsidRPr="00DA5383">
        <w:rPr>
          <w:rFonts w:ascii="CG Times" w:hAnsi="CG Times" w:cs="CG Times"/>
          <w:bCs/>
          <w:sz w:val="24"/>
          <w:szCs w:val="24"/>
        </w:rPr>
        <w:t>Small Business Stock to</w:t>
      </w:r>
    </w:p>
    <w:p w:rsidR="00DA5383" w:rsidRDefault="00DA5383" w:rsidP="00DA5383">
      <w:pPr>
        <w:jc w:val="center"/>
        <w:rPr>
          <w:rFonts w:ascii="CG Times" w:hAnsi="CG Times" w:cs="CG Times"/>
          <w:bCs/>
          <w:sz w:val="24"/>
          <w:szCs w:val="24"/>
        </w:rPr>
      </w:pPr>
      <w:r w:rsidRPr="00DA5383">
        <w:rPr>
          <w:rFonts w:ascii="CG Times" w:hAnsi="CG Times" w:cs="CG Times"/>
          <w:bCs/>
          <w:sz w:val="24"/>
          <w:szCs w:val="24"/>
        </w:rPr>
        <w:t>Another Qualified Small</w:t>
      </w:r>
      <w:r>
        <w:rPr>
          <w:rFonts w:ascii="CG Times" w:hAnsi="CG Times" w:cs="CG Times"/>
          <w:bCs/>
          <w:sz w:val="24"/>
          <w:szCs w:val="24"/>
        </w:rPr>
        <w:t xml:space="preserve"> </w:t>
      </w:r>
      <w:r w:rsidRPr="00DA5383">
        <w:rPr>
          <w:rFonts w:ascii="CG Times" w:hAnsi="CG Times" w:cs="CG Times"/>
          <w:bCs/>
          <w:sz w:val="24"/>
          <w:szCs w:val="24"/>
        </w:rPr>
        <w:t>Business Stock</w:t>
      </w:r>
    </w:p>
    <w:p w:rsidR="006E044F" w:rsidRPr="00AB5890" w:rsidRDefault="00A009D5" w:rsidP="00DA5383">
      <w:pPr>
        <w:jc w:val="center"/>
        <w:rPr>
          <w:rFonts w:ascii="CG Times" w:hAnsi="CG Times" w:cs="CG Times"/>
          <w:bCs/>
          <w:sz w:val="24"/>
          <w:szCs w:val="24"/>
        </w:rPr>
      </w:pPr>
      <w:r>
        <w:rPr>
          <w:rFonts w:ascii="CG Times" w:hAnsi="CG Times" w:cs="CG Times"/>
          <w:bCs/>
          <w:sz w:val="24"/>
          <w:szCs w:val="24"/>
        </w:rPr>
        <w:t xml:space="preserve">OMB No. </w:t>
      </w:r>
      <w:r w:rsidRPr="0036124C">
        <w:rPr>
          <w:rFonts w:ascii="CG Times" w:hAnsi="CG Times" w:cs="CG Times"/>
          <w:b/>
          <w:bCs/>
          <w:sz w:val="24"/>
          <w:szCs w:val="24"/>
        </w:rPr>
        <w:t>1545-1</w:t>
      </w:r>
      <w:r w:rsidR="00BB33BA" w:rsidRPr="0036124C">
        <w:rPr>
          <w:rFonts w:ascii="CG Times" w:hAnsi="CG Times" w:cs="CG Times"/>
          <w:b/>
          <w:bCs/>
          <w:sz w:val="24"/>
          <w:szCs w:val="24"/>
        </w:rPr>
        <w:t>89</w:t>
      </w:r>
      <w:r w:rsidRPr="0036124C">
        <w:rPr>
          <w:rFonts w:ascii="CG Times" w:hAnsi="CG Times" w:cs="CG Times"/>
          <w:b/>
          <w:bCs/>
          <w:sz w:val="24"/>
          <w:szCs w:val="24"/>
        </w:rPr>
        <w:t>3</w:t>
      </w:r>
    </w:p>
    <w:p w:rsidR="006E044F" w:rsidRPr="00AB5890" w:rsidRDefault="006E044F" w:rsidP="00BE6545">
      <w:pPr>
        <w:rPr>
          <w:rFonts w:ascii="CG Times" w:hAnsi="CG Times" w:cs="CG Times"/>
          <w:bCs/>
          <w:sz w:val="24"/>
          <w:szCs w:val="24"/>
        </w:rPr>
      </w:pPr>
    </w:p>
    <w:p w:rsidR="006E044F" w:rsidRPr="00AB5890" w:rsidRDefault="006E044F" w:rsidP="00BE6545">
      <w:pPr>
        <w:pStyle w:val="Level1"/>
        <w:numPr>
          <w:ilvl w:val="0"/>
          <w:numId w:val="1"/>
        </w:numPr>
        <w:tabs>
          <w:tab w:val="left" w:pos="720"/>
        </w:tabs>
        <w:ind w:left="720" w:hanging="720"/>
        <w:jc w:val="left"/>
        <w:rPr>
          <w:rFonts w:ascii="CG Times" w:hAnsi="CG Times" w:cs="CG Times"/>
          <w:bCs/>
        </w:rPr>
      </w:pPr>
      <w:r w:rsidRPr="00AB5890">
        <w:rPr>
          <w:rFonts w:ascii="CG Times" w:hAnsi="CG Times" w:cs="CG Times"/>
          <w:bCs/>
        </w:rPr>
        <w:t xml:space="preserve"> </w:t>
      </w:r>
      <w:r w:rsidRPr="00AB5890">
        <w:rPr>
          <w:rFonts w:ascii="CG Times" w:hAnsi="CG Times" w:cs="CG Times"/>
          <w:bCs/>
          <w:u w:val="single"/>
        </w:rPr>
        <w:t>CIRCUMSTANCES NECESSITATING COLLECTION OF INFORMATION</w:t>
      </w:r>
    </w:p>
    <w:p w:rsidR="006E044F" w:rsidRPr="00AB5890" w:rsidRDefault="006E044F" w:rsidP="00BE6545">
      <w:pPr>
        <w:numPr>
          <w:ilvl w:val="12"/>
          <w:numId w:val="0"/>
        </w:numPr>
        <w:rPr>
          <w:rFonts w:ascii="CG Times" w:hAnsi="CG Times" w:cs="CG Times"/>
          <w:bCs/>
          <w:sz w:val="24"/>
          <w:szCs w:val="24"/>
        </w:rPr>
      </w:pPr>
    </w:p>
    <w:p w:rsidR="000B51AB" w:rsidRDefault="000B51AB" w:rsidP="00BE6545">
      <w:pPr>
        <w:tabs>
          <w:tab w:val="left" w:pos="720"/>
        </w:tabs>
        <w:ind w:left="720" w:hanging="720"/>
        <w:rPr>
          <w:rFonts w:ascii="Times New Roman" w:hAnsi="Times New Roman" w:cs="Times New Roman"/>
          <w:sz w:val="24"/>
          <w:szCs w:val="24"/>
        </w:rPr>
      </w:pPr>
      <w:r w:rsidRPr="000B51AB">
        <w:rPr>
          <w:rFonts w:ascii="Times New Roman" w:hAnsi="Times New Roman" w:cs="Times New Roman"/>
          <w:sz w:val="24"/>
          <w:szCs w:val="24"/>
        </w:rPr>
        <w:tab/>
        <w:t xml:space="preserve">These regulations relating to the application of section 1045 of the Internal Revenue Code (Code) to partnerships and their partners and provide rules regarding the deferral of gain on a partnership’s sale of qualified small business stock (QSB stock) and a partner’s sale of QSB stock distributed by a partnership.  These regulations also provide rules for a taxpayer (other than a C corporation) who sells QSB stock and purchases replacement QSB stock through a partnership.  </w:t>
      </w:r>
    </w:p>
    <w:p w:rsidR="000B51AB" w:rsidRPr="000B51AB" w:rsidRDefault="000B51AB" w:rsidP="00BE6545">
      <w:pPr>
        <w:tabs>
          <w:tab w:val="left" w:pos="720"/>
        </w:tabs>
        <w:ind w:left="720" w:hanging="720"/>
        <w:rPr>
          <w:rFonts w:ascii="Times New Roman" w:hAnsi="Times New Roman" w:cs="Times New Roman"/>
          <w:sz w:val="24"/>
          <w:szCs w:val="24"/>
        </w:rPr>
      </w:pPr>
    </w:p>
    <w:p w:rsidR="000B51AB" w:rsidRPr="000B51AB" w:rsidRDefault="000B51AB" w:rsidP="00BE6545">
      <w:pPr>
        <w:tabs>
          <w:tab w:val="left" w:pos="720"/>
        </w:tabs>
        <w:ind w:left="720" w:hanging="720"/>
        <w:rPr>
          <w:rFonts w:ascii="Times New Roman" w:hAnsi="Times New Roman" w:cs="Times New Roman"/>
          <w:sz w:val="24"/>
          <w:szCs w:val="24"/>
        </w:rPr>
      </w:pPr>
      <w:r w:rsidRPr="000B51AB">
        <w:rPr>
          <w:rFonts w:ascii="Times New Roman" w:hAnsi="Times New Roman" w:cs="Times New Roman"/>
          <w:color w:val="000000"/>
          <w:sz w:val="24"/>
          <w:szCs w:val="24"/>
        </w:rPr>
        <w:tab/>
        <w:t xml:space="preserve">Treasury Decision 9353 amended 26 CFR part 1 under section 1045 of the Code by adding § 1.1045–1 regarding the application of section 1045 to partnerships and their partners.  Section 1045 permits a non-corporate taxpayer that holds QSB stock for more than six months and sells it after August 5, 1997, to elect to defer recognizing gain (other than gain treated as ordinary income) on the sale. </w:t>
      </w:r>
      <w:r w:rsidR="00BE6545">
        <w:rPr>
          <w:rFonts w:ascii="Times New Roman" w:hAnsi="Times New Roman" w:cs="Times New Roman"/>
          <w:color w:val="000000"/>
          <w:sz w:val="24"/>
          <w:szCs w:val="24"/>
        </w:rPr>
        <w:t xml:space="preserve"> </w:t>
      </w:r>
      <w:r w:rsidRPr="000B51AB">
        <w:rPr>
          <w:rFonts w:ascii="Times New Roman" w:hAnsi="Times New Roman" w:cs="Times New Roman"/>
          <w:color w:val="000000"/>
          <w:sz w:val="24"/>
          <w:szCs w:val="24"/>
        </w:rPr>
        <w:t xml:space="preserve">To qualify for such deferral, the taxpayer must purchase QSB stock (replacement QSB stock) within a 60-day period beginning on the date of the sale of the QSB stock.  Any gain not recognized reduces the cost basis of the replacement QSB stock.  The taxpayer recognizes gain to the extent the amount realized on the sale of the QSB stock exceeds the cost basis of the replacement QSB stock.  </w:t>
      </w:r>
    </w:p>
    <w:p w:rsidR="006E044F" w:rsidRPr="00AB5890" w:rsidRDefault="006E044F" w:rsidP="00BE6545">
      <w:pPr>
        <w:numPr>
          <w:ilvl w:val="12"/>
          <w:numId w:val="0"/>
        </w:numPr>
        <w:rPr>
          <w:rFonts w:ascii="CG Times" w:hAnsi="CG Times" w:cs="CG Times"/>
          <w:bCs/>
          <w:sz w:val="24"/>
          <w:szCs w:val="24"/>
        </w:rPr>
      </w:pPr>
    </w:p>
    <w:p w:rsidR="006E044F" w:rsidRPr="00AB5890" w:rsidRDefault="006E044F" w:rsidP="00BE6545">
      <w:pPr>
        <w:pStyle w:val="Level1"/>
        <w:numPr>
          <w:ilvl w:val="0"/>
          <w:numId w:val="1"/>
        </w:numPr>
        <w:tabs>
          <w:tab w:val="left" w:pos="720"/>
        </w:tabs>
        <w:ind w:left="720" w:hanging="720"/>
        <w:jc w:val="left"/>
        <w:rPr>
          <w:rFonts w:ascii="CG Times" w:hAnsi="CG Times" w:cs="CG Times"/>
          <w:bCs/>
        </w:rPr>
      </w:pPr>
      <w:r w:rsidRPr="00AB5890">
        <w:rPr>
          <w:rFonts w:ascii="CG Times" w:hAnsi="CG Times" w:cs="CG Times"/>
          <w:bCs/>
          <w:u w:val="single"/>
        </w:rPr>
        <w:t>USE OF DATA</w:t>
      </w:r>
      <w:r w:rsidRPr="00AB5890">
        <w:rPr>
          <w:rFonts w:ascii="CG Times" w:hAnsi="CG Times" w:cs="CG Times"/>
          <w:bCs/>
        </w:rPr>
        <w:t xml:space="preserve"> </w:t>
      </w:r>
    </w:p>
    <w:p w:rsidR="006E044F" w:rsidRPr="00AB5890" w:rsidRDefault="006E044F" w:rsidP="00BE6545">
      <w:pPr>
        <w:numPr>
          <w:ilvl w:val="12"/>
          <w:numId w:val="0"/>
        </w:numPr>
        <w:rPr>
          <w:rFonts w:ascii="CG Times" w:hAnsi="CG Times" w:cs="CG Times"/>
          <w:bCs/>
          <w:sz w:val="24"/>
          <w:szCs w:val="24"/>
        </w:rPr>
      </w:pPr>
    </w:p>
    <w:p w:rsidR="006E044F" w:rsidRPr="00AB5890" w:rsidRDefault="000B51AB" w:rsidP="00BE6545">
      <w:pPr>
        <w:tabs>
          <w:tab w:val="left" w:pos="720"/>
        </w:tabs>
        <w:ind w:left="720" w:hanging="720"/>
        <w:rPr>
          <w:rFonts w:ascii="CG Times" w:hAnsi="CG Times" w:cs="CG Times"/>
          <w:bCs/>
          <w:sz w:val="24"/>
          <w:szCs w:val="24"/>
        </w:rPr>
      </w:pPr>
      <w:r>
        <w:rPr>
          <w:rFonts w:ascii="Times New Roman" w:hAnsi="Times New Roman" w:cs="Times New Roman"/>
          <w:sz w:val="24"/>
          <w:szCs w:val="24"/>
        </w:rPr>
        <w:tab/>
      </w:r>
      <w:r w:rsidRPr="000B51AB">
        <w:rPr>
          <w:rFonts w:ascii="Times New Roman" w:hAnsi="Times New Roman" w:cs="Times New Roman"/>
          <w:sz w:val="24"/>
          <w:szCs w:val="24"/>
        </w:rPr>
        <w:t>The regulation affect</w:t>
      </w:r>
      <w:r>
        <w:rPr>
          <w:rFonts w:ascii="Times New Roman" w:hAnsi="Times New Roman" w:cs="Times New Roman"/>
          <w:sz w:val="24"/>
          <w:szCs w:val="24"/>
        </w:rPr>
        <w:t>s</w:t>
      </w:r>
      <w:r w:rsidRPr="000B51AB">
        <w:rPr>
          <w:rFonts w:ascii="Times New Roman" w:hAnsi="Times New Roman" w:cs="Times New Roman"/>
          <w:sz w:val="24"/>
          <w:szCs w:val="24"/>
        </w:rPr>
        <w:t xml:space="preserve"> partnerships that invest in QSB stock and their partners.</w:t>
      </w:r>
      <w:r>
        <w:rPr>
          <w:rFonts w:ascii="Times New Roman" w:hAnsi="Times New Roman" w:cs="Times New Roman"/>
          <w:sz w:val="24"/>
          <w:szCs w:val="24"/>
        </w:rPr>
        <w:t xml:space="preserve">  </w:t>
      </w:r>
      <w:r w:rsidR="006E044F" w:rsidRPr="00AB5890">
        <w:rPr>
          <w:rFonts w:ascii="CG Times" w:hAnsi="CG Times" w:cs="CG Times"/>
          <w:bCs/>
          <w:sz w:val="24"/>
          <w:szCs w:val="24"/>
        </w:rPr>
        <w:t xml:space="preserve">The information will be used by the partnership to make necessary adjustments to the basis of the replacement qualified small business stock.  </w:t>
      </w:r>
    </w:p>
    <w:p w:rsidR="00792196" w:rsidRPr="00792196" w:rsidRDefault="00792196" w:rsidP="00BE6545">
      <w:pPr>
        <w:pStyle w:val="Level1"/>
        <w:tabs>
          <w:tab w:val="left" w:pos="720"/>
        </w:tabs>
        <w:jc w:val="left"/>
        <w:rPr>
          <w:rFonts w:ascii="CG Times" w:hAnsi="CG Times" w:cs="CG Times"/>
          <w:bCs/>
        </w:rPr>
      </w:pPr>
    </w:p>
    <w:p w:rsidR="006E044F" w:rsidRPr="00AB5890" w:rsidRDefault="006E044F" w:rsidP="00BE6545">
      <w:pPr>
        <w:pStyle w:val="Level1"/>
        <w:numPr>
          <w:ilvl w:val="0"/>
          <w:numId w:val="1"/>
        </w:numPr>
        <w:tabs>
          <w:tab w:val="left" w:pos="720"/>
        </w:tabs>
        <w:ind w:left="720" w:hanging="720"/>
        <w:jc w:val="left"/>
        <w:rPr>
          <w:rFonts w:ascii="CG Times" w:hAnsi="CG Times" w:cs="CG Times"/>
          <w:bCs/>
        </w:rPr>
      </w:pPr>
      <w:r w:rsidRPr="00AB5890">
        <w:rPr>
          <w:rFonts w:ascii="CG Times" w:hAnsi="CG Times" w:cs="CG Times"/>
          <w:bCs/>
          <w:u w:val="single"/>
        </w:rPr>
        <w:t>USE OF IMPROVED INFORMATION TECHNOLOGY TO REDUCE BURDEN</w:t>
      </w:r>
    </w:p>
    <w:p w:rsidR="006E044F" w:rsidRPr="00AB5890" w:rsidRDefault="006E044F" w:rsidP="00BE6545">
      <w:pPr>
        <w:numPr>
          <w:ilvl w:val="12"/>
          <w:numId w:val="0"/>
        </w:numPr>
        <w:rPr>
          <w:rFonts w:ascii="CG Times" w:hAnsi="CG Times" w:cs="CG Times"/>
          <w:bCs/>
          <w:sz w:val="24"/>
          <w:szCs w:val="24"/>
        </w:rPr>
      </w:pPr>
    </w:p>
    <w:p w:rsidR="006E044F" w:rsidRPr="00AB5890" w:rsidRDefault="006E044F" w:rsidP="00BE6545">
      <w:pPr>
        <w:numPr>
          <w:ilvl w:val="12"/>
          <w:numId w:val="0"/>
        </w:numPr>
        <w:ind w:left="720"/>
        <w:rPr>
          <w:rFonts w:ascii="CG Times" w:hAnsi="CG Times" w:cs="CG Times"/>
          <w:bCs/>
          <w:sz w:val="24"/>
          <w:szCs w:val="24"/>
        </w:rPr>
      </w:pPr>
      <w:r w:rsidRPr="00AB5890">
        <w:rPr>
          <w:rFonts w:ascii="CG Times" w:hAnsi="CG Times" w:cs="CG Times"/>
          <w:bCs/>
          <w:sz w:val="24"/>
          <w:szCs w:val="24"/>
        </w:rPr>
        <w:t>We have no plans to offer electronic filing.  IRS publication, regulations, notices and letters are to be electronically enabled on an as practicable basis in accordance with the IRS Reform and Restructuring Act of 1998.</w:t>
      </w:r>
    </w:p>
    <w:p w:rsidR="006E044F" w:rsidRPr="00AB5890" w:rsidRDefault="006E044F" w:rsidP="00BE6545">
      <w:pPr>
        <w:numPr>
          <w:ilvl w:val="12"/>
          <w:numId w:val="0"/>
        </w:numPr>
        <w:rPr>
          <w:rFonts w:ascii="CG Times" w:hAnsi="CG Times" w:cs="CG Times"/>
          <w:bCs/>
          <w:sz w:val="24"/>
          <w:szCs w:val="24"/>
        </w:rPr>
      </w:pPr>
    </w:p>
    <w:p w:rsidR="006E044F" w:rsidRPr="00AB5890" w:rsidRDefault="006E044F" w:rsidP="00BE6545">
      <w:pPr>
        <w:pStyle w:val="Level1"/>
        <w:numPr>
          <w:ilvl w:val="0"/>
          <w:numId w:val="1"/>
        </w:numPr>
        <w:tabs>
          <w:tab w:val="left" w:pos="720"/>
        </w:tabs>
        <w:ind w:left="720" w:hanging="720"/>
        <w:jc w:val="left"/>
        <w:rPr>
          <w:rFonts w:ascii="CG Times" w:hAnsi="CG Times" w:cs="CG Times"/>
          <w:bCs/>
        </w:rPr>
      </w:pPr>
      <w:r w:rsidRPr="00AB5890">
        <w:rPr>
          <w:rFonts w:ascii="CG Times" w:hAnsi="CG Times" w:cs="CG Times"/>
          <w:bCs/>
          <w:u w:val="single"/>
        </w:rPr>
        <w:t>EFFORTS TO IDENTIFY DUPLICATION</w:t>
      </w:r>
    </w:p>
    <w:p w:rsidR="006E044F" w:rsidRPr="00AB5890" w:rsidRDefault="006E044F" w:rsidP="00BE6545">
      <w:pPr>
        <w:numPr>
          <w:ilvl w:val="12"/>
          <w:numId w:val="0"/>
        </w:numPr>
        <w:rPr>
          <w:rFonts w:ascii="CG Times" w:hAnsi="CG Times" w:cs="CG Times"/>
          <w:bCs/>
          <w:sz w:val="24"/>
          <w:szCs w:val="24"/>
        </w:rPr>
      </w:pPr>
    </w:p>
    <w:p w:rsidR="006E044F" w:rsidRPr="00AB5890" w:rsidRDefault="0036124C" w:rsidP="00BE6545">
      <w:pPr>
        <w:numPr>
          <w:ilvl w:val="12"/>
          <w:numId w:val="0"/>
        </w:numPr>
        <w:ind w:left="720"/>
        <w:rPr>
          <w:rFonts w:ascii="CG Times" w:hAnsi="CG Times" w:cs="CG Times"/>
          <w:bCs/>
          <w:sz w:val="24"/>
          <w:szCs w:val="24"/>
        </w:rPr>
      </w:pPr>
      <w:r w:rsidRPr="0036124C">
        <w:rPr>
          <w:rFonts w:ascii="CG Times" w:hAnsi="CG Times" w:cs="CG Times"/>
          <w:bCs/>
          <w:sz w:val="24"/>
          <w:szCs w:val="24"/>
        </w:rPr>
        <w:t>The information obtained through this collection is unique and is not already available for use or adaptation from another source</w:t>
      </w:r>
      <w:r w:rsidR="006E044F" w:rsidRPr="00AB5890">
        <w:rPr>
          <w:rFonts w:ascii="CG Times" w:hAnsi="CG Times" w:cs="CG Times"/>
          <w:bCs/>
          <w:sz w:val="24"/>
          <w:szCs w:val="24"/>
        </w:rPr>
        <w:t xml:space="preserve">.  </w:t>
      </w:r>
    </w:p>
    <w:p w:rsidR="006E044F" w:rsidRPr="00AB5890" w:rsidRDefault="006E044F" w:rsidP="00BE6545">
      <w:pPr>
        <w:numPr>
          <w:ilvl w:val="12"/>
          <w:numId w:val="0"/>
        </w:numPr>
        <w:rPr>
          <w:rFonts w:ascii="CG Times" w:hAnsi="CG Times" w:cs="CG Times"/>
          <w:bCs/>
          <w:sz w:val="24"/>
          <w:szCs w:val="24"/>
        </w:rPr>
      </w:pPr>
    </w:p>
    <w:p w:rsidR="006E044F" w:rsidRPr="00AB5890" w:rsidRDefault="006E044F" w:rsidP="00BE6545">
      <w:pPr>
        <w:pStyle w:val="Level1"/>
        <w:numPr>
          <w:ilvl w:val="0"/>
          <w:numId w:val="1"/>
        </w:numPr>
        <w:tabs>
          <w:tab w:val="left" w:pos="720"/>
        </w:tabs>
        <w:ind w:left="720" w:hanging="720"/>
        <w:jc w:val="left"/>
        <w:rPr>
          <w:rFonts w:ascii="CG Times" w:hAnsi="CG Times" w:cs="CG Times"/>
          <w:bCs/>
        </w:rPr>
      </w:pPr>
      <w:r w:rsidRPr="00AB5890">
        <w:rPr>
          <w:rFonts w:ascii="CG Times" w:hAnsi="CG Times" w:cs="CG Times"/>
          <w:bCs/>
          <w:u w:val="single"/>
        </w:rPr>
        <w:t>METHODS TO MINIMIZE BURDEN ON SMALL BUSINESSES OR OTHER</w:t>
      </w:r>
      <w:r w:rsidR="00792196">
        <w:rPr>
          <w:rFonts w:ascii="CG Times" w:hAnsi="CG Times" w:cs="CG Times"/>
          <w:bCs/>
          <w:u w:val="single"/>
        </w:rPr>
        <w:t xml:space="preserve"> </w:t>
      </w:r>
      <w:r w:rsidRPr="00AB5890">
        <w:rPr>
          <w:rFonts w:ascii="CG Times" w:hAnsi="CG Times" w:cs="CG Times"/>
          <w:bCs/>
          <w:u w:val="single"/>
        </w:rPr>
        <w:t>SMALL ENTITIES</w:t>
      </w:r>
    </w:p>
    <w:p w:rsidR="006E044F" w:rsidRPr="00AB5890" w:rsidRDefault="006E044F" w:rsidP="00BE6545">
      <w:pPr>
        <w:numPr>
          <w:ilvl w:val="12"/>
          <w:numId w:val="0"/>
        </w:numPr>
        <w:rPr>
          <w:rFonts w:ascii="CG Times" w:hAnsi="CG Times" w:cs="CG Times"/>
          <w:bCs/>
          <w:sz w:val="24"/>
          <w:szCs w:val="24"/>
        </w:rPr>
      </w:pPr>
    </w:p>
    <w:p w:rsidR="006E044F" w:rsidRPr="00AB5890" w:rsidRDefault="00C07E71" w:rsidP="00BE6545">
      <w:pPr>
        <w:numPr>
          <w:ilvl w:val="12"/>
          <w:numId w:val="0"/>
        </w:numPr>
        <w:ind w:left="720"/>
        <w:rPr>
          <w:rFonts w:ascii="CG Times" w:hAnsi="CG Times" w:cs="CG Times"/>
          <w:bCs/>
          <w:sz w:val="24"/>
          <w:szCs w:val="24"/>
        </w:rPr>
      </w:pPr>
      <w:r w:rsidRPr="00C07E71">
        <w:rPr>
          <w:rFonts w:ascii="CG Times" w:hAnsi="CG Times" w:cs="CG Times"/>
          <w:bCs/>
          <w:sz w:val="24"/>
          <w:szCs w:val="24"/>
        </w:rPr>
        <w:t>There are no small entities affected by this collection</w:t>
      </w:r>
      <w:r w:rsidR="006E044F" w:rsidRPr="00AB5890">
        <w:rPr>
          <w:rFonts w:ascii="CG Times" w:hAnsi="CG Times" w:cs="CG Times"/>
          <w:bCs/>
          <w:sz w:val="24"/>
          <w:szCs w:val="24"/>
        </w:rPr>
        <w:t>.</w:t>
      </w:r>
      <w:r w:rsidR="0036124C">
        <w:rPr>
          <w:rFonts w:ascii="CG Times" w:hAnsi="CG Times" w:cs="CG Times"/>
          <w:bCs/>
          <w:sz w:val="24"/>
          <w:szCs w:val="24"/>
        </w:rPr>
        <w:t xml:space="preserve"> </w:t>
      </w:r>
    </w:p>
    <w:p w:rsidR="00C07E71" w:rsidRPr="00AB5890" w:rsidRDefault="00C07E71" w:rsidP="00BE6545">
      <w:pPr>
        <w:numPr>
          <w:ilvl w:val="12"/>
          <w:numId w:val="0"/>
        </w:numPr>
        <w:rPr>
          <w:rFonts w:ascii="CG Times" w:hAnsi="CG Times" w:cs="CG Times"/>
          <w:bCs/>
          <w:sz w:val="24"/>
          <w:szCs w:val="24"/>
        </w:rPr>
      </w:pPr>
    </w:p>
    <w:p w:rsidR="006E044F" w:rsidRPr="00AB5890" w:rsidRDefault="006E044F" w:rsidP="00BE6545">
      <w:pPr>
        <w:pStyle w:val="Level1"/>
        <w:numPr>
          <w:ilvl w:val="0"/>
          <w:numId w:val="1"/>
        </w:numPr>
        <w:tabs>
          <w:tab w:val="left" w:pos="720"/>
        </w:tabs>
        <w:ind w:left="720" w:hanging="720"/>
        <w:jc w:val="left"/>
        <w:rPr>
          <w:rFonts w:ascii="CG Times" w:hAnsi="CG Times" w:cs="CG Times"/>
          <w:bCs/>
        </w:rPr>
      </w:pPr>
      <w:r w:rsidRPr="00AB5890">
        <w:rPr>
          <w:rFonts w:ascii="CG Times" w:hAnsi="CG Times" w:cs="CG Times"/>
          <w:bCs/>
          <w:u w:val="single"/>
        </w:rPr>
        <w:t>CONSEQUENCES OF LESS FREQUENT COLLECTION ON FEDERAL PROGRAMS OR POLICY ACTIVITIES</w:t>
      </w:r>
    </w:p>
    <w:p w:rsidR="006E044F" w:rsidRPr="00AB5890" w:rsidRDefault="006E044F" w:rsidP="00BE6545">
      <w:pPr>
        <w:numPr>
          <w:ilvl w:val="12"/>
          <w:numId w:val="0"/>
        </w:numPr>
        <w:rPr>
          <w:rFonts w:ascii="CG Times" w:hAnsi="CG Times" w:cs="CG Times"/>
          <w:bCs/>
          <w:sz w:val="24"/>
          <w:szCs w:val="24"/>
        </w:rPr>
      </w:pPr>
    </w:p>
    <w:p w:rsidR="006E044F" w:rsidRPr="00AB5890" w:rsidRDefault="00AE6869" w:rsidP="00BE6545">
      <w:pPr>
        <w:numPr>
          <w:ilvl w:val="12"/>
          <w:numId w:val="0"/>
        </w:numPr>
        <w:ind w:left="720"/>
        <w:rPr>
          <w:rFonts w:ascii="CG Times" w:hAnsi="CG Times" w:cs="CG Times"/>
          <w:bCs/>
          <w:sz w:val="24"/>
          <w:szCs w:val="24"/>
        </w:rPr>
      </w:pPr>
      <w:r>
        <w:rPr>
          <w:rFonts w:ascii="CG Times" w:hAnsi="CG Times" w:cs="CG Times"/>
          <w:bCs/>
          <w:sz w:val="24"/>
          <w:szCs w:val="24"/>
        </w:rPr>
        <w:t xml:space="preserve">A less frequent </w:t>
      </w:r>
      <w:r w:rsidR="00C07E71" w:rsidRPr="00C07E71">
        <w:rPr>
          <w:rFonts w:ascii="CG Times" w:hAnsi="CG Times" w:cs="CG Times"/>
          <w:bCs/>
          <w:sz w:val="24"/>
          <w:szCs w:val="24"/>
        </w:rPr>
        <w:t>collect</w:t>
      </w:r>
      <w:r>
        <w:rPr>
          <w:rFonts w:ascii="CG Times" w:hAnsi="CG Times" w:cs="CG Times"/>
          <w:bCs/>
          <w:sz w:val="24"/>
          <w:szCs w:val="24"/>
        </w:rPr>
        <w:t>ion of</w:t>
      </w:r>
      <w:r w:rsidR="00C07E71" w:rsidRPr="00C07E71">
        <w:rPr>
          <w:rFonts w:ascii="CG Times" w:hAnsi="CG Times" w:cs="CG Times"/>
          <w:bCs/>
          <w:sz w:val="24"/>
          <w:szCs w:val="24"/>
        </w:rPr>
        <w:t xml:space="preserve"> the information will prevent </w:t>
      </w:r>
      <w:r>
        <w:rPr>
          <w:rFonts w:ascii="CG Times" w:hAnsi="CG Times" w:cs="CG Times"/>
          <w:bCs/>
          <w:sz w:val="24"/>
          <w:szCs w:val="24"/>
        </w:rPr>
        <w:t xml:space="preserve">the IRS from determining if </w:t>
      </w:r>
      <w:r w:rsidR="00C07E71" w:rsidRPr="00C07E71">
        <w:rPr>
          <w:rFonts w:ascii="CG Times" w:hAnsi="CG Times" w:cs="CG Times"/>
          <w:bCs/>
          <w:sz w:val="24"/>
          <w:szCs w:val="24"/>
        </w:rPr>
        <w:t xml:space="preserve">taxpayers properly comply </w:t>
      </w:r>
      <w:r>
        <w:rPr>
          <w:rFonts w:ascii="CG Times" w:hAnsi="CG Times" w:cs="CG Times"/>
          <w:bCs/>
          <w:sz w:val="24"/>
          <w:szCs w:val="24"/>
        </w:rPr>
        <w:t xml:space="preserve">with </w:t>
      </w:r>
      <w:r w:rsidR="00C07E71" w:rsidRPr="00C07E71">
        <w:rPr>
          <w:rFonts w:ascii="CG Times" w:hAnsi="CG Times" w:cs="CG Times"/>
          <w:bCs/>
          <w:sz w:val="24"/>
          <w:szCs w:val="24"/>
        </w:rPr>
        <w:t>and/or report the requirements outlined in</w:t>
      </w:r>
      <w:r w:rsidR="00C07E71">
        <w:rPr>
          <w:rFonts w:ascii="CG Times" w:hAnsi="CG Times" w:cs="CG Times"/>
          <w:bCs/>
          <w:sz w:val="24"/>
          <w:szCs w:val="24"/>
        </w:rPr>
        <w:t xml:space="preserve"> </w:t>
      </w:r>
      <w:r w:rsidR="00485FF9">
        <w:rPr>
          <w:rFonts w:ascii="CG Times" w:hAnsi="CG Times" w:cs="CG Times"/>
          <w:bCs/>
          <w:sz w:val="24"/>
          <w:szCs w:val="24"/>
        </w:rPr>
        <w:t xml:space="preserve">section </w:t>
      </w:r>
      <w:r w:rsidR="00485FF9" w:rsidRPr="000B51AB">
        <w:rPr>
          <w:rFonts w:ascii="Times New Roman" w:hAnsi="Times New Roman" w:cs="Times New Roman"/>
          <w:sz w:val="24"/>
          <w:szCs w:val="24"/>
        </w:rPr>
        <w:t>1045 of the Code</w:t>
      </w:r>
      <w:r>
        <w:rPr>
          <w:rFonts w:ascii="Times New Roman" w:hAnsi="Times New Roman" w:cs="Times New Roman"/>
          <w:sz w:val="24"/>
          <w:szCs w:val="24"/>
        </w:rPr>
        <w:t xml:space="preserve"> thereby hindering the ability of the IRS to meet its mission</w:t>
      </w:r>
      <w:r w:rsidR="00485FF9">
        <w:rPr>
          <w:rFonts w:ascii="Times New Roman" w:hAnsi="Times New Roman" w:cs="Times New Roman"/>
          <w:sz w:val="24"/>
          <w:szCs w:val="24"/>
        </w:rPr>
        <w:t xml:space="preserve">.  </w:t>
      </w:r>
    </w:p>
    <w:p w:rsidR="006E044F" w:rsidRPr="00AB5890" w:rsidRDefault="006E044F" w:rsidP="00BE6545">
      <w:pPr>
        <w:numPr>
          <w:ilvl w:val="12"/>
          <w:numId w:val="0"/>
        </w:numPr>
        <w:rPr>
          <w:rFonts w:ascii="CG Times" w:hAnsi="CG Times" w:cs="CG Times"/>
          <w:bCs/>
          <w:sz w:val="24"/>
          <w:szCs w:val="24"/>
        </w:rPr>
      </w:pPr>
    </w:p>
    <w:p w:rsidR="006E044F" w:rsidRPr="00AB5890" w:rsidRDefault="006E044F" w:rsidP="00BE6545">
      <w:pPr>
        <w:pStyle w:val="Level1"/>
        <w:numPr>
          <w:ilvl w:val="0"/>
          <w:numId w:val="1"/>
        </w:numPr>
        <w:tabs>
          <w:tab w:val="left" w:pos="720"/>
        </w:tabs>
        <w:ind w:left="720" w:hanging="720"/>
        <w:jc w:val="left"/>
        <w:rPr>
          <w:rFonts w:ascii="CG Times" w:hAnsi="CG Times" w:cs="CG Times"/>
          <w:bCs/>
        </w:rPr>
      </w:pPr>
      <w:r w:rsidRPr="00AB5890">
        <w:rPr>
          <w:rFonts w:ascii="CG Times" w:hAnsi="CG Times" w:cs="CG Times"/>
          <w:bCs/>
          <w:u w:val="single"/>
        </w:rPr>
        <w:t>SPECIAL CIRCUMSTANCES REQUIRING DATA COLLECTION TO BE</w:t>
      </w:r>
      <w:r w:rsidR="00792196">
        <w:rPr>
          <w:rFonts w:ascii="CG Times" w:hAnsi="CG Times" w:cs="CG Times"/>
          <w:bCs/>
          <w:u w:val="single"/>
        </w:rPr>
        <w:t xml:space="preserve"> </w:t>
      </w:r>
      <w:r w:rsidRPr="00AB5890">
        <w:rPr>
          <w:rFonts w:ascii="CG Times" w:hAnsi="CG Times" w:cs="CG Times"/>
          <w:bCs/>
          <w:u w:val="single"/>
        </w:rPr>
        <w:t>INCONSISTENT WITH GUIDELINES IN 5 CFR 1320.5(d)(2)</w:t>
      </w:r>
    </w:p>
    <w:p w:rsidR="006E044F" w:rsidRPr="00AB5890" w:rsidRDefault="006E044F" w:rsidP="00BE6545">
      <w:pPr>
        <w:numPr>
          <w:ilvl w:val="12"/>
          <w:numId w:val="0"/>
        </w:numPr>
        <w:rPr>
          <w:rFonts w:ascii="CG Times" w:hAnsi="CG Times" w:cs="CG Times"/>
          <w:bCs/>
          <w:sz w:val="24"/>
          <w:szCs w:val="24"/>
        </w:rPr>
      </w:pPr>
    </w:p>
    <w:p w:rsidR="006E044F" w:rsidRPr="00AB5890" w:rsidRDefault="00C07E71" w:rsidP="00BE6545">
      <w:pPr>
        <w:numPr>
          <w:ilvl w:val="12"/>
          <w:numId w:val="0"/>
        </w:numPr>
        <w:ind w:left="720"/>
        <w:rPr>
          <w:rFonts w:ascii="CG Times" w:hAnsi="CG Times" w:cs="CG Times"/>
          <w:bCs/>
          <w:sz w:val="24"/>
          <w:szCs w:val="24"/>
        </w:rPr>
      </w:pPr>
      <w:r w:rsidRPr="00C07E71">
        <w:rPr>
          <w:rFonts w:ascii="CG Times" w:hAnsi="CG Times" w:cs="CG Times"/>
          <w:bCs/>
          <w:sz w:val="24"/>
          <w:szCs w:val="24"/>
        </w:rPr>
        <w:t>There are no special circumstances requiring data collection to be inconsistent with Guidelines in 5 CFR 1320.5(d</w:t>
      </w:r>
      <w:proofErr w:type="gramStart"/>
      <w:r w:rsidRPr="00C07E71">
        <w:rPr>
          <w:rFonts w:ascii="CG Times" w:hAnsi="CG Times" w:cs="CG Times"/>
          <w:bCs/>
          <w:sz w:val="24"/>
          <w:szCs w:val="24"/>
        </w:rPr>
        <w:t>)(</w:t>
      </w:r>
      <w:proofErr w:type="gramEnd"/>
      <w:r w:rsidRPr="00C07E71">
        <w:rPr>
          <w:rFonts w:ascii="CG Times" w:hAnsi="CG Times" w:cs="CG Times"/>
          <w:bCs/>
          <w:sz w:val="24"/>
          <w:szCs w:val="24"/>
        </w:rPr>
        <w:t>2)</w:t>
      </w:r>
      <w:r w:rsidR="006E044F" w:rsidRPr="00AB5890">
        <w:rPr>
          <w:rFonts w:ascii="CG Times" w:hAnsi="CG Times" w:cs="CG Times"/>
          <w:bCs/>
          <w:sz w:val="24"/>
          <w:szCs w:val="24"/>
        </w:rPr>
        <w:t>.</w:t>
      </w:r>
    </w:p>
    <w:p w:rsidR="006E044F" w:rsidRPr="00AB5890" w:rsidRDefault="006E044F" w:rsidP="00BE6545">
      <w:pPr>
        <w:numPr>
          <w:ilvl w:val="12"/>
          <w:numId w:val="0"/>
        </w:numPr>
        <w:rPr>
          <w:rFonts w:ascii="CG Times" w:hAnsi="CG Times" w:cs="CG Times"/>
          <w:bCs/>
          <w:sz w:val="24"/>
          <w:szCs w:val="24"/>
        </w:rPr>
      </w:pPr>
    </w:p>
    <w:p w:rsidR="006E044F" w:rsidRPr="00AB5890" w:rsidRDefault="006E044F" w:rsidP="00BE6545">
      <w:pPr>
        <w:pStyle w:val="Level1"/>
        <w:numPr>
          <w:ilvl w:val="0"/>
          <w:numId w:val="1"/>
        </w:numPr>
        <w:tabs>
          <w:tab w:val="left" w:pos="720"/>
        </w:tabs>
        <w:ind w:left="720" w:hanging="720"/>
        <w:jc w:val="left"/>
        <w:rPr>
          <w:rFonts w:ascii="CG Times" w:hAnsi="CG Times" w:cs="CG Times"/>
          <w:bCs/>
        </w:rPr>
      </w:pPr>
      <w:r w:rsidRPr="00AB5890">
        <w:rPr>
          <w:rFonts w:ascii="CG Times" w:hAnsi="CG Times" w:cs="CG Times"/>
          <w:bCs/>
          <w:u w:val="single"/>
        </w:rPr>
        <w:t>CONSULTATION WITH INDIVIDUALS OUTSIDE OF THE AGENCY ON</w:t>
      </w:r>
      <w:r w:rsidR="00792196">
        <w:rPr>
          <w:rFonts w:ascii="CG Times" w:hAnsi="CG Times" w:cs="CG Times"/>
          <w:bCs/>
          <w:u w:val="single"/>
        </w:rPr>
        <w:t xml:space="preserve"> </w:t>
      </w:r>
      <w:r w:rsidRPr="00AB5890">
        <w:rPr>
          <w:rFonts w:ascii="CG Times" w:hAnsi="CG Times" w:cs="CG Times"/>
          <w:bCs/>
          <w:u w:val="single"/>
        </w:rPr>
        <w:t>AVAILABILITY OF DATA, FREQUENCY OF COLLECTION, CLARITY OF INSTRUCTIONS AND FORMS, AND DATA ELEMENTS</w:t>
      </w:r>
    </w:p>
    <w:p w:rsidR="006E044F" w:rsidRPr="00AB5890" w:rsidRDefault="006E044F" w:rsidP="00BE6545">
      <w:pPr>
        <w:numPr>
          <w:ilvl w:val="12"/>
          <w:numId w:val="0"/>
        </w:numPr>
        <w:rPr>
          <w:rFonts w:ascii="CG Times" w:hAnsi="CG Times" w:cs="CG Times"/>
          <w:bCs/>
          <w:sz w:val="24"/>
          <w:szCs w:val="24"/>
        </w:rPr>
      </w:pPr>
    </w:p>
    <w:p w:rsidR="006E044F" w:rsidRDefault="00045F84" w:rsidP="00BE6545">
      <w:pPr>
        <w:numPr>
          <w:ilvl w:val="12"/>
          <w:numId w:val="0"/>
        </w:numPr>
        <w:ind w:left="720"/>
        <w:rPr>
          <w:rFonts w:ascii="CG Times" w:hAnsi="CG Times" w:cs="CG Times"/>
          <w:bCs/>
          <w:sz w:val="24"/>
          <w:szCs w:val="24"/>
        </w:rPr>
      </w:pPr>
      <w:r>
        <w:rPr>
          <w:rFonts w:ascii="CG Times" w:hAnsi="CG Times" w:cs="CG Times"/>
          <w:bCs/>
          <w:sz w:val="24"/>
          <w:szCs w:val="24"/>
        </w:rPr>
        <w:t>TD 9353</w:t>
      </w:r>
      <w:r w:rsidR="00AB5890">
        <w:rPr>
          <w:rFonts w:ascii="CG Times" w:hAnsi="CG Times" w:cs="CG Times"/>
          <w:bCs/>
          <w:sz w:val="24"/>
          <w:szCs w:val="24"/>
        </w:rPr>
        <w:t xml:space="preserve"> </w:t>
      </w:r>
      <w:r w:rsidR="00AB5890" w:rsidRPr="00886A1E">
        <w:rPr>
          <w:rFonts w:ascii="CG Times" w:hAnsi="CG Times" w:cs="CG Times"/>
          <w:bCs/>
          <w:sz w:val="24"/>
          <w:szCs w:val="24"/>
        </w:rPr>
        <w:t xml:space="preserve">was published in the </w:t>
      </w:r>
      <w:r w:rsidR="00AB5890" w:rsidRPr="00511E67">
        <w:rPr>
          <w:rFonts w:ascii="CG Times" w:hAnsi="CG Times" w:cs="CG Times"/>
          <w:bCs/>
          <w:i/>
          <w:sz w:val="24"/>
          <w:szCs w:val="24"/>
        </w:rPr>
        <w:t>Federal Register</w:t>
      </w:r>
      <w:r w:rsidR="00AB5890" w:rsidRPr="00886A1E">
        <w:rPr>
          <w:rFonts w:ascii="CG Times" w:hAnsi="CG Times" w:cs="CG Times"/>
          <w:bCs/>
          <w:sz w:val="24"/>
          <w:szCs w:val="24"/>
        </w:rPr>
        <w:t xml:space="preserve"> on </w:t>
      </w:r>
      <w:r w:rsidR="00CD6D8A">
        <w:rPr>
          <w:rFonts w:ascii="CG Times" w:hAnsi="CG Times" w:cs="CG Times"/>
          <w:bCs/>
          <w:sz w:val="24"/>
          <w:szCs w:val="24"/>
        </w:rPr>
        <w:t>August 14, 2007</w:t>
      </w:r>
      <w:r w:rsidR="00AB5890" w:rsidRPr="00886A1E">
        <w:rPr>
          <w:rFonts w:ascii="CG Times" w:hAnsi="CG Times" w:cs="CG Times"/>
          <w:bCs/>
          <w:sz w:val="24"/>
          <w:szCs w:val="24"/>
        </w:rPr>
        <w:t xml:space="preserve"> (</w:t>
      </w:r>
      <w:r w:rsidR="00CD6D8A">
        <w:rPr>
          <w:rFonts w:ascii="CG Times" w:hAnsi="CG Times" w:cs="CG Times"/>
          <w:bCs/>
          <w:sz w:val="24"/>
          <w:szCs w:val="24"/>
        </w:rPr>
        <w:t>72</w:t>
      </w:r>
      <w:r w:rsidR="00AB5890" w:rsidRPr="00886A1E">
        <w:rPr>
          <w:rFonts w:ascii="CG Times" w:hAnsi="CG Times" w:cs="CG Times"/>
          <w:bCs/>
          <w:sz w:val="24"/>
          <w:szCs w:val="24"/>
        </w:rPr>
        <w:t xml:space="preserve"> FR </w:t>
      </w:r>
      <w:r w:rsidR="00CD6D8A">
        <w:rPr>
          <w:rFonts w:ascii="CG Times" w:hAnsi="CG Times" w:cs="CG Times"/>
          <w:bCs/>
          <w:sz w:val="24"/>
          <w:szCs w:val="24"/>
        </w:rPr>
        <w:t>45346</w:t>
      </w:r>
      <w:r w:rsidR="00AB5890" w:rsidRPr="00886A1E">
        <w:rPr>
          <w:rFonts w:ascii="CG Times" w:hAnsi="CG Times" w:cs="CG Times"/>
          <w:bCs/>
          <w:sz w:val="24"/>
          <w:szCs w:val="24"/>
        </w:rPr>
        <w:t>)</w:t>
      </w:r>
      <w:r w:rsidR="00E55464">
        <w:rPr>
          <w:rFonts w:ascii="CG Times" w:hAnsi="CG Times" w:cs="CG Times"/>
          <w:bCs/>
          <w:sz w:val="24"/>
          <w:szCs w:val="24"/>
        </w:rPr>
        <w:t xml:space="preserve">, as amended by TD 9353, 72 FR 57487, October 10, 2007.  </w:t>
      </w:r>
    </w:p>
    <w:p w:rsidR="00AB5890" w:rsidRDefault="00AB5890" w:rsidP="00BE6545">
      <w:pPr>
        <w:numPr>
          <w:ilvl w:val="12"/>
          <w:numId w:val="0"/>
        </w:numPr>
        <w:ind w:left="720"/>
        <w:rPr>
          <w:rFonts w:ascii="CG Times" w:hAnsi="CG Times" w:cs="CG Times"/>
          <w:bCs/>
          <w:sz w:val="24"/>
          <w:szCs w:val="24"/>
        </w:rPr>
      </w:pPr>
    </w:p>
    <w:p w:rsidR="006E044F" w:rsidRPr="00886A1E" w:rsidRDefault="006E044F" w:rsidP="00BE6545">
      <w:pPr>
        <w:numPr>
          <w:ilvl w:val="12"/>
          <w:numId w:val="0"/>
        </w:numPr>
        <w:ind w:left="720"/>
        <w:rPr>
          <w:rFonts w:ascii="CG Times" w:hAnsi="CG Times" w:cs="CG Times"/>
          <w:bCs/>
          <w:sz w:val="24"/>
          <w:szCs w:val="24"/>
        </w:rPr>
      </w:pPr>
      <w:r w:rsidRPr="00886A1E">
        <w:rPr>
          <w:rFonts w:ascii="CG Times" w:hAnsi="CG Times" w:cs="CG Times"/>
          <w:bCs/>
          <w:sz w:val="24"/>
          <w:szCs w:val="24"/>
        </w:rPr>
        <w:t xml:space="preserve">We received no comments during the comment period in response to the Federal Register notice </w:t>
      </w:r>
      <w:r>
        <w:rPr>
          <w:rFonts w:ascii="CG Times" w:hAnsi="CG Times" w:cs="CG Times"/>
          <w:bCs/>
          <w:sz w:val="24"/>
          <w:szCs w:val="24"/>
        </w:rPr>
        <w:t>(</w:t>
      </w:r>
      <w:r w:rsidR="00426135">
        <w:rPr>
          <w:rFonts w:ascii="CG Times" w:hAnsi="CG Times" w:cs="CG Times"/>
          <w:bCs/>
          <w:sz w:val="24"/>
          <w:szCs w:val="24"/>
        </w:rPr>
        <w:t>82</w:t>
      </w:r>
      <w:r>
        <w:rPr>
          <w:rFonts w:ascii="CG Times" w:hAnsi="CG Times" w:cs="CG Times"/>
          <w:bCs/>
          <w:sz w:val="24"/>
          <w:szCs w:val="24"/>
        </w:rPr>
        <w:t xml:space="preserve"> FR </w:t>
      </w:r>
      <w:r w:rsidR="0036124C">
        <w:rPr>
          <w:rFonts w:ascii="CG Times" w:hAnsi="CG Times" w:cs="CG Times"/>
          <w:bCs/>
          <w:sz w:val="24"/>
          <w:szCs w:val="24"/>
        </w:rPr>
        <w:t>11497</w:t>
      </w:r>
      <w:r>
        <w:rPr>
          <w:rFonts w:ascii="CG Times" w:hAnsi="CG Times" w:cs="CG Times"/>
          <w:bCs/>
          <w:sz w:val="24"/>
          <w:szCs w:val="24"/>
        </w:rPr>
        <w:t xml:space="preserve">), </w:t>
      </w:r>
      <w:r w:rsidRPr="00886A1E">
        <w:rPr>
          <w:rFonts w:ascii="CG Times" w:hAnsi="CG Times" w:cs="CG Times"/>
          <w:bCs/>
          <w:sz w:val="24"/>
          <w:szCs w:val="24"/>
        </w:rPr>
        <w:t xml:space="preserve">dated </w:t>
      </w:r>
      <w:r w:rsidR="00426135">
        <w:rPr>
          <w:rFonts w:ascii="CG Times" w:hAnsi="CG Times" w:cs="CG Times"/>
          <w:bCs/>
          <w:sz w:val="24"/>
          <w:szCs w:val="24"/>
        </w:rPr>
        <w:t xml:space="preserve">February </w:t>
      </w:r>
      <w:r w:rsidR="0036124C">
        <w:rPr>
          <w:rFonts w:ascii="CG Times" w:hAnsi="CG Times" w:cs="CG Times"/>
          <w:bCs/>
          <w:sz w:val="24"/>
          <w:szCs w:val="24"/>
        </w:rPr>
        <w:t>23</w:t>
      </w:r>
      <w:r w:rsidR="00426135">
        <w:rPr>
          <w:rFonts w:ascii="CG Times" w:hAnsi="CG Times" w:cs="CG Times"/>
          <w:bCs/>
          <w:sz w:val="24"/>
          <w:szCs w:val="24"/>
        </w:rPr>
        <w:t>, 2017</w:t>
      </w:r>
      <w:r w:rsidRPr="00886A1E">
        <w:rPr>
          <w:rFonts w:ascii="CG Times" w:hAnsi="CG Times" w:cs="CG Times"/>
          <w:bCs/>
          <w:sz w:val="24"/>
          <w:szCs w:val="24"/>
        </w:rPr>
        <w:t>.</w:t>
      </w:r>
    </w:p>
    <w:p w:rsidR="00AB5890" w:rsidRPr="00AB5890" w:rsidRDefault="00AB5890" w:rsidP="00BE6545">
      <w:pPr>
        <w:numPr>
          <w:ilvl w:val="12"/>
          <w:numId w:val="0"/>
        </w:numPr>
        <w:jc w:val="center"/>
        <w:rPr>
          <w:rFonts w:ascii="CG Times" w:hAnsi="CG Times" w:cs="CG Times"/>
          <w:bCs/>
          <w:sz w:val="24"/>
          <w:szCs w:val="24"/>
        </w:rPr>
      </w:pPr>
    </w:p>
    <w:p w:rsidR="006E044F" w:rsidRPr="00AB5890" w:rsidRDefault="006E044F" w:rsidP="00BE6545">
      <w:pPr>
        <w:pStyle w:val="Level1"/>
        <w:numPr>
          <w:ilvl w:val="0"/>
          <w:numId w:val="1"/>
        </w:numPr>
        <w:tabs>
          <w:tab w:val="left" w:pos="720"/>
        </w:tabs>
        <w:ind w:left="720" w:hanging="720"/>
        <w:jc w:val="left"/>
        <w:rPr>
          <w:rFonts w:ascii="CG Times" w:hAnsi="CG Times" w:cs="CG Times"/>
          <w:bCs/>
        </w:rPr>
      </w:pPr>
      <w:r w:rsidRPr="00AB5890">
        <w:rPr>
          <w:rFonts w:ascii="CG Times" w:hAnsi="CG Times" w:cs="CG Times"/>
          <w:bCs/>
          <w:u w:val="single"/>
        </w:rPr>
        <w:t>EXPLANATION OF DECISION TO PROVIDE ANY PAYMENT OR GIFT TO</w:t>
      </w:r>
      <w:r w:rsidR="00792196">
        <w:rPr>
          <w:rFonts w:ascii="CG Times" w:hAnsi="CG Times" w:cs="CG Times"/>
          <w:bCs/>
          <w:u w:val="single"/>
        </w:rPr>
        <w:t xml:space="preserve"> </w:t>
      </w:r>
      <w:r w:rsidRPr="00AB5890">
        <w:rPr>
          <w:rFonts w:ascii="CG Times" w:hAnsi="CG Times" w:cs="CG Times"/>
          <w:bCs/>
          <w:u w:val="single"/>
        </w:rPr>
        <w:t>RESPONDENTS</w:t>
      </w:r>
    </w:p>
    <w:p w:rsidR="006E044F" w:rsidRPr="00AB5890" w:rsidRDefault="006E044F" w:rsidP="00BE6545">
      <w:pPr>
        <w:numPr>
          <w:ilvl w:val="12"/>
          <w:numId w:val="0"/>
        </w:numPr>
        <w:rPr>
          <w:rFonts w:ascii="CG Times" w:hAnsi="CG Times" w:cs="CG Times"/>
          <w:bCs/>
          <w:sz w:val="24"/>
          <w:szCs w:val="24"/>
        </w:rPr>
      </w:pPr>
    </w:p>
    <w:p w:rsidR="006E044F" w:rsidRPr="00AB5890" w:rsidRDefault="00C07E71" w:rsidP="00BE6545">
      <w:pPr>
        <w:numPr>
          <w:ilvl w:val="12"/>
          <w:numId w:val="0"/>
        </w:numPr>
        <w:ind w:left="720"/>
        <w:rPr>
          <w:rFonts w:ascii="CG Times" w:hAnsi="CG Times" w:cs="CG Times"/>
          <w:bCs/>
          <w:sz w:val="24"/>
          <w:szCs w:val="24"/>
        </w:rPr>
      </w:pPr>
      <w:r w:rsidRPr="00C07E71">
        <w:rPr>
          <w:rFonts w:ascii="CG Times" w:hAnsi="CG Times" w:cs="CG Times"/>
          <w:bCs/>
          <w:sz w:val="24"/>
          <w:szCs w:val="24"/>
        </w:rPr>
        <w:t>No payment or gift has been provided to any respondents</w:t>
      </w:r>
      <w:r w:rsidR="006E044F" w:rsidRPr="00AB5890">
        <w:rPr>
          <w:rFonts w:ascii="CG Times" w:hAnsi="CG Times" w:cs="CG Times"/>
          <w:bCs/>
          <w:sz w:val="24"/>
          <w:szCs w:val="24"/>
        </w:rPr>
        <w:t>.</w:t>
      </w:r>
    </w:p>
    <w:p w:rsidR="006E044F" w:rsidRPr="00AB5890" w:rsidRDefault="006E044F" w:rsidP="00BE6545">
      <w:pPr>
        <w:numPr>
          <w:ilvl w:val="12"/>
          <w:numId w:val="0"/>
        </w:numPr>
        <w:rPr>
          <w:rFonts w:ascii="CG Times" w:hAnsi="CG Times" w:cs="CG Times"/>
          <w:bCs/>
          <w:sz w:val="24"/>
          <w:szCs w:val="24"/>
        </w:rPr>
      </w:pPr>
    </w:p>
    <w:p w:rsidR="006E044F" w:rsidRPr="00AB5890" w:rsidRDefault="006E044F" w:rsidP="00BE6545">
      <w:pPr>
        <w:pStyle w:val="Level1"/>
        <w:numPr>
          <w:ilvl w:val="0"/>
          <w:numId w:val="1"/>
        </w:numPr>
        <w:tabs>
          <w:tab w:val="left" w:pos="720"/>
        </w:tabs>
        <w:ind w:left="720" w:hanging="720"/>
        <w:jc w:val="left"/>
        <w:rPr>
          <w:rFonts w:ascii="CG Times" w:hAnsi="CG Times" w:cs="CG Times"/>
          <w:bCs/>
        </w:rPr>
      </w:pPr>
      <w:r w:rsidRPr="00AB5890">
        <w:rPr>
          <w:rFonts w:ascii="CG Times" w:hAnsi="CG Times" w:cs="CG Times"/>
          <w:bCs/>
          <w:u w:val="single"/>
        </w:rPr>
        <w:t>ASSURANCE OF CONFIDENTIALITY OF RESPONSES</w:t>
      </w:r>
    </w:p>
    <w:p w:rsidR="006E044F" w:rsidRPr="00AB5890" w:rsidRDefault="006E044F" w:rsidP="00BE6545">
      <w:pPr>
        <w:numPr>
          <w:ilvl w:val="12"/>
          <w:numId w:val="0"/>
        </w:numPr>
        <w:rPr>
          <w:rFonts w:ascii="CG Times" w:hAnsi="CG Times" w:cs="CG Times"/>
          <w:bCs/>
          <w:sz w:val="24"/>
          <w:szCs w:val="24"/>
        </w:rPr>
      </w:pPr>
    </w:p>
    <w:p w:rsidR="006E044F" w:rsidRPr="00AB5890" w:rsidRDefault="006E044F" w:rsidP="00BE6545">
      <w:pPr>
        <w:numPr>
          <w:ilvl w:val="12"/>
          <w:numId w:val="0"/>
        </w:numPr>
        <w:ind w:left="720"/>
        <w:rPr>
          <w:rFonts w:ascii="CG Times" w:hAnsi="CG Times" w:cs="CG Times"/>
          <w:bCs/>
          <w:sz w:val="24"/>
          <w:szCs w:val="24"/>
        </w:rPr>
      </w:pPr>
      <w:r w:rsidRPr="00AB5890">
        <w:rPr>
          <w:rFonts w:ascii="CG Times" w:hAnsi="CG Times" w:cs="CG Times"/>
          <w:bCs/>
          <w:sz w:val="24"/>
          <w:szCs w:val="24"/>
        </w:rPr>
        <w:t>Generally, tax returns and tax return information are confidential as required by 26 USC 6103.</w:t>
      </w:r>
    </w:p>
    <w:p w:rsidR="006E044F" w:rsidRPr="00AB5890" w:rsidRDefault="006E044F" w:rsidP="00BE6545">
      <w:pPr>
        <w:numPr>
          <w:ilvl w:val="12"/>
          <w:numId w:val="0"/>
        </w:numPr>
        <w:rPr>
          <w:rFonts w:ascii="CG Times" w:hAnsi="CG Times" w:cs="CG Times"/>
          <w:bCs/>
          <w:sz w:val="24"/>
          <w:szCs w:val="24"/>
        </w:rPr>
      </w:pPr>
    </w:p>
    <w:p w:rsidR="006E044F" w:rsidRPr="00AB5890" w:rsidRDefault="006E044F" w:rsidP="00BE6545">
      <w:pPr>
        <w:pStyle w:val="Level1"/>
        <w:numPr>
          <w:ilvl w:val="0"/>
          <w:numId w:val="1"/>
        </w:numPr>
        <w:tabs>
          <w:tab w:val="left" w:pos="720"/>
        </w:tabs>
        <w:ind w:left="720" w:hanging="720"/>
        <w:jc w:val="left"/>
        <w:rPr>
          <w:rFonts w:ascii="CG Times" w:hAnsi="CG Times" w:cs="CG Times"/>
          <w:bCs/>
          <w:u w:val="single"/>
        </w:rPr>
      </w:pPr>
      <w:r w:rsidRPr="00AB5890">
        <w:rPr>
          <w:rFonts w:ascii="CG Times" w:hAnsi="CG Times" w:cs="CG Times"/>
          <w:bCs/>
          <w:u w:val="single"/>
        </w:rPr>
        <w:t>JUSTIFICATION OF SENSITIVE QUESTIONS</w:t>
      </w:r>
    </w:p>
    <w:p w:rsidR="006E044F" w:rsidRPr="00AB5890" w:rsidRDefault="006E044F" w:rsidP="00BE6545">
      <w:pPr>
        <w:numPr>
          <w:ilvl w:val="12"/>
          <w:numId w:val="0"/>
        </w:numPr>
        <w:rPr>
          <w:rFonts w:ascii="CG Times" w:hAnsi="CG Times" w:cs="CG Times"/>
          <w:bCs/>
          <w:sz w:val="24"/>
          <w:szCs w:val="24"/>
          <w:u w:val="single"/>
        </w:rPr>
      </w:pPr>
    </w:p>
    <w:p w:rsidR="006E044F" w:rsidRPr="00AB5890" w:rsidRDefault="000B51AB" w:rsidP="00BE6545">
      <w:pPr>
        <w:numPr>
          <w:ilvl w:val="12"/>
          <w:numId w:val="0"/>
        </w:numPr>
        <w:ind w:left="720"/>
        <w:rPr>
          <w:rFonts w:ascii="CG Times" w:hAnsi="CG Times" w:cs="CG Times"/>
          <w:bCs/>
          <w:sz w:val="24"/>
          <w:szCs w:val="24"/>
        </w:rPr>
      </w:pPr>
      <w:r>
        <w:rPr>
          <w:rFonts w:ascii="CG Times" w:hAnsi="CG Times" w:cs="CG Times"/>
          <w:bCs/>
          <w:sz w:val="24"/>
          <w:szCs w:val="24"/>
        </w:rPr>
        <w:t>There is no personally identifiable information (PII) collected.</w:t>
      </w:r>
    </w:p>
    <w:p w:rsidR="00C07E71" w:rsidRPr="00AB5890" w:rsidRDefault="00C07E71" w:rsidP="00BE6545">
      <w:pPr>
        <w:numPr>
          <w:ilvl w:val="12"/>
          <w:numId w:val="0"/>
        </w:numPr>
        <w:rPr>
          <w:rFonts w:ascii="CG Times" w:hAnsi="CG Times" w:cs="CG Times"/>
          <w:bCs/>
          <w:sz w:val="24"/>
          <w:szCs w:val="24"/>
        </w:rPr>
      </w:pPr>
    </w:p>
    <w:p w:rsidR="006E044F" w:rsidRPr="00AB5890" w:rsidRDefault="006E044F" w:rsidP="00BE6545">
      <w:pPr>
        <w:pStyle w:val="Level1"/>
        <w:numPr>
          <w:ilvl w:val="0"/>
          <w:numId w:val="1"/>
        </w:numPr>
        <w:tabs>
          <w:tab w:val="left" w:pos="720"/>
        </w:tabs>
        <w:ind w:left="720" w:hanging="720"/>
        <w:jc w:val="left"/>
        <w:rPr>
          <w:rFonts w:ascii="CG Times" w:hAnsi="CG Times" w:cs="CG Times"/>
          <w:bCs/>
          <w:u w:val="single"/>
        </w:rPr>
      </w:pPr>
      <w:r w:rsidRPr="00AB5890">
        <w:rPr>
          <w:rFonts w:ascii="CG Times" w:hAnsi="CG Times" w:cs="CG Times"/>
          <w:bCs/>
          <w:u w:val="single"/>
        </w:rPr>
        <w:t>ESTIMATED BURDEN OF INFORMATION COLLECTION</w:t>
      </w:r>
    </w:p>
    <w:p w:rsidR="006E044F" w:rsidRPr="00AB5890" w:rsidRDefault="006E044F" w:rsidP="00BE6545">
      <w:pPr>
        <w:numPr>
          <w:ilvl w:val="12"/>
          <w:numId w:val="0"/>
        </w:numPr>
        <w:rPr>
          <w:rFonts w:ascii="CG Times" w:hAnsi="CG Times" w:cs="CG Times"/>
          <w:bCs/>
          <w:sz w:val="24"/>
          <w:szCs w:val="24"/>
          <w:u w:val="single"/>
        </w:rPr>
      </w:pPr>
    </w:p>
    <w:p w:rsidR="0036124C" w:rsidRDefault="000B51AB" w:rsidP="00DA5383">
      <w:pPr>
        <w:ind w:left="720"/>
        <w:rPr>
          <w:rFonts w:ascii="Times New Roman" w:hAnsi="Times New Roman" w:cs="Times New Roman"/>
          <w:sz w:val="24"/>
          <w:szCs w:val="24"/>
        </w:rPr>
      </w:pPr>
      <w:r w:rsidRPr="00807729">
        <w:rPr>
          <w:rFonts w:ascii="Times New Roman" w:hAnsi="Times New Roman" w:cs="Times New Roman"/>
          <w:sz w:val="24"/>
          <w:szCs w:val="24"/>
        </w:rPr>
        <w:t>The</w:t>
      </w:r>
      <w:r w:rsidRPr="00807729">
        <w:rPr>
          <w:rFonts w:cs="Times New Roman"/>
          <w:sz w:val="24"/>
          <w:szCs w:val="24"/>
        </w:rPr>
        <w:t xml:space="preserve"> </w:t>
      </w:r>
      <w:r w:rsidRPr="00807729">
        <w:rPr>
          <w:rFonts w:ascii="Times New Roman" w:hAnsi="Times New Roman" w:cs="Times New Roman"/>
          <w:sz w:val="24"/>
          <w:szCs w:val="24"/>
        </w:rPr>
        <w:t>collections of information in these final</w:t>
      </w:r>
      <w:r>
        <w:rPr>
          <w:rFonts w:cs="Times New Roman"/>
          <w:szCs w:val="24"/>
        </w:rPr>
        <w:t xml:space="preserve"> </w:t>
      </w:r>
      <w:r w:rsidRPr="00807729">
        <w:rPr>
          <w:rFonts w:ascii="Times New Roman" w:hAnsi="Times New Roman" w:cs="Times New Roman"/>
          <w:sz w:val="24"/>
          <w:szCs w:val="24"/>
        </w:rPr>
        <w:t>regulations are in § 1.1045–1(b</w:t>
      </w:r>
      <w:proofErr w:type="gramStart"/>
      <w:r w:rsidRPr="00807729">
        <w:rPr>
          <w:rFonts w:ascii="Times New Roman" w:hAnsi="Times New Roman" w:cs="Times New Roman"/>
          <w:sz w:val="24"/>
          <w:szCs w:val="24"/>
        </w:rPr>
        <w:t>)(</w:t>
      </w:r>
      <w:proofErr w:type="gramEnd"/>
      <w:r w:rsidRPr="00807729">
        <w:rPr>
          <w:rFonts w:ascii="Times New Roman" w:hAnsi="Times New Roman" w:cs="Times New Roman"/>
          <w:sz w:val="24"/>
          <w:szCs w:val="24"/>
        </w:rPr>
        <w:t>3)(ii)(C),</w:t>
      </w:r>
      <w:r>
        <w:rPr>
          <w:rFonts w:cs="Times New Roman"/>
          <w:szCs w:val="24"/>
        </w:rPr>
        <w:t xml:space="preserve"> </w:t>
      </w:r>
      <w:r w:rsidRPr="00807729">
        <w:rPr>
          <w:rFonts w:ascii="Times New Roman" w:hAnsi="Times New Roman" w:cs="Times New Roman"/>
          <w:sz w:val="24"/>
          <w:szCs w:val="24"/>
        </w:rPr>
        <w:t>(b)(5)(ii), and (c)(4)(ii). The information</w:t>
      </w:r>
      <w:r>
        <w:rPr>
          <w:rFonts w:cs="Times New Roman"/>
          <w:szCs w:val="24"/>
        </w:rPr>
        <w:t xml:space="preserve"> </w:t>
      </w:r>
      <w:r w:rsidRPr="00807729">
        <w:rPr>
          <w:rFonts w:ascii="Times New Roman" w:hAnsi="Times New Roman" w:cs="Times New Roman"/>
          <w:sz w:val="24"/>
          <w:szCs w:val="24"/>
        </w:rPr>
        <w:t>collected in § 1.1045–1(b</w:t>
      </w:r>
      <w:proofErr w:type="gramStart"/>
      <w:r w:rsidRPr="00807729">
        <w:rPr>
          <w:rFonts w:ascii="Times New Roman" w:hAnsi="Times New Roman" w:cs="Times New Roman"/>
          <w:sz w:val="24"/>
          <w:szCs w:val="24"/>
        </w:rPr>
        <w:t>)(</w:t>
      </w:r>
      <w:proofErr w:type="gramEnd"/>
      <w:r w:rsidRPr="00807729">
        <w:rPr>
          <w:rFonts w:ascii="Times New Roman" w:hAnsi="Times New Roman" w:cs="Times New Roman"/>
          <w:sz w:val="24"/>
          <w:szCs w:val="24"/>
        </w:rPr>
        <w:t>5)(ii) is</w:t>
      </w:r>
      <w:r>
        <w:rPr>
          <w:rFonts w:cs="Times New Roman"/>
          <w:szCs w:val="24"/>
        </w:rPr>
        <w:t xml:space="preserve"> </w:t>
      </w:r>
      <w:r w:rsidRPr="00807729">
        <w:rPr>
          <w:rFonts w:ascii="Times New Roman" w:hAnsi="Times New Roman" w:cs="Times New Roman"/>
          <w:sz w:val="24"/>
          <w:szCs w:val="24"/>
        </w:rPr>
        <w:t>required to ensure that gain from the</w:t>
      </w:r>
      <w:r>
        <w:rPr>
          <w:rFonts w:cs="Times New Roman"/>
          <w:szCs w:val="24"/>
        </w:rPr>
        <w:t xml:space="preserve"> </w:t>
      </w:r>
      <w:r w:rsidRPr="00807729">
        <w:rPr>
          <w:rFonts w:ascii="Times New Roman" w:hAnsi="Times New Roman" w:cs="Times New Roman"/>
          <w:sz w:val="24"/>
          <w:szCs w:val="24"/>
        </w:rPr>
        <w:t>sale of QSB stock by a partnership is</w:t>
      </w:r>
      <w:r>
        <w:rPr>
          <w:rFonts w:cs="Times New Roman"/>
          <w:szCs w:val="24"/>
        </w:rPr>
        <w:t xml:space="preserve"> </w:t>
      </w:r>
      <w:r w:rsidRPr="00807729">
        <w:rPr>
          <w:rFonts w:ascii="Times New Roman" w:hAnsi="Times New Roman" w:cs="Times New Roman"/>
          <w:sz w:val="24"/>
          <w:szCs w:val="24"/>
        </w:rPr>
        <w:t>reported correctly. The information</w:t>
      </w:r>
      <w:r>
        <w:rPr>
          <w:rFonts w:cs="Times New Roman"/>
          <w:szCs w:val="24"/>
        </w:rPr>
        <w:t xml:space="preserve"> </w:t>
      </w:r>
      <w:r w:rsidRPr="00807729">
        <w:rPr>
          <w:rFonts w:ascii="Times New Roman" w:hAnsi="Times New Roman" w:cs="Times New Roman"/>
          <w:sz w:val="24"/>
          <w:szCs w:val="24"/>
        </w:rPr>
        <w:t>collected in § 1.1045–1(b</w:t>
      </w:r>
      <w:proofErr w:type="gramStart"/>
      <w:r w:rsidRPr="00807729">
        <w:rPr>
          <w:rFonts w:ascii="Times New Roman" w:hAnsi="Times New Roman" w:cs="Times New Roman"/>
          <w:sz w:val="24"/>
          <w:szCs w:val="24"/>
        </w:rPr>
        <w:t>)(</w:t>
      </w:r>
      <w:proofErr w:type="gramEnd"/>
      <w:r w:rsidRPr="00807729">
        <w:rPr>
          <w:rFonts w:ascii="Times New Roman" w:hAnsi="Times New Roman" w:cs="Times New Roman"/>
          <w:sz w:val="24"/>
          <w:szCs w:val="24"/>
        </w:rPr>
        <w:t>3)(ii)(C) and</w:t>
      </w:r>
      <w:r>
        <w:rPr>
          <w:rFonts w:cs="Times New Roman"/>
          <w:szCs w:val="24"/>
        </w:rPr>
        <w:t xml:space="preserve"> </w:t>
      </w:r>
      <w:r w:rsidRPr="00807729">
        <w:rPr>
          <w:rFonts w:ascii="Times New Roman" w:hAnsi="Times New Roman" w:cs="Times New Roman"/>
          <w:sz w:val="24"/>
          <w:szCs w:val="24"/>
        </w:rPr>
        <w:t>(c)(4)(ii) will be used by the partnership</w:t>
      </w:r>
      <w:r>
        <w:rPr>
          <w:rFonts w:cs="Times New Roman"/>
          <w:szCs w:val="24"/>
        </w:rPr>
        <w:t xml:space="preserve"> </w:t>
      </w:r>
      <w:r w:rsidRPr="00807729">
        <w:rPr>
          <w:rFonts w:ascii="Times New Roman" w:hAnsi="Times New Roman" w:cs="Times New Roman"/>
          <w:sz w:val="24"/>
          <w:szCs w:val="24"/>
        </w:rPr>
        <w:t>and the partner to make the basis</w:t>
      </w:r>
      <w:r>
        <w:rPr>
          <w:rFonts w:cs="Times New Roman"/>
          <w:szCs w:val="24"/>
        </w:rPr>
        <w:t xml:space="preserve"> </w:t>
      </w:r>
      <w:r w:rsidRPr="00807729">
        <w:rPr>
          <w:rFonts w:ascii="Times New Roman" w:hAnsi="Times New Roman" w:cs="Times New Roman"/>
          <w:sz w:val="24"/>
          <w:szCs w:val="24"/>
        </w:rPr>
        <w:t>adjustments upon the sale of QSB stock</w:t>
      </w:r>
      <w:r>
        <w:rPr>
          <w:rFonts w:cs="Times New Roman"/>
          <w:szCs w:val="24"/>
        </w:rPr>
        <w:t xml:space="preserve"> </w:t>
      </w:r>
      <w:r w:rsidRPr="00807729">
        <w:rPr>
          <w:rFonts w:ascii="Times New Roman" w:hAnsi="Times New Roman" w:cs="Times New Roman"/>
          <w:sz w:val="24"/>
          <w:szCs w:val="24"/>
        </w:rPr>
        <w:t>and the purchase of replacement QSB</w:t>
      </w:r>
      <w:r>
        <w:rPr>
          <w:rFonts w:cs="Times New Roman"/>
          <w:szCs w:val="24"/>
        </w:rPr>
        <w:t xml:space="preserve"> </w:t>
      </w:r>
      <w:r w:rsidRPr="00807729">
        <w:rPr>
          <w:rFonts w:ascii="Times New Roman" w:hAnsi="Times New Roman" w:cs="Times New Roman"/>
          <w:sz w:val="24"/>
          <w:szCs w:val="24"/>
        </w:rPr>
        <w:t xml:space="preserve">stock when necessary. </w:t>
      </w:r>
      <w:r>
        <w:rPr>
          <w:rFonts w:cs="Times New Roman"/>
          <w:szCs w:val="24"/>
        </w:rPr>
        <w:t xml:space="preserve"> </w:t>
      </w:r>
      <w:r w:rsidRPr="00807729">
        <w:rPr>
          <w:rFonts w:ascii="Times New Roman" w:hAnsi="Times New Roman" w:cs="Times New Roman"/>
          <w:sz w:val="24"/>
          <w:szCs w:val="24"/>
        </w:rPr>
        <w:t>The estimated annual burden per</w:t>
      </w:r>
      <w:r>
        <w:rPr>
          <w:rFonts w:cs="Times New Roman"/>
          <w:szCs w:val="24"/>
        </w:rPr>
        <w:t xml:space="preserve"> </w:t>
      </w:r>
      <w:r w:rsidRPr="00807729">
        <w:rPr>
          <w:rFonts w:ascii="Times New Roman" w:hAnsi="Times New Roman" w:cs="Times New Roman"/>
          <w:sz w:val="24"/>
          <w:szCs w:val="24"/>
        </w:rPr>
        <w:t>respondent varies from 45 to 75</w:t>
      </w:r>
      <w:r>
        <w:rPr>
          <w:rFonts w:cs="Times New Roman"/>
          <w:szCs w:val="24"/>
        </w:rPr>
        <w:t xml:space="preserve"> </w:t>
      </w:r>
      <w:r w:rsidRPr="00807729">
        <w:rPr>
          <w:rFonts w:ascii="Times New Roman" w:hAnsi="Times New Roman" w:cs="Times New Roman"/>
          <w:sz w:val="24"/>
          <w:szCs w:val="24"/>
        </w:rPr>
        <w:t>minutes, depending on individual</w:t>
      </w:r>
      <w:r>
        <w:rPr>
          <w:rFonts w:cs="Times New Roman"/>
          <w:szCs w:val="24"/>
        </w:rPr>
        <w:t xml:space="preserve"> </w:t>
      </w:r>
      <w:r w:rsidRPr="00807729">
        <w:rPr>
          <w:rFonts w:ascii="Times New Roman" w:hAnsi="Times New Roman" w:cs="Times New Roman"/>
          <w:sz w:val="24"/>
          <w:szCs w:val="24"/>
        </w:rPr>
        <w:lastRenderedPageBreak/>
        <w:t>circumstances, with an estimated</w:t>
      </w:r>
      <w:r>
        <w:rPr>
          <w:rFonts w:cs="Times New Roman"/>
          <w:szCs w:val="24"/>
        </w:rPr>
        <w:t xml:space="preserve"> </w:t>
      </w:r>
      <w:r w:rsidRPr="00807729">
        <w:rPr>
          <w:rFonts w:ascii="Times New Roman" w:hAnsi="Times New Roman" w:cs="Times New Roman"/>
          <w:sz w:val="24"/>
          <w:szCs w:val="24"/>
        </w:rPr>
        <w:t>average of 1 hour.</w:t>
      </w:r>
      <w:r w:rsidR="0036124C">
        <w:rPr>
          <w:rFonts w:ascii="Times New Roman" w:hAnsi="Times New Roman" w:cs="Times New Roman"/>
          <w:sz w:val="24"/>
          <w:szCs w:val="24"/>
        </w:rPr>
        <w:t xml:space="preserve">  </w:t>
      </w:r>
    </w:p>
    <w:p w:rsidR="000B51AB" w:rsidRPr="00C1508B" w:rsidRDefault="000B51AB" w:rsidP="0036124C">
      <w:pPr>
        <w:rPr>
          <w:rFonts w:ascii="Times Roman" w:hAnsi="Times Roman" w:cs="Times New Roman"/>
          <w:sz w:val="24"/>
          <w:szCs w:val="24"/>
        </w:rPr>
      </w:pPr>
    </w:p>
    <w:tbl>
      <w:tblPr>
        <w:tblW w:w="874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589"/>
        <w:gridCol w:w="1504"/>
        <w:gridCol w:w="1551"/>
        <w:gridCol w:w="1402"/>
        <w:gridCol w:w="1366"/>
      </w:tblGrid>
      <w:tr w:rsidR="00AE6869" w:rsidRPr="000B51AB" w:rsidTr="00AE6869">
        <w:tc>
          <w:tcPr>
            <w:tcW w:w="1336" w:type="dxa"/>
            <w:vAlign w:val="center"/>
          </w:tcPr>
          <w:p w:rsidR="00AE6869" w:rsidRPr="000B51AB" w:rsidRDefault="00AE6869" w:rsidP="00AE6869">
            <w:pPr>
              <w:jc w:val="center"/>
              <w:rPr>
                <w:rFonts w:ascii="Arial Narrow" w:eastAsia="Calibri" w:hAnsi="Arial Narrow" w:cs="Arial"/>
                <w:sz w:val="18"/>
                <w:szCs w:val="18"/>
              </w:rPr>
            </w:pPr>
            <w:r>
              <w:rPr>
                <w:rFonts w:ascii="Arial Narrow" w:eastAsia="Calibri" w:hAnsi="Arial Narrow" w:cs="Arial"/>
                <w:sz w:val="18"/>
                <w:szCs w:val="18"/>
              </w:rPr>
              <w:t>Authority</w:t>
            </w:r>
          </w:p>
        </w:tc>
        <w:tc>
          <w:tcPr>
            <w:tcW w:w="1589" w:type="dxa"/>
            <w:shd w:val="clear" w:color="auto" w:fill="auto"/>
            <w:vAlign w:val="center"/>
          </w:tcPr>
          <w:p w:rsidR="00AE6869" w:rsidRPr="000B51AB" w:rsidRDefault="00AE6869" w:rsidP="00BE6545">
            <w:pPr>
              <w:jc w:val="center"/>
              <w:rPr>
                <w:rFonts w:ascii="Arial Narrow" w:eastAsia="Calibri" w:hAnsi="Arial Narrow" w:cs="Arial"/>
                <w:sz w:val="18"/>
                <w:szCs w:val="18"/>
              </w:rPr>
            </w:pPr>
            <w:r w:rsidRPr="000B51AB">
              <w:rPr>
                <w:rFonts w:ascii="Arial Narrow" w:eastAsia="Calibri" w:hAnsi="Arial Narrow" w:cs="Arial"/>
                <w:sz w:val="18"/>
                <w:szCs w:val="18"/>
              </w:rPr>
              <w:t>No. Respondents</w:t>
            </w:r>
          </w:p>
        </w:tc>
        <w:tc>
          <w:tcPr>
            <w:tcW w:w="1504" w:type="dxa"/>
            <w:shd w:val="clear" w:color="auto" w:fill="auto"/>
            <w:vAlign w:val="center"/>
          </w:tcPr>
          <w:p w:rsidR="00AE6869" w:rsidRPr="000B51AB" w:rsidRDefault="00AE6869" w:rsidP="00BE6545">
            <w:pPr>
              <w:jc w:val="center"/>
              <w:rPr>
                <w:rFonts w:ascii="Arial Narrow" w:eastAsia="Calibri" w:hAnsi="Arial Narrow" w:cs="Arial"/>
                <w:sz w:val="18"/>
                <w:szCs w:val="18"/>
              </w:rPr>
            </w:pPr>
            <w:r w:rsidRPr="000B51AB">
              <w:rPr>
                <w:rFonts w:ascii="Arial Narrow" w:eastAsia="Calibri" w:hAnsi="Arial Narrow" w:cs="Arial"/>
                <w:sz w:val="18"/>
                <w:szCs w:val="18"/>
              </w:rPr>
              <w:t>No. Responses Per Respondent</w:t>
            </w:r>
          </w:p>
        </w:tc>
        <w:tc>
          <w:tcPr>
            <w:tcW w:w="1551" w:type="dxa"/>
            <w:shd w:val="clear" w:color="auto" w:fill="auto"/>
            <w:vAlign w:val="center"/>
          </w:tcPr>
          <w:p w:rsidR="00AE6869" w:rsidRPr="000B51AB" w:rsidRDefault="00AE6869" w:rsidP="00BE6545">
            <w:pPr>
              <w:jc w:val="center"/>
              <w:rPr>
                <w:rFonts w:ascii="Arial Narrow" w:eastAsia="Calibri" w:hAnsi="Arial Narrow" w:cs="Arial"/>
                <w:sz w:val="18"/>
                <w:szCs w:val="18"/>
              </w:rPr>
            </w:pPr>
            <w:r w:rsidRPr="000B51AB">
              <w:rPr>
                <w:rFonts w:ascii="Arial Narrow" w:eastAsia="Calibri" w:hAnsi="Arial Narrow" w:cs="Arial"/>
                <w:sz w:val="18"/>
                <w:szCs w:val="18"/>
              </w:rPr>
              <w:t>Annual Responses</w:t>
            </w:r>
          </w:p>
        </w:tc>
        <w:tc>
          <w:tcPr>
            <w:tcW w:w="1402" w:type="dxa"/>
            <w:shd w:val="clear" w:color="auto" w:fill="auto"/>
            <w:vAlign w:val="center"/>
          </w:tcPr>
          <w:p w:rsidR="00AE6869" w:rsidRPr="000B51AB" w:rsidRDefault="00AE6869" w:rsidP="00BE6545">
            <w:pPr>
              <w:jc w:val="center"/>
              <w:rPr>
                <w:rFonts w:ascii="Arial Narrow" w:eastAsia="Calibri" w:hAnsi="Arial Narrow" w:cs="Arial"/>
                <w:sz w:val="18"/>
                <w:szCs w:val="18"/>
              </w:rPr>
            </w:pPr>
            <w:r w:rsidRPr="000B51AB">
              <w:rPr>
                <w:rFonts w:ascii="Arial Narrow" w:eastAsia="Calibri" w:hAnsi="Arial Narrow" w:cs="Arial"/>
                <w:sz w:val="18"/>
                <w:szCs w:val="18"/>
              </w:rPr>
              <w:t>Hours Per Response</w:t>
            </w:r>
          </w:p>
        </w:tc>
        <w:tc>
          <w:tcPr>
            <w:tcW w:w="1366" w:type="dxa"/>
            <w:shd w:val="clear" w:color="auto" w:fill="auto"/>
            <w:vAlign w:val="center"/>
          </w:tcPr>
          <w:p w:rsidR="00AE6869" w:rsidRPr="000B51AB" w:rsidRDefault="00AE6869" w:rsidP="00BE6545">
            <w:pPr>
              <w:jc w:val="center"/>
              <w:rPr>
                <w:rFonts w:ascii="Arial Narrow" w:eastAsia="Calibri" w:hAnsi="Arial Narrow" w:cs="Arial"/>
                <w:sz w:val="18"/>
                <w:szCs w:val="18"/>
              </w:rPr>
            </w:pPr>
            <w:r w:rsidRPr="000B51AB">
              <w:rPr>
                <w:rFonts w:ascii="Arial Narrow" w:eastAsia="Calibri" w:hAnsi="Arial Narrow" w:cs="Arial"/>
                <w:sz w:val="18"/>
                <w:szCs w:val="18"/>
              </w:rPr>
              <w:t>Total Annual Burden</w:t>
            </w:r>
          </w:p>
        </w:tc>
      </w:tr>
      <w:tr w:rsidR="00AE6869" w:rsidRPr="000B51AB" w:rsidTr="00AE6869">
        <w:trPr>
          <w:trHeight w:val="467"/>
        </w:trPr>
        <w:tc>
          <w:tcPr>
            <w:tcW w:w="1336" w:type="dxa"/>
          </w:tcPr>
          <w:p w:rsidR="00AE6869" w:rsidRPr="000B51AB" w:rsidRDefault="00AE6869" w:rsidP="00BE6545">
            <w:pPr>
              <w:jc w:val="center"/>
              <w:rPr>
                <w:rFonts w:ascii="Arial" w:eastAsia="Calibri" w:hAnsi="Arial" w:cs="Arial"/>
                <w:sz w:val="24"/>
                <w:szCs w:val="24"/>
              </w:rPr>
            </w:pPr>
            <w:r>
              <w:rPr>
                <w:rFonts w:ascii="Arial" w:eastAsia="Calibri" w:hAnsi="Arial" w:cs="Arial"/>
                <w:sz w:val="24"/>
                <w:szCs w:val="24"/>
              </w:rPr>
              <w:t>IRC § 1045</w:t>
            </w:r>
          </w:p>
        </w:tc>
        <w:tc>
          <w:tcPr>
            <w:tcW w:w="1589" w:type="dxa"/>
            <w:shd w:val="clear" w:color="auto" w:fill="auto"/>
            <w:vAlign w:val="center"/>
          </w:tcPr>
          <w:p w:rsidR="00AE6869" w:rsidRPr="000B51AB" w:rsidRDefault="00AE6869" w:rsidP="00BE6545">
            <w:pPr>
              <w:jc w:val="center"/>
              <w:rPr>
                <w:rFonts w:ascii="Arial" w:eastAsia="Calibri" w:hAnsi="Arial" w:cs="Arial"/>
                <w:sz w:val="24"/>
                <w:szCs w:val="24"/>
              </w:rPr>
            </w:pPr>
            <w:r w:rsidRPr="000B51AB">
              <w:rPr>
                <w:rFonts w:ascii="Arial" w:eastAsia="Calibri" w:hAnsi="Arial" w:cs="Arial"/>
                <w:sz w:val="24"/>
                <w:szCs w:val="24"/>
              </w:rPr>
              <w:t>1,500</w:t>
            </w:r>
          </w:p>
        </w:tc>
        <w:tc>
          <w:tcPr>
            <w:tcW w:w="1504" w:type="dxa"/>
            <w:shd w:val="clear" w:color="auto" w:fill="auto"/>
            <w:vAlign w:val="center"/>
          </w:tcPr>
          <w:p w:rsidR="00AE6869" w:rsidRPr="000B51AB" w:rsidRDefault="00AE6869" w:rsidP="00BE6545">
            <w:pPr>
              <w:jc w:val="center"/>
              <w:rPr>
                <w:rFonts w:ascii="Arial" w:eastAsia="Calibri" w:hAnsi="Arial" w:cs="Arial"/>
                <w:sz w:val="24"/>
                <w:szCs w:val="24"/>
              </w:rPr>
            </w:pPr>
            <w:r w:rsidRPr="000B51AB">
              <w:rPr>
                <w:rFonts w:ascii="Arial" w:eastAsia="Calibri" w:hAnsi="Arial" w:cs="Arial"/>
                <w:sz w:val="24"/>
                <w:szCs w:val="24"/>
              </w:rPr>
              <w:t>1</w:t>
            </w:r>
          </w:p>
        </w:tc>
        <w:tc>
          <w:tcPr>
            <w:tcW w:w="1551" w:type="dxa"/>
            <w:shd w:val="clear" w:color="auto" w:fill="auto"/>
            <w:vAlign w:val="center"/>
          </w:tcPr>
          <w:p w:rsidR="00AE6869" w:rsidRPr="000B51AB" w:rsidRDefault="00AE6869" w:rsidP="00BE6545">
            <w:pPr>
              <w:jc w:val="center"/>
              <w:rPr>
                <w:rFonts w:ascii="Arial" w:eastAsia="Calibri" w:hAnsi="Arial" w:cs="Arial"/>
                <w:sz w:val="24"/>
                <w:szCs w:val="24"/>
              </w:rPr>
            </w:pPr>
            <w:r w:rsidRPr="000B51AB">
              <w:rPr>
                <w:rFonts w:ascii="Arial" w:eastAsia="Calibri" w:hAnsi="Arial" w:cs="Arial"/>
                <w:sz w:val="24"/>
                <w:szCs w:val="24"/>
              </w:rPr>
              <w:t>1,500</w:t>
            </w:r>
          </w:p>
        </w:tc>
        <w:tc>
          <w:tcPr>
            <w:tcW w:w="1402" w:type="dxa"/>
            <w:shd w:val="clear" w:color="auto" w:fill="auto"/>
            <w:vAlign w:val="center"/>
          </w:tcPr>
          <w:p w:rsidR="00AE6869" w:rsidRPr="000B51AB" w:rsidRDefault="00AE6869" w:rsidP="00BE6545">
            <w:pPr>
              <w:jc w:val="center"/>
              <w:rPr>
                <w:rFonts w:ascii="Arial" w:eastAsia="Calibri" w:hAnsi="Arial" w:cs="Arial"/>
                <w:sz w:val="24"/>
                <w:szCs w:val="24"/>
              </w:rPr>
            </w:pPr>
            <w:r w:rsidRPr="000B51AB">
              <w:rPr>
                <w:rFonts w:ascii="Arial" w:eastAsia="Calibri" w:hAnsi="Arial" w:cs="Arial"/>
                <w:sz w:val="24"/>
                <w:szCs w:val="24"/>
              </w:rPr>
              <w:t>1</w:t>
            </w:r>
          </w:p>
        </w:tc>
        <w:tc>
          <w:tcPr>
            <w:tcW w:w="1366" w:type="dxa"/>
            <w:shd w:val="clear" w:color="auto" w:fill="auto"/>
            <w:vAlign w:val="center"/>
          </w:tcPr>
          <w:p w:rsidR="00AE6869" w:rsidRPr="000B51AB" w:rsidRDefault="00AE6869" w:rsidP="00BE6545">
            <w:pPr>
              <w:jc w:val="center"/>
              <w:rPr>
                <w:rFonts w:ascii="Arial" w:eastAsia="Calibri" w:hAnsi="Arial" w:cs="Arial"/>
                <w:sz w:val="24"/>
                <w:szCs w:val="24"/>
              </w:rPr>
            </w:pPr>
            <w:r w:rsidRPr="000B51AB">
              <w:rPr>
                <w:rFonts w:ascii="Arial" w:eastAsia="Calibri" w:hAnsi="Arial" w:cs="Arial"/>
                <w:sz w:val="24"/>
                <w:szCs w:val="24"/>
              </w:rPr>
              <w:t>1,500</w:t>
            </w:r>
          </w:p>
        </w:tc>
      </w:tr>
    </w:tbl>
    <w:p w:rsidR="006E044F" w:rsidRPr="00AB5890" w:rsidRDefault="006E044F" w:rsidP="00BE6545">
      <w:pPr>
        <w:numPr>
          <w:ilvl w:val="12"/>
          <w:numId w:val="0"/>
        </w:numPr>
        <w:rPr>
          <w:rFonts w:ascii="CG Times" w:hAnsi="CG Times" w:cs="CG Times"/>
          <w:bCs/>
          <w:sz w:val="24"/>
          <w:szCs w:val="24"/>
        </w:rPr>
      </w:pPr>
    </w:p>
    <w:p w:rsidR="006E044F" w:rsidRPr="00AB5890" w:rsidRDefault="006E044F" w:rsidP="00BE6545">
      <w:pPr>
        <w:pStyle w:val="Level1"/>
        <w:numPr>
          <w:ilvl w:val="0"/>
          <w:numId w:val="1"/>
        </w:numPr>
        <w:tabs>
          <w:tab w:val="left" w:pos="720"/>
        </w:tabs>
        <w:ind w:left="720" w:hanging="720"/>
        <w:jc w:val="left"/>
        <w:rPr>
          <w:rFonts w:ascii="CG Times" w:hAnsi="CG Times" w:cs="CG Times"/>
          <w:bCs/>
        </w:rPr>
      </w:pPr>
      <w:r w:rsidRPr="00AB5890">
        <w:rPr>
          <w:rFonts w:ascii="CG Times" w:hAnsi="CG Times" w:cs="CG Times"/>
          <w:bCs/>
          <w:u w:val="single"/>
        </w:rPr>
        <w:t>ESTIMATED TOTAL ANNUAL COST BURDEN TO RESPONDENTS</w:t>
      </w:r>
    </w:p>
    <w:p w:rsidR="006E044F" w:rsidRPr="00AB5890" w:rsidRDefault="006E044F" w:rsidP="00BE6545">
      <w:pPr>
        <w:numPr>
          <w:ilvl w:val="12"/>
          <w:numId w:val="0"/>
        </w:numPr>
        <w:rPr>
          <w:rFonts w:ascii="CG Times" w:hAnsi="CG Times" w:cs="CG Times"/>
          <w:bCs/>
          <w:sz w:val="24"/>
          <w:szCs w:val="24"/>
        </w:rPr>
      </w:pPr>
    </w:p>
    <w:p w:rsidR="006E044F" w:rsidRPr="00886A1E" w:rsidRDefault="006E044F" w:rsidP="00BE6545">
      <w:pPr>
        <w:numPr>
          <w:ilvl w:val="12"/>
          <w:numId w:val="0"/>
        </w:numPr>
        <w:ind w:left="720"/>
        <w:rPr>
          <w:rFonts w:ascii="CG Times" w:hAnsi="CG Times" w:cs="CG Times"/>
          <w:bCs/>
          <w:sz w:val="24"/>
          <w:szCs w:val="24"/>
        </w:rPr>
      </w:pPr>
      <w:r w:rsidRPr="00886A1E">
        <w:rPr>
          <w:rFonts w:ascii="CG Times" w:hAnsi="CG Times" w:cs="CG Times"/>
          <w:bCs/>
          <w:sz w:val="24"/>
          <w:szCs w:val="24"/>
        </w:rPr>
        <w:t xml:space="preserve">As suggested by OMB, our </w:t>
      </w:r>
      <w:r w:rsidRPr="00C1508B">
        <w:rPr>
          <w:rFonts w:ascii="CG Times" w:hAnsi="CG Times" w:cs="CG Times"/>
          <w:bCs/>
          <w:i/>
          <w:sz w:val="24"/>
          <w:szCs w:val="24"/>
        </w:rPr>
        <w:t>Federal Register</w:t>
      </w:r>
      <w:r w:rsidRPr="00886A1E">
        <w:rPr>
          <w:rFonts w:ascii="CG Times" w:hAnsi="CG Times" w:cs="CG Times"/>
          <w:bCs/>
          <w:sz w:val="24"/>
          <w:szCs w:val="24"/>
        </w:rPr>
        <w:t xml:space="preserve"> notice dated </w:t>
      </w:r>
      <w:r w:rsidR="001C490D">
        <w:rPr>
          <w:rFonts w:ascii="CG Times" w:hAnsi="CG Times" w:cs="CG Times"/>
          <w:bCs/>
          <w:sz w:val="24"/>
          <w:szCs w:val="24"/>
        </w:rPr>
        <w:t xml:space="preserve">February </w:t>
      </w:r>
      <w:r w:rsidR="0036124C">
        <w:rPr>
          <w:rFonts w:ascii="CG Times" w:hAnsi="CG Times" w:cs="CG Times"/>
          <w:bCs/>
          <w:sz w:val="24"/>
          <w:szCs w:val="24"/>
        </w:rPr>
        <w:t>23</w:t>
      </w:r>
      <w:r w:rsidR="001C490D">
        <w:rPr>
          <w:rFonts w:ascii="CG Times" w:hAnsi="CG Times" w:cs="CG Times"/>
          <w:bCs/>
          <w:sz w:val="24"/>
          <w:szCs w:val="24"/>
        </w:rPr>
        <w:t>, 2017</w:t>
      </w:r>
      <w:r w:rsidRPr="00C1508B">
        <w:rPr>
          <w:rFonts w:ascii="CG Times" w:hAnsi="CG Times" w:cs="CG Times"/>
          <w:bCs/>
          <w:sz w:val="24"/>
          <w:szCs w:val="24"/>
        </w:rPr>
        <w:t>,</w:t>
      </w:r>
      <w:r w:rsidRPr="00886A1E">
        <w:rPr>
          <w:rFonts w:ascii="CG Times" w:hAnsi="CG Times" w:cs="CG Times"/>
          <w:bCs/>
          <w:sz w:val="24"/>
          <w:szCs w:val="24"/>
        </w:rPr>
        <w:t xml:space="preserve"> requested public comments on estimates of cost burden that are not captured in the estimates of burden hours, i.e., estimates of capital or start-up costs and costs of operation, maintenance, and purchase of services to provide information.  However, we did not receive any response from taxpayers on this subject.  As a result, </w:t>
      </w:r>
      <w:r w:rsidR="00485FF9">
        <w:rPr>
          <w:rFonts w:ascii="CG Times" w:hAnsi="CG Times" w:cs="CG Times"/>
          <w:bCs/>
          <w:sz w:val="24"/>
          <w:szCs w:val="24"/>
        </w:rPr>
        <w:t xml:space="preserve">the IRS </w:t>
      </w:r>
      <w:r w:rsidRPr="00886A1E">
        <w:rPr>
          <w:rFonts w:ascii="CG Times" w:hAnsi="CG Times" w:cs="CG Times"/>
          <w:bCs/>
          <w:sz w:val="24"/>
          <w:szCs w:val="24"/>
        </w:rPr>
        <w:t xml:space="preserve">estimates the cost burdens </w:t>
      </w:r>
      <w:r w:rsidR="00485FF9">
        <w:rPr>
          <w:rFonts w:ascii="CG Times" w:hAnsi="CG Times" w:cs="CG Times"/>
          <w:bCs/>
          <w:sz w:val="24"/>
          <w:szCs w:val="24"/>
        </w:rPr>
        <w:t>on respondents to be nominal</w:t>
      </w:r>
      <w:r w:rsidRPr="00886A1E">
        <w:rPr>
          <w:rFonts w:ascii="CG Times" w:hAnsi="CG Times" w:cs="CG Times"/>
          <w:bCs/>
          <w:sz w:val="24"/>
          <w:szCs w:val="24"/>
        </w:rPr>
        <w:t xml:space="preserve">. </w:t>
      </w:r>
    </w:p>
    <w:p w:rsidR="006E044F" w:rsidRPr="00AB5890" w:rsidRDefault="006E044F" w:rsidP="00BE6545">
      <w:pPr>
        <w:numPr>
          <w:ilvl w:val="12"/>
          <w:numId w:val="0"/>
        </w:numPr>
        <w:rPr>
          <w:rFonts w:ascii="CG Times" w:hAnsi="CG Times" w:cs="CG Times"/>
          <w:bCs/>
          <w:sz w:val="24"/>
          <w:szCs w:val="24"/>
        </w:rPr>
      </w:pPr>
    </w:p>
    <w:p w:rsidR="006E044F" w:rsidRPr="00AB5890" w:rsidRDefault="006E044F" w:rsidP="00BE6545">
      <w:pPr>
        <w:pStyle w:val="Level1"/>
        <w:numPr>
          <w:ilvl w:val="0"/>
          <w:numId w:val="1"/>
        </w:numPr>
        <w:tabs>
          <w:tab w:val="left" w:pos="720"/>
        </w:tabs>
        <w:ind w:left="720" w:hanging="720"/>
        <w:jc w:val="left"/>
        <w:rPr>
          <w:rFonts w:ascii="CG Times" w:hAnsi="CG Times" w:cs="CG Times"/>
          <w:bCs/>
        </w:rPr>
      </w:pPr>
      <w:r w:rsidRPr="00AB5890">
        <w:rPr>
          <w:rFonts w:ascii="CG Times" w:hAnsi="CG Times" w:cs="CG Times"/>
          <w:bCs/>
          <w:u w:val="single"/>
        </w:rPr>
        <w:t>ESTIMATED ANNUALIZED COST TO THE FEDERAL GOVERNMENT</w:t>
      </w:r>
    </w:p>
    <w:p w:rsidR="006E044F" w:rsidRPr="00AB5890" w:rsidRDefault="006E044F" w:rsidP="00BE6545">
      <w:pPr>
        <w:numPr>
          <w:ilvl w:val="12"/>
          <w:numId w:val="0"/>
        </w:numPr>
        <w:rPr>
          <w:rFonts w:ascii="CG Times" w:hAnsi="CG Times" w:cs="CG Times"/>
          <w:bCs/>
          <w:sz w:val="24"/>
          <w:szCs w:val="24"/>
        </w:rPr>
      </w:pPr>
    </w:p>
    <w:p w:rsidR="006E044F" w:rsidRPr="00AB5890" w:rsidRDefault="00C07E71" w:rsidP="00BE6545">
      <w:pPr>
        <w:numPr>
          <w:ilvl w:val="12"/>
          <w:numId w:val="0"/>
        </w:numPr>
        <w:ind w:left="720"/>
        <w:rPr>
          <w:rFonts w:ascii="CG Times" w:hAnsi="CG Times" w:cs="CG Times"/>
          <w:bCs/>
          <w:sz w:val="24"/>
          <w:szCs w:val="24"/>
        </w:rPr>
      </w:pPr>
      <w:r w:rsidRPr="00C07E71">
        <w:rPr>
          <w:rFonts w:ascii="CG Times" w:hAnsi="CG Times" w:cs="CG Times"/>
          <w:bCs/>
          <w:sz w:val="24"/>
          <w:szCs w:val="24"/>
        </w:rPr>
        <w:t>There is no estimated annualized cost to the federal government</w:t>
      </w:r>
      <w:r w:rsidR="006E044F" w:rsidRPr="00AB5890">
        <w:rPr>
          <w:rFonts w:ascii="CG Times" w:hAnsi="CG Times" w:cs="CG Times"/>
          <w:bCs/>
          <w:sz w:val="24"/>
          <w:szCs w:val="24"/>
        </w:rPr>
        <w:t>.</w:t>
      </w:r>
    </w:p>
    <w:p w:rsidR="006E044F" w:rsidRPr="00AB5890" w:rsidRDefault="006E044F" w:rsidP="00BE6545">
      <w:pPr>
        <w:numPr>
          <w:ilvl w:val="12"/>
          <w:numId w:val="0"/>
        </w:numPr>
        <w:rPr>
          <w:rFonts w:ascii="CG Times" w:hAnsi="CG Times" w:cs="CG Times"/>
          <w:bCs/>
          <w:sz w:val="24"/>
          <w:szCs w:val="24"/>
        </w:rPr>
      </w:pPr>
    </w:p>
    <w:p w:rsidR="006E044F" w:rsidRPr="00AB5890" w:rsidRDefault="006E044F" w:rsidP="00BE6545">
      <w:pPr>
        <w:pStyle w:val="Level1"/>
        <w:numPr>
          <w:ilvl w:val="0"/>
          <w:numId w:val="1"/>
        </w:numPr>
        <w:tabs>
          <w:tab w:val="left" w:pos="720"/>
        </w:tabs>
        <w:ind w:left="720" w:hanging="720"/>
        <w:jc w:val="left"/>
        <w:rPr>
          <w:rFonts w:ascii="CG Times" w:hAnsi="CG Times" w:cs="CG Times"/>
          <w:bCs/>
        </w:rPr>
      </w:pPr>
      <w:r w:rsidRPr="00AB5890">
        <w:rPr>
          <w:rFonts w:ascii="CG Times" w:hAnsi="CG Times" w:cs="CG Times"/>
          <w:bCs/>
          <w:u w:val="single"/>
        </w:rPr>
        <w:t>REASONS FOR CHANGE IN BURDEN</w:t>
      </w:r>
    </w:p>
    <w:p w:rsidR="006E044F" w:rsidRPr="00AB5890" w:rsidRDefault="006E044F" w:rsidP="00BE6545">
      <w:pPr>
        <w:numPr>
          <w:ilvl w:val="12"/>
          <w:numId w:val="0"/>
        </w:numPr>
        <w:rPr>
          <w:rFonts w:ascii="CG Times" w:hAnsi="CG Times" w:cs="CG Times"/>
          <w:bCs/>
          <w:sz w:val="24"/>
          <w:szCs w:val="24"/>
        </w:rPr>
      </w:pPr>
    </w:p>
    <w:p w:rsidR="00BE6545" w:rsidRPr="00AE6869" w:rsidRDefault="00BE6545" w:rsidP="00BE6545">
      <w:pPr>
        <w:tabs>
          <w:tab w:val="left" w:pos="720"/>
        </w:tabs>
        <w:ind w:left="720" w:hanging="720"/>
        <w:rPr>
          <w:rFonts w:ascii="CG Times" w:hAnsi="CG Times" w:cs="CG Times"/>
          <w:bCs/>
          <w:sz w:val="24"/>
          <w:szCs w:val="24"/>
        </w:rPr>
      </w:pPr>
      <w:r>
        <w:rPr>
          <w:rFonts w:ascii="Times Roman" w:hAnsi="Times Roman"/>
          <w:sz w:val="24"/>
          <w:szCs w:val="24"/>
        </w:rPr>
        <w:tab/>
      </w:r>
      <w:r w:rsidR="00AE6869" w:rsidRPr="00AE6869">
        <w:rPr>
          <w:rFonts w:ascii="CG Times" w:hAnsi="CG Times" w:cs="CG Times"/>
          <w:bCs/>
          <w:sz w:val="24"/>
          <w:szCs w:val="24"/>
        </w:rPr>
        <w:t xml:space="preserve">There is no change in the paperwork burden previously approved by OMB.  We are making this submission to renew the OMB approval.  </w:t>
      </w:r>
    </w:p>
    <w:p w:rsidR="006E044F" w:rsidRPr="00AB5890" w:rsidRDefault="006E044F" w:rsidP="00BE6545">
      <w:pPr>
        <w:numPr>
          <w:ilvl w:val="12"/>
          <w:numId w:val="0"/>
        </w:numPr>
        <w:rPr>
          <w:rFonts w:ascii="CG Times" w:hAnsi="CG Times" w:cs="CG Times"/>
          <w:bCs/>
          <w:sz w:val="24"/>
          <w:szCs w:val="24"/>
        </w:rPr>
      </w:pPr>
    </w:p>
    <w:p w:rsidR="006E044F" w:rsidRPr="00AB5890" w:rsidRDefault="006E044F" w:rsidP="00BE6545">
      <w:pPr>
        <w:pStyle w:val="Level1"/>
        <w:numPr>
          <w:ilvl w:val="0"/>
          <w:numId w:val="1"/>
        </w:numPr>
        <w:tabs>
          <w:tab w:val="left" w:pos="720"/>
        </w:tabs>
        <w:ind w:left="720" w:hanging="720"/>
        <w:jc w:val="left"/>
        <w:rPr>
          <w:rFonts w:ascii="CG Times" w:hAnsi="CG Times" w:cs="CG Times"/>
          <w:bCs/>
        </w:rPr>
      </w:pPr>
      <w:r w:rsidRPr="00AB5890">
        <w:rPr>
          <w:rFonts w:ascii="CG Times" w:hAnsi="CG Times" w:cs="CG Times"/>
          <w:bCs/>
          <w:u w:val="single"/>
        </w:rPr>
        <w:t>PLANS FOR TABULATION, STATISTICAL ANALYSIS AND PUBLICATION</w:t>
      </w:r>
    </w:p>
    <w:p w:rsidR="006E044F" w:rsidRPr="00AB5890" w:rsidRDefault="006E044F" w:rsidP="00BE6545">
      <w:pPr>
        <w:numPr>
          <w:ilvl w:val="12"/>
          <w:numId w:val="0"/>
        </w:numPr>
        <w:rPr>
          <w:rFonts w:ascii="CG Times" w:hAnsi="CG Times" w:cs="CG Times"/>
          <w:bCs/>
          <w:sz w:val="24"/>
          <w:szCs w:val="24"/>
        </w:rPr>
      </w:pPr>
    </w:p>
    <w:p w:rsidR="006E044F" w:rsidRPr="00AB5890" w:rsidRDefault="00C07E71" w:rsidP="00BE6545">
      <w:pPr>
        <w:numPr>
          <w:ilvl w:val="12"/>
          <w:numId w:val="0"/>
        </w:numPr>
        <w:ind w:left="720"/>
        <w:rPr>
          <w:rFonts w:ascii="CG Times" w:hAnsi="CG Times" w:cs="CG Times"/>
          <w:bCs/>
          <w:sz w:val="24"/>
          <w:szCs w:val="24"/>
        </w:rPr>
      </w:pPr>
      <w:r w:rsidRPr="00C07E71">
        <w:rPr>
          <w:rFonts w:ascii="CG Times" w:hAnsi="CG Times" w:cs="CG Times"/>
          <w:bCs/>
          <w:sz w:val="24"/>
          <w:szCs w:val="24"/>
        </w:rPr>
        <w:t>There are no plans for tabulation, statistical analysis and publication</w:t>
      </w:r>
      <w:r w:rsidR="006E044F" w:rsidRPr="00AB5890">
        <w:rPr>
          <w:rFonts w:ascii="CG Times" w:hAnsi="CG Times" w:cs="CG Times"/>
          <w:bCs/>
          <w:sz w:val="24"/>
          <w:szCs w:val="24"/>
        </w:rPr>
        <w:t>.</w:t>
      </w:r>
    </w:p>
    <w:p w:rsidR="006E044F" w:rsidRPr="00AB5890" w:rsidRDefault="006E044F">
      <w:pPr>
        <w:numPr>
          <w:ilvl w:val="12"/>
          <w:numId w:val="0"/>
        </w:numPr>
        <w:ind w:left="720"/>
        <w:rPr>
          <w:rFonts w:ascii="CG Times" w:hAnsi="CG Times" w:cs="CG Times"/>
          <w:bCs/>
          <w:sz w:val="24"/>
          <w:szCs w:val="24"/>
        </w:rPr>
      </w:pPr>
    </w:p>
    <w:p w:rsidR="006E044F" w:rsidRPr="00AB5890" w:rsidRDefault="006E044F">
      <w:pPr>
        <w:pStyle w:val="Level1"/>
        <w:numPr>
          <w:ilvl w:val="0"/>
          <w:numId w:val="1"/>
        </w:numPr>
        <w:tabs>
          <w:tab w:val="left" w:pos="720"/>
        </w:tabs>
        <w:ind w:left="720" w:hanging="720"/>
        <w:jc w:val="left"/>
        <w:rPr>
          <w:rFonts w:ascii="CG Times" w:hAnsi="CG Times" w:cs="CG Times"/>
          <w:bCs/>
        </w:rPr>
      </w:pPr>
      <w:r w:rsidRPr="00AB5890">
        <w:rPr>
          <w:rFonts w:ascii="CG Times" w:hAnsi="CG Times" w:cs="CG Times"/>
          <w:bCs/>
          <w:u w:val="single"/>
        </w:rPr>
        <w:t>REASONS WHY DISPLAYING THE OMB EXPIRATION DATE IS</w:t>
      </w:r>
      <w:r w:rsidR="00792196">
        <w:rPr>
          <w:rFonts w:ascii="CG Times" w:hAnsi="CG Times" w:cs="CG Times"/>
          <w:bCs/>
          <w:u w:val="single"/>
        </w:rPr>
        <w:t xml:space="preserve"> </w:t>
      </w:r>
      <w:r w:rsidRPr="00AB5890">
        <w:rPr>
          <w:rFonts w:ascii="CG Times" w:hAnsi="CG Times" w:cs="CG Times"/>
          <w:bCs/>
          <w:u w:val="single"/>
        </w:rPr>
        <w:t>INAPPROPRIATE</w:t>
      </w:r>
    </w:p>
    <w:p w:rsidR="006E044F" w:rsidRPr="00AB5890" w:rsidRDefault="006E044F">
      <w:pPr>
        <w:numPr>
          <w:ilvl w:val="12"/>
          <w:numId w:val="0"/>
        </w:numPr>
        <w:rPr>
          <w:rFonts w:ascii="CG Times" w:hAnsi="CG Times" w:cs="CG Times"/>
          <w:bCs/>
          <w:sz w:val="24"/>
          <w:szCs w:val="24"/>
        </w:rPr>
      </w:pPr>
    </w:p>
    <w:p w:rsidR="006E044F" w:rsidRPr="00AB5890" w:rsidRDefault="006E044F">
      <w:pPr>
        <w:numPr>
          <w:ilvl w:val="12"/>
          <w:numId w:val="0"/>
        </w:numPr>
        <w:ind w:left="720"/>
        <w:rPr>
          <w:rFonts w:ascii="CG Times" w:hAnsi="CG Times" w:cs="CG Times"/>
          <w:bCs/>
          <w:sz w:val="24"/>
          <w:szCs w:val="24"/>
        </w:rPr>
      </w:pPr>
      <w:r w:rsidRPr="00AB5890">
        <w:rPr>
          <w:rFonts w:ascii="CG Times" w:hAnsi="CG Times" w:cs="CG Times"/>
          <w:bCs/>
          <w:sz w:val="24"/>
          <w:szCs w:val="24"/>
        </w:rPr>
        <w:t>We believe that displaying the OMB expiration date is inappropriate because it could cause confusion by leading taxpayers to believe that the regulations sunset as of the expiration date.  Taxpayers are not likely to be aware that the Service intends to request renewal of the OMB approval and obtain a new expiration date before the old one expires.</w:t>
      </w:r>
    </w:p>
    <w:p w:rsidR="006E044F" w:rsidRPr="00AB5890" w:rsidRDefault="006E044F">
      <w:pPr>
        <w:numPr>
          <w:ilvl w:val="12"/>
          <w:numId w:val="0"/>
        </w:numPr>
        <w:rPr>
          <w:rFonts w:ascii="CG Times" w:hAnsi="CG Times" w:cs="CG Times"/>
          <w:bCs/>
          <w:sz w:val="24"/>
          <w:szCs w:val="24"/>
        </w:rPr>
      </w:pPr>
    </w:p>
    <w:p w:rsidR="006E044F" w:rsidRPr="00AB5890" w:rsidRDefault="006E044F">
      <w:pPr>
        <w:pStyle w:val="Level1"/>
        <w:numPr>
          <w:ilvl w:val="0"/>
          <w:numId w:val="1"/>
        </w:numPr>
        <w:tabs>
          <w:tab w:val="left" w:pos="720"/>
        </w:tabs>
        <w:ind w:left="720" w:hanging="720"/>
        <w:jc w:val="left"/>
        <w:rPr>
          <w:rFonts w:ascii="CG Times" w:hAnsi="CG Times" w:cs="CG Times"/>
          <w:bCs/>
        </w:rPr>
      </w:pPr>
      <w:r w:rsidRPr="00AB5890">
        <w:rPr>
          <w:rFonts w:ascii="CG Times" w:hAnsi="CG Times" w:cs="CG Times"/>
          <w:bCs/>
          <w:u w:val="single"/>
        </w:rPr>
        <w:t>EXCEPTIONS TO THE CERTIFICATION STATEMENT</w:t>
      </w:r>
    </w:p>
    <w:p w:rsidR="006E044F" w:rsidRPr="00AB5890" w:rsidRDefault="006E044F">
      <w:pPr>
        <w:numPr>
          <w:ilvl w:val="12"/>
          <w:numId w:val="0"/>
        </w:numPr>
        <w:rPr>
          <w:rFonts w:ascii="CG Times" w:hAnsi="CG Times" w:cs="CG Times"/>
          <w:bCs/>
          <w:sz w:val="24"/>
          <w:szCs w:val="24"/>
        </w:rPr>
      </w:pPr>
    </w:p>
    <w:p w:rsidR="006E044F" w:rsidRPr="00AB5890" w:rsidRDefault="00C07E71">
      <w:pPr>
        <w:numPr>
          <w:ilvl w:val="12"/>
          <w:numId w:val="0"/>
        </w:numPr>
        <w:ind w:left="720"/>
        <w:rPr>
          <w:rFonts w:ascii="CG Times" w:hAnsi="CG Times" w:cs="CG Times"/>
          <w:bCs/>
          <w:sz w:val="24"/>
          <w:szCs w:val="24"/>
        </w:rPr>
      </w:pPr>
      <w:r w:rsidRPr="00C07E71">
        <w:rPr>
          <w:rFonts w:ascii="CG Times" w:hAnsi="CG Times" w:cs="CG Times"/>
          <w:bCs/>
          <w:sz w:val="24"/>
          <w:szCs w:val="24"/>
        </w:rPr>
        <w:t>There are no exceptions to the certification statement</w:t>
      </w:r>
      <w:r w:rsidR="006E044F" w:rsidRPr="00AB5890">
        <w:rPr>
          <w:rFonts w:ascii="CG Times" w:hAnsi="CG Times" w:cs="CG Times"/>
          <w:bCs/>
          <w:sz w:val="24"/>
          <w:szCs w:val="24"/>
        </w:rPr>
        <w:t>.</w:t>
      </w:r>
    </w:p>
    <w:p w:rsidR="00BE6545" w:rsidRPr="00AB5890" w:rsidRDefault="00BE6545">
      <w:pPr>
        <w:numPr>
          <w:ilvl w:val="12"/>
          <w:numId w:val="0"/>
        </w:numPr>
        <w:rPr>
          <w:rFonts w:ascii="CG Times" w:hAnsi="CG Times" w:cs="CG Times"/>
          <w:bCs/>
          <w:sz w:val="24"/>
          <w:szCs w:val="24"/>
        </w:rPr>
      </w:pPr>
    </w:p>
    <w:p w:rsidR="006E044F" w:rsidRPr="00AB5890" w:rsidRDefault="006E044F" w:rsidP="00BE6545">
      <w:pPr>
        <w:numPr>
          <w:ilvl w:val="12"/>
          <w:numId w:val="0"/>
        </w:numPr>
        <w:tabs>
          <w:tab w:val="left" w:pos="720"/>
        </w:tabs>
        <w:ind w:left="720" w:hanging="720"/>
        <w:rPr>
          <w:rFonts w:ascii="CG Times" w:hAnsi="CG Times" w:cs="CG Times"/>
          <w:bCs/>
          <w:sz w:val="24"/>
          <w:szCs w:val="24"/>
        </w:rPr>
      </w:pPr>
      <w:r w:rsidRPr="00AB5890">
        <w:rPr>
          <w:rFonts w:ascii="CG Times" w:hAnsi="CG Times" w:cs="CG Times"/>
          <w:bCs/>
          <w:sz w:val="24"/>
          <w:szCs w:val="24"/>
          <w:u w:val="single"/>
        </w:rPr>
        <w:t>Note:</w:t>
      </w:r>
      <w:r w:rsidR="00BE6545">
        <w:rPr>
          <w:rFonts w:ascii="CG Times" w:hAnsi="CG Times" w:cs="CG Times"/>
          <w:bCs/>
          <w:sz w:val="24"/>
          <w:szCs w:val="24"/>
        </w:rPr>
        <w:tab/>
      </w:r>
      <w:r w:rsidRPr="00AB5890">
        <w:rPr>
          <w:rFonts w:ascii="CG Times" w:hAnsi="CG Times" w:cs="CG Times"/>
          <w:bCs/>
          <w:sz w:val="24"/>
          <w:szCs w:val="24"/>
        </w:rPr>
        <w:t>The following paragraph applies to all of the collections of information in this submission:</w:t>
      </w:r>
    </w:p>
    <w:p w:rsidR="006E044F" w:rsidRPr="00AB5890" w:rsidRDefault="006E044F" w:rsidP="00BE6545">
      <w:pPr>
        <w:numPr>
          <w:ilvl w:val="12"/>
          <w:numId w:val="0"/>
        </w:numPr>
        <w:tabs>
          <w:tab w:val="left" w:pos="720"/>
        </w:tabs>
        <w:ind w:left="720" w:hanging="720"/>
        <w:rPr>
          <w:rFonts w:ascii="CG Times" w:hAnsi="CG Times" w:cs="CG Times"/>
          <w:bCs/>
          <w:sz w:val="24"/>
          <w:szCs w:val="24"/>
        </w:rPr>
      </w:pPr>
    </w:p>
    <w:p w:rsidR="006E044F" w:rsidRPr="00AB5890" w:rsidRDefault="00BE6545" w:rsidP="00BE6545">
      <w:pPr>
        <w:numPr>
          <w:ilvl w:val="12"/>
          <w:numId w:val="0"/>
        </w:numPr>
        <w:tabs>
          <w:tab w:val="left" w:pos="720"/>
        </w:tabs>
        <w:ind w:left="720" w:hanging="720"/>
        <w:rPr>
          <w:rFonts w:ascii="CG Times" w:hAnsi="CG Times" w:cs="CG Times"/>
          <w:bCs/>
          <w:sz w:val="24"/>
          <w:szCs w:val="24"/>
        </w:rPr>
      </w:pPr>
      <w:r>
        <w:rPr>
          <w:rFonts w:ascii="CG Times" w:hAnsi="CG Times" w:cs="CG Times"/>
          <w:bCs/>
          <w:sz w:val="24"/>
          <w:szCs w:val="24"/>
        </w:rPr>
        <w:tab/>
      </w:r>
      <w:r w:rsidR="006E044F" w:rsidRPr="00AB5890">
        <w:rPr>
          <w:rFonts w:ascii="CG Times" w:hAnsi="CG Times" w:cs="CG Times"/>
          <w:bCs/>
          <w:sz w:val="24"/>
          <w:szCs w:val="24"/>
        </w:rPr>
        <w:t xml:space="preserve">An agency may not conduct or sponsor, and a person is not required to respond to, a collection of information unless the collection of information displays a valid OMB </w:t>
      </w:r>
      <w:r w:rsidR="006E044F" w:rsidRPr="00AB5890">
        <w:rPr>
          <w:rFonts w:ascii="CG Times" w:hAnsi="CG Times" w:cs="CG Times"/>
          <w:bCs/>
          <w:sz w:val="24"/>
          <w:szCs w:val="24"/>
        </w:rPr>
        <w:lastRenderedPageBreak/>
        <w:t>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6E044F" w:rsidRPr="00AB5890" w:rsidRDefault="006E044F" w:rsidP="00BE6545">
      <w:pPr>
        <w:numPr>
          <w:ilvl w:val="12"/>
          <w:numId w:val="0"/>
        </w:numPr>
        <w:tabs>
          <w:tab w:val="left" w:pos="720"/>
        </w:tabs>
        <w:ind w:left="720" w:hanging="720"/>
        <w:rPr>
          <w:rFonts w:ascii="CG Times" w:hAnsi="CG Times" w:cs="CG Times"/>
          <w:bCs/>
          <w:sz w:val="24"/>
          <w:szCs w:val="24"/>
        </w:rPr>
      </w:pPr>
    </w:p>
    <w:sectPr w:rsidR="006E044F" w:rsidRPr="00AB5890" w:rsidSect="000B51AB">
      <w:headerReference w:type="even" r:id="rId8"/>
      <w:headerReference w:type="default" r:id="rId9"/>
      <w:footerReference w:type="even" r:id="rId10"/>
      <w:footerReference w:type="default" r:id="rId11"/>
      <w:headerReference w:type="first" r:id="rId12"/>
      <w:footerReference w:type="first" r:id="rId13"/>
      <w:type w:val="continuous"/>
      <w:pgSz w:w="12240" w:h="15840"/>
      <w:pgMar w:top="135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60C" w:rsidRDefault="008B060C">
      <w:r>
        <w:separator/>
      </w:r>
    </w:p>
  </w:endnote>
  <w:endnote w:type="continuationSeparator" w:id="0">
    <w:p w:rsidR="008B060C" w:rsidRDefault="008B0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0F4" w:rsidRDefault="00BB30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0F4" w:rsidRDefault="00BB30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1AB" w:rsidRPr="000B51AB" w:rsidRDefault="000B51AB">
    <w:pPr>
      <w:pStyle w:val="Footer"/>
      <w:jc w:val="right"/>
      <w:rPr>
        <w:rFonts w:ascii="Times New Roman" w:hAnsi="Times New Roman" w:cs="Times New Roman"/>
        <w:sz w:val="24"/>
        <w:szCs w:val="24"/>
      </w:rPr>
    </w:pPr>
    <w:r w:rsidRPr="000B51AB">
      <w:rPr>
        <w:rFonts w:ascii="Times New Roman" w:hAnsi="Times New Roman" w:cs="Times New Roman"/>
        <w:sz w:val="24"/>
        <w:szCs w:val="24"/>
      </w:rPr>
      <w:fldChar w:fldCharType="begin"/>
    </w:r>
    <w:r w:rsidRPr="000B51AB">
      <w:rPr>
        <w:rFonts w:ascii="Times New Roman" w:hAnsi="Times New Roman" w:cs="Times New Roman"/>
        <w:sz w:val="24"/>
        <w:szCs w:val="24"/>
      </w:rPr>
      <w:instrText xml:space="preserve"> PAGE   \* MERGEFORMAT </w:instrText>
    </w:r>
    <w:r w:rsidRPr="000B51AB">
      <w:rPr>
        <w:rFonts w:ascii="Times New Roman" w:hAnsi="Times New Roman" w:cs="Times New Roman"/>
        <w:sz w:val="24"/>
        <w:szCs w:val="24"/>
      </w:rPr>
      <w:fldChar w:fldCharType="separate"/>
    </w:r>
    <w:r w:rsidR="00512D3F">
      <w:rPr>
        <w:rFonts w:ascii="Times New Roman" w:hAnsi="Times New Roman" w:cs="Times New Roman"/>
        <w:noProof/>
        <w:sz w:val="24"/>
        <w:szCs w:val="24"/>
      </w:rPr>
      <w:t>1</w:t>
    </w:r>
    <w:r w:rsidRPr="000B51AB">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60C" w:rsidRDefault="008B060C">
      <w:r>
        <w:separator/>
      </w:r>
    </w:p>
  </w:footnote>
  <w:footnote w:type="continuationSeparator" w:id="0">
    <w:p w:rsidR="008B060C" w:rsidRDefault="008B06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0F4" w:rsidRDefault="00BB30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0F4" w:rsidRDefault="00BB30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0F4" w:rsidRDefault="00BB30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D63E72"/>
    <w:multiLevelType w:val="singleLevel"/>
    <w:tmpl w:val="CBD428E0"/>
    <w:lvl w:ilvl="0">
      <w:start w:val="1"/>
      <w:numFmt w:val="decimal"/>
      <w:lvlText w:val="%1."/>
      <w:legacy w:legacy="1" w:legacySpace="0" w:legacyIndent="1"/>
      <w:lvlJc w:val="left"/>
      <w:pPr>
        <w:ind w:left="1" w:hanging="1"/>
      </w:pPr>
      <w:rPr>
        <w:rFonts w:ascii="CG Times" w:hAnsi="CG Times" w:cs="CG Time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3E3"/>
    <w:rsid w:val="000223E3"/>
    <w:rsid w:val="00045F84"/>
    <w:rsid w:val="000B51AB"/>
    <w:rsid w:val="001C490D"/>
    <w:rsid w:val="0027637D"/>
    <w:rsid w:val="002815EA"/>
    <w:rsid w:val="002D2E60"/>
    <w:rsid w:val="002E7F83"/>
    <w:rsid w:val="00350202"/>
    <w:rsid w:val="0036124C"/>
    <w:rsid w:val="003C77AD"/>
    <w:rsid w:val="00426135"/>
    <w:rsid w:val="00485FF9"/>
    <w:rsid w:val="00511E67"/>
    <w:rsid w:val="00512D3F"/>
    <w:rsid w:val="00531F1B"/>
    <w:rsid w:val="005C5474"/>
    <w:rsid w:val="006E044F"/>
    <w:rsid w:val="00760049"/>
    <w:rsid w:val="00792196"/>
    <w:rsid w:val="00886A1E"/>
    <w:rsid w:val="008B060C"/>
    <w:rsid w:val="009772F9"/>
    <w:rsid w:val="009D67EC"/>
    <w:rsid w:val="00A009D5"/>
    <w:rsid w:val="00AB5890"/>
    <w:rsid w:val="00AE6869"/>
    <w:rsid w:val="00BB30F4"/>
    <w:rsid w:val="00BB33BA"/>
    <w:rsid w:val="00BE6545"/>
    <w:rsid w:val="00C07E71"/>
    <w:rsid w:val="00C1508B"/>
    <w:rsid w:val="00CD6D8A"/>
    <w:rsid w:val="00D85C4E"/>
    <w:rsid w:val="00D96478"/>
    <w:rsid w:val="00DA5383"/>
    <w:rsid w:val="00DE4BDC"/>
    <w:rsid w:val="00E55464"/>
    <w:rsid w:val="00EE2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ind w:left="720"/>
      <w:jc w:val="both"/>
    </w:pPr>
    <w:rPr>
      <w:rFonts w:ascii="Courier" w:hAnsi="Courier" w:cs="Courier"/>
      <w:sz w:val="24"/>
      <w:szCs w:val="24"/>
    </w:rPr>
  </w:style>
  <w:style w:type="paragraph" w:styleId="BalloonText">
    <w:name w:val="Balloon Text"/>
    <w:basedOn w:val="Normal"/>
    <w:link w:val="BalloonTextChar"/>
    <w:uiPriority w:val="99"/>
    <w:semiHidden/>
    <w:unhideWhenUsed/>
    <w:rsid w:val="000B51AB"/>
    <w:rPr>
      <w:rFonts w:ascii="Tahoma" w:hAnsi="Tahoma" w:cs="Tahoma"/>
      <w:sz w:val="16"/>
      <w:szCs w:val="16"/>
    </w:rPr>
  </w:style>
  <w:style w:type="character" w:customStyle="1" w:styleId="BalloonTextChar">
    <w:name w:val="Balloon Text Char"/>
    <w:link w:val="BalloonText"/>
    <w:uiPriority w:val="99"/>
    <w:semiHidden/>
    <w:rsid w:val="000B51AB"/>
    <w:rPr>
      <w:rFonts w:ascii="Tahoma" w:hAnsi="Tahoma" w:cs="Tahoma"/>
      <w:sz w:val="16"/>
      <w:szCs w:val="16"/>
    </w:rPr>
  </w:style>
  <w:style w:type="paragraph" w:styleId="Header">
    <w:name w:val="header"/>
    <w:basedOn w:val="Normal"/>
    <w:link w:val="HeaderChar"/>
    <w:uiPriority w:val="99"/>
    <w:unhideWhenUsed/>
    <w:rsid w:val="000B51AB"/>
    <w:pPr>
      <w:tabs>
        <w:tab w:val="center" w:pos="4680"/>
        <w:tab w:val="right" w:pos="9360"/>
      </w:tabs>
    </w:pPr>
  </w:style>
  <w:style w:type="character" w:customStyle="1" w:styleId="HeaderChar">
    <w:name w:val="Header Char"/>
    <w:link w:val="Header"/>
    <w:uiPriority w:val="99"/>
    <w:rsid w:val="000B51AB"/>
    <w:rPr>
      <w:rFonts w:ascii="Courier" w:hAnsi="Courier" w:cs="Courier"/>
      <w:sz w:val="20"/>
      <w:szCs w:val="20"/>
    </w:rPr>
  </w:style>
  <w:style w:type="paragraph" w:styleId="Footer">
    <w:name w:val="footer"/>
    <w:basedOn w:val="Normal"/>
    <w:link w:val="FooterChar"/>
    <w:uiPriority w:val="99"/>
    <w:unhideWhenUsed/>
    <w:rsid w:val="000B51AB"/>
    <w:pPr>
      <w:tabs>
        <w:tab w:val="center" w:pos="4680"/>
        <w:tab w:val="right" w:pos="9360"/>
      </w:tabs>
    </w:pPr>
  </w:style>
  <w:style w:type="character" w:customStyle="1" w:styleId="FooterChar">
    <w:name w:val="Footer Char"/>
    <w:link w:val="Footer"/>
    <w:uiPriority w:val="99"/>
    <w:rsid w:val="000B51AB"/>
    <w:rPr>
      <w:rFonts w:ascii="Courier" w:hAnsi="Courier" w:cs="Courier"/>
      <w:sz w:val="20"/>
      <w:szCs w:val="20"/>
    </w:rPr>
  </w:style>
  <w:style w:type="table" w:styleId="TableGrid">
    <w:name w:val="Table Grid"/>
    <w:basedOn w:val="TableNormal"/>
    <w:uiPriority w:val="59"/>
    <w:rsid w:val="000B51AB"/>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ind w:left="720"/>
      <w:jc w:val="both"/>
    </w:pPr>
    <w:rPr>
      <w:rFonts w:ascii="Courier" w:hAnsi="Courier" w:cs="Courier"/>
      <w:sz w:val="24"/>
      <w:szCs w:val="24"/>
    </w:rPr>
  </w:style>
  <w:style w:type="paragraph" w:styleId="BalloonText">
    <w:name w:val="Balloon Text"/>
    <w:basedOn w:val="Normal"/>
    <w:link w:val="BalloonTextChar"/>
    <w:uiPriority w:val="99"/>
    <w:semiHidden/>
    <w:unhideWhenUsed/>
    <w:rsid w:val="000B51AB"/>
    <w:rPr>
      <w:rFonts w:ascii="Tahoma" w:hAnsi="Tahoma" w:cs="Tahoma"/>
      <w:sz w:val="16"/>
      <w:szCs w:val="16"/>
    </w:rPr>
  </w:style>
  <w:style w:type="character" w:customStyle="1" w:styleId="BalloonTextChar">
    <w:name w:val="Balloon Text Char"/>
    <w:link w:val="BalloonText"/>
    <w:uiPriority w:val="99"/>
    <w:semiHidden/>
    <w:rsid w:val="000B51AB"/>
    <w:rPr>
      <w:rFonts w:ascii="Tahoma" w:hAnsi="Tahoma" w:cs="Tahoma"/>
      <w:sz w:val="16"/>
      <w:szCs w:val="16"/>
    </w:rPr>
  </w:style>
  <w:style w:type="paragraph" w:styleId="Header">
    <w:name w:val="header"/>
    <w:basedOn w:val="Normal"/>
    <w:link w:val="HeaderChar"/>
    <w:uiPriority w:val="99"/>
    <w:unhideWhenUsed/>
    <w:rsid w:val="000B51AB"/>
    <w:pPr>
      <w:tabs>
        <w:tab w:val="center" w:pos="4680"/>
        <w:tab w:val="right" w:pos="9360"/>
      </w:tabs>
    </w:pPr>
  </w:style>
  <w:style w:type="character" w:customStyle="1" w:styleId="HeaderChar">
    <w:name w:val="Header Char"/>
    <w:link w:val="Header"/>
    <w:uiPriority w:val="99"/>
    <w:rsid w:val="000B51AB"/>
    <w:rPr>
      <w:rFonts w:ascii="Courier" w:hAnsi="Courier" w:cs="Courier"/>
      <w:sz w:val="20"/>
      <w:szCs w:val="20"/>
    </w:rPr>
  </w:style>
  <w:style w:type="paragraph" w:styleId="Footer">
    <w:name w:val="footer"/>
    <w:basedOn w:val="Normal"/>
    <w:link w:val="FooterChar"/>
    <w:uiPriority w:val="99"/>
    <w:unhideWhenUsed/>
    <w:rsid w:val="000B51AB"/>
    <w:pPr>
      <w:tabs>
        <w:tab w:val="center" w:pos="4680"/>
        <w:tab w:val="right" w:pos="9360"/>
      </w:tabs>
    </w:pPr>
  </w:style>
  <w:style w:type="character" w:customStyle="1" w:styleId="FooterChar">
    <w:name w:val="Footer Char"/>
    <w:link w:val="Footer"/>
    <w:uiPriority w:val="99"/>
    <w:rsid w:val="000B51AB"/>
    <w:rPr>
      <w:rFonts w:ascii="Courier" w:hAnsi="Courier" w:cs="Courier"/>
      <w:sz w:val="20"/>
      <w:szCs w:val="20"/>
    </w:rPr>
  </w:style>
  <w:style w:type="table" w:styleId="TableGrid">
    <w:name w:val="Table Grid"/>
    <w:basedOn w:val="TableNormal"/>
    <w:uiPriority w:val="59"/>
    <w:rsid w:val="000B51AB"/>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976</Words>
  <Characters>5566</Characters>
  <Application>Microsoft Office Word</Application>
  <DocSecurity>0</DocSecurity>
  <Lines>46</Lines>
  <Paragraphs>13</Paragraphs>
  <ScaleCrop>false</ScaleCrop>
  <Company/>
  <LinksUpToDate>false</LinksUpToDate>
  <CharactersWithSpaces>6529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2017-05-30T11:25:00Z</dcterms:created>
  <dcterms:modified xsi:type="dcterms:W3CDTF">2017-05-30T11:29:00Z</dcterms:modified>
</cp:coreProperties>
</file>