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74E08" w14:textId="77777777" w:rsidR="00716F94" w:rsidRDefault="00716F94" w:rsidP="00096441">
      <w:pPr>
        <w:pStyle w:val="B1BodyCopy"/>
      </w:pPr>
      <w:bookmarkStart w:id="0" w:name="_GoBack"/>
      <w:bookmarkEnd w:id="0"/>
    </w:p>
    <w:p w14:paraId="25297C13" w14:textId="77777777" w:rsidR="009B4A51" w:rsidRDefault="009B4A51" w:rsidP="00716F94">
      <w:pPr>
        <w:spacing w:after="0"/>
        <w:rPr>
          <w:rFonts w:asciiTheme="majorHAnsi" w:hAnsiTheme="majorHAnsi"/>
          <w:b/>
        </w:rPr>
      </w:pPr>
    </w:p>
    <w:p w14:paraId="43899F59" w14:textId="77777777" w:rsidR="009B4A51" w:rsidRDefault="009B4A51" w:rsidP="009B4A51">
      <w:pPr>
        <w:spacing w:after="0"/>
        <w:jc w:val="center"/>
        <w:rPr>
          <w:rFonts w:asciiTheme="majorHAnsi" w:hAnsiTheme="majorHAnsi"/>
          <w:b/>
        </w:rPr>
      </w:pPr>
    </w:p>
    <w:p w14:paraId="11B2E6E3" w14:textId="77777777" w:rsidR="009B4A51" w:rsidRDefault="009B4A51" w:rsidP="009B4A51">
      <w:pPr>
        <w:spacing w:after="0"/>
        <w:jc w:val="center"/>
        <w:rPr>
          <w:rFonts w:asciiTheme="majorHAnsi" w:hAnsiTheme="majorHAnsi"/>
          <w:b/>
        </w:rPr>
      </w:pPr>
    </w:p>
    <w:p w14:paraId="6FB9911A" w14:textId="77777777" w:rsidR="009B4A51" w:rsidRDefault="009B4A51" w:rsidP="009B4A51">
      <w:pPr>
        <w:spacing w:after="0"/>
        <w:jc w:val="center"/>
        <w:rPr>
          <w:rFonts w:asciiTheme="majorHAnsi" w:hAnsiTheme="majorHAnsi"/>
          <w:sz w:val="32"/>
        </w:rPr>
      </w:pPr>
    </w:p>
    <w:p w14:paraId="6AB294F6" w14:textId="77777777" w:rsidR="004E5857" w:rsidRDefault="00270A30" w:rsidP="00484011">
      <w:pPr>
        <w:spacing w:after="0"/>
        <w:jc w:val="center"/>
        <w:rPr>
          <w:rFonts w:asciiTheme="majorHAnsi" w:hAnsiTheme="majorHAnsi"/>
          <w:b/>
          <w:sz w:val="40"/>
        </w:rPr>
      </w:pPr>
      <w:r w:rsidRPr="00270A30">
        <w:rPr>
          <w:rFonts w:asciiTheme="majorHAnsi" w:hAnsiTheme="majorHAnsi"/>
          <w:b/>
          <w:sz w:val="40"/>
        </w:rPr>
        <w:t xml:space="preserve">Addressing Substance Use Disorders </w:t>
      </w:r>
      <w:r w:rsidR="00E60B57">
        <w:rPr>
          <w:rFonts w:asciiTheme="majorHAnsi" w:hAnsiTheme="majorHAnsi"/>
          <w:b/>
          <w:sz w:val="40"/>
        </w:rPr>
        <w:t>A</w:t>
      </w:r>
      <w:r w:rsidRPr="00270A30">
        <w:rPr>
          <w:rFonts w:asciiTheme="majorHAnsi" w:hAnsiTheme="majorHAnsi"/>
          <w:b/>
          <w:sz w:val="40"/>
        </w:rPr>
        <w:t xml:space="preserve">mong Families Involved with the Child Welfare System: </w:t>
      </w:r>
      <w:r w:rsidR="004E5857">
        <w:rPr>
          <w:rFonts w:asciiTheme="majorHAnsi" w:hAnsiTheme="majorHAnsi"/>
          <w:b/>
          <w:sz w:val="40"/>
        </w:rPr>
        <w:t xml:space="preserve">A Cross-Agency Collaboration </w:t>
      </w:r>
    </w:p>
    <w:p w14:paraId="58716E5C" w14:textId="2693E4CD" w:rsidR="00AA3192" w:rsidRDefault="00AA3192" w:rsidP="00484011">
      <w:pPr>
        <w:spacing w:after="0"/>
        <w:jc w:val="center"/>
        <w:rPr>
          <w:rFonts w:asciiTheme="majorHAnsi" w:hAnsiTheme="majorHAnsi"/>
          <w:b/>
          <w:sz w:val="40"/>
        </w:rPr>
      </w:pPr>
    </w:p>
    <w:p w14:paraId="12A3AC5F" w14:textId="2169323A" w:rsidR="00716F94" w:rsidRPr="00AA3192" w:rsidRDefault="00270A30" w:rsidP="00484011">
      <w:pPr>
        <w:spacing w:after="0"/>
        <w:jc w:val="center"/>
        <w:rPr>
          <w:rFonts w:asciiTheme="majorHAnsi" w:hAnsiTheme="majorHAnsi"/>
        </w:rPr>
      </w:pPr>
      <w:r w:rsidRPr="00333BBE">
        <w:rPr>
          <w:rFonts w:asciiTheme="majorHAnsi" w:hAnsiTheme="majorHAnsi"/>
        </w:rPr>
        <w:t xml:space="preserve">ASPE </w:t>
      </w:r>
      <w:r w:rsidR="00316F00">
        <w:rPr>
          <w:rFonts w:asciiTheme="majorHAnsi" w:hAnsiTheme="majorHAnsi"/>
        </w:rPr>
        <w:t>Generic Information Collection</w:t>
      </w:r>
      <w:r w:rsidR="00484011" w:rsidRPr="00AA3192">
        <w:rPr>
          <w:rFonts w:asciiTheme="majorHAnsi" w:hAnsiTheme="majorHAnsi"/>
        </w:rPr>
        <w:t xml:space="preserve"> Request</w:t>
      </w:r>
    </w:p>
    <w:p w14:paraId="2C187009" w14:textId="1D9AAE06" w:rsidR="00484011" w:rsidRPr="0086200A" w:rsidRDefault="00484011" w:rsidP="00484011">
      <w:pPr>
        <w:pStyle w:val="Header"/>
        <w:tabs>
          <w:tab w:val="clear" w:pos="4680"/>
        </w:tabs>
        <w:jc w:val="center"/>
        <w:rPr>
          <w:rFonts w:asciiTheme="majorHAnsi" w:hAnsiTheme="majorHAnsi"/>
          <w:b/>
        </w:rPr>
      </w:pPr>
      <w:r w:rsidRPr="0086200A">
        <w:rPr>
          <w:rFonts w:asciiTheme="majorHAnsi" w:hAnsiTheme="majorHAnsi" w:cstheme="minorHAnsi"/>
        </w:rPr>
        <w:t xml:space="preserve">OMB No. </w:t>
      </w:r>
      <w:r w:rsidR="0086200A" w:rsidRPr="0086200A">
        <w:rPr>
          <w:rFonts w:asciiTheme="majorHAnsi" w:hAnsiTheme="majorHAnsi" w:cstheme="minorHAnsi"/>
        </w:rPr>
        <w:t>0990-0421</w:t>
      </w:r>
    </w:p>
    <w:p w14:paraId="408ED399" w14:textId="77777777" w:rsidR="009B4A51" w:rsidRDefault="009B4A51" w:rsidP="00716F94">
      <w:pPr>
        <w:spacing w:after="0"/>
        <w:rPr>
          <w:rFonts w:asciiTheme="majorHAnsi" w:hAnsiTheme="majorHAnsi"/>
          <w:b/>
        </w:rPr>
      </w:pPr>
    </w:p>
    <w:p w14:paraId="4258759D" w14:textId="77777777" w:rsidR="009B4A51" w:rsidRDefault="009B4A51" w:rsidP="00716F94">
      <w:pPr>
        <w:spacing w:after="0"/>
        <w:rPr>
          <w:rFonts w:asciiTheme="majorHAnsi" w:hAnsiTheme="majorHAnsi"/>
          <w:b/>
        </w:rPr>
      </w:pPr>
    </w:p>
    <w:p w14:paraId="56A4EA7D" w14:textId="77777777" w:rsidR="00AA3192" w:rsidRDefault="00AA3192" w:rsidP="00716F94">
      <w:pPr>
        <w:spacing w:after="0"/>
        <w:rPr>
          <w:rFonts w:asciiTheme="majorHAnsi" w:hAnsiTheme="majorHAnsi"/>
          <w:b/>
        </w:rPr>
      </w:pPr>
    </w:p>
    <w:p w14:paraId="0FC4B12D" w14:textId="77777777" w:rsidR="00AA3192" w:rsidRDefault="00AA3192" w:rsidP="00716F94">
      <w:pPr>
        <w:spacing w:after="0"/>
        <w:rPr>
          <w:rFonts w:asciiTheme="majorHAnsi" w:hAnsiTheme="majorHAnsi"/>
          <w:b/>
        </w:rPr>
      </w:pPr>
    </w:p>
    <w:p w14:paraId="07CDD72E"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7EC4AC4A" w14:textId="77777777" w:rsidR="009B4A51" w:rsidRDefault="009B4A51" w:rsidP="00716F94">
      <w:pPr>
        <w:spacing w:after="0"/>
        <w:rPr>
          <w:rFonts w:asciiTheme="majorHAnsi" w:hAnsiTheme="majorHAnsi"/>
          <w:b/>
        </w:rPr>
      </w:pPr>
    </w:p>
    <w:p w14:paraId="5A129602" w14:textId="77777777" w:rsidR="00484011" w:rsidRDefault="00484011" w:rsidP="00716F94">
      <w:pPr>
        <w:spacing w:after="0"/>
        <w:rPr>
          <w:rFonts w:asciiTheme="majorHAnsi" w:hAnsiTheme="majorHAnsi"/>
          <w:b/>
        </w:rPr>
      </w:pPr>
    </w:p>
    <w:p w14:paraId="16119FC6" w14:textId="77777777" w:rsidR="00AA3192" w:rsidRDefault="00AA3192" w:rsidP="00716F94">
      <w:pPr>
        <w:spacing w:after="0"/>
        <w:rPr>
          <w:rFonts w:asciiTheme="majorHAnsi" w:hAnsiTheme="majorHAnsi"/>
          <w:b/>
        </w:rPr>
      </w:pPr>
    </w:p>
    <w:p w14:paraId="3D2B28A0" w14:textId="77777777" w:rsidR="009B4A51" w:rsidRDefault="009B4A51" w:rsidP="00716F94">
      <w:pPr>
        <w:spacing w:after="0"/>
        <w:rPr>
          <w:rFonts w:asciiTheme="majorHAnsi" w:hAnsiTheme="majorHAnsi"/>
          <w:b/>
        </w:rPr>
      </w:pPr>
    </w:p>
    <w:p w14:paraId="3BC256B8" w14:textId="77777777" w:rsidR="009B4A51" w:rsidRDefault="009B4A51" w:rsidP="00716F94">
      <w:pPr>
        <w:spacing w:after="0"/>
        <w:rPr>
          <w:rFonts w:asciiTheme="majorHAnsi" w:hAnsiTheme="majorHAnsi"/>
          <w:b/>
        </w:rPr>
      </w:pPr>
    </w:p>
    <w:p w14:paraId="2985AD75" w14:textId="77777777" w:rsidR="00187D5A" w:rsidRDefault="00187D5A" w:rsidP="00716F94">
      <w:pPr>
        <w:spacing w:after="0"/>
        <w:rPr>
          <w:rFonts w:asciiTheme="majorHAnsi" w:hAnsiTheme="majorHAnsi"/>
          <w:b/>
        </w:rPr>
      </w:pPr>
    </w:p>
    <w:p w14:paraId="085C2877" w14:textId="1AA7A38E"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270A30">
        <w:rPr>
          <w:rFonts w:asciiTheme="majorHAnsi" w:hAnsiTheme="majorHAnsi"/>
        </w:rPr>
        <w:t xml:space="preserve"> </w:t>
      </w:r>
      <w:r w:rsidR="00BE5280">
        <w:rPr>
          <w:rFonts w:asciiTheme="majorHAnsi" w:hAnsiTheme="majorHAnsi"/>
        </w:rPr>
        <w:t>April 12, 2019</w:t>
      </w:r>
    </w:p>
    <w:p w14:paraId="5289113B" w14:textId="77777777" w:rsidR="009B4A51" w:rsidRDefault="009B4A51" w:rsidP="00716F94">
      <w:pPr>
        <w:spacing w:after="0"/>
        <w:rPr>
          <w:rFonts w:asciiTheme="majorHAnsi" w:hAnsiTheme="majorHAnsi"/>
          <w:b/>
        </w:rPr>
      </w:pPr>
    </w:p>
    <w:p w14:paraId="6F66E085" w14:textId="77777777" w:rsidR="009B4A51" w:rsidRDefault="009B4A51" w:rsidP="00716F94">
      <w:pPr>
        <w:spacing w:after="0"/>
        <w:rPr>
          <w:rFonts w:asciiTheme="majorHAnsi" w:hAnsiTheme="majorHAnsi"/>
          <w:b/>
        </w:rPr>
      </w:pPr>
    </w:p>
    <w:p w14:paraId="58C03138" w14:textId="77777777" w:rsidR="009B4A51" w:rsidRDefault="009B4A51" w:rsidP="00716F94">
      <w:pPr>
        <w:spacing w:after="0"/>
        <w:rPr>
          <w:rFonts w:asciiTheme="majorHAnsi" w:hAnsiTheme="majorHAnsi"/>
          <w:b/>
        </w:rPr>
      </w:pPr>
    </w:p>
    <w:p w14:paraId="39572CEB" w14:textId="77777777" w:rsidR="009B4A51" w:rsidRDefault="009B4A51" w:rsidP="00716F94">
      <w:pPr>
        <w:spacing w:after="0"/>
        <w:rPr>
          <w:rFonts w:asciiTheme="majorHAnsi" w:hAnsiTheme="majorHAnsi"/>
          <w:b/>
        </w:rPr>
      </w:pPr>
    </w:p>
    <w:p w14:paraId="504421B7" w14:textId="6047EB5A" w:rsidR="00321B51" w:rsidRPr="00270A30" w:rsidRDefault="00716F94" w:rsidP="000B0962">
      <w:pPr>
        <w:spacing w:after="0"/>
        <w:rPr>
          <w:rFonts w:asciiTheme="majorHAnsi" w:hAnsiTheme="majorHAnsi"/>
          <w:b/>
          <w:u w:val="single"/>
        </w:rPr>
      </w:pPr>
      <w:r w:rsidRPr="00CF21E5">
        <w:rPr>
          <w:rFonts w:asciiTheme="majorHAnsi" w:hAnsiTheme="majorHAnsi"/>
          <w:b/>
          <w:u w:val="single"/>
        </w:rPr>
        <w:t>P</w:t>
      </w:r>
      <w:r w:rsidR="00667C89" w:rsidRPr="00CF21E5">
        <w:rPr>
          <w:rFonts w:asciiTheme="majorHAnsi" w:hAnsiTheme="majorHAnsi"/>
          <w:b/>
          <w:u w:val="single"/>
        </w:rPr>
        <w:t>rogram Official/Project Officer</w:t>
      </w:r>
    </w:p>
    <w:p w14:paraId="593DCB58" w14:textId="6EFF734F" w:rsidR="00270A30" w:rsidRPr="00270A30"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Laura Radel</w:t>
      </w:r>
    </w:p>
    <w:p w14:paraId="32AEC6DC" w14:textId="58F78B18" w:rsidR="00270A30" w:rsidRPr="00270A30"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Senior Social Science Analyst</w:t>
      </w:r>
    </w:p>
    <w:p w14:paraId="760FC23B" w14:textId="2B9FF90D" w:rsidR="00270A30"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Division of Children and Youth Policy</w:t>
      </w:r>
    </w:p>
    <w:p w14:paraId="55B1FD62" w14:textId="1422613D" w:rsidR="0086200A"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Office of the Assistant Secretary for Planning and Evaluation</w:t>
      </w:r>
    </w:p>
    <w:p w14:paraId="05F9177D" w14:textId="7308FC8C" w:rsidR="0086200A"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U.S. Department of Health and Human Services</w:t>
      </w:r>
    </w:p>
    <w:p w14:paraId="3ACD8B55" w14:textId="5E2035FD" w:rsidR="0086200A"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200 Independence Avenue, SW</w:t>
      </w:r>
    </w:p>
    <w:p w14:paraId="14C41FA7" w14:textId="25B41902" w:rsidR="0086200A"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Washington, DC 20201</w:t>
      </w:r>
    </w:p>
    <w:p w14:paraId="0930307B" w14:textId="3D1C7D09" w:rsidR="0086200A"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202-730-3927</w:t>
      </w:r>
    </w:p>
    <w:p w14:paraId="08F58BED" w14:textId="591F880F" w:rsidR="0086200A" w:rsidRPr="00270A30" w:rsidRDefault="0086200A" w:rsidP="00270A30">
      <w:pPr>
        <w:spacing w:after="0"/>
        <w:rPr>
          <w:rFonts w:ascii="Times New Roman" w:hAnsi="Times New Roman" w:cs="Times New Roman"/>
          <w:bCs/>
          <w:color w:val="000000" w:themeColor="text1"/>
        </w:rPr>
      </w:pPr>
      <w:r>
        <w:rPr>
          <w:rFonts w:ascii="Times New Roman" w:hAnsi="Times New Roman" w:cs="Times New Roman"/>
          <w:bCs/>
          <w:color w:val="000000" w:themeColor="text1"/>
        </w:rPr>
        <w:t>laura.radel@hhs.gov</w:t>
      </w:r>
    </w:p>
    <w:p w14:paraId="27207B7F" w14:textId="77777777" w:rsidR="000B0962" w:rsidRPr="00270A30" w:rsidRDefault="000B0962" w:rsidP="00716F94">
      <w:pPr>
        <w:spacing w:after="0"/>
        <w:rPr>
          <w:rFonts w:asciiTheme="majorHAnsi" w:hAnsiTheme="majorHAnsi"/>
          <w:color w:val="000000" w:themeColor="text1"/>
        </w:rPr>
      </w:pPr>
    </w:p>
    <w:p w14:paraId="587D831C" w14:textId="77777777" w:rsidR="00670639" w:rsidRDefault="00CD1EA8" w:rsidP="00670639">
      <w:pPr>
        <w:pageBreakBefore/>
        <w:spacing w:after="120"/>
        <w:rPr>
          <w:rFonts w:asciiTheme="majorHAnsi" w:hAnsiTheme="majorHAnsi"/>
          <w:b/>
          <w:sz w:val="32"/>
        </w:rPr>
      </w:pPr>
      <w:r w:rsidRPr="00DD5C8D">
        <w:rPr>
          <w:rFonts w:asciiTheme="majorHAnsi" w:hAnsiTheme="majorHAnsi"/>
          <w:b/>
          <w:sz w:val="32"/>
        </w:rPr>
        <w:lastRenderedPageBreak/>
        <w:t>Section A</w:t>
      </w:r>
      <w:r w:rsidR="00B12F51" w:rsidRPr="00DD5C8D">
        <w:rPr>
          <w:rFonts w:asciiTheme="majorHAnsi" w:hAnsiTheme="majorHAnsi"/>
          <w:b/>
          <w:sz w:val="32"/>
        </w:rPr>
        <w:t xml:space="preserve"> – Justification</w:t>
      </w:r>
    </w:p>
    <w:p w14:paraId="36C7BCFD" w14:textId="16025AA2" w:rsidR="00055D08" w:rsidRPr="00F801C2" w:rsidRDefault="00055D08" w:rsidP="00055D08">
      <w:pPr>
        <w:spacing w:line="240" w:lineRule="auto"/>
        <w:rPr>
          <w:rFonts w:asciiTheme="majorHAnsi" w:hAnsiTheme="majorHAnsi"/>
          <w:sz w:val="24"/>
          <w:szCs w:val="24"/>
        </w:rPr>
      </w:pPr>
      <w:r w:rsidRPr="00F801C2">
        <w:rPr>
          <w:rFonts w:asciiTheme="majorHAnsi" w:hAnsiTheme="majorHAnsi"/>
          <w:sz w:val="24"/>
          <w:szCs w:val="24"/>
        </w:rPr>
        <w:t xml:space="preserve">The </w:t>
      </w:r>
      <w:r w:rsidR="00C56A54">
        <w:rPr>
          <w:rFonts w:asciiTheme="majorHAnsi" w:hAnsiTheme="majorHAnsi"/>
          <w:sz w:val="24"/>
          <w:szCs w:val="24"/>
        </w:rPr>
        <w:t>O</w:t>
      </w:r>
      <w:r w:rsidR="00E42888">
        <w:rPr>
          <w:rFonts w:asciiTheme="majorHAnsi" w:hAnsiTheme="majorHAnsi"/>
          <w:sz w:val="24"/>
          <w:szCs w:val="24"/>
        </w:rPr>
        <w:t xml:space="preserve">ffice of the </w:t>
      </w:r>
      <w:r w:rsidRPr="00F801C2">
        <w:rPr>
          <w:rFonts w:asciiTheme="majorHAnsi" w:hAnsiTheme="majorHAnsi"/>
          <w:sz w:val="24"/>
          <w:szCs w:val="24"/>
        </w:rPr>
        <w:t xml:space="preserve">Assistant Secretary for Planning and </w:t>
      </w:r>
      <w:r w:rsidR="00D65E56">
        <w:rPr>
          <w:rFonts w:asciiTheme="majorHAnsi" w:hAnsiTheme="majorHAnsi"/>
          <w:sz w:val="24"/>
          <w:szCs w:val="24"/>
        </w:rPr>
        <w:t>Evaluation</w:t>
      </w:r>
      <w:r w:rsidRPr="00F801C2">
        <w:rPr>
          <w:rFonts w:asciiTheme="majorHAnsi" w:hAnsiTheme="majorHAnsi"/>
          <w:sz w:val="24"/>
          <w:szCs w:val="24"/>
        </w:rPr>
        <w:t xml:space="preserve"> (ASPE) and the Centers for Disease Control and Prevention (CDC) are requesting clearance for a new</w:t>
      </w:r>
      <w:r>
        <w:rPr>
          <w:rFonts w:asciiTheme="majorHAnsi" w:hAnsiTheme="majorHAnsi"/>
          <w:sz w:val="24"/>
          <w:szCs w:val="24"/>
        </w:rPr>
        <w:t>, cross-agency</w:t>
      </w:r>
      <w:r w:rsidRPr="00F801C2">
        <w:rPr>
          <w:rFonts w:asciiTheme="majorHAnsi" w:hAnsiTheme="majorHAnsi"/>
          <w:sz w:val="24"/>
          <w:szCs w:val="24"/>
        </w:rPr>
        <w:t xml:space="preserve"> data collection entitled, </w:t>
      </w:r>
      <w:r w:rsidRPr="00F801C2">
        <w:rPr>
          <w:rFonts w:asciiTheme="majorHAnsi" w:hAnsiTheme="majorHAnsi"/>
          <w:b/>
          <w:sz w:val="24"/>
          <w:szCs w:val="24"/>
        </w:rPr>
        <w:t>“Addressing Substance Use Disorders Among Families Involved with the Child Welfare System: A Cross-Agency Collaboration.”</w:t>
      </w:r>
      <w:r w:rsidRPr="00F801C2">
        <w:rPr>
          <w:rFonts w:asciiTheme="majorHAnsi" w:hAnsiTheme="majorHAnsi"/>
          <w:sz w:val="24"/>
          <w:szCs w:val="24"/>
        </w:rPr>
        <w:t xml:space="preserve"> Recognizing that communities </w:t>
      </w:r>
      <w:r>
        <w:rPr>
          <w:rFonts w:asciiTheme="majorHAnsi" w:hAnsiTheme="majorHAnsi"/>
          <w:sz w:val="24"/>
          <w:szCs w:val="24"/>
        </w:rPr>
        <w:t xml:space="preserve">across the United States </w:t>
      </w:r>
      <w:r w:rsidRPr="00F801C2">
        <w:rPr>
          <w:rFonts w:asciiTheme="majorHAnsi" w:hAnsiTheme="majorHAnsi"/>
          <w:sz w:val="24"/>
          <w:szCs w:val="24"/>
        </w:rPr>
        <w:t>are f</w:t>
      </w:r>
      <w:r>
        <w:rPr>
          <w:rFonts w:asciiTheme="majorHAnsi" w:hAnsiTheme="majorHAnsi"/>
          <w:sz w:val="24"/>
          <w:szCs w:val="24"/>
        </w:rPr>
        <w:t xml:space="preserve">acing challenges related to substance/opioid misuse </w:t>
      </w:r>
      <w:r w:rsidRPr="00F801C2">
        <w:rPr>
          <w:rFonts w:asciiTheme="majorHAnsi" w:hAnsiTheme="majorHAnsi"/>
          <w:sz w:val="24"/>
          <w:szCs w:val="24"/>
        </w:rPr>
        <w:t xml:space="preserve">and its impact on children and families and their involvement in child welfare, ASPE and CDC are collaborating on a multicomponent study to </w:t>
      </w:r>
      <w:r>
        <w:rPr>
          <w:rFonts w:asciiTheme="majorHAnsi" w:hAnsiTheme="majorHAnsi"/>
          <w:sz w:val="24"/>
          <w:szCs w:val="24"/>
        </w:rPr>
        <w:t>identify strategies to help</w:t>
      </w:r>
      <w:r w:rsidRPr="00F801C2">
        <w:rPr>
          <w:rFonts w:asciiTheme="majorHAnsi" w:hAnsiTheme="majorHAnsi"/>
          <w:sz w:val="24"/>
          <w:szCs w:val="24"/>
        </w:rPr>
        <w:t xml:space="preserve"> </w:t>
      </w:r>
      <w:r>
        <w:rPr>
          <w:rFonts w:asciiTheme="majorHAnsi" w:hAnsiTheme="majorHAnsi"/>
          <w:sz w:val="24"/>
          <w:szCs w:val="24"/>
        </w:rPr>
        <w:t xml:space="preserve">break this cycle. Through this collaboration, ASPE and CDC will fund separate study components with a shared goal of </w:t>
      </w:r>
      <w:r w:rsidRPr="00F801C2">
        <w:rPr>
          <w:rFonts w:asciiTheme="majorHAnsi" w:hAnsiTheme="majorHAnsi"/>
          <w:sz w:val="24"/>
          <w:szCs w:val="24"/>
        </w:rPr>
        <w:t>identify</w:t>
      </w:r>
      <w:r>
        <w:rPr>
          <w:rFonts w:asciiTheme="majorHAnsi" w:hAnsiTheme="majorHAnsi"/>
          <w:sz w:val="24"/>
          <w:szCs w:val="24"/>
        </w:rPr>
        <w:t>ing</w:t>
      </w:r>
      <w:r w:rsidRPr="00F801C2">
        <w:rPr>
          <w:rFonts w:asciiTheme="majorHAnsi" w:hAnsiTheme="majorHAnsi"/>
          <w:sz w:val="24"/>
          <w:szCs w:val="24"/>
        </w:rPr>
        <w:t xml:space="preserve"> promising strategies and potential protective factors </w:t>
      </w:r>
      <w:r>
        <w:rPr>
          <w:rFonts w:asciiTheme="majorHAnsi" w:hAnsiTheme="majorHAnsi"/>
          <w:sz w:val="24"/>
          <w:szCs w:val="24"/>
        </w:rPr>
        <w:t>that may help t</w:t>
      </w:r>
      <w:r w:rsidRPr="00F801C2">
        <w:rPr>
          <w:rFonts w:asciiTheme="majorHAnsi" w:hAnsiTheme="majorHAnsi"/>
          <w:sz w:val="24"/>
          <w:szCs w:val="24"/>
        </w:rPr>
        <w:t>o address rising rates of substance</w:t>
      </w:r>
      <w:r>
        <w:rPr>
          <w:rFonts w:asciiTheme="majorHAnsi" w:hAnsiTheme="majorHAnsi"/>
          <w:sz w:val="24"/>
          <w:szCs w:val="24"/>
        </w:rPr>
        <w:t>/opioid</w:t>
      </w:r>
      <w:r w:rsidRPr="00F801C2">
        <w:rPr>
          <w:rFonts w:asciiTheme="majorHAnsi" w:hAnsiTheme="majorHAnsi"/>
          <w:sz w:val="24"/>
          <w:szCs w:val="24"/>
        </w:rPr>
        <w:t xml:space="preserve"> misuse and child welfare entries</w:t>
      </w:r>
      <w:r>
        <w:rPr>
          <w:rFonts w:asciiTheme="majorHAnsi" w:hAnsiTheme="majorHAnsi"/>
          <w:sz w:val="24"/>
          <w:szCs w:val="24"/>
        </w:rPr>
        <w:t>. The</w:t>
      </w:r>
      <w:r w:rsidR="001A431F">
        <w:rPr>
          <w:rFonts w:asciiTheme="majorHAnsi" w:hAnsiTheme="majorHAnsi"/>
          <w:sz w:val="24"/>
          <w:szCs w:val="24"/>
        </w:rPr>
        <w:t xml:space="preserve">re are </w:t>
      </w:r>
      <w:r w:rsidR="00302744">
        <w:rPr>
          <w:rFonts w:asciiTheme="majorHAnsi" w:hAnsiTheme="majorHAnsi"/>
          <w:sz w:val="24"/>
          <w:szCs w:val="24"/>
        </w:rPr>
        <w:t xml:space="preserve">two </w:t>
      </w:r>
      <w:r>
        <w:rPr>
          <w:rFonts w:asciiTheme="majorHAnsi" w:hAnsiTheme="majorHAnsi"/>
          <w:sz w:val="24"/>
          <w:szCs w:val="24"/>
        </w:rPr>
        <w:t>components</w:t>
      </w:r>
      <w:r w:rsidR="001A431F">
        <w:rPr>
          <w:rFonts w:asciiTheme="majorHAnsi" w:hAnsiTheme="majorHAnsi"/>
          <w:sz w:val="24"/>
          <w:szCs w:val="24"/>
        </w:rPr>
        <w:t xml:space="preserve"> to this study</w:t>
      </w:r>
      <w:r w:rsidR="005D43C9">
        <w:rPr>
          <w:rFonts w:asciiTheme="majorHAnsi" w:hAnsiTheme="majorHAnsi"/>
          <w:sz w:val="24"/>
          <w:szCs w:val="24"/>
        </w:rPr>
        <w:t xml:space="preserve"> and </w:t>
      </w:r>
      <w:r w:rsidR="00837B5A">
        <w:rPr>
          <w:rFonts w:asciiTheme="majorHAnsi" w:hAnsiTheme="majorHAnsi"/>
          <w:sz w:val="24"/>
          <w:szCs w:val="24"/>
        </w:rPr>
        <w:t>eight</w:t>
      </w:r>
      <w:r w:rsidR="005D43C9">
        <w:rPr>
          <w:rFonts w:asciiTheme="majorHAnsi" w:hAnsiTheme="majorHAnsi"/>
          <w:sz w:val="24"/>
          <w:szCs w:val="24"/>
        </w:rPr>
        <w:t xml:space="preserve"> </w:t>
      </w:r>
      <w:r w:rsidR="005D43C9" w:rsidRPr="00F801C2">
        <w:rPr>
          <w:rFonts w:asciiTheme="majorHAnsi" w:hAnsiTheme="majorHAnsi"/>
          <w:sz w:val="24"/>
          <w:szCs w:val="24"/>
        </w:rPr>
        <w:t xml:space="preserve">data collection </w:t>
      </w:r>
      <w:r w:rsidR="005D43C9">
        <w:rPr>
          <w:rFonts w:asciiTheme="majorHAnsi" w:hAnsiTheme="majorHAnsi"/>
          <w:sz w:val="24"/>
          <w:szCs w:val="24"/>
        </w:rPr>
        <w:t xml:space="preserve">activities, including </w:t>
      </w:r>
      <w:r w:rsidR="005D43C9" w:rsidRPr="00F801C2">
        <w:rPr>
          <w:rFonts w:asciiTheme="majorHAnsi" w:hAnsiTheme="majorHAnsi"/>
          <w:sz w:val="24"/>
          <w:szCs w:val="24"/>
        </w:rPr>
        <w:t>in-person, telephone/Skype, and/or online key informant int</w:t>
      </w:r>
      <w:r w:rsidR="005D43C9">
        <w:rPr>
          <w:rFonts w:asciiTheme="majorHAnsi" w:hAnsiTheme="majorHAnsi"/>
          <w:sz w:val="24"/>
          <w:szCs w:val="24"/>
        </w:rPr>
        <w:t>erviews (KIIs) and focus groups.</w:t>
      </w:r>
    </w:p>
    <w:p w14:paraId="27AA0FE7" w14:textId="77777777" w:rsidR="00055D08" w:rsidRDefault="00055D08" w:rsidP="00EA75F7">
      <w:pPr>
        <w:pStyle w:val="ListParagraph"/>
        <w:numPr>
          <w:ilvl w:val="0"/>
          <w:numId w:val="6"/>
        </w:numPr>
        <w:spacing w:after="120" w:line="240" w:lineRule="auto"/>
        <w:contextualSpacing w:val="0"/>
        <w:rPr>
          <w:rFonts w:asciiTheme="majorHAnsi" w:hAnsiTheme="majorHAnsi"/>
          <w:sz w:val="24"/>
          <w:szCs w:val="24"/>
        </w:rPr>
      </w:pPr>
      <w:r w:rsidRPr="00F801C2">
        <w:rPr>
          <w:rFonts w:asciiTheme="majorHAnsi" w:hAnsiTheme="majorHAnsi"/>
          <w:sz w:val="24"/>
          <w:szCs w:val="24"/>
        </w:rPr>
        <w:t xml:space="preserve">Study Component 1 (ASPE): “Addressing Substance Use Disorders Among Families Involved with the Child Welfare System: Challenges and Promising Strategies in Rural Communities” (short title, </w:t>
      </w:r>
      <w:r w:rsidRPr="00F801C2">
        <w:rPr>
          <w:rFonts w:asciiTheme="majorHAnsi" w:hAnsiTheme="majorHAnsi"/>
          <w:i/>
          <w:sz w:val="24"/>
          <w:szCs w:val="24"/>
        </w:rPr>
        <w:t xml:space="preserve">Rural Communities </w:t>
      </w:r>
      <w:r>
        <w:rPr>
          <w:rFonts w:asciiTheme="majorHAnsi" w:hAnsiTheme="majorHAnsi"/>
          <w:i/>
          <w:sz w:val="24"/>
          <w:szCs w:val="24"/>
        </w:rPr>
        <w:t>Substudy</w:t>
      </w:r>
      <w:r w:rsidRPr="00F801C2">
        <w:rPr>
          <w:rFonts w:asciiTheme="majorHAnsi" w:hAnsiTheme="majorHAnsi"/>
          <w:i/>
          <w:sz w:val="24"/>
          <w:szCs w:val="24"/>
        </w:rPr>
        <w:t xml:space="preserve"> </w:t>
      </w:r>
      <w:r w:rsidRPr="00F801C2">
        <w:rPr>
          <w:rFonts w:asciiTheme="majorHAnsi" w:hAnsiTheme="majorHAnsi"/>
          <w:sz w:val="24"/>
          <w:szCs w:val="24"/>
        </w:rPr>
        <w:t>[</w:t>
      </w:r>
      <w:r>
        <w:rPr>
          <w:rFonts w:asciiTheme="majorHAnsi" w:hAnsiTheme="majorHAnsi"/>
          <w:sz w:val="24"/>
          <w:szCs w:val="24"/>
        </w:rPr>
        <w:t>RCS</w:t>
      </w:r>
      <w:r w:rsidRPr="00F801C2">
        <w:rPr>
          <w:rFonts w:asciiTheme="majorHAnsi" w:hAnsiTheme="majorHAnsi"/>
          <w:sz w:val="24"/>
          <w:szCs w:val="24"/>
        </w:rPr>
        <w:t>])</w:t>
      </w:r>
    </w:p>
    <w:p w14:paraId="48F66587" w14:textId="49C087F9" w:rsidR="005D43C9" w:rsidRPr="00F801C2" w:rsidRDefault="00EA75F7" w:rsidP="00EA75F7">
      <w:pPr>
        <w:pStyle w:val="ListParagraph"/>
        <w:numPr>
          <w:ilvl w:val="1"/>
          <w:numId w:val="6"/>
        </w:numPr>
        <w:spacing w:after="120" w:line="240" w:lineRule="auto"/>
        <w:contextualSpacing w:val="0"/>
        <w:rPr>
          <w:rFonts w:asciiTheme="majorHAnsi" w:hAnsiTheme="majorHAnsi"/>
          <w:sz w:val="24"/>
          <w:szCs w:val="24"/>
        </w:rPr>
      </w:pPr>
      <w:r>
        <w:rPr>
          <w:rFonts w:asciiTheme="majorHAnsi" w:hAnsiTheme="majorHAnsi"/>
          <w:sz w:val="24"/>
          <w:szCs w:val="24"/>
        </w:rPr>
        <w:t xml:space="preserve">RCS instruments include </w:t>
      </w:r>
      <w:r w:rsidR="005D43C9" w:rsidRPr="00E42888">
        <w:rPr>
          <w:rFonts w:asciiTheme="majorHAnsi" w:hAnsiTheme="majorHAnsi"/>
          <w:sz w:val="24"/>
          <w:szCs w:val="24"/>
        </w:rPr>
        <w:t>(1) Wave 1 KIIs–Experts, (2) Wave 2 KIIs/Site Visit Interviews–Program Administrators, (3) Site Visit Interviews–Practitioners, (4) Site Visit Interviews–Partners/Other Related Organizations,</w:t>
      </w:r>
    </w:p>
    <w:p w14:paraId="4230CA2A" w14:textId="77777777" w:rsidR="00055D08" w:rsidRPr="00F801C2" w:rsidRDefault="00055D08" w:rsidP="00EA75F7">
      <w:pPr>
        <w:pStyle w:val="ListParagraph"/>
        <w:numPr>
          <w:ilvl w:val="0"/>
          <w:numId w:val="6"/>
        </w:numPr>
        <w:spacing w:after="120" w:line="240" w:lineRule="auto"/>
        <w:contextualSpacing w:val="0"/>
        <w:rPr>
          <w:rFonts w:asciiTheme="majorHAnsi" w:hAnsiTheme="majorHAnsi"/>
          <w:sz w:val="24"/>
          <w:szCs w:val="24"/>
        </w:rPr>
      </w:pPr>
      <w:r w:rsidRPr="00F801C2">
        <w:rPr>
          <w:rFonts w:asciiTheme="majorHAnsi" w:hAnsiTheme="majorHAnsi"/>
          <w:sz w:val="24"/>
          <w:szCs w:val="24"/>
        </w:rPr>
        <w:t xml:space="preserve">Study Component 2 (CDC): “Formative Research on Opioids and Their Impact on Children, Youth, and Families (short title, </w:t>
      </w:r>
      <w:r w:rsidRPr="00F801C2">
        <w:rPr>
          <w:rFonts w:asciiTheme="majorHAnsi" w:hAnsiTheme="majorHAnsi"/>
          <w:i/>
          <w:sz w:val="24"/>
          <w:szCs w:val="24"/>
        </w:rPr>
        <w:t xml:space="preserve">Community Burden </w:t>
      </w:r>
      <w:r>
        <w:rPr>
          <w:rFonts w:asciiTheme="majorHAnsi" w:hAnsiTheme="majorHAnsi"/>
          <w:i/>
          <w:sz w:val="24"/>
          <w:szCs w:val="24"/>
        </w:rPr>
        <w:t>Substudy</w:t>
      </w:r>
      <w:r w:rsidRPr="00F801C2">
        <w:rPr>
          <w:rFonts w:asciiTheme="majorHAnsi" w:hAnsiTheme="majorHAnsi"/>
          <w:i/>
          <w:sz w:val="24"/>
          <w:szCs w:val="24"/>
        </w:rPr>
        <w:t xml:space="preserve"> </w:t>
      </w:r>
      <w:r w:rsidRPr="00F801C2">
        <w:rPr>
          <w:rFonts w:asciiTheme="majorHAnsi" w:hAnsiTheme="majorHAnsi"/>
          <w:sz w:val="24"/>
          <w:szCs w:val="24"/>
        </w:rPr>
        <w:t>[</w:t>
      </w:r>
      <w:r>
        <w:rPr>
          <w:rFonts w:asciiTheme="majorHAnsi" w:hAnsiTheme="majorHAnsi"/>
          <w:sz w:val="24"/>
          <w:szCs w:val="24"/>
        </w:rPr>
        <w:t>CBS</w:t>
      </w:r>
      <w:r w:rsidRPr="00F801C2">
        <w:rPr>
          <w:rFonts w:asciiTheme="majorHAnsi" w:hAnsiTheme="majorHAnsi"/>
          <w:sz w:val="24"/>
          <w:szCs w:val="24"/>
        </w:rPr>
        <w:t>])</w:t>
      </w:r>
    </w:p>
    <w:p w14:paraId="28DF36CF" w14:textId="6FCFF16D" w:rsidR="00E42888" w:rsidRPr="00E42888" w:rsidRDefault="00EA75F7" w:rsidP="00EA75F7">
      <w:pPr>
        <w:pStyle w:val="ListParagraph"/>
        <w:numPr>
          <w:ilvl w:val="1"/>
          <w:numId w:val="6"/>
        </w:numPr>
        <w:spacing w:line="240" w:lineRule="auto"/>
        <w:contextualSpacing w:val="0"/>
        <w:rPr>
          <w:rFonts w:asciiTheme="majorHAnsi" w:hAnsiTheme="majorHAnsi"/>
          <w:sz w:val="24"/>
          <w:szCs w:val="24"/>
        </w:rPr>
      </w:pPr>
      <w:r>
        <w:rPr>
          <w:rFonts w:asciiTheme="majorHAnsi" w:hAnsiTheme="majorHAnsi"/>
          <w:sz w:val="24"/>
          <w:szCs w:val="24"/>
        </w:rPr>
        <w:t xml:space="preserve">CBS instruments include (1) </w:t>
      </w:r>
      <w:r w:rsidR="005D43C9" w:rsidRPr="00E42888">
        <w:rPr>
          <w:rFonts w:asciiTheme="majorHAnsi" w:hAnsiTheme="majorHAnsi"/>
          <w:sz w:val="24"/>
          <w:szCs w:val="24"/>
        </w:rPr>
        <w:t>KII–Parents/Caregivers, (</w:t>
      </w:r>
      <w:r w:rsidR="005D43C9">
        <w:rPr>
          <w:rFonts w:asciiTheme="majorHAnsi" w:hAnsiTheme="majorHAnsi"/>
          <w:sz w:val="24"/>
          <w:szCs w:val="24"/>
        </w:rPr>
        <w:t>2</w:t>
      </w:r>
      <w:r w:rsidR="005D43C9" w:rsidRPr="00E42888">
        <w:rPr>
          <w:rFonts w:asciiTheme="majorHAnsi" w:hAnsiTheme="majorHAnsi"/>
          <w:sz w:val="24"/>
          <w:szCs w:val="24"/>
        </w:rPr>
        <w:t>) KII–Providers/Stakeholders, (</w:t>
      </w:r>
      <w:r w:rsidR="005D43C9">
        <w:rPr>
          <w:rFonts w:asciiTheme="majorHAnsi" w:hAnsiTheme="majorHAnsi"/>
          <w:sz w:val="24"/>
          <w:szCs w:val="24"/>
        </w:rPr>
        <w:t>3</w:t>
      </w:r>
      <w:r w:rsidR="005D43C9" w:rsidRPr="00E42888">
        <w:rPr>
          <w:rFonts w:asciiTheme="majorHAnsi" w:hAnsiTheme="majorHAnsi"/>
          <w:sz w:val="24"/>
          <w:szCs w:val="24"/>
        </w:rPr>
        <w:t xml:space="preserve">) Focus Group Guide–Caregivers, </w:t>
      </w:r>
      <w:r w:rsidR="00837B5A">
        <w:rPr>
          <w:rFonts w:asciiTheme="majorHAnsi" w:hAnsiTheme="majorHAnsi"/>
          <w:sz w:val="24"/>
          <w:szCs w:val="24"/>
        </w:rPr>
        <w:t xml:space="preserve">and </w:t>
      </w:r>
      <w:r w:rsidR="005D43C9" w:rsidRPr="00E42888">
        <w:rPr>
          <w:rFonts w:asciiTheme="majorHAnsi" w:hAnsiTheme="majorHAnsi"/>
          <w:sz w:val="24"/>
          <w:szCs w:val="24"/>
        </w:rPr>
        <w:t>(</w:t>
      </w:r>
      <w:r w:rsidR="005D43C9">
        <w:rPr>
          <w:rFonts w:asciiTheme="majorHAnsi" w:hAnsiTheme="majorHAnsi"/>
          <w:sz w:val="24"/>
          <w:szCs w:val="24"/>
        </w:rPr>
        <w:t>4</w:t>
      </w:r>
      <w:r w:rsidR="005D43C9" w:rsidRPr="00E42888">
        <w:rPr>
          <w:rFonts w:asciiTheme="majorHAnsi" w:hAnsiTheme="majorHAnsi"/>
          <w:sz w:val="24"/>
          <w:szCs w:val="24"/>
        </w:rPr>
        <w:t>) Focus Group Guide–Providers/Stakeholders.</w:t>
      </w:r>
    </w:p>
    <w:p w14:paraId="6FC6321C" w14:textId="38E61B0F" w:rsidR="00CD1EA8" w:rsidRPr="001862EA" w:rsidRDefault="00B12F51" w:rsidP="00055D08">
      <w:pPr>
        <w:pStyle w:val="ListParagraph"/>
        <w:numPr>
          <w:ilvl w:val="0"/>
          <w:numId w:val="3"/>
        </w:numPr>
        <w:spacing w:before="240" w:after="120" w:line="240" w:lineRule="auto"/>
        <w:contextualSpacing w:val="0"/>
        <w:rPr>
          <w:rFonts w:asciiTheme="majorHAnsi" w:hAnsiTheme="majorHAnsi"/>
          <w:b/>
          <w:sz w:val="24"/>
          <w:szCs w:val="28"/>
        </w:rPr>
      </w:pPr>
      <w:r w:rsidRPr="001862EA">
        <w:rPr>
          <w:rFonts w:asciiTheme="majorHAnsi" w:hAnsiTheme="majorHAnsi"/>
          <w:b/>
          <w:sz w:val="24"/>
          <w:szCs w:val="28"/>
        </w:rPr>
        <w:t>Circumstances Making the Collection of Information Necessary</w:t>
      </w:r>
    </w:p>
    <w:p w14:paraId="622536FF" w14:textId="2EC4E304" w:rsidR="00E33E1B" w:rsidRPr="001862EA" w:rsidRDefault="00E33E1B" w:rsidP="00055D08">
      <w:pPr>
        <w:pStyle w:val="ListParagraph"/>
        <w:numPr>
          <w:ilvl w:val="0"/>
          <w:numId w:val="4"/>
        </w:numPr>
        <w:spacing w:after="120" w:line="240" w:lineRule="auto"/>
        <w:rPr>
          <w:rFonts w:asciiTheme="majorHAnsi" w:hAnsiTheme="majorHAnsi"/>
          <w:b/>
          <w:sz w:val="24"/>
          <w:szCs w:val="24"/>
        </w:rPr>
      </w:pPr>
      <w:r w:rsidRPr="001862EA">
        <w:rPr>
          <w:rFonts w:asciiTheme="majorHAnsi" w:hAnsiTheme="majorHAnsi"/>
          <w:b/>
          <w:sz w:val="24"/>
          <w:szCs w:val="24"/>
        </w:rPr>
        <w:t>Background</w:t>
      </w:r>
    </w:p>
    <w:p w14:paraId="2C92D94C" w14:textId="4DC5FA3E" w:rsidR="00D753F0" w:rsidRDefault="00310EB8" w:rsidP="00A60A48">
      <w:pPr>
        <w:spacing w:line="240" w:lineRule="auto"/>
        <w:ind w:left="360"/>
        <w:rPr>
          <w:rFonts w:asciiTheme="majorHAnsi" w:hAnsiTheme="majorHAnsi"/>
          <w:sz w:val="24"/>
          <w:szCs w:val="24"/>
        </w:rPr>
      </w:pPr>
      <w:r>
        <w:rPr>
          <w:rFonts w:asciiTheme="majorHAnsi" w:hAnsiTheme="majorHAnsi"/>
          <w:sz w:val="24"/>
          <w:szCs w:val="24"/>
        </w:rPr>
        <w:t>F</w:t>
      </w:r>
      <w:r w:rsidR="008E7E40">
        <w:rPr>
          <w:rFonts w:asciiTheme="majorHAnsi" w:hAnsiTheme="majorHAnsi"/>
          <w:sz w:val="24"/>
          <w:szCs w:val="24"/>
        </w:rPr>
        <w:t>oster care entries have been</w:t>
      </w:r>
      <w:r w:rsidR="00A940EF">
        <w:rPr>
          <w:rFonts w:asciiTheme="majorHAnsi" w:hAnsiTheme="majorHAnsi"/>
          <w:sz w:val="24"/>
          <w:szCs w:val="24"/>
        </w:rPr>
        <w:t xml:space="preserve"> </w:t>
      </w:r>
      <w:r w:rsidR="00EA7373">
        <w:rPr>
          <w:rFonts w:asciiTheme="majorHAnsi" w:hAnsiTheme="majorHAnsi"/>
          <w:sz w:val="24"/>
          <w:szCs w:val="24"/>
        </w:rPr>
        <w:t>on the rise since</w:t>
      </w:r>
      <w:r w:rsidR="00A940EF">
        <w:rPr>
          <w:rFonts w:asciiTheme="majorHAnsi" w:hAnsiTheme="majorHAnsi"/>
          <w:sz w:val="24"/>
          <w:szCs w:val="24"/>
        </w:rPr>
        <w:t xml:space="preserve"> 2012</w:t>
      </w:r>
      <w:r w:rsidR="00053EE0">
        <w:rPr>
          <w:rFonts w:asciiTheme="majorHAnsi" w:hAnsiTheme="majorHAnsi"/>
          <w:sz w:val="24"/>
          <w:szCs w:val="24"/>
        </w:rPr>
        <w:t xml:space="preserve"> (</w:t>
      </w:r>
      <w:r w:rsidR="00CE7CCA">
        <w:rPr>
          <w:rFonts w:asciiTheme="majorHAnsi" w:hAnsiTheme="majorHAnsi"/>
          <w:sz w:val="24"/>
          <w:szCs w:val="24"/>
        </w:rPr>
        <w:t>Children’s Bureau</w:t>
      </w:r>
      <w:r w:rsidR="00053EE0">
        <w:rPr>
          <w:rFonts w:asciiTheme="majorHAnsi" w:hAnsiTheme="majorHAnsi"/>
          <w:sz w:val="24"/>
          <w:szCs w:val="24"/>
        </w:rPr>
        <w:t xml:space="preserve">, 2018). </w:t>
      </w:r>
      <w:r w:rsidR="00D65E56">
        <w:rPr>
          <w:rFonts w:asciiTheme="majorHAnsi" w:hAnsiTheme="majorHAnsi"/>
          <w:sz w:val="24"/>
          <w:szCs w:val="24"/>
        </w:rPr>
        <w:t>Findings from a</w:t>
      </w:r>
      <w:r w:rsidR="00D86941">
        <w:rPr>
          <w:rFonts w:asciiTheme="majorHAnsi" w:hAnsiTheme="majorHAnsi"/>
          <w:sz w:val="24"/>
          <w:szCs w:val="24"/>
        </w:rPr>
        <w:t xml:space="preserve"> recent study by </w:t>
      </w:r>
      <w:r w:rsidR="00D92980">
        <w:rPr>
          <w:rFonts w:asciiTheme="majorHAnsi" w:hAnsiTheme="majorHAnsi"/>
          <w:sz w:val="24"/>
          <w:szCs w:val="24"/>
        </w:rPr>
        <w:t xml:space="preserve">ASPE confirmed that </w:t>
      </w:r>
      <w:r w:rsidR="000155E2">
        <w:rPr>
          <w:rFonts w:asciiTheme="majorHAnsi" w:hAnsiTheme="majorHAnsi"/>
          <w:sz w:val="24"/>
          <w:szCs w:val="24"/>
        </w:rPr>
        <w:t>s</w:t>
      </w:r>
      <w:r w:rsidR="0037598E" w:rsidRPr="00FD4439">
        <w:rPr>
          <w:rFonts w:asciiTheme="majorHAnsi" w:hAnsiTheme="majorHAnsi"/>
          <w:sz w:val="24"/>
          <w:szCs w:val="24"/>
        </w:rPr>
        <w:t xml:space="preserve">ubstance </w:t>
      </w:r>
      <w:r w:rsidR="00C32129">
        <w:rPr>
          <w:rFonts w:asciiTheme="majorHAnsi" w:hAnsiTheme="majorHAnsi"/>
          <w:sz w:val="24"/>
          <w:szCs w:val="24"/>
        </w:rPr>
        <w:t>mis</w:t>
      </w:r>
      <w:r w:rsidR="0037598E" w:rsidRPr="00FD4439">
        <w:rPr>
          <w:rFonts w:asciiTheme="majorHAnsi" w:hAnsiTheme="majorHAnsi"/>
          <w:sz w:val="24"/>
          <w:szCs w:val="24"/>
        </w:rPr>
        <w:t>use</w:t>
      </w:r>
      <w:r w:rsidR="00FF37EB">
        <w:rPr>
          <w:rFonts w:asciiTheme="majorHAnsi" w:hAnsiTheme="majorHAnsi"/>
          <w:sz w:val="24"/>
          <w:szCs w:val="24"/>
        </w:rPr>
        <w:t>—</w:t>
      </w:r>
      <w:r w:rsidR="00EA7373">
        <w:rPr>
          <w:rFonts w:asciiTheme="majorHAnsi" w:hAnsiTheme="majorHAnsi"/>
          <w:sz w:val="24"/>
          <w:szCs w:val="24"/>
        </w:rPr>
        <w:t xml:space="preserve">particularly </w:t>
      </w:r>
      <w:r>
        <w:rPr>
          <w:rFonts w:asciiTheme="majorHAnsi" w:hAnsiTheme="majorHAnsi"/>
          <w:sz w:val="24"/>
          <w:szCs w:val="24"/>
        </w:rPr>
        <w:t>related to</w:t>
      </w:r>
      <w:r w:rsidR="004E5857">
        <w:rPr>
          <w:rFonts w:asciiTheme="majorHAnsi" w:hAnsiTheme="majorHAnsi"/>
          <w:sz w:val="24"/>
          <w:szCs w:val="24"/>
        </w:rPr>
        <w:t xml:space="preserve"> </w:t>
      </w:r>
      <w:r w:rsidR="00336569" w:rsidRPr="00FD4439">
        <w:rPr>
          <w:rFonts w:asciiTheme="majorHAnsi" w:hAnsiTheme="majorHAnsi"/>
          <w:sz w:val="24"/>
          <w:szCs w:val="24"/>
        </w:rPr>
        <w:t xml:space="preserve">the opioid </w:t>
      </w:r>
      <w:r w:rsidR="0041074D" w:rsidRPr="00FD4439">
        <w:rPr>
          <w:rFonts w:asciiTheme="majorHAnsi" w:hAnsiTheme="majorHAnsi"/>
          <w:sz w:val="24"/>
          <w:szCs w:val="24"/>
        </w:rPr>
        <w:t>crisis</w:t>
      </w:r>
      <w:r w:rsidR="00FF37EB">
        <w:rPr>
          <w:rFonts w:asciiTheme="majorHAnsi" w:hAnsiTheme="majorHAnsi"/>
          <w:sz w:val="24"/>
          <w:szCs w:val="24"/>
        </w:rPr>
        <w:t>—</w:t>
      </w:r>
      <w:r w:rsidR="000155E2">
        <w:rPr>
          <w:rFonts w:asciiTheme="majorHAnsi" w:hAnsiTheme="majorHAnsi"/>
          <w:sz w:val="24"/>
          <w:szCs w:val="24"/>
        </w:rPr>
        <w:t xml:space="preserve">is </w:t>
      </w:r>
      <w:r w:rsidR="000155E2" w:rsidRPr="00FD4439">
        <w:rPr>
          <w:rFonts w:asciiTheme="majorHAnsi" w:hAnsiTheme="majorHAnsi"/>
          <w:sz w:val="24"/>
          <w:szCs w:val="24"/>
        </w:rPr>
        <w:t>contribut</w:t>
      </w:r>
      <w:r w:rsidR="000155E2">
        <w:rPr>
          <w:rFonts w:asciiTheme="majorHAnsi" w:hAnsiTheme="majorHAnsi"/>
          <w:sz w:val="24"/>
          <w:szCs w:val="24"/>
        </w:rPr>
        <w:t>ing</w:t>
      </w:r>
      <w:r w:rsidR="000155E2" w:rsidRPr="00FD4439">
        <w:rPr>
          <w:rFonts w:asciiTheme="majorHAnsi" w:hAnsiTheme="majorHAnsi"/>
          <w:sz w:val="24"/>
          <w:szCs w:val="24"/>
        </w:rPr>
        <w:t xml:space="preserve"> </w:t>
      </w:r>
      <w:r w:rsidR="0037598E" w:rsidRPr="00FD4439">
        <w:rPr>
          <w:rFonts w:asciiTheme="majorHAnsi" w:hAnsiTheme="majorHAnsi"/>
          <w:sz w:val="24"/>
          <w:szCs w:val="24"/>
        </w:rPr>
        <w:t xml:space="preserve">to more children </w:t>
      </w:r>
      <w:r w:rsidR="00331FAB">
        <w:rPr>
          <w:rFonts w:asciiTheme="majorHAnsi" w:hAnsiTheme="majorHAnsi"/>
          <w:sz w:val="24"/>
          <w:szCs w:val="24"/>
        </w:rPr>
        <w:t>entering</w:t>
      </w:r>
      <w:r w:rsidR="0037598E" w:rsidRPr="00FD4439">
        <w:rPr>
          <w:rFonts w:asciiTheme="majorHAnsi" w:hAnsiTheme="majorHAnsi"/>
          <w:sz w:val="24"/>
          <w:szCs w:val="24"/>
        </w:rPr>
        <w:t xml:space="preserve"> the child welfare system </w:t>
      </w:r>
      <w:r w:rsidR="0037598E" w:rsidRPr="00624078">
        <w:rPr>
          <w:rFonts w:asciiTheme="majorHAnsi" w:hAnsiTheme="majorHAnsi"/>
          <w:sz w:val="24"/>
          <w:szCs w:val="24"/>
        </w:rPr>
        <w:t>(</w:t>
      </w:r>
      <w:r w:rsidR="00A940EF">
        <w:rPr>
          <w:rFonts w:asciiTheme="majorHAnsi" w:hAnsiTheme="majorHAnsi"/>
          <w:sz w:val="24"/>
          <w:szCs w:val="24"/>
        </w:rPr>
        <w:t xml:space="preserve">Radel et al., 2018; </w:t>
      </w:r>
      <w:r w:rsidR="0037598E" w:rsidRPr="00FD4439">
        <w:rPr>
          <w:rFonts w:asciiTheme="majorHAnsi" w:hAnsiTheme="majorHAnsi"/>
          <w:sz w:val="24"/>
          <w:szCs w:val="24"/>
        </w:rPr>
        <w:t>Child Welfare Information Gateway</w:t>
      </w:r>
      <w:r w:rsidR="006B5038">
        <w:rPr>
          <w:rFonts w:asciiTheme="majorHAnsi" w:hAnsiTheme="majorHAnsi"/>
          <w:sz w:val="24"/>
          <w:szCs w:val="24"/>
        </w:rPr>
        <w:t>,</w:t>
      </w:r>
      <w:r w:rsidR="0037598E" w:rsidRPr="00FD4439">
        <w:rPr>
          <w:rFonts w:asciiTheme="majorHAnsi" w:hAnsiTheme="majorHAnsi"/>
          <w:sz w:val="24"/>
          <w:szCs w:val="24"/>
        </w:rPr>
        <w:t xml:space="preserve"> 2018; Oliveros </w:t>
      </w:r>
      <w:r w:rsidR="00E42888">
        <w:rPr>
          <w:rFonts w:asciiTheme="majorHAnsi" w:hAnsiTheme="majorHAnsi"/>
          <w:sz w:val="24"/>
          <w:szCs w:val="24"/>
        </w:rPr>
        <w:t>&amp;</w:t>
      </w:r>
      <w:r w:rsidR="00E42888" w:rsidRPr="00FD4439">
        <w:rPr>
          <w:rFonts w:asciiTheme="majorHAnsi" w:hAnsiTheme="majorHAnsi"/>
          <w:sz w:val="24"/>
          <w:szCs w:val="24"/>
        </w:rPr>
        <w:t xml:space="preserve"> </w:t>
      </w:r>
      <w:r w:rsidR="0037598E" w:rsidRPr="00FD4439">
        <w:rPr>
          <w:rFonts w:asciiTheme="majorHAnsi" w:hAnsiTheme="majorHAnsi"/>
          <w:sz w:val="24"/>
          <w:szCs w:val="24"/>
        </w:rPr>
        <w:t>Kaufman</w:t>
      </w:r>
      <w:r w:rsidR="00E42888">
        <w:rPr>
          <w:rFonts w:asciiTheme="majorHAnsi" w:hAnsiTheme="majorHAnsi"/>
          <w:sz w:val="24"/>
          <w:szCs w:val="24"/>
        </w:rPr>
        <w:t>,</w:t>
      </w:r>
      <w:r w:rsidR="0037598E" w:rsidRPr="00FD4439">
        <w:rPr>
          <w:rFonts w:asciiTheme="majorHAnsi" w:hAnsiTheme="majorHAnsi"/>
          <w:sz w:val="24"/>
          <w:szCs w:val="24"/>
        </w:rPr>
        <w:t xml:space="preserve"> 2011). </w:t>
      </w:r>
      <w:r w:rsidR="00FA636F">
        <w:rPr>
          <w:rFonts w:asciiTheme="majorHAnsi" w:hAnsiTheme="majorHAnsi"/>
          <w:sz w:val="24"/>
          <w:szCs w:val="24"/>
        </w:rPr>
        <w:t>Over the last several years, t</w:t>
      </w:r>
      <w:r w:rsidR="002D6EEB">
        <w:rPr>
          <w:rFonts w:asciiTheme="majorHAnsi" w:hAnsiTheme="majorHAnsi"/>
          <w:sz w:val="24"/>
          <w:szCs w:val="24"/>
        </w:rPr>
        <w:t>he sharp rise in opioid misuse</w:t>
      </w:r>
      <w:r w:rsidR="006B5038">
        <w:rPr>
          <w:rFonts w:asciiTheme="majorHAnsi" w:hAnsiTheme="majorHAnsi"/>
          <w:sz w:val="24"/>
          <w:szCs w:val="24"/>
        </w:rPr>
        <w:t xml:space="preserve"> and </w:t>
      </w:r>
      <w:r w:rsidR="005F7D25">
        <w:rPr>
          <w:rFonts w:asciiTheme="majorHAnsi" w:hAnsiTheme="majorHAnsi"/>
          <w:sz w:val="24"/>
          <w:szCs w:val="24"/>
        </w:rPr>
        <w:t xml:space="preserve">drug </w:t>
      </w:r>
      <w:r w:rsidR="002D6EEB">
        <w:rPr>
          <w:rFonts w:asciiTheme="majorHAnsi" w:hAnsiTheme="majorHAnsi"/>
          <w:sz w:val="24"/>
          <w:szCs w:val="24"/>
        </w:rPr>
        <w:t>overdose deaths</w:t>
      </w:r>
      <w:r w:rsidR="00FA636F">
        <w:rPr>
          <w:rFonts w:asciiTheme="majorHAnsi" w:hAnsiTheme="majorHAnsi"/>
          <w:sz w:val="24"/>
          <w:szCs w:val="24"/>
        </w:rPr>
        <w:t xml:space="preserve"> has inundated </w:t>
      </w:r>
      <w:r w:rsidR="002D6EEB">
        <w:rPr>
          <w:rFonts w:asciiTheme="majorHAnsi" w:hAnsiTheme="majorHAnsi"/>
          <w:sz w:val="24"/>
          <w:szCs w:val="24"/>
        </w:rPr>
        <w:t>child welfare agencies with increased caseloads, removals, and foster care placements</w:t>
      </w:r>
      <w:r w:rsidR="00FA636F">
        <w:rPr>
          <w:rFonts w:asciiTheme="majorHAnsi" w:hAnsiTheme="majorHAnsi"/>
          <w:sz w:val="24"/>
          <w:szCs w:val="24"/>
        </w:rPr>
        <w:t xml:space="preserve">. </w:t>
      </w:r>
      <w:r w:rsidR="005F7D25">
        <w:rPr>
          <w:rFonts w:asciiTheme="majorHAnsi" w:hAnsiTheme="majorHAnsi"/>
          <w:sz w:val="24"/>
          <w:szCs w:val="24"/>
        </w:rPr>
        <w:t xml:space="preserve">Similarly, </w:t>
      </w:r>
      <w:r w:rsidR="00C32129">
        <w:rPr>
          <w:rFonts w:asciiTheme="majorHAnsi" w:hAnsiTheme="majorHAnsi"/>
          <w:sz w:val="24"/>
          <w:szCs w:val="24"/>
        </w:rPr>
        <w:t>high</w:t>
      </w:r>
      <w:r w:rsidR="00A5640A">
        <w:rPr>
          <w:rFonts w:asciiTheme="majorHAnsi" w:hAnsiTheme="majorHAnsi"/>
          <w:sz w:val="24"/>
          <w:szCs w:val="24"/>
        </w:rPr>
        <w:t xml:space="preserve"> </w:t>
      </w:r>
      <w:r w:rsidR="006C5091">
        <w:rPr>
          <w:rFonts w:asciiTheme="majorHAnsi" w:hAnsiTheme="majorHAnsi"/>
          <w:sz w:val="24"/>
          <w:szCs w:val="24"/>
        </w:rPr>
        <w:t xml:space="preserve">rates of </w:t>
      </w:r>
      <w:r w:rsidR="00C32129">
        <w:rPr>
          <w:rFonts w:asciiTheme="majorHAnsi" w:hAnsiTheme="majorHAnsi"/>
          <w:sz w:val="24"/>
          <w:szCs w:val="24"/>
        </w:rPr>
        <w:t xml:space="preserve">drug-related hospitalizations and </w:t>
      </w:r>
      <w:r w:rsidR="00BB2CCD">
        <w:rPr>
          <w:rFonts w:asciiTheme="majorHAnsi" w:hAnsiTheme="majorHAnsi"/>
          <w:sz w:val="24"/>
          <w:szCs w:val="24"/>
        </w:rPr>
        <w:t>overdose</w:t>
      </w:r>
      <w:r w:rsidR="00C32129">
        <w:rPr>
          <w:rFonts w:asciiTheme="majorHAnsi" w:hAnsiTheme="majorHAnsi"/>
          <w:sz w:val="24"/>
          <w:szCs w:val="24"/>
        </w:rPr>
        <w:t xml:space="preserve"> death</w:t>
      </w:r>
      <w:r w:rsidR="00D65E56">
        <w:rPr>
          <w:rFonts w:asciiTheme="majorHAnsi" w:hAnsiTheme="majorHAnsi"/>
          <w:sz w:val="24"/>
          <w:szCs w:val="24"/>
        </w:rPr>
        <w:t>s</w:t>
      </w:r>
      <w:r w:rsidR="00C32129">
        <w:rPr>
          <w:rFonts w:asciiTheme="majorHAnsi" w:hAnsiTheme="majorHAnsi"/>
          <w:sz w:val="24"/>
          <w:szCs w:val="24"/>
        </w:rPr>
        <w:t xml:space="preserve"> coincide with</w:t>
      </w:r>
      <w:r w:rsidR="00A5640A">
        <w:rPr>
          <w:rFonts w:asciiTheme="majorHAnsi" w:hAnsiTheme="majorHAnsi"/>
          <w:sz w:val="24"/>
          <w:szCs w:val="24"/>
        </w:rPr>
        <w:t xml:space="preserve"> increases in </w:t>
      </w:r>
      <w:r w:rsidR="00DD3260" w:rsidRPr="004F7CA4">
        <w:rPr>
          <w:rFonts w:asciiTheme="majorHAnsi" w:hAnsiTheme="majorHAnsi"/>
          <w:sz w:val="24"/>
          <w:szCs w:val="24"/>
        </w:rPr>
        <w:t xml:space="preserve">substantiated reports of child </w:t>
      </w:r>
      <w:r w:rsidR="00E42888">
        <w:rPr>
          <w:rFonts w:asciiTheme="majorHAnsi" w:hAnsiTheme="majorHAnsi"/>
          <w:sz w:val="24"/>
          <w:szCs w:val="24"/>
        </w:rPr>
        <w:t xml:space="preserve">abuse and </w:t>
      </w:r>
      <w:r w:rsidR="00DD3260">
        <w:rPr>
          <w:rFonts w:asciiTheme="majorHAnsi" w:hAnsiTheme="majorHAnsi"/>
          <w:sz w:val="24"/>
          <w:szCs w:val="24"/>
        </w:rPr>
        <w:t>neglect</w:t>
      </w:r>
      <w:r w:rsidR="004B67DB">
        <w:rPr>
          <w:rFonts w:asciiTheme="majorHAnsi" w:hAnsiTheme="majorHAnsi"/>
          <w:sz w:val="24"/>
          <w:szCs w:val="24"/>
        </w:rPr>
        <w:t xml:space="preserve"> (CAN)</w:t>
      </w:r>
      <w:r w:rsidR="00DD3260" w:rsidRPr="000607F4">
        <w:rPr>
          <w:rFonts w:asciiTheme="majorHAnsi" w:hAnsiTheme="majorHAnsi"/>
          <w:sz w:val="24"/>
          <w:szCs w:val="24"/>
        </w:rPr>
        <w:t>.</w:t>
      </w:r>
      <w:r w:rsidR="000607F4" w:rsidRPr="000607F4">
        <w:rPr>
          <w:rFonts w:asciiTheme="majorHAnsi" w:hAnsiTheme="majorHAnsi"/>
          <w:sz w:val="24"/>
          <w:szCs w:val="24"/>
        </w:rPr>
        <w:t xml:space="preserve"> </w:t>
      </w:r>
      <w:r w:rsidR="00336EC0">
        <w:rPr>
          <w:rFonts w:asciiTheme="majorHAnsi" w:hAnsiTheme="majorHAnsi"/>
          <w:sz w:val="24"/>
          <w:szCs w:val="24"/>
        </w:rPr>
        <w:t>More specifically, t</w:t>
      </w:r>
      <w:r w:rsidR="00EA7373" w:rsidRPr="00CE78CB">
        <w:rPr>
          <w:rFonts w:asciiTheme="majorHAnsi" w:hAnsiTheme="majorHAnsi"/>
          <w:sz w:val="24"/>
          <w:szCs w:val="24"/>
        </w:rPr>
        <w:t>he</w:t>
      </w:r>
      <w:r w:rsidR="004E5857">
        <w:rPr>
          <w:rFonts w:asciiTheme="majorHAnsi" w:hAnsiTheme="majorHAnsi"/>
          <w:sz w:val="24"/>
          <w:szCs w:val="24"/>
        </w:rPr>
        <w:t xml:space="preserve"> </w:t>
      </w:r>
      <w:r w:rsidR="00C43C11" w:rsidRPr="0041582B">
        <w:rPr>
          <w:rFonts w:asciiTheme="majorHAnsi" w:hAnsiTheme="majorHAnsi"/>
          <w:sz w:val="24"/>
          <w:szCs w:val="24"/>
        </w:rPr>
        <w:t>ASPE</w:t>
      </w:r>
      <w:r w:rsidR="00A940EF">
        <w:rPr>
          <w:rFonts w:asciiTheme="majorHAnsi" w:hAnsiTheme="majorHAnsi"/>
          <w:sz w:val="24"/>
          <w:szCs w:val="24"/>
        </w:rPr>
        <w:t xml:space="preserve"> study</w:t>
      </w:r>
      <w:r w:rsidR="00C43C11">
        <w:rPr>
          <w:rFonts w:asciiTheme="majorHAnsi" w:hAnsiTheme="majorHAnsi"/>
          <w:sz w:val="24"/>
          <w:szCs w:val="24"/>
        </w:rPr>
        <w:t xml:space="preserve"> </w:t>
      </w:r>
      <w:r w:rsidR="00C43C11" w:rsidRPr="00C43C11">
        <w:rPr>
          <w:rFonts w:asciiTheme="majorHAnsi" w:hAnsiTheme="majorHAnsi"/>
          <w:sz w:val="24"/>
          <w:szCs w:val="24"/>
        </w:rPr>
        <w:t xml:space="preserve">found </w:t>
      </w:r>
      <w:r w:rsidR="00E60B57">
        <w:rPr>
          <w:rFonts w:asciiTheme="majorHAnsi" w:hAnsiTheme="majorHAnsi"/>
          <w:sz w:val="24"/>
          <w:szCs w:val="24"/>
        </w:rPr>
        <w:t xml:space="preserve">that </w:t>
      </w:r>
      <w:r w:rsidR="00C43C11" w:rsidRPr="00C43C11">
        <w:rPr>
          <w:rFonts w:asciiTheme="majorHAnsi" w:hAnsiTheme="majorHAnsi"/>
          <w:sz w:val="24"/>
          <w:szCs w:val="24"/>
        </w:rPr>
        <w:t xml:space="preserve">a 10 percent increase in drug overdose death rates corresponds to a 2.4 percent increase in substantiated </w:t>
      </w:r>
      <w:r w:rsidR="00A940EF">
        <w:rPr>
          <w:rFonts w:asciiTheme="majorHAnsi" w:hAnsiTheme="majorHAnsi"/>
          <w:sz w:val="24"/>
          <w:szCs w:val="24"/>
        </w:rPr>
        <w:t xml:space="preserve">child </w:t>
      </w:r>
      <w:r w:rsidR="00C43C11" w:rsidRPr="00C43C11">
        <w:rPr>
          <w:rFonts w:asciiTheme="majorHAnsi" w:hAnsiTheme="majorHAnsi"/>
          <w:sz w:val="24"/>
          <w:szCs w:val="24"/>
        </w:rPr>
        <w:t xml:space="preserve">maltreatment reports and </w:t>
      </w:r>
      <w:r w:rsidR="007E0128">
        <w:rPr>
          <w:rFonts w:asciiTheme="majorHAnsi" w:hAnsiTheme="majorHAnsi"/>
          <w:sz w:val="24"/>
          <w:szCs w:val="24"/>
        </w:rPr>
        <w:t xml:space="preserve">a </w:t>
      </w:r>
      <w:r w:rsidR="00C43C11" w:rsidRPr="00C43C11">
        <w:rPr>
          <w:rFonts w:asciiTheme="majorHAnsi" w:hAnsiTheme="majorHAnsi"/>
          <w:sz w:val="24"/>
          <w:szCs w:val="24"/>
        </w:rPr>
        <w:t>4.4 percent increase in foster care entry rates (Radel et al.</w:t>
      </w:r>
      <w:r w:rsidR="00E42888">
        <w:rPr>
          <w:rFonts w:asciiTheme="majorHAnsi" w:hAnsiTheme="majorHAnsi"/>
          <w:sz w:val="24"/>
          <w:szCs w:val="24"/>
        </w:rPr>
        <w:t>,</w:t>
      </w:r>
      <w:r w:rsidR="00C43C11" w:rsidRPr="00C43C11">
        <w:rPr>
          <w:rFonts w:asciiTheme="majorHAnsi" w:hAnsiTheme="majorHAnsi"/>
          <w:sz w:val="24"/>
          <w:szCs w:val="24"/>
        </w:rPr>
        <w:t xml:space="preserve"> 2018). </w:t>
      </w:r>
      <w:r w:rsidR="000E4DBB">
        <w:rPr>
          <w:rFonts w:asciiTheme="majorHAnsi" w:hAnsiTheme="majorHAnsi"/>
          <w:sz w:val="24"/>
          <w:szCs w:val="24"/>
        </w:rPr>
        <w:t xml:space="preserve">With adverse childhood experiences (ACEs), such as exposure to abuse, neglect, and </w:t>
      </w:r>
      <w:r w:rsidR="00D65E56">
        <w:rPr>
          <w:rFonts w:asciiTheme="majorHAnsi" w:hAnsiTheme="majorHAnsi"/>
          <w:sz w:val="24"/>
          <w:szCs w:val="24"/>
        </w:rPr>
        <w:t>parental</w:t>
      </w:r>
      <w:r w:rsidR="00A676DB">
        <w:rPr>
          <w:rFonts w:asciiTheme="majorHAnsi" w:hAnsiTheme="majorHAnsi"/>
          <w:sz w:val="24"/>
          <w:szCs w:val="24"/>
        </w:rPr>
        <w:t xml:space="preserve"> </w:t>
      </w:r>
      <w:r w:rsidR="000E4DBB">
        <w:rPr>
          <w:rFonts w:asciiTheme="majorHAnsi" w:hAnsiTheme="majorHAnsi"/>
          <w:sz w:val="24"/>
          <w:szCs w:val="24"/>
        </w:rPr>
        <w:t xml:space="preserve">substance misuse, </w:t>
      </w:r>
      <w:r w:rsidR="00A60A48">
        <w:rPr>
          <w:rFonts w:asciiTheme="majorHAnsi" w:hAnsiTheme="majorHAnsi"/>
          <w:sz w:val="24"/>
          <w:szCs w:val="24"/>
        </w:rPr>
        <w:t xml:space="preserve">widely </w:t>
      </w:r>
      <w:r w:rsidR="00EC13C3">
        <w:rPr>
          <w:rFonts w:asciiTheme="majorHAnsi" w:hAnsiTheme="majorHAnsi"/>
          <w:sz w:val="24"/>
          <w:szCs w:val="24"/>
        </w:rPr>
        <w:t>linked to</w:t>
      </w:r>
      <w:r w:rsidR="000607F4">
        <w:rPr>
          <w:rFonts w:asciiTheme="majorHAnsi" w:hAnsiTheme="majorHAnsi"/>
          <w:sz w:val="24"/>
          <w:szCs w:val="24"/>
        </w:rPr>
        <w:t xml:space="preserve"> </w:t>
      </w:r>
      <w:r w:rsidR="00EC13C3">
        <w:rPr>
          <w:rFonts w:asciiTheme="majorHAnsi" w:hAnsiTheme="majorHAnsi"/>
          <w:sz w:val="24"/>
          <w:szCs w:val="24"/>
        </w:rPr>
        <w:t xml:space="preserve">a </w:t>
      </w:r>
      <w:r w:rsidR="00A60A48">
        <w:rPr>
          <w:rFonts w:asciiTheme="majorHAnsi" w:hAnsiTheme="majorHAnsi"/>
          <w:sz w:val="24"/>
          <w:szCs w:val="24"/>
        </w:rPr>
        <w:t>variety</w:t>
      </w:r>
      <w:r w:rsidR="00EC13C3">
        <w:rPr>
          <w:rFonts w:asciiTheme="majorHAnsi" w:hAnsiTheme="majorHAnsi"/>
          <w:sz w:val="24"/>
          <w:szCs w:val="24"/>
        </w:rPr>
        <w:t xml:space="preserve"> of </w:t>
      </w:r>
      <w:r w:rsidR="000607F4">
        <w:rPr>
          <w:rFonts w:asciiTheme="majorHAnsi" w:hAnsiTheme="majorHAnsi"/>
          <w:sz w:val="24"/>
          <w:szCs w:val="24"/>
        </w:rPr>
        <w:t xml:space="preserve">poor </w:t>
      </w:r>
      <w:r w:rsidR="000E4DBB">
        <w:rPr>
          <w:rFonts w:asciiTheme="majorHAnsi" w:hAnsiTheme="majorHAnsi"/>
          <w:sz w:val="24"/>
          <w:szCs w:val="24"/>
        </w:rPr>
        <w:t>health and behavioral outcomes</w:t>
      </w:r>
      <w:r w:rsidR="00E42888">
        <w:rPr>
          <w:rFonts w:asciiTheme="majorHAnsi" w:hAnsiTheme="majorHAnsi"/>
          <w:sz w:val="24"/>
          <w:szCs w:val="24"/>
        </w:rPr>
        <w:t xml:space="preserve"> in both the short- and long-term</w:t>
      </w:r>
      <w:r w:rsidR="000E4DBB">
        <w:rPr>
          <w:rFonts w:asciiTheme="majorHAnsi" w:hAnsiTheme="majorHAnsi"/>
          <w:sz w:val="24"/>
          <w:szCs w:val="24"/>
        </w:rPr>
        <w:t>, disrupt</w:t>
      </w:r>
      <w:r w:rsidR="001A7764">
        <w:rPr>
          <w:rFonts w:asciiTheme="majorHAnsi" w:hAnsiTheme="majorHAnsi"/>
          <w:sz w:val="24"/>
          <w:szCs w:val="24"/>
        </w:rPr>
        <w:t xml:space="preserve">ing </w:t>
      </w:r>
      <w:r w:rsidR="005F7D25">
        <w:rPr>
          <w:rFonts w:asciiTheme="majorHAnsi" w:hAnsiTheme="majorHAnsi"/>
          <w:sz w:val="24"/>
          <w:szCs w:val="24"/>
        </w:rPr>
        <w:t xml:space="preserve">the </w:t>
      </w:r>
      <w:r w:rsidR="005F7D25">
        <w:rPr>
          <w:rFonts w:asciiTheme="majorHAnsi" w:hAnsiTheme="majorHAnsi"/>
          <w:sz w:val="24"/>
          <w:szCs w:val="24"/>
        </w:rPr>
        <w:lastRenderedPageBreak/>
        <w:t>substance misuse-child welfare cycle</w:t>
      </w:r>
      <w:r w:rsidR="000607F4">
        <w:rPr>
          <w:rFonts w:asciiTheme="majorHAnsi" w:hAnsiTheme="majorHAnsi"/>
          <w:sz w:val="24"/>
          <w:szCs w:val="24"/>
        </w:rPr>
        <w:t xml:space="preserve"> is </w:t>
      </w:r>
      <w:r w:rsidR="005F7D25">
        <w:rPr>
          <w:rFonts w:asciiTheme="majorHAnsi" w:hAnsiTheme="majorHAnsi"/>
          <w:sz w:val="24"/>
          <w:szCs w:val="24"/>
        </w:rPr>
        <w:t xml:space="preserve">more </w:t>
      </w:r>
      <w:r w:rsidR="00A60A48">
        <w:rPr>
          <w:rFonts w:asciiTheme="majorHAnsi" w:hAnsiTheme="majorHAnsi"/>
          <w:sz w:val="24"/>
          <w:szCs w:val="24"/>
        </w:rPr>
        <w:t>critical</w:t>
      </w:r>
      <w:r w:rsidR="00BB2CCD">
        <w:rPr>
          <w:rFonts w:asciiTheme="majorHAnsi" w:hAnsiTheme="majorHAnsi"/>
          <w:sz w:val="24"/>
          <w:szCs w:val="24"/>
        </w:rPr>
        <w:t xml:space="preserve"> </w:t>
      </w:r>
      <w:r w:rsidR="005F7D25">
        <w:rPr>
          <w:rFonts w:asciiTheme="majorHAnsi" w:hAnsiTheme="majorHAnsi"/>
          <w:sz w:val="24"/>
          <w:szCs w:val="24"/>
        </w:rPr>
        <w:t>than ever</w:t>
      </w:r>
      <w:r w:rsidR="00C043CA">
        <w:rPr>
          <w:rFonts w:asciiTheme="majorHAnsi" w:hAnsiTheme="majorHAnsi"/>
          <w:sz w:val="24"/>
          <w:szCs w:val="24"/>
        </w:rPr>
        <w:t xml:space="preserve"> </w:t>
      </w:r>
      <w:r w:rsidR="000A7B45" w:rsidRPr="00C043CA">
        <w:rPr>
          <w:rFonts w:asciiTheme="majorHAnsi" w:hAnsiTheme="majorHAnsi"/>
          <w:sz w:val="24"/>
          <w:szCs w:val="24"/>
        </w:rPr>
        <w:t>(</w:t>
      </w:r>
      <w:r w:rsidR="000A7B45" w:rsidRPr="00456E10">
        <w:rPr>
          <w:rFonts w:asciiTheme="majorHAnsi" w:hAnsiTheme="majorHAnsi"/>
          <w:sz w:val="24"/>
          <w:szCs w:val="24"/>
        </w:rPr>
        <w:t>Felitti et al., 1998; Finkelhor et al., 2013; Fin et</w:t>
      </w:r>
      <w:r w:rsidR="00C043CA" w:rsidRPr="00456E10">
        <w:rPr>
          <w:rFonts w:asciiTheme="majorHAnsi" w:hAnsiTheme="majorHAnsi"/>
          <w:sz w:val="24"/>
          <w:szCs w:val="24"/>
        </w:rPr>
        <w:t xml:space="preserve"> al., 2015</w:t>
      </w:r>
      <w:r w:rsidR="000A7B45" w:rsidRPr="00C043CA">
        <w:rPr>
          <w:rFonts w:asciiTheme="majorHAnsi" w:hAnsiTheme="majorHAnsi"/>
          <w:sz w:val="24"/>
          <w:szCs w:val="24"/>
        </w:rPr>
        <w:t>)</w:t>
      </w:r>
      <w:r w:rsidR="00A60A48" w:rsidRPr="00C043CA">
        <w:rPr>
          <w:rFonts w:asciiTheme="majorHAnsi" w:hAnsiTheme="majorHAnsi"/>
          <w:sz w:val="24"/>
          <w:szCs w:val="24"/>
        </w:rPr>
        <w:t>.</w:t>
      </w:r>
      <w:r w:rsidR="00EC13C3">
        <w:rPr>
          <w:rFonts w:asciiTheme="majorHAnsi" w:hAnsiTheme="majorHAnsi"/>
          <w:sz w:val="24"/>
          <w:szCs w:val="24"/>
        </w:rPr>
        <w:t xml:space="preserve"> </w:t>
      </w:r>
    </w:p>
    <w:p w14:paraId="34484A13" w14:textId="103C73F7" w:rsidR="00810AFB" w:rsidRDefault="00336EC0" w:rsidP="00DD5C8D">
      <w:pPr>
        <w:spacing w:line="240" w:lineRule="auto"/>
        <w:ind w:left="360"/>
        <w:rPr>
          <w:rFonts w:asciiTheme="majorHAnsi" w:hAnsiTheme="majorHAnsi"/>
          <w:sz w:val="24"/>
          <w:szCs w:val="24"/>
        </w:rPr>
      </w:pPr>
      <w:r>
        <w:rPr>
          <w:rFonts w:asciiTheme="majorHAnsi" w:hAnsiTheme="majorHAnsi"/>
          <w:sz w:val="24"/>
          <w:szCs w:val="24"/>
        </w:rPr>
        <w:t>While</w:t>
      </w:r>
      <w:r w:rsidR="001A7764">
        <w:rPr>
          <w:rFonts w:asciiTheme="majorHAnsi" w:hAnsiTheme="majorHAnsi"/>
          <w:sz w:val="24"/>
          <w:szCs w:val="24"/>
        </w:rPr>
        <w:t xml:space="preserve"> </w:t>
      </w:r>
      <w:r w:rsidR="005F7D25">
        <w:rPr>
          <w:rFonts w:asciiTheme="majorHAnsi" w:hAnsiTheme="majorHAnsi"/>
          <w:sz w:val="24"/>
          <w:szCs w:val="24"/>
        </w:rPr>
        <w:t xml:space="preserve">many communities across the United States </w:t>
      </w:r>
      <w:r w:rsidR="005B33DC">
        <w:rPr>
          <w:rFonts w:asciiTheme="majorHAnsi" w:hAnsiTheme="majorHAnsi"/>
          <w:sz w:val="24"/>
          <w:szCs w:val="24"/>
        </w:rPr>
        <w:t xml:space="preserve">struggle with </w:t>
      </w:r>
      <w:r>
        <w:rPr>
          <w:rFonts w:asciiTheme="majorHAnsi" w:hAnsiTheme="majorHAnsi"/>
          <w:sz w:val="24"/>
          <w:szCs w:val="24"/>
        </w:rPr>
        <w:t>this</w:t>
      </w:r>
      <w:r w:rsidR="008F66FD">
        <w:rPr>
          <w:rFonts w:asciiTheme="majorHAnsi" w:hAnsiTheme="majorHAnsi"/>
          <w:sz w:val="24"/>
          <w:szCs w:val="24"/>
        </w:rPr>
        <w:t xml:space="preserve"> </w:t>
      </w:r>
      <w:r w:rsidR="00A676DB">
        <w:rPr>
          <w:rFonts w:asciiTheme="majorHAnsi" w:hAnsiTheme="majorHAnsi"/>
          <w:sz w:val="24"/>
          <w:szCs w:val="24"/>
        </w:rPr>
        <w:t>issue</w:t>
      </w:r>
      <w:r w:rsidR="008F66FD">
        <w:rPr>
          <w:rFonts w:asciiTheme="majorHAnsi" w:hAnsiTheme="majorHAnsi"/>
          <w:sz w:val="24"/>
          <w:szCs w:val="24"/>
        </w:rPr>
        <w:t xml:space="preserve">, </w:t>
      </w:r>
      <w:r w:rsidR="00B6532B" w:rsidRPr="00C43C11">
        <w:rPr>
          <w:rFonts w:asciiTheme="majorHAnsi" w:hAnsiTheme="majorHAnsi"/>
          <w:sz w:val="24"/>
          <w:szCs w:val="24"/>
        </w:rPr>
        <w:t>the relationship between overdose death rates and foster care entry rates varies in different areas of the country</w:t>
      </w:r>
      <w:r w:rsidR="008F66FD">
        <w:rPr>
          <w:rFonts w:asciiTheme="majorHAnsi" w:hAnsiTheme="majorHAnsi"/>
          <w:sz w:val="24"/>
          <w:szCs w:val="24"/>
        </w:rPr>
        <w:t xml:space="preserve">. </w:t>
      </w:r>
      <w:r w:rsidR="001D5B15">
        <w:rPr>
          <w:rFonts w:asciiTheme="majorHAnsi" w:hAnsiTheme="majorHAnsi"/>
          <w:sz w:val="24"/>
          <w:szCs w:val="24"/>
        </w:rPr>
        <w:t>S</w:t>
      </w:r>
      <w:r w:rsidR="005B33DC">
        <w:rPr>
          <w:rFonts w:asciiTheme="majorHAnsi" w:hAnsiTheme="majorHAnsi"/>
          <w:sz w:val="24"/>
          <w:szCs w:val="24"/>
        </w:rPr>
        <w:t xml:space="preserve">ome regions </w:t>
      </w:r>
      <w:r>
        <w:rPr>
          <w:rFonts w:asciiTheme="majorHAnsi" w:hAnsiTheme="majorHAnsi"/>
          <w:sz w:val="24"/>
          <w:szCs w:val="24"/>
        </w:rPr>
        <w:t>experience</w:t>
      </w:r>
      <w:r w:rsidR="005B33DC">
        <w:rPr>
          <w:rFonts w:asciiTheme="majorHAnsi" w:hAnsiTheme="majorHAnsi"/>
          <w:sz w:val="24"/>
          <w:szCs w:val="24"/>
        </w:rPr>
        <w:t xml:space="preserve"> a higher burden</w:t>
      </w:r>
      <w:r w:rsidR="001D5B15">
        <w:rPr>
          <w:rFonts w:asciiTheme="majorHAnsi" w:hAnsiTheme="majorHAnsi"/>
          <w:sz w:val="24"/>
          <w:szCs w:val="24"/>
        </w:rPr>
        <w:t xml:space="preserve"> than others</w:t>
      </w:r>
      <w:r w:rsidR="004B67DB">
        <w:rPr>
          <w:rFonts w:asciiTheme="majorHAnsi" w:hAnsiTheme="majorHAnsi"/>
          <w:sz w:val="24"/>
          <w:szCs w:val="24"/>
        </w:rPr>
        <w:t xml:space="preserve">—as </w:t>
      </w:r>
      <w:r w:rsidR="001D5B15">
        <w:rPr>
          <w:rFonts w:asciiTheme="majorHAnsi" w:hAnsiTheme="majorHAnsi"/>
          <w:sz w:val="24"/>
          <w:szCs w:val="24"/>
        </w:rPr>
        <w:t>evidenced by</w:t>
      </w:r>
      <w:r w:rsidR="00D518A0">
        <w:rPr>
          <w:rFonts w:asciiTheme="majorHAnsi" w:hAnsiTheme="majorHAnsi"/>
          <w:sz w:val="24"/>
          <w:szCs w:val="24"/>
        </w:rPr>
        <w:t xml:space="preserve"> </w:t>
      </w:r>
      <w:r w:rsidR="008F34AE">
        <w:rPr>
          <w:rFonts w:asciiTheme="majorHAnsi" w:hAnsiTheme="majorHAnsi"/>
          <w:sz w:val="24"/>
          <w:szCs w:val="24"/>
        </w:rPr>
        <w:t>strong</w:t>
      </w:r>
      <w:r w:rsidR="00B6532B">
        <w:rPr>
          <w:rFonts w:asciiTheme="majorHAnsi" w:hAnsiTheme="majorHAnsi"/>
          <w:sz w:val="24"/>
          <w:szCs w:val="24"/>
        </w:rPr>
        <w:t>er</w:t>
      </w:r>
      <w:r w:rsidR="00D518A0">
        <w:rPr>
          <w:rFonts w:asciiTheme="majorHAnsi" w:hAnsiTheme="majorHAnsi"/>
          <w:sz w:val="24"/>
          <w:szCs w:val="24"/>
        </w:rPr>
        <w:t>,</w:t>
      </w:r>
      <w:r w:rsidR="00D56600">
        <w:rPr>
          <w:rFonts w:asciiTheme="majorHAnsi" w:hAnsiTheme="majorHAnsi"/>
          <w:sz w:val="24"/>
          <w:szCs w:val="24"/>
        </w:rPr>
        <w:t xml:space="preserve"> </w:t>
      </w:r>
      <w:r w:rsidR="00D518A0">
        <w:rPr>
          <w:rFonts w:asciiTheme="majorHAnsi" w:hAnsiTheme="majorHAnsi"/>
          <w:sz w:val="24"/>
          <w:szCs w:val="24"/>
        </w:rPr>
        <w:t xml:space="preserve">positive </w:t>
      </w:r>
      <w:r w:rsidR="00810AFB" w:rsidRPr="00C43C11">
        <w:rPr>
          <w:rFonts w:asciiTheme="majorHAnsi" w:hAnsiTheme="majorHAnsi"/>
          <w:sz w:val="24"/>
          <w:szCs w:val="24"/>
        </w:rPr>
        <w:t>relationship</w:t>
      </w:r>
      <w:r w:rsidR="001D5B15">
        <w:rPr>
          <w:rFonts w:asciiTheme="majorHAnsi" w:hAnsiTheme="majorHAnsi"/>
          <w:sz w:val="24"/>
          <w:szCs w:val="24"/>
        </w:rPr>
        <w:t>s</w:t>
      </w:r>
      <w:r w:rsidR="00810AFB" w:rsidRPr="00C43C11">
        <w:rPr>
          <w:rFonts w:asciiTheme="majorHAnsi" w:hAnsiTheme="majorHAnsi"/>
          <w:sz w:val="24"/>
          <w:szCs w:val="24"/>
        </w:rPr>
        <w:t xml:space="preserve"> between </w:t>
      </w:r>
      <w:r w:rsidR="00A16127">
        <w:rPr>
          <w:rFonts w:asciiTheme="majorHAnsi" w:hAnsiTheme="majorHAnsi"/>
          <w:sz w:val="24"/>
          <w:szCs w:val="24"/>
        </w:rPr>
        <w:t xml:space="preserve">rates of </w:t>
      </w:r>
      <w:r w:rsidR="00810AFB" w:rsidRPr="00C43C11">
        <w:rPr>
          <w:rFonts w:asciiTheme="majorHAnsi" w:hAnsiTheme="majorHAnsi"/>
          <w:sz w:val="24"/>
          <w:szCs w:val="24"/>
        </w:rPr>
        <w:t>overdose death</w:t>
      </w:r>
      <w:r w:rsidR="00573AB9">
        <w:rPr>
          <w:rFonts w:asciiTheme="majorHAnsi" w:hAnsiTheme="majorHAnsi"/>
          <w:sz w:val="24"/>
          <w:szCs w:val="24"/>
        </w:rPr>
        <w:t>s</w:t>
      </w:r>
      <w:r w:rsidR="00810AFB" w:rsidRPr="00C43C11">
        <w:rPr>
          <w:rFonts w:asciiTheme="majorHAnsi" w:hAnsiTheme="majorHAnsi"/>
          <w:sz w:val="24"/>
          <w:szCs w:val="24"/>
        </w:rPr>
        <w:t xml:space="preserve"> and foster care </w:t>
      </w:r>
      <w:r w:rsidR="00573AB9" w:rsidRPr="00C43C11">
        <w:rPr>
          <w:rFonts w:asciiTheme="majorHAnsi" w:hAnsiTheme="majorHAnsi"/>
          <w:sz w:val="24"/>
          <w:szCs w:val="24"/>
        </w:rPr>
        <w:t>entr</w:t>
      </w:r>
      <w:r w:rsidR="00573AB9">
        <w:rPr>
          <w:rFonts w:asciiTheme="majorHAnsi" w:hAnsiTheme="majorHAnsi"/>
          <w:sz w:val="24"/>
          <w:szCs w:val="24"/>
        </w:rPr>
        <w:t>ies</w:t>
      </w:r>
      <w:r w:rsidR="00810AFB" w:rsidRPr="00C43C11">
        <w:rPr>
          <w:rFonts w:asciiTheme="majorHAnsi" w:hAnsiTheme="majorHAnsi"/>
          <w:sz w:val="24"/>
          <w:szCs w:val="24"/>
        </w:rPr>
        <w:t>. For example, rural counties in Appalachia, Montana, New England, and Oklahoma have a strong positive association, whereas nearly all counties in other rural states, such as Iowa, Nebraska, and North and South Dakota</w:t>
      </w:r>
      <w:r w:rsidR="00810AFB">
        <w:rPr>
          <w:rFonts w:asciiTheme="majorHAnsi" w:hAnsiTheme="majorHAnsi"/>
          <w:sz w:val="24"/>
          <w:szCs w:val="24"/>
        </w:rPr>
        <w:t>,</w:t>
      </w:r>
      <w:r w:rsidR="00810AFB" w:rsidRPr="00C43C11">
        <w:rPr>
          <w:rFonts w:asciiTheme="majorHAnsi" w:hAnsiTheme="majorHAnsi"/>
          <w:sz w:val="24"/>
          <w:szCs w:val="24"/>
        </w:rPr>
        <w:t xml:space="preserve"> do not (Radel et al.</w:t>
      </w:r>
      <w:r w:rsidR="00810AFB">
        <w:rPr>
          <w:rFonts w:asciiTheme="majorHAnsi" w:hAnsiTheme="majorHAnsi"/>
          <w:sz w:val="24"/>
          <w:szCs w:val="24"/>
        </w:rPr>
        <w:t>,</w:t>
      </w:r>
      <w:r w:rsidR="00810AFB" w:rsidRPr="00C43C11">
        <w:rPr>
          <w:rFonts w:asciiTheme="majorHAnsi" w:hAnsiTheme="majorHAnsi"/>
          <w:sz w:val="24"/>
          <w:szCs w:val="24"/>
        </w:rPr>
        <w:t xml:space="preserve"> 2018</w:t>
      </w:r>
      <w:r w:rsidR="00810AFB" w:rsidRPr="00066659">
        <w:rPr>
          <w:rFonts w:asciiTheme="majorHAnsi" w:hAnsiTheme="majorHAnsi"/>
          <w:sz w:val="24"/>
          <w:szCs w:val="24"/>
        </w:rPr>
        <w:t>).</w:t>
      </w:r>
      <w:r w:rsidR="005B05EF">
        <w:rPr>
          <w:rFonts w:asciiTheme="majorHAnsi" w:hAnsiTheme="majorHAnsi"/>
          <w:sz w:val="24"/>
          <w:szCs w:val="24"/>
        </w:rPr>
        <w:t xml:space="preserve"> Similar variations exist in urban and suburban counties.</w:t>
      </w:r>
      <w:r w:rsidR="00810AFB">
        <w:rPr>
          <w:rFonts w:asciiTheme="majorHAnsi" w:hAnsiTheme="majorHAnsi"/>
          <w:sz w:val="24"/>
          <w:szCs w:val="24"/>
        </w:rPr>
        <w:t xml:space="preserve"> </w:t>
      </w:r>
      <w:r w:rsidR="005B33DC">
        <w:rPr>
          <w:rFonts w:asciiTheme="majorHAnsi" w:hAnsiTheme="majorHAnsi"/>
          <w:sz w:val="24"/>
          <w:szCs w:val="24"/>
        </w:rPr>
        <w:t>Although</w:t>
      </w:r>
      <w:r w:rsidR="00573AB9">
        <w:rPr>
          <w:rFonts w:asciiTheme="majorHAnsi" w:hAnsiTheme="majorHAnsi"/>
          <w:sz w:val="24"/>
          <w:szCs w:val="24"/>
        </w:rPr>
        <w:t xml:space="preserve"> </w:t>
      </w:r>
      <w:r>
        <w:rPr>
          <w:rFonts w:asciiTheme="majorHAnsi" w:hAnsiTheme="majorHAnsi"/>
          <w:sz w:val="24"/>
          <w:szCs w:val="24"/>
        </w:rPr>
        <w:t>the reason</w:t>
      </w:r>
      <w:r w:rsidR="00774A90">
        <w:rPr>
          <w:rFonts w:asciiTheme="majorHAnsi" w:hAnsiTheme="majorHAnsi"/>
          <w:sz w:val="24"/>
          <w:szCs w:val="24"/>
        </w:rPr>
        <w:t>s</w:t>
      </w:r>
      <w:r w:rsidR="00C55EEE">
        <w:rPr>
          <w:rFonts w:asciiTheme="majorHAnsi" w:hAnsiTheme="majorHAnsi"/>
          <w:sz w:val="24"/>
          <w:szCs w:val="24"/>
        </w:rPr>
        <w:t xml:space="preserve"> </w:t>
      </w:r>
      <w:r w:rsidR="001D5B15">
        <w:rPr>
          <w:rFonts w:asciiTheme="majorHAnsi" w:hAnsiTheme="majorHAnsi"/>
          <w:sz w:val="24"/>
          <w:szCs w:val="24"/>
        </w:rPr>
        <w:t xml:space="preserve">for the differential </w:t>
      </w:r>
      <w:r w:rsidR="00C55EEE">
        <w:rPr>
          <w:rFonts w:asciiTheme="majorHAnsi" w:hAnsiTheme="majorHAnsi"/>
          <w:sz w:val="24"/>
          <w:szCs w:val="24"/>
        </w:rPr>
        <w:t xml:space="preserve">burden is </w:t>
      </w:r>
      <w:r>
        <w:rPr>
          <w:rFonts w:asciiTheme="majorHAnsi" w:hAnsiTheme="majorHAnsi"/>
          <w:sz w:val="24"/>
          <w:szCs w:val="24"/>
        </w:rPr>
        <w:t xml:space="preserve">not known, </w:t>
      </w:r>
      <w:r w:rsidR="00387664">
        <w:rPr>
          <w:rFonts w:asciiTheme="majorHAnsi" w:hAnsiTheme="majorHAnsi" w:cs="Times New Roman"/>
          <w:sz w:val="24"/>
          <w:szCs w:val="24"/>
        </w:rPr>
        <w:t>di</w:t>
      </w:r>
      <w:r w:rsidR="00EE7011">
        <w:rPr>
          <w:rFonts w:asciiTheme="majorHAnsi" w:hAnsiTheme="majorHAnsi" w:cs="Times New Roman"/>
          <w:sz w:val="24"/>
          <w:szCs w:val="24"/>
        </w:rPr>
        <w:t xml:space="preserve">fferences </w:t>
      </w:r>
      <w:r w:rsidR="00774A90">
        <w:rPr>
          <w:rFonts w:asciiTheme="majorHAnsi" w:hAnsiTheme="majorHAnsi" w:cs="Times New Roman"/>
          <w:sz w:val="24"/>
          <w:szCs w:val="24"/>
        </w:rPr>
        <w:t>in</w:t>
      </w:r>
      <w:r w:rsidR="00C55EEE">
        <w:rPr>
          <w:rFonts w:asciiTheme="majorHAnsi" w:hAnsiTheme="majorHAnsi" w:cs="Times New Roman"/>
          <w:sz w:val="24"/>
          <w:szCs w:val="24"/>
        </w:rPr>
        <w:t xml:space="preserve"> community</w:t>
      </w:r>
      <w:r w:rsidR="00774A90">
        <w:rPr>
          <w:rFonts w:asciiTheme="majorHAnsi" w:hAnsiTheme="majorHAnsi" w:cs="Times New Roman"/>
          <w:sz w:val="24"/>
          <w:szCs w:val="24"/>
        </w:rPr>
        <w:t xml:space="preserve"> services, supports, resources, and partnerships </w:t>
      </w:r>
      <w:r w:rsidR="00EE7011">
        <w:rPr>
          <w:rFonts w:asciiTheme="majorHAnsi" w:hAnsiTheme="majorHAnsi" w:cs="Times New Roman"/>
          <w:sz w:val="24"/>
          <w:szCs w:val="24"/>
        </w:rPr>
        <w:t xml:space="preserve">may contribute to </w:t>
      </w:r>
      <w:r w:rsidR="00D61BE0">
        <w:rPr>
          <w:rFonts w:asciiTheme="majorHAnsi" w:hAnsiTheme="majorHAnsi" w:cs="Times New Roman"/>
          <w:sz w:val="24"/>
          <w:szCs w:val="24"/>
        </w:rPr>
        <w:t xml:space="preserve">these </w:t>
      </w:r>
      <w:r w:rsidR="00EE7011">
        <w:rPr>
          <w:rFonts w:asciiTheme="majorHAnsi" w:hAnsiTheme="majorHAnsi" w:cs="Times New Roman"/>
          <w:sz w:val="24"/>
          <w:szCs w:val="24"/>
        </w:rPr>
        <w:t>variations.</w:t>
      </w:r>
      <w:r w:rsidR="005B05EF">
        <w:rPr>
          <w:rFonts w:asciiTheme="majorHAnsi" w:hAnsiTheme="majorHAnsi" w:cs="Times New Roman"/>
          <w:sz w:val="24"/>
          <w:szCs w:val="24"/>
        </w:rPr>
        <w:t xml:space="preserve"> </w:t>
      </w:r>
      <w:r w:rsidR="00EE7011">
        <w:rPr>
          <w:rFonts w:asciiTheme="majorHAnsi" w:hAnsiTheme="majorHAnsi" w:cs="Times New Roman"/>
          <w:sz w:val="24"/>
          <w:szCs w:val="24"/>
        </w:rPr>
        <w:t xml:space="preserve"> </w:t>
      </w:r>
      <w:r w:rsidR="00387664">
        <w:rPr>
          <w:rFonts w:asciiTheme="majorHAnsi" w:hAnsiTheme="majorHAnsi" w:cs="Times New Roman"/>
          <w:sz w:val="24"/>
          <w:szCs w:val="24"/>
        </w:rPr>
        <w:t xml:space="preserve"> </w:t>
      </w:r>
    </w:p>
    <w:p w14:paraId="38A70987" w14:textId="0447BC8D" w:rsidR="00810AFB" w:rsidRDefault="00BA0286" w:rsidP="00DD5C8D">
      <w:pPr>
        <w:spacing w:line="240" w:lineRule="auto"/>
        <w:ind w:left="360"/>
        <w:rPr>
          <w:rFonts w:asciiTheme="majorHAnsi" w:hAnsiTheme="majorHAnsi"/>
          <w:sz w:val="24"/>
          <w:szCs w:val="24"/>
        </w:rPr>
      </w:pPr>
      <w:r>
        <w:rPr>
          <w:rFonts w:asciiTheme="majorHAnsi" w:hAnsiTheme="majorHAnsi"/>
          <w:sz w:val="24"/>
          <w:szCs w:val="24"/>
        </w:rPr>
        <w:t xml:space="preserve">Still, </w:t>
      </w:r>
      <w:r w:rsidR="00810AFB" w:rsidRPr="00815953">
        <w:rPr>
          <w:rFonts w:asciiTheme="majorHAnsi" w:hAnsiTheme="majorHAnsi"/>
          <w:sz w:val="24"/>
          <w:szCs w:val="24"/>
        </w:rPr>
        <w:t xml:space="preserve">overdose deaths continue to </w:t>
      </w:r>
      <w:r w:rsidR="00810AFB">
        <w:rPr>
          <w:rFonts w:asciiTheme="majorHAnsi" w:hAnsiTheme="majorHAnsi"/>
          <w:sz w:val="24"/>
          <w:szCs w:val="24"/>
        </w:rPr>
        <w:t>rise</w:t>
      </w:r>
      <w:r w:rsidRPr="00BA0286">
        <w:rPr>
          <w:rFonts w:asciiTheme="majorHAnsi" w:hAnsiTheme="majorHAnsi"/>
          <w:sz w:val="24"/>
          <w:szCs w:val="24"/>
        </w:rPr>
        <w:t xml:space="preserve"> </w:t>
      </w:r>
      <w:r>
        <w:rPr>
          <w:rFonts w:asciiTheme="majorHAnsi" w:hAnsiTheme="majorHAnsi"/>
          <w:sz w:val="24"/>
          <w:szCs w:val="24"/>
        </w:rPr>
        <w:t>a</w:t>
      </w:r>
      <w:r w:rsidRPr="00815953">
        <w:rPr>
          <w:rFonts w:asciiTheme="majorHAnsi" w:hAnsiTheme="majorHAnsi"/>
          <w:sz w:val="24"/>
          <w:szCs w:val="24"/>
        </w:rPr>
        <w:t>cross the nation</w:t>
      </w:r>
      <w:r w:rsidR="00810AFB" w:rsidRPr="00815953">
        <w:rPr>
          <w:rFonts w:asciiTheme="majorHAnsi" w:hAnsiTheme="majorHAnsi"/>
          <w:sz w:val="24"/>
          <w:szCs w:val="24"/>
        </w:rPr>
        <w:t>, especially in rural states (Keyes et al.</w:t>
      </w:r>
      <w:r w:rsidR="00810AFB">
        <w:rPr>
          <w:rFonts w:asciiTheme="majorHAnsi" w:hAnsiTheme="majorHAnsi"/>
          <w:sz w:val="24"/>
          <w:szCs w:val="24"/>
        </w:rPr>
        <w:t>,</w:t>
      </w:r>
      <w:r w:rsidR="00810AFB" w:rsidRPr="00815953">
        <w:rPr>
          <w:rFonts w:asciiTheme="majorHAnsi" w:hAnsiTheme="majorHAnsi"/>
          <w:sz w:val="24"/>
          <w:szCs w:val="24"/>
        </w:rPr>
        <w:t xml:space="preserve"> 2014; Vivolo-Kantor et al.</w:t>
      </w:r>
      <w:r w:rsidR="001D5B15">
        <w:rPr>
          <w:rFonts w:asciiTheme="majorHAnsi" w:hAnsiTheme="majorHAnsi"/>
          <w:sz w:val="24"/>
          <w:szCs w:val="24"/>
        </w:rPr>
        <w:t>,</w:t>
      </w:r>
      <w:r w:rsidR="00810AFB" w:rsidRPr="00815953">
        <w:rPr>
          <w:rFonts w:asciiTheme="majorHAnsi" w:hAnsiTheme="majorHAnsi"/>
          <w:sz w:val="24"/>
          <w:szCs w:val="24"/>
        </w:rPr>
        <w:t xml:space="preserve"> 2018).</w:t>
      </w:r>
      <w:r w:rsidR="00810AFB">
        <w:rPr>
          <w:rFonts w:asciiTheme="majorHAnsi" w:hAnsiTheme="majorHAnsi"/>
          <w:sz w:val="24"/>
          <w:szCs w:val="24"/>
        </w:rPr>
        <w:t xml:space="preserve"> </w:t>
      </w:r>
      <w:r w:rsidR="00810AFB" w:rsidRPr="00FD4439">
        <w:rPr>
          <w:rFonts w:asciiTheme="majorHAnsi" w:hAnsiTheme="majorHAnsi"/>
          <w:sz w:val="24"/>
          <w:szCs w:val="24"/>
        </w:rPr>
        <w:t xml:space="preserve">Rural areas likely face greater vulnerability to drug use than urban or suburban areas due to more depressed economic conditions, longer distances to substance use disorder treatment facilities, and poorer transportation infrastructure. Areas with high poverty and unemployment rates have higher rates of retail opioid sales, opioid-related hospitalizations, and fatal drug overdoses (Ghertner </w:t>
      </w:r>
      <w:r w:rsidR="001D5B15">
        <w:rPr>
          <w:rFonts w:asciiTheme="majorHAnsi" w:hAnsiTheme="majorHAnsi"/>
          <w:sz w:val="24"/>
          <w:szCs w:val="24"/>
        </w:rPr>
        <w:t>&amp;</w:t>
      </w:r>
      <w:r w:rsidR="001D5B15" w:rsidRPr="00FD4439">
        <w:rPr>
          <w:rFonts w:asciiTheme="majorHAnsi" w:hAnsiTheme="majorHAnsi"/>
          <w:sz w:val="24"/>
          <w:szCs w:val="24"/>
        </w:rPr>
        <w:t xml:space="preserve"> </w:t>
      </w:r>
      <w:r w:rsidR="00810AFB" w:rsidRPr="00FD4439">
        <w:rPr>
          <w:rFonts w:asciiTheme="majorHAnsi" w:hAnsiTheme="majorHAnsi"/>
          <w:sz w:val="24"/>
          <w:szCs w:val="24"/>
        </w:rPr>
        <w:t>Groves</w:t>
      </w:r>
      <w:r w:rsidR="00810AFB">
        <w:rPr>
          <w:rFonts w:asciiTheme="majorHAnsi" w:hAnsiTheme="majorHAnsi"/>
          <w:sz w:val="24"/>
          <w:szCs w:val="24"/>
        </w:rPr>
        <w:t>,</w:t>
      </w:r>
      <w:r w:rsidR="00810AFB" w:rsidRPr="00FD4439">
        <w:rPr>
          <w:rFonts w:asciiTheme="majorHAnsi" w:hAnsiTheme="majorHAnsi"/>
          <w:sz w:val="24"/>
          <w:szCs w:val="24"/>
        </w:rPr>
        <w:t xml:space="preserve"> 2018; Keyes et al.</w:t>
      </w:r>
      <w:r w:rsidR="00810AFB">
        <w:rPr>
          <w:rFonts w:asciiTheme="majorHAnsi" w:hAnsiTheme="majorHAnsi"/>
          <w:sz w:val="24"/>
          <w:szCs w:val="24"/>
        </w:rPr>
        <w:t>,</w:t>
      </w:r>
      <w:r w:rsidR="00810AFB" w:rsidRPr="00FD4439">
        <w:rPr>
          <w:rFonts w:asciiTheme="majorHAnsi" w:hAnsiTheme="majorHAnsi"/>
          <w:sz w:val="24"/>
          <w:szCs w:val="24"/>
        </w:rPr>
        <w:t xml:space="preserve"> 2014). </w:t>
      </w:r>
      <w:r w:rsidR="00810AFB" w:rsidRPr="002A355D">
        <w:rPr>
          <w:rFonts w:asciiTheme="majorHAnsi" w:hAnsiTheme="majorHAnsi"/>
          <w:sz w:val="24"/>
          <w:szCs w:val="24"/>
        </w:rPr>
        <w:t>Nationally representative surveys show that polysubstance use and depression are</w:t>
      </w:r>
      <w:r w:rsidR="00810AFB">
        <w:rPr>
          <w:rFonts w:asciiTheme="majorHAnsi" w:hAnsiTheme="majorHAnsi"/>
          <w:sz w:val="24"/>
          <w:szCs w:val="24"/>
        </w:rPr>
        <w:t xml:space="preserve"> </w:t>
      </w:r>
      <w:r w:rsidR="00810AFB" w:rsidRPr="002A355D">
        <w:rPr>
          <w:rFonts w:asciiTheme="majorHAnsi" w:hAnsiTheme="majorHAnsi"/>
          <w:sz w:val="24"/>
          <w:szCs w:val="24"/>
        </w:rPr>
        <w:t>associated with nonmedical opioid use in rural areas (Keyes et al.</w:t>
      </w:r>
      <w:r w:rsidR="00810AFB">
        <w:rPr>
          <w:rFonts w:asciiTheme="majorHAnsi" w:hAnsiTheme="majorHAnsi"/>
          <w:sz w:val="24"/>
          <w:szCs w:val="24"/>
        </w:rPr>
        <w:t>,</w:t>
      </w:r>
      <w:r w:rsidR="00810AFB" w:rsidRPr="002A355D">
        <w:rPr>
          <w:rFonts w:asciiTheme="majorHAnsi" w:hAnsiTheme="majorHAnsi"/>
          <w:sz w:val="24"/>
          <w:szCs w:val="24"/>
        </w:rPr>
        <w:t xml:space="preserve"> 2014).</w:t>
      </w:r>
      <w:r w:rsidR="00810AFB">
        <w:rPr>
          <w:rFonts w:asciiTheme="majorHAnsi" w:hAnsiTheme="majorHAnsi"/>
          <w:sz w:val="24"/>
          <w:szCs w:val="24"/>
        </w:rPr>
        <w:t xml:space="preserve"> </w:t>
      </w:r>
      <w:r w:rsidR="00810AFB" w:rsidRPr="00FD4439">
        <w:rPr>
          <w:rFonts w:asciiTheme="majorHAnsi" w:hAnsiTheme="majorHAnsi"/>
          <w:sz w:val="24"/>
          <w:szCs w:val="24"/>
        </w:rPr>
        <w:t xml:space="preserve">Those seeking treatment and recovery services for substance use in rural areas often face limited </w:t>
      </w:r>
      <w:r w:rsidR="00810AFB" w:rsidRPr="00624078">
        <w:rPr>
          <w:rFonts w:asciiTheme="majorHAnsi" w:hAnsiTheme="majorHAnsi"/>
          <w:spacing w:val="-1"/>
          <w:sz w:val="24"/>
          <w:szCs w:val="24"/>
        </w:rPr>
        <w:t>options, long waiting lists, and long travel distances to available services (President’s</w:t>
      </w:r>
      <w:r w:rsidR="00810AFB" w:rsidRPr="00624078">
        <w:rPr>
          <w:rFonts w:asciiTheme="majorHAnsi" w:hAnsiTheme="majorHAnsi"/>
          <w:sz w:val="24"/>
          <w:szCs w:val="24"/>
        </w:rPr>
        <w:t xml:space="preserve"> Commission on Combating Drug Addiction and the Opioid Crisis</w:t>
      </w:r>
      <w:r w:rsidR="001D5B15">
        <w:rPr>
          <w:rFonts w:asciiTheme="majorHAnsi" w:hAnsiTheme="majorHAnsi"/>
          <w:sz w:val="24"/>
          <w:szCs w:val="24"/>
        </w:rPr>
        <w:t>,</w:t>
      </w:r>
      <w:r w:rsidR="00810AFB" w:rsidRPr="00624078">
        <w:rPr>
          <w:rFonts w:asciiTheme="majorHAnsi" w:hAnsiTheme="majorHAnsi"/>
          <w:sz w:val="24"/>
          <w:szCs w:val="24"/>
        </w:rPr>
        <w:t xml:space="preserve"> 2017; Radel et al.</w:t>
      </w:r>
      <w:r w:rsidR="00810AFB">
        <w:rPr>
          <w:rFonts w:asciiTheme="majorHAnsi" w:hAnsiTheme="majorHAnsi"/>
          <w:sz w:val="24"/>
          <w:szCs w:val="24"/>
        </w:rPr>
        <w:t>,</w:t>
      </w:r>
      <w:r w:rsidR="00810AFB" w:rsidRPr="00624078">
        <w:rPr>
          <w:rFonts w:asciiTheme="majorHAnsi" w:hAnsiTheme="majorHAnsi"/>
          <w:sz w:val="24"/>
          <w:szCs w:val="24"/>
        </w:rPr>
        <w:t xml:space="preserve"> 2018;</w:t>
      </w:r>
      <w:r w:rsidR="00810AFB" w:rsidRPr="00FD4439">
        <w:rPr>
          <w:rFonts w:asciiTheme="majorHAnsi" w:hAnsiTheme="majorHAnsi"/>
          <w:sz w:val="24"/>
          <w:szCs w:val="24"/>
        </w:rPr>
        <w:t xml:space="preserve"> Rosenblatt et al.</w:t>
      </w:r>
      <w:r w:rsidR="00810AFB">
        <w:rPr>
          <w:rFonts w:asciiTheme="majorHAnsi" w:hAnsiTheme="majorHAnsi"/>
          <w:sz w:val="24"/>
          <w:szCs w:val="24"/>
        </w:rPr>
        <w:t>,</w:t>
      </w:r>
      <w:r w:rsidR="00810AFB" w:rsidRPr="00FD4439">
        <w:rPr>
          <w:rFonts w:asciiTheme="majorHAnsi" w:hAnsiTheme="majorHAnsi"/>
          <w:sz w:val="24"/>
          <w:szCs w:val="24"/>
        </w:rPr>
        <w:t xml:space="preserve"> 2015). </w:t>
      </w:r>
      <w:r w:rsidR="00810AFB">
        <w:rPr>
          <w:rFonts w:asciiTheme="majorHAnsi" w:hAnsiTheme="majorHAnsi"/>
          <w:sz w:val="24"/>
          <w:szCs w:val="24"/>
        </w:rPr>
        <w:t>Although b</w:t>
      </w:r>
      <w:r w:rsidR="00810AFB" w:rsidRPr="002A355D">
        <w:rPr>
          <w:rFonts w:asciiTheme="majorHAnsi" w:hAnsiTheme="majorHAnsi"/>
          <w:sz w:val="24"/>
          <w:szCs w:val="24"/>
        </w:rPr>
        <w:t xml:space="preserve">oth rural and urban communities face similar challenges, </w:t>
      </w:r>
      <w:r w:rsidR="00810AFB">
        <w:rPr>
          <w:rFonts w:asciiTheme="majorHAnsi" w:hAnsiTheme="majorHAnsi"/>
          <w:sz w:val="24"/>
          <w:szCs w:val="24"/>
        </w:rPr>
        <w:t>weaker</w:t>
      </w:r>
      <w:r w:rsidR="00810AFB" w:rsidRPr="002A355D">
        <w:rPr>
          <w:rFonts w:asciiTheme="majorHAnsi" w:hAnsiTheme="majorHAnsi"/>
          <w:sz w:val="24"/>
          <w:szCs w:val="24"/>
        </w:rPr>
        <w:t xml:space="preserve"> community infrastructure and support services exacerbate the </w:t>
      </w:r>
      <w:r w:rsidR="00810AFB">
        <w:rPr>
          <w:rFonts w:asciiTheme="majorHAnsi" w:hAnsiTheme="majorHAnsi"/>
          <w:sz w:val="24"/>
          <w:szCs w:val="24"/>
        </w:rPr>
        <w:t>difficultie</w:t>
      </w:r>
      <w:r w:rsidR="00810AFB" w:rsidRPr="002A355D">
        <w:rPr>
          <w:rFonts w:asciiTheme="majorHAnsi" w:hAnsiTheme="majorHAnsi"/>
          <w:sz w:val="24"/>
          <w:szCs w:val="24"/>
        </w:rPr>
        <w:t xml:space="preserve">s </w:t>
      </w:r>
      <w:r w:rsidR="00810AFB">
        <w:rPr>
          <w:rFonts w:asciiTheme="majorHAnsi" w:hAnsiTheme="majorHAnsi"/>
          <w:sz w:val="24"/>
          <w:szCs w:val="24"/>
        </w:rPr>
        <w:t>of</w:t>
      </w:r>
      <w:r w:rsidR="00810AFB" w:rsidRPr="002A355D">
        <w:rPr>
          <w:rFonts w:asciiTheme="majorHAnsi" w:hAnsiTheme="majorHAnsi"/>
          <w:sz w:val="24"/>
          <w:szCs w:val="24"/>
        </w:rPr>
        <w:t xml:space="preserve"> rural families. Child welfare agencies</w:t>
      </w:r>
      <w:r w:rsidR="00810AFB">
        <w:rPr>
          <w:rFonts w:asciiTheme="majorHAnsi" w:hAnsiTheme="majorHAnsi"/>
          <w:sz w:val="24"/>
          <w:szCs w:val="24"/>
        </w:rPr>
        <w:t xml:space="preserve"> in rural and urban areas</w:t>
      </w:r>
      <w:r w:rsidR="00810AFB" w:rsidRPr="002A355D">
        <w:rPr>
          <w:rFonts w:asciiTheme="majorHAnsi" w:hAnsiTheme="majorHAnsi"/>
          <w:sz w:val="24"/>
          <w:szCs w:val="24"/>
        </w:rPr>
        <w:t xml:space="preserve"> face </w:t>
      </w:r>
      <w:r w:rsidR="00810AFB">
        <w:rPr>
          <w:rFonts w:asciiTheme="majorHAnsi" w:hAnsiTheme="majorHAnsi"/>
          <w:sz w:val="24"/>
          <w:szCs w:val="24"/>
        </w:rPr>
        <w:t>a variety of</w:t>
      </w:r>
      <w:r w:rsidR="00810AFB" w:rsidRPr="002A355D">
        <w:rPr>
          <w:rFonts w:asciiTheme="majorHAnsi" w:hAnsiTheme="majorHAnsi"/>
          <w:sz w:val="24"/>
          <w:szCs w:val="24"/>
        </w:rPr>
        <w:t xml:space="preserve"> barriers in assess</w:t>
      </w:r>
      <w:r w:rsidR="00810AFB">
        <w:rPr>
          <w:rFonts w:asciiTheme="majorHAnsi" w:hAnsiTheme="majorHAnsi"/>
          <w:sz w:val="24"/>
          <w:szCs w:val="24"/>
        </w:rPr>
        <w:t>ing substance use</w:t>
      </w:r>
      <w:r w:rsidR="00810AFB" w:rsidRPr="002A355D">
        <w:rPr>
          <w:rFonts w:asciiTheme="majorHAnsi" w:hAnsiTheme="majorHAnsi"/>
          <w:sz w:val="24"/>
          <w:szCs w:val="24"/>
        </w:rPr>
        <w:t xml:space="preserve">, addressing the needs of </w:t>
      </w:r>
      <w:r w:rsidR="00810AFB">
        <w:rPr>
          <w:rFonts w:asciiTheme="majorHAnsi" w:hAnsiTheme="majorHAnsi"/>
          <w:sz w:val="24"/>
          <w:szCs w:val="24"/>
        </w:rPr>
        <w:t>children with neonatal abstinence syndrome, and connecting families with treatment for substance use</w:t>
      </w:r>
      <w:r w:rsidR="00810AFB" w:rsidRPr="002A355D">
        <w:rPr>
          <w:rFonts w:asciiTheme="majorHAnsi" w:hAnsiTheme="majorHAnsi"/>
          <w:sz w:val="24"/>
          <w:szCs w:val="24"/>
        </w:rPr>
        <w:t xml:space="preserve"> (Child Welfare Information Gateway</w:t>
      </w:r>
      <w:r w:rsidR="00810AFB">
        <w:rPr>
          <w:rFonts w:asciiTheme="majorHAnsi" w:hAnsiTheme="majorHAnsi"/>
          <w:sz w:val="24"/>
          <w:szCs w:val="24"/>
        </w:rPr>
        <w:t>,</w:t>
      </w:r>
      <w:r w:rsidR="00810AFB" w:rsidRPr="002A355D">
        <w:rPr>
          <w:rFonts w:asciiTheme="majorHAnsi" w:hAnsiTheme="majorHAnsi"/>
          <w:sz w:val="24"/>
          <w:szCs w:val="24"/>
        </w:rPr>
        <w:t xml:space="preserve"> 2018; Radel et al.</w:t>
      </w:r>
      <w:r w:rsidR="00810AFB">
        <w:rPr>
          <w:rFonts w:asciiTheme="majorHAnsi" w:hAnsiTheme="majorHAnsi"/>
          <w:sz w:val="24"/>
          <w:szCs w:val="24"/>
        </w:rPr>
        <w:t>,</w:t>
      </w:r>
      <w:r w:rsidR="00810AFB" w:rsidRPr="002A355D">
        <w:rPr>
          <w:rFonts w:asciiTheme="majorHAnsi" w:hAnsiTheme="majorHAnsi"/>
          <w:sz w:val="24"/>
          <w:szCs w:val="24"/>
        </w:rPr>
        <w:t xml:space="preserve"> 2018).</w:t>
      </w:r>
    </w:p>
    <w:p w14:paraId="4727B284" w14:textId="772A2362" w:rsidR="00546615" w:rsidRPr="00546615" w:rsidRDefault="00066762" w:rsidP="00570CA6">
      <w:pPr>
        <w:pStyle w:val="BodyText"/>
        <w:kinsoku w:val="0"/>
        <w:overflowPunct w:val="0"/>
        <w:spacing w:after="240" w:line="240" w:lineRule="auto"/>
        <w:ind w:left="360" w:right="115"/>
        <w:rPr>
          <w:rFonts w:asciiTheme="majorHAnsi" w:hAnsiTheme="majorHAnsi"/>
          <w:position w:val="9"/>
          <w:sz w:val="24"/>
          <w:szCs w:val="24"/>
        </w:rPr>
      </w:pPr>
      <w:r>
        <w:rPr>
          <w:rFonts w:asciiTheme="majorHAnsi" w:hAnsiTheme="majorHAnsi"/>
          <w:sz w:val="24"/>
          <w:szCs w:val="24"/>
        </w:rPr>
        <w:t>In addition to issues facing rural communities, u</w:t>
      </w:r>
      <w:r w:rsidR="00546615" w:rsidRPr="00546615">
        <w:rPr>
          <w:rFonts w:asciiTheme="majorHAnsi" w:hAnsiTheme="majorHAnsi"/>
          <w:sz w:val="24"/>
          <w:szCs w:val="24"/>
        </w:rPr>
        <w:t xml:space="preserve">ntangling and addressing the connections between substance misuse and families requiring support services is a significant challenge. In response to growing demand for child welfare services and the complex contributing role of substance misuse, there is emerging recognition of the need to focus efforts on family strengths and capacity to care for children and prevent entry into the child welfare system. While ACEs, including </w:t>
      </w:r>
      <w:r w:rsidR="004B67DB">
        <w:rPr>
          <w:rFonts w:asciiTheme="majorHAnsi" w:hAnsiTheme="majorHAnsi"/>
          <w:sz w:val="24"/>
          <w:szCs w:val="24"/>
        </w:rPr>
        <w:t>CAN</w:t>
      </w:r>
      <w:r w:rsidR="00546615" w:rsidRPr="00546615">
        <w:rPr>
          <w:rFonts w:asciiTheme="majorHAnsi" w:hAnsiTheme="majorHAnsi"/>
          <w:sz w:val="24"/>
          <w:szCs w:val="24"/>
        </w:rPr>
        <w:t xml:space="preserve"> and trauma</w:t>
      </w:r>
      <w:r w:rsidR="00BB6ECD">
        <w:rPr>
          <w:rFonts w:asciiTheme="majorHAnsi" w:hAnsiTheme="majorHAnsi"/>
          <w:sz w:val="24"/>
          <w:szCs w:val="24"/>
        </w:rPr>
        <w:t>,</w:t>
      </w:r>
      <w:r w:rsidR="00546615" w:rsidRPr="00546615">
        <w:rPr>
          <w:rFonts w:asciiTheme="majorHAnsi" w:hAnsiTheme="majorHAnsi"/>
          <w:sz w:val="24"/>
          <w:szCs w:val="24"/>
        </w:rPr>
        <w:t xml:space="preserve"> are known to increase the risk of substance abuse later in life</w:t>
      </w:r>
      <w:r w:rsidR="00546615">
        <w:rPr>
          <w:rFonts w:asciiTheme="majorHAnsi" w:hAnsiTheme="majorHAnsi"/>
          <w:sz w:val="24"/>
          <w:szCs w:val="24"/>
        </w:rPr>
        <w:t xml:space="preserve"> (Anda et al., 2008; Dube et al, 2003)</w:t>
      </w:r>
      <w:r w:rsidR="00546615" w:rsidRPr="00546615">
        <w:rPr>
          <w:rFonts w:asciiTheme="majorHAnsi" w:hAnsiTheme="majorHAnsi"/>
          <w:sz w:val="24"/>
          <w:szCs w:val="24"/>
        </w:rPr>
        <w:t>,</w:t>
      </w:r>
      <w:r w:rsidR="00546615" w:rsidRPr="00546615">
        <w:rPr>
          <w:rFonts w:asciiTheme="majorHAnsi" w:hAnsiTheme="majorHAnsi"/>
          <w:position w:val="9"/>
          <w:sz w:val="24"/>
          <w:szCs w:val="24"/>
        </w:rPr>
        <w:t xml:space="preserve"> </w:t>
      </w:r>
      <w:r w:rsidR="00546615" w:rsidRPr="00546615">
        <w:rPr>
          <w:rFonts w:asciiTheme="majorHAnsi" w:hAnsiTheme="majorHAnsi"/>
          <w:sz w:val="24"/>
          <w:szCs w:val="24"/>
        </w:rPr>
        <w:t>separating children from their families and placing them in foster care can be traumatic in and of itself</w:t>
      </w:r>
      <w:r w:rsidR="007A7264">
        <w:rPr>
          <w:rFonts w:asciiTheme="majorHAnsi" w:hAnsiTheme="majorHAnsi"/>
          <w:sz w:val="24"/>
          <w:szCs w:val="24"/>
        </w:rPr>
        <w:t xml:space="preserve"> (Bruskas &amp; Tessin, 2013)</w:t>
      </w:r>
      <w:r w:rsidR="00546615" w:rsidRPr="00546615">
        <w:rPr>
          <w:rFonts w:asciiTheme="majorHAnsi" w:hAnsiTheme="majorHAnsi"/>
          <w:sz w:val="24"/>
          <w:szCs w:val="24"/>
        </w:rPr>
        <w:t>.</w:t>
      </w:r>
      <w:r w:rsidR="00546615" w:rsidRPr="00546615">
        <w:rPr>
          <w:rFonts w:asciiTheme="majorHAnsi" w:hAnsiTheme="majorHAnsi"/>
          <w:position w:val="9"/>
          <w:sz w:val="24"/>
          <w:szCs w:val="24"/>
        </w:rPr>
        <w:t xml:space="preserve"> </w:t>
      </w:r>
      <w:r w:rsidR="00546615" w:rsidRPr="00546615">
        <w:rPr>
          <w:rFonts w:asciiTheme="majorHAnsi" w:hAnsiTheme="majorHAnsi"/>
          <w:sz w:val="24"/>
          <w:szCs w:val="24"/>
        </w:rPr>
        <w:t>Parental substance abuse is also a well-established risk factor for children misusing drugs and alcohol later in life</w:t>
      </w:r>
      <w:r w:rsidR="007A7264">
        <w:rPr>
          <w:rFonts w:asciiTheme="majorHAnsi" w:hAnsiTheme="majorHAnsi"/>
          <w:sz w:val="24"/>
          <w:szCs w:val="24"/>
        </w:rPr>
        <w:t xml:space="preserve"> (Kumpfer, 1987)</w:t>
      </w:r>
      <w:r w:rsidR="00546615" w:rsidRPr="00546615">
        <w:rPr>
          <w:rFonts w:asciiTheme="majorHAnsi" w:hAnsiTheme="majorHAnsi"/>
          <w:sz w:val="24"/>
          <w:szCs w:val="24"/>
        </w:rPr>
        <w:t>.</w:t>
      </w:r>
      <w:r w:rsidR="00546615" w:rsidRPr="00546615">
        <w:rPr>
          <w:rFonts w:asciiTheme="majorHAnsi" w:hAnsiTheme="majorHAnsi"/>
          <w:position w:val="9"/>
          <w:sz w:val="24"/>
          <w:szCs w:val="24"/>
        </w:rPr>
        <w:t xml:space="preserve"> </w:t>
      </w:r>
      <w:r w:rsidR="00546615" w:rsidRPr="00546615">
        <w:rPr>
          <w:rFonts w:asciiTheme="majorHAnsi" w:hAnsiTheme="majorHAnsi"/>
          <w:sz w:val="24"/>
          <w:szCs w:val="24"/>
        </w:rPr>
        <w:t>It is critically important that we break the cycle whereby parental substance misuse results in ACEs, including foster care entry, which increases the likelihood of substance abuse and child maltreatment by those same children as they grow into adults. As such, there is a growing awareness that support services for families experiencing substance misuse must be multifaceted, including support for both parent or caregiver recovery as well as the child’s immediate safety and well-being</w:t>
      </w:r>
      <w:r w:rsidR="007A7264">
        <w:rPr>
          <w:rFonts w:asciiTheme="majorHAnsi" w:hAnsiTheme="majorHAnsi"/>
          <w:sz w:val="24"/>
          <w:szCs w:val="24"/>
        </w:rPr>
        <w:t xml:space="preserve"> (First Focus Campaign for Children, 2018; NIDA, 2016)</w:t>
      </w:r>
      <w:r w:rsidR="00546615" w:rsidRPr="00546615">
        <w:rPr>
          <w:rFonts w:asciiTheme="majorHAnsi" w:hAnsiTheme="majorHAnsi"/>
          <w:sz w:val="24"/>
          <w:szCs w:val="24"/>
        </w:rPr>
        <w:t>.</w:t>
      </w:r>
    </w:p>
    <w:p w14:paraId="0C803355" w14:textId="77777777" w:rsidR="00791F69" w:rsidRPr="001862EA" w:rsidRDefault="00791F69" w:rsidP="00D558F8">
      <w:pPr>
        <w:pStyle w:val="ListParagraph"/>
        <w:numPr>
          <w:ilvl w:val="0"/>
          <w:numId w:val="4"/>
        </w:numPr>
        <w:spacing w:after="120" w:line="240" w:lineRule="auto"/>
        <w:rPr>
          <w:rFonts w:asciiTheme="majorHAnsi" w:hAnsiTheme="majorHAnsi"/>
          <w:b/>
          <w:sz w:val="24"/>
          <w:szCs w:val="24"/>
        </w:rPr>
      </w:pPr>
      <w:r w:rsidRPr="001862EA">
        <w:rPr>
          <w:rFonts w:asciiTheme="majorHAnsi" w:hAnsiTheme="majorHAnsi"/>
          <w:b/>
          <w:sz w:val="24"/>
          <w:szCs w:val="24"/>
        </w:rPr>
        <w:t>The Need for Evaluation</w:t>
      </w:r>
    </w:p>
    <w:p w14:paraId="1FA4EBE9" w14:textId="7B91F4D5" w:rsidR="005B05EF" w:rsidRDefault="00A4405E" w:rsidP="00DD5C8D">
      <w:pPr>
        <w:spacing w:line="240" w:lineRule="auto"/>
        <w:ind w:left="360"/>
        <w:rPr>
          <w:rFonts w:asciiTheme="majorHAnsi" w:hAnsiTheme="majorHAnsi"/>
          <w:sz w:val="24"/>
          <w:szCs w:val="24"/>
        </w:rPr>
      </w:pPr>
      <w:r w:rsidRPr="00FD4439">
        <w:rPr>
          <w:rFonts w:asciiTheme="majorHAnsi" w:hAnsiTheme="majorHAnsi"/>
          <w:sz w:val="24"/>
          <w:szCs w:val="24"/>
        </w:rPr>
        <w:t xml:space="preserve">The rise of opioid </w:t>
      </w:r>
      <w:r w:rsidR="00BA0286">
        <w:rPr>
          <w:rFonts w:asciiTheme="majorHAnsi" w:hAnsiTheme="majorHAnsi"/>
          <w:sz w:val="24"/>
          <w:szCs w:val="24"/>
        </w:rPr>
        <w:t>mis</w:t>
      </w:r>
      <w:r w:rsidRPr="00FD4439">
        <w:rPr>
          <w:rFonts w:asciiTheme="majorHAnsi" w:hAnsiTheme="majorHAnsi"/>
          <w:sz w:val="24"/>
          <w:szCs w:val="24"/>
        </w:rPr>
        <w:t xml:space="preserve">use has led to a large federal response, including </w:t>
      </w:r>
      <w:r w:rsidR="00E501E6" w:rsidRPr="00FD4439">
        <w:rPr>
          <w:rFonts w:asciiTheme="majorHAnsi" w:hAnsiTheme="majorHAnsi"/>
          <w:sz w:val="24"/>
          <w:szCs w:val="24"/>
        </w:rPr>
        <w:t xml:space="preserve">passage of </w:t>
      </w:r>
      <w:r w:rsidRPr="00FD4439">
        <w:rPr>
          <w:rFonts w:asciiTheme="majorHAnsi" w:hAnsiTheme="majorHAnsi"/>
          <w:sz w:val="24"/>
          <w:szCs w:val="24"/>
        </w:rPr>
        <w:t>the Family First Prevention Services Act,</w:t>
      </w:r>
      <w:r w:rsidR="00E501E6" w:rsidRPr="00FD4439">
        <w:rPr>
          <w:rFonts w:asciiTheme="majorHAnsi" w:hAnsiTheme="majorHAnsi"/>
          <w:sz w:val="24"/>
          <w:szCs w:val="24"/>
        </w:rPr>
        <w:t xml:space="preserve"> which allows states, beginning in federal fiscal year 2020, to use Title IV-E funding </w:t>
      </w:r>
      <w:r w:rsidRPr="00FD4439">
        <w:rPr>
          <w:rFonts w:asciiTheme="majorHAnsi" w:hAnsiTheme="majorHAnsi"/>
          <w:sz w:val="24"/>
          <w:szCs w:val="24"/>
        </w:rPr>
        <w:t xml:space="preserve">to support evidence-based </w:t>
      </w:r>
      <w:r w:rsidR="003D1AA7" w:rsidRPr="00FD4439">
        <w:rPr>
          <w:rFonts w:asciiTheme="majorHAnsi" w:hAnsiTheme="majorHAnsi"/>
          <w:sz w:val="24"/>
          <w:szCs w:val="24"/>
        </w:rPr>
        <w:t xml:space="preserve">substance use </w:t>
      </w:r>
      <w:r w:rsidR="00E501E6" w:rsidRPr="00FD4439">
        <w:rPr>
          <w:rFonts w:asciiTheme="majorHAnsi" w:hAnsiTheme="majorHAnsi"/>
          <w:sz w:val="24"/>
          <w:szCs w:val="24"/>
        </w:rPr>
        <w:t xml:space="preserve">treatment </w:t>
      </w:r>
      <w:r w:rsidRPr="00FD4439">
        <w:rPr>
          <w:rFonts w:asciiTheme="majorHAnsi" w:hAnsiTheme="majorHAnsi"/>
          <w:sz w:val="24"/>
          <w:szCs w:val="24"/>
        </w:rPr>
        <w:t>services</w:t>
      </w:r>
      <w:r w:rsidR="00601630">
        <w:rPr>
          <w:rFonts w:asciiTheme="majorHAnsi" w:hAnsiTheme="majorHAnsi"/>
          <w:sz w:val="24"/>
          <w:szCs w:val="24"/>
        </w:rPr>
        <w:t>,</w:t>
      </w:r>
      <w:r w:rsidRPr="00FD4439">
        <w:rPr>
          <w:rFonts w:asciiTheme="majorHAnsi" w:hAnsiTheme="majorHAnsi"/>
          <w:sz w:val="24"/>
          <w:szCs w:val="24"/>
        </w:rPr>
        <w:t xml:space="preserve"> </w:t>
      </w:r>
      <w:r w:rsidR="00297B7B" w:rsidRPr="00FD4439">
        <w:rPr>
          <w:rFonts w:asciiTheme="majorHAnsi" w:hAnsiTheme="majorHAnsi"/>
          <w:sz w:val="24"/>
          <w:szCs w:val="24"/>
        </w:rPr>
        <w:t>not only for families whose children are already in foster care</w:t>
      </w:r>
      <w:r w:rsidR="00297B7B">
        <w:rPr>
          <w:rFonts w:asciiTheme="majorHAnsi" w:hAnsiTheme="majorHAnsi"/>
          <w:sz w:val="24"/>
          <w:szCs w:val="24"/>
        </w:rPr>
        <w:t>, but also</w:t>
      </w:r>
      <w:r w:rsidR="00297B7B" w:rsidRPr="00FD4439">
        <w:rPr>
          <w:rFonts w:asciiTheme="majorHAnsi" w:hAnsiTheme="majorHAnsi"/>
          <w:sz w:val="24"/>
          <w:szCs w:val="24"/>
        </w:rPr>
        <w:t xml:space="preserve"> </w:t>
      </w:r>
      <w:r w:rsidRPr="00FD4439">
        <w:rPr>
          <w:rFonts w:asciiTheme="majorHAnsi" w:hAnsiTheme="majorHAnsi"/>
          <w:sz w:val="24"/>
          <w:szCs w:val="24"/>
        </w:rPr>
        <w:t xml:space="preserve">for parents whose children are at risk of </w:t>
      </w:r>
      <w:r w:rsidR="003E5D20" w:rsidRPr="00FD4439">
        <w:rPr>
          <w:rFonts w:asciiTheme="majorHAnsi" w:hAnsiTheme="majorHAnsi"/>
          <w:sz w:val="24"/>
          <w:szCs w:val="24"/>
        </w:rPr>
        <w:t xml:space="preserve">entry </w:t>
      </w:r>
      <w:r w:rsidR="003E5D20">
        <w:rPr>
          <w:rFonts w:asciiTheme="majorHAnsi" w:hAnsiTheme="majorHAnsi"/>
          <w:sz w:val="24"/>
          <w:szCs w:val="24"/>
        </w:rPr>
        <w:t xml:space="preserve">into </w:t>
      </w:r>
      <w:r w:rsidRPr="00FD4439">
        <w:rPr>
          <w:rFonts w:asciiTheme="majorHAnsi" w:hAnsiTheme="majorHAnsi"/>
          <w:sz w:val="24"/>
          <w:szCs w:val="24"/>
        </w:rPr>
        <w:t xml:space="preserve">foster care. </w:t>
      </w:r>
      <w:r w:rsidR="00D8493A" w:rsidRPr="00FD4439">
        <w:rPr>
          <w:rFonts w:asciiTheme="majorHAnsi" w:hAnsiTheme="majorHAnsi"/>
          <w:sz w:val="24"/>
          <w:szCs w:val="24"/>
        </w:rPr>
        <w:t>State and local initi</w:t>
      </w:r>
      <w:r w:rsidR="00E501E6" w:rsidRPr="00FD4439">
        <w:rPr>
          <w:rFonts w:asciiTheme="majorHAnsi" w:hAnsiTheme="majorHAnsi"/>
          <w:sz w:val="24"/>
          <w:szCs w:val="24"/>
        </w:rPr>
        <w:t>atives also offer opportunities; for example,</w:t>
      </w:r>
      <w:r w:rsidR="00D8493A" w:rsidRPr="00FD4439">
        <w:rPr>
          <w:rFonts w:asciiTheme="majorHAnsi" w:hAnsiTheme="majorHAnsi"/>
          <w:sz w:val="24"/>
          <w:szCs w:val="24"/>
        </w:rPr>
        <w:t xml:space="preserve"> the Connecticut Family Stabilit</w:t>
      </w:r>
      <w:r w:rsidR="00E501E6" w:rsidRPr="00FD4439">
        <w:rPr>
          <w:rFonts w:asciiTheme="majorHAnsi" w:hAnsiTheme="majorHAnsi"/>
          <w:sz w:val="24"/>
          <w:szCs w:val="24"/>
        </w:rPr>
        <w:t>y Pay for Success Project</w:t>
      </w:r>
      <w:r w:rsidR="00D8493A" w:rsidRPr="00FD4439">
        <w:rPr>
          <w:rFonts w:asciiTheme="majorHAnsi" w:hAnsiTheme="majorHAnsi"/>
          <w:sz w:val="24"/>
          <w:szCs w:val="24"/>
        </w:rPr>
        <w:t xml:space="preserve"> leverages public and private partners</w:t>
      </w:r>
      <w:r w:rsidR="001D5B15">
        <w:rPr>
          <w:rFonts w:asciiTheme="majorHAnsi" w:hAnsiTheme="majorHAnsi"/>
          <w:sz w:val="24"/>
          <w:szCs w:val="24"/>
        </w:rPr>
        <w:t>hips</w:t>
      </w:r>
      <w:r w:rsidR="00D8493A" w:rsidRPr="00FD4439">
        <w:rPr>
          <w:rFonts w:asciiTheme="majorHAnsi" w:hAnsiTheme="majorHAnsi"/>
          <w:sz w:val="24"/>
          <w:szCs w:val="24"/>
        </w:rPr>
        <w:t xml:space="preserve"> to expand </w:t>
      </w:r>
      <w:r w:rsidR="003D1AA7" w:rsidRPr="00FD4439">
        <w:rPr>
          <w:rFonts w:asciiTheme="majorHAnsi" w:hAnsiTheme="majorHAnsi"/>
          <w:sz w:val="24"/>
          <w:szCs w:val="24"/>
        </w:rPr>
        <w:t xml:space="preserve">substance use </w:t>
      </w:r>
      <w:r w:rsidR="00E501E6" w:rsidRPr="00FD4439">
        <w:rPr>
          <w:rFonts w:asciiTheme="majorHAnsi" w:hAnsiTheme="majorHAnsi"/>
          <w:sz w:val="24"/>
          <w:szCs w:val="24"/>
        </w:rPr>
        <w:t xml:space="preserve">treatment </w:t>
      </w:r>
      <w:r w:rsidR="00D8493A" w:rsidRPr="00FD4439">
        <w:rPr>
          <w:rFonts w:asciiTheme="majorHAnsi" w:hAnsiTheme="majorHAnsi"/>
          <w:sz w:val="24"/>
          <w:szCs w:val="24"/>
        </w:rPr>
        <w:t xml:space="preserve">services for families in the child welfare system. </w:t>
      </w:r>
      <w:r w:rsidR="00BB6ECD">
        <w:rPr>
          <w:rFonts w:asciiTheme="majorHAnsi" w:hAnsiTheme="majorHAnsi"/>
          <w:sz w:val="24"/>
          <w:szCs w:val="24"/>
        </w:rPr>
        <w:t xml:space="preserve">There is a need to understand how various communities are leveraging these resources to address and prevent opioid and other substance misuse and out-of-home placements. </w:t>
      </w:r>
    </w:p>
    <w:p w14:paraId="09BF81CC" w14:textId="296A96ED" w:rsidR="00A4405E" w:rsidRDefault="003E5D20" w:rsidP="00DD5C8D">
      <w:pPr>
        <w:spacing w:line="240" w:lineRule="auto"/>
        <w:ind w:left="360"/>
        <w:rPr>
          <w:rFonts w:asciiTheme="majorHAnsi" w:hAnsiTheme="majorHAnsi"/>
          <w:sz w:val="24"/>
          <w:szCs w:val="24"/>
        </w:rPr>
      </w:pPr>
      <w:r>
        <w:rPr>
          <w:rFonts w:asciiTheme="majorHAnsi" w:hAnsiTheme="majorHAnsi"/>
          <w:sz w:val="24"/>
          <w:szCs w:val="24"/>
        </w:rPr>
        <w:t>Because of the</w:t>
      </w:r>
      <w:r w:rsidR="00A4405E" w:rsidRPr="00FD4439">
        <w:rPr>
          <w:rFonts w:asciiTheme="majorHAnsi" w:hAnsiTheme="majorHAnsi"/>
          <w:sz w:val="24"/>
          <w:szCs w:val="24"/>
        </w:rPr>
        <w:t xml:space="preserve"> challenges facing rural communities, it is unclear whether they can make full use of these opportunities. Many rural areas find it </w:t>
      </w:r>
      <w:r w:rsidR="00C678CB">
        <w:rPr>
          <w:rFonts w:asciiTheme="majorHAnsi" w:hAnsiTheme="majorHAnsi"/>
          <w:sz w:val="24"/>
          <w:szCs w:val="24"/>
        </w:rPr>
        <w:t>difficult</w:t>
      </w:r>
      <w:r w:rsidR="00C678CB" w:rsidRPr="00FD4439">
        <w:rPr>
          <w:rFonts w:asciiTheme="majorHAnsi" w:hAnsiTheme="majorHAnsi"/>
          <w:sz w:val="24"/>
          <w:szCs w:val="24"/>
        </w:rPr>
        <w:t xml:space="preserve"> </w:t>
      </w:r>
      <w:r w:rsidR="00A4405E" w:rsidRPr="00FD4439">
        <w:rPr>
          <w:rFonts w:asciiTheme="majorHAnsi" w:hAnsiTheme="majorHAnsi"/>
          <w:sz w:val="24"/>
          <w:szCs w:val="24"/>
        </w:rPr>
        <w:t>to attract a sufficient workforce to meet demand or expand</w:t>
      </w:r>
      <w:r w:rsidR="00704C34" w:rsidRPr="00FD4439">
        <w:rPr>
          <w:rFonts w:asciiTheme="majorHAnsi" w:hAnsiTheme="majorHAnsi"/>
          <w:sz w:val="24"/>
          <w:szCs w:val="24"/>
        </w:rPr>
        <w:t>,</w:t>
      </w:r>
      <w:r w:rsidR="00481C04" w:rsidRPr="00FD4439">
        <w:rPr>
          <w:rFonts w:asciiTheme="majorHAnsi" w:hAnsiTheme="majorHAnsi"/>
          <w:sz w:val="24"/>
          <w:szCs w:val="24"/>
        </w:rPr>
        <w:t xml:space="preserve"> and evidence-based prog</w:t>
      </w:r>
      <w:r w:rsidR="007D6F3A" w:rsidRPr="00FD4439">
        <w:rPr>
          <w:rFonts w:asciiTheme="majorHAnsi" w:hAnsiTheme="majorHAnsi"/>
          <w:sz w:val="24"/>
          <w:szCs w:val="24"/>
        </w:rPr>
        <w:t>rams or practices might require specific</w:t>
      </w:r>
      <w:r w:rsidR="00481C04" w:rsidRPr="00FD4439">
        <w:rPr>
          <w:rFonts w:asciiTheme="majorHAnsi" w:hAnsiTheme="majorHAnsi"/>
          <w:sz w:val="24"/>
          <w:szCs w:val="24"/>
        </w:rPr>
        <w:t xml:space="preserve"> clinicians or </w:t>
      </w:r>
      <w:r w:rsidR="007D6F3A" w:rsidRPr="00FD4439">
        <w:rPr>
          <w:rFonts w:asciiTheme="majorHAnsi" w:hAnsiTheme="majorHAnsi"/>
          <w:sz w:val="24"/>
          <w:szCs w:val="24"/>
        </w:rPr>
        <w:t>professionals that are not available in rural areas</w:t>
      </w:r>
      <w:r w:rsidR="00A4405E" w:rsidRPr="00FD4439">
        <w:rPr>
          <w:rFonts w:asciiTheme="majorHAnsi" w:hAnsiTheme="majorHAnsi"/>
          <w:sz w:val="24"/>
          <w:szCs w:val="24"/>
        </w:rPr>
        <w:t>.</w:t>
      </w:r>
      <w:r w:rsidR="00481C04" w:rsidRPr="00FD4439">
        <w:rPr>
          <w:rFonts w:asciiTheme="majorHAnsi" w:hAnsiTheme="majorHAnsi"/>
          <w:sz w:val="24"/>
          <w:szCs w:val="24"/>
        </w:rPr>
        <w:t xml:space="preserve"> In addition, the evidence to support certain </w:t>
      </w:r>
      <w:r w:rsidR="003D1AA7" w:rsidRPr="00FD4439">
        <w:rPr>
          <w:rFonts w:asciiTheme="majorHAnsi" w:hAnsiTheme="majorHAnsi"/>
          <w:sz w:val="24"/>
          <w:szCs w:val="24"/>
        </w:rPr>
        <w:t xml:space="preserve">substance use </w:t>
      </w:r>
      <w:r w:rsidR="00E501E6" w:rsidRPr="00FD4439">
        <w:rPr>
          <w:rFonts w:asciiTheme="majorHAnsi" w:hAnsiTheme="majorHAnsi"/>
          <w:sz w:val="24"/>
          <w:szCs w:val="24"/>
        </w:rPr>
        <w:t xml:space="preserve">treatment </w:t>
      </w:r>
      <w:r w:rsidR="00481C04" w:rsidRPr="00FD4439">
        <w:rPr>
          <w:rFonts w:asciiTheme="majorHAnsi" w:hAnsiTheme="majorHAnsi"/>
          <w:sz w:val="24"/>
          <w:szCs w:val="24"/>
        </w:rPr>
        <w:t>services might not extend to other settings and populations, such as those in rural communities or parents with child welfare involvement.</w:t>
      </w:r>
      <w:r w:rsidR="00774A90">
        <w:rPr>
          <w:rFonts w:asciiTheme="majorHAnsi" w:hAnsiTheme="majorHAnsi"/>
          <w:sz w:val="24"/>
          <w:szCs w:val="24"/>
        </w:rPr>
        <w:t xml:space="preserve"> Thus, understanding the challenges </w:t>
      </w:r>
      <w:r w:rsidR="001D5B15">
        <w:rPr>
          <w:rFonts w:asciiTheme="majorHAnsi" w:hAnsiTheme="majorHAnsi"/>
          <w:sz w:val="24"/>
          <w:szCs w:val="24"/>
        </w:rPr>
        <w:t>facing</w:t>
      </w:r>
      <w:r w:rsidR="00774A90">
        <w:rPr>
          <w:rFonts w:asciiTheme="majorHAnsi" w:hAnsiTheme="majorHAnsi"/>
          <w:sz w:val="24"/>
          <w:szCs w:val="24"/>
        </w:rPr>
        <w:t xml:space="preserve"> rural communities and identifying promising strategies to help them overcome their challenges is needed.</w:t>
      </w:r>
    </w:p>
    <w:p w14:paraId="66862BF9" w14:textId="7B8B2EF3" w:rsidR="00F0755A" w:rsidRDefault="008F6390" w:rsidP="005B33DC">
      <w:pPr>
        <w:spacing w:line="240" w:lineRule="auto"/>
        <w:ind w:left="360"/>
        <w:rPr>
          <w:rFonts w:asciiTheme="majorHAnsi" w:hAnsiTheme="majorHAnsi"/>
          <w:sz w:val="24"/>
          <w:szCs w:val="24"/>
        </w:rPr>
      </w:pPr>
      <w:r>
        <w:rPr>
          <w:rFonts w:asciiTheme="majorHAnsi" w:hAnsiTheme="majorHAnsi" w:cs="Times New Roman"/>
          <w:sz w:val="24"/>
          <w:szCs w:val="24"/>
        </w:rPr>
        <w:t xml:space="preserve">To further help communities, we must also explore </w:t>
      </w:r>
      <w:r w:rsidR="00F0693F">
        <w:rPr>
          <w:rFonts w:asciiTheme="majorHAnsi" w:hAnsiTheme="majorHAnsi" w:cs="Times New Roman"/>
          <w:sz w:val="24"/>
          <w:szCs w:val="24"/>
        </w:rPr>
        <w:t xml:space="preserve">potential </w:t>
      </w:r>
      <w:r>
        <w:rPr>
          <w:rFonts w:asciiTheme="majorHAnsi" w:hAnsiTheme="majorHAnsi" w:cs="Times New Roman"/>
          <w:sz w:val="24"/>
          <w:szCs w:val="24"/>
        </w:rPr>
        <w:t>reasons for variations</w:t>
      </w:r>
      <w:r w:rsidR="00D27323">
        <w:rPr>
          <w:rFonts w:asciiTheme="majorHAnsi" w:hAnsiTheme="majorHAnsi" w:cs="Times New Roman"/>
          <w:sz w:val="24"/>
          <w:szCs w:val="24"/>
        </w:rPr>
        <w:t xml:space="preserve"> in the </w:t>
      </w:r>
      <w:r w:rsidR="00074B32">
        <w:rPr>
          <w:rFonts w:asciiTheme="majorHAnsi" w:hAnsiTheme="majorHAnsi" w:cs="Times New Roman"/>
          <w:sz w:val="24"/>
          <w:szCs w:val="24"/>
        </w:rPr>
        <w:t>substance misuse</w:t>
      </w:r>
      <w:r w:rsidR="00D27323">
        <w:rPr>
          <w:rFonts w:asciiTheme="majorHAnsi" w:hAnsiTheme="majorHAnsi" w:cs="Times New Roman"/>
          <w:sz w:val="24"/>
          <w:szCs w:val="24"/>
        </w:rPr>
        <w:t xml:space="preserve">-child welfare </w:t>
      </w:r>
      <w:r>
        <w:rPr>
          <w:rFonts w:asciiTheme="majorHAnsi" w:hAnsiTheme="majorHAnsi" w:cs="Times New Roman"/>
          <w:sz w:val="24"/>
          <w:szCs w:val="24"/>
        </w:rPr>
        <w:t>relationship in different areas</w:t>
      </w:r>
      <w:r w:rsidR="00B10863">
        <w:rPr>
          <w:rFonts w:asciiTheme="majorHAnsi" w:hAnsiTheme="majorHAnsi" w:cs="Times New Roman"/>
          <w:sz w:val="24"/>
          <w:szCs w:val="24"/>
        </w:rPr>
        <w:t>, with specific emphasis on supports and services and substance misuse trajectories within families</w:t>
      </w:r>
      <w:r w:rsidR="00074B32">
        <w:rPr>
          <w:rFonts w:asciiTheme="majorHAnsi" w:hAnsiTheme="majorHAnsi" w:cs="Times New Roman"/>
          <w:sz w:val="24"/>
          <w:szCs w:val="24"/>
        </w:rPr>
        <w:t xml:space="preserve">. </w:t>
      </w:r>
      <w:r w:rsidR="004F5579">
        <w:rPr>
          <w:rFonts w:asciiTheme="majorHAnsi" w:hAnsiTheme="majorHAnsi" w:cs="Times New Roman"/>
          <w:sz w:val="24"/>
          <w:szCs w:val="24"/>
        </w:rPr>
        <w:t xml:space="preserve">For example, </w:t>
      </w:r>
      <w:r w:rsidR="009767DF">
        <w:rPr>
          <w:rFonts w:asciiTheme="majorHAnsi" w:hAnsiTheme="majorHAnsi" w:cs="Times New Roman"/>
          <w:sz w:val="24"/>
          <w:szCs w:val="24"/>
        </w:rPr>
        <w:t>low</w:t>
      </w:r>
      <w:r w:rsidR="00F0693F">
        <w:rPr>
          <w:rFonts w:asciiTheme="majorHAnsi" w:hAnsiTheme="majorHAnsi" w:cs="Times New Roman"/>
          <w:sz w:val="24"/>
          <w:szCs w:val="24"/>
        </w:rPr>
        <w:t xml:space="preserve"> and mixed</w:t>
      </w:r>
      <w:r w:rsidR="009767DF">
        <w:rPr>
          <w:rFonts w:asciiTheme="majorHAnsi" w:hAnsiTheme="majorHAnsi" w:cs="Times New Roman"/>
          <w:sz w:val="24"/>
          <w:szCs w:val="24"/>
        </w:rPr>
        <w:t xml:space="preserve"> burden communities </w:t>
      </w:r>
      <w:r w:rsidR="00074B32">
        <w:rPr>
          <w:rFonts w:asciiTheme="majorHAnsi" w:hAnsiTheme="majorHAnsi" w:cs="Times New Roman"/>
          <w:sz w:val="24"/>
          <w:szCs w:val="24"/>
        </w:rPr>
        <w:t xml:space="preserve">may </w:t>
      </w:r>
      <w:r w:rsidR="009767DF">
        <w:rPr>
          <w:rFonts w:asciiTheme="majorHAnsi" w:hAnsiTheme="majorHAnsi" w:cs="Times New Roman"/>
          <w:sz w:val="24"/>
          <w:szCs w:val="24"/>
        </w:rPr>
        <w:t xml:space="preserve">offer protective factors for substance misuse </w:t>
      </w:r>
      <w:r w:rsidR="00225928">
        <w:rPr>
          <w:rFonts w:asciiTheme="majorHAnsi" w:hAnsiTheme="majorHAnsi" w:cs="Times New Roman"/>
          <w:sz w:val="24"/>
          <w:szCs w:val="24"/>
        </w:rPr>
        <w:t xml:space="preserve">and/or ACEs </w:t>
      </w:r>
      <w:r w:rsidR="00074B32">
        <w:rPr>
          <w:rFonts w:asciiTheme="majorHAnsi" w:hAnsiTheme="majorHAnsi" w:cs="Times New Roman"/>
          <w:sz w:val="24"/>
          <w:szCs w:val="24"/>
        </w:rPr>
        <w:t xml:space="preserve">that </w:t>
      </w:r>
      <w:r w:rsidR="004F5579">
        <w:rPr>
          <w:rFonts w:asciiTheme="majorHAnsi" w:hAnsiTheme="majorHAnsi" w:cs="Times New Roman"/>
          <w:sz w:val="24"/>
          <w:szCs w:val="24"/>
        </w:rPr>
        <w:t xml:space="preserve">are not present in </w:t>
      </w:r>
      <w:r w:rsidR="00074B32">
        <w:rPr>
          <w:rFonts w:asciiTheme="majorHAnsi" w:hAnsiTheme="majorHAnsi" w:cs="Times New Roman"/>
          <w:sz w:val="24"/>
          <w:szCs w:val="24"/>
        </w:rPr>
        <w:t>higher burden communities</w:t>
      </w:r>
      <w:r w:rsidR="005F720D">
        <w:rPr>
          <w:rFonts w:asciiTheme="majorHAnsi" w:hAnsiTheme="majorHAnsi" w:cs="Times New Roman"/>
          <w:sz w:val="24"/>
          <w:szCs w:val="24"/>
        </w:rPr>
        <w:t>.</w:t>
      </w:r>
      <w:r w:rsidR="00F0755A">
        <w:rPr>
          <w:rFonts w:asciiTheme="majorHAnsi" w:hAnsiTheme="majorHAnsi" w:cs="Times New Roman"/>
          <w:sz w:val="24"/>
          <w:szCs w:val="24"/>
        </w:rPr>
        <w:t xml:space="preserve"> </w:t>
      </w:r>
      <w:r w:rsidR="00F0693F">
        <w:rPr>
          <w:rFonts w:asciiTheme="majorHAnsi" w:hAnsiTheme="majorHAnsi" w:cs="Times New Roman"/>
          <w:sz w:val="24"/>
          <w:szCs w:val="24"/>
        </w:rPr>
        <w:t>Thus</w:t>
      </w:r>
      <w:r w:rsidR="004F5579">
        <w:rPr>
          <w:rFonts w:asciiTheme="majorHAnsi" w:hAnsiTheme="majorHAnsi" w:cs="Times New Roman"/>
          <w:sz w:val="24"/>
          <w:szCs w:val="24"/>
        </w:rPr>
        <w:t xml:space="preserve">, </w:t>
      </w:r>
      <w:r w:rsidR="00225928">
        <w:rPr>
          <w:rFonts w:asciiTheme="majorHAnsi" w:hAnsiTheme="majorHAnsi" w:cs="Times New Roman"/>
          <w:sz w:val="24"/>
          <w:szCs w:val="24"/>
        </w:rPr>
        <w:t>studying</w:t>
      </w:r>
      <w:r w:rsidR="00F0693F">
        <w:rPr>
          <w:rFonts w:asciiTheme="majorHAnsi" w:hAnsiTheme="majorHAnsi" w:cs="Times New Roman"/>
          <w:sz w:val="24"/>
          <w:szCs w:val="24"/>
        </w:rPr>
        <w:t xml:space="preserve"> the</w:t>
      </w:r>
      <w:r w:rsidR="009767DF">
        <w:rPr>
          <w:rFonts w:asciiTheme="majorHAnsi" w:hAnsiTheme="majorHAnsi" w:cs="Times New Roman"/>
          <w:sz w:val="24"/>
          <w:szCs w:val="24"/>
        </w:rPr>
        <w:t xml:space="preserve"> resources, supports, services, and partnerships </w:t>
      </w:r>
      <w:r w:rsidR="00F0693F">
        <w:rPr>
          <w:rFonts w:asciiTheme="majorHAnsi" w:hAnsiTheme="majorHAnsi" w:cs="Times New Roman"/>
          <w:sz w:val="24"/>
          <w:szCs w:val="24"/>
        </w:rPr>
        <w:t>of low</w:t>
      </w:r>
      <w:r w:rsidR="00225928">
        <w:rPr>
          <w:rFonts w:asciiTheme="majorHAnsi" w:hAnsiTheme="majorHAnsi" w:cs="Times New Roman"/>
          <w:sz w:val="24"/>
          <w:szCs w:val="24"/>
        </w:rPr>
        <w:t>, mixed, and high</w:t>
      </w:r>
      <w:r w:rsidR="00F0693F">
        <w:rPr>
          <w:rFonts w:asciiTheme="majorHAnsi" w:hAnsiTheme="majorHAnsi" w:cs="Times New Roman"/>
          <w:sz w:val="24"/>
          <w:szCs w:val="24"/>
        </w:rPr>
        <w:t xml:space="preserve"> burden communities</w:t>
      </w:r>
      <w:r w:rsidR="00074B32">
        <w:rPr>
          <w:rFonts w:asciiTheme="majorHAnsi" w:hAnsiTheme="majorHAnsi" w:cs="Times New Roman"/>
          <w:sz w:val="24"/>
          <w:szCs w:val="24"/>
        </w:rPr>
        <w:t xml:space="preserve"> may </w:t>
      </w:r>
      <w:r w:rsidR="004F5579">
        <w:rPr>
          <w:rFonts w:asciiTheme="majorHAnsi" w:hAnsiTheme="majorHAnsi" w:cs="Times New Roman"/>
          <w:sz w:val="24"/>
          <w:szCs w:val="24"/>
        </w:rPr>
        <w:t xml:space="preserve">help to identify factors with </w:t>
      </w:r>
      <w:r w:rsidR="00225928">
        <w:rPr>
          <w:rFonts w:asciiTheme="majorHAnsi" w:hAnsiTheme="majorHAnsi" w:cs="Times New Roman"/>
          <w:sz w:val="24"/>
          <w:szCs w:val="24"/>
        </w:rPr>
        <w:t xml:space="preserve">the </w:t>
      </w:r>
      <w:r w:rsidR="004F5579">
        <w:rPr>
          <w:rFonts w:asciiTheme="majorHAnsi" w:hAnsiTheme="majorHAnsi" w:cs="Times New Roman"/>
          <w:sz w:val="24"/>
          <w:szCs w:val="24"/>
        </w:rPr>
        <w:t xml:space="preserve">potential </w:t>
      </w:r>
      <w:r w:rsidR="00225928">
        <w:rPr>
          <w:rFonts w:asciiTheme="majorHAnsi" w:hAnsiTheme="majorHAnsi" w:cs="Times New Roman"/>
          <w:sz w:val="24"/>
          <w:szCs w:val="24"/>
        </w:rPr>
        <w:t xml:space="preserve">to </w:t>
      </w:r>
      <w:r w:rsidR="006502E7">
        <w:rPr>
          <w:rFonts w:asciiTheme="majorHAnsi" w:hAnsiTheme="majorHAnsi" w:cs="Times New Roman"/>
          <w:sz w:val="24"/>
          <w:szCs w:val="24"/>
        </w:rPr>
        <w:t xml:space="preserve">lessen </w:t>
      </w:r>
      <w:r w:rsidR="00225928">
        <w:rPr>
          <w:rFonts w:asciiTheme="majorHAnsi" w:hAnsiTheme="majorHAnsi" w:cs="Times New Roman"/>
          <w:sz w:val="24"/>
          <w:szCs w:val="24"/>
        </w:rPr>
        <w:t>the</w:t>
      </w:r>
      <w:r w:rsidR="00074B32">
        <w:rPr>
          <w:rFonts w:asciiTheme="majorHAnsi" w:hAnsiTheme="majorHAnsi" w:cs="Times New Roman"/>
          <w:sz w:val="24"/>
          <w:szCs w:val="24"/>
        </w:rPr>
        <w:t xml:space="preserve"> </w:t>
      </w:r>
      <w:r w:rsidR="006502E7">
        <w:rPr>
          <w:rFonts w:asciiTheme="majorHAnsi" w:hAnsiTheme="majorHAnsi" w:cs="Times New Roman"/>
          <w:sz w:val="24"/>
          <w:szCs w:val="24"/>
        </w:rPr>
        <w:t xml:space="preserve">impact of </w:t>
      </w:r>
      <w:r w:rsidR="004F5579">
        <w:rPr>
          <w:rFonts w:asciiTheme="majorHAnsi" w:hAnsiTheme="majorHAnsi" w:cs="Times New Roman"/>
          <w:sz w:val="24"/>
          <w:szCs w:val="24"/>
        </w:rPr>
        <w:t>substance misuse</w:t>
      </w:r>
      <w:r w:rsidR="006502E7">
        <w:rPr>
          <w:rFonts w:asciiTheme="majorHAnsi" w:hAnsiTheme="majorHAnsi" w:cs="Times New Roman"/>
          <w:sz w:val="24"/>
          <w:szCs w:val="24"/>
        </w:rPr>
        <w:t xml:space="preserve"> on </w:t>
      </w:r>
      <w:r w:rsidR="00D32734">
        <w:rPr>
          <w:rFonts w:asciiTheme="majorHAnsi" w:hAnsiTheme="majorHAnsi" w:cs="Times New Roman"/>
          <w:sz w:val="24"/>
          <w:szCs w:val="24"/>
        </w:rPr>
        <w:t>children and families and their involvement with child welfare</w:t>
      </w:r>
      <w:r w:rsidR="004F5579">
        <w:rPr>
          <w:rFonts w:asciiTheme="majorHAnsi" w:hAnsiTheme="majorHAnsi" w:cs="Times New Roman"/>
          <w:sz w:val="24"/>
          <w:szCs w:val="24"/>
        </w:rPr>
        <w:t>.</w:t>
      </w:r>
    </w:p>
    <w:p w14:paraId="1906ED9B" w14:textId="05126011" w:rsidR="00FB4452" w:rsidRPr="00F97CFB" w:rsidRDefault="0029359D" w:rsidP="00FB4452">
      <w:pPr>
        <w:spacing w:line="240" w:lineRule="auto"/>
        <w:ind w:left="360"/>
        <w:rPr>
          <w:rFonts w:asciiTheme="majorHAnsi" w:hAnsiTheme="majorHAnsi"/>
          <w:sz w:val="24"/>
          <w:szCs w:val="24"/>
        </w:rPr>
      </w:pPr>
      <w:r>
        <w:rPr>
          <w:rFonts w:asciiTheme="majorHAnsi" w:hAnsiTheme="majorHAnsi"/>
          <w:sz w:val="24"/>
          <w:szCs w:val="24"/>
        </w:rPr>
        <w:t xml:space="preserve">Building on findings from ASPE’s previous study, ASPE and CDC are </w:t>
      </w:r>
      <w:r w:rsidR="00225928">
        <w:rPr>
          <w:rFonts w:asciiTheme="majorHAnsi" w:hAnsiTheme="majorHAnsi"/>
          <w:sz w:val="24"/>
          <w:szCs w:val="24"/>
        </w:rPr>
        <w:t xml:space="preserve">collaborating on a </w:t>
      </w:r>
      <w:r>
        <w:rPr>
          <w:rFonts w:asciiTheme="majorHAnsi" w:hAnsiTheme="majorHAnsi"/>
          <w:sz w:val="24"/>
          <w:szCs w:val="24"/>
        </w:rPr>
        <w:t>new, multicomponent effort entitled, “</w:t>
      </w:r>
      <w:r w:rsidRPr="005560A5">
        <w:rPr>
          <w:rFonts w:asciiTheme="majorHAnsi" w:hAnsiTheme="majorHAnsi"/>
          <w:sz w:val="24"/>
          <w:szCs w:val="24"/>
        </w:rPr>
        <w:t>Addressing Substance Use Disorders Among Families Involved with the Child Welfare System: A Cross-Agency Collaboration</w:t>
      </w:r>
      <w:r>
        <w:rPr>
          <w:rFonts w:asciiTheme="majorHAnsi" w:hAnsiTheme="majorHAnsi"/>
          <w:sz w:val="24"/>
          <w:szCs w:val="24"/>
        </w:rPr>
        <w:t xml:space="preserve">.” </w:t>
      </w:r>
      <w:r w:rsidR="00FB4452">
        <w:rPr>
          <w:rFonts w:asciiTheme="majorHAnsi" w:hAnsiTheme="majorHAnsi"/>
          <w:sz w:val="24"/>
          <w:szCs w:val="24"/>
        </w:rPr>
        <w:t xml:space="preserve">ASPE and CDC are funding separate study components with a shared goal of identifying promising strategies and potential protective factors to help communities overcome challenges and disrupt the </w:t>
      </w:r>
      <w:r w:rsidR="003B2ED5">
        <w:rPr>
          <w:rFonts w:asciiTheme="majorHAnsi" w:hAnsiTheme="majorHAnsi"/>
          <w:sz w:val="24"/>
          <w:szCs w:val="24"/>
        </w:rPr>
        <w:t>substance misuse-c</w:t>
      </w:r>
      <w:r w:rsidR="00FB4452">
        <w:rPr>
          <w:rFonts w:asciiTheme="majorHAnsi" w:hAnsiTheme="majorHAnsi"/>
          <w:sz w:val="24"/>
          <w:szCs w:val="24"/>
        </w:rPr>
        <w:t xml:space="preserve">hild welfare </w:t>
      </w:r>
      <w:r w:rsidR="003B2ED5">
        <w:rPr>
          <w:rFonts w:asciiTheme="majorHAnsi" w:hAnsiTheme="majorHAnsi"/>
          <w:sz w:val="24"/>
          <w:szCs w:val="24"/>
        </w:rPr>
        <w:t>link</w:t>
      </w:r>
      <w:r w:rsidR="00FB4452">
        <w:rPr>
          <w:rFonts w:asciiTheme="majorHAnsi" w:hAnsiTheme="majorHAnsi"/>
          <w:sz w:val="24"/>
          <w:szCs w:val="24"/>
        </w:rPr>
        <w:t xml:space="preserve">. </w:t>
      </w:r>
    </w:p>
    <w:p w14:paraId="012D7A4D" w14:textId="41C28394" w:rsidR="00603CAE" w:rsidRPr="00603CAE" w:rsidRDefault="00D558F8" w:rsidP="00D558F8">
      <w:pPr>
        <w:pStyle w:val="ListParagraph"/>
        <w:numPr>
          <w:ilvl w:val="0"/>
          <w:numId w:val="7"/>
        </w:numPr>
        <w:spacing w:after="60" w:line="240" w:lineRule="auto"/>
        <w:contextualSpacing w:val="0"/>
        <w:rPr>
          <w:rFonts w:asciiTheme="majorHAnsi" w:hAnsiTheme="majorHAnsi"/>
          <w:sz w:val="24"/>
          <w:szCs w:val="24"/>
        </w:rPr>
      </w:pPr>
      <w:r w:rsidRPr="0029359D">
        <w:rPr>
          <w:rFonts w:asciiTheme="majorHAnsi" w:hAnsiTheme="majorHAnsi"/>
          <w:b/>
          <w:sz w:val="24"/>
          <w:szCs w:val="24"/>
        </w:rPr>
        <w:t>Study Component 1 (ASPE): Addressing Substance Use Disorders Among Families Involved with the Child Welfare System: Challenges and Promising Strategies in Rural Communities (</w:t>
      </w:r>
      <w:r w:rsidRPr="0029359D">
        <w:rPr>
          <w:rFonts w:asciiTheme="majorHAnsi" w:hAnsiTheme="majorHAnsi"/>
          <w:b/>
          <w:i/>
          <w:sz w:val="24"/>
          <w:szCs w:val="24"/>
        </w:rPr>
        <w:t xml:space="preserve">Rural Communities </w:t>
      </w:r>
      <w:r>
        <w:rPr>
          <w:rFonts w:asciiTheme="majorHAnsi" w:hAnsiTheme="majorHAnsi"/>
          <w:b/>
          <w:i/>
          <w:sz w:val="24"/>
          <w:szCs w:val="24"/>
        </w:rPr>
        <w:t>Substudy</w:t>
      </w:r>
      <w:r w:rsidRPr="0029359D">
        <w:rPr>
          <w:rFonts w:asciiTheme="majorHAnsi" w:hAnsiTheme="majorHAnsi"/>
          <w:b/>
          <w:i/>
          <w:sz w:val="24"/>
          <w:szCs w:val="24"/>
        </w:rPr>
        <w:t xml:space="preserve"> </w:t>
      </w:r>
      <w:r w:rsidRPr="0029359D">
        <w:rPr>
          <w:rFonts w:asciiTheme="majorHAnsi" w:hAnsiTheme="majorHAnsi"/>
          <w:b/>
          <w:sz w:val="24"/>
          <w:szCs w:val="24"/>
        </w:rPr>
        <w:t>[</w:t>
      </w:r>
      <w:r>
        <w:rPr>
          <w:rFonts w:asciiTheme="majorHAnsi" w:hAnsiTheme="majorHAnsi"/>
          <w:b/>
          <w:sz w:val="24"/>
          <w:szCs w:val="24"/>
        </w:rPr>
        <w:t>RCS</w:t>
      </w:r>
      <w:r w:rsidRPr="0029359D">
        <w:rPr>
          <w:rFonts w:asciiTheme="majorHAnsi" w:hAnsiTheme="majorHAnsi"/>
          <w:b/>
          <w:sz w:val="24"/>
          <w:szCs w:val="24"/>
        </w:rPr>
        <w:t>])</w:t>
      </w:r>
      <w:r w:rsidR="0029359D" w:rsidRPr="0029359D">
        <w:rPr>
          <w:rFonts w:asciiTheme="majorHAnsi" w:hAnsiTheme="majorHAnsi"/>
          <w:b/>
          <w:sz w:val="24"/>
          <w:szCs w:val="24"/>
        </w:rPr>
        <w:t xml:space="preserve"> </w:t>
      </w:r>
      <w:r w:rsidR="00603CAE">
        <w:rPr>
          <w:rFonts w:asciiTheme="majorHAnsi" w:hAnsiTheme="majorHAnsi"/>
          <w:b/>
          <w:sz w:val="24"/>
          <w:szCs w:val="24"/>
        </w:rPr>
        <w:t xml:space="preserve">               </w:t>
      </w:r>
    </w:p>
    <w:p w14:paraId="2114FED0" w14:textId="7DC9528E" w:rsidR="00FB4452" w:rsidRDefault="00FB4452" w:rsidP="00603CAE">
      <w:pPr>
        <w:pStyle w:val="ListParagraph"/>
        <w:spacing w:after="120" w:line="240" w:lineRule="auto"/>
        <w:contextualSpacing w:val="0"/>
        <w:rPr>
          <w:rFonts w:asciiTheme="majorHAnsi" w:hAnsiTheme="majorHAnsi"/>
          <w:sz w:val="24"/>
          <w:szCs w:val="24"/>
        </w:rPr>
      </w:pPr>
      <w:r w:rsidRPr="0029359D">
        <w:rPr>
          <w:rFonts w:asciiTheme="majorHAnsi" w:hAnsiTheme="majorHAnsi"/>
          <w:sz w:val="24"/>
          <w:szCs w:val="24"/>
        </w:rPr>
        <w:t xml:space="preserve">In 2018, ASPE funded a contractor (Mathematica Policy Research) to conduct study component 1, the </w:t>
      </w:r>
      <w:r w:rsidRPr="00BB6ECD">
        <w:rPr>
          <w:rFonts w:asciiTheme="majorHAnsi" w:hAnsiTheme="majorHAnsi"/>
          <w:i/>
          <w:sz w:val="24"/>
          <w:szCs w:val="24"/>
        </w:rPr>
        <w:t xml:space="preserve">Rural Communities </w:t>
      </w:r>
      <w:r w:rsidR="003B2ED5" w:rsidRPr="00BB6ECD">
        <w:rPr>
          <w:rFonts w:asciiTheme="majorHAnsi" w:hAnsiTheme="majorHAnsi"/>
          <w:i/>
          <w:sz w:val="24"/>
          <w:szCs w:val="24"/>
        </w:rPr>
        <w:t>Substudy</w:t>
      </w:r>
      <w:r w:rsidRPr="0029359D">
        <w:rPr>
          <w:rFonts w:asciiTheme="majorHAnsi" w:hAnsiTheme="majorHAnsi"/>
          <w:sz w:val="24"/>
          <w:szCs w:val="24"/>
        </w:rPr>
        <w:t xml:space="preserve">. The </w:t>
      </w:r>
      <w:r w:rsidR="005D43C9" w:rsidRPr="005D43C9">
        <w:rPr>
          <w:rFonts w:asciiTheme="majorHAnsi" w:hAnsiTheme="majorHAnsi"/>
          <w:sz w:val="24"/>
          <w:szCs w:val="24"/>
        </w:rPr>
        <w:t>RCS</w:t>
      </w:r>
      <w:r w:rsidRPr="0029359D">
        <w:rPr>
          <w:rFonts w:asciiTheme="majorHAnsi" w:hAnsiTheme="majorHAnsi"/>
          <w:sz w:val="24"/>
          <w:szCs w:val="24"/>
        </w:rPr>
        <w:t xml:space="preserve"> aims (1) to provide insights into the key issues and specific challenges rural communities face in serving families that have substance use disorders and are involved in the child welfare system, including taking advantage of state and federal opportunities; (2) to identify promising strategies that rural communities could use or adapt to better serve child-welfare-involved families with parental substance use; and (3) to identify opportunities at the federal, state, and local levels to support implementation of promising strategies. </w:t>
      </w:r>
      <w:r w:rsidR="00F5294C" w:rsidRPr="0029359D">
        <w:rPr>
          <w:rFonts w:asciiTheme="majorHAnsi" w:hAnsiTheme="majorHAnsi"/>
          <w:sz w:val="24"/>
          <w:szCs w:val="24"/>
        </w:rPr>
        <w:t>Th</w:t>
      </w:r>
      <w:r w:rsidR="00F5294C">
        <w:rPr>
          <w:rFonts w:asciiTheme="majorHAnsi" w:hAnsiTheme="majorHAnsi"/>
          <w:sz w:val="24"/>
          <w:szCs w:val="24"/>
        </w:rPr>
        <w:t>is component</w:t>
      </w:r>
      <w:r w:rsidRPr="0029359D">
        <w:rPr>
          <w:rFonts w:asciiTheme="majorHAnsi" w:hAnsiTheme="majorHAnsi"/>
          <w:sz w:val="24"/>
          <w:szCs w:val="24"/>
        </w:rPr>
        <w:t xml:space="preserve"> will begin with an environmental scan and literature review to identify key issues and promising strategies to be explored further in key informant and site visit</w:t>
      </w:r>
      <w:r w:rsidR="00F5294C" w:rsidRPr="00F5294C">
        <w:rPr>
          <w:rFonts w:asciiTheme="majorHAnsi" w:hAnsiTheme="majorHAnsi"/>
          <w:sz w:val="24"/>
          <w:szCs w:val="24"/>
        </w:rPr>
        <w:t xml:space="preserve"> </w:t>
      </w:r>
      <w:r w:rsidR="00F5294C" w:rsidRPr="0029359D">
        <w:rPr>
          <w:rFonts w:asciiTheme="majorHAnsi" w:hAnsiTheme="majorHAnsi"/>
          <w:sz w:val="24"/>
          <w:szCs w:val="24"/>
        </w:rPr>
        <w:t>interviews</w:t>
      </w:r>
      <w:r w:rsidRPr="0029359D">
        <w:rPr>
          <w:rFonts w:asciiTheme="majorHAnsi" w:hAnsiTheme="majorHAnsi"/>
          <w:sz w:val="24"/>
          <w:szCs w:val="24"/>
        </w:rPr>
        <w:t>.</w:t>
      </w:r>
      <w:r w:rsidR="00F5294C" w:rsidRPr="00F5294C">
        <w:rPr>
          <w:rFonts w:asciiTheme="majorHAnsi" w:hAnsiTheme="majorHAnsi"/>
          <w:sz w:val="24"/>
          <w:szCs w:val="24"/>
        </w:rPr>
        <w:t xml:space="preserve"> </w:t>
      </w:r>
    </w:p>
    <w:p w14:paraId="163A32F3" w14:textId="638B94BB" w:rsidR="001C431E" w:rsidRPr="001C431E" w:rsidRDefault="001C431E" w:rsidP="001C431E">
      <w:pPr>
        <w:pStyle w:val="ListParagraph"/>
        <w:spacing w:line="240" w:lineRule="auto"/>
        <w:contextualSpacing w:val="0"/>
        <w:rPr>
          <w:rFonts w:asciiTheme="majorHAnsi" w:hAnsiTheme="majorHAnsi"/>
          <w:sz w:val="24"/>
          <w:szCs w:val="24"/>
        </w:rPr>
      </w:pPr>
      <w:r w:rsidRPr="001C431E">
        <w:rPr>
          <w:rFonts w:asciiTheme="majorHAnsi" w:hAnsiTheme="majorHAnsi"/>
          <w:sz w:val="24"/>
          <w:szCs w:val="24"/>
        </w:rPr>
        <w:t xml:space="preserve">The contractor will conduct up to 12 KIIs in 2 waves, with 6 interviews in each, and conduct 6 site visits in rural communities implementing promising strategies. Key informants will be familiar with substance use treatment and child welfare issues in rural areas. Wave 1 key informant interviews will be conducted with substantive experts, evaluators, program directors, and developers. Wave 2 interviews will be conducted with program administrators. Site visit participants will include program administrators; practitioners (those who work directly with families) from child welfare agencies and substance use treatment facilities; and partners or agencies they collaborate with, including evaluators. The following four discussion guide instruments will be used: </w:t>
      </w:r>
      <w:r w:rsidR="000F13FF">
        <w:rPr>
          <w:rFonts w:asciiTheme="majorHAnsi" w:hAnsiTheme="majorHAnsi"/>
          <w:sz w:val="24"/>
          <w:szCs w:val="24"/>
        </w:rPr>
        <w:t>(1) Wave 1 KII</w:t>
      </w:r>
      <w:r w:rsidR="00CB0CC9">
        <w:rPr>
          <w:rFonts w:asciiTheme="majorHAnsi" w:hAnsiTheme="majorHAnsi"/>
          <w:sz w:val="24"/>
          <w:szCs w:val="24"/>
        </w:rPr>
        <w:t>s</w:t>
      </w:r>
      <w:r w:rsidR="000F13FF">
        <w:rPr>
          <w:rFonts w:asciiTheme="majorHAnsi" w:hAnsiTheme="majorHAnsi"/>
          <w:sz w:val="24"/>
          <w:szCs w:val="24"/>
        </w:rPr>
        <w:t>–Experts (Instrument 1); (2) Wave 2 KII</w:t>
      </w:r>
      <w:r w:rsidR="00CB0CC9">
        <w:rPr>
          <w:rFonts w:asciiTheme="majorHAnsi" w:hAnsiTheme="majorHAnsi"/>
          <w:sz w:val="24"/>
          <w:szCs w:val="24"/>
        </w:rPr>
        <w:t>s</w:t>
      </w:r>
      <w:r w:rsidR="000F13FF">
        <w:rPr>
          <w:rFonts w:asciiTheme="majorHAnsi" w:hAnsiTheme="majorHAnsi"/>
          <w:sz w:val="24"/>
          <w:szCs w:val="24"/>
        </w:rPr>
        <w:t>/Site Visit Interview</w:t>
      </w:r>
      <w:r w:rsidR="00CB0CC9">
        <w:rPr>
          <w:rFonts w:asciiTheme="majorHAnsi" w:hAnsiTheme="majorHAnsi"/>
          <w:sz w:val="24"/>
          <w:szCs w:val="24"/>
        </w:rPr>
        <w:t>s</w:t>
      </w:r>
      <w:r w:rsidR="000F13FF">
        <w:rPr>
          <w:rFonts w:asciiTheme="majorHAnsi" w:hAnsiTheme="majorHAnsi"/>
          <w:sz w:val="24"/>
          <w:szCs w:val="24"/>
        </w:rPr>
        <w:t>–</w:t>
      </w:r>
      <w:r w:rsidR="000F13FF" w:rsidRPr="00424DF8">
        <w:rPr>
          <w:rFonts w:asciiTheme="majorHAnsi" w:hAnsiTheme="majorHAnsi"/>
          <w:sz w:val="24"/>
          <w:szCs w:val="24"/>
        </w:rPr>
        <w:t>Program Administrators (Instrument 2); (3) Site Visit Interview</w:t>
      </w:r>
      <w:r w:rsidR="00CB0CC9">
        <w:rPr>
          <w:rFonts w:asciiTheme="majorHAnsi" w:hAnsiTheme="majorHAnsi"/>
          <w:sz w:val="24"/>
          <w:szCs w:val="24"/>
        </w:rPr>
        <w:t>s</w:t>
      </w:r>
      <w:r w:rsidR="000F13FF" w:rsidRPr="00424DF8">
        <w:rPr>
          <w:rFonts w:asciiTheme="majorHAnsi" w:hAnsiTheme="majorHAnsi"/>
          <w:sz w:val="24"/>
          <w:szCs w:val="24"/>
        </w:rPr>
        <w:t>–Practitioners (Instrument 3); and (4) Site Visit Interview</w:t>
      </w:r>
      <w:r w:rsidR="00CB0CC9">
        <w:rPr>
          <w:rFonts w:asciiTheme="majorHAnsi" w:hAnsiTheme="majorHAnsi"/>
          <w:sz w:val="24"/>
          <w:szCs w:val="24"/>
        </w:rPr>
        <w:t>s</w:t>
      </w:r>
      <w:r w:rsidR="00424DF8" w:rsidRPr="00424DF8">
        <w:rPr>
          <w:rFonts w:asciiTheme="majorHAnsi" w:hAnsiTheme="majorHAnsi"/>
          <w:sz w:val="24"/>
          <w:szCs w:val="24"/>
        </w:rPr>
        <w:t>–P</w:t>
      </w:r>
      <w:r w:rsidR="000F13FF" w:rsidRPr="00424DF8">
        <w:rPr>
          <w:rFonts w:asciiTheme="majorHAnsi" w:hAnsiTheme="majorHAnsi"/>
          <w:sz w:val="24"/>
          <w:szCs w:val="24"/>
        </w:rPr>
        <w:t>artners</w:t>
      </w:r>
      <w:r w:rsidR="00424DF8" w:rsidRPr="00424DF8">
        <w:rPr>
          <w:rFonts w:asciiTheme="majorHAnsi" w:hAnsiTheme="majorHAnsi"/>
          <w:sz w:val="24"/>
          <w:szCs w:val="24"/>
        </w:rPr>
        <w:t>/</w:t>
      </w:r>
      <w:r w:rsidR="00CF6A1A">
        <w:rPr>
          <w:rFonts w:asciiTheme="majorHAnsi" w:hAnsiTheme="majorHAnsi"/>
          <w:sz w:val="24"/>
          <w:szCs w:val="24"/>
        </w:rPr>
        <w:t>O</w:t>
      </w:r>
      <w:r w:rsidR="00CF6A1A" w:rsidRPr="00424DF8">
        <w:rPr>
          <w:rFonts w:asciiTheme="majorHAnsi" w:hAnsiTheme="majorHAnsi"/>
          <w:sz w:val="24"/>
          <w:szCs w:val="24"/>
        </w:rPr>
        <w:t xml:space="preserve">ther </w:t>
      </w:r>
      <w:r w:rsidR="00CF6A1A">
        <w:rPr>
          <w:rFonts w:asciiTheme="majorHAnsi" w:hAnsiTheme="majorHAnsi"/>
          <w:sz w:val="24"/>
          <w:szCs w:val="24"/>
        </w:rPr>
        <w:t>R</w:t>
      </w:r>
      <w:r w:rsidR="00CF6A1A" w:rsidRPr="00424DF8">
        <w:rPr>
          <w:rFonts w:asciiTheme="majorHAnsi" w:hAnsiTheme="majorHAnsi"/>
          <w:sz w:val="24"/>
          <w:szCs w:val="24"/>
        </w:rPr>
        <w:t xml:space="preserve">elated </w:t>
      </w:r>
      <w:r w:rsidR="00CF6A1A">
        <w:rPr>
          <w:rFonts w:asciiTheme="majorHAnsi" w:hAnsiTheme="majorHAnsi"/>
          <w:sz w:val="24"/>
          <w:szCs w:val="24"/>
        </w:rPr>
        <w:t>O</w:t>
      </w:r>
      <w:r w:rsidR="00CF6A1A" w:rsidRPr="00424DF8">
        <w:rPr>
          <w:rFonts w:asciiTheme="majorHAnsi" w:hAnsiTheme="majorHAnsi"/>
          <w:sz w:val="24"/>
          <w:szCs w:val="24"/>
        </w:rPr>
        <w:t>rganizations</w:t>
      </w:r>
      <w:r w:rsidR="00CF6A1A">
        <w:rPr>
          <w:rFonts w:asciiTheme="majorHAnsi" w:hAnsiTheme="majorHAnsi"/>
          <w:sz w:val="24"/>
          <w:szCs w:val="24"/>
        </w:rPr>
        <w:t xml:space="preserve"> </w:t>
      </w:r>
      <w:r w:rsidR="000F13FF">
        <w:rPr>
          <w:rFonts w:asciiTheme="majorHAnsi" w:hAnsiTheme="majorHAnsi"/>
          <w:sz w:val="24"/>
          <w:szCs w:val="24"/>
        </w:rPr>
        <w:t xml:space="preserve">(Instrument 4). </w:t>
      </w:r>
      <w:r w:rsidRPr="001C431E">
        <w:rPr>
          <w:rFonts w:asciiTheme="majorHAnsi" w:hAnsiTheme="majorHAnsi"/>
          <w:sz w:val="24"/>
          <w:szCs w:val="24"/>
        </w:rPr>
        <w:t xml:space="preserve">The four are included as Attachments A through D, respectively. </w:t>
      </w:r>
      <w:r w:rsidR="007C72C9">
        <w:rPr>
          <w:rFonts w:asciiTheme="majorHAnsi" w:hAnsiTheme="majorHAnsi"/>
          <w:sz w:val="24"/>
          <w:szCs w:val="24"/>
        </w:rPr>
        <w:t xml:space="preserve">The </w:t>
      </w:r>
      <w:r w:rsidRPr="001C431E">
        <w:rPr>
          <w:rFonts w:asciiTheme="majorHAnsi" w:hAnsiTheme="majorHAnsi"/>
          <w:sz w:val="24"/>
          <w:szCs w:val="24"/>
        </w:rPr>
        <w:t xml:space="preserve">informed-consent </w:t>
      </w:r>
      <w:r w:rsidR="007C72C9">
        <w:rPr>
          <w:rFonts w:asciiTheme="majorHAnsi" w:hAnsiTheme="majorHAnsi"/>
          <w:sz w:val="24"/>
          <w:szCs w:val="24"/>
        </w:rPr>
        <w:t xml:space="preserve">document </w:t>
      </w:r>
      <w:r w:rsidRPr="001C431E">
        <w:rPr>
          <w:rFonts w:asciiTheme="majorHAnsi" w:hAnsiTheme="majorHAnsi"/>
          <w:sz w:val="24"/>
          <w:szCs w:val="24"/>
        </w:rPr>
        <w:t xml:space="preserve">for all </w:t>
      </w:r>
      <w:r w:rsidR="00C32129">
        <w:rPr>
          <w:rFonts w:asciiTheme="majorHAnsi" w:hAnsiTheme="majorHAnsi"/>
          <w:sz w:val="24"/>
          <w:szCs w:val="24"/>
        </w:rPr>
        <w:t xml:space="preserve">RCS </w:t>
      </w:r>
      <w:r w:rsidRPr="001C431E">
        <w:rPr>
          <w:rFonts w:asciiTheme="majorHAnsi" w:hAnsiTheme="majorHAnsi"/>
          <w:sz w:val="24"/>
          <w:szCs w:val="24"/>
        </w:rPr>
        <w:t>key informant and site visit interview participants is included as Attachment E.</w:t>
      </w:r>
    </w:p>
    <w:p w14:paraId="70470A5D" w14:textId="10A629A8" w:rsidR="00D558F8" w:rsidRPr="00603CAE" w:rsidRDefault="00D558F8" w:rsidP="00D558F8">
      <w:pPr>
        <w:pStyle w:val="ListParagraph"/>
        <w:numPr>
          <w:ilvl w:val="0"/>
          <w:numId w:val="7"/>
        </w:numPr>
        <w:spacing w:after="60" w:line="240" w:lineRule="auto"/>
        <w:contextualSpacing w:val="0"/>
        <w:rPr>
          <w:rFonts w:asciiTheme="majorHAnsi" w:hAnsiTheme="majorHAnsi"/>
          <w:sz w:val="24"/>
          <w:szCs w:val="24"/>
        </w:rPr>
      </w:pPr>
      <w:r w:rsidRPr="00997B6D">
        <w:rPr>
          <w:rFonts w:asciiTheme="majorHAnsi" w:hAnsiTheme="majorHAnsi"/>
          <w:b/>
          <w:sz w:val="24"/>
          <w:szCs w:val="24"/>
        </w:rPr>
        <w:t>Study Component 2 (CDC): Formative Research on Opioids and Their Impact on Children, Youth, and Families (</w:t>
      </w:r>
      <w:r w:rsidRPr="00997B6D">
        <w:rPr>
          <w:rFonts w:asciiTheme="majorHAnsi" w:hAnsiTheme="majorHAnsi"/>
          <w:b/>
          <w:i/>
          <w:sz w:val="24"/>
          <w:szCs w:val="24"/>
        </w:rPr>
        <w:t>Community Burden Substudy</w:t>
      </w:r>
      <w:r w:rsidRPr="00997B6D">
        <w:rPr>
          <w:rFonts w:asciiTheme="majorHAnsi" w:hAnsiTheme="majorHAnsi"/>
          <w:b/>
          <w:sz w:val="24"/>
          <w:szCs w:val="24"/>
        </w:rPr>
        <w:t xml:space="preserve"> [CB</w:t>
      </w:r>
      <w:r>
        <w:rPr>
          <w:rFonts w:asciiTheme="majorHAnsi" w:hAnsiTheme="majorHAnsi"/>
          <w:b/>
          <w:sz w:val="24"/>
          <w:szCs w:val="24"/>
        </w:rPr>
        <w:t>S</w:t>
      </w:r>
      <w:r w:rsidRPr="00997B6D">
        <w:rPr>
          <w:rFonts w:asciiTheme="majorHAnsi" w:hAnsiTheme="majorHAnsi"/>
          <w:b/>
          <w:sz w:val="24"/>
          <w:szCs w:val="24"/>
        </w:rPr>
        <w:t>])</w:t>
      </w:r>
    </w:p>
    <w:p w14:paraId="6BA09BC5" w14:textId="0AE98E1C" w:rsidR="000F6BE2" w:rsidRDefault="00663509" w:rsidP="000F6BE2">
      <w:pPr>
        <w:spacing w:line="240" w:lineRule="auto"/>
        <w:ind w:left="720"/>
        <w:rPr>
          <w:rFonts w:asciiTheme="majorHAnsi" w:hAnsiTheme="majorHAnsi"/>
          <w:sz w:val="24"/>
          <w:szCs w:val="24"/>
        </w:rPr>
      </w:pPr>
      <w:r>
        <w:rPr>
          <w:rFonts w:asciiTheme="majorHAnsi" w:hAnsiTheme="majorHAnsi"/>
          <w:sz w:val="24"/>
          <w:szCs w:val="24"/>
        </w:rPr>
        <w:t xml:space="preserve">To build upon the previous work of ASPE, </w:t>
      </w:r>
      <w:r w:rsidR="000F6BE2" w:rsidRPr="000F6BE2">
        <w:rPr>
          <w:rFonts w:asciiTheme="majorHAnsi" w:hAnsiTheme="majorHAnsi"/>
          <w:sz w:val="24"/>
          <w:szCs w:val="24"/>
        </w:rPr>
        <w:t xml:space="preserve">in 2018, CDC funded a contractor (ICF) to conduct study component 2, the </w:t>
      </w:r>
      <w:r w:rsidR="000F6BE2" w:rsidRPr="00BB6ECD">
        <w:rPr>
          <w:rFonts w:asciiTheme="majorHAnsi" w:hAnsiTheme="majorHAnsi"/>
          <w:i/>
          <w:sz w:val="24"/>
          <w:szCs w:val="24"/>
        </w:rPr>
        <w:t>Community Burden Substudy</w:t>
      </w:r>
      <w:r w:rsidR="000F6BE2" w:rsidRPr="000F6BE2">
        <w:rPr>
          <w:rFonts w:asciiTheme="majorHAnsi" w:hAnsiTheme="majorHAnsi"/>
          <w:sz w:val="24"/>
          <w:szCs w:val="24"/>
        </w:rPr>
        <w:t xml:space="preserve">. The </w:t>
      </w:r>
      <w:r w:rsidR="005D43C9" w:rsidRPr="005D43C9">
        <w:rPr>
          <w:rFonts w:asciiTheme="majorHAnsi" w:hAnsiTheme="majorHAnsi"/>
          <w:sz w:val="24"/>
          <w:szCs w:val="24"/>
        </w:rPr>
        <w:t>CBS</w:t>
      </w:r>
      <w:r w:rsidR="000F6BE2" w:rsidRPr="000F6BE2">
        <w:rPr>
          <w:rFonts w:asciiTheme="majorHAnsi" w:hAnsiTheme="majorHAnsi"/>
          <w:sz w:val="24"/>
          <w:szCs w:val="24"/>
        </w:rPr>
        <w:t xml:space="preserve"> aims to explore </w:t>
      </w:r>
      <w:r w:rsidR="000F6BE2" w:rsidRPr="000F6BE2">
        <w:rPr>
          <w:rFonts w:asciiTheme="majorHAnsi" w:hAnsiTheme="majorHAnsi" w:cs="Times New Roman"/>
          <w:color w:val="000000"/>
          <w:sz w:val="24"/>
          <w:szCs w:val="24"/>
        </w:rPr>
        <w:t>resources, supports, and prevention strategies across counties with low, mixed, or high opioid</w:t>
      </w:r>
      <w:r>
        <w:rPr>
          <w:rFonts w:asciiTheme="majorHAnsi" w:hAnsiTheme="majorHAnsi" w:cs="Times New Roman"/>
          <w:color w:val="000000"/>
          <w:sz w:val="24"/>
          <w:szCs w:val="24"/>
        </w:rPr>
        <w:t>/</w:t>
      </w:r>
      <w:r w:rsidR="000F6BE2" w:rsidRPr="000F6BE2">
        <w:rPr>
          <w:rFonts w:asciiTheme="majorHAnsi" w:hAnsiTheme="majorHAnsi" w:cs="Times New Roman"/>
          <w:color w:val="000000"/>
          <w:sz w:val="24"/>
          <w:szCs w:val="24"/>
        </w:rPr>
        <w:t>child welfare burden to identify factors that may protect families and children from opioid misuse and</w:t>
      </w:r>
      <w:r>
        <w:rPr>
          <w:rFonts w:asciiTheme="majorHAnsi" w:hAnsiTheme="majorHAnsi" w:cs="Times New Roman"/>
          <w:color w:val="000000"/>
          <w:sz w:val="24"/>
          <w:szCs w:val="24"/>
        </w:rPr>
        <w:t>/or</w:t>
      </w:r>
      <w:r w:rsidR="000F6BE2" w:rsidRPr="000F6BE2">
        <w:rPr>
          <w:rFonts w:asciiTheme="majorHAnsi" w:hAnsiTheme="majorHAnsi" w:cs="Times New Roman"/>
          <w:color w:val="000000"/>
          <w:sz w:val="24"/>
          <w:szCs w:val="24"/>
        </w:rPr>
        <w:t xml:space="preserve"> ACE</w:t>
      </w:r>
      <w:r>
        <w:rPr>
          <w:rFonts w:asciiTheme="majorHAnsi" w:hAnsiTheme="majorHAnsi" w:cs="Times New Roman"/>
          <w:color w:val="000000"/>
          <w:sz w:val="24"/>
          <w:szCs w:val="24"/>
        </w:rPr>
        <w:t xml:space="preserve"> exposure</w:t>
      </w:r>
      <w:r w:rsidR="000F6BE2" w:rsidRPr="000F6BE2">
        <w:rPr>
          <w:rFonts w:asciiTheme="majorHAnsi" w:hAnsiTheme="majorHAnsi" w:cs="Times New Roman"/>
          <w:color w:val="000000"/>
          <w:sz w:val="24"/>
          <w:szCs w:val="24"/>
        </w:rPr>
        <w:t xml:space="preserve">. </w:t>
      </w:r>
      <w:r w:rsidR="000F6BE2" w:rsidRPr="000F6BE2">
        <w:rPr>
          <w:rFonts w:asciiTheme="majorHAnsi" w:hAnsiTheme="majorHAnsi"/>
          <w:sz w:val="24"/>
          <w:szCs w:val="24"/>
        </w:rPr>
        <w:t xml:space="preserve">The contractor will visit matched county pairings within three states to conduct in-person data collection with the following groups: parents involved with child welfare who engage in opioid misuse, kinship caregivers, foster parents, service providers (e.g., child welfare, substance use treatment), and key stakeholders identified by the state officials. </w:t>
      </w:r>
    </w:p>
    <w:p w14:paraId="523AB415" w14:textId="7DDDCAE6" w:rsidR="000F6BE2" w:rsidRDefault="000F6BE2" w:rsidP="00837B5A">
      <w:pPr>
        <w:spacing w:after="240" w:line="240" w:lineRule="auto"/>
        <w:ind w:left="720"/>
        <w:rPr>
          <w:rFonts w:asciiTheme="majorHAnsi" w:hAnsiTheme="majorHAnsi"/>
          <w:sz w:val="24"/>
          <w:szCs w:val="24"/>
        </w:rPr>
      </w:pPr>
      <w:r w:rsidRPr="00997B6D">
        <w:rPr>
          <w:rFonts w:asciiTheme="majorHAnsi" w:hAnsiTheme="majorHAnsi"/>
          <w:sz w:val="24"/>
          <w:szCs w:val="24"/>
        </w:rPr>
        <w:t xml:space="preserve">Data collection instruments include the following: </w:t>
      </w:r>
      <w:r w:rsidRPr="00F801C2">
        <w:rPr>
          <w:rFonts w:asciiTheme="majorHAnsi" w:hAnsiTheme="majorHAnsi"/>
          <w:sz w:val="24"/>
          <w:szCs w:val="24"/>
        </w:rPr>
        <w:t>(</w:t>
      </w:r>
      <w:r>
        <w:rPr>
          <w:rFonts w:asciiTheme="majorHAnsi" w:hAnsiTheme="majorHAnsi"/>
          <w:sz w:val="24"/>
          <w:szCs w:val="24"/>
        </w:rPr>
        <w:t>1</w:t>
      </w:r>
      <w:r w:rsidRPr="00F801C2">
        <w:rPr>
          <w:rFonts w:asciiTheme="majorHAnsi" w:hAnsiTheme="majorHAnsi"/>
          <w:sz w:val="24"/>
          <w:szCs w:val="24"/>
        </w:rPr>
        <w:t>) KII–Parent</w:t>
      </w:r>
      <w:r>
        <w:rPr>
          <w:rFonts w:asciiTheme="majorHAnsi" w:hAnsiTheme="majorHAnsi"/>
          <w:sz w:val="24"/>
          <w:szCs w:val="24"/>
        </w:rPr>
        <w:t>s</w:t>
      </w:r>
      <w:r w:rsidRPr="00F801C2">
        <w:rPr>
          <w:rFonts w:asciiTheme="majorHAnsi" w:hAnsiTheme="majorHAnsi"/>
          <w:sz w:val="24"/>
          <w:szCs w:val="24"/>
        </w:rPr>
        <w:t>/Caregiver</w:t>
      </w:r>
      <w:r>
        <w:rPr>
          <w:rFonts w:asciiTheme="majorHAnsi" w:hAnsiTheme="majorHAnsi"/>
          <w:sz w:val="24"/>
          <w:szCs w:val="24"/>
        </w:rPr>
        <w:t>s</w:t>
      </w:r>
      <w:r w:rsidRPr="00F801C2">
        <w:rPr>
          <w:rFonts w:asciiTheme="majorHAnsi" w:hAnsiTheme="majorHAnsi"/>
          <w:sz w:val="24"/>
          <w:szCs w:val="24"/>
        </w:rPr>
        <w:t>, (</w:t>
      </w:r>
      <w:r>
        <w:rPr>
          <w:rFonts w:asciiTheme="majorHAnsi" w:hAnsiTheme="majorHAnsi"/>
          <w:sz w:val="24"/>
          <w:szCs w:val="24"/>
        </w:rPr>
        <w:t>2</w:t>
      </w:r>
      <w:r w:rsidRPr="00F801C2">
        <w:rPr>
          <w:rFonts w:asciiTheme="majorHAnsi" w:hAnsiTheme="majorHAnsi"/>
          <w:sz w:val="24"/>
          <w:szCs w:val="24"/>
        </w:rPr>
        <w:t>) KII–Provider</w:t>
      </w:r>
      <w:r>
        <w:rPr>
          <w:rFonts w:asciiTheme="majorHAnsi" w:hAnsiTheme="majorHAnsi"/>
          <w:sz w:val="24"/>
          <w:szCs w:val="24"/>
        </w:rPr>
        <w:t>s</w:t>
      </w:r>
      <w:r w:rsidRPr="00F801C2">
        <w:rPr>
          <w:rFonts w:asciiTheme="majorHAnsi" w:hAnsiTheme="majorHAnsi"/>
          <w:sz w:val="24"/>
          <w:szCs w:val="24"/>
        </w:rPr>
        <w:t>/Stakeholder</w:t>
      </w:r>
      <w:r>
        <w:rPr>
          <w:rFonts w:asciiTheme="majorHAnsi" w:hAnsiTheme="majorHAnsi"/>
          <w:sz w:val="24"/>
          <w:szCs w:val="24"/>
        </w:rPr>
        <w:t>s</w:t>
      </w:r>
      <w:r w:rsidRPr="00F801C2">
        <w:rPr>
          <w:rFonts w:asciiTheme="majorHAnsi" w:hAnsiTheme="majorHAnsi"/>
          <w:sz w:val="24"/>
          <w:szCs w:val="24"/>
        </w:rPr>
        <w:t>, (</w:t>
      </w:r>
      <w:r>
        <w:rPr>
          <w:rFonts w:asciiTheme="majorHAnsi" w:hAnsiTheme="majorHAnsi"/>
          <w:sz w:val="24"/>
          <w:szCs w:val="24"/>
        </w:rPr>
        <w:t>3</w:t>
      </w:r>
      <w:r w:rsidRPr="00F801C2">
        <w:rPr>
          <w:rFonts w:asciiTheme="majorHAnsi" w:hAnsiTheme="majorHAnsi"/>
          <w:sz w:val="24"/>
          <w:szCs w:val="24"/>
        </w:rPr>
        <w:t>) Focus Group</w:t>
      </w:r>
      <w:r>
        <w:rPr>
          <w:rFonts w:asciiTheme="majorHAnsi" w:hAnsiTheme="majorHAnsi"/>
          <w:sz w:val="24"/>
          <w:szCs w:val="24"/>
        </w:rPr>
        <w:t xml:space="preserve"> Guide</w:t>
      </w:r>
      <w:r w:rsidRPr="00F801C2">
        <w:rPr>
          <w:rFonts w:asciiTheme="majorHAnsi" w:hAnsiTheme="majorHAnsi"/>
          <w:sz w:val="24"/>
          <w:szCs w:val="24"/>
        </w:rPr>
        <w:t>–Caregiver</w:t>
      </w:r>
      <w:r>
        <w:rPr>
          <w:rFonts w:asciiTheme="majorHAnsi" w:hAnsiTheme="majorHAnsi"/>
          <w:sz w:val="24"/>
          <w:szCs w:val="24"/>
        </w:rPr>
        <w:t>s</w:t>
      </w:r>
      <w:r w:rsidRPr="00F801C2">
        <w:rPr>
          <w:rFonts w:asciiTheme="majorHAnsi" w:hAnsiTheme="majorHAnsi"/>
          <w:sz w:val="24"/>
          <w:szCs w:val="24"/>
        </w:rPr>
        <w:t xml:space="preserve">, </w:t>
      </w:r>
      <w:r w:rsidR="00837B5A">
        <w:rPr>
          <w:rFonts w:asciiTheme="majorHAnsi" w:hAnsiTheme="majorHAnsi"/>
          <w:sz w:val="24"/>
          <w:szCs w:val="24"/>
        </w:rPr>
        <w:t xml:space="preserve">and </w:t>
      </w:r>
      <w:r w:rsidRPr="00F801C2">
        <w:rPr>
          <w:rFonts w:asciiTheme="majorHAnsi" w:hAnsiTheme="majorHAnsi"/>
          <w:sz w:val="24"/>
          <w:szCs w:val="24"/>
        </w:rPr>
        <w:t>(</w:t>
      </w:r>
      <w:r>
        <w:rPr>
          <w:rFonts w:asciiTheme="majorHAnsi" w:hAnsiTheme="majorHAnsi"/>
          <w:sz w:val="24"/>
          <w:szCs w:val="24"/>
        </w:rPr>
        <w:t>4</w:t>
      </w:r>
      <w:r w:rsidRPr="00F801C2">
        <w:rPr>
          <w:rFonts w:asciiTheme="majorHAnsi" w:hAnsiTheme="majorHAnsi"/>
          <w:sz w:val="24"/>
          <w:szCs w:val="24"/>
        </w:rPr>
        <w:t>) Focus Group Guide–Provider</w:t>
      </w:r>
      <w:r>
        <w:rPr>
          <w:rFonts w:asciiTheme="majorHAnsi" w:hAnsiTheme="majorHAnsi"/>
          <w:sz w:val="24"/>
          <w:szCs w:val="24"/>
        </w:rPr>
        <w:t>s</w:t>
      </w:r>
      <w:r w:rsidRPr="00F801C2">
        <w:rPr>
          <w:rFonts w:asciiTheme="majorHAnsi" w:hAnsiTheme="majorHAnsi"/>
          <w:sz w:val="24"/>
          <w:szCs w:val="24"/>
        </w:rPr>
        <w:t>/Stakeholder</w:t>
      </w:r>
      <w:r>
        <w:rPr>
          <w:rFonts w:asciiTheme="majorHAnsi" w:hAnsiTheme="majorHAnsi"/>
          <w:sz w:val="24"/>
          <w:szCs w:val="24"/>
        </w:rPr>
        <w:t xml:space="preserve">s. </w:t>
      </w:r>
      <w:r w:rsidR="00837B5A">
        <w:rPr>
          <w:rFonts w:asciiTheme="majorHAnsi" w:hAnsiTheme="majorHAnsi"/>
          <w:sz w:val="24"/>
          <w:szCs w:val="24"/>
        </w:rPr>
        <w:t xml:space="preserve">Participants will complete a brief demographic form prior to their scheduled sessions. </w:t>
      </w:r>
      <w:r>
        <w:rPr>
          <w:rFonts w:asciiTheme="majorHAnsi" w:hAnsiTheme="majorHAnsi"/>
          <w:sz w:val="24"/>
          <w:szCs w:val="24"/>
        </w:rPr>
        <w:t>S</w:t>
      </w:r>
      <w:r w:rsidRPr="00997B6D">
        <w:rPr>
          <w:rFonts w:asciiTheme="majorHAnsi" w:hAnsiTheme="majorHAnsi"/>
          <w:sz w:val="24"/>
          <w:szCs w:val="24"/>
        </w:rPr>
        <w:t xml:space="preserve">ee Attachments </w:t>
      </w:r>
      <w:r w:rsidRPr="006A5D8E">
        <w:rPr>
          <w:rFonts w:asciiTheme="majorHAnsi" w:hAnsiTheme="majorHAnsi"/>
          <w:sz w:val="24"/>
          <w:szCs w:val="24"/>
        </w:rPr>
        <w:t>F–</w:t>
      </w:r>
      <w:r w:rsidR="006A5D8E">
        <w:rPr>
          <w:rFonts w:asciiTheme="majorHAnsi" w:hAnsiTheme="majorHAnsi"/>
          <w:sz w:val="24"/>
          <w:szCs w:val="24"/>
        </w:rPr>
        <w:t>K</w:t>
      </w:r>
      <w:r>
        <w:rPr>
          <w:rFonts w:asciiTheme="majorHAnsi" w:hAnsiTheme="majorHAnsi"/>
          <w:sz w:val="24"/>
          <w:szCs w:val="24"/>
        </w:rPr>
        <w:t xml:space="preserve"> for CBS instruments and informed consents</w:t>
      </w:r>
      <w:r w:rsidRPr="00997B6D">
        <w:rPr>
          <w:rFonts w:asciiTheme="majorHAnsi" w:hAnsiTheme="majorHAnsi"/>
          <w:sz w:val="24"/>
          <w:szCs w:val="24"/>
        </w:rPr>
        <w:t>.</w:t>
      </w:r>
      <w:r w:rsidR="00837B5A">
        <w:rPr>
          <w:rFonts w:asciiTheme="majorHAnsi" w:hAnsiTheme="majorHAnsi"/>
          <w:sz w:val="24"/>
          <w:szCs w:val="24"/>
        </w:rPr>
        <w:t xml:space="preserve"> </w:t>
      </w:r>
    </w:p>
    <w:p w14:paraId="5F62090A" w14:textId="44F7BA15" w:rsidR="00D558F8" w:rsidRPr="001862EA" w:rsidRDefault="005C4780" w:rsidP="00D558F8">
      <w:pPr>
        <w:pStyle w:val="ListParagraph"/>
        <w:numPr>
          <w:ilvl w:val="0"/>
          <w:numId w:val="4"/>
        </w:numPr>
        <w:spacing w:after="120" w:line="240" w:lineRule="auto"/>
        <w:contextualSpacing w:val="0"/>
        <w:rPr>
          <w:rFonts w:asciiTheme="majorHAnsi" w:hAnsiTheme="majorHAnsi"/>
          <w:b/>
          <w:sz w:val="24"/>
          <w:szCs w:val="24"/>
        </w:rPr>
      </w:pPr>
      <w:r w:rsidRPr="00BA024C">
        <w:rPr>
          <w:rFonts w:asciiTheme="majorHAnsi" w:hAnsiTheme="majorHAnsi"/>
          <w:b/>
          <w:sz w:val="24"/>
          <w:szCs w:val="24"/>
        </w:rPr>
        <w:t>Clearance Request</w:t>
      </w:r>
    </w:p>
    <w:p w14:paraId="2F292B53" w14:textId="5B007A84" w:rsidR="00A25462" w:rsidRDefault="0029359D" w:rsidP="008B2938">
      <w:pPr>
        <w:spacing w:line="240" w:lineRule="auto"/>
        <w:ind w:left="360"/>
        <w:rPr>
          <w:rFonts w:asciiTheme="majorHAnsi" w:hAnsiTheme="majorHAnsi"/>
          <w:sz w:val="24"/>
          <w:szCs w:val="24"/>
        </w:rPr>
      </w:pPr>
      <w:r w:rsidRPr="0004023A">
        <w:rPr>
          <w:rFonts w:asciiTheme="majorHAnsi" w:hAnsiTheme="majorHAnsi"/>
          <w:sz w:val="24"/>
          <w:szCs w:val="24"/>
        </w:rPr>
        <w:t xml:space="preserve">In the current information collection request, ASPE </w:t>
      </w:r>
      <w:r w:rsidR="00134083">
        <w:rPr>
          <w:rFonts w:asciiTheme="majorHAnsi" w:hAnsiTheme="majorHAnsi"/>
          <w:sz w:val="24"/>
          <w:szCs w:val="24"/>
        </w:rPr>
        <w:t xml:space="preserve">and CDC </w:t>
      </w:r>
      <w:r w:rsidRPr="0004023A">
        <w:rPr>
          <w:rFonts w:asciiTheme="majorHAnsi" w:hAnsiTheme="majorHAnsi"/>
          <w:sz w:val="24"/>
          <w:szCs w:val="24"/>
        </w:rPr>
        <w:t xml:space="preserve">seek approval </w:t>
      </w:r>
      <w:r w:rsidR="00134083">
        <w:rPr>
          <w:rFonts w:asciiTheme="majorHAnsi" w:hAnsiTheme="majorHAnsi"/>
          <w:sz w:val="24"/>
          <w:szCs w:val="24"/>
        </w:rPr>
        <w:t xml:space="preserve">for the new </w:t>
      </w:r>
      <w:r w:rsidRPr="0004023A">
        <w:rPr>
          <w:rFonts w:asciiTheme="majorHAnsi" w:hAnsiTheme="majorHAnsi"/>
          <w:sz w:val="24"/>
          <w:szCs w:val="24"/>
        </w:rPr>
        <w:t xml:space="preserve">data </w:t>
      </w:r>
      <w:r w:rsidR="00D32734">
        <w:rPr>
          <w:rFonts w:asciiTheme="majorHAnsi" w:hAnsiTheme="majorHAnsi"/>
          <w:sz w:val="24"/>
          <w:szCs w:val="24"/>
        </w:rPr>
        <w:t>collection, “</w:t>
      </w:r>
      <w:r w:rsidR="00D32734" w:rsidRPr="004A04E0">
        <w:rPr>
          <w:rFonts w:asciiTheme="majorHAnsi" w:hAnsiTheme="majorHAnsi"/>
          <w:sz w:val="24"/>
          <w:szCs w:val="24"/>
        </w:rPr>
        <w:t>Addressing Substance Use Disorders Among Families Involved with the Child Welfare System: A Cross-Agency Collaboration.”</w:t>
      </w:r>
      <w:r w:rsidRPr="0041582B">
        <w:rPr>
          <w:rFonts w:asciiTheme="majorHAnsi" w:hAnsiTheme="majorHAnsi"/>
          <w:sz w:val="24"/>
          <w:szCs w:val="24"/>
        </w:rPr>
        <w:t xml:space="preserve"> </w:t>
      </w:r>
      <w:r>
        <w:rPr>
          <w:rFonts w:asciiTheme="majorHAnsi" w:hAnsiTheme="majorHAnsi"/>
          <w:sz w:val="24"/>
          <w:szCs w:val="24"/>
        </w:rPr>
        <w:t xml:space="preserve"> </w:t>
      </w:r>
      <w:r w:rsidR="00F97CFB" w:rsidRPr="00F97CFB">
        <w:rPr>
          <w:rFonts w:asciiTheme="majorHAnsi" w:hAnsiTheme="majorHAnsi"/>
          <w:sz w:val="24"/>
          <w:szCs w:val="24"/>
        </w:rPr>
        <w:t>The current information collection request represents a</w:t>
      </w:r>
      <w:r w:rsidR="004C18AB">
        <w:rPr>
          <w:rFonts w:asciiTheme="majorHAnsi" w:hAnsiTheme="majorHAnsi"/>
          <w:sz w:val="24"/>
          <w:szCs w:val="24"/>
        </w:rPr>
        <w:t xml:space="preserve"> multicomponent study collaboration between </w:t>
      </w:r>
      <w:r w:rsidR="00F97CFB" w:rsidRPr="00F97CFB">
        <w:rPr>
          <w:rFonts w:asciiTheme="majorHAnsi" w:hAnsiTheme="majorHAnsi"/>
          <w:sz w:val="24"/>
          <w:szCs w:val="24"/>
        </w:rPr>
        <w:t xml:space="preserve">ASPE and </w:t>
      </w:r>
      <w:r w:rsidR="004C18AB">
        <w:rPr>
          <w:rFonts w:asciiTheme="majorHAnsi" w:hAnsiTheme="majorHAnsi"/>
          <w:sz w:val="24"/>
          <w:szCs w:val="24"/>
        </w:rPr>
        <w:t>CDC</w:t>
      </w:r>
      <w:r w:rsidR="00416104">
        <w:rPr>
          <w:rFonts w:asciiTheme="majorHAnsi" w:hAnsiTheme="majorHAnsi"/>
          <w:sz w:val="24"/>
          <w:szCs w:val="24"/>
        </w:rPr>
        <w:t>.</w:t>
      </w:r>
      <w:r w:rsidR="00F97CFB" w:rsidRPr="00F97CFB">
        <w:rPr>
          <w:rFonts w:asciiTheme="majorHAnsi" w:hAnsiTheme="majorHAnsi"/>
          <w:sz w:val="24"/>
          <w:szCs w:val="24"/>
        </w:rPr>
        <w:t xml:space="preserve"> Th</w:t>
      </w:r>
      <w:r w:rsidR="000A76A1">
        <w:rPr>
          <w:rFonts w:asciiTheme="majorHAnsi" w:hAnsiTheme="majorHAnsi"/>
          <w:sz w:val="24"/>
          <w:szCs w:val="24"/>
        </w:rPr>
        <w:t>is</w:t>
      </w:r>
      <w:r w:rsidR="00F97CFB" w:rsidRPr="00F97CFB">
        <w:rPr>
          <w:rFonts w:asciiTheme="majorHAnsi" w:hAnsiTheme="majorHAnsi"/>
          <w:sz w:val="24"/>
          <w:szCs w:val="24"/>
        </w:rPr>
        <w:t xml:space="preserve"> data collection </w:t>
      </w:r>
      <w:r w:rsidR="00867946">
        <w:rPr>
          <w:rFonts w:asciiTheme="majorHAnsi" w:hAnsiTheme="majorHAnsi"/>
          <w:sz w:val="24"/>
          <w:szCs w:val="24"/>
        </w:rPr>
        <w:t>will be</w:t>
      </w:r>
      <w:r w:rsidR="00F97CFB" w:rsidRPr="00F97CFB">
        <w:rPr>
          <w:rFonts w:asciiTheme="majorHAnsi" w:hAnsiTheme="majorHAnsi"/>
          <w:sz w:val="24"/>
          <w:szCs w:val="24"/>
        </w:rPr>
        <w:t xml:space="preserve"> conducted using the Generic Information Collection mechanism through </w:t>
      </w:r>
      <w:r w:rsidR="00F97CFB" w:rsidRPr="00CF21E5">
        <w:rPr>
          <w:rFonts w:asciiTheme="majorHAnsi" w:hAnsiTheme="majorHAnsi"/>
          <w:sz w:val="24"/>
          <w:szCs w:val="24"/>
        </w:rPr>
        <w:t xml:space="preserve">ASPE – OMB No. </w:t>
      </w:r>
      <w:r w:rsidR="0086200A" w:rsidRPr="00CF21E5">
        <w:rPr>
          <w:rFonts w:asciiTheme="majorHAnsi" w:hAnsiTheme="majorHAnsi"/>
          <w:sz w:val="24"/>
          <w:szCs w:val="24"/>
        </w:rPr>
        <w:t>0990-0421</w:t>
      </w:r>
      <w:r w:rsidR="00CF21E5">
        <w:rPr>
          <w:rFonts w:asciiTheme="majorHAnsi" w:hAnsiTheme="majorHAnsi"/>
          <w:sz w:val="24"/>
          <w:szCs w:val="24"/>
        </w:rPr>
        <w:t>.</w:t>
      </w:r>
    </w:p>
    <w:p w14:paraId="5409958B" w14:textId="0833A5BE" w:rsidR="00A25462" w:rsidRDefault="003141DC" w:rsidP="004C18AB">
      <w:pPr>
        <w:spacing w:after="120" w:line="240" w:lineRule="auto"/>
        <w:ind w:left="360"/>
        <w:rPr>
          <w:rFonts w:asciiTheme="majorHAnsi" w:hAnsiTheme="majorHAnsi"/>
          <w:sz w:val="24"/>
          <w:szCs w:val="24"/>
        </w:rPr>
      </w:pPr>
      <w:r>
        <w:rPr>
          <w:rFonts w:asciiTheme="majorHAnsi" w:hAnsiTheme="majorHAnsi"/>
          <w:sz w:val="24"/>
          <w:szCs w:val="24"/>
        </w:rPr>
        <w:t xml:space="preserve">Across </w:t>
      </w:r>
      <w:r w:rsidR="004A04E0">
        <w:rPr>
          <w:rFonts w:asciiTheme="majorHAnsi" w:hAnsiTheme="majorHAnsi"/>
          <w:sz w:val="24"/>
          <w:szCs w:val="24"/>
        </w:rPr>
        <w:t xml:space="preserve">study </w:t>
      </w:r>
      <w:r>
        <w:rPr>
          <w:rFonts w:asciiTheme="majorHAnsi" w:hAnsiTheme="majorHAnsi"/>
          <w:sz w:val="24"/>
          <w:szCs w:val="24"/>
        </w:rPr>
        <w:t>components, f</w:t>
      </w:r>
      <w:r w:rsidR="00A25462">
        <w:rPr>
          <w:rFonts w:asciiTheme="majorHAnsi" w:hAnsiTheme="majorHAnsi"/>
          <w:sz w:val="24"/>
          <w:szCs w:val="24"/>
        </w:rPr>
        <w:t>indings from this data collection will:</w:t>
      </w:r>
    </w:p>
    <w:p w14:paraId="0EBAD076" w14:textId="59D31D4D" w:rsidR="00A25462" w:rsidRPr="00670639" w:rsidRDefault="00A25462" w:rsidP="00D558F8">
      <w:pPr>
        <w:pStyle w:val="ListParagraph"/>
        <w:numPr>
          <w:ilvl w:val="0"/>
          <w:numId w:val="5"/>
        </w:numPr>
        <w:spacing w:after="60" w:line="240" w:lineRule="auto"/>
        <w:contextualSpacing w:val="0"/>
        <w:rPr>
          <w:rFonts w:asciiTheme="majorHAnsi" w:hAnsiTheme="majorHAnsi"/>
          <w:sz w:val="24"/>
          <w:szCs w:val="24"/>
        </w:rPr>
      </w:pPr>
      <w:r w:rsidRPr="00670639">
        <w:rPr>
          <w:rFonts w:asciiTheme="majorHAnsi" w:hAnsiTheme="majorHAnsi"/>
          <w:sz w:val="24"/>
          <w:szCs w:val="24"/>
        </w:rPr>
        <w:t>Provide nuanced information to supplement the key issues and promising strategies identified through an environmental scan and a literature review</w:t>
      </w:r>
      <w:r>
        <w:rPr>
          <w:rFonts w:asciiTheme="majorHAnsi" w:hAnsiTheme="majorHAnsi"/>
          <w:sz w:val="24"/>
          <w:szCs w:val="24"/>
        </w:rPr>
        <w:t xml:space="preserve"> related to rural communities;</w:t>
      </w:r>
      <w:r w:rsidRPr="00670639">
        <w:rPr>
          <w:rFonts w:asciiTheme="majorHAnsi" w:hAnsiTheme="majorHAnsi"/>
          <w:sz w:val="24"/>
          <w:szCs w:val="24"/>
        </w:rPr>
        <w:t xml:space="preserve"> </w:t>
      </w:r>
    </w:p>
    <w:p w14:paraId="2FDC05FA" w14:textId="14806A54" w:rsidR="00A25462" w:rsidRPr="00670639" w:rsidRDefault="00A25462" w:rsidP="00D558F8">
      <w:pPr>
        <w:pStyle w:val="ListParagraph"/>
        <w:numPr>
          <w:ilvl w:val="0"/>
          <w:numId w:val="5"/>
        </w:numPr>
        <w:spacing w:after="60" w:line="240" w:lineRule="auto"/>
        <w:contextualSpacing w:val="0"/>
        <w:rPr>
          <w:rFonts w:asciiTheme="majorHAnsi" w:hAnsiTheme="majorHAnsi"/>
          <w:sz w:val="24"/>
          <w:szCs w:val="24"/>
        </w:rPr>
      </w:pPr>
      <w:r w:rsidRPr="00670639">
        <w:rPr>
          <w:rFonts w:asciiTheme="majorHAnsi" w:hAnsiTheme="majorHAnsi"/>
          <w:sz w:val="24"/>
          <w:szCs w:val="24"/>
        </w:rPr>
        <w:t>Inform the selection of promising strategies by state and local administrators and future research by ASPE and its federal partners to bolster the evidence of promising strategies for further dissemination in other rural communities</w:t>
      </w:r>
      <w:r>
        <w:rPr>
          <w:rFonts w:asciiTheme="majorHAnsi" w:hAnsiTheme="majorHAnsi"/>
          <w:sz w:val="24"/>
          <w:szCs w:val="24"/>
        </w:rPr>
        <w:t xml:space="preserve">; </w:t>
      </w:r>
    </w:p>
    <w:p w14:paraId="3CA5DEDA" w14:textId="6EB35F54" w:rsidR="006D1C36" w:rsidRPr="006D1C36" w:rsidRDefault="003F1A35" w:rsidP="00D558F8">
      <w:pPr>
        <w:pStyle w:val="ListParagraph"/>
        <w:numPr>
          <w:ilvl w:val="0"/>
          <w:numId w:val="5"/>
        </w:numPr>
        <w:spacing w:after="60" w:line="240" w:lineRule="auto"/>
        <w:contextualSpacing w:val="0"/>
        <w:rPr>
          <w:rFonts w:asciiTheme="majorHAnsi" w:hAnsiTheme="majorHAnsi"/>
          <w:sz w:val="24"/>
          <w:szCs w:val="24"/>
        </w:rPr>
      </w:pPr>
      <w:r>
        <w:rPr>
          <w:rFonts w:asciiTheme="majorHAnsi" w:hAnsiTheme="majorHAnsi" w:cs="Times New Roman"/>
          <w:color w:val="000000"/>
          <w:sz w:val="24"/>
          <w:szCs w:val="24"/>
        </w:rPr>
        <w:t>Explore differences in</w:t>
      </w:r>
      <w:r w:rsidR="006D1C36">
        <w:rPr>
          <w:rFonts w:asciiTheme="majorHAnsi" w:hAnsiTheme="majorHAnsi" w:cs="Times New Roman"/>
          <w:color w:val="000000"/>
          <w:sz w:val="24"/>
          <w:szCs w:val="24"/>
        </w:rPr>
        <w:t xml:space="preserve"> services</w:t>
      </w:r>
      <w:r>
        <w:rPr>
          <w:rFonts w:asciiTheme="majorHAnsi" w:hAnsiTheme="majorHAnsi" w:cs="Times New Roman"/>
          <w:color w:val="000000"/>
          <w:sz w:val="24"/>
          <w:szCs w:val="24"/>
        </w:rPr>
        <w:t xml:space="preserve">, </w:t>
      </w:r>
      <w:r w:rsidR="006D1C36">
        <w:rPr>
          <w:rFonts w:asciiTheme="majorHAnsi" w:hAnsiTheme="majorHAnsi" w:cs="Times New Roman"/>
          <w:color w:val="000000"/>
          <w:sz w:val="24"/>
          <w:szCs w:val="24"/>
        </w:rPr>
        <w:t>resources</w:t>
      </w:r>
      <w:r>
        <w:rPr>
          <w:rFonts w:asciiTheme="majorHAnsi" w:hAnsiTheme="majorHAnsi" w:cs="Times New Roman"/>
          <w:color w:val="000000"/>
          <w:sz w:val="24"/>
          <w:szCs w:val="24"/>
        </w:rPr>
        <w:t xml:space="preserve">, opioid misuse trajectories, and stigma </w:t>
      </w:r>
      <w:r w:rsidR="006D1C36">
        <w:rPr>
          <w:rFonts w:asciiTheme="majorHAnsi" w:hAnsiTheme="majorHAnsi" w:cs="Times New Roman"/>
          <w:color w:val="000000"/>
          <w:sz w:val="24"/>
          <w:szCs w:val="24"/>
        </w:rPr>
        <w:t xml:space="preserve">in communities with </w:t>
      </w:r>
      <w:r w:rsidR="00CB0CC9">
        <w:rPr>
          <w:rFonts w:asciiTheme="majorHAnsi" w:hAnsiTheme="majorHAnsi" w:cs="Times New Roman"/>
          <w:color w:val="000000"/>
          <w:sz w:val="24"/>
          <w:szCs w:val="24"/>
        </w:rPr>
        <w:t>low, mixed, and high</w:t>
      </w:r>
      <w:r w:rsidR="006D1C36">
        <w:rPr>
          <w:rFonts w:asciiTheme="majorHAnsi" w:hAnsiTheme="majorHAnsi" w:cs="Times New Roman"/>
          <w:color w:val="000000"/>
          <w:sz w:val="24"/>
          <w:szCs w:val="24"/>
        </w:rPr>
        <w:t xml:space="preserve"> </w:t>
      </w:r>
      <w:r>
        <w:rPr>
          <w:rFonts w:asciiTheme="majorHAnsi" w:hAnsiTheme="majorHAnsi" w:cs="Times New Roman"/>
          <w:color w:val="000000"/>
          <w:sz w:val="24"/>
          <w:szCs w:val="24"/>
        </w:rPr>
        <w:t>opioid</w:t>
      </w:r>
      <w:r w:rsidR="006D1C36">
        <w:rPr>
          <w:rFonts w:asciiTheme="majorHAnsi" w:hAnsiTheme="majorHAnsi" w:cs="Times New Roman"/>
          <w:color w:val="000000"/>
          <w:sz w:val="24"/>
          <w:szCs w:val="24"/>
        </w:rPr>
        <w:t>-child welfare burden; and</w:t>
      </w:r>
    </w:p>
    <w:p w14:paraId="26DE09C2" w14:textId="1D7BD057" w:rsidR="00A25462" w:rsidRPr="009C4503" w:rsidRDefault="00A25462" w:rsidP="00D558F8">
      <w:pPr>
        <w:pStyle w:val="ListParagraph"/>
        <w:numPr>
          <w:ilvl w:val="0"/>
          <w:numId w:val="5"/>
        </w:numPr>
        <w:spacing w:line="240" w:lineRule="auto"/>
        <w:contextualSpacing w:val="0"/>
        <w:rPr>
          <w:rFonts w:asciiTheme="majorHAnsi" w:hAnsiTheme="majorHAnsi"/>
          <w:sz w:val="24"/>
          <w:szCs w:val="24"/>
        </w:rPr>
      </w:pPr>
      <w:r>
        <w:rPr>
          <w:rFonts w:asciiTheme="majorHAnsi" w:hAnsiTheme="majorHAnsi" w:cs="Times New Roman"/>
          <w:color w:val="000000"/>
          <w:sz w:val="24"/>
          <w:szCs w:val="24"/>
        </w:rPr>
        <w:t>Identify</w:t>
      </w:r>
      <w:r w:rsidRPr="00CE78CB">
        <w:rPr>
          <w:rFonts w:asciiTheme="majorHAnsi" w:hAnsiTheme="majorHAnsi" w:cs="Times New Roman"/>
          <w:color w:val="000000"/>
          <w:sz w:val="24"/>
          <w:szCs w:val="24"/>
        </w:rPr>
        <w:t xml:space="preserve"> factors </w:t>
      </w:r>
      <w:r w:rsidR="002D3CE3">
        <w:rPr>
          <w:rFonts w:asciiTheme="majorHAnsi" w:hAnsiTheme="majorHAnsi" w:cs="Times New Roman"/>
          <w:color w:val="000000"/>
          <w:sz w:val="24"/>
          <w:szCs w:val="24"/>
        </w:rPr>
        <w:t xml:space="preserve">for further research </w:t>
      </w:r>
      <w:r w:rsidRPr="00CE78CB">
        <w:rPr>
          <w:rFonts w:asciiTheme="majorHAnsi" w:hAnsiTheme="majorHAnsi" w:cs="Times New Roman"/>
          <w:color w:val="000000"/>
          <w:sz w:val="24"/>
          <w:szCs w:val="24"/>
        </w:rPr>
        <w:t xml:space="preserve">that may </w:t>
      </w:r>
      <w:r w:rsidR="006D1C36">
        <w:rPr>
          <w:rFonts w:asciiTheme="majorHAnsi" w:hAnsiTheme="majorHAnsi" w:cs="Times New Roman"/>
          <w:color w:val="000000"/>
          <w:sz w:val="24"/>
          <w:szCs w:val="24"/>
        </w:rPr>
        <w:t xml:space="preserve">help to </w:t>
      </w:r>
      <w:r w:rsidRPr="00CE78CB">
        <w:rPr>
          <w:rFonts w:asciiTheme="majorHAnsi" w:hAnsiTheme="majorHAnsi" w:cs="Times New Roman"/>
          <w:color w:val="000000"/>
          <w:sz w:val="24"/>
          <w:szCs w:val="24"/>
        </w:rPr>
        <w:t>protect communities, families, and children from opioid misuse and</w:t>
      </w:r>
      <w:r w:rsidR="00663509">
        <w:rPr>
          <w:rFonts w:asciiTheme="majorHAnsi" w:hAnsiTheme="majorHAnsi" w:cs="Times New Roman"/>
          <w:color w:val="000000"/>
          <w:sz w:val="24"/>
          <w:szCs w:val="24"/>
        </w:rPr>
        <w:t>/or</w:t>
      </w:r>
      <w:r w:rsidRPr="00CE78CB">
        <w:rPr>
          <w:rFonts w:asciiTheme="majorHAnsi" w:hAnsiTheme="majorHAnsi" w:cs="Times New Roman"/>
          <w:color w:val="000000"/>
          <w:sz w:val="24"/>
          <w:szCs w:val="24"/>
        </w:rPr>
        <w:t xml:space="preserve"> ACE</w:t>
      </w:r>
      <w:r w:rsidR="00663509">
        <w:rPr>
          <w:rFonts w:asciiTheme="majorHAnsi" w:hAnsiTheme="majorHAnsi" w:cs="Times New Roman"/>
          <w:color w:val="000000"/>
          <w:sz w:val="24"/>
          <w:szCs w:val="24"/>
        </w:rPr>
        <w:t xml:space="preserve"> exposure</w:t>
      </w:r>
      <w:r w:rsidRPr="00CE78CB">
        <w:rPr>
          <w:rFonts w:asciiTheme="majorHAnsi" w:hAnsiTheme="majorHAnsi" w:cs="Times New Roman"/>
          <w:color w:val="000000"/>
          <w:sz w:val="24"/>
          <w:szCs w:val="24"/>
        </w:rPr>
        <w:t>.</w:t>
      </w:r>
    </w:p>
    <w:p w14:paraId="3B0D4448" w14:textId="45B555B0" w:rsidR="006102DA" w:rsidRPr="001862EA" w:rsidRDefault="00B12F51" w:rsidP="00D558F8">
      <w:pPr>
        <w:pStyle w:val="ListParagraph"/>
        <w:numPr>
          <w:ilvl w:val="0"/>
          <w:numId w:val="3"/>
        </w:numPr>
        <w:spacing w:before="240" w:after="120" w:line="240" w:lineRule="auto"/>
        <w:contextualSpacing w:val="0"/>
        <w:rPr>
          <w:rFonts w:asciiTheme="majorHAnsi" w:hAnsiTheme="majorHAnsi"/>
          <w:b/>
          <w:sz w:val="24"/>
          <w:szCs w:val="24"/>
        </w:rPr>
      </w:pPr>
      <w:r w:rsidRPr="001862EA">
        <w:rPr>
          <w:rFonts w:asciiTheme="majorHAnsi" w:hAnsiTheme="majorHAnsi"/>
          <w:b/>
          <w:sz w:val="24"/>
          <w:szCs w:val="24"/>
        </w:rPr>
        <w:t>Purpose and Use of the Information Collection</w:t>
      </w:r>
    </w:p>
    <w:p w14:paraId="2DC6B944" w14:textId="599F0416" w:rsidR="00AD28DF" w:rsidRPr="00AD28DF" w:rsidRDefault="00AD28DF" w:rsidP="00AD28DF">
      <w:pPr>
        <w:pStyle w:val="ListParagraph"/>
        <w:spacing w:after="240" w:line="240" w:lineRule="auto"/>
        <w:ind w:left="360"/>
        <w:rPr>
          <w:rFonts w:asciiTheme="majorHAnsi" w:hAnsiTheme="majorHAnsi"/>
          <w:sz w:val="24"/>
          <w:szCs w:val="24"/>
        </w:rPr>
      </w:pPr>
      <w:r w:rsidRPr="00AD28DF">
        <w:rPr>
          <w:rFonts w:asciiTheme="majorHAnsi" w:hAnsiTheme="majorHAnsi"/>
          <w:sz w:val="24"/>
          <w:szCs w:val="24"/>
        </w:rPr>
        <w:t xml:space="preserve">The current ASPE-CDC study collaboration consists of two components—ASPE’s </w:t>
      </w:r>
      <w:r w:rsidRPr="00AD28DF">
        <w:rPr>
          <w:rFonts w:asciiTheme="majorHAnsi" w:hAnsiTheme="majorHAnsi"/>
          <w:i/>
          <w:sz w:val="24"/>
          <w:szCs w:val="24"/>
        </w:rPr>
        <w:t>Rural Communities Substudy</w:t>
      </w:r>
      <w:r w:rsidRPr="00AD28DF">
        <w:rPr>
          <w:rFonts w:asciiTheme="majorHAnsi" w:hAnsiTheme="majorHAnsi"/>
          <w:sz w:val="24"/>
          <w:szCs w:val="24"/>
        </w:rPr>
        <w:t xml:space="preserve"> and CDC’s </w:t>
      </w:r>
      <w:r w:rsidRPr="00AD28DF">
        <w:rPr>
          <w:rFonts w:asciiTheme="majorHAnsi" w:hAnsiTheme="majorHAnsi"/>
          <w:i/>
          <w:sz w:val="24"/>
          <w:szCs w:val="24"/>
        </w:rPr>
        <w:t>Community Burden Substudy.</w:t>
      </w:r>
      <w:r w:rsidRPr="00AD28DF">
        <w:rPr>
          <w:rFonts w:asciiTheme="majorHAnsi" w:hAnsiTheme="majorHAnsi"/>
          <w:sz w:val="24"/>
          <w:szCs w:val="24"/>
        </w:rPr>
        <w:t xml:space="preserve"> Each agency is separately responsible for conducting data collection associated with its component. Both components consist of qualitative data collection, while the </w:t>
      </w:r>
      <w:r w:rsidR="005D43C9" w:rsidRPr="005D43C9">
        <w:rPr>
          <w:rFonts w:asciiTheme="majorHAnsi" w:hAnsiTheme="majorHAnsi"/>
          <w:sz w:val="24"/>
          <w:szCs w:val="24"/>
        </w:rPr>
        <w:t>RCS</w:t>
      </w:r>
      <w:r w:rsidR="005D43C9">
        <w:rPr>
          <w:rFonts w:asciiTheme="majorHAnsi" w:hAnsiTheme="majorHAnsi"/>
          <w:i/>
          <w:sz w:val="24"/>
          <w:szCs w:val="24"/>
        </w:rPr>
        <w:t xml:space="preserve"> </w:t>
      </w:r>
      <w:r w:rsidRPr="00AD28DF">
        <w:rPr>
          <w:rFonts w:asciiTheme="majorHAnsi" w:hAnsiTheme="majorHAnsi"/>
          <w:sz w:val="24"/>
          <w:szCs w:val="24"/>
        </w:rPr>
        <w:t>also involves an environmental scan and literature review. An overview of the multicomponent study is displayed in Exhibit A2-1.</w:t>
      </w:r>
    </w:p>
    <w:p w14:paraId="3DA7DB70" w14:textId="0592C0B6" w:rsidR="008B2938" w:rsidRPr="008B2938" w:rsidRDefault="008B2938" w:rsidP="005D43C9">
      <w:pPr>
        <w:keepNext/>
        <w:spacing w:before="200" w:after="60" w:line="240" w:lineRule="auto"/>
        <w:ind w:left="360"/>
        <w:jc w:val="center"/>
        <w:rPr>
          <w:rFonts w:asciiTheme="majorHAnsi" w:hAnsiTheme="majorHAnsi"/>
          <w:b/>
        </w:rPr>
      </w:pPr>
      <w:r w:rsidRPr="008B2938">
        <w:rPr>
          <w:rFonts w:asciiTheme="majorHAnsi" w:hAnsiTheme="majorHAnsi"/>
          <w:b/>
        </w:rPr>
        <w:t xml:space="preserve">Exhibit </w:t>
      </w:r>
      <w:r w:rsidR="00504E78">
        <w:rPr>
          <w:rFonts w:asciiTheme="majorHAnsi" w:hAnsiTheme="majorHAnsi"/>
          <w:b/>
        </w:rPr>
        <w:t>A2-</w:t>
      </w:r>
      <w:r w:rsidRPr="008B2938">
        <w:rPr>
          <w:rFonts w:asciiTheme="majorHAnsi" w:hAnsiTheme="majorHAnsi"/>
          <w:b/>
        </w:rPr>
        <w:t xml:space="preserve">1. </w:t>
      </w:r>
      <w:r>
        <w:rPr>
          <w:rFonts w:asciiTheme="majorHAnsi" w:hAnsiTheme="majorHAnsi"/>
          <w:b/>
        </w:rPr>
        <w:t xml:space="preserve">ASPE-CDC </w:t>
      </w:r>
      <w:r w:rsidRPr="008B2938">
        <w:rPr>
          <w:rFonts w:asciiTheme="majorHAnsi" w:hAnsiTheme="majorHAnsi"/>
          <w:b/>
        </w:rPr>
        <w:t>Cross-Agency Multicomponent Study Collaboration</w:t>
      </w:r>
    </w:p>
    <w:p w14:paraId="2402BEB8" w14:textId="6434A1E9" w:rsidR="009C4503" w:rsidRDefault="002E2DCB" w:rsidP="009C4503">
      <w:pPr>
        <w:spacing w:after="0" w:line="240" w:lineRule="auto"/>
        <w:ind w:left="360"/>
        <w:jc w:val="center"/>
        <w:rPr>
          <w:rFonts w:asciiTheme="majorHAnsi" w:hAnsiTheme="majorHAnsi"/>
          <w:sz w:val="24"/>
          <w:szCs w:val="24"/>
        </w:rPr>
      </w:pPr>
      <w:r w:rsidRPr="002E2DCB">
        <w:rPr>
          <w:noProof/>
        </w:rPr>
        <w:t xml:space="preserve"> </w:t>
      </w:r>
      <w:r>
        <w:rPr>
          <w:noProof/>
        </w:rPr>
        <w:drawing>
          <wp:inline distT="0" distB="0" distL="0" distR="0" wp14:anchorId="5D8D0C00" wp14:editId="618D915F">
            <wp:extent cx="5671671" cy="33375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3676" cy="3344624"/>
                    </a:xfrm>
                    <a:prstGeom prst="rect">
                      <a:avLst/>
                    </a:prstGeom>
                  </pic:spPr>
                </pic:pic>
              </a:graphicData>
            </a:graphic>
          </wp:inline>
        </w:drawing>
      </w:r>
    </w:p>
    <w:p w14:paraId="58AE3626" w14:textId="1A90B3CD" w:rsidR="004E0604" w:rsidRPr="003801E6" w:rsidRDefault="004E0604" w:rsidP="004E0604">
      <w:pPr>
        <w:spacing w:before="200" w:after="120" w:line="240" w:lineRule="auto"/>
        <w:ind w:left="360"/>
        <w:rPr>
          <w:rFonts w:asciiTheme="majorHAnsi" w:hAnsiTheme="majorHAnsi"/>
          <w:b/>
          <w:sz w:val="24"/>
          <w:szCs w:val="24"/>
        </w:rPr>
      </w:pPr>
      <w:r w:rsidRPr="003801E6">
        <w:rPr>
          <w:rFonts w:asciiTheme="majorHAnsi" w:hAnsiTheme="majorHAnsi"/>
          <w:b/>
          <w:sz w:val="24"/>
          <w:szCs w:val="24"/>
        </w:rPr>
        <w:t>Study Component 1</w:t>
      </w:r>
      <w:r>
        <w:rPr>
          <w:rFonts w:asciiTheme="majorHAnsi" w:hAnsiTheme="majorHAnsi"/>
          <w:b/>
          <w:sz w:val="24"/>
          <w:szCs w:val="24"/>
        </w:rPr>
        <w:t xml:space="preserve"> (ASPE)</w:t>
      </w:r>
      <w:r w:rsidRPr="003801E6">
        <w:rPr>
          <w:rFonts w:asciiTheme="majorHAnsi" w:hAnsiTheme="majorHAnsi"/>
          <w:b/>
          <w:sz w:val="24"/>
          <w:szCs w:val="24"/>
        </w:rPr>
        <w:t xml:space="preserve">: </w:t>
      </w:r>
      <w:r w:rsidRPr="003801E6">
        <w:rPr>
          <w:rFonts w:asciiTheme="majorHAnsi" w:hAnsiTheme="majorHAnsi"/>
          <w:b/>
          <w:i/>
          <w:sz w:val="24"/>
          <w:szCs w:val="24"/>
        </w:rPr>
        <w:t>Rural Communities Substudy</w:t>
      </w:r>
    </w:p>
    <w:p w14:paraId="5D0FDBF3" w14:textId="7ED498B3" w:rsidR="0046735E" w:rsidRPr="000D7307" w:rsidRDefault="0046735E" w:rsidP="00CF6A1A">
      <w:pPr>
        <w:spacing w:line="240" w:lineRule="auto"/>
        <w:ind w:left="360"/>
        <w:rPr>
          <w:rFonts w:asciiTheme="majorHAnsi" w:hAnsiTheme="majorHAnsi"/>
          <w:sz w:val="24"/>
          <w:szCs w:val="24"/>
        </w:rPr>
      </w:pPr>
      <w:r w:rsidRPr="000D7307">
        <w:rPr>
          <w:rFonts w:asciiTheme="majorHAnsi" w:hAnsiTheme="majorHAnsi"/>
          <w:sz w:val="24"/>
          <w:szCs w:val="24"/>
        </w:rPr>
        <w:t>The purpose</w:t>
      </w:r>
      <w:r w:rsidR="00997B6D">
        <w:rPr>
          <w:rFonts w:asciiTheme="majorHAnsi" w:hAnsiTheme="majorHAnsi"/>
          <w:sz w:val="24"/>
          <w:szCs w:val="24"/>
        </w:rPr>
        <w:t>s</w:t>
      </w:r>
      <w:r w:rsidRPr="000D7307">
        <w:rPr>
          <w:rFonts w:asciiTheme="majorHAnsi" w:hAnsiTheme="majorHAnsi"/>
          <w:sz w:val="24"/>
          <w:szCs w:val="24"/>
        </w:rPr>
        <w:t xml:space="preserve"> of </w:t>
      </w:r>
      <w:r w:rsidR="00853E64">
        <w:rPr>
          <w:rFonts w:asciiTheme="majorHAnsi" w:hAnsiTheme="majorHAnsi"/>
          <w:sz w:val="24"/>
          <w:szCs w:val="24"/>
        </w:rPr>
        <w:t xml:space="preserve">the </w:t>
      </w:r>
      <w:r w:rsidR="00424DF8" w:rsidRPr="003801E6">
        <w:rPr>
          <w:rFonts w:asciiTheme="majorHAnsi" w:hAnsiTheme="majorHAnsi"/>
          <w:i/>
          <w:sz w:val="24"/>
          <w:szCs w:val="24"/>
        </w:rPr>
        <w:t xml:space="preserve">Rural Communities </w:t>
      </w:r>
      <w:r w:rsidR="003B2ED5" w:rsidRPr="003801E6">
        <w:rPr>
          <w:rFonts w:asciiTheme="majorHAnsi" w:hAnsiTheme="majorHAnsi"/>
          <w:i/>
          <w:sz w:val="24"/>
          <w:szCs w:val="24"/>
        </w:rPr>
        <w:t>Substudy</w:t>
      </w:r>
      <w:r w:rsidR="004808F5" w:rsidRPr="000D7307">
        <w:rPr>
          <w:rFonts w:asciiTheme="majorHAnsi" w:hAnsiTheme="majorHAnsi"/>
          <w:sz w:val="24"/>
          <w:szCs w:val="24"/>
        </w:rPr>
        <w:t xml:space="preserve"> </w:t>
      </w:r>
      <w:r w:rsidRPr="000D7307">
        <w:rPr>
          <w:rFonts w:asciiTheme="majorHAnsi" w:hAnsiTheme="majorHAnsi"/>
          <w:sz w:val="24"/>
          <w:szCs w:val="24"/>
        </w:rPr>
        <w:t>is</w:t>
      </w:r>
      <w:r w:rsidR="00EA75F7">
        <w:rPr>
          <w:rFonts w:asciiTheme="majorHAnsi" w:hAnsiTheme="majorHAnsi"/>
          <w:sz w:val="24"/>
          <w:szCs w:val="24"/>
        </w:rPr>
        <w:t xml:space="preserve"> to</w:t>
      </w:r>
      <w:r w:rsidRPr="000D7307">
        <w:rPr>
          <w:rFonts w:asciiTheme="majorHAnsi" w:hAnsiTheme="majorHAnsi"/>
          <w:sz w:val="24"/>
          <w:szCs w:val="24"/>
        </w:rPr>
        <w:t>:</w:t>
      </w:r>
    </w:p>
    <w:p w14:paraId="5AAE70B2" w14:textId="39E9E3E5" w:rsidR="00981A9C" w:rsidRPr="000D7307" w:rsidRDefault="00EA75F7" w:rsidP="00D558F8">
      <w:pPr>
        <w:pStyle w:val="ListParagraph"/>
        <w:numPr>
          <w:ilvl w:val="0"/>
          <w:numId w:val="2"/>
        </w:numPr>
        <w:spacing w:after="60" w:line="240" w:lineRule="auto"/>
        <w:contextualSpacing w:val="0"/>
        <w:rPr>
          <w:rFonts w:asciiTheme="majorHAnsi" w:hAnsiTheme="majorHAnsi"/>
          <w:sz w:val="24"/>
          <w:szCs w:val="24"/>
        </w:rPr>
      </w:pPr>
      <w:r>
        <w:rPr>
          <w:rFonts w:asciiTheme="majorHAnsi" w:hAnsiTheme="majorHAnsi"/>
          <w:sz w:val="24"/>
          <w:szCs w:val="24"/>
        </w:rPr>
        <w:t>U</w:t>
      </w:r>
      <w:r w:rsidR="00994BB5" w:rsidRPr="000D7307">
        <w:rPr>
          <w:rFonts w:asciiTheme="majorHAnsi" w:hAnsiTheme="majorHAnsi"/>
          <w:sz w:val="24"/>
          <w:szCs w:val="24"/>
        </w:rPr>
        <w:t xml:space="preserve">nderstand the challenges specific to rural communities when serving </w:t>
      </w:r>
      <w:r w:rsidR="00D60EFE">
        <w:rPr>
          <w:rFonts w:asciiTheme="majorHAnsi" w:hAnsiTheme="majorHAnsi"/>
          <w:sz w:val="24"/>
          <w:szCs w:val="24"/>
        </w:rPr>
        <w:t xml:space="preserve">child-welfare-involved </w:t>
      </w:r>
      <w:r w:rsidR="00994BB5" w:rsidRPr="000D7307">
        <w:rPr>
          <w:rFonts w:asciiTheme="majorHAnsi" w:hAnsiTheme="majorHAnsi"/>
          <w:sz w:val="24"/>
          <w:szCs w:val="24"/>
        </w:rPr>
        <w:t xml:space="preserve">families </w:t>
      </w:r>
      <w:r w:rsidR="00D60EFE">
        <w:rPr>
          <w:rFonts w:asciiTheme="majorHAnsi" w:hAnsiTheme="majorHAnsi"/>
          <w:sz w:val="24"/>
          <w:szCs w:val="24"/>
        </w:rPr>
        <w:t>with</w:t>
      </w:r>
      <w:r w:rsidR="00994BB5" w:rsidRPr="000D7307">
        <w:rPr>
          <w:rFonts w:asciiTheme="majorHAnsi" w:hAnsiTheme="majorHAnsi"/>
          <w:sz w:val="24"/>
          <w:szCs w:val="24"/>
        </w:rPr>
        <w:t xml:space="preserve"> substance use disorder</w:t>
      </w:r>
    </w:p>
    <w:p w14:paraId="13DAC1E8" w14:textId="5CD88C26" w:rsidR="00F17011" w:rsidRPr="000D7307" w:rsidRDefault="00EA75F7" w:rsidP="00D558F8">
      <w:pPr>
        <w:pStyle w:val="ListParagraph"/>
        <w:numPr>
          <w:ilvl w:val="0"/>
          <w:numId w:val="2"/>
        </w:numPr>
        <w:spacing w:after="60" w:line="240" w:lineRule="auto"/>
        <w:contextualSpacing w:val="0"/>
        <w:rPr>
          <w:rFonts w:asciiTheme="majorHAnsi" w:hAnsiTheme="majorHAnsi"/>
          <w:sz w:val="24"/>
          <w:szCs w:val="24"/>
        </w:rPr>
      </w:pPr>
      <w:r>
        <w:rPr>
          <w:rFonts w:asciiTheme="majorHAnsi" w:hAnsiTheme="majorHAnsi"/>
          <w:sz w:val="24"/>
          <w:szCs w:val="24"/>
        </w:rPr>
        <w:t>I</w:t>
      </w:r>
      <w:r w:rsidR="00994BB5" w:rsidRPr="000D7307">
        <w:rPr>
          <w:rFonts w:asciiTheme="majorHAnsi" w:hAnsiTheme="majorHAnsi"/>
          <w:sz w:val="24"/>
          <w:szCs w:val="24"/>
        </w:rPr>
        <w:t xml:space="preserve">dentify promising </w:t>
      </w:r>
      <w:r w:rsidR="001E1C23" w:rsidRPr="000D7307">
        <w:rPr>
          <w:rFonts w:asciiTheme="majorHAnsi" w:hAnsiTheme="majorHAnsi"/>
          <w:sz w:val="24"/>
          <w:szCs w:val="24"/>
        </w:rPr>
        <w:t xml:space="preserve">strategies </w:t>
      </w:r>
      <w:r w:rsidR="00994BB5" w:rsidRPr="000D7307">
        <w:rPr>
          <w:rFonts w:asciiTheme="majorHAnsi" w:hAnsiTheme="majorHAnsi"/>
          <w:sz w:val="24"/>
          <w:szCs w:val="24"/>
        </w:rPr>
        <w:t xml:space="preserve">rural communities can use </w:t>
      </w:r>
      <w:r w:rsidR="000D7307">
        <w:rPr>
          <w:rFonts w:asciiTheme="majorHAnsi" w:hAnsiTheme="majorHAnsi"/>
          <w:sz w:val="24"/>
          <w:szCs w:val="24"/>
        </w:rPr>
        <w:t>or adapt to better serve these families</w:t>
      </w:r>
    </w:p>
    <w:p w14:paraId="572181B2" w14:textId="7A858457" w:rsidR="00994BB5" w:rsidRPr="000D7307" w:rsidRDefault="00EA75F7" w:rsidP="00D558F8">
      <w:pPr>
        <w:pStyle w:val="ListParagraph"/>
        <w:numPr>
          <w:ilvl w:val="0"/>
          <w:numId w:val="2"/>
        </w:numPr>
        <w:spacing w:after="60" w:line="240" w:lineRule="auto"/>
        <w:contextualSpacing w:val="0"/>
        <w:rPr>
          <w:rFonts w:asciiTheme="majorHAnsi" w:hAnsiTheme="majorHAnsi"/>
          <w:sz w:val="24"/>
          <w:szCs w:val="24"/>
        </w:rPr>
      </w:pPr>
      <w:r>
        <w:rPr>
          <w:rFonts w:asciiTheme="majorHAnsi" w:hAnsiTheme="majorHAnsi"/>
          <w:sz w:val="24"/>
          <w:szCs w:val="24"/>
        </w:rPr>
        <w:t>A</w:t>
      </w:r>
      <w:r w:rsidR="00F17011" w:rsidRPr="000D7307">
        <w:rPr>
          <w:rFonts w:asciiTheme="majorHAnsi" w:hAnsiTheme="majorHAnsi"/>
          <w:sz w:val="24"/>
          <w:szCs w:val="24"/>
        </w:rPr>
        <w:t>ssess and describe the evidence base of promising strategies, key issues and challenges the strategies address, and contextual factors that could affect their effectiveness</w:t>
      </w:r>
    </w:p>
    <w:p w14:paraId="108792EF" w14:textId="6F32E514" w:rsidR="002A59FF" w:rsidRPr="000D7307" w:rsidRDefault="00EA75F7" w:rsidP="00D558F8">
      <w:pPr>
        <w:pStyle w:val="ListParagraph"/>
        <w:numPr>
          <w:ilvl w:val="0"/>
          <w:numId w:val="2"/>
        </w:numPr>
        <w:spacing w:line="240" w:lineRule="auto"/>
        <w:contextualSpacing w:val="0"/>
        <w:rPr>
          <w:rFonts w:asciiTheme="majorHAnsi" w:hAnsiTheme="majorHAnsi"/>
          <w:sz w:val="24"/>
          <w:szCs w:val="24"/>
        </w:rPr>
      </w:pPr>
      <w:r>
        <w:rPr>
          <w:rFonts w:asciiTheme="majorHAnsi" w:hAnsiTheme="majorHAnsi"/>
          <w:sz w:val="24"/>
          <w:szCs w:val="24"/>
        </w:rPr>
        <w:t>I</w:t>
      </w:r>
      <w:r w:rsidR="00E443A8" w:rsidRPr="000D7307">
        <w:rPr>
          <w:rFonts w:asciiTheme="majorHAnsi" w:hAnsiTheme="majorHAnsi"/>
          <w:sz w:val="24"/>
          <w:szCs w:val="24"/>
        </w:rPr>
        <w:t>dentify federal, state, and local opportunities</w:t>
      </w:r>
      <w:r w:rsidR="00F17011" w:rsidRPr="000D7307">
        <w:rPr>
          <w:rFonts w:asciiTheme="majorHAnsi" w:hAnsiTheme="majorHAnsi"/>
          <w:sz w:val="24"/>
          <w:szCs w:val="24"/>
        </w:rPr>
        <w:t xml:space="preserve"> that rural communities can leverage to improve services and outcomes for child</w:t>
      </w:r>
      <w:r w:rsidR="0080714A">
        <w:rPr>
          <w:rFonts w:asciiTheme="majorHAnsi" w:hAnsiTheme="majorHAnsi"/>
          <w:sz w:val="24"/>
          <w:szCs w:val="24"/>
        </w:rPr>
        <w:t>-</w:t>
      </w:r>
      <w:r w:rsidR="00F17011" w:rsidRPr="000D7307">
        <w:rPr>
          <w:rFonts w:asciiTheme="majorHAnsi" w:hAnsiTheme="majorHAnsi"/>
          <w:sz w:val="24"/>
          <w:szCs w:val="24"/>
        </w:rPr>
        <w:t>welfare-involved families with parental substance use</w:t>
      </w:r>
    </w:p>
    <w:p w14:paraId="7651FC51" w14:textId="31FBC9CB" w:rsidR="00100C05" w:rsidRDefault="00EC1D4F" w:rsidP="00853E64">
      <w:pPr>
        <w:pStyle w:val="BodyTextIndent"/>
        <w:spacing w:after="200" w:line="240" w:lineRule="auto"/>
        <w:ind w:left="360"/>
        <w:rPr>
          <w:sz w:val="24"/>
          <w:szCs w:val="24"/>
        </w:rPr>
      </w:pPr>
      <w:r>
        <w:rPr>
          <w:sz w:val="24"/>
          <w:szCs w:val="24"/>
        </w:rPr>
        <w:t>D</w:t>
      </w:r>
      <w:r w:rsidR="002874F1" w:rsidRPr="000D7307">
        <w:rPr>
          <w:sz w:val="24"/>
          <w:szCs w:val="24"/>
        </w:rPr>
        <w:t>ata collect</w:t>
      </w:r>
      <w:r>
        <w:rPr>
          <w:sz w:val="24"/>
          <w:szCs w:val="24"/>
        </w:rPr>
        <w:t>ed through the key informant and site visit interviews</w:t>
      </w:r>
      <w:r w:rsidR="002874F1" w:rsidRPr="000D7307">
        <w:rPr>
          <w:sz w:val="24"/>
          <w:szCs w:val="24"/>
        </w:rPr>
        <w:t xml:space="preserve"> </w:t>
      </w:r>
      <w:r w:rsidR="00261440">
        <w:rPr>
          <w:sz w:val="24"/>
          <w:szCs w:val="24"/>
        </w:rPr>
        <w:t>are</w:t>
      </w:r>
      <w:r w:rsidR="00F3314E" w:rsidRPr="000D7307">
        <w:rPr>
          <w:sz w:val="24"/>
          <w:szCs w:val="24"/>
        </w:rPr>
        <w:t xml:space="preserve"> needed </w:t>
      </w:r>
      <w:r w:rsidR="000D7307" w:rsidRPr="000D7307">
        <w:rPr>
          <w:sz w:val="24"/>
          <w:szCs w:val="24"/>
        </w:rPr>
        <w:t xml:space="preserve">to </w:t>
      </w:r>
      <w:r w:rsidR="00261440">
        <w:rPr>
          <w:sz w:val="24"/>
          <w:szCs w:val="24"/>
        </w:rPr>
        <w:t>supple</w:t>
      </w:r>
      <w:r w:rsidR="000D7307" w:rsidRPr="000D7307">
        <w:rPr>
          <w:sz w:val="24"/>
          <w:szCs w:val="24"/>
        </w:rPr>
        <w:t xml:space="preserve">ment information obtained </w:t>
      </w:r>
      <w:r w:rsidR="002874F1" w:rsidRPr="000D7307">
        <w:rPr>
          <w:sz w:val="24"/>
          <w:szCs w:val="24"/>
        </w:rPr>
        <w:t xml:space="preserve">through </w:t>
      </w:r>
      <w:r w:rsidR="000D7307" w:rsidRPr="000D7307">
        <w:rPr>
          <w:sz w:val="24"/>
          <w:szCs w:val="24"/>
        </w:rPr>
        <w:t>an environmental scan and literature review</w:t>
      </w:r>
      <w:r w:rsidR="000D7307">
        <w:rPr>
          <w:sz w:val="24"/>
          <w:szCs w:val="24"/>
        </w:rPr>
        <w:t xml:space="preserve">. Without </w:t>
      </w:r>
      <w:r>
        <w:rPr>
          <w:sz w:val="24"/>
          <w:szCs w:val="24"/>
        </w:rPr>
        <w:t>collecting th</w:t>
      </w:r>
      <w:r w:rsidR="00FA3BC8">
        <w:rPr>
          <w:sz w:val="24"/>
          <w:szCs w:val="24"/>
        </w:rPr>
        <w:t>e</w:t>
      </w:r>
      <w:r>
        <w:rPr>
          <w:sz w:val="24"/>
          <w:szCs w:val="24"/>
        </w:rPr>
        <w:t>s</w:t>
      </w:r>
      <w:r w:rsidR="00FA3BC8">
        <w:rPr>
          <w:sz w:val="24"/>
          <w:szCs w:val="24"/>
        </w:rPr>
        <w:t>e</w:t>
      </w:r>
      <w:r>
        <w:rPr>
          <w:sz w:val="24"/>
          <w:szCs w:val="24"/>
        </w:rPr>
        <w:t xml:space="preserve"> data</w:t>
      </w:r>
      <w:r w:rsidR="000D7307">
        <w:rPr>
          <w:sz w:val="24"/>
          <w:szCs w:val="24"/>
        </w:rPr>
        <w:t>,</w:t>
      </w:r>
      <w:r w:rsidR="000D7307" w:rsidRPr="000D7307">
        <w:rPr>
          <w:sz w:val="24"/>
          <w:szCs w:val="24"/>
        </w:rPr>
        <w:t xml:space="preserve"> </w:t>
      </w:r>
      <w:r w:rsidR="002874F1" w:rsidRPr="000D7307">
        <w:rPr>
          <w:sz w:val="24"/>
          <w:szCs w:val="24"/>
        </w:rPr>
        <w:t xml:space="preserve">we will be </w:t>
      </w:r>
      <w:r w:rsidR="006676E7">
        <w:rPr>
          <w:sz w:val="24"/>
          <w:szCs w:val="24"/>
        </w:rPr>
        <w:t xml:space="preserve">limited in our ability to identify </w:t>
      </w:r>
      <w:r w:rsidR="00F974AB">
        <w:rPr>
          <w:sz w:val="24"/>
          <w:szCs w:val="24"/>
        </w:rPr>
        <w:t>and understand the nuances of implementing pro</w:t>
      </w:r>
      <w:r w:rsidR="006676E7">
        <w:rPr>
          <w:sz w:val="24"/>
          <w:szCs w:val="24"/>
        </w:rPr>
        <w:t xml:space="preserve">mising strategies. For example, some strategies hold promise but have limited evidence to demonstrate their effectiveness and thus might not appear in the peer-reviewed or gray literature. Other strategies have been implemented </w:t>
      </w:r>
      <w:r w:rsidR="00F974AB">
        <w:rPr>
          <w:sz w:val="24"/>
          <w:szCs w:val="24"/>
        </w:rPr>
        <w:t xml:space="preserve">successfully </w:t>
      </w:r>
      <w:r w:rsidR="006676E7">
        <w:rPr>
          <w:sz w:val="24"/>
          <w:szCs w:val="24"/>
        </w:rPr>
        <w:t xml:space="preserve">in settings </w:t>
      </w:r>
      <w:r w:rsidR="00F974AB">
        <w:rPr>
          <w:sz w:val="24"/>
          <w:szCs w:val="24"/>
        </w:rPr>
        <w:t xml:space="preserve">or with </w:t>
      </w:r>
      <w:r w:rsidR="006676E7">
        <w:rPr>
          <w:sz w:val="24"/>
          <w:szCs w:val="24"/>
        </w:rPr>
        <w:t>population</w:t>
      </w:r>
      <w:r w:rsidR="00F974AB">
        <w:rPr>
          <w:sz w:val="24"/>
          <w:szCs w:val="24"/>
        </w:rPr>
        <w:t>s</w:t>
      </w:r>
      <w:r w:rsidR="006676E7">
        <w:rPr>
          <w:sz w:val="24"/>
          <w:szCs w:val="24"/>
        </w:rPr>
        <w:t xml:space="preserve"> </w:t>
      </w:r>
      <w:r w:rsidR="00F974AB" w:rsidRPr="00F974AB">
        <w:rPr>
          <w:sz w:val="24"/>
          <w:szCs w:val="24"/>
        </w:rPr>
        <w:t xml:space="preserve">different </w:t>
      </w:r>
      <w:r w:rsidR="00F974AB">
        <w:rPr>
          <w:sz w:val="24"/>
          <w:szCs w:val="24"/>
        </w:rPr>
        <w:t xml:space="preserve">from those targeted </w:t>
      </w:r>
      <w:r w:rsidR="006676E7">
        <w:rPr>
          <w:sz w:val="24"/>
          <w:szCs w:val="24"/>
        </w:rPr>
        <w:t>for this study</w:t>
      </w:r>
      <w:r w:rsidR="002874F1" w:rsidRPr="000D7307">
        <w:rPr>
          <w:sz w:val="24"/>
          <w:szCs w:val="24"/>
        </w:rPr>
        <w:t xml:space="preserve">. </w:t>
      </w:r>
      <w:r w:rsidR="00066D97">
        <w:rPr>
          <w:sz w:val="24"/>
          <w:szCs w:val="24"/>
        </w:rPr>
        <w:t xml:space="preserve">Interview and site visit </w:t>
      </w:r>
      <w:r w:rsidR="006676E7">
        <w:rPr>
          <w:sz w:val="24"/>
          <w:szCs w:val="24"/>
        </w:rPr>
        <w:t xml:space="preserve">data from </w:t>
      </w:r>
      <w:r w:rsidR="00D63DF5">
        <w:rPr>
          <w:sz w:val="24"/>
          <w:szCs w:val="24"/>
        </w:rPr>
        <w:t>people</w:t>
      </w:r>
      <w:r w:rsidR="002874F1" w:rsidRPr="000D7307">
        <w:rPr>
          <w:sz w:val="24"/>
          <w:szCs w:val="24"/>
        </w:rPr>
        <w:t xml:space="preserve"> </w:t>
      </w:r>
      <w:r w:rsidR="006676E7">
        <w:rPr>
          <w:sz w:val="24"/>
          <w:szCs w:val="24"/>
        </w:rPr>
        <w:t xml:space="preserve">with </w:t>
      </w:r>
      <w:r w:rsidR="00332E9E" w:rsidRPr="000D7307">
        <w:rPr>
          <w:sz w:val="24"/>
          <w:szCs w:val="24"/>
        </w:rPr>
        <w:t xml:space="preserve">firsthand </w:t>
      </w:r>
      <w:r w:rsidR="00F974AB">
        <w:rPr>
          <w:sz w:val="24"/>
          <w:szCs w:val="24"/>
        </w:rPr>
        <w:t xml:space="preserve">knowledge </w:t>
      </w:r>
      <w:r w:rsidR="008F2148">
        <w:rPr>
          <w:sz w:val="24"/>
          <w:szCs w:val="24"/>
        </w:rPr>
        <w:t xml:space="preserve">of </w:t>
      </w:r>
      <w:r w:rsidR="00F974AB">
        <w:rPr>
          <w:sz w:val="24"/>
          <w:szCs w:val="24"/>
        </w:rPr>
        <w:t xml:space="preserve">and </w:t>
      </w:r>
      <w:r w:rsidR="00332E9E" w:rsidRPr="000D7307">
        <w:rPr>
          <w:sz w:val="24"/>
          <w:szCs w:val="24"/>
        </w:rPr>
        <w:t xml:space="preserve">experience </w:t>
      </w:r>
      <w:r w:rsidR="00F974AB">
        <w:rPr>
          <w:sz w:val="24"/>
          <w:szCs w:val="24"/>
        </w:rPr>
        <w:t xml:space="preserve">with </w:t>
      </w:r>
      <w:r w:rsidR="00332E9E" w:rsidRPr="000D7307">
        <w:rPr>
          <w:sz w:val="24"/>
          <w:szCs w:val="24"/>
        </w:rPr>
        <w:t>the promising strategies</w:t>
      </w:r>
      <w:r w:rsidR="00F974AB">
        <w:rPr>
          <w:sz w:val="24"/>
          <w:szCs w:val="24"/>
        </w:rPr>
        <w:t xml:space="preserve"> will provide insights </w:t>
      </w:r>
      <w:r w:rsidR="008F2148">
        <w:rPr>
          <w:sz w:val="24"/>
          <w:szCs w:val="24"/>
        </w:rPr>
        <w:t>into</w:t>
      </w:r>
      <w:r w:rsidR="00F974AB">
        <w:rPr>
          <w:sz w:val="24"/>
          <w:szCs w:val="24"/>
        </w:rPr>
        <w:t xml:space="preserve"> the contextual and </w:t>
      </w:r>
      <w:r w:rsidR="00F974AB" w:rsidRPr="00F974AB">
        <w:rPr>
          <w:sz w:val="24"/>
          <w:szCs w:val="24"/>
        </w:rPr>
        <w:t>implement</w:t>
      </w:r>
      <w:r w:rsidR="00F974AB">
        <w:rPr>
          <w:sz w:val="24"/>
          <w:szCs w:val="24"/>
        </w:rPr>
        <w:t xml:space="preserve">ation factors that may not </w:t>
      </w:r>
      <w:r w:rsidR="007563AD">
        <w:rPr>
          <w:sz w:val="24"/>
          <w:szCs w:val="24"/>
        </w:rPr>
        <w:t xml:space="preserve">be </w:t>
      </w:r>
      <w:r w:rsidR="00F974AB">
        <w:rPr>
          <w:sz w:val="24"/>
          <w:szCs w:val="24"/>
        </w:rPr>
        <w:t xml:space="preserve">described </w:t>
      </w:r>
      <w:r w:rsidR="00E276BD">
        <w:rPr>
          <w:sz w:val="24"/>
          <w:szCs w:val="24"/>
        </w:rPr>
        <w:t>in full</w:t>
      </w:r>
      <w:r w:rsidR="007563AD" w:rsidRPr="007563AD">
        <w:rPr>
          <w:sz w:val="24"/>
          <w:szCs w:val="24"/>
        </w:rPr>
        <w:t xml:space="preserve"> </w:t>
      </w:r>
      <w:r w:rsidR="008F2148">
        <w:rPr>
          <w:sz w:val="24"/>
          <w:szCs w:val="24"/>
        </w:rPr>
        <w:t xml:space="preserve">or </w:t>
      </w:r>
      <w:r w:rsidR="007563AD">
        <w:rPr>
          <w:sz w:val="24"/>
          <w:szCs w:val="24"/>
        </w:rPr>
        <w:t xml:space="preserve">in ways that would inform </w:t>
      </w:r>
      <w:r w:rsidR="00F974AB">
        <w:rPr>
          <w:sz w:val="24"/>
          <w:szCs w:val="24"/>
        </w:rPr>
        <w:t>adaptation for rural communities</w:t>
      </w:r>
      <w:r w:rsidR="00332E9E" w:rsidRPr="000D7307">
        <w:rPr>
          <w:sz w:val="24"/>
          <w:szCs w:val="24"/>
        </w:rPr>
        <w:t>.</w:t>
      </w:r>
    </w:p>
    <w:p w14:paraId="07015620" w14:textId="2E33749F" w:rsidR="00F52BCC" w:rsidRDefault="00AA6FBE" w:rsidP="00BA5516">
      <w:pPr>
        <w:pStyle w:val="BodyTextIndent"/>
        <w:spacing w:after="200" w:line="240" w:lineRule="auto"/>
        <w:ind w:left="360"/>
        <w:rPr>
          <w:sz w:val="24"/>
          <w:szCs w:val="24"/>
        </w:rPr>
      </w:pPr>
      <w:r>
        <w:rPr>
          <w:sz w:val="24"/>
          <w:szCs w:val="24"/>
        </w:rPr>
        <w:t xml:space="preserve">The environmental scan and literature review will provide background or preliminary information </w:t>
      </w:r>
      <w:r w:rsidR="00081838">
        <w:rPr>
          <w:sz w:val="24"/>
          <w:szCs w:val="24"/>
        </w:rPr>
        <w:t>on</w:t>
      </w:r>
      <w:r>
        <w:rPr>
          <w:sz w:val="24"/>
          <w:szCs w:val="24"/>
        </w:rPr>
        <w:t xml:space="preserve"> the four aims of the data co</w:t>
      </w:r>
      <w:r w:rsidR="00081838">
        <w:rPr>
          <w:sz w:val="24"/>
          <w:szCs w:val="24"/>
        </w:rPr>
        <w:t>llection described above.</w:t>
      </w:r>
      <w:r>
        <w:rPr>
          <w:sz w:val="24"/>
          <w:szCs w:val="24"/>
        </w:rPr>
        <w:t xml:space="preserve"> </w:t>
      </w:r>
      <w:r w:rsidR="00081838">
        <w:rPr>
          <w:sz w:val="24"/>
          <w:szCs w:val="24"/>
        </w:rPr>
        <w:t xml:space="preserve">However, the literature is unlikely to </w:t>
      </w:r>
      <w:r w:rsidR="00374560">
        <w:rPr>
          <w:sz w:val="24"/>
          <w:szCs w:val="24"/>
        </w:rPr>
        <w:t>provid</w:t>
      </w:r>
      <w:r w:rsidR="00081838">
        <w:rPr>
          <w:sz w:val="24"/>
          <w:szCs w:val="24"/>
        </w:rPr>
        <w:t xml:space="preserve">e </w:t>
      </w:r>
      <w:r w:rsidR="00336F5A">
        <w:rPr>
          <w:sz w:val="24"/>
          <w:szCs w:val="24"/>
        </w:rPr>
        <w:t xml:space="preserve">sufficient detail about promising strategies, such as </w:t>
      </w:r>
      <w:r w:rsidR="00081838">
        <w:rPr>
          <w:sz w:val="24"/>
          <w:szCs w:val="24"/>
        </w:rPr>
        <w:t xml:space="preserve">how rural communities adapt </w:t>
      </w:r>
      <w:r w:rsidR="00374560">
        <w:rPr>
          <w:sz w:val="24"/>
          <w:szCs w:val="24"/>
        </w:rPr>
        <w:t>them</w:t>
      </w:r>
      <w:r w:rsidR="00081838">
        <w:rPr>
          <w:sz w:val="24"/>
          <w:szCs w:val="24"/>
        </w:rPr>
        <w:t xml:space="preserve"> or </w:t>
      </w:r>
      <w:r w:rsidR="00336F5A">
        <w:rPr>
          <w:sz w:val="24"/>
          <w:szCs w:val="24"/>
        </w:rPr>
        <w:t xml:space="preserve">leverage federal, state, or local opportunities to implement </w:t>
      </w:r>
      <w:r w:rsidR="00374560">
        <w:rPr>
          <w:sz w:val="24"/>
          <w:szCs w:val="24"/>
        </w:rPr>
        <w:t>them.</w:t>
      </w:r>
      <w:r w:rsidR="00336F5A">
        <w:rPr>
          <w:sz w:val="24"/>
          <w:szCs w:val="24"/>
        </w:rPr>
        <w:t xml:space="preserve"> </w:t>
      </w:r>
      <w:r w:rsidR="00081838">
        <w:rPr>
          <w:sz w:val="24"/>
          <w:szCs w:val="24"/>
        </w:rPr>
        <w:t xml:space="preserve">Therefore, information from </w:t>
      </w:r>
      <w:r w:rsidR="00F91A98">
        <w:rPr>
          <w:sz w:val="24"/>
          <w:szCs w:val="24"/>
        </w:rPr>
        <w:t xml:space="preserve">the interviews </w:t>
      </w:r>
      <w:r w:rsidR="00081838">
        <w:rPr>
          <w:sz w:val="24"/>
          <w:szCs w:val="24"/>
        </w:rPr>
        <w:t xml:space="preserve">and site visits </w:t>
      </w:r>
      <w:r w:rsidR="00663EA1" w:rsidRPr="000D7307">
        <w:rPr>
          <w:sz w:val="24"/>
          <w:szCs w:val="24"/>
        </w:rPr>
        <w:t xml:space="preserve">will be </w:t>
      </w:r>
      <w:r w:rsidR="00081838">
        <w:rPr>
          <w:sz w:val="24"/>
          <w:szCs w:val="24"/>
        </w:rPr>
        <w:t>important to understand</w:t>
      </w:r>
      <w:r w:rsidR="008F31FD">
        <w:rPr>
          <w:sz w:val="24"/>
          <w:szCs w:val="24"/>
        </w:rPr>
        <w:t>ing</w:t>
      </w:r>
      <w:r w:rsidR="00081838">
        <w:rPr>
          <w:sz w:val="24"/>
          <w:szCs w:val="24"/>
        </w:rPr>
        <w:t xml:space="preserve"> how </w:t>
      </w:r>
      <w:r w:rsidR="007E791A">
        <w:rPr>
          <w:sz w:val="24"/>
          <w:szCs w:val="24"/>
        </w:rPr>
        <w:t xml:space="preserve">policies and </w:t>
      </w:r>
      <w:r w:rsidR="007563AD">
        <w:rPr>
          <w:sz w:val="24"/>
          <w:szCs w:val="24"/>
        </w:rPr>
        <w:t xml:space="preserve">practices in child welfare and substance use treatment </w:t>
      </w:r>
      <w:r w:rsidR="00AE475A">
        <w:rPr>
          <w:sz w:val="24"/>
          <w:szCs w:val="24"/>
        </w:rPr>
        <w:t xml:space="preserve">can help </w:t>
      </w:r>
      <w:r w:rsidR="007563AD">
        <w:rPr>
          <w:sz w:val="24"/>
          <w:szCs w:val="24"/>
        </w:rPr>
        <w:t xml:space="preserve">rural communities </w:t>
      </w:r>
      <w:r w:rsidR="00AE475A">
        <w:rPr>
          <w:sz w:val="24"/>
          <w:szCs w:val="24"/>
        </w:rPr>
        <w:t xml:space="preserve">address key challenges and make </w:t>
      </w:r>
      <w:r w:rsidR="00336F5A">
        <w:rPr>
          <w:sz w:val="24"/>
          <w:szCs w:val="24"/>
        </w:rPr>
        <w:t>use of federal,</w:t>
      </w:r>
      <w:r w:rsidR="007563AD">
        <w:rPr>
          <w:sz w:val="24"/>
          <w:szCs w:val="24"/>
        </w:rPr>
        <w:t xml:space="preserve"> </w:t>
      </w:r>
      <w:r w:rsidR="00663EA1" w:rsidRPr="000D7307">
        <w:rPr>
          <w:sz w:val="24"/>
          <w:szCs w:val="24"/>
        </w:rPr>
        <w:t>state</w:t>
      </w:r>
      <w:r w:rsidR="00336F5A">
        <w:rPr>
          <w:sz w:val="24"/>
          <w:szCs w:val="24"/>
        </w:rPr>
        <w:t>, and local</w:t>
      </w:r>
      <w:r w:rsidR="00663EA1" w:rsidRPr="000D7307">
        <w:rPr>
          <w:sz w:val="24"/>
          <w:szCs w:val="24"/>
        </w:rPr>
        <w:t xml:space="preserve"> </w:t>
      </w:r>
      <w:r w:rsidR="007563AD">
        <w:rPr>
          <w:sz w:val="24"/>
          <w:szCs w:val="24"/>
        </w:rPr>
        <w:t xml:space="preserve">opportunities to address the rise in substance </w:t>
      </w:r>
      <w:r w:rsidR="00663EA1" w:rsidRPr="000D7307">
        <w:rPr>
          <w:sz w:val="24"/>
          <w:szCs w:val="24"/>
        </w:rPr>
        <w:t xml:space="preserve">and </w:t>
      </w:r>
      <w:r w:rsidR="007563AD">
        <w:rPr>
          <w:sz w:val="24"/>
          <w:szCs w:val="24"/>
        </w:rPr>
        <w:t xml:space="preserve">opioid </w:t>
      </w:r>
      <w:r w:rsidR="00AD5E20">
        <w:rPr>
          <w:sz w:val="24"/>
          <w:szCs w:val="24"/>
        </w:rPr>
        <w:t>mis</w:t>
      </w:r>
      <w:r w:rsidR="007563AD">
        <w:rPr>
          <w:sz w:val="24"/>
          <w:szCs w:val="24"/>
        </w:rPr>
        <w:t xml:space="preserve">use. </w:t>
      </w:r>
      <w:r w:rsidR="00D53241">
        <w:rPr>
          <w:sz w:val="24"/>
          <w:szCs w:val="24"/>
        </w:rPr>
        <w:t>Although ASPE project staff will know the identities of the key informants</w:t>
      </w:r>
      <w:r w:rsidR="002B6BA1">
        <w:rPr>
          <w:sz w:val="24"/>
          <w:szCs w:val="24"/>
        </w:rPr>
        <w:t xml:space="preserve"> and the entities hosting the site visits</w:t>
      </w:r>
      <w:r w:rsidR="00D53241">
        <w:rPr>
          <w:sz w:val="24"/>
          <w:szCs w:val="24"/>
        </w:rPr>
        <w:t>, ASPE will not include names, titles, or other information</w:t>
      </w:r>
      <w:r w:rsidR="00BC2B87">
        <w:rPr>
          <w:sz w:val="24"/>
          <w:szCs w:val="24"/>
        </w:rPr>
        <w:t xml:space="preserve"> that will disclose the identities</w:t>
      </w:r>
      <w:r w:rsidR="00D53241">
        <w:rPr>
          <w:sz w:val="24"/>
          <w:szCs w:val="24"/>
        </w:rPr>
        <w:t xml:space="preserve"> of</w:t>
      </w:r>
      <w:r w:rsidR="00BC2B87">
        <w:rPr>
          <w:sz w:val="24"/>
          <w:szCs w:val="24"/>
        </w:rPr>
        <w:t xml:space="preserve"> </w:t>
      </w:r>
      <w:r w:rsidR="002B6BA1">
        <w:rPr>
          <w:sz w:val="24"/>
          <w:szCs w:val="24"/>
        </w:rPr>
        <w:t xml:space="preserve">the participants in </w:t>
      </w:r>
      <w:r w:rsidR="002B6BA1" w:rsidRPr="002B6BA1">
        <w:rPr>
          <w:sz w:val="24"/>
          <w:szCs w:val="24"/>
        </w:rPr>
        <w:t>any information from this study that</w:t>
      </w:r>
      <w:r w:rsidR="002B6BA1">
        <w:rPr>
          <w:sz w:val="24"/>
          <w:szCs w:val="24"/>
        </w:rPr>
        <w:t xml:space="preserve"> becomes</w:t>
      </w:r>
      <w:r w:rsidR="002B6BA1" w:rsidRPr="002B6BA1">
        <w:rPr>
          <w:rFonts w:asciiTheme="minorHAnsi" w:hAnsiTheme="minorHAnsi"/>
          <w:sz w:val="24"/>
          <w:szCs w:val="24"/>
        </w:rPr>
        <w:t xml:space="preserve"> </w:t>
      </w:r>
      <w:r w:rsidR="002B6BA1" w:rsidRPr="002B6BA1">
        <w:rPr>
          <w:sz w:val="24"/>
          <w:szCs w:val="24"/>
        </w:rPr>
        <w:t>publicly available</w:t>
      </w:r>
      <w:r w:rsidR="00BC2B87">
        <w:rPr>
          <w:sz w:val="24"/>
          <w:szCs w:val="24"/>
        </w:rPr>
        <w:t>.</w:t>
      </w:r>
      <w:r w:rsidR="009047A1">
        <w:rPr>
          <w:sz w:val="24"/>
          <w:szCs w:val="24"/>
        </w:rPr>
        <w:t xml:space="preserve"> </w:t>
      </w:r>
      <w:r w:rsidR="006D6F8A">
        <w:rPr>
          <w:sz w:val="24"/>
          <w:szCs w:val="24"/>
        </w:rPr>
        <w:t xml:space="preserve">Exhibit A2-2 outlines the data collection participants, activities, and methods associated with the </w:t>
      </w:r>
      <w:r w:rsidR="006D6F8A" w:rsidRPr="00475835">
        <w:rPr>
          <w:i/>
          <w:sz w:val="24"/>
          <w:szCs w:val="24"/>
        </w:rPr>
        <w:t>Rural Communities Substudy</w:t>
      </w:r>
      <w:r w:rsidR="006D6F8A">
        <w:rPr>
          <w:sz w:val="24"/>
          <w:szCs w:val="24"/>
        </w:rPr>
        <w:t>.</w:t>
      </w:r>
    </w:p>
    <w:p w14:paraId="5709D661" w14:textId="30CDBEDF" w:rsidR="002E653F" w:rsidRPr="00997B6D" w:rsidRDefault="002E653F" w:rsidP="002E653F">
      <w:pPr>
        <w:pStyle w:val="BodyTextIndent"/>
        <w:spacing w:after="120" w:line="240" w:lineRule="auto"/>
        <w:ind w:left="360"/>
        <w:jc w:val="center"/>
        <w:rPr>
          <w:rFonts w:cs="Times New Roman"/>
          <w:b/>
        </w:rPr>
      </w:pPr>
      <w:r w:rsidRPr="00997B6D">
        <w:rPr>
          <w:rFonts w:cs="Times New Roman"/>
          <w:b/>
        </w:rPr>
        <w:t xml:space="preserve">Exhibit A2-2. </w:t>
      </w:r>
      <w:r>
        <w:rPr>
          <w:rFonts w:cs="Times New Roman"/>
          <w:b/>
        </w:rPr>
        <w:t xml:space="preserve">RCS </w:t>
      </w:r>
      <w:r w:rsidRPr="00997B6D">
        <w:rPr>
          <w:rFonts w:cs="Times New Roman"/>
          <w:b/>
        </w:rPr>
        <w:t>Participants, Data Collection Activities, and Methods</w:t>
      </w:r>
      <w:r>
        <w:rPr>
          <w:rFonts w:cs="Times New Roman"/>
          <w:b/>
        </w:rPr>
        <w:t xml:space="preserve"> </w:t>
      </w:r>
    </w:p>
    <w:tbl>
      <w:tblPr>
        <w:tblStyle w:val="TableGrid"/>
        <w:tblW w:w="0" w:type="auto"/>
        <w:tblInd w:w="360" w:type="dxa"/>
        <w:tblLook w:val="04A0" w:firstRow="1" w:lastRow="0" w:firstColumn="1" w:lastColumn="0" w:noHBand="0" w:noVBand="1"/>
      </w:tblPr>
      <w:tblGrid>
        <w:gridCol w:w="4135"/>
        <w:gridCol w:w="4855"/>
      </w:tblGrid>
      <w:tr w:rsidR="002E653F" w:rsidRPr="00475835" w14:paraId="142E5C34" w14:textId="77777777" w:rsidTr="008E3992">
        <w:trPr>
          <w:trHeight w:val="138"/>
          <w:tblHeader/>
        </w:trPr>
        <w:tc>
          <w:tcPr>
            <w:tcW w:w="4135" w:type="dxa"/>
            <w:tcMar>
              <w:top w:w="14" w:type="dxa"/>
              <w:left w:w="72" w:type="dxa"/>
              <w:bottom w:w="14" w:type="dxa"/>
              <w:right w:w="58" w:type="dxa"/>
            </w:tcMar>
            <w:vAlign w:val="center"/>
          </w:tcPr>
          <w:p w14:paraId="2F721F48" w14:textId="77777777" w:rsidR="002E653F" w:rsidRPr="00475835" w:rsidRDefault="002E653F" w:rsidP="008E3992">
            <w:pPr>
              <w:pStyle w:val="BodyTextIndent"/>
              <w:ind w:left="0"/>
              <w:jc w:val="center"/>
              <w:rPr>
                <w:rFonts w:cs="Arial"/>
                <w:b/>
                <w:sz w:val="20"/>
                <w:szCs w:val="20"/>
              </w:rPr>
            </w:pPr>
            <w:r w:rsidRPr="00475835">
              <w:rPr>
                <w:rFonts w:cs="Arial"/>
                <w:b/>
                <w:sz w:val="20"/>
                <w:szCs w:val="20"/>
              </w:rPr>
              <w:t>Participants</w:t>
            </w:r>
          </w:p>
        </w:tc>
        <w:tc>
          <w:tcPr>
            <w:tcW w:w="4855" w:type="dxa"/>
            <w:tcMar>
              <w:top w:w="14" w:type="dxa"/>
              <w:left w:w="72" w:type="dxa"/>
              <w:bottom w:w="14" w:type="dxa"/>
              <w:right w:w="58" w:type="dxa"/>
            </w:tcMar>
            <w:vAlign w:val="center"/>
          </w:tcPr>
          <w:p w14:paraId="4826D10B" w14:textId="77777777" w:rsidR="002E653F" w:rsidRPr="00475835" w:rsidRDefault="002E653F" w:rsidP="008E3992">
            <w:pPr>
              <w:pStyle w:val="BodyTextIndent"/>
              <w:ind w:left="0"/>
              <w:jc w:val="center"/>
              <w:rPr>
                <w:rFonts w:cs="Arial"/>
                <w:b/>
                <w:sz w:val="20"/>
                <w:szCs w:val="20"/>
              </w:rPr>
            </w:pPr>
            <w:r w:rsidRPr="00475835">
              <w:rPr>
                <w:rFonts w:cs="Arial"/>
                <w:b/>
                <w:sz w:val="20"/>
                <w:szCs w:val="20"/>
              </w:rPr>
              <w:t>Data Collection Activities &amp; Methods</w:t>
            </w:r>
          </w:p>
        </w:tc>
      </w:tr>
      <w:tr w:rsidR="002E653F" w:rsidRPr="00475835" w14:paraId="6050FEC4" w14:textId="77777777" w:rsidTr="008E3992">
        <w:trPr>
          <w:trHeight w:val="273"/>
        </w:trPr>
        <w:tc>
          <w:tcPr>
            <w:tcW w:w="4135" w:type="dxa"/>
            <w:tcMar>
              <w:top w:w="14" w:type="dxa"/>
              <w:left w:w="72" w:type="dxa"/>
              <w:bottom w:w="14" w:type="dxa"/>
              <w:right w:w="58" w:type="dxa"/>
            </w:tcMar>
            <w:vAlign w:val="center"/>
          </w:tcPr>
          <w:p w14:paraId="5193FC20" w14:textId="77777777" w:rsidR="002E653F" w:rsidRPr="006D6F8A" w:rsidRDefault="002E653F" w:rsidP="008E3992">
            <w:pPr>
              <w:pStyle w:val="BodyTextIndent"/>
              <w:ind w:left="0"/>
              <w:rPr>
                <w:rFonts w:cs="Arial"/>
                <w:sz w:val="20"/>
                <w:szCs w:val="20"/>
              </w:rPr>
            </w:pPr>
            <w:r w:rsidRPr="006D6F8A">
              <w:rPr>
                <w:sz w:val="20"/>
                <w:szCs w:val="20"/>
              </w:rPr>
              <w:t>Substantive experts, evaluators, program directors, and developers</w:t>
            </w:r>
          </w:p>
        </w:tc>
        <w:tc>
          <w:tcPr>
            <w:tcW w:w="4855" w:type="dxa"/>
            <w:tcMar>
              <w:top w:w="14" w:type="dxa"/>
              <w:left w:w="72" w:type="dxa"/>
              <w:bottom w:w="14" w:type="dxa"/>
              <w:right w:w="58" w:type="dxa"/>
            </w:tcMar>
          </w:tcPr>
          <w:p w14:paraId="353C2B2C" w14:textId="77777777" w:rsidR="002E653F" w:rsidRPr="00475835" w:rsidRDefault="002E653F" w:rsidP="00D558F8">
            <w:pPr>
              <w:pStyle w:val="BodyTextIndent"/>
              <w:numPr>
                <w:ilvl w:val="0"/>
                <w:numId w:val="9"/>
              </w:numPr>
              <w:spacing w:after="20"/>
              <w:rPr>
                <w:rFonts w:cs="Arial"/>
                <w:sz w:val="20"/>
                <w:szCs w:val="20"/>
              </w:rPr>
            </w:pPr>
            <w:r w:rsidRPr="00475835">
              <w:rPr>
                <w:rFonts w:cs="Arial"/>
                <w:sz w:val="20"/>
                <w:szCs w:val="20"/>
              </w:rPr>
              <w:t xml:space="preserve">6 60-min </w:t>
            </w:r>
            <w:r>
              <w:rPr>
                <w:rFonts w:cs="Arial"/>
                <w:sz w:val="20"/>
                <w:szCs w:val="20"/>
              </w:rPr>
              <w:t xml:space="preserve">Wave 1 </w:t>
            </w:r>
            <w:r w:rsidRPr="00475835">
              <w:rPr>
                <w:rFonts w:cs="Arial"/>
                <w:sz w:val="20"/>
                <w:szCs w:val="20"/>
              </w:rPr>
              <w:t xml:space="preserve">KIIs conducted by telephone </w:t>
            </w:r>
            <w:r>
              <w:rPr>
                <w:rFonts w:cs="Arial"/>
                <w:sz w:val="20"/>
                <w:szCs w:val="20"/>
              </w:rPr>
              <w:t xml:space="preserve"> </w:t>
            </w:r>
            <w:r w:rsidRPr="00475835">
              <w:rPr>
                <w:rFonts w:cs="Arial"/>
                <w:sz w:val="20"/>
                <w:szCs w:val="20"/>
              </w:rPr>
              <w:t xml:space="preserve"> </w:t>
            </w:r>
          </w:p>
        </w:tc>
      </w:tr>
      <w:tr w:rsidR="002E653F" w:rsidRPr="00475835" w14:paraId="33F8E6DB" w14:textId="77777777" w:rsidTr="008E3992">
        <w:trPr>
          <w:trHeight w:val="228"/>
        </w:trPr>
        <w:tc>
          <w:tcPr>
            <w:tcW w:w="4135" w:type="dxa"/>
            <w:tcMar>
              <w:top w:w="14" w:type="dxa"/>
              <w:left w:w="72" w:type="dxa"/>
              <w:bottom w:w="14" w:type="dxa"/>
              <w:right w:w="58" w:type="dxa"/>
            </w:tcMar>
            <w:vAlign w:val="center"/>
          </w:tcPr>
          <w:p w14:paraId="1E4A7F7E" w14:textId="77777777" w:rsidR="002E653F" w:rsidRPr="00475835" w:rsidRDefault="002E653F" w:rsidP="008E3992">
            <w:pPr>
              <w:pStyle w:val="BodyTextIndent"/>
              <w:ind w:left="0"/>
              <w:rPr>
                <w:rFonts w:cs="Arial"/>
                <w:sz w:val="20"/>
                <w:szCs w:val="20"/>
              </w:rPr>
            </w:pPr>
            <w:r>
              <w:rPr>
                <w:rFonts w:cs="Arial"/>
                <w:sz w:val="20"/>
                <w:szCs w:val="20"/>
              </w:rPr>
              <w:t>Program directors and administrators</w:t>
            </w:r>
          </w:p>
        </w:tc>
        <w:tc>
          <w:tcPr>
            <w:tcW w:w="4855" w:type="dxa"/>
            <w:tcMar>
              <w:top w:w="14" w:type="dxa"/>
              <w:left w:w="72" w:type="dxa"/>
              <w:bottom w:w="14" w:type="dxa"/>
              <w:right w:w="58" w:type="dxa"/>
            </w:tcMar>
          </w:tcPr>
          <w:p w14:paraId="2B09D9E5" w14:textId="77777777" w:rsidR="002E653F" w:rsidRPr="00475835" w:rsidRDefault="002E653F" w:rsidP="00D558F8">
            <w:pPr>
              <w:pStyle w:val="BodyTextIndent"/>
              <w:numPr>
                <w:ilvl w:val="0"/>
                <w:numId w:val="9"/>
              </w:numPr>
              <w:spacing w:after="20"/>
              <w:rPr>
                <w:rFonts w:cs="Arial"/>
                <w:sz w:val="20"/>
                <w:szCs w:val="20"/>
              </w:rPr>
            </w:pPr>
            <w:r>
              <w:rPr>
                <w:rFonts w:cs="Arial"/>
                <w:sz w:val="20"/>
                <w:szCs w:val="20"/>
              </w:rPr>
              <w:t>6</w:t>
            </w:r>
            <w:r w:rsidRPr="00475835">
              <w:rPr>
                <w:rFonts w:cs="Arial"/>
                <w:sz w:val="20"/>
                <w:szCs w:val="20"/>
              </w:rPr>
              <w:t xml:space="preserve"> 60-min </w:t>
            </w:r>
            <w:r>
              <w:rPr>
                <w:rFonts w:cs="Arial"/>
                <w:sz w:val="20"/>
                <w:szCs w:val="20"/>
              </w:rPr>
              <w:t xml:space="preserve">Wave 2 </w:t>
            </w:r>
            <w:r w:rsidRPr="00475835">
              <w:rPr>
                <w:rFonts w:cs="Arial"/>
                <w:sz w:val="20"/>
                <w:szCs w:val="20"/>
              </w:rPr>
              <w:t xml:space="preserve">KIIs conducted by telephone </w:t>
            </w:r>
          </w:p>
        </w:tc>
      </w:tr>
      <w:tr w:rsidR="002E653F" w:rsidRPr="00475835" w14:paraId="747F37B3" w14:textId="77777777" w:rsidTr="008E3992">
        <w:trPr>
          <w:trHeight w:val="210"/>
        </w:trPr>
        <w:tc>
          <w:tcPr>
            <w:tcW w:w="4135" w:type="dxa"/>
            <w:tcMar>
              <w:top w:w="14" w:type="dxa"/>
              <w:left w:w="72" w:type="dxa"/>
              <w:bottom w:w="14" w:type="dxa"/>
              <w:right w:w="58" w:type="dxa"/>
            </w:tcMar>
            <w:vAlign w:val="center"/>
          </w:tcPr>
          <w:p w14:paraId="6EBD3007" w14:textId="77777777" w:rsidR="002E653F" w:rsidRPr="00475835" w:rsidRDefault="002E653F" w:rsidP="008E3992">
            <w:pPr>
              <w:pStyle w:val="BodyTextIndent"/>
              <w:ind w:left="0"/>
              <w:rPr>
                <w:rFonts w:cs="Arial"/>
                <w:sz w:val="20"/>
                <w:szCs w:val="20"/>
              </w:rPr>
            </w:pPr>
            <w:r>
              <w:rPr>
                <w:rFonts w:cs="Arial"/>
                <w:sz w:val="20"/>
                <w:szCs w:val="20"/>
              </w:rPr>
              <w:t>Practitioners, program administrators, partners, and other related organization staff</w:t>
            </w:r>
          </w:p>
        </w:tc>
        <w:tc>
          <w:tcPr>
            <w:tcW w:w="4855" w:type="dxa"/>
            <w:tcMar>
              <w:top w:w="14" w:type="dxa"/>
              <w:left w:w="72" w:type="dxa"/>
              <w:bottom w:w="14" w:type="dxa"/>
              <w:right w:w="58" w:type="dxa"/>
            </w:tcMar>
          </w:tcPr>
          <w:p w14:paraId="6AE87FE4" w14:textId="52D0D248" w:rsidR="002E653F" w:rsidRPr="00475835" w:rsidRDefault="002E653F" w:rsidP="008B4C07">
            <w:pPr>
              <w:pStyle w:val="BodyTextIndent"/>
              <w:numPr>
                <w:ilvl w:val="0"/>
                <w:numId w:val="9"/>
              </w:numPr>
              <w:spacing w:after="20"/>
              <w:rPr>
                <w:rFonts w:cs="Arial"/>
                <w:sz w:val="20"/>
                <w:szCs w:val="20"/>
              </w:rPr>
            </w:pPr>
            <w:r>
              <w:rPr>
                <w:rFonts w:cs="Arial"/>
                <w:sz w:val="20"/>
                <w:szCs w:val="20"/>
              </w:rPr>
              <w:t>3-5</w:t>
            </w:r>
            <w:r w:rsidRPr="00475835">
              <w:rPr>
                <w:rFonts w:cs="Arial"/>
                <w:sz w:val="20"/>
                <w:szCs w:val="20"/>
              </w:rPr>
              <w:t xml:space="preserve"> </w:t>
            </w:r>
            <w:r>
              <w:rPr>
                <w:rFonts w:cs="Arial"/>
                <w:sz w:val="20"/>
                <w:szCs w:val="20"/>
              </w:rPr>
              <w:t xml:space="preserve">90-min </w:t>
            </w:r>
            <w:r w:rsidR="008B4C07">
              <w:rPr>
                <w:rFonts w:cs="Arial"/>
                <w:sz w:val="20"/>
                <w:szCs w:val="20"/>
              </w:rPr>
              <w:t xml:space="preserve">interviews </w:t>
            </w:r>
            <w:r>
              <w:rPr>
                <w:rFonts w:cs="Arial"/>
                <w:sz w:val="20"/>
                <w:szCs w:val="20"/>
              </w:rPr>
              <w:t xml:space="preserve">with 1-4 individuals </w:t>
            </w:r>
            <w:r w:rsidRPr="00475835">
              <w:rPr>
                <w:rFonts w:cs="Arial"/>
                <w:sz w:val="20"/>
                <w:szCs w:val="20"/>
              </w:rPr>
              <w:t xml:space="preserve">conducted in-person </w:t>
            </w:r>
            <w:r>
              <w:rPr>
                <w:rFonts w:cs="Arial"/>
                <w:sz w:val="20"/>
                <w:szCs w:val="20"/>
              </w:rPr>
              <w:t xml:space="preserve">during </w:t>
            </w:r>
            <w:r w:rsidR="00EA75F7">
              <w:rPr>
                <w:rFonts w:cs="Arial"/>
                <w:sz w:val="20"/>
                <w:szCs w:val="20"/>
              </w:rPr>
              <w:t xml:space="preserve">each </w:t>
            </w:r>
            <w:r w:rsidR="00AF56DB">
              <w:rPr>
                <w:rFonts w:cs="Arial"/>
                <w:sz w:val="20"/>
                <w:szCs w:val="20"/>
              </w:rPr>
              <w:t xml:space="preserve">of 6 </w:t>
            </w:r>
            <w:r w:rsidR="00EA75F7">
              <w:rPr>
                <w:rFonts w:cs="Arial"/>
                <w:sz w:val="20"/>
                <w:szCs w:val="20"/>
              </w:rPr>
              <w:t>site visit</w:t>
            </w:r>
            <w:r w:rsidR="00AF56DB">
              <w:rPr>
                <w:rFonts w:cs="Arial"/>
                <w:sz w:val="20"/>
                <w:szCs w:val="20"/>
              </w:rPr>
              <w:t>s</w:t>
            </w:r>
            <w:r w:rsidRPr="00475835">
              <w:rPr>
                <w:rFonts w:cs="Arial"/>
                <w:sz w:val="20"/>
                <w:szCs w:val="20"/>
              </w:rPr>
              <w:t xml:space="preserve"> </w:t>
            </w:r>
          </w:p>
        </w:tc>
      </w:tr>
    </w:tbl>
    <w:p w14:paraId="2C4EC021" w14:textId="77777777" w:rsidR="00BB6631" w:rsidRPr="00997B6D" w:rsidRDefault="00BB6631" w:rsidP="00BB6631">
      <w:pPr>
        <w:pStyle w:val="BodyTextIndent"/>
        <w:spacing w:before="240" w:after="120" w:line="240" w:lineRule="auto"/>
        <w:ind w:left="360"/>
        <w:rPr>
          <w:b/>
          <w:sz w:val="24"/>
          <w:szCs w:val="24"/>
        </w:rPr>
      </w:pPr>
      <w:r w:rsidRPr="00997B6D">
        <w:rPr>
          <w:b/>
          <w:sz w:val="24"/>
          <w:szCs w:val="24"/>
        </w:rPr>
        <w:t xml:space="preserve">Study Component 2 (CDC): </w:t>
      </w:r>
      <w:r w:rsidRPr="003801E6">
        <w:rPr>
          <w:b/>
          <w:i/>
          <w:sz w:val="24"/>
          <w:szCs w:val="24"/>
        </w:rPr>
        <w:t>Community Burden Substudy</w:t>
      </w:r>
    </w:p>
    <w:p w14:paraId="66194CA2" w14:textId="5FE88329" w:rsidR="00423918" w:rsidRPr="00423918" w:rsidRDefault="00BB6631" w:rsidP="00BB6631">
      <w:pPr>
        <w:pStyle w:val="BodyTextIndent"/>
        <w:spacing w:after="200" w:line="240" w:lineRule="auto"/>
        <w:ind w:left="360"/>
        <w:rPr>
          <w:sz w:val="24"/>
          <w:szCs w:val="24"/>
        </w:rPr>
      </w:pPr>
      <w:r w:rsidRPr="00997B6D">
        <w:rPr>
          <w:sz w:val="24"/>
          <w:szCs w:val="24"/>
        </w:rPr>
        <w:t xml:space="preserve">The purpose of the CDC </w:t>
      </w:r>
      <w:r w:rsidRPr="003801E6">
        <w:rPr>
          <w:i/>
          <w:sz w:val="24"/>
          <w:szCs w:val="24"/>
        </w:rPr>
        <w:t>Community Burden Substudy</w:t>
      </w:r>
      <w:r w:rsidRPr="00997B6D">
        <w:rPr>
          <w:sz w:val="24"/>
          <w:szCs w:val="24"/>
        </w:rPr>
        <w:t xml:space="preserve"> is to</w:t>
      </w:r>
      <w:r w:rsidR="00792415">
        <w:rPr>
          <w:sz w:val="24"/>
          <w:szCs w:val="24"/>
        </w:rPr>
        <w:t xml:space="preserve"> conduct a formative study to identify opportunities for injury and violence prevention among </w:t>
      </w:r>
      <w:r w:rsidR="00E6310A">
        <w:rPr>
          <w:sz w:val="24"/>
          <w:szCs w:val="24"/>
        </w:rPr>
        <w:t>children, youth and families</w:t>
      </w:r>
      <w:r w:rsidR="00D84865">
        <w:rPr>
          <w:sz w:val="24"/>
          <w:szCs w:val="24"/>
        </w:rPr>
        <w:t xml:space="preserve"> and</w:t>
      </w:r>
      <w:r w:rsidR="00A76677">
        <w:rPr>
          <w:sz w:val="24"/>
          <w:szCs w:val="24"/>
        </w:rPr>
        <w:t xml:space="preserve"> </w:t>
      </w:r>
      <w:r w:rsidR="00D84865">
        <w:rPr>
          <w:sz w:val="24"/>
          <w:szCs w:val="24"/>
        </w:rPr>
        <w:t xml:space="preserve">the </w:t>
      </w:r>
      <w:r w:rsidR="00792415">
        <w:rPr>
          <w:sz w:val="24"/>
          <w:szCs w:val="24"/>
        </w:rPr>
        <w:t xml:space="preserve">health and human service systems that </w:t>
      </w:r>
      <w:r w:rsidR="00E6310A">
        <w:rPr>
          <w:sz w:val="24"/>
          <w:szCs w:val="24"/>
        </w:rPr>
        <w:t>serve them</w:t>
      </w:r>
      <w:r w:rsidR="00792415">
        <w:rPr>
          <w:sz w:val="24"/>
          <w:szCs w:val="24"/>
        </w:rPr>
        <w:t xml:space="preserve">.  </w:t>
      </w:r>
      <w:r w:rsidR="00792415" w:rsidRPr="00792415">
        <w:rPr>
          <w:sz w:val="24"/>
          <w:szCs w:val="24"/>
        </w:rPr>
        <w:t xml:space="preserve">Substance misuse </w:t>
      </w:r>
      <w:r w:rsidR="00792415">
        <w:rPr>
          <w:sz w:val="24"/>
          <w:szCs w:val="24"/>
        </w:rPr>
        <w:t>may limit</w:t>
      </w:r>
      <w:r w:rsidR="00792415" w:rsidRPr="00792415">
        <w:rPr>
          <w:sz w:val="24"/>
          <w:szCs w:val="24"/>
        </w:rPr>
        <w:t xml:space="preserve"> parents’ capacity to provide sensitive, responsive, and consistent care</w:t>
      </w:r>
      <w:r w:rsidR="00E6310A">
        <w:rPr>
          <w:sz w:val="24"/>
          <w:szCs w:val="24"/>
        </w:rPr>
        <w:t xml:space="preserve"> and may lead to adverse childhood experiences (ACEs)</w:t>
      </w:r>
      <w:r w:rsidR="00792415" w:rsidRPr="00792415">
        <w:rPr>
          <w:sz w:val="24"/>
          <w:szCs w:val="24"/>
        </w:rPr>
        <w:t xml:space="preserve">. </w:t>
      </w:r>
      <w:r w:rsidR="007927A0">
        <w:rPr>
          <w:sz w:val="24"/>
          <w:szCs w:val="24"/>
        </w:rPr>
        <w:t>For instance, the</w:t>
      </w:r>
      <w:r w:rsidR="00792415" w:rsidRPr="00792415">
        <w:rPr>
          <w:sz w:val="24"/>
          <w:szCs w:val="24"/>
        </w:rPr>
        <w:t xml:space="preserve"> misuse of opioids</w:t>
      </w:r>
      <w:r w:rsidR="00423918">
        <w:rPr>
          <w:sz w:val="24"/>
          <w:szCs w:val="24"/>
        </w:rPr>
        <w:t xml:space="preserve"> and other substances</w:t>
      </w:r>
      <w:r w:rsidR="00792415" w:rsidRPr="00792415">
        <w:rPr>
          <w:sz w:val="24"/>
          <w:szCs w:val="24"/>
        </w:rPr>
        <w:t xml:space="preserve"> </w:t>
      </w:r>
      <w:r w:rsidR="00423918">
        <w:rPr>
          <w:sz w:val="24"/>
          <w:szCs w:val="24"/>
        </w:rPr>
        <w:t>might</w:t>
      </w:r>
      <w:r w:rsidR="00792415" w:rsidRPr="00792415">
        <w:rPr>
          <w:sz w:val="24"/>
          <w:szCs w:val="24"/>
        </w:rPr>
        <w:t xml:space="preserve"> </w:t>
      </w:r>
      <w:r w:rsidR="00423918">
        <w:rPr>
          <w:sz w:val="24"/>
          <w:szCs w:val="24"/>
        </w:rPr>
        <w:t>lead</w:t>
      </w:r>
      <w:r w:rsidR="00792415" w:rsidRPr="00792415">
        <w:rPr>
          <w:sz w:val="24"/>
          <w:szCs w:val="24"/>
        </w:rPr>
        <w:t xml:space="preserve"> a parent to forget or neglect parenting responsibilities, limit their ability to provide adequate supervision, expose children to unsafe situations, and potentially engage in neglectful and/or abusive behavior toward children that can bring them to the attention of </w:t>
      </w:r>
      <w:r w:rsidR="00792415">
        <w:rPr>
          <w:sz w:val="24"/>
          <w:szCs w:val="24"/>
        </w:rPr>
        <w:t>Child Protective Services (</w:t>
      </w:r>
      <w:r w:rsidR="00792415" w:rsidRPr="00792415">
        <w:rPr>
          <w:sz w:val="24"/>
          <w:szCs w:val="24"/>
        </w:rPr>
        <w:t>CPS</w:t>
      </w:r>
      <w:r w:rsidR="00792415">
        <w:rPr>
          <w:sz w:val="24"/>
          <w:szCs w:val="24"/>
        </w:rPr>
        <w:t>)</w:t>
      </w:r>
      <w:r w:rsidR="00792415" w:rsidRPr="00792415">
        <w:rPr>
          <w:sz w:val="24"/>
          <w:szCs w:val="24"/>
        </w:rPr>
        <w:t xml:space="preserve">. </w:t>
      </w:r>
      <w:r w:rsidR="00423918">
        <w:rPr>
          <w:sz w:val="24"/>
          <w:szCs w:val="24"/>
        </w:rPr>
        <w:t xml:space="preserve">Given the widespread nature of the opioid epidemic, the CDC is interested in understanding whether there are community factors (e.g., systems and supports) that might prevent ACEs and parental substance misuse. The </w:t>
      </w:r>
      <w:r w:rsidR="00423918">
        <w:rPr>
          <w:i/>
          <w:sz w:val="24"/>
          <w:szCs w:val="24"/>
        </w:rPr>
        <w:t xml:space="preserve">Community Burden Substudy </w:t>
      </w:r>
      <w:r w:rsidR="00423918">
        <w:rPr>
          <w:sz w:val="24"/>
          <w:szCs w:val="24"/>
        </w:rPr>
        <w:t>sampling plan is designed to sample from communities with high and low burdens of opioid misuse and CPS reports.</w:t>
      </w:r>
    </w:p>
    <w:p w14:paraId="642D8681" w14:textId="79FED9A6" w:rsidR="00BB6631" w:rsidRPr="00997B6D" w:rsidRDefault="00792415" w:rsidP="00BB6631">
      <w:pPr>
        <w:pStyle w:val="BodyTextIndent"/>
        <w:spacing w:after="200" w:line="240" w:lineRule="auto"/>
        <w:ind w:left="360"/>
        <w:rPr>
          <w:sz w:val="24"/>
          <w:szCs w:val="24"/>
        </w:rPr>
      </w:pPr>
      <w:r>
        <w:rPr>
          <w:sz w:val="24"/>
          <w:szCs w:val="24"/>
        </w:rPr>
        <w:t xml:space="preserve">Since there has been limited research to date on this issue, the information that we learn from this study </w:t>
      </w:r>
      <w:r w:rsidR="00D84865">
        <w:rPr>
          <w:sz w:val="24"/>
          <w:szCs w:val="24"/>
        </w:rPr>
        <w:t xml:space="preserve">may help support the development of primary and secondary prevention strategies that have the potential to disrupt the pathways between substance misuse </w:t>
      </w:r>
      <w:r w:rsidR="00A76677">
        <w:rPr>
          <w:sz w:val="24"/>
          <w:szCs w:val="24"/>
        </w:rPr>
        <w:t xml:space="preserve">and </w:t>
      </w:r>
      <w:r w:rsidR="00A76677" w:rsidRPr="00A76677">
        <w:rPr>
          <w:sz w:val="24"/>
          <w:szCs w:val="24"/>
        </w:rPr>
        <w:t>ACEs to improve safety, stability, and permanency outcomes for children</w:t>
      </w:r>
      <w:r w:rsidR="00A76677">
        <w:rPr>
          <w:sz w:val="24"/>
          <w:szCs w:val="24"/>
        </w:rPr>
        <w:t xml:space="preserve">.  Since the previous </w:t>
      </w:r>
      <w:r w:rsidR="007927A0">
        <w:rPr>
          <w:sz w:val="24"/>
          <w:szCs w:val="24"/>
        </w:rPr>
        <w:t xml:space="preserve">ASPE </w:t>
      </w:r>
      <w:r w:rsidR="00A76677">
        <w:rPr>
          <w:sz w:val="24"/>
          <w:szCs w:val="24"/>
        </w:rPr>
        <w:t xml:space="preserve">study did not speak with parents and caregivers, this important perspective will allow CDC to better understand the needs of this important group </w:t>
      </w:r>
      <w:r w:rsidR="00692C49">
        <w:rPr>
          <w:sz w:val="24"/>
          <w:szCs w:val="24"/>
        </w:rPr>
        <w:t xml:space="preserve">and develop more targeted and relevant approaches.  Specific goals of the study include the following: </w:t>
      </w:r>
    </w:p>
    <w:p w14:paraId="418DFEDF" w14:textId="2CF3FF2B" w:rsidR="00BB6631" w:rsidRPr="00997B6D" w:rsidRDefault="00BB6631" w:rsidP="00D558F8">
      <w:pPr>
        <w:pStyle w:val="BodyTextIndent"/>
        <w:numPr>
          <w:ilvl w:val="0"/>
          <w:numId w:val="8"/>
        </w:numPr>
        <w:spacing w:after="60" w:line="240" w:lineRule="auto"/>
        <w:ind w:left="1080"/>
        <w:rPr>
          <w:sz w:val="24"/>
          <w:szCs w:val="24"/>
        </w:rPr>
      </w:pPr>
      <w:r w:rsidRPr="00997B6D">
        <w:rPr>
          <w:sz w:val="24"/>
          <w:szCs w:val="24"/>
        </w:rPr>
        <w:t>Identify services, supports, resources, and partnerships present in low</w:t>
      </w:r>
      <w:r w:rsidR="00780B4F">
        <w:rPr>
          <w:sz w:val="24"/>
          <w:szCs w:val="24"/>
        </w:rPr>
        <w:t xml:space="preserve"> and mixed</w:t>
      </w:r>
      <w:r w:rsidRPr="00997B6D">
        <w:rPr>
          <w:sz w:val="24"/>
          <w:szCs w:val="24"/>
        </w:rPr>
        <w:t xml:space="preserve"> burden counties that may protect against substance misuse and/or children’s exposure to violence and</w:t>
      </w:r>
      <w:r w:rsidR="009D5FA2">
        <w:rPr>
          <w:sz w:val="24"/>
          <w:szCs w:val="24"/>
        </w:rPr>
        <w:t xml:space="preserve"> other</w:t>
      </w:r>
      <w:r w:rsidRPr="00997B6D">
        <w:rPr>
          <w:sz w:val="24"/>
          <w:szCs w:val="24"/>
        </w:rPr>
        <w:t xml:space="preserve"> ACEs and determine how these compare to the characteristics of higher burden counties;</w:t>
      </w:r>
    </w:p>
    <w:p w14:paraId="7F777C16" w14:textId="143AE016" w:rsidR="00BB6631" w:rsidRPr="00997B6D" w:rsidRDefault="00BB6631" w:rsidP="00D558F8">
      <w:pPr>
        <w:pStyle w:val="Brandedtblcel"/>
        <w:numPr>
          <w:ilvl w:val="0"/>
          <w:numId w:val="8"/>
        </w:numPr>
        <w:spacing w:after="60"/>
        <w:ind w:left="1080"/>
        <w:rPr>
          <w:rFonts w:asciiTheme="majorHAnsi" w:hAnsiTheme="majorHAnsi" w:cs="Times New Roman"/>
          <w:sz w:val="24"/>
          <w:szCs w:val="24"/>
        </w:rPr>
      </w:pPr>
      <w:r w:rsidRPr="00997B6D">
        <w:rPr>
          <w:rFonts w:asciiTheme="majorHAnsi" w:hAnsiTheme="majorHAnsi" w:cs="Times New Roman"/>
          <w:sz w:val="24"/>
          <w:szCs w:val="24"/>
        </w:rPr>
        <w:t>Identify existing primary prevention strategies for opioid/substance misuse in low</w:t>
      </w:r>
      <w:r w:rsidR="00780B4F">
        <w:rPr>
          <w:rFonts w:asciiTheme="majorHAnsi" w:hAnsiTheme="majorHAnsi" w:cs="Times New Roman"/>
          <w:sz w:val="24"/>
          <w:szCs w:val="24"/>
        </w:rPr>
        <w:t xml:space="preserve"> and mixed</w:t>
      </w:r>
      <w:r w:rsidRPr="00997B6D">
        <w:rPr>
          <w:rFonts w:asciiTheme="majorHAnsi" w:hAnsiTheme="majorHAnsi" w:cs="Times New Roman"/>
          <w:sz w:val="24"/>
          <w:szCs w:val="24"/>
        </w:rPr>
        <w:t xml:space="preserve"> burden counties and determine how these compare</w:t>
      </w:r>
      <w:r w:rsidR="009D5FA2">
        <w:rPr>
          <w:rFonts w:asciiTheme="majorHAnsi" w:hAnsiTheme="majorHAnsi" w:cs="Times New Roman"/>
          <w:sz w:val="24"/>
          <w:szCs w:val="24"/>
        </w:rPr>
        <w:t xml:space="preserve"> to</w:t>
      </w:r>
      <w:r w:rsidRPr="00997B6D">
        <w:rPr>
          <w:rFonts w:asciiTheme="majorHAnsi" w:hAnsiTheme="majorHAnsi" w:cs="Times New Roman"/>
          <w:sz w:val="24"/>
          <w:szCs w:val="24"/>
        </w:rPr>
        <w:t xml:space="preserve">/differ </w:t>
      </w:r>
      <w:r w:rsidR="009D5FA2">
        <w:rPr>
          <w:rFonts w:asciiTheme="majorHAnsi" w:hAnsiTheme="majorHAnsi" w:cs="Times New Roman"/>
          <w:sz w:val="24"/>
          <w:szCs w:val="24"/>
        </w:rPr>
        <w:t>from</w:t>
      </w:r>
      <w:r w:rsidRPr="00997B6D">
        <w:rPr>
          <w:rFonts w:asciiTheme="majorHAnsi" w:hAnsiTheme="majorHAnsi" w:cs="Times New Roman"/>
          <w:sz w:val="24"/>
          <w:szCs w:val="24"/>
        </w:rPr>
        <w:t xml:space="preserve"> the strategies present in higher burden counties;</w:t>
      </w:r>
    </w:p>
    <w:p w14:paraId="25E05859" w14:textId="77777777" w:rsidR="00BB6631" w:rsidRPr="00997B6D" w:rsidRDefault="00BB6631" w:rsidP="00D558F8">
      <w:pPr>
        <w:pStyle w:val="Brandedtblcel"/>
        <w:numPr>
          <w:ilvl w:val="0"/>
          <w:numId w:val="8"/>
        </w:numPr>
        <w:spacing w:after="60"/>
        <w:ind w:left="1080"/>
        <w:rPr>
          <w:rFonts w:asciiTheme="majorHAnsi" w:hAnsiTheme="majorHAnsi" w:cs="Times New Roman"/>
          <w:sz w:val="24"/>
          <w:szCs w:val="24"/>
        </w:rPr>
      </w:pPr>
      <w:r w:rsidRPr="00997B6D">
        <w:rPr>
          <w:rFonts w:asciiTheme="majorHAnsi" w:hAnsiTheme="majorHAnsi" w:cs="Times New Roman"/>
          <w:sz w:val="24"/>
          <w:szCs w:val="24"/>
        </w:rPr>
        <w:t>Determine the varying trajectories into opioid misuse that place children at risk for exposure to violence and other ACEs and potential opportunities for prevention; and</w:t>
      </w:r>
    </w:p>
    <w:p w14:paraId="2AAA07A7" w14:textId="77777777" w:rsidR="00BB6631" w:rsidRPr="00997B6D" w:rsidRDefault="00BB6631" w:rsidP="00D558F8">
      <w:pPr>
        <w:pStyle w:val="BodyTextIndent"/>
        <w:numPr>
          <w:ilvl w:val="0"/>
          <w:numId w:val="8"/>
        </w:numPr>
        <w:spacing w:after="200" w:line="240" w:lineRule="auto"/>
        <w:ind w:left="1080"/>
        <w:rPr>
          <w:sz w:val="24"/>
          <w:szCs w:val="24"/>
        </w:rPr>
      </w:pPr>
      <w:r w:rsidRPr="00997B6D">
        <w:rPr>
          <w:rFonts w:cs="Times New Roman"/>
          <w:sz w:val="24"/>
          <w:szCs w:val="24"/>
        </w:rPr>
        <w:t>Determine how experiences related to stigma around seeking help and the availability and accessibility of services differ for children, youth, and families in counties with varying burdens.</w:t>
      </w:r>
    </w:p>
    <w:p w14:paraId="57F469C8" w14:textId="6FD62473" w:rsidR="00BB6631" w:rsidRPr="00997B6D" w:rsidRDefault="00BB6631" w:rsidP="00BB6631">
      <w:pPr>
        <w:pStyle w:val="BodyTextIndent"/>
        <w:spacing w:after="200" w:line="240" w:lineRule="auto"/>
        <w:ind w:left="360"/>
        <w:rPr>
          <w:rFonts w:ascii="Times New Roman" w:hAnsi="Times New Roman" w:cs="Times New Roman"/>
          <w:sz w:val="24"/>
          <w:szCs w:val="24"/>
        </w:rPr>
      </w:pPr>
      <w:r w:rsidRPr="00997B6D">
        <w:rPr>
          <w:rFonts w:cs="Times New Roman"/>
          <w:sz w:val="24"/>
          <w:szCs w:val="24"/>
        </w:rPr>
        <w:t xml:space="preserve">The </w:t>
      </w:r>
      <w:r>
        <w:rPr>
          <w:rFonts w:cs="Times New Roman"/>
          <w:sz w:val="24"/>
          <w:szCs w:val="24"/>
        </w:rPr>
        <w:t>CBS</w:t>
      </w:r>
      <w:r w:rsidRPr="00997B6D">
        <w:rPr>
          <w:rFonts w:cs="Times New Roman"/>
          <w:sz w:val="24"/>
          <w:szCs w:val="24"/>
        </w:rPr>
        <w:t xml:space="preserve"> team will conduct separate, weeklong site visits to six counties across three states to complete in-person KIIs and focus groups</w:t>
      </w:r>
      <w:r>
        <w:rPr>
          <w:rFonts w:cs="Times New Roman"/>
          <w:sz w:val="24"/>
          <w:szCs w:val="24"/>
        </w:rPr>
        <w:t xml:space="preserve">. See Exhibit </w:t>
      </w:r>
      <w:r w:rsidRPr="00997B6D">
        <w:rPr>
          <w:rFonts w:cs="Times New Roman"/>
          <w:sz w:val="24"/>
          <w:szCs w:val="24"/>
        </w:rPr>
        <w:t>A2-</w:t>
      </w:r>
      <w:r w:rsidR="00504E78">
        <w:rPr>
          <w:rFonts w:cs="Times New Roman"/>
          <w:sz w:val="24"/>
          <w:szCs w:val="24"/>
        </w:rPr>
        <w:t>3</w:t>
      </w:r>
      <w:r>
        <w:rPr>
          <w:rFonts w:cs="Times New Roman"/>
          <w:sz w:val="24"/>
          <w:szCs w:val="24"/>
        </w:rPr>
        <w:t xml:space="preserve"> for an overview of data collection participants, activities, and methods </w:t>
      </w:r>
      <w:r w:rsidR="002E2DCB">
        <w:rPr>
          <w:rFonts w:cs="Times New Roman"/>
          <w:sz w:val="24"/>
          <w:szCs w:val="24"/>
        </w:rPr>
        <w:t>for each</w:t>
      </w:r>
      <w:r>
        <w:rPr>
          <w:rFonts w:cs="Times New Roman"/>
          <w:sz w:val="24"/>
          <w:szCs w:val="24"/>
        </w:rPr>
        <w:t xml:space="preserve"> county.</w:t>
      </w:r>
      <w:r w:rsidRPr="00997B6D">
        <w:rPr>
          <w:rFonts w:cs="Times New Roman"/>
          <w:sz w:val="24"/>
          <w:szCs w:val="24"/>
        </w:rPr>
        <w:t xml:space="preserve"> In total, the </w:t>
      </w:r>
      <w:r>
        <w:rPr>
          <w:rFonts w:cs="Times New Roman"/>
          <w:sz w:val="24"/>
          <w:szCs w:val="24"/>
        </w:rPr>
        <w:t>CBS</w:t>
      </w:r>
      <w:r w:rsidRPr="00997B6D">
        <w:rPr>
          <w:rFonts w:cs="Times New Roman"/>
          <w:sz w:val="24"/>
          <w:szCs w:val="24"/>
        </w:rPr>
        <w:t xml:space="preserve"> team will conduct 108 </w:t>
      </w:r>
      <w:r>
        <w:rPr>
          <w:rFonts w:cs="Times New Roman"/>
          <w:sz w:val="24"/>
          <w:szCs w:val="24"/>
        </w:rPr>
        <w:t>KIIs</w:t>
      </w:r>
      <w:r w:rsidRPr="00997B6D">
        <w:rPr>
          <w:rFonts w:cs="Times New Roman"/>
          <w:sz w:val="24"/>
          <w:szCs w:val="24"/>
        </w:rPr>
        <w:t xml:space="preserve"> and 30 focus groups across counties. </w:t>
      </w:r>
      <w:r w:rsidR="00143306" w:rsidRPr="00BA024C">
        <w:rPr>
          <w:rFonts w:cs="Times New Roman"/>
          <w:sz w:val="24"/>
          <w:szCs w:val="24"/>
        </w:rPr>
        <w:t>Participants will complete a brief demographic form in person or by telephone prior to their session.</w:t>
      </w:r>
    </w:p>
    <w:p w14:paraId="568B0EDF" w14:textId="4B5F75D2" w:rsidR="00BB6631" w:rsidRPr="00997B6D" w:rsidRDefault="00BB6631" w:rsidP="00BB6631">
      <w:pPr>
        <w:pStyle w:val="BodyTextIndent"/>
        <w:spacing w:after="120" w:line="240" w:lineRule="auto"/>
        <w:ind w:left="360"/>
        <w:jc w:val="center"/>
        <w:rPr>
          <w:rFonts w:cs="Times New Roman"/>
          <w:b/>
        </w:rPr>
      </w:pPr>
      <w:r w:rsidRPr="00997B6D">
        <w:rPr>
          <w:rFonts w:cs="Times New Roman"/>
          <w:b/>
        </w:rPr>
        <w:t>Exhibit A2-</w:t>
      </w:r>
      <w:r w:rsidR="00504E78">
        <w:rPr>
          <w:rFonts w:cs="Times New Roman"/>
          <w:b/>
        </w:rPr>
        <w:t>3</w:t>
      </w:r>
      <w:r w:rsidRPr="00997B6D">
        <w:rPr>
          <w:rFonts w:cs="Times New Roman"/>
          <w:b/>
        </w:rPr>
        <w:t xml:space="preserve">. </w:t>
      </w:r>
      <w:r>
        <w:rPr>
          <w:rFonts w:cs="Times New Roman"/>
          <w:b/>
        </w:rPr>
        <w:t>CBS</w:t>
      </w:r>
      <w:r w:rsidRPr="00997B6D">
        <w:rPr>
          <w:rFonts w:cs="Times New Roman"/>
          <w:b/>
        </w:rPr>
        <w:t xml:space="preserve"> Participants, Data Collection Activities, and Methods</w:t>
      </w:r>
      <w:r>
        <w:rPr>
          <w:rFonts w:cs="Times New Roman"/>
          <w:b/>
        </w:rPr>
        <w:t xml:space="preserve"> </w:t>
      </w:r>
      <w:r w:rsidR="002E2DCB">
        <w:rPr>
          <w:rFonts w:cs="Times New Roman"/>
          <w:b/>
        </w:rPr>
        <w:t>in Each</w:t>
      </w:r>
      <w:r>
        <w:rPr>
          <w:rFonts w:cs="Times New Roman"/>
          <w:b/>
        </w:rPr>
        <w:t xml:space="preserve"> County</w:t>
      </w:r>
    </w:p>
    <w:tbl>
      <w:tblPr>
        <w:tblStyle w:val="TableGrid"/>
        <w:tblW w:w="0" w:type="auto"/>
        <w:tblInd w:w="360" w:type="dxa"/>
        <w:tblLook w:val="04A0" w:firstRow="1" w:lastRow="0" w:firstColumn="1" w:lastColumn="0" w:noHBand="0" w:noVBand="1"/>
      </w:tblPr>
      <w:tblGrid>
        <w:gridCol w:w="2875"/>
        <w:gridCol w:w="6115"/>
      </w:tblGrid>
      <w:tr w:rsidR="00BB6631" w:rsidRPr="00475835" w14:paraId="0EEE0859" w14:textId="77777777" w:rsidTr="00983F2E">
        <w:trPr>
          <w:trHeight w:val="138"/>
          <w:tblHeader/>
        </w:trPr>
        <w:tc>
          <w:tcPr>
            <w:tcW w:w="2875" w:type="dxa"/>
            <w:tcMar>
              <w:top w:w="14" w:type="dxa"/>
              <w:left w:w="72" w:type="dxa"/>
              <w:bottom w:w="14" w:type="dxa"/>
              <w:right w:w="58" w:type="dxa"/>
            </w:tcMar>
            <w:vAlign w:val="center"/>
          </w:tcPr>
          <w:p w14:paraId="2FC66C76" w14:textId="77777777" w:rsidR="00BB6631" w:rsidRPr="00475835" w:rsidRDefault="00BB6631" w:rsidP="00983F2E">
            <w:pPr>
              <w:pStyle w:val="BodyTextIndent"/>
              <w:ind w:left="0"/>
              <w:jc w:val="center"/>
              <w:rPr>
                <w:rFonts w:cs="Arial"/>
                <w:b/>
                <w:sz w:val="20"/>
                <w:szCs w:val="20"/>
              </w:rPr>
            </w:pPr>
            <w:r w:rsidRPr="00475835">
              <w:rPr>
                <w:rFonts w:cs="Arial"/>
                <w:b/>
                <w:sz w:val="20"/>
                <w:szCs w:val="20"/>
              </w:rPr>
              <w:t>Participants</w:t>
            </w:r>
          </w:p>
        </w:tc>
        <w:tc>
          <w:tcPr>
            <w:tcW w:w="6115" w:type="dxa"/>
            <w:tcMar>
              <w:top w:w="14" w:type="dxa"/>
              <w:left w:w="72" w:type="dxa"/>
              <w:bottom w:w="14" w:type="dxa"/>
              <w:right w:w="58" w:type="dxa"/>
            </w:tcMar>
            <w:vAlign w:val="center"/>
          </w:tcPr>
          <w:p w14:paraId="6A3BB079" w14:textId="77777777" w:rsidR="00BB6631" w:rsidRPr="00475835" w:rsidRDefault="00BB6631" w:rsidP="00983F2E">
            <w:pPr>
              <w:pStyle w:val="BodyTextIndent"/>
              <w:ind w:left="0"/>
              <w:jc w:val="center"/>
              <w:rPr>
                <w:rFonts w:cs="Arial"/>
                <w:b/>
                <w:sz w:val="20"/>
                <w:szCs w:val="20"/>
              </w:rPr>
            </w:pPr>
            <w:r w:rsidRPr="00475835">
              <w:rPr>
                <w:rFonts w:cs="Arial"/>
                <w:b/>
                <w:sz w:val="20"/>
                <w:szCs w:val="20"/>
              </w:rPr>
              <w:t>Data Collection Activities &amp; Methods</w:t>
            </w:r>
          </w:p>
        </w:tc>
      </w:tr>
      <w:tr w:rsidR="00BB6631" w:rsidRPr="00475835" w14:paraId="52C193D6" w14:textId="77777777" w:rsidTr="00983F2E">
        <w:trPr>
          <w:trHeight w:val="462"/>
        </w:trPr>
        <w:tc>
          <w:tcPr>
            <w:tcW w:w="2875" w:type="dxa"/>
            <w:tcMar>
              <w:top w:w="14" w:type="dxa"/>
              <w:left w:w="72" w:type="dxa"/>
              <w:bottom w:w="14" w:type="dxa"/>
              <w:right w:w="58" w:type="dxa"/>
            </w:tcMar>
            <w:vAlign w:val="center"/>
          </w:tcPr>
          <w:p w14:paraId="5CC2F182" w14:textId="4153A46D" w:rsidR="00BB6631" w:rsidRPr="00475835" w:rsidRDefault="00BB6631" w:rsidP="00EA75F7">
            <w:pPr>
              <w:pStyle w:val="BodyTextIndent"/>
              <w:ind w:left="0"/>
              <w:rPr>
                <w:rFonts w:cs="Arial"/>
                <w:sz w:val="20"/>
                <w:szCs w:val="20"/>
              </w:rPr>
            </w:pPr>
            <w:r w:rsidRPr="00475835">
              <w:rPr>
                <w:rFonts w:cs="Arial"/>
                <w:sz w:val="20"/>
                <w:szCs w:val="20"/>
              </w:rPr>
              <w:t xml:space="preserve">Parents </w:t>
            </w:r>
            <w:r w:rsidR="00EA75F7">
              <w:rPr>
                <w:rFonts w:cs="Arial"/>
                <w:sz w:val="20"/>
                <w:szCs w:val="20"/>
              </w:rPr>
              <w:t>with opioid misuse who are involved with CW</w:t>
            </w:r>
          </w:p>
        </w:tc>
        <w:tc>
          <w:tcPr>
            <w:tcW w:w="6115" w:type="dxa"/>
            <w:tcMar>
              <w:top w:w="14" w:type="dxa"/>
              <w:left w:w="72" w:type="dxa"/>
              <w:bottom w:w="14" w:type="dxa"/>
              <w:right w:w="58" w:type="dxa"/>
            </w:tcMar>
          </w:tcPr>
          <w:p w14:paraId="3DB7E464" w14:textId="6FF2E032" w:rsidR="00BB6631" w:rsidRPr="00475835" w:rsidRDefault="00BB6631" w:rsidP="00AA7F72">
            <w:pPr>
              <w:pStyle w:val="BodyTextIndent"/>
              <w:numPr>
                <w:ilvl w:val="0"/>
                <w:numId w:val="9"/>
              </w:numPr>
              <w:spacing w:after="20"/>
              <w:rPr>
                <w:rFonts w:cs="Arial"/>
                <w:sz w:val="20"/>
                <w:szCs w:val="20"/>
              </w:rPr>
            </w:pPr>
            <w:r w:rsidRPr="00475835">
              <w:rPr>
                <w:rFonts w:cs="Arial"/>
                <w:sz w:val="20"/>
                <w:szCs w:val="20"/>
              </w:rPr>
              <w:t>6 6</w:t>
            </w:r>
            <w:r w:rsidR="00AA7F72">
              <w:rPr>
                <w:rFonts w:cs="Arial"/>
                <w:sz w:val="20"/>
                <w:szCs w:val="20"/>
              </w:rPr>
              <w:t>3</w:t>
            </w:r>
            <w:r w:rsidRPr="00475835">
              <w:rPr>
                <w:rFonts w:cs="Arial"/>
                <w:sz w:val="20"/>
                <w:szCs w:val="20"/>
              </w:rPr>
              <w:t xml:space="preserve">-min KIIs conducted in person and/or by telephone (upon request) </w:t>
            </w:r>
          </w:p>
        </w:tc>
      </w:tr>
      <w:tr w:rsidR="00BB6631" w:rsidRPr="00475835" w14:paraId="478CD4D8" w14:textId="77777777" w:rsidTr="00983F2E">
        <w:trPr>
          <w:trHeight w:val="746"/>
        </w:trPr>
        <w:tc>
          <w:tcPr>
            <w:tcW w:w="2875" w:type="dxa"/>
            <w:tcMar>
              <w:top w:w="14" w:type="dxa"/>
              <w:left w:w="72" w:type="dxa"/>
              <w:bottom w:w="14" w:type="dxa"/>
              <w:right w:w="58" w:type="dxa"/>
            </w:tcMar>
            <w:vAlign w:val="center"/>
          </w:tcPr>
          <w:p w14:paraId="67516BD4" w14:textId="77777777" w:rsidR="00BB6631" w:rsidRPr="00475835" w:rsidRDefault="00BB6631" w:rsidP="00983F2E">
            <w:pPr>
              <w:pStyle w:val="BodyTextIndent"/>
              <w:ind w:left="0"/>
              <w:rPr>
                <w:rFonts w:cs="Arial"/>
                <w:sz w:val="20"/>
                <w:szCs w:val="20"/>
              </w:rPr>
            </w:pPr>
            <w:r w:rsidRPr="00475835">
              <w:rPr>
                <w:rFonts w:cs="Arial"/>
                <w:sz w:val="20"/>
                <w:szCs w:val="20"/>
              </w:rPr>
              <w:t>Kinship caregivers</w:t>
            </w:r>
          </w:p>
        </w:tc>
        <w:tc>
          <w:tcPr>
            <w:tcW w:w="6115" w:type="dxa"/>
            <w:tcMar>
              <w:top w:w="14" w:type="dxa"/>
              <w:left w:w="72" w:type="dxa"/>
              <w:bottom w:w="14" w:type="dxa"/>
              <w:right w:w="58" w:type="dxa"/>
            </w:tcMar>
          </w:tcPr>
          <w:p w14:paraId="39A2A438" w14:textId="511630AF" w:rsidR="00BB6631" w:rsidRPr="00475835" w:rsidRDefault="00BB6631" w:rsidP="00D558F8">
            <w:pPr>
              <w:pStyle w:val="BodyTextIndent"/>
              <w:numPr>
                <w:ilvl w:val="0"/>
                <w:numId w:val="9"/>
              </w:numPr>
              <w:spacing w:after="20"/>
              <w:rPr>
                <w:rFonts w:cs="Arial"/>
                <w:sz w:val="20"/>
                <w:szCs w:val="20"/>
              </w:rPr>
            </w:pPr>
            <w:r w:rsidRPr="00475835">
              <w:rPr>
                <w:rFonts w:cs="Arial"/>
                <w:sz w:val="20"/>
                <w:szCs w:val="20"/>
              </w:rPr>
              <w:t>4 6</w:t>
            </w:r>
            <w:r w:rsidR="00AA7F72">
              <w:rPr>
                <w:rFonts w:cs="Arial"/>
                <w:sz w:val="20"/>
                <w:szCs w:val="20"/>
              </w:rPr>
              <w:t>3</w:t>
            </w:r>
            <w:r w:rsidRPr="00475835">
              <w:rPr>
                <w:rFonts w:cs="Arial"/>
                <w:sz w:val="20"/>
                <w:szCs w:val="20"/>
              </w:rPr>
              <w:t xml:space="preserve">-min KIIs conducted in-person and/or by telephone </w:t>
            </w:r>
          </w:p>
          <w:p w14:paraId="2F82CA04" w14:textId="247A42F6" w:rsidR="00BB6631" w:rsidRPr="00475835" w:rsidRDefault="00BB6631" w:rsidP="00AA7F72">
            <w:pPr>
              <w:pStyle w:val="BodyTextIndent"/>
              <w:numPr>
                <w:ilvl w:val="0"/>
                <w:numId w:val="9"/>
              </w:numPr>
              <w:spacing w:after="20"/>
              <w:rPr>
                <w:rFonts w:cs="Arial"/>
                <w:sz w:val="20"/>
                <w:szCs w:val="20"/>
              </w:rPr>
            </w:pPr>
            <w:r w:rsidRPr="00475835">
              <w:rPr>
                <w:rFonts w:cs="Arial"/>
                <w:sz w:val="20"/>
                <w:szCs w:val="20"/>
              </w:rPr>
              <w:t>1 9</w:t>
            </w:r>
            <w:r w:rsidR="00AA7F72">
              <w:rPr>
                <w:rFonts w:cs="Arial"/>
                <w:sz w:val="20"/>
                <w:szCs w:val="20"/>
              </w:rPr>
              <w:t>3</w:t>
            </w:r>
            <w:r w:rsidRPr="00475835">
              <w:rPr>
                <w:rFonts w:cs="Arial"/>
                <w:sz w:val="20"/>
                <w:szCs w:val="20"/>
              </w:rPr>
              <w:t xml:space="preserve">-min focus group with approximately 8 participants conducted in-person or by telephone/online </w:t>
            </w:r>
          </w:p>
        </w:tc>
      </w:tr>
      <w:tr w:rsidR="00BB6631" w:rsidRPr="00475835" w14:paraId="633A9D36" w14:textId="77777777" w:rsidTr="00983F2E">
        <w:trPr>
          <w:trHeight w:val="719"/>
        </w:trPr>
        <w:tc>
          <w:tcPr>
            <w:tcW w:w="2875" w:type="dxa"/>
            <w:tcMar>
              <w:top w:w="14" w:type="dxa"/>
              <w:left w:w="72" w:type="dxa"/>
              <w:bottom w:w="14" w:type="dxa"/>
              <w:right w:w="58" w:type="dxa"/>
            </w:tcMar>
            <w:vAlign w:val="center"/>
          </w:tcPr>
          <w:p w14:paraId="00CE30B3" w14:textId="77777777" w:rsidR="00BB6631" w:rsidRPr="00475835" w:rsidRDefault="00BB6631" w:rsidP="00983F2E">
            <w:pPr>
              <w:pStyle w:val="BodyTextIndent"/>
              <w:ind w:left="0"/>
              <w:rPr>
                <w:rFonts w:cs="Arial"/>
                <w:sz w:val="20"/>
                <w:szCs w:val="20"/>
              </w:rPr>
            </w:pPr>
            <w:r w:rsidRPr="00475835">
              <w:rPr>
                <w:rFonts w:cs="Arial"/>
                <w:sz w:val="20"/>
                <w:szCs w:val="20"/>
              </w:rPr>
              <w:t>Foster parents</w:t>
            </w:r>
          </w:p>
        </w:tc>
        <w:tc>
          <w:tcPr>
            <w:tcW w:w="6115" w:type="dxa"/>
            <w:tcMar>
              <w:top w:w="14" w:type="dxa"/>
              <w:left w:w="72" w:type="dxa"/>
              <w:bottom w:w="14" w:type="dxa"/>
              <w:right w:w="58" w:type="dxa"/>
            </w:tcMar>
          </w:tcPr>
          <w:p w14:paraId="012EE86C" w14:textId="7F9C0BBA" w:rsidR="00BB6631" w:rsidRPr="00475835" w:rsidRDefault="00BB6631" w:rsidP="00D558F8">
            <w:pPr>
              <w:pStyle w:val="BodyTextIndent"/>
              <w:numPr>
                <w:ilvl w:val="0"/>
                <w:numId w:val="9"/>
              </w:numPr>
              <w:spacing w:after="20"/>
              <w:rPr>
                <w:rFonts w:cs="Arial"/>
                <w:sz w:val="20"/>
                <w:szCs w:val="20"/>
              </w:rPr>
            </w:pPr>
            <w:r w:rsidRPr="00475835">
              <w:rPr>
                <w:rFonts w:cs="Arial"/>
                <w:sz w:val="20"/>
                <w:szCs w:val="20"/>
              </w:rPr>
              <w:t xml:space="preserve">4 </w:t>
            </w:r>
            <w:r w:rsidR="00837B5A">
              <w:rPr>
                <w:rFonts w:cs="Arial"/>
                <w:sz w:val="20"/>
                <w:szCs w:val="20"/>
              </w:rPr>
              <w:t>6</w:t>
            </w:r>
            <w:r w:rsidR="00AA7F72">
              <w:rPr>
                <w:rFonts w:cs="Arial"/>
                <w:sz w:val="20"/>
                <w:szCs w:val="20"/>
              </w:rPr>
              <w:t>3</w:t>
            </w:r>
            <w:r w:rsidR="00837B5A">
              <w:rPr>
                <w:rFonts w:cs="Arial"/>
                <w:sz w:val="20"/>
                <w:szCs w:val="20"/>
              </w:rPr>
              <w:t xml:space="preserve">-min </w:t>
            </w:r>
            <w:r w:rsidRPr="00475835">
              <w:rPr>
                <w:rFonts w:cs="Arial"/>
                <w:sz w:val="20"/>
                <w:szCs w:val="20"/>
              </w:rPr>
              <w:t xml:space="preserve">KIIs conducted in-person or by telephone </w:t>
            </w:r>
          </w:p>
          <w:p w14:paraId="7F971CD9" w14:textId="253CC995" w:rsidR="00BB6631" w:rsidRPr="00475835" w:rsidRDefault="00BB6631" w:rsidP="00AA7F72">
            <w:pPr>
              <w:pStyle w:val="BodyTextIndent"/>
              <w:numPr>
                <w:ilvl w:val="0"/>
                <w:numId w:val="9"/>
              </w:numPr>
              <w:spacing w:after="20"/>
              <w:rPr>
                <w:rFonts w:cs="Arial"/>
                <w:sz w:val="20"/>
                <w:szCs w:val="20"/>
              </w:rPr>
            </w:pPr>
            <w:r w:rsidRPr="00475835">
              <w:rPr>
                <w:rFonts w:cs="Arial"/>
                <w:sz w:val="20"/>
                <w:szCs w:val="20"/>
              </w:rPr>
              <w:t>1 9</w:t>
            </w:r>
            <w:r w:rsidR="00AA7F72">
              <w:rPr>
                <w:rFonts w:cs="Arial"/>
                <w:sz w:val="20"/>
                <w:szCs w:val="20"/>
              </w:rPr>
              <w:t>3</w:t>
            </w:r>
            <w:r w:rsidRPr="00475835">
              <w:rPr>
                <w:rFonts w:cs="Arial"/>
                <w:sz w:val="20"/>
                <w:szCs w:val="20"/>
              </w:rPr>
              <w:t xml:space="preserve">-min focus group with approximately 8 participants conducted in-person or by telephone/online </w:t>
            </w:r>
          </w:p>
        </w:tc>
      </w:tr>
      <w:tr w:rsidR="00BB6631" w:rsidRPr="00475835" w14:paraId="320CEACD" w14:textId="77777777" w:rsidTr="00983F2E">
        <w:tc>
          <w:tcPr>
            <w:tcW w:w="2875" w:type="dxa"/>
            <w:tcMar>
              <w:top w:w="14" w:type="dxa"/>
              <w:left w:w="72" w:type="dxa"/>
              <w:bottom w:w="14" w:type="dxa"/>
              <w:right w:w="58" w:type="dxa"/>
            </w:tcMar>
            <w:vAlign w:val="center"/>
          </w:tcPr>
          <w:p w14:paraId="5AAE132E" w14:textId="77777777" w:rsidR="00BB6631" w:rsidRPr="00475835" w:rsidRDefault="00BB6631" w:rsidP="00983F2E">
            <w:pPr>
              <w:pStyle w:val="BodyTextIndent"/>
              <w:ind w:left="0"/>
              <w:rPr>
                <w:rFonts w:cs="Arial"/>
                <w:sz w:val="20"/>
                <w:szCs w:val="20"/>
              </w:rPr>
            </w:pPr>
            <w:r w:rsidRPr="00475835">
              <w:rPr>
                <w:rFonts w:cs="Arial"/>
                <w:sz w:val="20"/>
                <w:szCs w:val="20"/>
              </w:rPr>
              <w:t>Multi-sectoral providers and stakeholders</w:t>
            </w:r>
          </w:p>
        </w:tc>
        <w:tc>
          <w:tcPr>
            <w:tcW w:w="6115" w:type="dxa"/>
            <w:tcMar>
              <w:top w:w="14" w:type="dxa"/>
              <w:left w:w="72" w:type="dxa"/>
              <w:bottom w:w="14" w:type="dxa"/>
              <w:right w:w="58" w:type="dxa"/>
            </w:tcMar>
          </w:tcPr>
          <w:p w14:paraId="6322C17F" w14:textId="3FFD7159" w:rsidR="00BB6631" w:rsidRPr="00475835" w:rsidRDefault="00BB6631" w:rsidP="00D558F8">
            <w:pPr>
              <w:pStyle w:val="BodyTextIndent"/>
              <w:numPr>
                <w:ilvl w:val="0"/>
                <w:numId w:val="10"/>
              </w:numPr>
              <w:spacing w:after="20"/>
              <w:rPr>
                <w:rFonts w:cs="Arial"/>
                <w:sz w:val="20"/>
                <w:szCs w:val="20"/>
              </w:rPr>
            </w:pPr>
            <w:r w:rsidRPr="00475835">
              <w:rPr>
                <w:rFonts w:cs="Arial"/>
                <w:sz w:val="20"/>
                <w:szCs w:val="20"/>
              </w:rPr>
              <w:t>4 6</w:t>
            </w:r>
            <w:r w:rsidR="00AA7F72">
              <w:rPr>
                <w:rFonts w:cs="Arial"/>
                <w:sz w:val="20"/>
                <w:szCs w:val="20"/>
              </w:rPr>
              <w:t>3</w:t>
            </w:r>
            <w:r w:rsidRPr="00475835">
              <w:rPr>
                <w:rFonts w:cs="Arial"/>
                <w:sz w:val="20"/>
                <w:szCs w:val="20"/>
              </w:rPr>
              <w:t xml:space="preserve">-min KIIs conducted in-person or by telephone/Skype </w:t>
            </w:r>
          </w:p>
          <w:p w14:paraId="476613A8" w14:textId="0138661E" w:rsidR="00BB6631" w:rsidRPr="00475835" w:rsidRDefault="00BB6631" w:rsidP="00AA7F72">
            <w:pPr>
              <w:pStyle w:val="BodyTextIndent"/>
              <w:numPr>
                <w:ilvl w:val="0"/>
                <w:numId w:val="10"/>
              </w:numPr>
              <w:spacing w:after="20"/>
              <w:rPr>
                <w:rFonts w:cs="Arial"/>
                <w:sz w:val="20"/>
                <w:szCs w:val="20"/>
              </w:rPr>
            </w:pPr>
            <w:r w:rsidRPr="00475835">
              <w:rPr>
                <w:rFonts w:cs="Arial"/>
                <w:sz w:val="20"/>
                <w:szCs w:val="20"/>
              </w:rPr>
              <w:t>3 9</w:t>
            </w:r>
            <w:r w:rsidR="00AA7F72">
              <w:rPr>
                <w:rFonts w:cs="Arial"/>
                <w:sz w:val="20"/>
                <w:szCs w:val="20"/>
              </w:rPr>
              <w:t>3</w:t>
            </w:r>
            <w:r w:rsidRPr="00475835">
              <w:rPr>
                <w:rFonts w:cs="Arial"/>
                <w:sz w:val="20"/>
                <w:szCs w:val="20"/>
              </w:rPr>
              <w:t xml:space="preserve">-min focus groups with approximately 8 participants conducted in-person or by telephone/online </w:t>
            </w:r>
          </w:p>
        </w:tc>
      </w:tr>
    </w:tbl>
    <w:p w14:paraId="34987AFD" w14:textId="35AF1E83" w:rsidR="00BB6631" w:rsidRPr="00997B6D" w:rsidRDefault="00BB6631" w:rsidP="00BB6631">
      <w:pPr>
        <w:pStyle w:val="BodyTextIndent"/>
        <w:spacing w:before="240" w:after="200" w:line="240" w:lineRule="auto"/>
        <w:ind w:left="360"/>
        <w:rPr>
          <w:rFonts w:ascii="Times New Roman" w:hAnsi="Times New Roman" w:cs="Times New Roman"/>
          <w:sz w:val="24"/>
          <w:szCs w:val="24"/>
        </w:rPr>
      </w:pPr>
      <w:r w:rsidRPr="00997B6D">
        <w:rPr>
          <w:sz w:val="24"/>
          <w:szCs w:val="24"/>
        </w:rPr>
        <w:t xml:space="preserve">The </w:t>
      </w:r>
      <w:r>
        <w:rPr>
          <w:sz w:val="24"/>
          <w:szCs w:val="24"/>
        </w:rPr>
        <w:t>CBS</w:t>
      </w:r>
      <w:r w:rsidRPr="00997B6D">
        <w:rPr>
          <w:sz w:val="24"/>
          <w:szCs w:val="24"/>
        </w:rPr>
        <w:t xml:space="preserve"> team will aim to conduct all parent, caregiver, and provider/stakeholder KIIs and focus groups in person during site visits to each of the six counties. </w:t>
      </w:r>
      <w:r>
        <w:rPr>
          <w:sz w:val="24"/>
          <w:szCs w:val="24"/>
        </w:rPr>
        <w:t>T</w:t>
      </w:r>
      <w:r w:rsidRPr="00997B6D">
        <w:rPr>
          <w:sz w:val="24"/>
          <w:szCs w:val="24"/>
        </w:rPr>
        <w:t xml:space="preserve">eam members will prioritize scheduling </w:t>
      </w:r>
      <w:r>
        <w:rPr>
          <w:sz w:val="24"/>
          <w:szCs w:val="24"/>
        </w:rPr>
        <w:t xml:space="preserve">sessions with </w:t>
      </w:r>
      <w:r w:rsidRPr="00997B6D">
        <w:rPr>
          <w:sz w:val="24"/>
          <w:szCs w:val="24"/>
        </w:rPr>
        <w:t>parent</w:t>
      </w:r>
      <w:r>
        <w:rPr>
          <w:sz w:val="24"/>
          <w:szCs w:val="24"/>
        </w:rPr>
        <w:t xml:space="preserve">s and </w:t>
      </w:r>
      <w:r w:rsidRPr="00997B6D">
        <w:rPr>
          <w:sz w:val="24"/>
          <w:szCs w:val="24"/>
        </w:rPr>
        <w:t>caregiver</w:t>
      </w:r>
      <w:r>
        <w:rPr>
          <w:sz w:val="24"/>
          <w:szCs w:val="24"/>
        </w:rPr>
        <w:t>s</w:t>
      </w:r>
      <w:r w:rsidRPr="00997B6D">
        <w:rPr>
          <w:sz w:val="24"/>
          <w:szCs w:val="24"/>
        </w:rPr>
        <w:t xml:space="preserve"> to maximize flexibility for these participants. </w:t>
      </w:r>
      <w:r>
        <w:rPr>
          <w:sz w:val="24"/>
          <w:szCs w:val="24"/>
        </w:rPr>
        <w:t>We</w:t>
      </w:r>
      <w:r w:rsidRPr="00997B6D">
        <w:rPr>
          <w:sz w:val="24"/>
          <w:szCs w:val="24"/>
        </w:rPr>
        <w:t xml:space="preserve"> will conduct </w:t>
      </w:r>
      <w:r>
        <w:rPr>
          <w:sz w:val="24"/>
          <w:szCs w:val="24"/>
        </w:rPr>
        <w:t>KIIs</w:t>
      </w:r>
      <w:r w:rsidRPr="00997B6D">
        <w:rPr>
          <w:sz w:val="24"/>
          <w:szCs w:val="24"/>
        </w:rPr>
        <w:t xml:space="preserve"> by telephone if requested by participants</w:t>
      </w:r>
      <w:r>
        <w:rPr>
          <w:sz w:val="24"/>
          <w:szCs w:val="24"/>
        </w:rPr>
        <w:t xml:space="preserve"> or as needed to complete data collection. </w:t>
      </w:r>
      <w:r w:rsidRPr="00997B6D">
        <w:rPr>
          <w:sz w:val="24"/>
          <w:szCs w:val="24"/>
        </w:rPr>
        <w:t>If needed, team members will schedule provider/stakeholder KIIs and focus groups to occur remotely after the site visit.</w:t>
      </w:r>
      <w:r>
        <w:rPr>
          <w:sz w:val="24"/>
          <w:szCs w:val="24"/>
        </w:rPr>
        <w:t xml:space="preserve"> </w:t>
      </w:r>
      <w:r>
        <w:rPr>
          <w:rFonts w:cs="Times New Roman"/>
          <w:sz w:val="24"/>
          <w:szCs w:val="24"/>
        </w:rPr>
        <w:t>All interview and focus group participants will complete a brief demographic form prior to their session.</w:t>
      </w:r>
      <w:r w:rsidR="004E0604">
        <w:rPr>
          <w:rFonts w:cs="Times New Roman"/>
          <w:sz w:val="24"/>
          <w:szCs w:val="24"/>
        </w:rPr>
        <w:t xml:space="preserve">   </w:t>
      </w:r>
    </w:p>
    <w:p w14:paraId="58B2FE72" w14:textId="77777777" w:rsidR="00BB6631" w:rsidRDefault="00BB6631" w:rsidP="00BB6631">
      <w:pPr>
        <w:pStyle w:val="BodyTextIndent"/>
        <w:spacing w:before="200" w:line="240" w:lineRule="auto"/>
        <w:ind w:left="360"/>
        <w:rPr>
          <w:sz w:val="24"/>
          <w:szCs w:val="24"/>
        </w:rPr>
      </w:pPr>
      <w:r w:rsidRPr="00997B6D">
        <w:rPr>
          <w:rFonts w:cs="Times New Roman"/>
          <w:sz w:val="24"/>
          <w:szCs w:val="24"/>
        </w:rPr>
        <w:t xml:space="preserve">Within each state, the </w:t>
      </w:r>
      <w:r>
        <w:rPr>
          <w:rFonts w:cs="Times New Roman"/>
          <w:sz w:val="24"/>
          <w:szCs w:val="24"/>
        </w:rPr>
        <w:t>CBS</w:t>
      </w:r>
      <w:r w:rsidRPr="00997B6D">
        <w:rPr>
          <w:rFonts w:cs="Times New Roman"/>
          <w:sz w:val="24"/>
          <w:szCs w:val="24"/>
        </w:rPr>
        <w:t xml:space="preserve"> team will visit two counties matched on county level unemployment, median household income, average poverty status, and average percent uninsured across all ages. Counties will be selected on the basis of the burden experienced across opioid misuse (i.e., overdose deaths) and child welfare entries. Matched counties will be paired on the basis of burden as follows: (1) low opioid misuse/low child welfare burden and high opioid misuse/high child welfare burden (low/low and high/high); (2) low opioid misuse/low child welfare burden and high opioid misuse/low child welfare burden (low/low and high/low); and (3) high opioid misuse/high child welfare burden and high opioid misuse/low child welfare burden (high/high and high/low).</w:t>
      </w:r>
    </w:p>
    <w:p w14:paraId="6A29F34B" w14:textId="77777777" w:rsidR="008164A4" w:rsidRPr="000D7307" w:rsidRDefault="008164A4" w:rsidP="000D7307">
      <w:pPr>
        <w:pStyle w:val="BodyTextIndent"/>
        <w:spacing w:line="240" w:lineRule="auto"/>
        <w:rPr>
          <w:sz w:val="24"/>
          <w:szCs w:val="24"/>
        </w:rPr>
      </w:pPr>
    </w:p>
    <w:p w14:paraId="5951C68A" w14:textId="40C6C342" w:rsidR="00B47055" w:rsidRPr="001862EA" w:rsidRDefault="00B47055" w:rsidP="00D558F8">
      <w:pPr>
        <w:pStyle w:val="ListParagraph"/>
        <w:keepNext/>
        <w:numPr>
          <w:ilvl w:val="0"/>
          <w:numId w:val="3"/>
        </w:numPr>
        <w:spacing w:after="120" w:line="240" w:lineRule="auto"/>
        <w:contextualSpacing w:val="0"/>
        <w:rPr>
          <w:rFonts w:asciiTheme="majorHAnsi" w:hAnsiTheme="majorHAnsi"/>
          <w:b/>
          <w:sz w:val="24"/>
          <w:szCs w:val="30"/>
        </w:rPr>
      </w:pPr>
      <w:r w:rsidRPr="001862EA">
        <w:rPr>
          <w:rFonts w:asciiTheme="majorHAnsi" w:hAnsiTheme="majorHAnsi"/>
          <w:b/>
          <w:bCs/>
          <w:sz w:val="24"/>
          <w:szCs w:val="30"/>
        </w:rPr>
        <w:t>Use of Improved Information Technology and Burden Reduction</w:t>
      </w:r>
    </w:p>
    <w:p w14:paraId="145F5CA3" w14:textId="2AB016EA" w:rsidR="001139CD" w:rsidRPr="001139CD" w:rsidRDefault="003F4666" w:rsidP="002E653F">
      <w:pPr>
        <w:spacing w:line="240" w:lineRule="auto"/>
        <w:ind w:left="360"/>
        <w:rPr>
          <w:rFonts w:asciiTheme="majorHAnsi" w:hAnsiTheme="majorHAnsi"/>
          <w:b/>
          <w:sz w:val="24"/>
          <w:szCs w:val="24"/>
        </w:rPr>
      </w:pPr>
      <w:r>
        <w:rPr>
          <w:rFonts w:asciiTheme="majorHAnsi" w:hAnsiTheme="majorHAnsi"/>
          <w:spacing w:val="-2"/>
          <w:sz w:val="24"/>
          <w:szCs w:val="24"/>
        </w:rPr>
        <w:t>Across components, e</w:t>
      </w:r>
      <w:r w:rsidR="001139CD" w:rsidRPr="001139CD">
        <w:rPr>
          <w:rFonts w:asciiTheme="majorHAnsi" w:hAnsiTheme="majorHAnsi"/>
          <w:spacing w:val="-2"/>
          <w:sz w:val="24"/>
          <w:szCs w:val="24"/>
        </w:rPr>
        <w:t xml:space="preserve">very effort </w:t>
      </w:r>
      <w:r w:rsidR="001139CD">
        <w:rPr>
          <w:rFonts w:asciiTheme="majorHAnsi" w:hAnsiTheme="majorHAnsi"/>
          <w:spacing w:val="-2"/>
          <w:sz w:val="24"/>
          <w:szCs w:val="24"/>
        </w:rPr>
        <w:t>will be</w:t>
      </w:r>
      <w:r w:rsidR="001139CD" w:rsidRPr="001139CD">
        <w:rPr>
          <w:rFonts w:asciiTheme="majorHAnsi" w:hAnsiTheme="majorHAnsi"/>
          <w:spacing w:val="-2"/>
          <w:sz w:val="24"/>
          <w:szCs w:val="24"/>
        </w:rPr>
        <w:t xml:space="preserve"> made to limit burden on individual respondents who participate in </w:t>
      </w:r>
      <w:r>
        <w:rPr>
          <w:rFonts w:asciiTheme="majorHAnsi" w:hAnsiTheme="majorHAnsi"/>
          <w:spacing w:val="-2"/>
          <w:sz w:val="24"/>
          <w:szCs w:val="24"/>
        </w:rPr>
        <w:t>data collection activities</w:t>
      </w:r>
      <w:r w:rsidR="00205B12">
        <w:rPr>
          <w:rFonts w:asciiTheme="majorHAnsi" w:hAnsiTheme="majorHAnsi"/>
          <w:spacing w:val="-2"/>
          <w:sz w:val="24"/>
          <w:szCs w:val="24"/>
        </w:rPr>
        <w:t xml:space="preserve"> through</w:t>
      </w:r>
      <w:r w:rsidR="001139CD" w:rsidRPr="001139CD">
        <w:rPr>
          <w:rFonts w:asciiTheme="majorHAnsi" w:hAnsiTheme="majorHAnsi"/>
          <w:spacing w:val="-2"/>
          <w:sz w:val="24"/>
          <w:szCs w:val="24"/>
        </w:rPr>
        <w:t xml:space="preserve"> the use of technology</w:t>
      </w:r>
      <w:r>
        <w:rPr>
          <w:rFonts w:asciiTheme="majorHAnsi" w:hAnsiTheme="majorHAnsi"/>
          <w:spacing w:val="-2"/>
          <w:sz w:val="24"/>
          <w:szCs w:val="24"/>
        </w:rPr>
        <w:t xml:space="preserve"> and flexibility in scheduling</w:t>
      </w:r>
      <w:r w:rsidR="001139CD" w:rsidRPr="001139CD">
        <w:rPr>
          <w:rFonts w:asciiTheme="majorHAnsi" w:hAnsiTheme="majorHAnsi"/>
          <w:spacing w:val="-2"/>
          <w:sz w:val="24"/>
          <w:szCs w:val="24"/>
        </w:rPr>
        <w:t>.</w:t>
      </w:r>
    </w:p>
    <w:p w14:paraId="1BB6F5EC" w14:textId="50856DBC" w:rsidR="00A65502" w:rsidRPr="00D03613" w:rsidRDefault="00A65502" w:rsidP="00205B12">
      <w:pPr>
        <w:keepNext/>
        <w:spacing w:after="120" w:line="240" w:lineRule="auto"/>
        <w:ind w:left="360"/>
        <w:rPr>
          <w:rFonts w:asciiTheme="majorHAnsi" w:hAnsiTheme="majorHAnsi"/>
          <w:b/>
          <w:sz w:val="24"/>
          <w:szCs w:val="24"/>
        </w:rPr>
      </w:pPr>
      <w:r>
        <w:rPr>
          <w:rFonts w:asciiTheme="majorHAnsi" w:hAnsiTheme="majorHAnsi"/>
          <w:b/>
          <w:sz w:val="24"/>
          <w:szCs w:val="24"/>
        </w:rPr>
        <w:t xml:space="preserve">Study </w:t>
      </w:r>
      <w:r w:rsidR="002E5F31">
        <w:rPr>
          <w:rFonts w:asciiTheme="majorHAnsi" w:hAnsiTheme="majorHAnsi"/>
          <w:b/>
          <w:sz w:val="24"/>
          <w:szCs w:val="24"/>
        </w:rPr>
        <w:t>Component 1</w:t>
      </w:r>
      <w:r>
        <w:rPr>
          <w:rFonts w:asciiTheme="majorHAnsi" w:hAnsiTheme="majorHAnsi"/>
          <w:b/>
          <w:sz w:val="24"/>
          <w:szCs w:val="24"/>
        </w:rPr>
        <w:t xml:space="preserve">. </w:t>
      </w:r>
      <w:r w:rsidRPr="003801E6">
        <w:rPr>
          <w:rFonts w:asciiTheme="majorHAnsi" w:hAnsiTheme="majorHAnsi"/>
          <w:b/>
          <w:i/>
          <w:sz w:val="24"/>
          <w:szCs w:val="24"/>
        </w:rPr>
        <w:t>Rural Communities</w:t>
      </w:r>
      <w:r w:rsidR="002E5F31" w:rsidRPr="003801E6">
        <w:rPr>
          <w:rFonts w:asciiTheme="majorHAnsi" w:hAnsiTheme="majorHAnsi"/>
          <w:b/>
          <w:i/>
          <w:sz w:val="24"/>
          <w:szCs w:val="24"/>
        </w:rPr>
        <w:t xml:space="preserve"> </w:t>
      </w:r>
      <w:r w:rsidR="003B2ED5" w:rsidRPr="003801E6">
        <w:rPr>
          <w:rFonts w:asciiTheme="majorHAnsi" w:hAnsiTheme="majorHAnsi"/>
          <w:b/>
          <w:i/>
          <w:sz w:val="24"/>
          <w:szCs w:val="24"/>
        </w:rPr>
        <w:t>Substudy</w:t>
      </w:r>
    </w:p>
    <w:p w14:paraId="669A8EB0" w14:textId="1CF40C34" w:rsidR="007E791A" w:rsidRDefault="001139CD" w:rsidP="001139CD">
      <w:pPr>
        <w:pStyle w:val="ListParagraph"/>
        <w:spacing w:line="240" w:lineRule="auto"/>
        <w:ind w:left="360"/>
        <w:contextualSpacing w:val="0"/>
        <w:rPr>
          <w:rFonts w:asciiTheme="majorHAnsi" w:hAnsiTheme="majorHAnsi"/>
          <w:sz w:val="24"/>
          <w:szCs w:val="24"/>
        </w:rPr>
      </w:pPr>
      <w:r>
        <w:rPr>
          <w:rFonts w:asciiTheme="majorHAnsi" w:hAnsiTheme="majorHAnsi"/>
          <w:sz w:val="24"/>
          <w:szCs w:val="24"/>
        </w:rPr>
        <w:t xml:space="preserve">The </w:t>
      </w:r>
      <w:r w:rsidR="006502E7">
        <w:rPr>
          <w:rFonts w:asciiTheme="majorHAnsi" w:hAnsiTheme="majorHAnsi"/>
          <w:sz w:val="24"/>
          <w:szCs w:val="24"/>
        </w:rPr>
        <w:t>RCS</w:t>
      </w:r>
      <w:r>
        <w:rPr>
          <w:rFonts w:asciiTheme="majorHAnsi" w:hAnsiTheme="majorHAnsi"/>
          <w:sz w:val="24"/>
          <w:szCs w:val="24"/>
        </w:rPr>
        <w:t xml:space="preserve"> team </w:t>
      </w:r>
      <w:r w:rsidR="00E276BD">
        <w:rPr>
          <w:rFonts w:asciiTheme="majorHAnsi" w:hAnsiTheme="majorHAnsi"/>
          <w:sz w:val="24"/>
          <w:szCs w:val="24"/>
        </w:rPr>
        <w:t>will conduct k</w:t>
      </w:r>
      <w:r w:rsidR="00AD5E20" w:rsidRPr="000D7307">
        <w:rPr>
          <w:rFonts w:asciiTheme="majorHAnsi" w:hAnsiTheme="majorHAnsi"/>
          <w:sz w:val="24"/>
          <w:szCs w:val="24"/>
        </w:rPr>
        <w:t>ey informant interviews</w:t>
      </w:r>
      <w:r w:rsidR="00AD5E20">
        <w:rPr>
          <w:rFonts w:asciiTheme="majorHAnsi" w:hAnsiTheme="majorHAnsi"/>
          <w:sz w:val="24"/>
          <w:szCs w:val="24"/>
        </w:rPr>
        <w:t xml:space="preserve"> </w:t>
      </w:r>
      <w:r w:rsidR="00003D3F">
        <w:rPr>
          <w:rFonts w:asciiTheme="majorHAnsi" w:hAnsiTheme="majorHAnsi"/>
          <w:sz w:val="24"/>
          <w:szCs w:val="24"/>
        </w:rPr>
        <w:t xml:space="preserve">by </w:t>
      </w:r>
      <w:r w:rsidR="00AD5E20">
        <w:rPr>
          <w:rFonts w:asciiTheme="majorHAnsi" w:hAnsiTheme="majorHAnsi"/>
          <w:sz w:val="24"/>
          <w:szCs w:val="24"/>
        </w:rPr>
        <w:t xml:space="preserve">telephone to accommodate </w:t>
      </w:r>
      <w:r w:rsidR="00D53241" w:rsidRPr="00D53241">
        <w:rPr>
          <w:rFonts w:asciiTheme="majorHAnsi" w:hAnsiTheme="majorHAnsi"/>
          <w:sz w:val="24"/>
          <w:szCs w:val="24"/>
        </w:rPr>
        <w:t>the scheduling preferences of the p</w:t>
      </w:r>
      <w:r w:rsidR="00125307">
        <w:rPr>
          <w:rFonts w:asciiTheme="majorHAnsi" w:hAnsiTheme="majorHAnsi"/>
          <w:sz w:val="24"/>
          <w:szCs w:val="24"/>
        </w:rPr>
        <w:t>articipa</w:t>
      </w:r>
      <w:r w:rsidR="00D53241" w:rsidRPr="00D53241">
        <w:rPr>
          <w:rFonts w:asciiTheme="majorHAnsi" w:hAnsiTheme="majorHAnsi"/>
          <w:sz w:val="24"/>
          <w:szCs w:val="24"/>
        </w:rPr>
        <w:t xml:space="preserve">nts </w:t>
      </w:r>
      <w:r w:rsidR="00D53241">
        <w:rPr>
          <w:rFonts w:asciiTheme="majorHAnsi" w:hAnsiTheme="majorHAnsi"/>
          <w:sz w:val="24"/>
          <w:szCs w:val="24"/>
        </w:rPr>
        <w:t xml:space="preserve">and to facilitate collection of information from </w:t>
      </w:r>
      <w:r w:rsidR="00E276BD">
        <w:rPr>
          <w:rFonts w:asciiTheme="majorHAnsi" w:hAnsiTheme="majorHAnsi"/>
          <w:sz w:val="24"/>
          <w:szCs w:val="24"/>
        </w:rPr>
        <w:t>various</w:t>
      </w:r>
      <w:r w:rsidR="00D53241">
        <w:rPr>
          <w:rFonts w:asciiTheme="majorHAnsi" w:hAnsiTheme="majorHAnsi"/>
          <w:sz w:val="24"/>
          <w:szCs w:val="24"/>
        </w:rPr>
        <w:t xml:space="preserve"> </w:t>
      </w:r>
      <w:r w:rsidR="00AD5E20">
        <w:rPr>
          <w:rFonts w:asciiTheme="majorHAnsi" w:hAnsiTheme="majorHAnsi"/>
          <w:sz w:val="24"/>
          <w:szCs w:val="24"/>
        </w:rPr>
        <w:t xml:space="preserve">locations </w:t>
      </w:r>
      <w:r w:rsidR="00D53241">
        <w:rPr>
          <w:rFonts w:asciiTheme="majorHAnsi" w:hAnsiTheme="majorHAnsi"/>
          <w:sz w:val="24"/>
          <w:szCs w:val="24"/>
        </w:rPr>
        <w:t>around the country</w:t>
      </w:r>
      <w:r w:rsidR="00AD5E20" w:rsidRPr="000D7307">
        <w:rPr>
          <w:rFonts w:asciiTheme="majorHAnsi" w:hAnsiTheme="majorHAnsi"/>
          <w:sz w:val="24"/>
          <w:szCs w:val="24"/>
        </w:rPr>
        <w:t xml:space="preserve">. </w:t>
      </w:r>
      <w:r w:rsidR="007E791A" w:rsidRPr="000D7307">
        <w:rPr>
          <w:rFonts w:asciiTheme="majorHAnsi" w:hAnsiTheme="majorHAnsi"/>
          <w:sz w:val="24"/>
          <w:szCs w:val="24"/>
        </w:rPr>
        <w:t>We will conduct up to six</w:t>
      </w:r>
      <w:r w:rsidR="006B4422">
        <w:rPr>
          <w:rFonts w:asciiTheme="majorHAnsi" w:hAnsiTheme="majorHAnsi"/>
          <w:sz w:val="24"/>
          <w:szCs w:val="24"/>
        </w:rPr>
        <w:t xml:space="preserve"> in-person</w:t>
      </w:r>
      <w:r w:rsidR="007E791A" w:rsidRPr="000D7307">
        <w:rPr>
          <w:rFonts w:asciiTheme="majorHAnsi" w:hAnsiTheme="majorHAnsi"/>
          <w:sz w:val="24"/>
          <w:szCs w:val="24"/>
        </w:rPr>
        <w:t xml:space="preserve"> site visits to observe the rural sites and </w:t>
      </w:r>
      <w:r w:rsidR="007E791A" w:rsidRPr="00F91A98">
        <w:rPr>
          <w:rFonts w:asciiTheme="majorHAnsi" w:hAnsiTheme="majorHAnsi"/>
          <w:sz w:val="24"/>
          <w:szCs w:val="24"/>
        </w:rPr>
        <w:t xml:space="preserve">establish rapport with </w:t>
      </w:r>
      <w:r w:rsidR="00125307">
        <w:rPr>
          <w:rFonts w:asciiTheme="majorHAnsi" w:hAnsiTheme="majorHAnsi"/>
          <w:sz w:val="24"/>
          <w:szCs w:val="24"/>
        </w:rPr>
        <w:t>participants</w:t>
      </w:r>
      <w:r w:rsidR="007E791A" w:rsidRPr="00F91A98">
        <w:rPr>
          <w:rFonts w:asciiTheme="majorHAnsi" w:hAnsiTheme="majorHAnsi"/>
          <w:sz w:val="24"/>
          <w:szCs w:val="24"/>
        </w:rPr>
        <w:t>.</w:t>
      </w:r>
    </w:p>
    <w:p w14:paraId="528F276B" w14:textId="6E944FC6" w:rsidR="00B47055" w:rsidRDefault="00FF37EB" w:rsidP="003F4666">
      <w:pPr>
        <w:pStyle w:val="ListParagraph"/>
        <w:spacing w:line="240" w:lineRule="auto"/>
        <w:ind w:left="360"/>
        <w:contextualSpacing w:val="0"/>
        <w:rPr>
          <w:rFonts w:asciiTheme="majorHAnsi" w:hAnsiTheme="majorHAnsi"/>
          <w:sz w:val="24"/>
          <w:szCs w:val="24"/>
        </w:rPr>
      </w:pPr>
      <w:r>
        <w:rPr>
          <w:rFonts w:asciiTheme="majorHAnsi" w:hAnsiTheme="majorHAnsi"/>
          <w:sz w:val="24"/>
          <w:szCs w:val="24"/>
        </w:rPr>
        <w:t>T</w:t>
      </w:r>
      <w:r w:rsidRPr="000D7307">
        <w:rPr>
          <w:rFonts w:asciiTheme="majorHAnsi" w:hAnsiTheme="majorHAnsi"/>
          <w:sz w:val="24"/>
          <w:szCs w:val="24"/>
        </w:rPr>
        <w:t>o avoid asking questions that can be answered through publicly available information</w:t>
      </w:r>
      <w:r w:rsidR="00284470">
        <w:rPr>
          <w:rFonts w:asciiTheme="majorHAnsi" w:hAnsiTheme="majorHAnsi"/>
          <w:sz w:val="24"/>
          <w:szCs w:val="24"/>
        </w:rPr>
        <w:t>,</w:t>
      </w:r>
      <w:r w:rsidRPr="000D7307">
        <w:rPr>
          <w:rFonts w:asciiTheme="majorHAnsi" w:hAnsiTheme="majorHAnsi"/>
          <w:sz w:val="24"/>
          <w:szCs w:val="24"/>
        </w:rPr>
        <w:t xml:space="preserve"> and </w:t>
      </w:r>
      <w:r>
        <w:rPr>
          <w:rFonts w:asciiTheme="majorHAnsi" w:hAnsiTheme="majorHAnsi"/>
          <w:sz w:val="24"/>
          <w:szCs w:val="24"/>
        </w:rPr>
        <w:t xml:space="preserve">to </w:t>
      </w:r>
      <w:r w:rsidRPr="000D7307">
        <w:rPr>
          <w:rFonts w:asciiTheme="majorHAnsi" w:hAnsiTheme="majorHAnsi"/>
          <w:sz w:val="24"/>
          <w:szCs w:val="24"/>
        </w:rPr>
        <w:t xml:space="preserve">minimize the burden on </w:t>
      </w:r>
      <w:r>
        <w:rPr>
          <w:rFonts w:asciiTheme="majorHAnsi" w:hAnsiTheme="majorHAnsi"/>
          <w:sz w:val="24"/>
          <w:szCs w:val="24"/>
        </w:rPr>
        <w:t>participants, w</w:t>
      </w:r>
      <w:r w:rsidR="00CE79CD" w:rsidRPr="000D7307">
        <w:rPr>
          <w:rFonts w:asciiTheme="majorHAnsi" w:hAnsiTheme="majorHAnsi"/>
          <w:sz w:val="24"/>
          <w:szCs w:val="24"/>
        </w:rPr>
        <w:t xml:space="preserve">e will </w:t>
      </w:r>
      <w:r w:rsidR="00A90E8B">
        <w:rPr>
          <w:rFonts w:asciiTheme="majorHAnsi" w:hAnsiTheme="majorHAnsi"/>
          <w:sz w:val="24"/>
          <w:szCs w:val="24"/>
        </w:rPr>
        <w:t>leverage information learned through our environmental scan and literature review o</w:t>
      </w:r>
      <w:r w:rsidR="00902E58" w:rsidRPr="000D7307">
        <w:rPr>
          <w:rFonts w:asciiTheme="majorHAnsi" w:hAnsiTheme="majorHAnsi"/>
          <w:sz w:val="24"/>
          <w:szCs w:val="24"/>
        </w:rPr>
        <w:t xml:space="preserve">n potential strategies. </w:t>
      </w:r>
      <w:r w:rsidR="00CE79CD" w:rsidRPr="000D7307">
        <w:rPr>
          <w:rFonts w:asciiTheme="majorHAnsi" w:hAnsiTheme="majorHAnsi"/>
          <w:sz w:val="24"/>
          <w:szCs w:val="24"/>
        </w:rPr>
        <w:t>All interview</w:t>
      </w:r>
      <w:r w:rsidR="00E07168">
        <w:rPr>
          <w:rFonts w:asciiTheme="majorHAnsi" w:hAnsiTheme="majorHAnsi"/>
          <w:sz w:val="24"/>
          <w:szCs w:val="24"/>
        </w:rPr>
        <w:t>ers will</w:t>
      </w:r>
      <w:r w:rsidR="00FE2C1D" w:rsidRPr="000D7307">
        <w:rPr>
          <w:rFonts w:asciiTheme="majorHAnsi" w:hAnsiTheme="majorHAnsi"/>
          <w:sz w:val="24"/>
          <w:szCs w:val="24"/>
        </w:rPr>
        <w:t xml:space="preserve"> prioritize questions </w:t>
      </w:r>
      <w:r w:rsidR="00E07168">
        <w:rPr>
          <w:rFonts w:asciiTheme="majorHAnsi" w:hAnsiTheme="majorHAnsi"/>
          <w:sz w:val="24"/>
          <w:szCs w:val="24"/>
        </w:rPr>
        <w:t xml:space="preserve">in the discussion guides </w:t>
      </w:r>
      <w:r>
        <w:rPr>
          <w:rFonts w:asciiTheme="majorHAnsi" w:hAnsiTheme="majorHAnsi"/>
          <w:sz w:val="24"/>
          <w:szCs w:val="24"/>
        </w:rPr>
        <w:t xml:space="preserve">that are </w:t>
      </w:r>
      <w:r w:rsidR="00FE2C1D" w:rsidRPr="000D7307">
        <w:rPr>
          <w:rFonts w:asciiTheme="majorHAnsi" w:hAnsiTheme="majorHAnsi"/>
          <w:sz w:val="24"/>
          <w:szCs w:val="24"/>
        </w:rPr>
        <w:t xml:space="preserve">most </w:t>
      </w:r>
      <w:r w:rsidR="002B1AE9" w:rsidRPr="000D7307">
        <w:rPr>
          <w:rFonts w:asciiTheme="majorHAnsi" w:hAnsiTheme="majorHAnsi"/>
          <w:sz w:val="24"/>
          <w:szCs w:val="24"/>
        </w:rPr>
        <w:t xml:space="preserve">central to this study </w:t>
      </w:r>
      <w:r w:rsidR="00E07168">
        <w:rPr>
          <w:rFonts w:asciiTheme="majorHAnsi" w:hAnsiTheme="majorHAnsi"/>
          <w:sz w:val="24"/>
          <w:szCs w:val="24"/>
        </w:rPr>
        <w:t xml:space="preserve">and to the individual respondent’s expertise </w:t>
      </w:r>
      <w:r w:rsidR="00FE2C1D" w:rsidRPr="000D7307">
        <w:rPr>
          <w:rFonts w:asciiTheme="majorHAnsi" w:hAnsiTheme="majorHAnsi"/>
          <w:sz w:val="24"/>
          <w:szCs w:val="24"/>
        </w:rPr>
        <w:t xml:space="preserve">and </w:t>
      </w:r>
      <w:r w:rsidR="00E07168">
        <w:rPr>
          <w:rFonts w:asciiTheme="majorHAnsi" w:hAnsiTheme="majorHAnsi"/>
          <w:sz w:val="24"/>
          <w:szCs w:val="24"/>
        </w:rPr>
        <w:t xml:space="preserve">thus </w:t>
      </w:r>
      <w:r w:rsidR="00FE2C1D" w:rsidRPr="000D7307">
        <w:rPr>
          <w:rFonts w:asciiTheme="majorHAnsi" w:hAnsiTheme="majorHAnsi"/>
          <w:sz w:val="24"/>
          <w:szCs w:val="24"/>
        </w:rPr>
        <w:t xml:space="preserve">that </w:t>
      </w:r>
      <w:r w:rsidR="00F91A98">
        <w:rPr>
          <w:rFonts w:asciiTheme="majorHAnsi" w:hAnsiTheme="majorHAnsi"/>
          <w:sz w:val="24"/>
          <w:szCs w:val="24"/>
        </w:rPr>
        <w:t xml:space="preserve">cannot be </w:t>
      </w:r>
      <w:r w:rsidR="002B1AE9" w:rsidRPr="000D7307">
        <w:rPr>
          <w:rFonts w:asciiTheme="majorHAnsi" w:hAnsiTheme="majorHAnsi"/>
          <w:sz w:val="24"/>
          <w:szCs w:val="24"/>
        </w:rPr>
        <w:t>address</w:t>
      </w:r>
      <w:r w:rsidR="0056075B">
        <w:rPr>
          <w:rFonts w:asciiTheme="majorHAnsi" w:hAnsiTheme="majorHAnsi"/>
          <w:sz w:val="24"/>
          <w:szCs w:val="24"/>
        </w:rPr>
        <w:t>ed</w:t>
      </w:r>
      <w:r w:rsidR="00FE2C1D" w:rsidRPr="000D7307">
        <w:rPr>
          <w:rFonts w:asciiTheme="majorHAnsi" w:hAnsiTheme="majorHAnsi"/>
          <w:sz w:val="24"/>
          <w:szCs w:val="24"/>
        </w:rPr>
        <w:t xml:space="preserve"> through other sources. </w:t>
      </w:r>
    </w:p>
    <w:p w14:paraId="104C30ED" w14:textId="77777777" w:rsidR="0049245A" w:rsidRPr="001D6BD7" w:rsidRDefault="0049245A" w:rsidP="0049245A">
      <w:pPr>
        <w:pStyle w:val="BodyTextIndent"/>
        <w:spacing w:after="120" w:line="240" w:lineRule="auto"/>
        <w:ind w:left="360"/>
        <w:rPr>
          <w:b/>
          <w:sz w:val="24"/>
          <w:szCs w:val="24"/>
        </w:rPr>
      </w:pPr>
      <w:r w:rsidRPr="001D6BD7">
        <w:rPr>
          <w:b/>
          <w:sz w:val="24"/>
          <w:szCs w:val="24"/>
        </w:rPr>
        <w:t xml:space="preserve">Study Component 2. </w:t>
      </w:r>
      <w:r w:rsidRPr="003801E6">
        <w:rPr>
          <w:b/>
          <w:i/>
          <w:sz w:val="24"/>
          <w:szCs w:val="24"/>
        </w:rPr>
        <w:t>Community Burden Substudy</w:t>
      </w:r>
    </w:p>
    <w:p w14:paraId="2334FBBC" w14:textId="4AC55551" w:rsidR="00AD28DF" w:rsidRDefault="0049245A" w:rsidP="00AD28DF">
      <w:pPr>
        <w:pStyle w:val="BodyTextIndent"/>
        <w:spacing w:after="200" w:line="240" w:lineRule="auto"/>
        <w:ind w:left="360"/>
        <w:rPr>
          <w:sz w:val="24"/>
          <w:szCs w:val="24"/>
        </w:rPr>
      </w:pPr>
      <w:r w:rsidRPr="001D6BD7">
        <w:rPr>
          <w:sz w:val="24"/>
          <w:szCs w:val="24"/>
        </w:rPr>
        <w:t xml:space="preserve">Although the CBS team will aim to conduct all data collection in person, it is possible that participants may not be available during the scheduled site visits and/or that some sessions may need to be completed after the site visit. In these cases, the CBS team will conduct sessions remotely. </w:t>
      </w:r>
      <w:r>
        <w:rPr>
          <w:sz w:val="24"/>
          <w:szCs w:val="24"/>
        </w:rPr>
        <w:t>We recognize that some</w:t>
      </w:r>
      <w:r w:rsidRPr="001D6BD7">
        <w:rPr>
          <w:sz w:val="24"/>
          <w:szCs w:val="24"/>
        </w:rPr>
        <w:t xml:space="preserve"> parents and caregivers may not have access to computers and/or the internet</w:t>
      </w:r>
      <w:r w:rsidR="00AD28DF">
        <w:rPr>
          <w:sz w:val="24"/>
          <w:szCs w:val="24"/>
        </w:rPr>
        <w:t>; thus, we w</w:t>
      </w:r>
      <w:r w:rsidRPr="001D6BD7">
        <w:rPr>
          <w:sz w:val="24"/>
          <w:szCs w:val="24"/>
        </w:rPr>
        <w:t xml:space="preserve">ill conduct remote interviews and focus groups </w:t>
      </w:r>
      <w:r w:rsidR="00AD28DF">
        <w:rPr>
          <w:sz w:val="24"/>
          <w:szCs w:val="24"/>
        </w:rPr>
        <w:t>with these individuals by</w:t>
      </w:r>
      <w:r w:rsidRPr="001D6BD7">
        <w:rPr>
          <w:sz w:val="24"/>
          <w:szCs w:val="24"/>
        </w:rPr>
        <w:t xml:space="preserve"> telephone to maximize the potential for participation and reduce burden. Because providers and stakeholders are likely to have access to computers and the internet, the CBS team will conduct KIIs by telephone or Skype and focus groups by telephone and</w:t>
      </w:r>
      <w:r w:rsidR="00AD28DF">
        <w:rPr>
          <w:sz w:val="24"/>
          <w:szCs w:val="24"/>
        </w:rPr>
        <w:t>/or</w:t>
      </w:r>
      <w:r w:rsidRPr="001D6BD7">
        <w:rPr>
          <w:sz w:val="24"/>
          <w:szCs w:val="24"/>
        </w:rPr>
        <w:t xml:space="preserve"> online </w:t>
      </w:r>
      <w:r w:rsidR="00AD28DF">
        <w:rPr>
          <w:sz w:val="24"/>
          <w:szCs w:val="24"/>
        </w:rPr>
        <w:t>through</w:t>
      </w:r>
      <w:r w:rsidRPr="001D6BD7">
        <w:rPr>
          <w:sz w:val="24"/>
          <w:szCs w:val="24"/>
        </w:rPr>
        <w:t xml:space="preserve"> meeting software</w:t>
      </w:r>
      <w:r w:rsidR="00AD28DF">
        <w:rPr>
          <w:sz w:val="24"/>
          <w:szCs w:val="24"/>
        </w:rPr>
        <w:t>,</w:t>
      </w:r>
      <w:r w:rsidRPr="001D6BD7">
        <w:rPr>
          <w:sz w:val="24"/>
          <w:szCs w:val="24"/>
        </w:rPr>
        <w:t xml:space="preserve"> such as Adobe Connect.</w:t>
      </w:r>
      <w:r>
        <w:rPr>
          <w:sz w:val="24"/>
          <w:szCs w:val="24"/>
        </w:rPr>
        <w:t xml:space="preserve"> </w:t>
      </w:r>
    </w:p>
    <w:p w14:paraId="5203FAAC" w14:textId="4DB70839" w:rsidR="0049245A" w:rsidRDefault="004E0604" w:rsidP="00CF21E5">
      <w:pPr>
        <w:pStyle w:val="BodyTextIndent"/>
        <w:spacing w:after="200" w:line="240" w:lineRule="auto"/>
        <w:ind w:left="360"/>
        <w:rPr>
          <w:color w:val="000000"/>
          <w:sz w:val="24"/>
          <w:szCs w:val="24"/>
          <w:shd w:val="clear" w:color="auto" w:fill="FFFFFF"/>
        </w:rPr>
      </w:pPr>
      <w:r>
        <w:rPr>
          <w:sz w:val="24"/>
          <w:szCs w:val="24"/>
        </w:rPr>
        <w:t xml:space="preserve">The CBS team will obtain </w:t>
      </w:r>
      <w:r w:rsidR="00F454B1">
        <w:rPr>
          <w:sz w:val="24"/>
          <w:szCs w:val="24"/>
        </w:rPr>
        <w:t xml:space="preserve">limited </w:t>
      </w:r>
      <w:r>
        <w:rPr>
          <w:sz w:val="24"/>
          <w:szCs w:val="24"/>
        </w:rPr>
        <w:t xml:space="preserve">personally identifying information (PII) as needed to facilitate </w:t>
      </w:r>
      <w:r w:rsidR="00617856">
        <w:rPr>
          <w:sz w:val="24"/>
          <w:szCs w:val="24"/>
        </w:rPr>
        <w:t>contacting respondents</w:t>
      </w:r>
      <w:r>
        <w:rPr>
          <w:sz w:val="24"/>
          <w:szCs w:val="24"/>
        </w:rPr>
        <w:t xml:space="preserve">. </w:t>
      </w:r>
      <w:r w:rsidR="00F454B1" w:rsidRPr="00F454B1">
        <w:rPr>
          <w:sz w:val="24"/>
          <w:szCs w:val="24"/>
        </w:rPr>
        <w:t>In order to reach out to potential participants to request their participat</w:t>
      </w:r>
      <w:r w:rsidR="00F454B1">
        <w:rPr>
          <w:sz w:val="24"/>
          <w:szCs w:val="24"/>
        </w:rPr>
        <w:t xml:space="preserve">ion in the study, </w:t>
      </w:r>
      <w:r w:rsidR="00EC0EE8">
        <w:rPr>
          <w:sz w:val="24"/>
          <w:szCs w:val="24"/>
        </w:rPr>
        <w:t xml:space="preserve">the contractor </w:t>
      </w:r>
      <w:r w:rsidR="00F454B1">
        <w:rPr>
          <w:sz w:val="24"/>
          <w:szCs w:val="24"/>
        </w:rPr>
        <w:t xml:space="preserve">will </w:t>
      </w:r>
      <w:r w:rsidR="00F454B1" w:rsidRPr="00F454B1">
        <w:rPr>
          <w:sz w:val="24"/>
          <w:szCs w:val="24"/>
        </w:rPr>
        <w:t xml:space="preserve">collect limited PII in terms of name and phone/email contact information.  All contact information will be stored separately and will not be linked to the interview </w:t>
      </w:r>
      <w:r w:rsidR="00F454B1">
        <w:rPr>
          <w:sz w:val="24"/>
          <w:szCs w:val="24"/>
        </w:rPr>
        <w:t xml:space="preserve">or focus group </w:t>
      </w:r>
      <w:r w:rsidR="00F454B1" w:rsidRPr="00F454B1">
        <w:rPr>
          <w:sz w:val="24"/>
          <w:szCs w:val="24"/>
        </w:rPr>
        <w:t xml:space="preserve">data. </w:t>
      </w:r>
      <w:r w:rsidR="00EA4EC5">
        <w:rPr>
          <w:sz w:val="24"/>
          <w:szCs w:val="24"/>
        </w:rPr>
        <w:t>Once interviews have been completed, the contact information will be deleted.</w:t>
      </w:r>
      <w:r w:rsidR="00F454B1" w:rsidRPr="00F454B1">
        <w:rPr>
          <w:sz w:val="24"/>
          <w:szCs w:val="24"/>
        </w:rPr>
        <w:t xml:space="preserve"> </w:t>
      </w:r>
      <w:r w:rsidR="004C5603">
        <w:rPr>
          <w:sz w:val="24"/>
          <w:szCs w:val="24"/>
        </w:rPr>
        <w:t>No PII will be shared with CDC and any identifying information will be scrubbed from files shared with CDC</w:t>
      </w:r>
      <w:r w:rsidR="008975F1">
        <w:rPr>
          <w:sz w:val="24"/>
          <w:szCs w:val="24"/>
        </w:rPr>
        <w:t xml:space="preserve">.  Additionally, no participants will be identified by name or description in any reports and all information will be provided as an aggregate summary.  </w:t>
      </w:r>
      <w:r w:rsidR="0049245A" w:rsidRPr="00650137">
        <w:rPr>
          <w:sz w:val="24"/>
          <w:szCs w:val="24"/>
        </w:rPr>
        <w:t xml:space="preserve">An HHS Privacy Impact Assessment form has been completed for the </w:t>
      </w:r>
      <w:r>
        <w:rPr>
          <w:sz w:val="24"/>
          <w:szCs w:val="24"/>
        </w:rPr>
        <w:t>PII</w:t>
      </w:r>
      <w:r w:rsidR="0049245A">
        <w:rPr>
          <w:color w:val="000000"/>
          <w:sz w:val="24"/>
          <w:szCs w:val="24"/>
          <w:shd w:val="clear" w:color="auto" w:fill="FFFFFF"/>
        </w:rPr>
        <w:t xml:space="preserve">, including names and contact information that will be stored </w:t>
      </w:r>
      <w:r w:rsidR="000F4B8C">
        <w:rPr>
          <w:color w:val="000000"/>
          <w:sz w:val="24"/>
          <w:szCs w:val="24"/>
          <w:shd w:val="clear" w:color="auto" w:fill="FFFFFF"/>
        </w:rPr>
        <w:t>on ICF’s secure system d</w:t>
      </w:r>
      <w:r w:rsidR="0049245A">
        <w:rPr>
          <w:color w:val="000000"/>
          <w:sz w:val="24"/>
          <w:szCs w:val="24"/>
          <w:shd w:val="clear" w:color="auto" w:fill="FFFFFF"/>
        </w:rPr>
        <w:t>uring the data collection process</w:t>
      </w:r>
      <w:r w:rsidR="0049245A" w:rsidRPr="00650137">
        <w:rPr>
          <w:color w:val="000000"/>
          <w:sz w:val="24"/>
          <w:szCs w:val="24"/>
          <w:shd w:val="clear" w:color="auto" w:fill="FFFFFF"/>
        </w:rPr>
        <w:t xml:space="preserve">. The PIA was submitted in </w:t>
      </w:r>
      <w:r w:rsidR="004E2163">
        <w:rPr>
          <w:color w:val="000000"/>
          <w:sz w:val="24"/>
          <w:szCs w:val="24"/>
          <w:shd w:val="clear" w:color="auto" w:fill="FFFFFF"/>
        </w:rPr>
        <w:t>November</w:t>
      </w:r>
      <w:r w:rsidR="0049245A" w:rsidRPr="00650137">
        <w:rPr>
          <w:color w:val="000000"/>
          <w:sz w:val="24"/>
          <w:szCs w:val="24"/>
          <w:shd w:val="clear" w:color="auto" w:fill="FFFFFF"/>
        </w:rPr>
        <w:t xml:space="preserve"> 2018.</w:t>
      </w:r>
      <w:r w:rsidR="0049245A">
        <w:rPr>
          <w:color w:val="000000"/>
          <w:sz w:val="24"/>
          <w:szCs w:val="24"/>
          <w:shd w:val="clear" w:color="auto" w:fill="FFFFFF"/>
        </w:rPr>
        <w:t xml:space="preserve"> </w:t>
      </w:r>
    </w:p>
    <w:p w14:paraId="58E80C49" w14:textId="7174B9EC" w:rsidR="00B47055" w:rsidRPr="001862EA" w:rsidRDefault="00B47055" w:rsidP="00D558F8">
      <w:pPr>
        <w:pStyle w:val="ListParagraph"/>
        <w:numPr>
          <w:ilvl w:val="0"/>
          <w:numId w:val="3"/>
        </w:numPr>
        <w:spacing w:after="120" w:line="240" w:lineRule="auto"/>
        <w:contextualSpacing w:val="0"/>
        <w:rPr>
          <w:rFonts w:asciiTheme="majorHAnsi" w:hAnsiTheme="majorHAnsi"/>
          <w:b/>
          <w:szCs w:val="24"/>
        </w:rPr>
      </w:pPr>
      <w:r w:rsidRPr="001862EA">
        <w:rPr>
          <w:rFonts w:asciiTheme="majorHAnsi" w:hAnsiTheme="majorHAnsi"/>
          <w:b/>
          <w:bCs/>
          <w:sz w:val="24"/>
          <w:szCs w:val="24"/>
        </w:rPr>
        <w:t>Efforts to Identify Duplication and Use of Similar Information</w:t>
      </w:r>
    </w:p>
    <w:p w14:paraId="0FB6D2DA" w14:textId="51DC98E8" w:rsidR="00E33E1B" w:rsidRPr="00710F8A" w:rsidRDefault="0051767C" w:rsidP="0051767C">
      <w:pPr>
        <w:spacing w:line="240" w:lineRule="auto"/>
        <w:ind w:left="360"/>
        <w:rPr>
          <w:rFonts w:asciiTheme="majorHAnsi" w:hAnsiTheme="majorHAnsi"/>
          <w:sz w:val="24"/>
          <w:szCs w:val="24"/>
        </w:rPr>
      </w:pPr>
      <w:r>
        <w:rPr>
          <w:rFonts w:asciiTheme="majorHAnsi" w:hAnsiTheme="majorHAnsi"/>
          <w:sz w:val="24"/>
          <w:szCs w:val="24"/>
        </w:rPr>
        <w:t xml:space="preserve">CDC reached out to ASPE to assess how to build on their previous work without duplicating it. In addition, CDC also reviewed the Federal Register and searched proposed data collections using the key words “formative”, “opioid”, and child welfare. Of the 43 records returned, none proposed </w:t>
      </w:r>
      <w:r w:rsidR="00FE2C1D" w:rsidRPr="00710F8A">
        <w:rPr>
          <w:rFonts w:asciiTheme="majorHAnsi" w:hAnsiTheme="majorHAnsi"/>
          <w:sz w:val="24"/>
          <w:szCs w:val="24"/>
        </w:rPr>
        <w:t>research int</w:t>
      </w:r>
      <w:r w:rsidR="00FF37EB" w:rsidRPr="00710F8A">
        <w:rPr>
          <w:rFonts w:asciiTheme="majorHAnsi" w:hAnsiTheme="majorHAnsi"/>
          <w:sz w:val="24"/>
          <w:szCs w:val="24"/>
        </w:rPr>
        <w:t>o</w:t>
      </w:r>
      <w:r w:rsidR="00FE2C1D" w:rsidRPr="00710F8A">
        <w:rPr>
          <w:rFonts w:asciiTheme="majorHAnsi" w:hAnsiTheme="majorHAnsi"/>
          <w:sz w:val="24"/>
          <w:szCs w:val="24"/>
        </w:rPr>
        <w:t xml:space="preserve"> </w:t>
      </w:r>
      <w:r w:rsidR="009257E2" w:rsidRPr="00710F8A">
        <w:rPr>
          <w:rFonts w:asciiTheme="majorHAnsi" w:hAnsiTheme="majorHAnsi"/>
          <w:sz w:val="24"/>
          <w:szCs w:val="24"/>
        </w:rPr>
        <w:t xml:space="preserve">promising strategies and </w:t>
      </w:r>
      <w:r w:rsidR="007E791A" w:rsidRPr="00710F8A">
        <w:rPr>
          <w:rFonts w:asciiTheme="majorHAnsi" w:hAnsiTheme="majorHAnsi"/>
          <w:sz w:val="24"/>
          <w:szCs w:val="24"/>
        </w:rPr>
        <w:t>opportunities</w:t>
      </w:r>
      <w:r w:rsidR="009257E2" w:rsidRPr="00710F8A">
        <w:rPr>
          <w:rFonts w:asciiTheme="majorHAnsi" w:hAnsiTheme="majorHAnsi"/>
          <w:sz w:val="24"/>
          <w:szCs w:val="24"/>
        </w:rPr>
        <w:t xml:space="preserve"> to address key challenges and issues of rural communities to improve </w:t>
      </w:r>
      <w:r w:rsidR="00FE2C1D" w:rsidRPr="00710F8A">
        <w:rPr>
          <w:rFonts w:asciiTheme="majorHAnsi" w:hAnsiTheme="majorHAnsi"/>
          <w:sz w:val="24"/>
          <w:szCs w:val="24"/>
        </w:rPr>
        <w:t xml:space="preserve">child welfare </w:t>
      </w:r>
      <w:r w:rsidR="009257E2" w:rsidRPr="00710F8A">
        <w:rPr>
          <w:rFonts w:asciiTheme="majorHAnsi" w:hAnsiTheme="majorHAnsi"/>
          <w:sz w:val="24"/>
          <w:szCs w:val="24"/>
        </w:rPr>
        <w:t xml:space="preserve">outcomes for families with parental </w:t>
      </w:r>
      <w:r w:rsidR="00FE2C1D" w:rsidRPr="00710F8A">
        <w:rPr>
          <w:rFonts w:asciiTheme="majorHAnsi" w:hAnsiTheme="majorHAnsi"/>
          <w:sz w:val="24"/>
          <w:szCs w:val="24"/>
        </w:rPr>
        <w:t>substance use</w:t>
      </w:r>
      <w:r w:rsidR="001836CF">
        <w:rPr>
          <w:rFonts w:asciiTheme="majorHAnsi" w:hAnsiTheme="majorHAnsi"/>
          <w:sz w:val="24"/>
          <w:szCs w:val="24"/>
        </w:rPr>
        <w:t xml:space="preserve"> or </w:t>
      </w:r>
      <w:r w:rsidR="00205B12">
        <w:rPr>
          <w:rFonts w:asciiTheme="majorHAnsi" w:hAnsiTheme="majorHAnsi"/>
          <w:sz w:val="24"/>
          <w:szCs w:val="24"/>
        </w:rPr>
        <w:t xml:space="preserve">research </w:t>
      </w:r>
      <w:r w:rsidR="001836CF">
        <w:rPr>
          <w:rFonts w:asciiTheme="majorHAnsi" w:hAnsiTheme="majorHAnsi"/>
          <w:sz w:val="24"/>
          <w:szCs w:val="24"/>
        </w:rPr>
        <w:t xml:space="preserve">into protective factors present in low </w:t>
      </w:r>
      <w:r w:rsidR="00205B12">
        <w:rPr>
          <w:rFonts w:asciiTheme="majorHAnsi" w:hAnsiTheme="majorHAnsi"/>
          <w:sz w:val="24"/>
          <w:szCs w:val="24"/>
        </w:rPr>
        <w:t xml:space="preserve">or mixed </w:t>
      </w:r>
      <w:r w:rsidR="001836CF">
        <w:rPr>
          <w:rFonts w:asciiTheme="majorHAnsi" w:hAnsiTheme="majorHAnsi"/>
          <w:sz w:val="24"/>
          <w:szCs w:val="24"/>
        </w:rPr>
        <w:t xml:space="preserve">burden communities that may have </w:t>
      </w:r>
      <w:r w:rsidR="00C450F4">
        <w:rPr>
          <w:rFonts w:asciiTheme="majorHAnsi" w:hAnsiTheme="majorHAnsi"/>
          <w:sz w:val="24"/>
          <w:szCs w:val="24"/>
        </w:rPr>
        <w:t xml:space="preserve">the </w:t>
      </w:r>
      <w:r w:rsidR="001836CF">
        <w:rPr>
          <w:rFonts w:asciiTheme="majorHAnsi" w:hAnsiTheme="majorHAnsi"/>
          <w:sz w:val="24"/>
          <w:szCs w:val="24"/>
        </w:rPr>
        <w:t>potential to disrupt the opioid misuse-child welfare problem in higher burden counties</w:t>
      </w:r>
      <w:r w:rsidR="00FE2C1D" w:rsidRPr="00710F8A">
        <w:rPr>
          <w:rFonts w:asciiTheme="majorHAnsi" w:hAnsiTheme="majorHAnsi"/>
          <w:sz w:val="24"/>
          <w:szCs w:val="24"/>
        </w:rPr>
        <w:t>.</w:t>
      </w:r>
      <w:r w:rsidR="00D82619" w:rsidRPr="00710F8A">
        <w:rPr>
          <w:rFonts w:asciiTheme="majorHAnsi" w:hAnsiTheme="majorHAnsi"/>
          <w:sz w:val="24"/>
          <w:szCs w:val="24"/>
        </w:rPr>
        <w:t xml:space="preserve"> </w:t>
      </w:r>
      <w:r>
        <w:rPr>
          <w:rFonts w:asciiTheme="majorHAnsi" w:hAnsiTheme="majorHAnsi"/>
          <w:sz w:val="24"/>
          <w:szCs w:val="24"/>
        </w:rPr>
        <w:t>CDC also searched the Office of the Administration for Children &amp; Familie</w:t>
      </w:r>
      <w:r w:rsidR="006A0C12">
        <w:rPr>
          <w:rFonts w:asciiTheme="majorHAnsi" w:hAnsiTheme="majorHAnsi"/>
          <w:sz w:val="24"/>
          <w:szCs w:val="24"/>
        </w:rPr>
        <w:t xml:space="preserve">s </w:t>
      </w:r>
      <w:r>
        <w:rPr>
          <w:rFonts w:asciiTheme="majorHAnsi" w:hAnsiTheme="majorHAnsi"/>
          <w:sz w:val="24"/>
          <w:szCs w:val="24"/>
        </w:rPr>
        <w:t>Children’s Bureau</w:t>
      </w:r>
      <w:r w:rsidR="006A0C12">
        <w:rPr>
          <w:rFonts w:asciiTheme="majorHAnsi" w:hAnsiTheme="majorHAnsi"/>
          <w:sz w:val="24"/>
          <w:szCs w:val="24"/>
        </w:rPr>
        <w:t xml:space="preserve"> funded research and </w:t>
      </w:r>
      <w:r w:rsidR="00EE447F">
        <w:rPr>
          <w:rFonts w:asciiTheme="majorHAnsi" w:hAnsiTheme="majorHAnsi"/>
          <w:sz w:val="24"/>
          <w:szCs w:val="24"/>
        </w:rPr>
        <w:t>Child Welfare Information Gateway.</w:t>
      </w:r>
      <w:r>
        <w:rPr>
          <w:rFonts w:asciiTheme="majorHAnsi" w:hAnsiTheme="majorHAnsi"/>
          <w:sz w:val="24"/>
          <w:szCs w:val="24"/>
        </w:rPr>
        <w:t xml:space="preserve"> </w:t>
      </w:r>
      <w:r w:rsidR="00EE447F">
        <w:rPr>
          <w:rFonts w:asciiTheme="majorHAnsi" w:hAnsiTheme="majorHAnsi"/>
          <w:sz w:val="24"/>
          <w:szCs w:val="24"/>
        </w:rPr>
        <w:t xml:space="preserve"> In addition, CDC searched the published research literature and is an active member in Federal Interagency Workgroups focused on adverse childhood experiences and the opioid epidemic</w:t>
      </w:r>
      <w:r w:rsidR="00E07168">
        <w:rPr>
          <w:rFonts w:asciiTheme="majorHAnsi" w:hAnsiTheme="majorHAnsi"/>
          <w:sz w:val="24"/>
          <w:szCs w:val="24"/>
        </w:rPr>
        <w:t>, through which member agencies share information about ongoing activities, including research, in this space</w:t>
      </w:r>
      <w:r w:rsidR="00EE447F">
        <w:rPr>
          <w:rFonts w:asciiTheme="majorHAnsi" w:hAnsiTheme="majorHAnsi"/>
          <w:sz w:val="24"/>
          <w:szCs w:val="24"/>
        </w:rPr>
        <w:t>.</w:t>
      </w:r>
      <w:r w:rsidR="006821A8">
        <w:rPr>
          <w:rFonts w:asciiTheme="majorHAnsi" w:hAnsiTheme="majorHAnsi"/>
          <w:sz w:val="24"/>
          <w:szCs w:val="24"/>
        </w:rPr>
        <w:t xml:space="preserve"> Through these groups we consulted with HRSA’s Office of Rural Health about ASPE’s rural substudy as well as with SAMHSA’s staff working on early childhood issues. We also discussed the effort with CMS staff working on their Maternal Opioid Misuse financing models. </w:t>
      </w:r>
      <w:r w:rsidR="00EE447F">
        <w:rPr>
          <w:rFonts w:asciiTheme="majorHAnsi" w:hAnsiTheme="majorHAnsi"/>
          <w:sz w:val="24"/>
          <w:szCs w:val="24"/>
        </w:rPr>
        <w:t xml:space="preserve"> </w:t>
      </w:r>
      <w:r w:rsidR="00D82619" w:rsidRPr="00710F8A">
        <w:rPr>
          <w:rFonts w:asciiTheme="majorHAnsi" w:hAnsiTheme="majorHAnsi"/>
          <w:sz w:val="24"/>
          <w:szCs w:val="24"/>
        </w:rPr>
        <w:t xml:space="preserve">It is our understanding </w:t>
      </w:r>
      <w:r w:rsidR="006821A8">
        <w:rPr>
          <w:rFonts w:asciiTheme="majorHAnsi" w:hAnsiTheme="majorHAnsi"/>
          <w:sz w:val="24"/>
          <w:szCs w:val="24"/>
        </w:rPr>
        <w:t xml:space="preserve">from our literature review, outreach through working groups, and individual staff outreach to relevant agencies, </w:t>
      </w:r>
      <w:r w:rsidR="00D82619" w:rsidRPr="00710F8A">
        <w:rPr>
          <w:rFonts w:asciiTheme="majorHAnsi" w:hAnsiTheme="majorHAnsi"/>
          <w:sz w:val="24"/>
          <w:szCs w:val="24"/>
        </w:rPr>
        <w:t xml:space="preserve">that no other prior or current research efforts have substantial overlap with our proposed study. </w:t>
      </w:r>
      <w:r w:rsidR="001836CF">
        <w:rPr>
          <w:rFonts w:asciiTheme="majorHAnsi" w:hAnsiTheme="majorHAnsi"/>
          <w:sz w:val="24"/>
          <w:szCs w:val="24"/>
        </w:rPr>
        <w:t>To our knowledge, ASPE and CDC</w:t>
      </w:r>
      <w:r w:rsidR="001836CF" w:rsidRPr="00710F8A">
        <w:rPr>
          <w:rFonts w:asciiTheme="majorHAnsi" w:hAnsiTheme="majorHAnsi"/>
          <w:sz w:val="24"/>
          <w:szCs w:val="24"/>
        </w:rPr>
        <w:t xml:space="preserve"> </w:t>
      </w:r>
      <w:r w:rsidR="00D82619" w:rsidRPr="00710F8A">
        <w:rPr>
          <w:rFonts w:asciiTheme="majorHAnsi" w:hAnsiTheme="majorHAnsi"/>
          <w:sz w:val="24"/>
          <w:szCs w:val="24"/>
        </w:rPr>
        <w:t xml:space="preserve">are </w:t>
      </w:r>
      <w:r w:rsidR="001836CF">
        <w:rPr>
          <w:rFonts w:asciiTheme="majorHAnsi" w:hAnsiTheme="majorHAnsi"/>
          <w:sz w:val="24"/>
          <w:szCs w:val="24"/>
        </w:rPr>
        <w:t>the only federal agencies funding a multicomponent study of this nature.</w:t>
      </w:r>
    </w:p>
    <w:p w14:paraId="73C3BC4D" w14:textId="6A5A2DD2" w:rsidR="00B12F51" w:rsidRPr="001862EA" w:rsidRDefault="00B47055" w:rsidP="00D558F8">
      <w:pPr>
        <w:pStyle w:val="ListParagraph"/>
        <w:numPr>
          <w:ilvl w:val="0"/>
          <w:numId w:val="3"/>
        </w:numPr>
        <w:spacing w:after="120" w:line="240" w:lineRule="auto"/>
        <w:contextualSpacing w:val="0"/>
        <w:rPr>
          <w:rFonts w:asciiTheme="majorHAnsi" w:hAnsiTheme="majorHAnsi"/>
          <w:b/>
          <w:sz w:val="24"/>
          <w:szCs w:val="24"/>
        </w:rPr>
      </w:pPr>
      <w:r w:rsidRPr="001862EA">
        <w:rPr>
          <w:rFonts w:asciiTheme="majorHAnsi" w:hAnsiTheme="majorHAnsi"/>
          <w:b/>
          <w:bCs/>
          <w:sz w:val="24"/>
          <w:szCs w:val="24"/>
        </w:rPr>
        <w:t>Impact on Small Businesses or Other Small Entities</w:t>
      </w:r>
    </w:p>
    <w:p w14:paraId="5473234A" w14:textId="25378EFB" w:rsidR="000F4B8C" w:rsidRDefault="00D31D3B" w:rsidP="000F4B8C">
      <w:pPr>
        <w:pStyle w:val="ListParagraph"/>
        <w:spacing w:line="240" w:lineRule="auto"/>
        <w:ind w:left="360"/>
        <w:contextualSpacing w:val="0"/>
        <w:rPr>
          <w:rFonts w:asciiTheme="majorHAnsi" w:hAnsiTheme="majorHAnsi"/>
          <w:sz w:val="24"/>
          <w:szCs w:val="24"/>
        </w:rPr>
      </w:pPr>
      <w:r w:rsidRPr="002E653F">
        <w:rPr>
          <w:rFonts w:asciiTheme="majorHAnsi" w:hAnsiTheme="majorHAnsi"/>
          <w:sz w:val="24"/>
          <w:szCs w:val="24"/>
        </w:rPr>
        <w:t>Some</w:t>
      </w:r>
      <w:r w:rsidR="00CA1631" w:rsidRPr="002E653F">
        <w:rPr>
          <w:rFonts w:asciiTheme="majorHAnsi" w:hAnsiTheme="majorHAnsi"/>
          <w:sz w:val="24"/>
          <w:szCs w:val="24"/>
        </w:rPr>
        <w:t xml:space="preserve"> data collection</w:t>
      </w:r>
      <w:r w:rsidR="00C73CED" w:rsidRPr="002E653F">
        <w:rPr>
          <w:rFonts w:asciiTheme="majorHAnsi" w:hAnsiTheme="majorHAnsi"/>
          <w:sz w:val="24"/>
          <w:szCs w:val="24"/>
        </w:rPr>
        <w:t xml:space="preserve"> </w:t>
      </w:r>
      <w:r w:rsidRPr="002E653F">
        <w:rPr>
          <w:rFonts w:asciiTheme="majorHAnsi" w:hAnsiTheme="majorHAnsi"/>
          <w:sz w:val="24"/>
          <w:szCs w:val="24"/>
        </w:rPr>
        <w:t>participants</w:t>
      </w:r>
      <w:r w:rsidR="00C73CED" w:rsidRPr="002E653F">
        <w:rPr>
          <w:rFonts w:asciiTheme="majorHAnsi" w:hAnsiTheme="majorHAnsi"/>
          <w:sz w:val="24"/>
          <w:szCs w:val="24"/>
        </w:rPr>
        <w:t xml:space="preserve"> </w:t>
      </w:r>
      <w:r w:rsidR="00CA1631" w:rsidRPr="002E653F">
        <w:rPr>
          <w:rFonts w:asciiTheme="majorHAnsi" w:hAnsiTheme="majorHAnsi"/>
          <w:sz w:val="24"/>
          <w:szCs w:val="24"/>
        </w:rPr>
        <w:t>will include</w:t>
      </w:r>
      <w:r w:rsidR="00C73CED" w:rsidRPr="002E653F">
        <w:rPr>
          <w:rFonts w:asciiTheme="majorHAnsi" w:hAnsiTheme="majorHAnsi"/>
          <w:sz w:val="24"/>
          <w:szCs w:val="24"/>
        </w:rPr>
        <w:t xml:space="preserve"> individuals from public </w:t>
      </w:r>
      <w:r w:rsidR="00205B12" w:rsidRPr="002E653F">
        <w:rPr>
          <w:rFonts w:asciiTheme="majorHAnsi" w:hAnsiTheme="majorHAnsi"/>
          <w:sz w:val="24"/>
          <w:szCs w:val="24"/>
        </w:rPr>
        <w:t xml:space="preserve">and private </w:t>
      </w:r>
      <w:r w:rsidR="00C73CED" w:rsidRPr="002E653F">
        <w:rPr>
          <w:rFonts w:asciiTheme="majorHAnsi" w:hAnsiTheme="majorHAnsi"/>
          <w:sz w:val="24"/>
          <w:szCs w:val="24"/>
        </w:rPr>
        <w:t>agencies, such as the child welfare system</w:t>
      </w:r>
      <w:r w:rsidR="00205B12" w:rsidRPr="002E653F">
        <w:rPr>
          <w:rFonts w:asciiTheme="majorHAnsi" w:hAnsiTheme="majorHAnsi"/>
          <w:sz w:val="24"/>
          <w:szCs w:val="24"/>
        </w:rPr>
        <w:t xml:space="preserve"> and healthcare practices</w:t>
      </w:r>
      <w:r w:rsidR="00C73CED" w:rsidRPr="002E653F">
        <w:rPr>
          <w:rFonts w:asciiTheme="majorHAnsi" w:hAnsiTheme="majorHAnsi"/>
          <w:sz w:val="24"/>
          <w:szCs w:val="24"/>
        </w:rPr>
        <w:t>; however, these data collections will not have a significant impac</w:t>
      </w:r>
      <w:r w:rsidR="00932C4F">
        <w:rPr>
          <w:rFonts w:asciiTheme="majorHAnsi" w:hAnsiTheme="majorHAnsi"/>
          <w:sz w:val="24"/>
          <w:szCs w:val="24"/>
        </w:rPr>
        <w:t xml:space="preserve">t on the agencies or entities. </w:t>
      </w:r>
    </w:p>
    <w:p w14:paraId="4C03882E" w14:textId="1D674253" w:rsidR="00C73CED" w:rsidRPr="002E653F" w:rsidRDefault="000F4B8C" w:rsidP="002E653F">
      <w:pPr>
        <w:pStyle w:val="ListParagraph"/>
        <w:spacing w:after="0" w:line="240" w:lineRule="auto"/>
        <w:ind w:left="360"/>
        <w:contextualSpacing w:val="0"/>
        <w:rPr>
          <w:rFonts w:asciiTheme="majorHAnsi" w:hAnsiTheme="majorHAnsi"/>
          <w:sz w:val="24"/>
          <w:szCs w:val="24"/>
        </w:rPr>
      </w:pPr>
      <w:r>
        <w:rPr>
          <w:rFonts w:asciiTheme="majorHAnsi" w:hAnsiTheme="majorHAnsi"/>
          <w:sz w:val="24"/>
          <w:szCs w:val="24"/>
        </w:rPr>
        <w:t>F</w:t>
      </w:r>
      <w:r w:rsidR="00932C4F">
        <w:rPr>
          <w:rFonts w:asciiTheme="majorHAnsi" w:hAnsiTheme="majorHAnsi"/>
          <w:sz w:val="24"/>
          <w:szCs w:val="24"/>
        </w:rPr>
        <w:t xml:space="preserve">or the </w:t>
      </w:r>
      <w:r w:rsidR="00932C4F" w:rsidRPr="000F4B8C">
        <w:rPr>
          <w:rFonts w:asciiTheme="majorHAnsi" w:hAnsiTheme="majorHAnsi"/>
          <w:i/>
          <w:sz w:val="24"/>
          <w:szCs w:val="24"/>
        </w:rPr>
        <w:t>Community Burden Substudy</w:t>
      </w:r>
      <w:r w:rsidR="00932C4F">
        <w:rPr>
          <w:rFonts w:asciiTheme="majorHAnsi" w:hAnsiTheme="majorHAnsi"/>
          <w:sz w:val="24"/>
          <w:szCs w:val="24"/>
        </w:rPr>
        <w:t xml:space="preserve">, we </w:t>
      </w:r>
      <w:r>
        <w:rPr>
          <w:rFonts w:asciiTheme="majorHAnsi" w:hAnsiTheme="majorHAnsi"/>
          <w:sz w:val="24"/>
          <w:szCs w:val="24"/>
        </w:rPr>
        <w:t xml:space="preserve">also </w:t>
      </w:r>
      <w:r w:rsidR="00932C4F">
        <w:rPr>
          <w:rFonts w:asciiTheme="majorHAnsi" w:hAnsiTheme="majorHAnsi"/>
          <w:sz w:val="24"/>
          <w:szCs w:val="24"/>
        </w:rPr>
        <w:t xml:space="preserve">will </w:t>
      </w:r>
      <w:r w:rsidR="0000634A">
        <w:rPr>
          <w:rFonts w:asciiTheme="majorHAnsi" w:hAnsiTheme="majorHAnsi"/>
          <w:sz w:val="24"/>
          <w:szCs w:val="24"/>
        </w:rPr>
        <w:t xml:space="preserve">work closely with a representative </w:t>
      </w:r>
      <w:r w:rsidR="00932C4F">
        <w:rPr>
          <w:rFonts w:asciiTheme="majorHAnsi" w:hAnsiTheme="majorHAnsi"/>
          <w:sz w:val="24"/>
          <w:szCs w:val="24"/>
        </w:rPr>
        <w:t xml:space="preserve">from </w:t>
      </w:r>
      <w:r w:rsidR="0000634A">
        <w:rPr>
          <w:rFonts w:asciiTheme="majorHAnsi" w:hAnsiTheme="majorHAnsi"/>
          <w:sz w:val="24"/>
          <w:szCs w:val="24"/>
        </w:rPr>
        <w:t xml:space="preserve">each </w:t>
      </w:r>
      <w:r w:rsidR="00932C4F">
        <w:rPr>
          <w:rFonts w:asciiTheme="majorHAnsi" w:hAnsiTheme="majorHAnsi"/>
          <w:sz w:val="24"/>
          <w:szCs w:val="24"/>
        </w:rPr>
        <w:t xml:space="preserve">local child welfare agency to serve as a site liaison. There will be 6 site liaisons in total. The site liaison will </w:t>
      </w:r>
      <w:r w:rsidR="0000634A">
        <w:rPr>
          <w:rFonts w:asciiTheme="majorHAnsi" w:hAnsiTheme="majorHAnsi"/>
          <w:sz w:val="24"/>
          <w:szCs w:val="24"/>
        </w:rPr>
        <w:t>help support</w:t>
      </w:r>
      <w:r w:rsidR="00932C4F">
        <w:rPr>
          <w:rFonts w:asciiTheme="majorHAnsi" w:hAnsiTheme="majorHAnsi"/>
          <w:sz w:val="24"/>
          <w:szCs w:val="24"/>
        </w:rPr>
        <w:t xml:space="preserve"> identifying and recruiting parents and caregivers involved with the agency to participate in KIIs and focus groups during the site visit. The CBS contractor will work with an administrator from the child welfare agency to </w:t>
      </w:r>
      <w:r>
        <w:rPr>
          <w:rFonts w:asciiTheme="majorHAnsi" w:hAnsiTheme="majorHAnsi"/>
          <w:sz w:val="24"/>
          <w:szCs w:val="24"/>
        </w:rPr>
        <w:t xml:space="preserve">approve this role, </w:t>
      </w:r>
      <w:r w:rsidR="00932C4F">
        <w:rPr>
          <w:rFonts w:asciiTheme="majorHAnsi" w:hAnsiTheme="majorHAnsi"/>
          <w:sz w:val="24"/>
          <w:szCs w:val="24"/>
        </w:rPr>
        <w:t>identify a</w:t>
      </w:r>
      <w:r>
        <w:rPr>
          <w:rFonts w:asciiTheme="majorHAnsi" w:hAnsiTheme="majorHAnsi"/>
          <w:sz w:val="24"/>
          <w:szCs w:val="24"/>
        </w:rPr>
        <w:t>n appropriate individual, and ensure that study-related responsibilities do not significantly impact the individual or agency.</w:t>
      </w:r>
      <w:r w:rsidR="00932C4F">
        <w:rPr>
          <w:rFonts w:asciiTheme="majorHAnsi" w:hAnsiTheme="majorHAnsi"/>
          <w:sz w:val="24"/>
          <w:szCs w:val="24"/>
        </w:rPr>
        <w:t xml:space="preserve"> </w:t>
      </w:r>
      <w:r>
        <w:rPr>
          <w:rFonts w:asciiTheme="majorHAnsi" w:hAnsiTheme="majorHAnsi"/>
          <w:sz w:val="24"/>
          <w:szCs w:val="24"/>
        </w:rPr>
        <w:t xml:space="preserve"> </w:t>
      </w:r>
      <w:r w:rsidR="00932C4F">
        <w:rPr>
          <w:rFonts w:asciiTheme="majorHAnsi" w:hAnsiTheme="majorHAnsi"/>
          <w:sz w:val="24"/>
          <w:szCs w:val="24"/>
        </w:rPr>
        <w:t xml:space="preserve"> </w:t>
      </w:r>
    </w:p>
    <w:p w14:paraId="7354B0F6" w14:textId="624E9DBD" w:rsidR="003041CC" w:rsidRPr="003041CC" w:rsidRDefault="003041CC" w:rsidP="00D558F8">
      <w:pPr>
        <w:pStyle w:val="SuicideBodyText"/>
        <w:keepNext/>
        <w:numPr>
          <w:ilvl w:val="0"/>
          <w:numId w:val="3"/>
        </w:numPr>
        <w:spacing w:before="200" w:after="120"/>
        <w:rPr>
          <w:rFonts w:asciiTheme="majorHAnsi" w:hAnsiTheme="majorHAnsi" w:cs="Arial"/>
          <w:b/>
          <w:szCs w:val="28"/>
        </w:rPr>
      </w:pPr>
      <w:r w:rsidRPr="003041CC">
        <w:rPr>
          <w:rFonts w:asciiTheme="majorHAnsi" w:hAnsiTheme="majorHAnsi" w:cs="Arial"/>
          <w:b/>
          <w:szCs w:val="28"/>
        </w:rPr>
        <w:t>Consequences if Information Collected Less Frequently</w:t>
      </w:r>
    </w:p>
    <w:p w14:paraId="43B20F59" w14:textId="531309AC" w:rsidR="00E94E5B" w:rsidRDefault="00607F7C" w:rsidP="00E94E5B">
      <w:pPr>
        <w:spacing w:line="240" w:lineRule="auto"/>
        <w:ind w:left="360"/>
        <w:rPr>
          <w:rFonts w:asciiTheme="majorHAnsi" w:hAnsiTheme="majorHAnsi"/>
          <w:sz w:val="24"/>
          <w:szCs w:val="24"/>
        </w:rPr>
      </w:pPr>
      <w:r w:rsidRPr="00D31D3B">
        <w:rPr>
          <w:rFonts w:asciiTheme="majorHAnsi" w:hAnsiTheme="majorHAnsi"/>
          <w:sz w:val="24"/>
          <w:szCs w:val="24"/>
        </w:rPr>
        <w:t xml:space="preserve">This request </w:t>
      </w:r>
      <w:r w:rsidR="00D31D3B">
        <w:rPr>
          <w:rFonts w:asciiTheme="majorHAnsi" w:hAnsiTheme="majorHAnsi"/>
          <w:sz w:val="24"/>
          <w:szCs w:val="24"/>
        </w:rPr>
        <w:t>represents</w:t>
      </w:r>
      <w:r w:rsidRPr="00D31D3B">
        <w:rPr>
          <w:rFonts w:asciiTheme="majorHAnsi" w:hAnsiTheme="majorHAnsi"/>
          <w:sz w:val="24"/>
          <w:szCs w:val="24"/>
        </w:rPr>
        <w:t xml:space="preserve"> </w:t>
      </w:r>
      <w:r w:rsidR="00667C89" w:rsidRPr="00D31D3B">
        <w:rPr>
          <w:rFonts w:asciiTheme="majorHAnsi" w:hAnsiTheme="majorHAnsi"/>
          <w:sz w:val="24"/>
          <w:szCs w:val="24"/>
        </w:rPr>
        <w:t xml:space="preserve">a </w:t>
      </w:r>
      <w:r w:rsidR="00BC5BB2" w:rsidRPr="00D31D3B">
        <w:rPr>
          <w:rFonts w:asciiTheme="majorHAnsi" w:hAnsiTheme="majorHAnsi"/>
          <w:sz w:val="24"/>
          <w:szCs w:val="24"/>
        </w:rPr>
        <w:t>one</w:t>
      </w:r>
      <w:r w:rsidR="00277B41" w:rsidRPr="00D31D3B">
        <w:rPr>
          <w:rFonts w:asciiTheme="majorHAnsi" w:hAnsiTheme="majorHAnsi"/>
          <w:sz w:val="24"/>
          <w:szCs w:val="24"/>
        </w:rPr>
        <w:t>-</w:t>
      </w:r>
      <w:r w:rsidR="00BC5BB2" w:rsidRPr="00D31D3B">
        <w:rPr>
          <w:rFonts w:asciiTheme="majorHAnsi" w:hAnsiTheme="majorHAnsi"/>
          <w:sz w:val="24"/>
          <w:szCs w:val="24"/>
        </w:rPr>
        <w:t>time data collection</w:t>
      </w:r>
      <w:r w:rsidR="00A65502" w:rsidRPr="00D31D3B">
        <w:rPr>
          <w:rFonts w:asciiTheme="majorHAnsi" w:hAnsiTheme="majorHAnsi"/>
          <w:sz w:val="24"/>
          <w:szCs w:val="24"/>
        </w:rPr>
        <w:t xml:space="preserve"> across both </w:t>
      </w:r>
      <w:r w:rsidR="00D31D3B">
        <w:rPr>
          <w:rFonts w:asciiTheme="majorHAnsi" w:hAnsiTheme="majorHAnsi"/>
          <w:sz w:val="24"/>
          <w:szCs w:val="24"/>
        </w:rPr>
        <w:t>components</w:t>
      </w:r>
      <w:r w:rsidR="009117FE">
        <w:rPr>
          <w:rFonts w:asciiTheme="majorHAnsi" w:hAnsiTheme="majorHAnsi"/>
          <w:sz w:val="24"/>
          <w:szCs w:val="24"/>
        </w:rPr>
        <w:t xml:space="preserve"> of the “</w:t>
      </w:r>
      <w:r w:rsidR="009117FE" w:rsidRPr="00B85F5F">
        <w:rPr>
          <w:rFonts w:asciiTheme="majorHAnsi" w:hAnsiTheme="majorHAnsi"/>
          <w:sz w:val="24"/>
          <w:szCs w:val="24"/>
        </w:rPr>
        <w:t>Addressing Substance Use Disorders Among Families Involved with the Child Welfare System: A Cross-Agency Collaboration</w:t>
      </w:r>
      <w:r w:rsidR="009117FE">
        <w:rPr>
          <w:rFonts w:asciiTheme="majorHAnsi" w:hAnsiTheme="majorHAnsi"/>
          <w:sz w:val="24"/>
          <w:szCs w:val="24"/>
        </w:rPr>
        <w:t>”</w:t>
      </w:r>
      <w:r w:rsidR="00727535">
        <w:rPr>
          <w:rFonts w:asciiTheme="majorHAnsi" w:hAnsiTheme="majorHAnsi"/>
          <w:sz w:val="24"/>
          <w:szCs w:val="24"/>
        </w:rPr>
        <w:t xml:space="preserve"> study.</w:t>
      </w:r>
      <w:r w:rsidR="0053557D" w:rsidRPr="00D31D3B">
        <w:rPr>
          <w:rFonts w:asciiTheme="majorHAnsi" w:hAnsiTheme="majorHAnsi"/>
          <w:sz w:val="24"/>
          <w:szCs w:val="24"/>
        </w:rPr>
        <w:t xml:space="preserve"> </w:t>
      </w:r>
      <w:r w:rsidR="00E94E5B">
        <w:rPr>
          <w:rFonts w:asciiTheme="majorHAnsi" w:hAnsiTheme="majorHAnsi"/>
          <w:sz w:val="24"/>
          <w:szCs w:val="24"/>
        </w:rPr>
        <w:t xml:space="preserve">With drug overdose deaths </w:t>
      </w:r>
      <w:r w:rsidR="00650137">
        <w:rPr>
          <w:rFonts w:asciiTheme="majorHAnsi" w:hAnsiTheme="majorHAnsi"/>
          <w:sz w:val="24"/>
          <w:szCs w:val="24"/>
        </w:rPr>
        <w:t xml:space="preserve">recently </w:t>
      </w:r>
      <w:r w:rsidR="00E94E5B">
        <w:rPr>
          <w:rFonts w:asciiTheme="majorHAnsi" w:hAnsiTheme="majorHAnsi"/>
          <w:sz w:val="24"/>
          <w:szCs w:val="24"/>
        </w:rPr>
        <w:t xml:space="preserve">surpassing deaths from traffic accidents and child welfare entries </w:t>
      </w:r>
      <w:r w:rsidR="00162CBA">
        <w:rPr>
          <w:rFonts w:asciiTheme="majorHAnsi" w:hAnsiTheme="majorHAnsi"/>
          <w:sz w:val="24"/>
          <w:szCs w:val="24"/>
        </w:rPr>
        <w:t>on the rise</w:t>
      </w:r>
      <w:r w:rsidR="00E94E5B">
        <w:rPr>
          <w:rFonts w:asciiTheme="majorHAnsi" w:hAnsiTheme="majorHAnsi"/>
          <w:sz w:val="24"/>
          <w:szCs w:val="24"/>
        </w:rPr>
        <w:t xml:space="preserve">, ASPE and CDC are </w:t>
      </w:r>
      <w:r w:rsidR="00162CBA">
        <w:rPr>
          <w:rFonts w:asciiTheme="majorHAnsi" w:hAnsiTheme="majorHAnsi"/>
          <w:sz w:val="24"/>
          <w:szCs w:val="24"/>
        </w:rPr>
        <w:t>collaborating</w:t>
      </w:r>
      <w:r w:rsidR="00650137">
        <w:rPr>
          <w:rFonts w:asciiTheme="majorHAnsi" w:hAnsiTheme="majorHAnsi"/>
          <w:sz w:val="24"/>
          <w:szCs w:val="24"/>
        </w:rPr>
        <w:t xml:space="preserve"> to identify</w:t>
      </w:r>
      <w:r w:rsidR="00E94E5B">
        <w:rPr>
          <w:rFonts w:asciiTheme="majorHAnsi" w:hAnsiTheme="majorHAnsi"/>
          <w:sz w:val="24"/>
          <w:szCs w:val="24"/>
        </w:rPr>
        <w:t xml:space="preserve"> </w:t>
      </w:r>
      <w:r w:rsidR="00650137">
        <w:rPr>
          <w:rFonts w:asciiTheme="majorHAnsi" w:hAnsiTheme="majorHAnsi"/>
          <w:sz w:val="24"/>
          <w:szCs w:val="24"/>
        </w:rPr>
        <w:t xml:space="preserve">feasible strategies </w:t>
      </w:r>
      <w:r w:rsidR="00162CBA">
        <w:rPr>
          <w:rFonts w:asciiTheme="majorHAnsi" w:hAnsiTheme="majorHAnsi"/>
          <w:sz w:val="24"/>
          <w:szCs w:val="24"/>
        </w:rPr>
        <w:t xml:space="preserve">with </w:t>
      </w:r>
      <w:r w:rsidR="00650137">
        <w:rPr>
          <w:rFonts w:asciiTheme="majorHAnsi" w:hAnsiTheme="majorHAnsi"/>
          <w:sz w:val="24"/>
          <w:szCs w:val="24"/>
        </w:rPr>
        <w:t xml:space="preserve">the </w:t>
      </w:r>
      <w:r w:rsidR="00162CBA">
        <w:rPr>
          <w:rFonts w:asciiTheme="majorHAnsi" w:hAnsiTheme="majorHAnsi"/>
          <w:sz w:val="24"/>
          <w:szCs w:val="24"/>
        </w:rPr>
        <w:t>potential to</w:t>
      </w:r>
      <w:r w:rsidR="00E94E5B">
        <w:rPr>
          <w:rFonts w:asciiTheme="majorHAnsi" w:hAnsiTheme="majorHAnsi"/>
          <w:sz w:val="24"/>
          <w:szCs w:val="24"/>
        </w:rPr>
        <w:t xml:space="preserve"> help struggling communities overcome</w:t>
      </w:r>
      <w:r w:rsidR="00162CBA">
        <w:rPr>
          <w:rFonts w:asciiTheme="majorHAnsi" w:hAnsiTheme="majorHAnsi"/>
          <w:sz w:val="24"/>
          <w:szCs w:val="24"/>
        </w:rPr>
        <w:t xml:space="preserve"> these issues.</w:t>
      </w:r>
      <w:r w:rsidR="00E94E5B">
        <w:rPr>
          <w:rFonts w:asciiTheme="majorHAnsi" w:hAnsiTheme="majorHAnsi"/>
          <w:sz w:val="24"/>
          <w:szCs w:val="24"/>
        </w:rPr>
        <w:t xml:space="preserve">  </w:t>
      </w:r>
    </w:p>
    <w:p w14:paraId="7F23B67F" w14:textId="77777777" w:rsidR="00993D53" w:rsidRDefault="00A23BBA" w:rsidP="00803D76">
      <w:pPr>
        <w:spacing w:line="240" w:lineRule="auto"/>
        <w:ind w:left="360"/>
        <w:rPr>
          <w:rFonts w:asciiTheme="majorHAnsi" w:hAnsiTheme="majorHAnsi"/>
          <w:sz w:val="24"/>
          <w:szCs w:val="24"/>
        </w:rPr>
      </w:pPr>
      <w:r w:rsidRPr="00D31D3B">
        <w:rPr>
          <w:rFonts w:asciiTheme="majorHAnsi" w:hAnsiTheme="majorHAnsi"/>
          <w:sz w:val="24"/>
          <w:szCs w:val="24"/>
        </w:rPr>
        <w:t>If data are not collected</w:t>
      </w:r>
      <w:r w:rsidR="00A65502" w:rsidRPr="00D31D3B">
        <w:rPr>
          <w:rFonts w:asciiTheme="majorHAnsi" w:hAnsiTheme="majorHAnsi"/>
          <w:sz w:val="24"/>
          <w:szCs w:val="24"/>
        </w:rPr>
        <w:t xml:space="preserve"> </w:t>
      </w:r>
      <w:r w:rsidR="00D31D3B">
        <w:rPr>
          <w:rFonts w:asciiTheme="majorHAnsi" w:hAnsiTheme="majorHAnsi"/>
          <w:sz w:val="24"/>
          <w:szCs w:val="24"/>
        </w:rPr>
        <w:t>as part of</w:t>
      </w:r>
      <w:r w:rsidR="00A65502" w:rsidRPr="00D31D3B">
        <w:rPr>
          <w:rFonts w:asciiTheme="majorHAnsi" w:hAnsiTheme="majorHAnsi"/>
          <w:sz w:val="24"/>
          <w:szCs w:val="24"/>
        </w:rPr>
        <w:t xml:space="preserve"> the</w:t>
      </w:r>
      <w:r w:rsidR="009117FE">
        <w:rPr>
          <w:rFonts w:asciiTheme="majorHAnsi" w:hAnsiTheme="majorHAnsi"/>
          <w:sz w:val="24"/>
          <w:szCs w:val="24"/>
        </w:rPr>
        <w:t xml:space="preserve"> </w:t>
      </w:r>
      <w:r w:rsidR="009117FE" w:rsidRPr="003801E6">
        <w:rPr>
          <w:rFonts w:asciiTheme="majorHAnsi" w:hAnsiTheme="majorHAnsi"/>
          <w:i/>
          <w:sz w:val="24"/>
          <w:szCs w:val="24"/>
        </w:rPr>
        <w:t>Rural Communities Substudy</w:t>
      </w:r>
      <w:r w:rsidR="00EC13BB" w:rsidRPr="00D31D3B">
        <w:rPr>
          <w:rFonts w:asciiTheme="majorHAnsi" w:hAnsiTheme="majorHAnsi"/>
          <w:sz w:val="24"/>
          <w:szCs w:val="24"/>
        </w:rPr>
        <w:t>,</w:t>
      </w:r>
      <w:r w:rsidRPr="00D31D3B">
        <w:rPr>
          <w:rFonts w:asciiTheme="majorHAnsi" w:hAnsiTheme="majorHAnsi"/>
          <w:sz w:val="24"/>
          <w:szCs w:val="24"/>
        </w:rPr>
        <w:t xml:space="preserve"> </w:t>
      </w:r>
      <w:r w:rsidR="00E625F2" w:rsidRPr="00D31D3B">
        <w:rPr>
          <w:rFonts w:asciiTheme="majorHAnsi" w:hAnsiTheme="majorHAnsi"/>
          <w:sz w:val="24"/>
          <w:szCs w:val="24"/>
        </w:rPr>
        <w:t>rural communities</w:t>
      </w:r>
      <w:r w:rsidR="00F91271" w:rsidRPr="00D31D3B">
        <w:rPr>
          <w:rFonts w:asciiTheme="majorHAnsi" w:hAnsiTheme="majorHAnsi"/>
          <w:sz w:val="24"/>
          <w:szCs w:val="24"/>
        </w:rPr>
        <w:t>, policymakers, and other stakeholder</w:t>
      </w:r>
      <w:r w:rsidR="00277B41" w:rsidRPr="00D31D3B">
        <w:rPr>
          <w:rFonts w:asciiTheme="majorHAnsi" w:hAnsiTheme="majorHAnsi"/>
          <w:sz w:val="24"/>
          <w:szCs w:val="24"/>
        </w:rPr>
        <w:t>s</w:t>
      </w:r>
      <w:r w:rsidR="00E625F2" w:rsidRPr="00D31D3B">
        <w:rPr>
          <w:rFonts w:asciiTheme="majorHAnsi" w:hAnsiTheme="majorHAnsi"/>
          <w:sz w:val="24"/>
          <w:szCs w:val="24"/>
        </w:rPr>
        <w:t xml:space="preserve"> might have le</w:t>
      </w:r>
      <w:r w:rsidR="00F91271" w:rsidRPr="00D31D3B">
        <w:rPr>
          <w:rFonts w:asciiTheme="majorHAnsi" w:hAnsiTheme="majorHAnsi"/>
          <w:sz w:val="24"/>
          <w:szCs w:val="24"/>
        </w:rPr>
        <w:t xml:space="preserve">ss information about </w:t>
      </w:r>
      <w:r w:rsidR="00277B41" w:rsidRPr="00D31D3B">
        <w:rPr>
          <w:rFonts w:asciiTheme="majorHAnsi" w:hAnsiTheme="majorHAnsi"/>
          <w:sz w:val="24"/>
          <w:szCs w:val="24"/>
        </w:rPr>
        <w:t xml:space="preserve">(1) </w:t>
      </w:r>
      <w:r w:rsidR="00F91271" w:rsidRPr="00D31D3B">
        <w:rPr>
          <w:rFonts w:asciiTheme="majorHAnsi" w:hAnsiTheme="majorHAnsi"/>
          <w:sz w:val="24"/>
          <w:szCs w:val="24"/>
        </w:rPr>
        <w:t>which strategies are p</w:t>
      </w:r>
      <w:r w:rsidR="00E625F2" w:rsidRPr="00D31D3B">
        <w:rPr>
          <w:rFonts w:asciiTheme="majorHAnsi" w:hAnsiTheme="majorHAnsi"/>
          <w:sz w:val="24"/>
          <w:szCs w:val="24"/>
        </w:rPr>
        <w:t xml:space="preserve">romising </w:t>
      </w:r>
      <w:r w:rsidR="003B574B" w:rsidRPr="00D31D3B">
        <w:rPr>
          <w:rFonts w:asciiTheme="majorHAnsi" w:hAnsiTheme="majorHAnsi"/>
          <w:sz w:val="24"/>
          <w:szCs w:val="24"/>
        </w:rPr>
        <w:t>to address substance use among child-welfare</w:t>
      </w:r>
      <w:r w:rsidR="00277B41" w:rsidRPr="00D31D3B">
        <w:rPr>
          <w:rFonts w:asciiTheme="majorHAnsi" w:hAnsiTheme="majorHAnsi"/>
          <w:sz w:val="24"/>
          <w:szCs w:val="24"/>
        </w:rPr>
        <w:t>-</w:t>
      </w:r>
      <w:r w:rsidR="003B574B" w:rsidRPr="00D31D3B">
        <w:rPr>
          <w:rFonts w:asciiTheme="majorHAnsi" w:hAnsiTheme="majorHAnsi"/>
          <w:sz w:val="24"/>
          <w:szCs w:val="24"/>
        </w:rPr>
        <w:t>involved families in rural communities</w:t>
      </w:r>
      <w:r w:rsidR="00F91271" w:rsidRPr="00D31D3B">
        <w:rPr>
          <w:rFonts w:asciiTheme="majorHAnsi" w:hAnsiTheme="majorHAnsi"/>
          <w:sz w:val="24"/>
          <w:szCs w:val="24"/>
        </w:rPr>
        <w:t xml:space="preserve">, </w:t>
      </w:r>
      <w:r w:rsidR="00277B41" w:rsidRPr="00D31D3B">
        <w:rPr>
          <w:rFonts w:asciiTheme="majorHAnsi" w:hAnsiTheme="majorHAnsi"/>
          <w:sz w:val="24"/>
          <w:szCs w:val="24"/>
        </w:rPr>
        <w:t xml:space="preserve">(2) </w:t>
      </w:r>
      <w:r w:rsidR="00F91271" w:rsidRPr="00D31D3B">
        <w:rPr>
          <w:rFonts w:asciiTheme="majorHAnsi" w:hAnsiTheme="majorHAnsi"/>
          <w:sz w:val="24"/>
          <w:szCs w:val="24"/>
        </w:rPr>
        <w:t>how these strategies m</w:t>
      </w:r>
      <w:r w:rsidR="00277B41" w:rsidRPr="00D31D3B">
        <w:rPr>
          <w:rFonts w:asciiTheme="majorHAnsi" w:hAnsiTheme="majorHAnsi"/>
          <w:sz w:val="24"/>
          <w:szCs w:val="24"/>
        </w:rPr>
        <w:t>ight</w:t>
      </w:r>
      <w:r w:rsidR="00F91271" w:rsidRPr="00D31D3B">
        <w:rPr>
          <w:rFonts w:asciiTheme="majorHAnsi" w:hAnsiTheme="majorHAnsi"/>
          <w:sz w:val="24"/>
          <w:szCs w:val="24"/>
        </w:rPr>
        <w:t xml:space="preserve"> address challenges in their </w:t>
      </w:r>
      <w:r w:rsidR="003B574B" w:rsidRPr="00D31D3B">
        <w:rPr>
          <w:rFonts w:asciiTheme="majorHAnsi" w:hAnsiTheme="majorHAnsi"/>
          <w:sz w:val="24"/>
          <w:szCs w:val="24"/>
        </w:rPr>
        <w:t>communities</w:t>
      </w:r>
      <w:r w:rsidR="00F91271" w:rsidRPr="00D31D3B">
        <w:rPr>
          <w:rFonts w:asciiTheme="majorHAnsi" w:hAnsiTheme="majorHAnsi"/>
          <w:sz w:val="24"/>
          <w:szCs w:val="24"/>
        </w:rPr>
        <w:t xml:space="preserve">, and </w:t>
      </w:r>
      <w:r w:rsidR="00277B41" w:rsidRPr="00D31D3B">
        <w:rPr>
          <w:rFonts w:asciiTheme="majorHAnsi" w:hAnsiTheme="majorHAnsi"/>
          <w:sz w:val="24"/>
          <w:szCs w:val="24"/>
        </w:rPr>
        <w:t xml:space="preserve">(3) </w:t>
      </w:r>
      <w:r w:rsidR="00F91271" w:rsidRPr="00D31D3B">
        <w:rPr>
          <w:rFonts w:asciiTheme="majorHAnsi" w:hAnsiTheme="majorHAnsi"/>
          <w:sz w:val="24"/>
          <w:szCs w:val="24"/>
        </w:rPr>
        <w:t xml:space="preserve">how </w:t>
      </w:r>
      <w:r w:rsidR="00277B41" w:rsidRPr="00D31D3B">
        <w:rPr>
          <w:rFonts w:asciiTheme="majorHAnsi" w:hAnsiTheme="majorHAnsi"/>
          <w:sz w:val="24"/>
          <w:szCs w:val="24"/>
        </w:rPr>
        <w:t xml:space="preserve">opportunities </w:t>
      </w:r>
      <w:r w:rsidR="00F91271" w:rsidRPr="00D31D3B">
        <w:rPr>
          <w:rFonts w:asciiTheme="majorHAnsi" w:hAnsiTheme="majorHAnsi"/>
          <w:sz w:val="24"/>
          <w:szCs w:val="24"/>
        </w:rPr>
        <w:t>m</w:t>
      </w:r>
      <w:r w:rsidR="00277B41" w:rsidRPr="00D31D3B">
        <w:rPr>
          <w:rFonts w:asciiTheme="majorHAnsi" w:hAnsiTheme="majorHAnsi"/>
          <w:sz w:val="24"/>
          <w:szCs w:val="24"/>
        </w:rPr>
        <w:t>ight</w:t>
      </w:r>
      <w:r w:rsidR="00F91271" w:rsidRPr="00D31D3B">
        <w:rPr>
          <w:rFonts w:asciiTheme="majorHAnsi" w:hAnsiTheme="majorHAnsi"/>
          <w:sz w:val="24"/>
          <w:szCs w:val="24"/>
        </w:rPr>
        <w:t xml:space="preserve"> </w:t>
      </w:r>
      <w:r w:rsidR="00277B41" w:rsidRPr="00D31D3B">
        <w:rPr>
          <w:rFonts w:asciiTheme="majorHAnsi" w:hAnsiTheme="majorHAnsi"/>
          <w:sz w:val="24"/>
          <w:szCs w:val="24"/>
        </w:rPr>
        <w:t>be taken</w:t>
      </w:r>
      <w:r w:rsidR="00F91271" w:rsidRPr="00D31D3B">
        <w:rPr>
          <w:rFonts w:asciiTheme="majorHAnsi" w:hAnsiTheme="majorHAnsi"/>
          <w:sz w:val="24"/>
          <w:szCs w:val="24"/>
        </w:rPr>
        <w:t xml:space="preserve"> to leverage these strategies. </w:t>
      </w:r>
    </w:p>
    <w:p w14:paraId="0D70290D" w14:textId="154321C8" w:rsidR="00803D76" w:rsidRDefault="00A65502" w:rsidP="00803D76">
      <w:pPr>
        <w:spacing w:line="240" w:lineRule="auto"/>
        <w:ind w:left="360"/>
        <w:rPr>
          <w:rFonts w:asciiTheme="majorHAnsi" w:hAnsiTheme="majorHAnsi"/>
          <w:sz w:val="24"/>
          <w:szCs w:val="24"/>
        </w:rPr>
      </w:pPr>
      <w:r>
        <w:rPr>
          <w:rFonts w:asciiTheme="majorHAnsi" w:hAnsiTheme="majorHAnsi"/>
          <w:sz w:val="24"/>
          <w:szCs w:val="24"/>
        </w:rPr>
        <w:t xml:space="preserve">Further, if data are not collected for the </w:t>
      </w:r>
      <w:r w:rsidR="00D31D3B" w:rsidRPr="003801E6">
        <w:rPr>
          <w:rFonts w:asciiTheme="majorHAnsi" w:hAnsiTheme="majorHAnsi"/>
          <w:i/>
          <w:sz w:val="24"/>
          <w:szCs w:val="24"/>
        </w:rPr>
        <w:t xml:space="preserve">Community Burden </w:t>
      </w:r>
      <w:r w:rsidR="003B2ED5" w:rsidRPr="003801E6">
        <w:rPr>
          <w:rFonts w:asciiTheme="majorHAnsi" w:hAnsiTheme="majorHAnsi"/>
          <w:i/>
          <w:sz w:val="24"/>
          <w:szCs w:val="24"/>
        </w:rPr>
        <w:t>Substudy</w:t>
      </w:r>
      <w:r>
        <w:rPr>
          <w:rFonts w:asciiTheme="majorHAnsi" w:hAnsiTheme="majorHAnsi"/>
          <w:sz w:val="24"/>
          <w:szCs w:val="24"/>
        </w:rPr>
        <w:t xml:space="preserve">, </w:t>
      </w:r>
      <w:r w:rsidR="00B85F5F">
        <w:rPr>
          <w:rFonts w:asciiTheme="majorHAnsi" w:hAnsiTheme="majorHAnsi"/>
          <w:sz w:val="24"/>
          <w:szCs w:val="24"/>
        </w:rPr>
        <w:t xml:space="preserve">we </w:t>
      </w:r>
      <w:r w:rsidR="0000634A">
        <w:rPr>
          <w:rFonts w:asciiTheme="majorHAnsi" w:hAnsiTheme="majorHAnsi"/>
          <w:sz w:val="24"/>
          <w:szCs w:val="24"/>
        </w:rPr>
        <w:t xml:space="preserve">will be missing the perspective of parents and caregivers in developing strategies </w:t>
      </w:r>
      <w:r w:rsidR="005B29F2">
        <w:rPr>
          <w:rFonts w:asciiTheme="majorHAnsi" w:hAnsiTheme="majorHAnsi"/>
          <w:sz w:val="24"/>
          <w:szCs w:val="24"/>
        </w:rPr>
        <w:t xml:space="preserve">to help communities struggling with substance misuse and address the opioid epidemics impact on children, youth, and families.  Due to our </w:t>
      </w:r>
      <w:r w:rsidR="000B77C3">
        <w:rPr>
          <w:rFonts w:asciiTheme="majorHAnsi" w:hAnsiTheme="majorHAnsi"/>
          <w:sz w:val="24"/>
          <w:szCs w:val="24"/>
        </w:rPr>
        <w:t>inclusion</w:t>
      </w:r>
      <w:r w:rsidR="005B29F2">
        <w:rPr>
          <w:rFonts w:asciiTheme="majorHAnsi" w:hAnsiTheme="majorHAnsi"/>
          <w:sz w:val="24"/>
          <w:szCs w:val="24"/>
        </w:rPr>
        <w:t xml:space="preserve"> of counties experiencing different deg</w:t>
      </w:r>
      <w:r w:rsidR="000B77C3">
        <w:rPr>
          <w:rFonts w:asciiTheme="majorHAnsi" w:hAnsiTheme="majorHAnsi"/>
          <w:sz w:val="24"/>
          <w:szCs w:val="24"/>
        </w:rPr>
        <w:t xml:space="preserve">rees of impact from the crisis in terms of </w:t>
      </w:r>
      <w:r w:rsidR="005B29F2">
        <w:rPr>
          <w:rFonts w:asciiTheme="majorHAnsi" w:hAnsiTheme="majorHAnsi"/>
          <w:sz w:val="24"/>
          <w:szCs w:val="24"/>
        </w:rPr>
        <w:t>mortality burden and foster care ent</w:t>
      </w:r>
      <w:r w:rsidR="000B77C3">
        <w:rPr>
          <w:rFonts w:asciiTheme="majorHAnsi" w:hAnsiTheme="majorHAnsi"/>
          <w:sz w:val="24"/>
          <w:szCs w:val="24"/>
        </w:rPr>
        <w:t xml:space="preserve">ries, </w:t>
      </w:r>
      <w:r w:rsidR="005B29F2">
        <w:rPr>
          <w:rFonts w:asciiTheme="majorHAnsi" w:hAnsiTheme="majorHAnsi"/>
          <w:sz w:val="24"/>
          <w:szCs w:val="24"/>
        </w:rPr>
        <w:t xml:space="preserve">we would also have less information </w:t>
      </w:r>
      <w:r w:rsidR="00C5078E">
        <w:rPr>
          <w:rFonts w:asciiTheme="majorHAnsi" w:hAnsiTheme="majorHAnsi"/>
          <w:sz w:val="24"/>
          <w:szCs w:val="24"/>
        </w:rPr>
        <w:t xml:space="preserve">without this study </w:t>
      </w:r>
      <w:r w:rsidR="005B29F2">
        <w:rPr>
          <w:rFonts w:asciiTheme="majorHAnsi" w:hAnsiTheme="majorHAnsi"/>
          <w:sz w:val="24"/>
          <w:szCs w:val="24"/>
        </w:rPr>
        <w:t xml:space="preserve">about promising strategies, </w:t>
      </w:r>
      <w:r w:rsidR="000B77C3" w:rsidRPr="000B77C3">
        <w:rPr>
          <w:rFonts w:asciiTheme="majorHAnsi" w:hAnsiTheme="majorHAnsi"/>
          <w:sz w:val="24"/>
          <w:szCs w:val="24"/>
        </w:rPr>
        <w:t>services, supports, resources, and partnerships present in low and mixed burden counties that may protect against substance misuse and/or children’s exposure to violence</w:t>
      </w:r>
      <w:r w:rsidR="000B77C3">
        <w:rPr>
          <w:rFonts w:asciiTheme="majorHAnsi" w:hAnsiTheme="majorHAnsi"/>
          <w:sz w:val="24"/>
          <w:szCs w:val="24"/>
        </w:rPr>
        <w:t>.</w:t>
      </w:r>
      <w:r w:rsidR="003E1930">
        <w:rPr>
          <w:rFonts w:asciiTheme="majorHAnsi" w:hAnsiTheme="majorHAnsi"/>
          <w:sz w:val="24"/>
          <w:szCs w:val="24"/>
        </w:rPr>
        <w:t xml:space="preserve"> Without this information, we may be missing key opportunities within communities to support families and prevent </w:t>
      </w:r>
      <w:r w:rsidR="0091743A">
        <w:rPr>
          <w:rFonts w:asciiTheme="majorHAnsi" w:hAnsiTheme="majorHAnsi"/>
          <w:sz w:val="24"/>
          <w:szCs w:val="24"/>
        </w:rPr>
        <w:t xml:space="preserve">parental substance misuse, </w:t>
      </w:r>
      <w:r w:rsidR="003E1930">
        <w:rPr>
          <w:rFonts w:asciiTheme="majorHAnsi" w:hAnsiTheme="majorHAnsi"/>
          <w:sz w:val="24"/>
          <w:szCs w:val="24"/>
        </w:rPr>
        <w:t>child abuse and neglect</w:t>
      </w:r>
      <w:r w:rsidR="0091743A">
        <w:rPr>
          <w:rFonts w:asciiTheme="majorHAnsi" w:hAnsiTheme="majorHAnsi"/>
          <w:sz w:val="24"/>
          <w:szCs w:val="24"/>
        </w:rPr>
        <w:t>,</w:t>
      </w:r>
      <w:r w:rsidR="003E1930">
        <w:rPr>
          <w:rFonts w:asciiTheme="majorHAnsi" w:hAnsiTheme="majorHAnsi"/>
          <w:sz w:val="24"/>
          <w:szCs w:val="24"/>
        </w:rPr>
        <w:t xml:space="preserve"> and ot</w:t>
      </w:r>
      <w:r w:rsidR="0091743A">
        <w:rPr>
          <w:rFonts w:asciiTheme="majorHAnsi" w:hAnsiTheme="majorHAnsi"/>
          <w:sz w:val="24"/>
          <w:szCs w:val="24"/>
        </w:rPr>
        <w:t xml:space="preserve">her adverse childhood experiences. </w:t>
      </w:r>
    </w:p>
    <w:p w14:paraId="6E15115E" w14:textId="61D78A04" w:rsidR="00B12F51" w:rsidRPr="000D7307" w:rsidRDefault="00B47055" w:rsidP="00D558F8">
      <w:pPr>
        <w:pStyle w:val="ListParagraph"/>
        <w:numPr>
          <w:ilvl w:val="0"/>
          <w:numId w:val="3"/>
        </w:numPr>
        <w:spacing w:after="120" w:line="240" w:lineRule="auto"/>
        <w:contextualSpacing w:val="0"/>
        <w:rPr>
          <w:rFonts w:asciiTheme="majorHAnsi" w:hAnsiTheme="majorHAnsi"/>
          <w:b/>
          <w:sz w:val="24"/>
          <w:szCs w:val="24"/>
        </w:rPr>
      </w:pPr>
      <w:r w:rsidRPr="000D7307">
        <w:rPr>
          <w:rFonts w:asciiTheme="majorHAnsi" w:hAnsiTheme="majorHAnsi"/>
          <w:b/>
          <w:bCs/>
          <w:sz w:val="24"/>
          <w:szCs w:val="24"/>
        </w:rPr>
        <w:t>Special Circumstances Relating to the Guidelines of 5 CFR 1320.5</w:t>
      </w:r>
    </w:p>
    <w:p w14:paraId="2025154B" w14:textId="35D04836" w:rsidR="00F52BCC" w:rsidRPr="0092022B" w:rsidRDefault="00A809AA" w:rsidP="0092022B">
      <w:pPr>
        <w:spacing w:after="0" w:line="240" w:lineRule="auto"/>
        <w:ind w:left="360"/>
        <w:rPr>
          <w:rFonts w:asciiTheme="majorHAnsi" w:hAnsiTheme="majorHAnsi"/>
          <w:sz w:val="24"/>
          <w:szCs w:val="24"/>
        </w:rPr>
      </w:pPr>
      <w:r w:rsidRPr="0092022B">
        <w:rPr>
          <w:rFonts w:asciiTheme="majorHAnsi" w:hAnsiTheme="majorHAnsi"/>
          <w:sz w:val="24"/>
          <w:szCs w:val="24"/>
        </w:rPr>
        <w:t xml:space="preserve">There are no special circumstances with this information collection package. </w:t>
      </w:r>
      <w:r w:rsidR="00835CA7" w:rsidRPr="0092022B">
        <w:rPr>
          <w:rFonts w:asciiTheme="majorHAnsi" w:hAnsiTheme="majorHAnsi"/>
          <w:sz w:val="24"/>
          <w:szCs w:val="24"/>
        </w:rPr>
        <w:t xml:space="preserve">This request complies </w:t>
      </w:r>
      <w:r w:rsidR="00277B41" w:rsidRPr="0092022B">
        <w:rPr>
          <w:rFonts w:asciiTheme="majorHAnsi" w:hAnsiTheme="majorHAnsi"/>
          <w:sz w:val="24"/>
          <w:szCs w:val="24"/>
        </w:rPr>
        <w:t xml:space="preserve">fully </w:t>
      </w:r>
      <w:r w:rsidR="00835CA7" w:rsidRPr="0092022B">
        <w:rPr>
          <w:rFonts w:asciiTheme="majorHAnsi" w:hAnsiTheme="majorHAnsi"/>
          <w:sz w:val="24"/>
          <w:szCs w:val="24"/>
        </w:rPr>
        <w:t>with regulation 5 CFR 1320.5</w:t>
      </w:r>
      <w:r w:rsidR="00D95FBF" w:rsidRPr="0092022B">
        <w:rPr>
          <w:rFonts w:asciiTheme="majorHAnsi" w:hAnsiTheme="majorHAnsi"/>
          <w:sz w:val="24"/>
          <w:szCs w:val="24"/>
        </w:rPr>
        <w:t xml:space="preserve"> and will be voluntary</w:t>
      </w:r>
      <w:r w:rsidR="00835CA7" w:rsidRPr="0092022B">
        <w:rPr>
          <w:rFonts w:asciiTheme="majorHAnsi" w:hAnsiTheme="majorHAnsi"/>
          <w:sz w:val="24"/>
          <w:szCs w:val="24"/>
        </w:rPr>
        <w:t>.</w:t>
      </w:r>
    </w:p>
    <w:p w14:paraId="6A3CB304" w14:textId="77777777" w:rsidR="000D7307" w:rsidRPr="000D7307" w:rsidRDefault="000D7307" w:rsidP="000D7307">
      <w:pPr>
        <w:pStyle w:val="ListParagraph"/>
        <w:spacing w:after="0" w:line="240" w:lineRule="auto"/>
        <w:ind w:left="810"/>
        <w:contextualSpacing w:val="0"/>
        <w:rPr>
          <w:rFonts w:asciiTheme="majorHAnsi" w:hAnsiTheme="majorHAnsi"/>
          <w:sz w:val="24"/>
          <w:szCs w:val="24"/>
        </w:rPr>
      </w:pPr>
    </w:p>
    <w:p w14:paraId="49AEB4DD" w14:textId="546CDDC3" w:rsidR="00B12F51" w:rsidRPr="000D7307" w:rsidRDefault="0088467A" w:rsidP="00D558F8">
      <w:pPr>
        <w:pStyle w:val="ListParagraph"/>
        <w:numPr>
          <w:ilvl w:val="0"/>
          <w:numId w:val="3"/>
        </w:numPr>
        <w:spacing w:after="120" w:line="240" w:lineRule="auto"/>
        <w:contextualSpacing w:val="0"/>
        <w:rPr>
          <w:rFonts w:asciiTheme="majorHAnsi" w:hAnsiTheme="majorHAnsi"/>
          <w:b/>
          <w:bCs/>
          <w:sz w:val="24"/>
          <w:szCs w:val="24"/>
        </w:rPr>
      </w:pPr>
      <w:r w:rsidRPr="000D7307">
        <w:rPr>
          <w:rFonts w:asciiTheme="majorHAnsi" w:hAnsiTheme="majorHAnsi"/>
          <w:b/>
          <w:bCs/>
          <w:sz w:val="24"/>
          <w:szCs w:val="24"/>
        </w:rPr>
        <w:t xml:space="preserve">Comments in Response to the </w:t>
      </w:r>
      <w:r w:rsidRPr="00682A2F">
        <w:rPr>
          <w:rFonts w:asciiTheme="majorHAnsi" w:hAnsiTheme="majorHAnsi"/>
          <w:b/>
          <w:bCs/>
          <w:sz w:val="24"/>
          <w:szCs w:val="24"/>
        </w:rPr>
        <w:t>Federal Register</w:t>
      </w:r>
      <w:r w:rsidRPr="000D7307">
        <w:rPr>
          <w:rFonts w:asciiTheme="majorHAnsi" w:hAnsiTheme="majorHAnsi"/>
          <w:b/>
          <w:bCs/>
          <w:sz w:val="24"/>
          <w:szCs w:val="24"/>
        </w:rPr>
        <w:t xml:space="preserve"> Notice and Efforts to Consult Outside the Agency</w:t>
      </w:r>
    </w:p>
    <w:p w14:paraId="14C545DF" w14:textId="122D635B" w:rsidR="00F52BCC" w:rsidRDefault="00FE2C1D" w:rsidP="00D31D3B">
      <w:pPr>
        <w:pStyle w:val="BlockText"/>
        <w:spacing w:after="0" w:line="240" w:lineRule="auto"/>
        <w:ind w:left="360"/>
        <w:rPr>
          <w:sz w:val="24"/>
          <w:szCs w:val="24"/>
        </w:rPr>
      </w:pPr>
      <w:r w:rsidRPr="000D7307">
        <w:rPr>
          <w:sz w:val="24"/>
          <w:szCs w:val="24"/>
        </w:rPr>
        <w:t xml:space="preserve">This data collection is being conducted using the Generic Information Collection mechanism through </w:t>
      </w:r>
      <w:r w:rsidRPr="00CF21E5">
        <w:rPr>
          <w:sz w:val="24"/>
          <w:szCs w:val="24"/>
        </w:rPr>
        <w:t xml:space="preserve">ASPE – OMB No. </w:t>
      </w:r>
      <w:r w:rsidR="0086200A" w:rsidRPr="00CF21E5">
        <w:rPr>
          <w:sz w:val="24"/>
          <w:szCs w:val="24"/>
        </w:rPr>
        <w:t>0990-0421</w:t>
      </w:r>
      <w:r w:rsidRPr="000D7307">
        <w:rPr>
          <w:sz w:val="24"/>
          <w:szCs w:val="24"/>
        </w:rPr>
        <w:t xml:space="preserve"> therefore</w:t>
      </w:r>
      <w:r w:rsidR="00277B41">
        <w:rPr>
          <w:sz w:val="24"/>
          <w:szCs w:val="24"/>
        </w:rPr>
        <w:t>,</w:t>
      </w:r>
      <w:r w:rsidRPr="000D7307">
        <w:rPr>
          <w:sz w:val="24"/>
          <w:szCs w:val="24"/>
        </w:rPr>
        <w:t xml:space="preserve"> no</w:t>
      </w:r>
      <w:r w:rsidR="00375EB4">
        <w:rPr>
          <w:sz w:val="24"/>
          <w:szCs w:val="24"/>
        </w:rPr>
        <w:t xml:space="preserve"> additional</w:t>
      </w:r>
      <w:r w:rsidRPr="000D7307">
        <w:rPr>
          <w:sz w:val="24"/>
          <w:szCs w:val="24"/>
        </w:rPr>
        <w:t xml:space="preserve"> </w:t>
      </w:r>
      <w:r w:rsidRPr="00A90E8B">
        <w:rPr>
          <w:i/>
          <w:sz w:val="24"/>
          <w:szCs w:val="24"/>
        </w:rPr>
        <w:t>Federal Register</w:t>
      </w:r>
      <w:r w:rsidRPr="000D7307">
        <w:rPr>
          <w:sz w:val="24"/>
          <w:szCs w:val="24"/>
        </w:rPr>
        <w:t xml:space="preserve"> notice is required.</w:t>
      </w:r>
    </w:p>
    <w:p w14:paraId="03A71D40" w14:textId="77777777" w:rsidR="000D7307" w:rsidRPr="000D7307" w:rsidRDefault="000D7307" w:rsidP="000D7307">
      <w:pPr>
        <w:pStyle w:val="BlockText"/>
        <w:spacing w:after="0" w:line="240" w:lineRule="auto"/>
        <w:ind w:left="810"/>
        <w:rPr>
          <w:sz w:val="24"/>
          <w:szCs w:val="24"/>
        </w:rPr>
      </w:pPr>
    </w:p>
    <w:p w14:paraId="6F162C57" w14:textId="42AE8411" w:rsidR="00B12F51" w:rsidRPr="000D7307" w:rsidRDefault="0088467A" w:rsidP="00D558F8">
      <w:pPr>
        <w:pStyle w:val="ListParagraph"/>
        <w:numPr>
          <w:ilvl w:val="0"/>
          <w:numId w:val="3"/>
        </w:numPr>
        <w:spacing w:after="120" w:line="240" w:lineRule="auto"/>
        <w:contextualSpacing w:val="0"/>
        <w:rPr>
          <w:rFonts w:asciiTheme="majorHAnsi" w:hAnsiTheme="majorHAnsi"/>
          <w:b/>
          <w:sz w:val="24"/>
          <w:szCs w:val="24"/>
        </w:rPr>
      </w:pPr>
      <w:r w:rsidRPr="000D7307">
        <w:rPr>
          <w:rFonts w:asciiTheme="majorHAnsi" w:hAnsiTheme="majorHAnsi"/>
          <w:b/>
          <w:bCs/>
          <w:sz w:val="24"/>
          <w:szCs w:val="24"/>
        </w:rPr>
        <w:t>Explanation of Any Payment or Gift to Respondents</w:t>
      </w:r>
    </w:p>
    <w:p w14:paraId="6C0FB335" w14:textId="53857493" w:rsidR="002039EC" w:rsidRPr="002039EC" w:rsidRDefault="000B77C3" w:rsidP="002039EC">
      <w:pPr>
        <w:pStyle w:val="ListParagraph"/>
        <w:spacing w:after="0" w:line="240" w:lineRule="auto"/>
        <w:ind w:left="360"/>
        <w:contextualSpacing w:val="0"/>
        <w:rPr>
          <w:rFonts w:asciiTheme="majorHAnsi" w:hAnsiTheme="majorHAnsi"/>
          <w:sz w:val="24"/>
          <w:szCs w:val="24"/>
        </w:rPr>
      </w:pPr>
      <w:r>
        <w:rPr>
          <w:rFonts w:asciiTheme="majorHAnsi" w:hAnsiTheme="majorHAnsi"/>
          <w:sz w:val="24"/>
          <w:szCs w:val="24"/>
        </w:rPr>
        <w:t xml:space="preserve">The </w:t>
      </w:r>
      <w:r w:rsidR="00FE2C1D" w:rsidRPr="000D7307">
        <w:rPr>
          <w:rFonts w:asciiTheme="majorHAnsi" w:hAnsiTheme="majorHAnsi"/>
          <w:sz w:val="24"/>
          <w:szCs w:val="24"/>
        </w:rPr>
        <w:t>ASPE</w:t>
      </w:r>
      <w:r w:rsidR="00D31D3B">
        <w:rPr>
          <w:rFonts w:asciiTheme="majorHAnsi" w:hAnsiTheme="majorHAnsi"/>
          <w:sz w:val="24"/>
          <w:szCs w:val="24"/>
        </w:rPr>
        <w:t xml:space="preserve"> </w:t>
      </w:r>
      <w:r>
        <w:rPr>
          <w:rFonts w:asciiTheme="majorHAnsi" w:hAnsiTheme="majorHAnsi"/>
          <w:sz w:val="24"/>
          <w:szCs w:val="24"/>
        </w:rPr>
        <w:t>study will not</w:t>
      </w:r>
      <w:r w:rsidR="00A809AA" w:rsidRPr="000D7307">
        <w:rPr>
          <w:rFonts w:asciiTheme="majorHAnsi" w:hAnsiTheme="majorHAnsi"/>
          <w:sz w:val="24"/>
          <w:szCs w:val="24"/>
        </w:rPr>
        <w:t xml:space="preserve"> provide p</w:t>
      </w:r>
      <w:r w:rsidR="00D26A64" w:rsidRPr="000D7307">
        <w:rPr>
          <w:rFonts w:asciiTheme="majorHAnsi" w:hAnsiTheme="majorHAnsi"/>
          <w:sz w:val="24"/>
          <w:szCs w:val="24"/>
        </w:rPr>
        <w:t>ayments or gifts to respondents</w:t>
      </w:r>
      <w:r w:rsidR="00D31D3B">
        <w:rPr>
          <w:rFonts w:asciiTheme="majorHAnsi" w:hAnsiTheme="majorHAnsi"/>
          <w:sz w:val="24"/>
          <w:szCs w:val="24"/>
        </w:rPr>
        <w:t xml:space="preserve"> for their participation</w:t>
      </w:r>
      <w:r w:rsidR="00D26A64" w:rsidRPr="000D7307">
        <w:rPr>
          <w:rFonts w:asciiTheme="majorHAnsi" w:hAnsiTheme="majorHAnsi"/>
          <w:sz w:val="24"/>
          <w:szCs w:val="24"/>
        </w:rPr>
        <w:t>.</w:t>
      </w:r>
      <w:r w:rsidR="00BB6631">
        <w:rPr>
          <w:rFonts w:asciiTheme="majorHAnsi" w:hAnsiTheme="majorHAnsi"/>
          <w:sz w:val="24"/>
          <w:szCs w:val="24"/>
        </w:rPr>
        <w:t xml:space="preserve"> </w:t>
      </w:r>
      <w:r w:rsidR="002039EC">
        <w:rPr>
          <w:rFonts w:asciiTheme="majorHAnsi" w:hAnsiTheme="majorHAnsi"/>
          <w:sz w:val="24"/>
          <w:szCs w:val="24"/>
        </w:rPr>
        <w:t xml:space="preserve">However, for the </w:t>
      </w:r>
      <w:r w:rsidR="002039EC" w:rsidRPr="002039EC">
        <w:rPr>
          <w:rFonts w:asciiTheme="majorHAnsi" w:hAnsiTheme="majorHAnsi"/>
          <w:i/>
          <w:sz w:val="24"/>
          <w:szCs w:val="24"/>
        </w:rPr>
        <w:t>Community Burden Study</w:t>
      </w:r>
      <w:r w:rsidR="002039EC">
        <w:rPr>
          <w:rFonts w:asciiTheme="majorHAnsi" w:hAnsiTheme="majorHAnsi"/>
          <w:i/>
          <w:sz w:val="24"/>
          <w:szCs w:val="24"/>
        </w:rPr>
        <w:t>,</w:t>
      </w:r>
      <w:r w:rsidR="002039EC">
        <w:rPr>
          <w:rFonts w:asciiTheme="majorHAnsi" w:hAnsiTheme="majorHAnsi"/>
          <w:sz w:val="24"/>
          <w:szCs w:val="24"/>
        </w:rPr>
        <w:t xml:space="preserve"> CDC will </w:t>
      </w:r>
      <w:r w:rsidR="00BB2429">
        <w:rPr>
          <w:rFonts w:asciiTheme="majorHAnsi" w:hAnsiTheme="majorHAnsi"/>
          <w:sz w:val="24"/>
          <w:szCs w:val="24"/>
        </w:rPr>
        <w:t>provide</w:t>
      </w:r>
      <w:r w:rsidR="002039EC">
        <w:rPr>
          <w:rFonts w:asciiTheme="majorHAnsi" w:hAnsiTheme="majorHAnsi"/>
          <w:sz w:val="24"/>
          <w:szCs w:val="24"/>
        </w:rPr>
        <w:t xml:space="preserve"> p</w:t>
      </w:r>
      <w:r w:rsidR="00BB6631">
        <w:rPr>
          <w:rFonts w:asciiTheme="majorHAnsi" w:hAnsiTheme="majorHAnsi"/>
          <w:sz w:val="24"/>
          <w:szCs w:val="24"/>
        </w:rPr>
        <w:t>arents and caregivers participating in data collection</w:t>
      </w:r>
      <w:r w:rsidR="00BB2429">
        <w:rPr>
          <w:rFonts w:asciiTheme="majorHAnsi" w:hAnsiTheme="majorHAnsi"/>
          <w:sz w:val="24"/>
          <w:szCs w:val="24"/>
        </w:rPr>
        <w:t xml:space="preserve"> </w:t>
      </w:r>
      <w:r w:rsidR="00653D3A">
        <w:rPr>
          <w:rFonts w:asciiTheme="majorHAnsi" w:hAnsiTheme="majorHAnsi"/>
          <w:sz w:val="24"/>
          <w:szCs w:val="24"/>
        </w:rPr>
        <w:t>an incentive of no more than</w:t>
      </w:r>
      <w:r w:rsidR="002039EC" w:rsidRPr="002039EC">
        <w:rPr>
          <w:rFonts w:asciiTheme="majorHAnsi" w:hAnsiTheme="majorHAnsi"/>
          <w:sz w:val="24"/>
          <w:szCs w:val="24"/>
        </w:rPr>
        <w:t xml:space="preserve"> $50 to offset </w:t>
      </w:r>
      <w:r>
        <w:rPr>
          <w:rFonts w:asciiTheme="majorHAnsi" w:hAnsiTheme="majorHAnsi"/>
          <w:sz w:val="24"/>
          <w:szCs w:val="24"/>
        </w:rPr>
        <w:t>the costs of participating in the study</w:t>
      </w:r>
      <w:r w:rsidR="002039EC" w:rsidRPr="002039EC">
        <w:rPr>
          <w:rFonts w:asciiTheme="majorHAnsi" w:hAnsiTheme="majorHAnsi"/>
          <w:sz w:val="24"/>
          <w:szCs w:val="24"/>
        </w:rPr>
        <w:t xml:space="preserve">, including costs of transportation and childcare that may </w:t>
      </w:r>
      <w:r w:rsidR="00BB2429">
        <w:rPr>
          <w:rFonts w:asciiTheme="majorHAnsi" w:hAnsiTheme="majorHAnsi"/>
          <w:sz w:val="24"/>
          <w:szCs w:val="24"/>
        </w:rPr>
        <w:t xml:space="preserve">otherwise </w:t>
      </w:r>
      <w:r w:rsidR="002039EC" w:rsidRPr="002039EC">
        <w:rPr>
          <w:rFonts w:asciiTheme="majorHAnsi" w:hAnsiTheme="majorHAnsi"/>
          <w:sz w:val="24"/>
          <w:szCs w:val="24"/>
        </w:rPr>
        <w:t xml:space="preserve">preclude participation. </w:t>
      </w:r>
      <w:r w:rsidR="00BB2429">
        <w:rPr>
          <w:rFonts w:asciiTheme="majorHAnsi" w:hAnsiTheme="majorHAnsi"/>
          <w:sz w:val="24"/>
          <w:szCs w:val="24"/>
        </w:rPr>
        <w:t>We believe this measure will ensure that</w:t>
      </w:r>
      <w:r w:rsidR="002039EC" w:rsidRPr="002039EC">
        <w:rPr>
          <w:rFonts w:asciiTheme="majorHAnsi" w:hAnsiTheme="majorHAnsi"/>
          <w:sz w:val="24"/>
          <w:szCs w:val="24"/>
        </w:rPr>
        <w:t xml:space="preserve"> lower-income </w:t>
      </w:r>
      <w:r w:rsidR="00BB2429">
        <w:rPr>
          <w:rFonts w:asciiTheme="majorHAnsi" w:hAnsiTheme="majorHAnsi"/>
          <w:sz w:val="24"/>
          <w:szCs w:val="24"/>
        </w:rPr>
        <w:t>parents and caregivers a</w:t>
      </w:r>
      <w:r w:rsidR="002039EC" w:rsidRPr="002039EC">
        <w:rPr>
          <w:rFonts w:asciiTheme="majorHAnsi" w:hAnsiTheme="majorHAnsi"/>
          <w:sz w:val="24"/>
          <w:szCs w:val="24"/>
        </w:rPr>
        <w:t>re not systematically discouraged from participating due to the costs of participation</w:t>
      </w:r>
      <w:r w:rsidR="00BB2429">
        <w:rPr>
          <w:rFonts w:asciiTheme="majorHAnsi" w:hAnsiTheme="majorHAnsi"/>
          <w:sz w:val="24"/>
          <w:szCs w:val="24"/>
        </w:rPr>
        <w:t xml:space="preserve"> and help to avoid </w:t>
      </w:r>
      <w:r w:rsidR="00375EB4">
        <w:rPr>
          <w:rFonts w:asciiTheme="majorHAnsi" w:hAnsiTheme="majorHAnsi"/>
          <w:sz w:val="24"/>
          <w:szCs w:val="24"/>
        </w:rPr>
        <w:t>non-</w:t>
      </w:r>
      <w:r w:rsidR="00BB2429">
        <w:rPr>
          <w:rFonts w:asciiTheme="majorHAnsi" w:hAnsiTheme="majorHAnsi"/>
          <w:sz w:val="24"/>
          <w:szCs w:val="24"/>
        </w:rPr>
        <w:t>response bias</w:t>
      </w:r>
      <w:r w:rsidR="002039EC" w:rsidRPr="002039EC">
        <w:rPr>
          <w:rFonts w:asciiTheme="majorHAnsi" w:hAnsiTheme="majorHAnsi"/>
          <w:sz w:val="24"/>
          <w:szCs w:val="24"/>
        </w:rPr>
        <w:t>.</w:t>
      </w:r>
      <w:r>
        <w:rPr>
          <w:rFonts w:asciiTheme="majorHAnsi" w:hAnsiTheme="majorHAnsi"/>
          <w:sz w:val="24"/>
          <w:szCs w:val="24"/>
        </w:rPr>
        <w:t xml:space="preserve">  </w:t>
      </w:r>
      <w:r w:rsidR="007E26B1">
        <w:rPr>
          <w:rFonts w:asciiTheme="majorHAnsi" w:hAnsiTheme="majorHAnsi"/>
          <w:sz w:val="24"/>
          <w:szCs w:val="24"/>
        </w:rPr>
        <w:t xml:space="preserve"> The incentive will only be used for parents and caregivers.  No incentive will be provided for service providers or multi-sectoral stakeholders.  </w:t>
      </w:r>
    </w:p>
    <w:p w14:paraId="501AEDA6" w14:textId="77777777" w:rsidR="000D7307" w:rsidRPr="000D7307" w:rsidRDefault="000D7307" w:rsidP="000D7307">
      <w:pPr>
        <w:pStyle w:val="ListParagraph"/>
        <w:spacing w:after="0" w:line="240" w:lineRule="auto"/>
        <w:ind w:left="810"/>
        <w:contextualSpacing w:val="0"/>
        <w:rPr>
          <w:rFonts w:asciiTheme="majorHAnsi" w:hAnsiTheme="majorHAnsi"/>
          <w:sz w:val="24"/>
          <w:szCs w:val="24"/>
        </w:rPr>
      </w:pPr>
    </w:p>
    <w:p w14:paraId="4C37A886" w14:textId="0A49B56B" w:rsidR="00B12F51" w:rsidRPr="000D7307" w:rsidRDefault="0088467A" w:rsidP="00D558F8">
      <w:pPr>
        <w:pStyle w:val="ListParagraph"/>
        <w:numPr>
          <w:ilvl w:val="0"/>
          <w:numId w:val="3"/>
        </w:numPr>
        <w:spacing w:after="120" w:line="240" w:lineRule="auto"/>
        <w:contextualSpacing w:val="0"/>
        <w:rPr>
          <w:rFonts w:asciiTheme="majorHAnsi" w:hAnsiTheme="majorHAnsi"/>
          <w:b/>
          <w:sz w:val="24"/>
          <w:szCs w:val="24"/>
        </w:rPr>
      </w:pPr>
      <w:r w:rsidRPr="000D7307">
        <w:rPr>
          <w:rFonts w:asciiTheme="majorHAnsi" w:hAnsiTheme="majorHAnsi"/>
          <w:b/>
          <w:bCs/>
          <w:sz w:val="24"/>
          <w:szCs w:val="24"/>
        </w:rPr>
        <w:t>Assurance of Confidentiality Provided to Respondents</w:t>
      </w:r>
    </w:p>
    <w:p w14:paraId="4DB35432" w14:textId="7BF0655E" w:rsidR="008E3992" w:rsidRDefault="008E3992" w:rsidP="00D31D3B">
      <w:pPr>
        <w:autoSpaceDE w:val="0"/>
        <w:autoSpaceDN w:val="0"/>
        <w:adjustRightInd w:val="0"/>
        <w:spacing w:line="240" w:lineRule="auto"/>
        <w:ind w:left="360"/>
        <w:rPr>
          <w:rFonts w:asciiTheme="majorHAnsi" w:hAnsiTheme="majorHAnsi"/>
          <w:sz w:val="24"/>
          <w:szCs w:val="24"/>
        </w:rPr>
      </w:pPr>
      <w:r w:rsidRPr="008E3992">
        <w:rPr>
          <w:rFonts w:asciiTheme="majorHAnsi" w:hAnsiTheme="majorHAnsi"/>
          <w:b/>
          <w:sz w:val="24"/>
          <w:szCs w:val="24"/>
        </w:rPr>
        <w:t xml:space="preserve">Study Component </w:t>
      </w:r>
      <w:r>
        <w:rPr>
          <w:rFonts w:asciiTheme="majorHAnsi" w:hAnsiTheme="majorHAnsi"/>
          <w:b/>
          <w:sz w:val="24"/>
          <w:szCs w:val="24"/>
        </w:rPr>
        <w:t>1</w:t>
      </w:r>
      <w:r w:rsidRPr="008E3992">
        <w:rPr>
          <w:rFonts w:asciiTheme="majorHAnsi" w:hAnsiTheme="majorHAnsi"/>
          <w:b/>
          <w:sz w:val="24"/>
          <w:szCs w:val="24"/>
        </w:rPr>
        <w:t xml:space="preserve">: </w:t>
      </w:r>
      <w:r>
        <w:rPr>
          <w:rFonts w:asciiTheme="majorHAnsi" w:hAnsiTheme="majorHAnsi"/>
          <w:b/>
          <w:i/>
          <w:sz w:val="24"/>
          <w:szCs w:val="24"/>
        </w:rPr>
        <w:t>Rural Communities</w:t>
      </w:r>
      <w:r w:rsidRPr="008E3992">
        <w:rPr>
          <w:rFonts w:asciiTheme="majorHAnsi" w:hAnsiTheme="majorHAnsi"/>
          <w:b/>
          <w:i/>
          <w:sz w:val="24"/>
          <w:szCs w:val="24"/>
        </w:rPr>
        <w:t xml:space="preserve"> Substudy</w:t>
      </w:r>
    </w:p>
    <w:p w14:paraId="7250B2A0" w14:textId="19EF6617" w:rsidR="00C354B6" w:rsidRPr="00D31D3B" w:rsidRDefault="00F42C0E" w:rsidP="00D31D3B">
      <w:pPr>
        <w:autoSpaceDE w:val="0"/>
        <w:autoSpaceDN w:val="0"/>
        <w:adjustRightInd w:val="0"/>
        <w:spacing w:line="240" w:lineRule="auto"/>
        <w:ind w:left="360"/>
        <w:rPr>
          <w:rFonts w:asciiTheme="majorHAnsi" w:hAnsiTheme="majorHAnsi"/>
          <w:sz w:val="24"/>
          <w:szCs w:val="24"/>
        </w:rPr>
      </w:pPr>
      <w:r w:rsidRPr="00D31D3B">
        <w:rPr>
          <w:rFonts w:asciiTheme="majorHAnsi" w:hAnsiTheme="majorHAnsi"/>
          <w:sz w:val="24"/>
          <w:szCs w:val="24"/>
        </w:rPr>
        <w:t xml:space="preserve">The Privacy Act does not apply to this data collection. State and local administrators and practitioners who answer questions will be answering in their official roles and will not be asked about, nor will they provide, sensitive individually identifiable information. </w:t>
      </w:r>
    </w:p>
    <w:p w14:paraId="425746E4" w14:textId="233AFFDD" w:rsidR="00F52BCC" w:rsidRDefault="00637AE6" w:rsidP="00D31D3B">
      <w:pPr>
        <w:pStyle w:val="ListParagraph"/>
        <w:autoSpaceDE w:val="0"/>
        <w:autoSpaceDN w:val="0"/>
        <w:adjustRightInd w:val="0"/>
        <w:spacing w:after="0" w:line="240" w:lineRule="auto"/>
        <w:ind w:left="360"/>
        <w:contextualSpacing w:val="0"/>
        <w:rPr>
          <w:rFonts w:asciiTheme="majorHAnsi" w:hAnsiTheme="majorHAnsi"/>
          <w:sz w:val="24"/>
          <w:szCs w:val="24"/>
        </w:rPr>
      </w:pPr>
      <w:r w:rsidRPr="00D013A9">
        <w:rPr>
          <w:rFonts w:asciiTheme="majorHAnsi" w:hAnsiTheme="majorHAnsi"/>
          <w:sz w:val="24"/>
          <w:szCs w:val="24"/>
        </w:rPr>
        <w:t xml:space="preserve">Before beginning </w:t>
      </w:r>
      <w:r w:rsidR="003B574B">
        <w:rPr>
          <w:rFonts w:asciiTheme="majorHAnsi" w:hAnsiTheme="majorHAnsi"/>
          <w:sz w:val="24"/>
          <w:szCs w:val="24"/>
        </w:rPr>
        <w:t xml:space="preserve">all </w:t>
      </w:r>
      <w:r w:rsidRPr="00D013A9">
        <w:rPr>
          <w:rFonts w:asciiTheme="majorHAnsi" w:hAnsiTheme="majorHAnsi"/>
          <w:sz w:val="24"/>
          <w:szCs w:val="24"/>
        </w:rPr>
        <w:t>interview</w:t>
      </w:r>
      <w:r w:rsidR="003B574B">
        <w:rPr>
          <w:rFonts w:asciiTheme="majorHAnsi" w:hAnsiTheme="majorHAnsi"/>
          <w:sz w:val="24"/>
          <w:szCs w:val="24"/>
        </w:rPr>
        <w:t>s</w:t>
      </w:r>
      <w:r w:rsidRPr="00D013A9">
        <w:rPr>
          <w:rFonts w:asciiTheme="majorHAnsi" w:hAnsiTheme="majorHAnsi"/>
          <w:sz w:val="24"/>
          <w:szCs w:val="24"/>
        </w:rPr>
        <w:t xml:space="preserve">, the interviewer will </w:t>
      </w:r>
      <w:r w:rsidR="007C72C9">
        <w:rPr>
          <w:rFonts w:asciiTheme="majorHAnsi" w:hAnsiTheme="majorHAnsi"/>
          <w:sz w:val="24"/>
          <w:szCs w:val="24"/>
        </w:rPr>
        <w:t xml:space="preserve">provide </w:t>
      </w:r>
      <w:r w:rsidRPr="00D013A9">
        <w:rPr>
          <w:rFonts w:asciiTheme="majorHAnsi" w:hAnsiTheme="majorHAnsi"/>
          <w:sz w:val="24"/>
          <w:szCs w:val="24"/>
        </w:rPr>
        <w:t xml:space="preserve">each participant </w:t>
      </w:r>
      <w:r w:rsidR="00100843">
        <w:rPr>
          <w:rFonts w:asciiTheme="majorHAnsi" w:hAnsiTheme="majorHAnsi"/>
          <w:sz w:val="24"/>
          <w:szCs w:val="24"/>
        </w:rPr>
        <w:t xml:space="preserve">a copy of </w:t>
      </w:r>
      <w:r w:rsidR="007C72C9">
        <w:rPr>
          <w:rFonts w:asciiTheme="majorHAnsi" w:hAnsiTheme="majorHAnsi"/>
          <w:sz w:val="24"/>
          <w:szCs w:val="24"/>
        </w:rPr>
        <w:t xml:space="preserve">the informed </w:t>
      </w:r>
      <w:r w:rsidRPr="00D013A9">
        <w:rPr>
          <w:rFonts w:asciiTheme="majorHAnsi" w:hAnsiTheme="majorHAnsi"/>
          <w:sz w:val="24"/>
          <w:szCs w:val="24"/>
        </w:rPr>
        <w:t>consent</w:t>
      </w:r>
      <w:r w:rsidR="00F432AA">
        <w:rPr>
          <w:rFonts w:asciiTheme="majorHAnsi" w:hAnsiTheme="majorHAnsi"/>
          <w:sz w:val="24"/>
          <w:szCs w:val="24"/>
        </w:rPr>
        <w:t xml:space="preserve"> </w:t>
      </w:r>
      <w:r w:rsidR="0053559D">
        <w:rPr>
          <w:rFonts w:asciiTheme="majorHAnsi" w:hAnsiTheme="majorHAnsi"/>
          <w:sz w:val="24"/>
          <w:szCs w:val="24"/>
        </w:rPr>
        <w:t>(see Attachment E</w:t>
      </w:r>
      <w:r w:rsidR="00F432AA" w:rsidRPr="00F432AA">
        <w:rPr>
          <w:rFonts w:asciiTheme="majorHAnsi" w:hAnsiTheme="majorHAnsi"/>
          <w:sz w:val="24"/>
          <w:szCs w:val="24"/>
        </w:rPr>
        <w:t>)</w:t>
      </w:r>
      <w:r w:rsidRPr="00D013A9">
        <w:rPr>
          <w:rFonts w:asciiTheme="majorHAnsi" w:hAnsiTheme="majorHAnsi"/>
          <w:sz w:val="24"/>
          <w:szCs w:val="24"/>
        </w:rPr>
        <w:t>,</w:t>
      </w:r>
      <w:r w:rsidR="00C354B6">
        <w:rPr>
          <w:rFonts w:asciiTheme="majorHAnsi" w:hAnsiTheme="majorHAnsi"/>
          <w:sz w:val="24"/>
          <w:szCs w:val="24"/>
        </w:rPr>
        <w:t xml:space="preserve"> which will provide an overview of the project and describe </w:t>
      </w:r>
      <w:r w:rsidR="00F432AA">
        <w:rPr>
          <w:rFonts w:asciiTheme="majorHAnsi" w:hAnsiTheme="majorHAnsi"/>
          <w:sz w:val="24"/>
          <w:szCs w:val="24"/>
        </w:rPr>
        <w:t>the following key points: (1)</w:t>
      </w:r>
      <w:r w:rsidR="00C354B6">
        <w:rPr>
          <w:rFonts w:asciiTheme="majorHAnsi" w:hAnsiTheme="majorHAnsi"/>
          <w:sz w:val="24"/>
          <w:szCs w:val="24"/>
        </w:rPr>
        <w:t xml:space="preserve"> participation is voluntary</w:t>
      </w:r>
      <w:r w:rsidR="00F432AA">
        <w:rPr>
          <w:rFonts w:asciiTheme="majorHAnsi" w:hAnsiTheme="majorHAnsi"/>
          <w:sz w:val="24"/>
          <w:szCs w:val="24"/>
        </w:rPr>
        <w:t>;</w:t>
      </w:r>
      <w:r w:rsidR="00C354B6">
        <w:rPr>
          <w:rFonts w:asciiTheme="majorHAnsi" w:hAnsiTheme="majorHAnsi"/>
          <w:sz w:val="24"/>
          <w:szCs w:val="24"/>
        </w:rPr>
        <w:t xml:space="preserve"> </w:t>
      </w:r>
      <w:r w:rsidR="00F432AA">
        <w:rPr>
          <w:rFonts w:asciiTheme="majorHAnsi" w:hAnsiTheme="majorHAnsi"/>
          <w:sz w:val="24"/>
          <w:szCs w:val="24"/>
        </w:rPr>
        <w:t xml:space="preserve">(2) </w:t>
      </w:r>
      <w:r w:rsidR="00F432AA" w:rsidRPr="00D013A9">
        <w:rPr>
          <w:rFonts w:asciiTheme="majorHAnsi" w:hAnsiTheme="majorHAnsi"/>
          <w:sz w:val="24"/>
          <w:szCs w:val="24"/>
        </w:rPr>
        <w:t xml:space="preserve">participants can decline to answer </w:t>
      </w:r>
      <w:r w:rsidR="006821A8">
        <w:rPr>
          <w:rFonts w:asciiTheme="majorHAnsi" w:hAnsiTheme="majorHAnsi"/>
          <w:sz w:val="24"/>
          <w:szCs w:val="24"/>
        </w:rPr>
        <w:t xml:space="preserve">or skip </w:t>
      </w:r>
      <w:r w:rsidR="00F432AA" w:rsidRPr="00D013A9">
        <w:rPr>
          <w:rFonts w:asciiTheme="majorHAnsi" w:hAnsiTheme="majorHAnsi"/>
          <w:sz w:val="24"/>
          <w:szCs w:val="24"/>
        </w:rPr>
        <w:t>any question that they do not wish to answer</w:t>
      </w:r>
      <w:r w:rsidR="00F432AA">
        <w:rPr>
          <w:rFonts w:asciiTheme="majorHAnsi" w:hAnsiTheme="majorHAnsi"/>
          <w:sz w:val="24"/>
          <w:szCs w:val="24"/>
        </w:rPr>
        <w:t xml:space="preserve"> </w:t>
      </w:r>
      <w:r w:rsidR="000F28BC">
        <w:rPr>
          <w:rFonts w:asciiTheme="majorHAnsi" w:hAnsiTheme="majorHAnsi"/>
          <w:sz w:val="24"/>
          <w:szCs w:val="24"/>
        </w:rPr>
        <w:t>and can</w:t>
      </w:r>
      <w:r w:rsidR="00F432AA">
        <w:rPr>
          <w:rFonts w:asciiTheme="majorHAnsi" w:hAnsiTheme="majorHAnsi"/>
          <w:sz w:val="24"/>
          <w:szCs w:val="24"/>
        </w:rPr>
        <w:t xml:space="preserve"> stop</w:t>
      </w:r>
      <w:r w:rsidR="006821A8">
        <w:rPr>
          <w:rFonts w:asciiTheme="majorHAnsi" w:hAnsiTheme="majorHAnsi"/>
          <w:sz w:val="24"/>
          <w:szCs w:val="24"/>
        </w:rPr>
        <w:t xml:space="preserve"> or pause</w:t>
      </w:r>
      <w:r w:rsidR="00F432AA">
        <w:rPr>
          <w:rFonts w:asciiTheme="majorHAnsi" w:hAnsiTheme="majorHAnsi"/>
          <w:sz w:val="24"/>
          <w:szCs w:val="24"/>
        </w:rPr>
        <w:t xml:space="preserve"> the interview at any time</w:t>
      </w:r>
      <w:r w:rsidR="00F432AA" w:rsidRPr="00D013A9">
        <w:rPr>
          <w:rFonts w:asciiTheme="majorHAnsi" w:hAnsiTheme="majorHAnsi"/>
          <w:sz w:val="24"/>
          <w:szCs w:val="24"/>
        </w:rPr>
        <w:t>, with no negative consequences</w:t>
      </w:r>
      <w:r w:rsidR="00F432AA">
        <w:rPr>
          <w:rFonts w:asciiTheme="majorHAnsi" w:hAnsiTheme="majorHAnsi"/>
          <w:sz w:val="24"/>
          <w:szCs w:val="24"/>
        </w:rPr>
        <w:t xml:space="preserve">; (3) </w:t>
      </w:r>
      <w:r w:rsidR="00F432AA" w:rsidRPr="00D013A9">
        <w:rPr>
          <w:rFonts w:asciiTheme="majorHAnsi" w:hAnsiTheme="majorHAnsi"/>
          <w:sz w:val="24"/>
          <w:szCs w:val="24"/>
        </w:rPr>
        <w:t xml:space="preserve">although participant names and titles will not be used in summaries or briefs, </w:t>
      </w:r>
      <w:r w:rsidR="003B574B">
        <w:rPr>
          <w:rFonts w:asciiTheme="majorHAnsi" w:hAnsiTheme="majorHAnsi"/>
          <w:sz w:val="24"/>
          <w:szCs w:val="24"/>
        </w:rPr>
        <w:t>a</w:t>
      </w:r>
      <w:r w:rsidR="00F432AA" w:rsidRPr="00D013A9">
        <w:rPr>
          <w:rFonts w:asciiTheme="majorHAnsi" w:hAnsiTheme="majorHAnsi"/>
          <w:sz w:val="24"/>
          <w:szCs w:val="24"/>
        </w:rPr>
        <w:t xml:space="preserve"> goal of the project is to disseminate information about promising strategies, which will likely necessitate naming the site’s organization and location</w:t>
      </w:r>
      <w:r w:rsidR="00F432AA">
        <w:rPr>
          <w:rFonts w:asciiTheme="majorHAnsi" w:hAnsiTheme="majorHAnsi"/>
          <w:sz w:val="24"/>
          <w:szCs w:val="24"/>
        </w:rPr>
        <w:t xml:space="preserve">; (4) </w:t>
      </w:r>
      <w:r w:rsidR="003B574B">
        <w:rPr>
          <w:rFonts w:asciiTheme="majorHAnsi" w:hAnsiTheme="majorHAnsi"/>
          <w:sz w:val="24"/>
          <w:szCs w:val="24"/>
        </w:rPr>
        <w:t>Mathematica</w:t>
      </w:r>
      <w:r w:rsidRPr="00D013A9">
        <w:rPr>
          <w:rFonts w:asciiTheme="majorHAnsi" w:hAnsiTheme="majorHAnsi"/>
          <w:sz w:val="24"/>
          <w:szCs w:val="24"/>
        </w:rPr>
        <w:t xml:space="preserve"> intends to audio</w:t>
      </w:r>
      <w:r w:rsidR="000F28BC">
        <w:rPr>
          <w:rFonts w:asciiTheme="majorHAnsi" w:hAnsiTheme="majorHAnsi"/>
          <w:sz w:val="24"/>
          <w:szCs w:val="24"/>
        </w:rPr>
        <w:t>-</w:t>
      </w:r>
      <w:r w:rsidRPr="00D013A9">
        <w:rPr>
          <w:rFonts w:asciiTheme="majorHAnsi" w:hAnsiTheme="majorHAnsi"/>
          <w:sz w:val="24"/>
          <w:szCs w:val="24"/>
        </w:rPr>
        <w:t>record</w:t>
      </w:r>
      <w:r w:rsidR="00F432AA">
        <w:rPr>
          <w:rFonts w:asciiTheme="majorHAnsi" w:hAnsiTheme="majorHAnsi"/>
          <w:sz w:val="24"/>
          <w:szCs w:val="24"/>
        </w:rPr>
        <w:t xml:space="preserve"> the interview</w:t>
      </w:r>
      <w:r w:rsidRPr="00D013A9">
        <w:rPr>
          <w:rFonts w:asciiTheme="majorHAnsi" w:hAnsiTheme="majorHAnsi"/>
          <w:sz w:val="24"/>
          <w:szCs w:val="24"/>
        </w:rPr>
        <w:t>, but participants have the opportunity to opt out of the recording and still participate.</w:t>
      </w:r>
      <w:r w:rsidR="00F432AA">
        <w:rPr>
          <w:rFonts w:asciiTheme="majorHAnsi" w:hAnsiTheme="majorHAnsi"/>
          <w:sz w:val="24"/>
          <w:szCs w:val="24"/>
        </w:rPr>
        <w:t xml:space="preserve"> </w:t>
      </w:r>
      <w:r w:rsidR="00A315F2">
        <w:rPr>
          <w:rFonts w:asciiTheme="majorHAnsi" w:hAnsiTheme="majorHAnsi"/>
          <w:sz w:val="24"/>
          <w:szCs w:val="24"/>
        </w:rPr>
        <w:t xml:space="preserve">For interviews conducted by telephone, </w:t>
      </w:r>
      <w:r w:rsidR="00A315F2" w:rsidRPr="00A315F2">
        <w:rPr>
          <w:rFonts w:asciiTheme="majorHAnsi" w:hAnsiTheme="majorHAnsi"/>
          <w:sz w:val="24"/>
          <w:szCs w:val="24"/>
        </w:rPr>
        <w:t>interviewers will email the informed consent to p</w:t>
      </w:r>
      <w:r w:rsidR="00A315F2">
        <w:rPr>
          <w:rFonts w:asciiTheme="majorHAnsi" w:hAnsiTheme="majorHAnsi"/>
          <w:sz w:val="24"/>
          <w:szCs w:val="24"/>
        </w:rPr>
        <w:t>articipa</w:t>
      </w:r>
      <w:r w:rsidR="00A315F2" w:rsidRPr="00A315F2">
        <w:rPr>
          <w:rFonts w:asciiTheme="majorHAnsi" w:hAnsiTheme="majorHAnsi"/>
          <w:sz w:val="24"/>
          <w:szCs w:val="24"/>
        </w:rPr>
        <w:t xml:space="preserve">nts and offer to </w:t>
      </w:r>
      <w:r w:rsidR="00A315F2">
        <w:rPr>
          <w:rFonts w:asciiTheme="majorHAnsi" w:hAnsiTheme="majorHAnsi"/>
          <w:sz w:val="24"/>
          <w:szCs w:val="24"/>
        </w:rPr>
        <w:t>mail a hard</w:t>
      </w:r>
      <w:r w:rsidR="00100843">
        <w:rPr>
          <w:rFonts w:asciiTheme="majorHAnsi" w:hAnsiTheme="majorHAnsi"/>
          <w:sz w:val="24"/>
          <w:szCs w:val="24"/>
        </w:rPr>
        <w:t xml:space="preserve"> copy if </w:t>
      </w:r>
      <w:r w:rsidR="00A315F2">
        <w:rPr>
          <w:rFonts w:asciiTheme="majorHAnsi" w:hAnsiTheme="majorHAnsi"/>
          <w:sz w:val="24"/>
          <w:szCs w:val="24"/>
        </w:rPr>
        <w:t>prefer</w:t>
      </w:r>
      <w:r w:rsidR="00100843">
        <w:rPr>
          <w:rFonts w:asciiTheme="majorHAnsi" w:hAnsiTheme="majorHAnsi"/>
          <w:sz w:val="24"/>
          <w:szCs w:val="24"/>
        </w:rPr>
        <w:t>red</w:t>
      </w:r>
      <w:r w:rsidR="00A315F2">
        <w:rPr>
          <w:rFonts w:asciiTheme="majorHAnsi" w:hAnsiTheme="majorHAnsi"/>
          <w:sz w:val="24"/>
          <w:szCs w:val="24"/>
        </w:rPr>
        <w:t xml:space="preserve">. For in-person site visits, </w:t>
      </w:r>
      <w:r w:rsidR="00A315F2" w:rsidRPr="00A315F2">
        <w:rPr>
          <w:rFonts w:asciiTheme="majorHAnsi" w:hAnsiTheme="majorHAnsi"/>
          <w:sz w:val="24"/>
          <w:szCs w:val="24"/>
        </w:rPr>
        <w:t xml:space="preserve">interviewers </w:t>
      </w:r>
      <w:r w:rsidR="00A315F2">
        <w:rPr>
          <w:rFonts w:asciiTheme="majorHAnsi" w:hAnsiTheme="majorHAnsi"/>
          <w:sz w:val="24"/>
          <w:szCs w:val="24"/>
        </w:rPr>
        <w:t xml:space="preserve">will provide a hard copy to </w:t>
      </w:r>
      <w:r w:rsidR="00EC104B">
        <w:rPr>
          <w:rFonts w:asciiTheme="majorHAnsi" w:hAnsiTheme="majorHAnsi"/>
          <w:sz w:val="24"/>
          <w:szCs w:val="24"/>
        </w:rPr>
        <w:t>keep</w:t>
      </w:r>
      <w:r w:rsidR="00A315F2">
        <w:rPr>
          <w:rFonts w:asciiTheme="majorHAnsi" w:hAnsiTheme="majorHAnsi"/>
          <w:sz w:val="24"/>
          <w:szCs w:val="24"/>
        </w:rPr>
        <w:t>.</w:t>
      </w:r>
      <w:r w:rsidR="00FC3B0E" w:rsidRPr="00FC3B0E">
        <w:rPr>
          <w:rFonts w:asciiTheme="majorHAnsi" w:hAnsiTheme="majorHAnsi"/>
          <w:sz w:val="24"/>
          <w:szCs w:val="24"/>
        </w:rPr>
        <w:t xml:space="preserve"> </w:t>
      </w:r>
      <w:r w:rsidR="00A315F2">
        <w:rPr>
          <w:rFonts w:asciiTheme="majorHAnsi" w:hAnsiTheme="majorHAnsi"/>
          <w:sz w:val="24"/>
          <w:szCs w:val="24"/>
        </w:rPr>
        <w:t>I</w:t>
      </w:r>
      <w:r w:rsidR="00FC3B0E" w:rsidRPr="00FC3B0E">
        <w:rPr>
          <w:rFonts w:asciiTheme="majorHAnsi" w:hAnsiTheme="majorHAnsi"/>
          <w:sz w:val="24"/>
          <w:szCs w:val="24"/>
        </w:rPr>
        <w:t>nterviewer</w:t>
      </w:r>
      <w:r w:rsidR="00A315F2">
        <w:rPr>
          <w:rFonts w:asciiTheme="majorHAnsi" w:hAnsiTheme="majorHAnsi"/>
          <w:sz w:val="24"/>
          <w:szCs w:val="24"/>
        </w:rPr>
        <w:t>s</w:t>
      </w:r>
      <w:r w:rsidR="00FC3B0E" w:rsidRPr="00FC3B0E">
        <w:rPr>
          <w:rFonts w:asciiTheme="majorHAnsi" w:hAnsiTheme="majorHAnsi"/>
          <w:sz w:val="24"/>
          <w:szCs w:val="24"/>
        </w:rPr>
        <w:t xml:space="preserve"> will give each participant as much time as needed to </w:t>
      </w:r>
      <w:r w:rsidR="00EC104B">
        <w:rPr>
          <w:rFonts w:asciiTheme="majorHAnsi" w:hAnsiTheme="majorHAnsi"/>
          <w:sz w:val="24"/>
          <w:szCs w:val="24"/>
        </w:rPr>
        <w:t>review</w:t>
      </w:r>
      <w:r w:rsidR="00FC3B0E" w:rsidRPr="00FC3B0E">
        <w:rPr>
          <w:rFonts w:asciiTheme="majorHAnsi" w:hAnsiTheme="majorHAnsi"/>
          <w:sz w:val="24"/>
          <w:szCs w:val="24"/>
        </w:rPr>
        <w:t xml:space="preserve"> the </w:t>
      </w:r>
      <w:r w:rsidR="00EC104B">
        <w:rPr>
          <w:rFonts w:asciiTheme="majorHAnsi" w:hAnsiTheme="majorHAnsi"/>
          <w:sz w:val="24"/>
          <w:szCs w:val="24"/>
        </w:rPr>
        <w:t xml:space="preserve">informed </w:t>
      </w:r>
      <w:r w:rsidR="00FC3B0E" w:rsidRPr="00FC3B0E">
        <w:rPr>
          <w:rFonts w:asciiTheme="majorHAnsi" w:hAnsiTheme="majorHAnsi"/>
          <w:sz w:val="24"/>
          <w:szCs w:val="24"/>
        </w:rPr>
        <w:t>consent</w:t>
      </w:r>
      <w:r w:rsidR="00A315F2">
        <w:rPr>
          <w:rFonts w:asciiTheme="majorHAnsi" w:hAnsiTheme="majorHAnsi"/>
          <w:sz w:val="24"/>
          <w:szCs w:val="24"/>
        </w:rPr>
        <w:t>.</w:t>
      </w:r>
      <w:r w:rsidR="00FC3B0E" w:rsidRPr="00FC3B0E">
        <w:rPr>
          <w:rFonts w:asciiTheme="majorHAnsi" w:hAnsiTheme="majorHAnsi"/>
          <w:sz w:val="24"/>
          <w:szCs w:val="24"/>
        </w:rPr>
        <w:t xml:space="preserve"> </w:t>
      </w:r>
      <w:r w:rsidR="005B3D84">
        <w:rPr>
          <w:rFonts w:asciiTheme="majorHAnsi" w:hAnsiTheme="majorHAnsi"/>
          <w:sz w:val="24"/>
          <w:szCs w:val="24"/>
        </w:rPr>
        <w:t>Interviewers</w:t>
      </w:r>
      <w:r w:rsidR="00A315F2">
        <w:rPr>
          <w:rFonts w:asciiTheme="majorHAnsi" w:hAnsiTheme="majorHAnsi"/>
          <w:sz w:val="24"/>
          <w:szCs w:val="24"/>
        </w:rPr>
        <w:t xml:space="preserve"> will </w:t>
      </w:r>
      <w:r w:rsidR="00EC104B">
        <w:rPr>
          <w:rFonts w:asciiTheme="majorHAnsi" w:hAnsiTheme="majorHAnsi"/>
          <w:sz w:val="24"/>
          <w:szCs w:val="24"/>
        </w:rPr>
        <w:t xml:space="preserve">verbally request </w:t>
      </w:r>
      <w:r w:rsidR="00A315F2" w:rsidRPr="00A315F2">
        <w:rPr>
          <w:rFonts w:asciiTheme="majorHAnsi" w:hAnsiTheme="majorHAnsi"/>
          <w:sz w:val="24"/>
          <w:szCs w:val="24"/>
        </w:rPr>
        <w:t xml:space="preserve">participation </w:t>
      </w:r>
      <w:r w:rsidR="00EC104B">
        <w:rPr>
          <w:rFonts w:asciiTheme="majorHAnsi" w:hAnsiTheme="majorHAnsi"/>
          <w:sz w:val="24"/>
          <w:szCs w:val="24"/>
        </w:rPr>
        <w:t xml:space="preserve">for the interview </w:t>
      </w:r>
      <w:r w:rsidR="00A315F2" w:rsidRPr="00A315F2">
        <w:rPr>
          <w:rFonts w:asciiTheme="majorHAnsi" w:hAnsiTheme="majorHAnsi"/>
          <w:sz w:val="24"/>
          <w:szCs w:val="24"/>
        </w:rPr>
        <w:t xml:space="preserve">and </w:t>
      </w:r>
      <w:r w:rsidR="00EC104B">
        <w:rPr>
          <w:rFonts w:asciiTheme="majorHAnsi" w:hAnsiTheme="majorHAnsi"/>
          <w:sz w:val="24"/>
          <w:szCs w:val="24"/>
        </w:rPr>
        <w:t>for audio-</w:t>
      </w:r>
      <w:r w:rsidR="00A315F2" w:rsidRPr="00A315F2">
        <w:rPr>
          <w:rFonts w:asciiTheme="majorHAnsi" w:hAnsiTheme="majorHAnsi"/>
          <w:sz w:val="24"/>
          <w:szCs w:val="24"/>
        </w:rPr>
        <w:t xml:space="preserve">recording </w:t>
      </w:r>
      <w:r w:rsidR="00EC104B">
        <w:rPr>
          <w:rFonts w:asciiTheme="majorHAnsi" w:hAnsiTheme="majorHAnsi"/>
          <w:sz w:val="24"/>
          <w:szCs w:val="24"/>
        </w:rPr>
        <w:t xml:space="preserve">and will not request </w:t>
      </w:r>
      <w:r w:rsidR="00EC104B" w:rsidRPr="00EC104B">
        <w:rPr>
          <w:rFonts w:asciiTheme="majorHAnsi" w:hAnsiTheme="majorHAnsi"/>
          <w:sz w:val="24"/>
          <w:szCs w:val="24"/>
        </w:rPr>
        <w:t>a signature for informed consent</w:t>
      </w:r>
      <w:r w:rsidR="00017A1E">
        <w:rPr>
          <w:rFonts w:asciiTheme="majorHAnsi" w:hAnsiTheme="majorHAnsi"/>
          <w:sz w:val="24"/>
          <w:szCs w:val="24"/>
        </w:rPr>
        <w:t xml:space="preserve"> because a signed inform consent form would be the only hard copy record linking the participant and the research</w:t>
      </w:r>
      <w:r w:rsidR="00897DBF">
        <w:rPr>
          <w:rFonts w:asciiTheme="majorHAnsi" w:hAnsiTheme="majorHAnsi"/>
          <w:sz w:val="24"/>
          <w:szCs w:val="24"/>
        </w:rPr>
        <w:t>.</w:t>
      </w:r>
      <w:r w:rsidR="00A315F2" w:rsidRPr="00A315F2">
        <w:rPr>
          <w:rFonts w:asciiTheme="majorHAnsi" w:hAnsiTheme="majorHAnsi"/>
          <w:sz w:val="24"/>
          <w:szCs w:val="24"/>
        </w:rPr>
        <w:t xml:space="preserve"> </w:t>
      </w:r>
      <w:r w:rsidR="00F432AA">
        <w:rPr>
          <w:rFonts w:asciiTheme="majorHAnsi" w:hAnsiTheme="majorHAnsi"/>
          <w:sz w:val="24"/>
          <w:szCs w:val="24"/>
        </w:rPr>
        <w:t>Th</w:t>
      </w:r>
      <w:r w:rsidRPr="00D013A9">
        <w:rPr>
          <w:rFonts w:asciiTheme="majorHAnsi" w:hAnsiTheme="majorHAnsi"/>
          <w:sz w:val="24"/>
          <w:szCs w:val="24"/>
        </w:rPr>
        <w:t xml:space="preserve">e </w:t>
      </w:r>
      <w:r w:rsidR="00F432AA">
        <w:rPr>
          <w:rFonts w:asciiTheme="majorHAnsi" w:hAnsiTheme="majorHAnsi"/>
          <w:sz w:val="24"/>
          <w:szCs w:val="24"/>
        </w:rPr>
        <w:t xml:space="preserve">contractor </w:t>
      </w:r>
      <w:r w:rsidRPr="00D013A9">
        <w:rPr>
          <w:rFonts w:asciiTheme="majorHAnsi" w:hAnsiTheme="majorHAnsi"/>
          <w:sz w:val="24"/>
          <w:szCs w:val="24"/>
        </w:rPr>
        <w:t>will not record any session where a participant does not agree to recording. Instead, the interviewer will take notes during the interview.</w:t>
      </w:r>
      <w:r w:rsidR="00F432AA" w:rsidRPr="00F432AA">
        <w:rPr>
          <w:rFonts w:asciiTheme="majorHAnsi" w:hAnsiTheme="majorHAnsi"/>
          <w:sz w:val="24"/>
          <w:szCs w:val="24"/>
        </w:rPr>
        <w:t xml:space="preserve"> </w:t>
      </w:r>
      <w:r w:rsidR="00F432AA">
        <w:rPr>
          <w:rFonts w:asciiTheme="majorHAnsi" w:hAnsiTheme="majorHAnsi"/>
          <w:sz w:val="24"/>
          <w:szCs w:val="24"/>
        </w:rPr>
        <w:t xml:space="preserve">If </w:t>
      </w:r>
      <w:r w:rsidR="00F432AA" w:rsidRPr="00D013A9">
        <w:rPr>
          <w:rFonts w:asciiTheme="majorHAnsi" w:hAnsiTheme="majorHAnsi"/>
          <w:sz w:val="24"/>
          <w:szCs w:val="24"/>
        </w:rPr>
        <w:t>the participants agree to the interview and to the audio</w:t>
      </w:r>
      <w:r w:rsidR="000F28BC">
        <w:rPr>
          <w:rFonts w:asciiTheme="majorHAnsi" w:hAnsiTheme="majorHAnsi"/>
          <w:sz w:val="24"/>
          <w:szCs w:val="24"/>
        </w:rPr>
        <w:t>-</w:t>
      </w:r>
      <w:r w:rsidR="00F432AA" w:rsidRPr="00D013A9">
        <w:rPr>
          <w:rFonts w:asciiTheme="majorHAnsi" w:hAnsiTheme="majorHAnsi"/>
          <w:sz w:val="24"/>
          <w:szCs w:val="24"/>
        </w:rPr>
        <w:t>recording</w:t>
      </w:r>
      <w:r w:rsidR="00F432AA">
        <w:rPr>
          <w:rFonts w:asciiTheme="majorHAnsi" w:hAnsiTheme="majorHAnsi"/>
          <w:sz w:val="24"/>
          <w:szCs w:val="24"/>
        </w:rPr>
        <w:t xml:space="preserve">, </w:t>
      </w:r>
      <w:r w:rsidR="007558F8">
        <w:rPr>
          <w:rFonts w:asciiTheme="majorHAnsi" w:hAnsiTheme="majorHAnsi"/>
          <w:sz w:val="24"/>
          <w:szCs w:val="24"/>
        </w:rPr>
        <w:t>the</w:t>
      </w:r>
      <w:r w:rsidR="007558F8" w:rsidRPr="00D013A9">
        <w:rPr>
          <w:rFonts w:asciiTheme="majorHAnsi" w:hAnsiTheme="majorHAnsi"/>
          <w:sz w:val="24"/>
          <w:szCs w:val="24"/>
        </w:rPr>
        <w:t xml:space="preserve"> recordings will be stored on </w:t>
      </w:r>
      <w:r w:rsidR="003B574B">
        <w:rPr>
          <w:rFonts w:asciiTheme="majorHAnsi" w:hAnsiTheme="majorHAnsi"/>
          <w:sz w:val="24"/>
          <w:szCs w:val="24"/>
        </w:rPr>
        <w:t>Mathematica’s</w:t>
      </w:r>
      <w:r w:rsidR="007558F8">
        <w:rPr>
          <w:rFonts w:asciiTheme="majorHAnsi" w:hAnsiTheme="majorHAnsi"/>
          <w:sz w:val="24"/>
          <w:szCs w:val="24"/>
        </w:rPr>
        <w:t xml:space="preserve"> </w:t>
      </w:r>
      <w:r w:rsidR="007558F8" w:rsidRPr="00D013A9">
        <w:rPr>
          <w:rFonts w:asciiTheme="majorHAnsi" w:hAnsiTheme="majorHAnsi"/>
          <w:sz w:val="24"/>
          <w:szCs w:val="24"/>
        </w:rPr>
        <w:t xml:space="preserve">secure network. Only a </w:t>
      </w:r>
      <w:r w:rsidR="007558F8">
        <w:rPr>
          <w:rFonts w:asciiTheme="majorHAnsi" w:hAnsiTheme="majorHAnsi"/>
          <w:sz w:val="24"/>
          <w:szCs w:val="24"/>
        </w:rPr>
        <w:t xml:space="preserve">limited number </w:t>
      </w:r>
      <w:r w:rsidR="007558F8" w:rsidRPr="00D013A9">
        <w:rPr>
          <w:rFonts w:asciiTheme="majorHAnsi" w:hAnsiTheme="majorHAnsi"/>
          <w:sz w:val="24"/>
          <w:szCs w:val="24"/>
        </w:rPr>
        <w:t xml:space="preserve">of </w:t>
      </w:r>
      <w:r w:rsidR="003B574B">
        <w:rPr>
          <w:rFonts w:asciiTheme="majorHAnsi" w:hAnsiTheme="majorHAnsi"/>
          <w:sz w:val="24"/>
          <w:szCs w:val="24"/>
        </w:rPr>
        <w:t xml:space="preserve">Mathematica </w:t>
      </w:r>
      <w:r w:rsidR="007558F8" w:rsidRPr="00D013A9">
        <w:rPr>
          <w:rFonts w:asciiTheme="majorHAnsi" w:hAnsiTheme="majorHAnsi"/>
          <w:sz w:val="24"/>
          <w:szCs w:val="24"/>
        </w:rPr>
        <w:t xml:space="preserve">staff (those working directly on the project) </w:t>
      </w:r>
      <w:r w:rsidR="007558F8">
        <w:rPr>
          <w:rFonts w:asciiTheme="majorHAnsi" w:hAnsiTheme="majorHAnsi"/>
          <w:sz w:val="24"/>
          <w:szCs w:val="24"/>
        </w:rPr>
        <w:t xml:space="preserve">will </w:t>
      </w:r>
      <w:r w:rsidR="007558F8" w:rsidRPr="00D013A9">
        <w:rPr>
          <w:rFonts w:asciiTheme="majorHAnsi" w:hAnsiTheme="majorHAnsi"/>
          <w:sz w:val="24"/>
          <w:szCs w:val="24"/>
        </w:rPr>
        <w:t xml:space="preserve">have access to the recordings. </w:t>
      </w:r>
      <w:r w:rsidR="007558F8" w:rsidRPr="00D013A9">
        <w:rPr>
          <w:rFonts w:asciiTheme="majorHAnsi" w:hAnsiTheme="majorHAnsi" w:cs="Arial"/>
          <w:sz w:val="24"/>
          <w:szCs w:val="24"/>
        </w:rPr>
        <w:t xml:space="preserve">The </w:t>
      </w:r>
      <w:r w:rsidR="007558F8">
        <w:rPr>
          <w:rFonts w:asciiTheme="majorHAnsi" w:hAnsiTheme="majorHAnsi" w:cs="Arial"/>
          <w:sz w:val="24"/>
          <w:szCs w:val="24"/>
        </w:rPr>
        <w:t xml:space="preserve">interview </w:t>
      </w:r>
      <w:r w:rsidR="007558F8" w:rsidRPr="00D013A9">
        <w:rPr>
          <w:rFonts w:asciiTheme="majorHAnsi" w:hAnsiTheme="majorHAnsi" w:cs="Arial"/>
          <w:sz w:val="24"/>
          <w:szCs w:val="24"/>
        </w:rPr>
        <w:t>recording</w:t>
      </w:r>
      <w:r w:rsidR="007558F8">
        <w:rPr>
          <w:rFonts w:asciiTheme="majorHAnsi" w:hAnsiTheme="majorHAnsi" w:cs="Arial"/>
          <w:sz w:val="24"/>
          <w:szCs w:val="24"/>
        </w:rPr>
        <w:t>s</w:t>
      </w:r>
      <w:r w:rsidR="007558F8" w:rsidRPr="00D013A9">
        <w:rPr>
          <w:rFonts w:asciiTheme="majorHAnsi" w:hAnsiTheme="majorHAnsi" w:cs="Arial"/>
          <w:sz w:val="24"/>
          <w:szCs w:val="24"/>
        </w:rPr>
        <w:t xml:space="preserve"> will be deleted </w:t>
      </w:r>
      <w:r w:rsidR="007558F8">
        <w:rPr>
          <w:rFonts w:asciiTheme="majorHAnsi" w:hAnsiTheme="majorHAnsi"/>
          <w:sz w:val="24"/>
          <w:szCs w:val="24"/>
        </w:rPr>
        <w:t>upon approval of the</w:t>
      </w:r>
      <w:r w:rsidR="007558F8" w:rsidRPr="00D013A9">
        <w:rPr>
          <w:rFonts w:asciiTheme="majorHAnsi" w:hAnsiTheme="majorHAnsi"/>
          <w:sz w:val="24"/>
          <w:szCs w:val="24"/>
        </w:rPr>
        <w:t xml:space="preserve"> project deliverables</w:t>
      </w:r>
      <w:r w:rsidR="00017A1E">
        <w:rPr>
          <w:rFonts w:asciiTheme="majorHAnsi" w:hAnsiTheme="majorHAnsi"/>
          <w:sz w:val="24"/>
          <w:szCs w:val="24"/>
        </w:rPr>
        <w:t xml:space="preserve"> (issue briefs)</w:t>
      </w:r>
      <w:r w:rsidR="007558F8">
        <w:rPr>
          <w:rFonts w:asciiTheme="majorHAnsi" w:hAnsiTheme="majorHAnsi"/>
          <w:sz w:val="24"/>
          <w:szCs w:val="24"/>
        </w:rPr>
        <w:t>.</w:t>
      </w:r>
      <w:r w:rsidR="00CE1371" w:rsidRPr="00CE1371">
        <w:rPr>
          <w:rFonts w:asciiTheme="majorHAnsi" w:hAnsiTheme="majorHAnsi"/>
          <w:sz w:val="24"/>
          <w:szCs w:val="24"/>
        </w:rPr>
        <w:t xml:space="preserve"> </w:t>
      </w:r>
      <w:r w:rsidR="00CE1371">
        <w:rPr>
          <w:rFonts w:asciiTheme="majorHAnsi" w:hAnsiTheme="majorHAnsi"/>
          <w:sz w:val="24"/>
          <w:szCs w:val="24"/>
        </w:rPr>
        <w:t xml:space="preserve">The contractor </w:t>
      </w:r>
      <w:r w:rsidR="00CE1371" w:rsidRPr="00100843">
        <w:rPr>
          <w:rFonts w:asciiTheme="majorHAnsi" w:hAnsiTheme="majorHAnsi"/>
          <w:sz w:val="24"/>
          <w:szCs w:val="24"/>
        </w:rPr>
        <w:t xml:space="preserve">will securely store participant names and contact information </w:t>
      </w:r>
      <w:r w:rsidR="00CE1371">
        <w:rPr>
          <w:rFonts w:asciiTheme="majorHAnsi" w:hAnsiTheme="majorHAnsi"/>
          <w:sz w:val="24"/>
          <w:szCs w:val="24"/>
        </w:rPr>
        <w:t>for the purposes of recruitment and scheduling</w:t>
      </w:r>
      <w:r w:rsidR="00CE1371" w:rsidRPr="00100843">
        <w:rPr>
          <w:rFonts w:asciiTheme="majorHAnsi" w:hAnsiTheme="majorHAnsi"/>
          <w:sz w:val="24"/>
          <w:szCs w:val="24"/>
        </w:rPr>
        <w:t xml:space="preserve">. </w:t>
      </w:r>
      <w:r w:rsidR="00CE1371">
        <w:rPr>
          <w:rFonts w:asciiTheme="majorHAnsi" w:hAnsiTheme="majorHAnsi"/>
          <w:sz w:val="24"/>
          <w:szCs w:val="24"/>
        </w:rPr>
        <w:t xml:space="preserve">Participant names </w:t>
      </w:r>
      <w:r w:rsidR="00CE1371" w:rsidRPr="00100843">
        <w:rPr>
          <w:rFonts w:asciiTheme="majorHAnsi" w:hAnsiTheme="majorHAnsi"/>
          <w:sz w:val="24"/>
          <w:szCs w:val="24"/>
        </w:rPr>
        <w:t xml:space="preserve">will be </w:t>
      </w:r>
      <w:r w:rsidR="00CE1371">
        <w:rPr>
          <w:rFonts w:asciiTheme="majorHAnsi" w:hAnsiTheme="majorHAnsi"/>
          <w:sz w:val="24"/>
          <w:szCs w:val="24"/>
        </w:rPr>
        <w:t xml:space="preserve">stored </w:t>
      </w:r>
      <w:r w:rsidR="00017A1E">
        <w:rPr>
          <w:rFonts w:asciiTheme="majorHAnsi" w:hAnsiTheme="majorHAnsi"/>
          <w:sz w:val="24"/>
          <w:szCs w:val="24"/>
        </w:rPr>
        <w:t xml:space="preserve">a </w:t>
      </w:r>
      <w:r w:rsidR="00CE1371" w:rsidRPr="00100843">
        <w:rPr>
          <w:rFonts w:asciiTheme="majorHAnsi" w:hAnsiTheme="majorHAnsi"/>
          <w:sz w:val="24"/>
          <w:szCs w:val="24"/>
        </w:rPr>
        <w:t xml:space="preserve">separate </w:t>
      </w:r>
      <w:r w:rsidR="00017A1E">
        <w:rPr>
          <w:rFonts w:asciiTheme="majorHAnsi" w:hAnsiTheme="majorHAnsi"/>
          <w:sz w:val="24"/>
          <w:szCs w:val="24"/>
        </w:rPr>
        <w:t xml:space="preserve">secure file directory </w:t>
      </w:r>
      <w:r w:rsidR="00CE1371" w:rsidRPr="00100843">
        <w:rPr>
          <w:rFonts w:asciiTheme="majorHAnsi" w:hAnsiTheme="majorHAnsi"/>
          <w:sz w:val="24"/>
          <w:szCs w:val="24"/>
        </w:rPr>
        <w:t>from participant responses</w:t>
      </w:r>
      <w:r w:rsidR="00CE1371">
        <w:rPr>
          <w:rFonts w:asciiTheme="majorHAnsi" w:hAnsiTheme="majorHAnsi"/>
          <w:sz w:val="24"/>
          <w:szCs w:val="24"/>
        </w:rPr>
        <w:t>.</w:t>
      </w:r>
      <w:r w:rsidR="00701D3B">
        <w:rPr>
          <w:rFonts w:asciiTheme="majorHAnsi" w:hAnsiTheme="majorHAnsi"/>
          <w:sz w:val="24"/>
          <w:szCs w:val="24"/>
        </w:rPr>
        <w:t xml:space="preserve">  </w:t>
      </w:r>
      <w:r w:rsidR="00017A1E">
        <w:rPr>
          <w:rFonts w:asciiTheme="majorHAnsi" w:hAnsiTheme="majorHAnsi"/>
          <w:sz w:val="24"/>
          <w:szCs w:val="24"/>
        </w:rPr>
        <w:t xml:space="preserve">All personally identifiable information will be scrubbed from files before they are </w:t>
      </w:r>
      <w:r w:rsidR="00701D3B" w:rsidRPr="00701D3B">
        <w:rPr>
          <w:rFonts w:asciiTheme="majorHAnsi" w:hAnsiTheme="majorHAnsi"/>
          <w:sz w:val="24"/>
          <w:szCs w:val="24"/>
        </w:rPr>
        <w:t xml:space="preserve"> shared with </w:t>
      </w:r>
      <w:r w:rsidR="00701D3B">
        <w:rPr>
          <w:rFonts w:asciiTheme="majorHAnsi" w:hAnsiTheme="majorHAnsi"/>
          <w:sz w:val="24"/>
          <w:szCs w:val="24"/>
        </w:rPr>
        <w:t xml:space="preserve">ASPE or </w:t>
      </w:r>
      <w:r w:rsidR="00701D3B" w:rsidRPr="00701D3B">
        <w:rPr>
          <w:rFonts w:asciiTheme="majorHAnsi" w:hAnsiTheme="majorHAnsi"/>
          <w:sz w:val="24"/>
          <w:szCs w:val="24"/>
        </w:rPr>
        <w:t>CDC</w:t>
      </w:r>
      <w:r w:rsidR="00017A1E">
        <w:rPr>
          <w:rFonts w:asciiTheme="majorHAnsi" w:hAnsiTheme="majorHAnsi"/>
          <w:sz w:val="24"/>
          <w:szCs w:val="24"/>
        </w:rPr>
        <w:t>. Any data findings shared with ASPE will go through a disclosure analysis</w:t>
      </w:r>
      <w:r w:rsidR="00C34D0D">
        <w:rPr>
          <w:rFonts w:asciiTheme="majorHAnsi" w:hAnsiTheme="majorHAnsi"/>
          <w:sz w:val="24"/>
          <w:szCs w:val="24"/>
        </w:rPr>
        <w:t xml:space="preserve"> </w:t>
      </w:r>
      <w:r w:rsidR="00017A1E">
        <w:rPr>
          <w:rFonts w:asciiTheme="majorHAnsi" w:hAnsiTheme="majorHAnsi"/>
          <w:sz w:val="24"/>
          <w:szCs w:val="24"/>
        </w:rPr>
        <w:t xml:space="preserve">to minimize the identification of interview and site visit participants. Reporting of findings will exclude a description of observable characteristics of participants to minimize disclosure risk. </w:t>
      </w:r>
      <w:r w:rsidR="00701D3B" w:rsidRPr="00701D3B">
        <w:rPr>
          <w:rFonts w:asciiTheme="majorHAnsi" w:hAnsiTheme="majorHAnsi"/>
          <w:sz w:val="24"/>
          <w:szCs w:val="24"/>
        </w:rPr>
        <w:t>.  Additionally, no participants will be identified by name or description in any reports and all information will be provided as an aggregate summary.</w:t>
      </w:r>
    </w:p>
    <w:p w14:paraId="392FCAC5" w14:textId="77777777" w:rsidR="001D6BD7" w:rsidRDefault="001D6BD7" w:rsidP="00D31D3B">
      <w:pPr>
        <w:pStyle w:val="ListParagraph"/>
        <w:autoSpaceDE w:val="0"/>
        <w:autoSpaceDN w:val="0"/>
        <w:adjustRightInd w:val="0"/>
        <w:spacing w:after="0" w:line="240" w:lineRule="auto"/>
        <w:ind w:left="360"/>
        <w:contextualSpacing w:val="0"/>
        <w:rPr>
          <w:rFonts w:asciiTheme="majorHAnsi" w:hAnsiTheme="majorHAnsi"/>
          <w:sz w:val="24"/>
          <w:szCs w:val="24"/>
        </w:rPr>
      </w:pPr>
    </w:p>
    <w:p w14:paraId="035AE6C5" w14:textId="5153D0A2" w:rsidR="008E3992" w:rsidRPr="008E3992" w:rsidRDefault="008E3992" w:rsidP="008E3992">
      <w:pPr>
        <w:pStyle w:val="ListParagraph"/>
        <w:autoSpaceDE w:val="0"/>
        <w:autoSpaceDN w:val="0"/>
        <w:adjustRightInd w:val="0"/>
        <w:spacing w:after="120" w:line="240" w:lineRule="auto"/>
        <w:ind w:left="360"/>
        <w:contextualSpacing w:val="0"/>
        <w:rPr>
          <w:rFonts w:asciiTheme="majorHAnsi" w:hAnsiTheme="majorHAnsi"/>
          <w:b/>
          <w:sz w:val="24"/>
          <w:szCs w:val="24"/>
        </w:rPr>
      </w:pPr>
      <w:r w:rsidRPr="008E3992">
        <w:rPr>
          <w:rFonts w:asciiTheme="majorHAnsi" w:hAnsiTheme="majorHAnsi"/>
          <w:b/>
          <w:sz w:val="24"/>
          <w:szCs w:val="24"/>
        </w:rPr>
        <w:t xml:space="preserve">Study Component 2: </w:t>
      </w:r>
      <w:r w:rsidRPr="008E3992">
        <w:rPr>
          <w:rFonts w:asciiTheme="majorHAnsi" w:hAnsiTheme="majorHAnsi"/>
          <w:b/>
          <w:i/>
          <w:sz w:val="24"/>
          <w:szCs w:val="24"/>
        </w:rPr>
        <w:t>Community Burden Substudy</w:t>
      </w:r>
    </w:p>
    <w:p w14:paraId="7ACFBA02" w14:textId="2CCDD70E" w:rsidR="0049245A" w:rsidRDefault="003041CC" w:rsidP="000F4EEC">
      <w:pPr>
        <w:pStyle w:val="ListParagraph"/>
        <w:autoSpaceDE w:val="0"/>
        <w:autoSpaceDN w:val="0"/>
        <w:adjustRightInd w:val="0"/>
        <w:spacing w:line="240" w:lineRule="auto"/>
        <w:ind w:left="360"/>
        <w:contextualSpacing w:val="0"/>
        <w:rPr>
          <w:rFonts w:asciiTheme="majorHAnsi" w:hAnsiTheme="majorHAnsi"/>
          <w:sz w:val="24"/>
          <w:szCs w:val="24"/>
        </w:rPr>
      </w:pPr>
      <w:r w:rsidRPr="008E3992">
        <w:rPr>
          <w:rFonts w:asciiTheme="majorHAnsi" w:hAnsiTheme="majorHAnsi"/>
          <w:sz w:val="24"/>
          <w:szCs w:val="24"/>
        </w:rPr>
        <w:t>To ensure the confidentiality of data compiled</w:t>
      </w:r>
      <w:r w:rsidR="00C450F4">
        <w:rPr>
          <w:rFonts w:asciiTheme="majorHAnsi" w:hAnsiTheme="majorHAnsi"/>
          <w:sz w:val="24"/>
          <w:szCs w:val="24"/>
        </w:rPr>
        <w:t xml:space="preserve"> and</w:t>
      </w:r>
      <w:r w:rsidRPr="008E3992">
        <w:rPr>
          <w:rFonts w:asciiTheme="majorHAnsi" w:hAnsiTheme="majorHAnsi"/>
          <w:sz w:val="24"/>
          <w:szCs w:val="24"/>
        </w:rPr>
        <w:t xml:space="preserve"> the protection of human subjects, the data collection protocol and instruments for the </w:t>
      </w:r>
      <w:r w:rsidRPr="00506299">
        <w:rPr>
          <w:rFonts w:asciiTheme="majorHAnsi" w:hAnsiTheme="majorHAnsi"/>
          <w:i/>
          <w:sz w:val="24"/>
          <w:szCs w:val="24"/>
        </w:rPr>
        <w:t>Community Burden Substudy</w:t>
      </w:r>
      <w:r w:rsidRPr="00506299">
        <w:rPr>
          <w:rFonts w:asciiTheme="majorHAnsi" w:hAnsiTheme="majorHAnsi"/>
          <w:sz w:val="24"/>
          <w:szCs w:val="24"/>
        </w:rPr>
        <w:t xml:space="preserve"> will be reviewed through the ICF institutional review board (IRB) prior to the collection of covered </w:t>
      </w:r>
      <w:r w:rsidRPr="000F4EEC">
        <w:rPr>
          <w:rFonts w:asciiTheme="majorHAnsi" w:hAnsiTheme="majorHAnsi"/>
          <w:sz w:val="24"/>
          <w:szCs w:val="24"/>
        </w:rPr>
        <w:t>or protected data. The ICF IRB holds a Federal wide Assurance (</w:t>
      </w:r>
      <w:r w:rsidR="008E3992" w:rsidRPr="008E3992">
        <w:rPr>
          <w:rFonts w:asciiTheme="majorHAnsi" w:hAnsiTheme="majorHAnsi"/>
          <w:color w:val="1F497D"/>
          <w:sz w:val="24"/>
          <w:szCs w:val="24"/>
        </w:rPr>
        <w:t>FWA00002349</w:t>
      </w:r>
      <w:r w:rsidRPr="008E3992">
        <w:rPr>
          <w:rFonts w:asciiTheme="majorHAnsi" w:hAnsiTheme="majorHAnsi"/>
          <w:sz w:val="24"/>
          <w:szCs w:val="24"/>
        </w:rPr>
        <w:t xml:space="preserve">; Expiration, </w:t>
      </w:r>
      <w:r w:rsidR="008E3992" w:rsidRPr="008E3992">
        <w:rPr>
          <w:rFonts w:asciiTheme="majorHAnsi" w:hAnsiTheme="majorHAnsi"/>
          <w:color w:val="1F497D"/>
          <w:sz w:val="24"/>
          <w:szCs w:val="24"/>
        </w:rPr>
        <w:t>07/12/2023</w:t>
      </w:r>
      <w:r w:rsidRPr="008E3992">
        <w:rPr>
          <w:rFonts w:asciiTheme="majorHAnsi" w:hAnsiTheme="majorHAnsi"/>
          <w:sz w:val="24"/>
          <w:szCs w:val="24"/>
        </w:rPr>
        <w:t xml:space="preserve">) from the HHS Office for Human Research Protections (OHRP). </w:t>
      </w:r>
      <w:r w:rsidRPr="00506299">
        <w:rPr>
          <w:rFonts w:asciiTheme="majorHAnsi" w:hAnsiTheme="majorHAnsi"/>
          <w:sz w:val="24"/>
          <w:szCs w:val="24"/>
        </w:rPr>
        <w:t>This review ensures compliance with the spirit and letter of HHS regulations governing such proje</w:t>
      </w:r>
      <w:r w:rsidRPr="000F4EEC">
        <w:rPr>
          <w:rFonts w:asciiTheme="majorHAnsi" w:hAnsiTheme="majorHAnsi"/>
          <w:sz w:val="24"/>
          <w:szCs w:val="24"/>
        </w:rPr>
        <w:t xml:space="preserve">cts. </w:t>
      </w:r>
    </w:p>
    <w:p w14:paraId="22E4B98D" w14:textId="7DDBE4FC" w:rsidR="000F4EEC" w:rsidRDefault="009707CA" w:rsidP="00834C6D">
      <w:pPr>
        <w:pStyle w:val="ListParagraph"/>
        <w:autoSpaceDE w:val="0"/>
        <w:autoSpaceDN w:val="0"/>
        <w:adjustRightInd w:val="0"/>
        <w:spacing w:line="240" w:lineRule="auto"/>
        <w:ind w:left="360"/>
        <w:contextualSpacing w:val="0"/>
        <w:rPr>
          <w:rFonts w:asciiTheme="majorHAnsi" w:hAnsiTheme="majorHAnsi" w:cstheme="minorHAnsi"/>
          <w:sz w:val="24"/>
          <w:szCs w:val="24"/>
        </w:rPr>
      </w:pPr>
      <w:r w:rsidRPr="000F4EEC">
        <w:rPr>
          <w:rFonts w:asciiTheme="majorHAnsi" w:hAnsiTheme="majorHAnsi"/>
          <w:sz w:val="24"/>
          <w:szCs w:val="24"/>
        </w:rPr>
        <w:t xml:space="preserve">All </w:t>
      </w:r>
      <w:r>
        <w:rPr>
          <w:rFonts w:asciiTheme="majorHAnsi" w:hAnsiTheme="majorHAnsi"/>
          <w:sz w:val="24"/>
          <w:szCs w:val="24"/>
        </w:rPr>
        <w:t>personally identifying information (PII)</w:t>
      </w:r>
      <w:r w:rsidRPr="000F4EEC">
        <w:rPr>
          <w:rFonts w:asciiTheme="majorHAnsi" w:hAnsiTheme="majorHAnsi"/>
          <w:sz w:val="24"/>
          <w:szCs w:val="24"/>
        </w:rPr>
        <w:t xml:space="preserve"> will be stored on secure servers at ICF in the manner described in </w:t>
      </w:r>
      <w:r w:rsidRPr="00456E10">
        <w:rPr>
          <w:rFonts w:asciiTheme="majorHAnsi" w:hAnsiTheme="majorHAnsi"/>
          <w:sz w:val="24"/>
          <w:szCs w:val="24"/>
        </w:rPr>
        <w:t>the IT Data Security Plan.</w:t>
      </w:r>
      <w:r w:rsidRPr="000F4EEC">
        <w:rPr>
          <w:rFonts w:asciiTheme="majorHAnsi" w:hAnsiTheme="majorHAnsi"/>
          <w:sz w:val="24"/>
          <w:szCs w:val="24"/>
        </w:rPr>
        <w:t xml:space="preserve"> </w:t>
      </w:r>
      <w:r w:rsidR="0049245A">
        <w:rPr>
          <w:rFonts w:asciiTheme="majorHAnsi" w:hAnsiTheme="majorHAnsi"/>
          <w:sz w:val="24"/>
          <w:szCs w:val="24"/>
        </w:rPr>
        <w:t xml:space="preserve">We will collect and </w:t>
      </w:r>
      <w:r>
        <w:rPr>
          <w:rFonts w:asciiTheme="majorHAnsi" w:hAnsiTheme="majorHAnsi"/>
          <w:sz w:val="24"/>
          <w:szCs w:val="24"/>
        </w:rPr>
        <w:t xml:space="preserve">securely </w:t>
      </w:r>
      <w:r w:rsidR="0049245A">
        <w:rPr>
          <w:rFonts w:asciiTheme="majorHAnsi" w:hAnsiTheme="majorHAnsi"/>
          <w:sz w:val="24"/>
          <w:szCs w:val="24"/>
        </w:rPr>
        <w:t>store participant n</w:t>
      </w:r>
      <w:r w:rsidR="0049245A" w:rsidRPr="003D43B9">
        <w:rPr>
          <w:rFonts w:asciiTheme="majorHAnsi" w:hAnsiTheme="majorHAnsi"/>
          <w:sz w:val="24"/>
          <w:szCs w:val="24"/>
        </w:rPr>
        <w:t xml:space="preserve">ames and </w:t>
      </w:r>
      <w:r w:rsidR="0049245A">
        <w:rPr>
          <w:rFonts w:asciiTheme="majorHAnsi" w:hAnsiTheme="majorHAnsi"/>
          <w:sz w:val="24"/>
          <w:szCs w:val="24"/>
        </w:rPr>
        <w:t xml:space="preserve">contact </w:t>
      </w:r>
      <w:r w:rsidR="001D7C99">
        <w:rPr>
          <w:rFonts w:asciiTheme="majorHAnsi" w:hAnsiTheme="majorHAnsi"/>
          <w:sz w:val="24"/>
          <w:szCs w:val="24"/>
        </w:rPr>
        <w:t xml:space="preserve">information only </w:t>
      </w:r>
      <w:r w:rsidR="0049245A" w:rsidRPr="003D43B9">
        <w:rPr>
          <w:rFonts w:asciiTheme="majorHAnsi" w:hAnsiTheme="majorHAnsi"/>
          <w:sz w:val="24"/>
          <w:szCs w:val="24"/>
        </w:rPr>
        <w:t xml:space="preserve">to facilitate </w:t>
      </w:r>
      <w:r w:rsidR="001D7C99">
        <w:rPr>
          <w:rFonts w:asciiTheme="majorHAnsi" w:hAnsiTheme="majorHAnsi"/>
          <w:sz w:val="24"/>
          <w:szCs w:val="24"/>
        </w:rPr>
        <w:t>contacting respondents.  This information will be stored separately and will not be linked to participants’ data. Once interviews have been completed, the contact information will be deleted</w:t>
      </w:r>
      <w:r>
        <w:rPr>
          <w:rFonts w:asciiTheme="majorHAnsi" w:hAnsiTheme="majorHAnsi"/>
          <w:sz w:val="24"/>
          <w:szCs w:val="24"/>
        </w:rPr>
        <w:t xml:space="preserve">. </w:t>
      </w:r>
      <w:r w:rsidR="000F4EEC" w:rsidRPr="000F4EEC">
        <w:rPr>
          <w:rFonts w:asciiTheme="majorHAnsi" w:hAnsiTheme="majorHAnsi" w:cstheme="minorHAnsi"/>
          <w:sz w:val="24"/>
          <w:szCs w:val="24"/>
        </w:rPr>
        <w:t xml:space="preserve">As an </w:t>
      </w:r>
      <w:r w:rsidR="000F4EEC">
        <w:rPr>
          <w:rFonts w:asciiTheme="majorHAnsi" w:hAnsiTheme="majorHAnsi" w:cstheme="minorHAnsi"/>
          <w:sz w:val="24"/>
          <w:szCs w:val="24"/>
        </w:rPr>
        <w:t>added</w:t>
      </w:r>
      <w:r w:rsidR="000F4EEC" w:rsidRPr="000F4EEC">
        <w:rPr>
          <w:rFonts w:asciiTheme="majorHAnsi" w:hAnsiTheme="majorHAnsi" w:cstheme="minorHAnsi"/>
          <w:sz w:val="24"/>
          <w:szCs w:val="24"/>
        </w:rPr>
        <w:t xml:space="preserve"> step in protecting the privacy of study participants, we will </w:t>
      </w:r>
      <w:r w:rsidR="00C450F4">
        <w:rPr>
          <w:rFonts w:asciiTheme="majorHAnsi" w:hAnsiTheme="majorHAnsi" w:cstheme="minorHAnsi"/>
          <w:sz w:val="24"/>
          <w:szCs w:val="24"/>
        </w:rPr>
        <w:t>invoke the</w:t>
      </w:r>
      <w:r w:rsidR="000F4EEC" w:rsidRPr="000F4EEC">
        <w:rPr>
          <w:rFonts w:asciiTheme="majorHAnsi" w:hAnsiTheme="majorHAnsi" w:cstheme="minorHAnsi"/>
          <w:sz w:val="24"/>
          <w:szCs w:val="24"/>
        </w:rPr>
        <w:t xml:space="preserve"> </w:t>
      </w:r>
      <w:r w:rsidR="000F4EEC">
        <w:rPr>
          <w:rFonts w:asciiTheme="majorHAnsi" w:hAnsiTheme="majorHAnsi" w:cstheme="minorHAnsi"/>
          <w:sz w:val="24"/>
          <w:szCs w:val="24"/>
        </w:rPr>
        <w:t>c</w:t>
      </w:r>
      <w:r w:rsidR="000F4EEC" w:rsidRPr="000F4EEC">
        <w:rPr>
          <w:rFonts w:asciiTheme="majorHAnsi" w:hAnsiTheme="majorHAnsi" w:cstheme="minorHAnsi"/>
          <w:sz w:val="24"/>
          <w:szCs w:val="24"/>
        </w:rPr>
        <w:t xml:space="preserve">ertificate of </w:t>
      </w:r>
      <w:r w:rsidR="000F4EEC">
        <w:rPr>
          <w:rFonts w:asciiTheme="majorHAnsi" w:hAnsiTheme="majorHAnsi" w:cstheme="minorHAnsi"/>
          <w:sz w:val="24"/>
          <w:szCs w:val="24"/>
        </w:rPr>
        <w:t>c</w:t>
      </w:r>
      <w:r w:rsidR="000F4EEC" w:rsidRPr="000F4EEC">
        <w:rPr>
          <w:rFonts w:asciiTheme="majorHAnsi" w:hAnsiTheme="majorHAnsi" w:cstheme="minorHAnsi"/>
          <w:sz w:val="24"/>
          <w:szCs w:val="24"/>
        </w:rPr>
        <w:t>onfidentiality (CoC)</w:t>
      </w:r>
      <w:r w:rsidR="00C450F4">
        <w:rPr>
          <w:rFonts w:asciiTheme="majorHAnsi" w:hAnsiTheme="majorHAnsi" w:cstheme="minorHAnsi"/>
          <w:sz w:val="24"/>
          <w:szCs w:val="24"/>
        </w:rPr>
        <w:t>, which</w:t>
      </w:r>
      <w:r w:rsidR="000F4EEC" w:rsidRPr="000F4EEC">
        <w:rPr>
          <w:rFonts w:asciiTheme="majorHAnsi" w:hAnsiTheme="majorHAnsi" w:cstheme="minorHAnsi"/>
          <w:sz w:val="24"/>
          <w:szCs w:val="24"/>
        </w:rPr>
        <w:t xml:space="preserve"> is automatically granted for CDC-funded research in which identifiable, sensitive information is collected or used.</w:t>
      </w:r>
      <w:r w:rsidR="000F4EEC">
        <w:rPr>
          <w:rFonts w:asciiTheme="majorHAnsi" w:hAnsiTheme="majorHAnsi" w:cstheme="minorHAnsi"/>
          <w:sz w:val="24"/>
          <w:szCs w:val="24"/>
        </w:rPr>
        <w:t xml:space="preserve"> </w:t>
      </w:r>
      <w:r w:rsidR="000F4EEC" w:rsidRPr="000F4EEC">
        <w:rPr>
          <w:rFonts w:asciiTheme="majorHAnsi" w:hAnsiTheme="majorHAnsi" w:cstheme="minorHAnsi"/>
          <w:sz w:val="24"/>
          <w:szCs w:val="24"/>
        </w:rPr>
        <w:t xml:space="preserve">The CoC will support the </w:t>
      </w:r>
      <w:r w:rsidR="00A206A7">
        <w:rPr>
          <w:rFonts w:asciiTheme="majorHAnsi" w:hAnsiTheme="majorHAnsi" w:cstheme="minorHAnsi"/>
          <w:sz w:val="24"/>
          <w:szCs w:val="24"/>
        </w:rPr>
        <w:t>CBS</w:t>
      </w:r>
      <w:r w:rsidR="000F4EEC" w:rsidRPr="000F4EEC">
        <w:rPr>
          <w:rFonts w:asciiTheme="majorHAnsi" w:hAnsiTheme="majorHAnsi" w:cstheme="minorHAnsi"/>
          <w:sz w:val="24"/>
          <w:szCs w:val="24"/>
        </w:rPr>
        <w:t xml:space="preserve"> team in protecting the data against compulsory legal demands (e.g., court orders, subpoenas) for identifying sensitive information or identifying characteristics of a research participant. </w:t>
      </w:r>
    </w:p>
    <w:p w14:paraId="2914A1F6" w14:textId="65D787A7" w:rsidR="00AF6767" w:rsidRDefault="00834C6D" w:rsidP="00255285">
      <w:pPr>
        <w:pStyle w:val="ListParagraph"/>
        <w:autoSpaceDE w:val="0"/>
        <w:autoSpaceDN w:val="0"/>
        <w:adjustRightInd w:val="0"/>
        <w:spacing w:line="240" w:lineRule="auto"/>
        <w:ind w:left="360"/>
        <w:contextualSpacing w:val="0"/>
        <w:rPr>
          <w:rFonts w:asciiTheme="majorHAnsi" w:hAnsiTheme="majorHAnsi"/>
          <w:sz w:val="24"/>
          <w:szCs w:val="24"/>
        </w:rPr>
      </w:pPr>
      <w:r w:rsidRPr="00CF21E5">
        <w:rPr>
          <w:rFonts w:asciiTheme="majorHAnsi" w:hAnsiTheme="majorHAnsi"/>
          <w:sz w:val="24"/>
          <w:szCs w:val="24"/>
        </w:rPr>
        <w:t xml:space="preserve">Prior to beginning all data collection, the </w:t>
      </w:r>
      <w:r w:rsidR="007533EE" w:rsidRPr="00CF21E5">
        <w:rPr>
          <w:rFonts w:asciiTheme="majorHAnsi" w:hAnsiTheme="majorHAnsi"/>
          <w:sz w:val="24"/>
          <w:szCs w:val="24"/>
        </w:rPr>
        <w:t xml:space="preserve">KII or focus group </w:t>
      </w:r>
      <w:r w:rsidRPr="00CF21E5">
        <w:rPr>
          <w:rFonts w:asciiTheme="majorHAnsi" w:hAnsiTheme="majorHAnsi"/>
          <w:sz w:val="24"/>
          <w:szCs w:val="24"/>
        </w:rPr>
        <w:t xml:space="preserve">moderator will </w:t>
      </w:r>
      <w:r w:rsidR="00CA6F12" w:rsidRPr="00CF21E5">
        <w:rPr>
          <w:rFonts w:asciiTheme="majorHAnsi" w:hAnsiTheme="majorHAnsi"/>
          <w:sz w:val="24"/>
          <w:szCs w:val="24"/>
        </w:rPr>
        <w:t>review the informed consent</w:t>
      </w:r>
      <w:r w:rsidR="005B5080" w:rsidRPr="00CF21E5">
        <w:rPr>
          <w:rFonts w:asciiTheme="majorHAnsi" w:hAnsiTheme="majorHAnsi"/>
          <w:sz w:val="24"/>
          <w:szCs w:val="24"/>
        </w:rPr>
        <w:t xml:space="preserve"> aloud</w:t>
      </w:r>
      <w:r w:rsidR="00CA6F12" w:rsidRPr="00CF21E5">
        <w:rPr>
          <w:rFonts w:asciiTheme="majorHAnsi" w:hAnsiTheme="majorHAnsi"/>
          <w:sz w:val="24"/>
          <w:szCs w:val="24"/>
        </w:rPr>
        <w:t>, including</w:t>
      </w:r>
      <w:r w:rsidR="005B5080" w:rsidRPr="00CF21E5">
        <w:rPr>
          <w:rFonts w:asciiTheme="majorHAnsi" w:hAnsiTheme="majorHAnsi"/>
          <w:sz w:val="24"/>
          <w:szCs w:val="24"/>
        </w:rPr>
        <w:t xml:space="preserve"> the following</w:t>
      </w:r>
      <w:r w:rsidR="00CA6F12" w:rsidRPr="00CF21E5">
        <w:rPr>
          <w:rFonts w:asciiTheme="majorHAnsi" w:hAnsiTheme="majorHAnsi"/>
          <w:sz w:val="24"/>
          <w:szCs w:val="24"/>
        </w:rPr>
        <w:t xml:space="preserve">: (1) </w:t>
      </w:r>
      <w:r w:rsidRPr="00CF21E5">
        <w:rPr>
          <w:rFonts w:asciiTheme="majorHAnsi" w:hAnsiTheme="majorHAnsi"/>
          <w:sz w:val="24"/>
          <w:szCs w:val="24"/>
        </w:rPr>
        <w:t>purpose</w:t>
      </w:r>
      <w:r w:rsidR="005B5080" w:rsidRPr="00CF21E5">
        <w:rPr>
          <w:rFonts w:asciiTheme="majorHAnsi" w:hAnsiTheme="majorHAnsi"/>
          <w:sz w:val="24"/>
          <w:szCs w:val="24"/>
        </w:rPr>
        <w:t xml:space="preserve"> of the substudy</w:t>
      </w:r>
      <w:r w:rsidR="00CA6F12" w:rsidRPr="00CF21E5">
        <w:rPr>
          <w:rFonts w:asciiTheme="majorHAnsi" w:hAnsiTheme="majorHAnsi"/>
          <w:sz w:val="24"/>
          <w:szCs w:val="24"/>
        </w:rPr>
        <w:t>; (2) rights regarding participation and the voluntary nature of participation; (3</w:t>
      </w:r>
      <w:r w:rsidR="00A206A7" w:rsidRPr="00CF21E5">
        <w:rPr>
          <w:rFonts w:asciiTheme="majorHAnsi" w:hAnsiTheme="majorHAnsi"/>
          <w:sz w:val="24"/>
          <w:szCs w:val="24"/>
        </w:rPr>
        <w:t>) procedures to protect privacy;</w:t>
      </w:r>
      <w:r w:rsidR="00CA6F12" w:rsidRPr="00CF21E5">
        <w:rPr>
          <w:rFonts w:asciiTheme="majorHAnsi" w:hAnsiTheme="majorHAnsi"/>
          <w:sz w:val="24"/>
          <w:szCs w:val="24"/>
        </w:rPr>
        <w:t xml:space="preserve"> (4) additional privacy protections (the CoC); (5) the sensitive nature of questions (for parents and caregivers), risks, and benefits; (</w:t>
      </w:r>
      <w:r w:rsidR="00A206A7" w:rsidRPr="00CF21E5">
        <w:rPr>
          <w:rFonts w:asciiTheme="majorHAnsi" w:hAnsiTheme="majorHAnsi"/>
          <w:sz w:val="24"/>
          <w:szCs w:val="24"/>
        </w:rPr>
        <w:t>6</w:t>
      </w:r>
      <w:r w:rsidR="00CA6F12" w:rsidRPr="00CF21E5">
        <w:rPr>
          <w:rFonts w:asciiTheme="majorHAnsi" w:hAnsiTheme="majorHAnsi"/>
          <w:sz w:val="24"/>
          <w:szCs w:val="24"/>
        </w:rPr>
        <w:t xml:space="preserve">) </w:t>
      </w:r>
      <w:r w:rsidR="005B5080" w:rsidRPr="00CF21E5">
        <w:rPr>
          <w:rFonts w:asciiTheme="majorHAnsi" w:hAnsiTheme="majorHAnsi"/>
          <w:sz w:val="24"/>
          <w:szCs w:val="24"/>
        </w:rPr>
        <w:t xml:space="preserve">intent to audio record the session; and (7) contact information for the principal investigator. The moderator will request permission to audio record each session </w:t>
      </w:r>
      <w:r w:rsidRPr="00CF21E5">
        <w:rPr>
          <w:rFonts w:asciiTheme="majorHAnsi" w:hAnsiTheme="majorHAnsi"/>
          <w:sz w:val="24"/>
          <w:szCs w:val="24"/>
        </w:rPr>
        <w:t xml:space="preserve">and obtain verbal consent to participate. </w:t>
      </w:r>
      <w:r w:rsidR="005B5080" w:rsidRPr="00CF21E5">
        <w:rPr>
          <w:rFonts w:asciiTheme="majorHAnsi" w:hAnsiTheme="majorHAnsi"/>
          <w:sz w:val="24"/>
          <w:szCs w:val="24"/>
        </w:rPr>
        <w:t xml:space="preserve">If a participant declines to be audio recorded, a second team member will take detailed notes during the in-person or telephone/online session. </w:t>
      </w:r>
      <w:r w:rsidR="000E3C9C" w:rsidRPr="000E3C9C">
        <w:rPr>
          <w:rFonts w:asciiTheme="majorHAnsi" w:hAnsiTheme="majorHAnsi"/>
          <w:sz w:val="24"/>
          <w:szCs w:val="24"/>
        </w:rPr>
        <w:t xml:space="preserve">For interviews conducted by telephone, interviewers will email the informed consent to participants </w:t>
      </w:r>
      <w:r w:rsidR="008546F3">
        <w:rPr>
          <w:rFonts w:asciiTheme="majorHAnsi" w:hAnsiTheme="majorHAnsi"/>
          <w:sz w:val="24"/>
          <w:szCs w:val="24"/>
        </w:rPr>
        <w:t>if an email is provided or read the informed consent prior to the interview</w:t>
      </w:r>
      <w:r w:rsidR="00505D29">
        <w:rPr>
          <w:rFonts w:asciiTheme="majorHAnsi" w:hAnsiTheme="majorHAnsi"/>
          <w:sz w:val="24"/>
          <w:szCs w:val="24"/>
        </w:rPr>
        <w:t xml:space="preserve"> if not.</w:t>
      </w:r>
      <w:r w:rsidR="000E3C9C" w:rsidRPr="000E3C9C">
        <w:rPr>
          <w:rFonts w:asciiTheme="majorHAnsi" w:hAnsiTheme="majorHAnsi"/>
          <w:sz w:val="24"/>
          <w:szCs w:val="24"/>
        </w:rPr>
        <w:t xml:space="preserve"> </w:t>
      </w:r>
      <w:r w:rsidR="00505D29">
        <w:rPr>
          <w:rFonts w:asciiTheme="majorHAnsi" w:hAnsiTheme="majorHAnsi"/>
          <w:sz w:val="24"/>
          <w:szCs w:val="24"/>
        </w:rPr>
        <w:t xml:space="preserve"> </w:t>
      </w:r>
      <w:r w:rsidR="000E3C9C" w:rsidRPr="000E3C9C">
        <w:rPr>
          <w:rFonts w:asciiTheme="majorHAnsi" w:hAnsiTheme="majorHAnsi"/>
          <w:sz w:val="24"/>
          <w:szCs w:val="24"/>
        </w:rPr>
        <w:t>For in-person site visits, interviewers will provide a hard copy to keep. Interviewers will give each participant as much time as needed to review the informed consent</w:t>
      </w:r>
      <w:r w:rsidR="008546F3">
        <w:rPr>
          <w:rFonts w:asciiTheme="majorHAnsi" w:hAnsiTheme="majorHAnsi"/>
          <w:sz w:val="24"/>
          <w:szCs w:val="24"/>
        </w:rPr>
        <w:t xml:space="preserve"> and ask questions</w:t>
      </w:r>
      <w:r w:rsidR="000E3C9C" w:rsidRPr="000E3C9C">
        <w:rPr>
          <w:rFonts w:asciiTheme="majorHAnsi" w:hAnsiTheme="majorHAnsi"/>
          <w:sz w:val="24"/>
          <w:szCs w:val="24"/>
        </w:rPr>
        <w:t xml:space="preserve">. </w:t>
      </w:r>
      <w:r w:rsidR="005B5080" w:rsidRPr="00CF21E5">
        <w:rPr>
          <w:rFonts w:asciiTheme="majorHAnsi" w:hAnsiTheme="majorHAnsi"/>
          <w:sz w:val="24"/>
          <w:szCs w:val="24"/>
        </w:rPr>
        <w:t>Informed consents</w:t>
      </w:r>
      <w:r w:rsidRPr="00CF21E5">
        <w:rPr>
          <w:rFonts w:asciiTheme="majorHAnsi" w:hAnsiTheme="majorHAnsi"/>
          <w:sz w:val="24"/>
          <w:szCs w:val="24"/>
        </w:rPr>
        <w:t xml:space="preserve"> will not request a signature</w:t>
      </w:r>
      <w:r w:rsidR="005B5080" w:rsidRPr="00CF21E5">
        <w:rPr>
          <w:rFonts w:asciiTheme="majorHAnsi" w:hAnsiTheme="majorHAnsi"/>
          <w:sz w:val="24"/>
          <w:szCs w:val="24"/>
        </w:rPr>
        <w:t xml:space="preserve">. </w:t>
      </w:r>
      <w:r w:rsidR="000E3C9C">
        <w:rPr>
          <w:rFonts w:asciiTheme="majorHAnsi" w:hAnsiTheme="majorHAnsi"/>
          <w:sz w:val="24"/>
          <w:szCs w:val="24"/>
        </w:rPr>
        <w:t>Th</w:t>
      </w:r>
      <w:r w:rsidR="00D876E1">
        <w:rPr>
          <w:rFonts w:asciiTheme="majorHAnsi" w:hAnsiTheme="majorHAnsi"/>
          <w:sz w:val="24"/>
          <w:szCs w:val="24"/>
        </w:rPr>
        <w:t>e</w:t>
      </w:r>
      <w:r w:rsidR="000E3C9C">
        <w:rPr>
          <w:rFonts w:asciiTheme="majorHAnsi" w:hAnsiTheme="majorHAnsi"/>
          <w:sz w:val="24"/>
          <w:szCs w:val="24"/>
        </w:rPr>
        <w:t xml:space="preserve"> </w:t>
      </w:r>
      <w:r w:rsidR="00B95FCB">
        <w:rPr>
          <w:rFonts w:asciiTheme="majorHAnsi" w:hAnsiTheme="majorHAnsi"/>
          <w:sz w:val="24"/>
          <w:szCs w:val="24"/>
        </w:rPr>
        <w:t xml:space="preserve">study protocol is currently under review by the </w:t>
      </w:r>
      <w:r w:rsidR="000E3C9C">
        <w:rPr>
          <w:rFonts w:asciiTheme="majorHAnsi" w:hAnsiTheme="majorHAnsi"/>
          <w:sz w:val="24"/>
          <w:szCs w:val="24"/>
        </w:rPr>
        <w:t xml:space="preserve">ICF IRB </w:t>
      </w:r>
      <w:r w:rsidR="00B95FCB">
        <w:rPr>
          <w:rFonts w:asciiTheme="majorHAnsi" w:hAnsiTheme="majorHAnsi"/>
          <w:sz w:val="24"/>
          <w:szCs w:val="24"/>
        </w:rPr>
        <w:t xml:space="preserve">and a final determination has not yet been made.  However, initial feedback from the ICF IRB has </w:t>
      </w:r>
      <w:r w:rsidR="00B4420E">
        <w:rPr>
          <w:rFonts w:asciiTheme="majorHAnsi" w:hAnsiTheme="majorHAnsi"/>
          <w:sz w:val="24"/>
          <w:szCs w:val="24"/>
        </w:rPr>
        <w:t>indicated</w:t>
      </w:r>
      <w:r w:rsidR="00B95FCB">
        <w:rPr>
          <w:rFonts w:asciiTheme="majorHAnsi" w:hAnsiTheme="majorHAnsi"/>
          <w:sz w:val="24"/>
          <w:szCs w:val="24"/>
        </w:rPr>
        <w:t xml:space="preserve"> that the IRB will exempt the need for a written signature</w:t>
      </w:r>
      <w:r w:rsidR="000E3C9C">
        <w:rPr>
          <w:rFonts w:asciiTheme="majorHAnsi" w:hAnsiTheme="majorHAnsi"/>
          <w:sz w:val="24"/>
          <w:szCs w:val="24"/>
        </w:rPr>
        <w:t xml:space="preserve">.  </w:t>
      </w:r>
    </w:p>
    <w:p w14:paraId="25896B37" w14:textId="5A29D7EE" w:rsidR="008546F3" w:rsidRPr="00CF21E5" w:rsidRDefault="008546F3" w:rsidP="00231585">
      <w:pPr>
        <w:pStyle w:val="ListParagraph"/>
        <w:autoSpaceDE w:val="0"/>
        <w:autoSpaceDN w:val="0"/>
        <w:adjustRightInd w:val="0"/>
        <w:spacing w:line="240" w:lineRule="auto"/>
        <w:ind w:left="360"/>
        <w:contextualSpacing w:val="0"/>
        <w:rPr>
          <w:rFonts w:asciiTheme="majorHAnsi" w:hAnsiTheme="majorHAnsi"/>
          <w:sz w:val="24"/>
          <w:szCs w:val="24"/>
        </w:rPr>
      </w:pPr>
      <w:r>
        <w:rPr>
          <w:rFonts w:asciiTheme="majorHAnsi" w:hAnsiTheme="majorHAnsi"/>
          <w:sz w:val="24"/>
          <w:szCs w:val="24"/>
        </w:rPr>
        <w:t>For those interviews/focus groups that are recorded, a</w:t>
      </w:r>
      <w:r w:rsidRPr="008546F3">
        <w:rPr>
          <w:rFonts w:asciiTheme="majorHAnsi" w:hAnsiTheme="majorHAnsi"/>
          <w:sz w:val="24"/>
          <w:szCs w:val="24"/>
        </w:rPr>
        <w:t xml:space="preserve">udio files will be housed on the laptop computers of research staff until transferred to ICF’s secure server.  </w:t>
      </w:r>
      <w:r w:rsidR="006A7B08" w:rsidRPr="006A7B08">
        <w:rPr>
          <w:rFonts w:asciiTheme="majorHAnsi" w:hAnsiTheme="majorHAnsi"/>
          <w:sz w:val="24"/>
          <w:szCs w:val="24"/>
        </w:rPr>
        <w:t xml:space="preserve">Only a limited number of </w:t>
      </w:r>
      <w:r w:rsidR="006A7B08">
        <w:rPr>
          <w:rFonts w:asciiTheme="majorHAnsi" w:hAnsiTheme="majorHAnsi"/>
          <w:sz w:val="24"/>
          <w:szCs w:val="24"/>
        </w:rPr>
        <w:t>ICF</w:t>
      </w:r>
      <w:r w:rsidR="006A7B08" w:rsidRPr="006A7B08">
        <w:rPr>
          <w:rFonts w:asciiTheme="majorHAnsi" w:hAnsiTheme="majorHAnsi"/>
          <w:sz w:val="24"/>
          <w:szCs w:val="24"/>
        </w:rPr>
        <w:t xml:space="preserve"> staff (those working directly on the project) will have access to the recordings. </w:t>
      </w:r>
      <w:r w:rsidRPr="008546F3">
        <w:rPr>
          <w:rFonts w:asciiTheme="majorHAnsi" w:hAnsiTheme="majorHAnsi"/>
          <w:sz w:val="24"/>
          <w:szCs w:val="24"/>
        </w:rPr>
        <w:t>All audio files will be deleted within two weeks of being checked for accuracy and transcribed</w:t>
      </w:r>
      <w:r w:rsidR="006A7B08">
        <w:rPr>
          <w:rFonts w:asciiTheme="majorHAnsi" w:hAnsiTheme="majorHAnsi"/>
          <w:sz w:val="24"/>
          <w:szCs w:val="24"/>
        </w:rPr>
        <w:t xml:space="preserve">. </w:t>
      </w:r>
      <w:r w:rsidR="00231585">
        <w:rPr>
          <w:rFonts w:asciiTheme="majorHAnsi" w:hAnsiTheme="majorHAnsi"/>
          <w:sz w:val="24"/>
          <w:szCs w:val="24"/>
        </w:rPr>
        <w:t>Th</w:t>
      </w:r>
      <w:r w:rsidR="00231585" w:rsidRPr="00D013A9">
        <w:rPr>
          <w:rFonts w:asciiTheme="majorHAnsi" w:hAnsiTheme="majorHAnsi"/>
          <w:sz w:val="24"/>
          <w:szCs w:val="24"/>
        </w:rPr>
        <w:t xml:space="preserve">e </w:t>
      </w:r>
      <w:r w:rsidR="00231585">
        <w:rPr>
          <w:rFonts w:asciiTheme="majorHAnsi" w:hAnsiTheme="majorHAnsi"/>
          <w:sz w:val="24"/>
          <w:szCs w:val="24"/>
        </w:rPr>
        <w:t xml:space="preserve">contractor </w:t>
      </w:r>
      <w:r w:rsidR="00231585" w:rsidRPr="00D013A9">
        <w:rPr>
          <w:rFonts w:asciiTheme="majorHAnsi" w:hAnsiTheme="majorHAnsi"/>
          <w:sz w:val="24"/>
          <w:szCs w:val="24"/>
        </w:rPr>
        <w:t>will not record any session where a participant does not agree to recording. Instead, the interviewer will take notes during the interview</w:t>
      </w:r>
      <w:r w:rsidR="00231585">
        <w:rPr>
          <w:rFonts w:asciiTheme="majorHAnsi" w:hAnsiTheme="majorHAnsi"/>
          <w:sz w:val="24"/>
          <w:szCs w:val="24"/>
        </w:rPr>
        <w:t>, and similar to the audio files, notes will be transferred to ICF’s secure server and removed from the research staff’s computers.</w:t>
      </w:r>
    </w:p>
    <w:p w14:paraId="29476688" w14:textId="64764A7E" w:rsidR="00B12F51" w:rsidRPr="0027543C" w:rsidRDefault="0088467A" w:rsidP="00D558F8">
      <w:pPr>
        <w:pStyle w:val="ListParagraph"/>
        <w:numPr>
          <w:ilvl w:val="0"/>
          <w:numId w:val="3"/>
        </w:numPr>
        <w:spacing w:after="120" w:line="240" w:lineRule="auto"/>
        <w:contextualSpacing w:val="0"/>
        <w:rPr>
          <w:rFonts w:asciiTheme="majorHAnsi" w:hAnsiTheme="majorHAnsi"/>
          <w:b/>
          <w:sz w:val="24"/>
          <w:szCs w:val="24"/>
        </w:rPr>
      </w:pPr>
      <w:r w:rsidRPr="000D7307">
        <w:rPr>
          <w:rFonts w:asciiTheme="majorHAnsi" w:hAnsiTheme="majorHAnsi"/>
          <w:b/>
          <w:bCs/>
          <w:sz w:val="24"/>
          <w:szCs w:val="24"/>
        </w:rPr>
        <w:t>Justification for Sensitive Questions</w:t>
      </w:r>
    </w:p>
    <w:p w14:paraId="1693B227" w14:textId="6A6D9308" w:rsidR="00884F8D" w:rsidRDefault="003C31C9" w:rsidP="0049245A">
      <w:pPr>
        <w:pStyle w:val="ListParagraph"/>
        <w:autoSpaceDE w:val="0"/>
        <w:autoSpaceDN w:val="0"/>
        <w:adjustRightInd w:val="0"/>
        <w:spacing w:line="240" w:lineRule="auto"/>
        <w:ind w:left="360"/>
        <w:contextualSpacing w:val="0"/>
        <w:rPr>
          <w:rFonts w:asciiTheme="majorHAnsi" w:hAnsiTheme="majorHAnsi"/>
          <w:sz w:val="24"/>
          <w:szCs w:val="24"/>
        </w:rPr>
      </w:pPr>
      <w:r w:rsidRPr="003D43B9">
        <w:rPr>
          <w:rFonts w:asciiTheme="majorHAnsi" w:hAnsiTheme="majorHAnsi"/>
          <w:sz w:val="24"/>
          <w:szCs w:val="24"/>
        </w:rPr>
        <w:t xml:space="preserve">No information </w:t>
      </w:r>
      <w:r w:rsidR="000F28BC" w:rsidRPr="003D43B9">
        <w:rPr>
          <w:rFonts w:asciiTheme="majorHAnsi" w:hAnsiTheme="majorHAnsi"/>
          <w:sz w:val="24"/>
          <w:szCs w:val="24"/>
        </w:rPr>
        <w:t xml:space="preserve">of a personal or sensitive nature </w:t>
      </w:r>
      <w:r w:rsidRPr="003D43B9">
        <w:rPr>
          <w:rFonts w:asciiTheme="majorHAnsi" w:hAnsiTheme="majorHAnsi"/>
          <w:sz w:val="24"/>
          <w:szCs w:val="24"/>
        </w:rPr>
        <w:t>will be collected</w:t>
      </w:r>
      <w:r w:rsidR="00D31D3B" w:rsidRPr="003D43B9">
        <w:rPr>
          <w:rFonts w:asciiTheme="majorHAnsi" w:hAnsiTheme="majorHAnsi"/>
          <w:sz w:val="24"/>
          <w:szCs w:val="24"/>
        </w:rPr>
        <w:t xml:space="preserve"> as part of </w:t>
      </w:r>
      <w:r w:rsidR="003D43B9">
        <w:rPr>
          <w:rFonts w:asciiTheme="majorHAnsi" w:hAnsiTheme="majorHAnsi"/>
          <w:sz w:val="24"/>
          <w:szCs w:val="24"/>
        </w:rPr>
        <w:t>ASPE’s</w:t>
      </w:r>
      <w:r w:rsidR="00D31D3B" w:rsidRPr="003D43B9">
        <w:rPr>
          <w:rFonts w:asciiTheme="majorHAnsi" w:hAnsiTheme="majorHAnsi"/>
          <w:sz w:val="24"/>
          <w:szCs w:val="24"/>
        </w:rPr>
        <w:t xml:space="preserve"> </w:t>
      </w:r>
      <w:r w:rsidR="00D31D3B" w:rsidRPr="003801E6">
        <w:rPr>
          <w:rFonts w:asciiTheme="majorHAnsi" w:hAnsiTheme="majorHAnsi"/>
          <w:i/>
          <w:sz w:val="24"/>
          <w:szCs w:val="24"/>
        </w:rPr>
        <w:t xml:space="preserve">Rural Communities </w:t>
      </w:r>
      <w:r w:rsidR="003B2ED5" w:rsidRPr="003801E6">
        <w:rPr>
          <w:rFonts w:asciiTheme="majorHAnsi" w:hAnsiTheme="majorHAnsi"/>
          <w:i/>
          <w:sz w:val="24"/>
          <w:szCs w:val="24"/>
        </w:rPr>
        <w:t>Substudy</w:t>
      </w:r>
      <w:r w:rsidR="00D31D3B" w:rsidRPr="003D43B9">
        <w:rPr>
          <w:rFonts w:asciiTheme="majorHAnsi" w:hAnsiTheme="majorHAnsi"/>
          <w:sz w:val="24"/>
          <w:szCs w:val="24"/>
        </w:rPr>
        <w:t xml:space="preserve">. </w:t>
      </w:r>
      <w:r w:rsidR="0027543C" w:rsidRPr="003D43B9">
        <w:rPr>
          <w:rFonts w:asciiTheme="majorHAnsi" w:hAnsiTheme="majorHAnsi"/>
          <w:sz w:val="24"/>
          <w:szCs w:val="24"/>
        </w:rPr>
        <w:t xml:space="preserve"> </w:t>
      </w:r>
      <w:r w:rsidR="003D43B9" w:rsidRPr="003D43B9">
        <w:rPr>
          <w:rFonts w:asciiTheme="majorHAnsi" w:hAnsiTheme="majorHAnsi"/>
          <w:sz w:val="24"/>
          <w:szCs w:val="24"/>
        </w:rPr>
        <w:t xml:space="preserve">However, the </w:t>
      </w:r>
      <w:r w:rsidR="003D43B9" w:rsidRPr="003801E6">
        <w:rPr>
          <w:rFonts w:asciiTheme="majorHAnsi" w:hAnsiTheme="majorHAnsi"/>
          <w:i/>
          <w:sz w:val="24"/>
          <w:szCs w:val="24"/>
        </w:rPr>
        <w:t>Community Burden Substudy</w:t>
      </w:r>
      <w:r w:rsidR="003D43B9" w:rsidRPr="003D43B9">
        <w:rPr>
          <w:rFonts w:asciiTheme="majorHAnsi" w:hAnsiTheme="majorHAnsi"/>
          <w:sz w:val="24"/>
          <w:szCs w:val="24"/>
        </w:rPr>
        <w:t xml:space="preserve"> involves the collection of </w:t>
      </w:r>
      <w:r w:rsidR="00426A48">
        <w:rPr>
          <w:rFonts w:asciiTheme="majorHAnsi" w:hAnsiTheme="majorHAnsi"/>
          <w:sz w:val="24"/>
          <w:szCs w:val="24"/>
        </w:rPr>
        <w:t xml:space="preserve">some </w:t>
      </w:r>
      <w:r w:rsidR="003D43B9" w:rsidRPr="003D43B9">
        <w:rPr>
          <w:rFonts w:asciiTheme="majorHAnsi" w:hAnsiTheme="majorHAnsi"/>
          <w:sz w:val="24"/>
          <w:szCs w:val="24"/>
        </w:rPr>
        <w:t>sensitive information</w:t>
      </w:r>
      <w:r w:rsidR="00505D29">
        <w:rPr>
          <w:rFonts w:asciiTheme="majorHAnsi" w:hAnsiTheme="majorHAnsi"/>
          <w:sz w:val="24"/>
          <w:szCs w:val="24"/>
        </w:rPr>
        <w:t xml:space="preserve"> among parents and caregivers</w:t>
      </w:r>
      <w:r w:rsidR="003D43B9" w:rsidRPr="003D43B9">
        <w:rPr>
          <w:rFonts w:asciiTheme="majorHAnsi" w:hAnsiTheme="majorHAnsi"/>
          <w:sz w:val="24"/>
          <w:szCs w:val="24"/>
        </w:rPr>
        <w:t xml:space="preserve">. </w:t>
      </w:r>
      <w:r w:rsidR="00053D5B" w:rsidRPr="003D43B9">
        <w:rPr>
          <w:rFonts w:asciiTheme="majorHAnsi" w:hAnsiTheme="majorHAnsi"/>
          <w:sz w:val="24"/>
          <w:szCs w:val="24"/>
        </w:rPr>
        <w:t xml:space="preserve">CBS instruments </w:t>
      </w:r>
      <w:r w:rsidR="00053D5B">
        <w:rPr>
          <w:rFonts w:asciiTheme="majorHAnsi" w:hAnsiTheme="majorHAnsi"/>
          <w:sz w:val="24"/>
          <w:szCs w:val="24"/>
        </w:rPr>
        <w:t xml:space="preserve">designed </w:t>
      </w:r>
      <w:r w:rsidR="00053D5B" w:rsidRPr="003D43B9">
        <w:rPr>
          <w:rFonts w:asciiTheme="majorHAnsi" w:hAnsiTheme="majorHAnsi"/>
          <w:sz w:val="24"/>
          <w:szCs w:val="24"/>
        </w:rPr>
        <w:t xml:space="preserve">for use with parents and caregivers </w:t>
      </w:r>
      <w:r w:rsidR="00426A48">
        <w:rPr>
          <w:rFonts w:asciiTheme="majorHAnsi" w:hAnsiTheme="majorHAnsi"/>
          <w:sz w:val="24"/>
          <w:szCs w:val="24"/>
        </w:rPr>
        <w:t xml:space="preserve">may </w:t>
      </w:r>
      <w:r w:rsidR="00053D5B" w:rsidRPr="003D43B9">
        <w:rPr>
          <w:rFonts w:asciiTheme="majorHAnsi" w:hAnsiTheme="majorHAnsi"/>
          <w:sz w:val="24"/>
          <w:szCs w:val="24"/>
        </w:rPr>
        <w:t>include questions about parental opioid/substance misuse, child welfare involvement, children’s exposure to viole</w:t>
      </w:r>
      <w:r w:rsidR="00053D5B">
        <w:rPr>
          <w:rFonts w:asciiTheme="majorHAnsi" w:hAnsiTheme="majorHAnsi"/>
          <w:sz w:val="24"/>
          <w:szCs w:val="24"/>
        </w:rPr>
        <w:t>nce and</w:t>
      </w:r>
      <w:r w:rsidR="00EF27AA">
        <w:rPr>
          <w:rFonts w:asciiTheme="majorHAnsi" w:hAnsiTheme="majorHAnsi"/>
          <w:sz w:val="24"/>
          <w:szCs w:val="24"/>
        </w:rPr>
        <w:t xml:space="preserve"> other</w:t>
      </w:r>
      <w:r w:rsidR="00053D5B">
        <w:rPr>
          <w:rFonts w:asciiTheme="majorHAnsi" w:hAnsiTheme="majorHAnsi"/>
          <w:sz w:val="24"/>
          <w:szCs w:val="24"/>
        </w:rPr>
        <w:t xml:space="preserve"> ACEs, and help seeking for substance misuse</w:t>
      </w:r>
      <w:r w:rsidR="00053D5B" w:rsidRPr="003D43B9">
        <w:rPr>
          <w:rFonts w:asciiTheme="majorHAnsi" w:hAnsiTheme="majorHAnsi"/>
          <w:sz w:val="24"/>
          <w:szCs w:val="24"/>
        </w:rPr>
        <w:t>. These questions are central to CDC’s goal of learning about trajectories into opioid misuse</w:t>
      </w:r>
      <w:r w:rsidR="00053D5B">
        <w:rPr>
          <w:rFonts w:asciiTheme="majorHAnsi" w:hAnsiTheme="majorHAnsi"/>
          <w:sz w:val="24"/>
          <w:szCs w:val="24"/>
        </w:rPr>
        <w:t>, children’s exposure to violence and ACEs,</w:t>
      </w:r>
      <w:r w:rsidR="00053D5B" w:rsidRPr="003D43B9">
        <w:rPr>
          <w:rFonts w:asciiTheme="majorHAnsi" w:hAnsiTheme="majorHAnsi"/>
          <w:sz w:val="24"/>
          <w:szCs w:val="24"/>
        </w:rPr>
        <w:t xml:space="preserve"> </w:t>
      </w:r>
      <w:r w:rsidR="00053D5B">
        <w:rPr>
          <w:rFonts w:asciiTheme="majorHAnsi" w:hAnsiTheme="majorHAnsi"/>
          <w:sz w:val="24"/>
          <w:szCs w:val="24"/>
        </w:rPr>
        <w:t xml:space="preserve">and </w:t>
      </w:r>
      <w:r w:rsidR="00053D5B" w:rsidRPr="003D43B9">
        <w:rPr>
          <w:rFonts w:asciiTheme="majorHAnsi" w:hAnsiTheme="majorHAnsi"/>
          <w:sz w:val="24"/>
          <w:szCs w:val="24"/>
        </w:rPr>
        <w:t>possible protective factors</w:t>
      </w:r>
      <w:r w:rsidR="00D90373">
        <w:rPr>
          <w:rFonts w:asciiTheme="majorHAnsi" w:hAnsiTheme="majorHAnsi"/>
          <w:sz w:val="24"/>
          <w:szCs w:val="24"/>
        </w:rPr>
        <w:t xml:space="preserve"> for opioid misuse and ACEs</w:t>
      </w:r>
      <w:r w:rsidR="00053D5B" w:rsidRPr="003D43B9">
        <w:rPr>
          <w:rFonts w:asciiTheme="majorHAnsi" w:hAnsiTheme="majorHAnsi"/>
          <w:sz w:val="24"/>
          <w:szCs w:val="24"/>
        </w:rPr>
        <w:t xml:space="preserve">. </w:t>
      </w:r>
    </w:p>
    <w:p w14:paraId="5E39950F" w14:textId="72C1EFDC" w:rsidR="0049245A" w:rsidRDefault="00213969" w:rsidP="0049245A">
      <w:pPr>
        <w:pStyle w:val="ListParagraph"/>
        <w:autoSpaceDE w:val="0"/>
        <w:autoSpaceDN w:val="0"/>
        <w:adjustRightInd w:val="0"/>
        <w:spacing w:line="240" w:lineRule="auto"/>
        <w:ind w:left="360"/>
        <w:contextualSpacing w:val="0"/>
        <w:rPr>
          <w:rFonts w:asciiTheme="majorHAnsi" w:hAnsiTheme="majorHAnsi"/>
          <w:sz w:val="24"/>
          <w:szCs w:val="24"/>
        </w:rPr>
      </w:pPr>
      <w:r>
        <w:rPr>
          <w:rFonts w:asciiTheme="majorHAnsi" w:hAnsiTheme="majorHAnsi"/>
          <w:sz w:val="24"/>
          <w:szCs w:val="24"/>
        </w:rPr>
        <w:t xml:space="preserve">Participants will be told that </w:t>
      </w:r>
      <w:r w:rsidR="00505D29">
        <w:rPr>
          <w:rFonts w:asciiTheme="majorHAnsi" w:hAnsiTheme="majorHAnsi"/>
          <w:sz w:val="24"/>
          <w:szCs w:val="24"/>
        </w:rPr>
        <w:t xml:space="preserve">their </w:t>
      </w:r>
      <w:r w:rsidRPr="00884F8D">
        <w:rPr>
          <w:rFonts w:asciiTheme="majorHAnsi" w:hAnsiTheme="majorHAnsi"/>
          <w:sz w:val="24"/>
          <w:szCs w:val="24"/>
        </w:rPr>
        <w:t xml:space="preserve">answers will be kept secure and </w:t>
      </w:r>
      <w:r>
        <w:rPr>
          <w:rFonts w:asciiTheme="majorHAnsi" w:hAnsiTheme="majorHAnsi"/>
          <w:sz w:val="24"/>
          <w:szCs w:val="24"/>
        </w:rPr>
        <w:t>that their</w:t>
      </w:r>
      <w:r w:rsidRPr="00884F8D">
        <w:rPr>
          <w:rFonts w:asciiTheme="majorHAnsi" w:hAnsiTheme="majorHAnsi"/>
          <w:sz w:val="24"/>
          <w:szCs w:val="24"/>
        </w:rPr>
        <w:t xml:space="preserve"> responses will not be linked to </w:t>
      </w:r>
      <w:r>
        <w:rPr>
          <w:rFonts w:asciiTheme="majorHAnsi" w:hAnsiTheme="majorHAnsi"/>
          <w:sz w:val="24"/>
          <w:szCs w:val="24"/>
        </w:rPr>
        <w:t>them</w:t>
      </w:r>
      <w:r w:rsidRPr="00884F8D">
        <w:rPr>
          <w:rFonts w:asciiTheme="majorHAnsi" w:hAnsiTheme="majorHAnsi"/>
          <w:sz w:val="24"/>
          <w:szCs w:val="24"/>
        </w:rPr>
        <w:t xml:space="preserve"> personally.  </w:t>
      </w:r>
      <w:r>
        <w:rPr>
          <w:rFonts w:asciiTheme="majorHAnsi" w:hAnsiTheme="majorHAnsi"/>
          <w:sz w:val="24"/>
          <w:szCs w:val="24"/>
        </w:rPr>
        <w:t xml:space="preserve">Participants will also be informed about the certificate of confidentiality but told that interviewers will still be required to report participants who pose a danger to themselves or others, or if child abuse or neglect is suspected.  The informed consent left with participants will also contain contact information for the both the project director and ICF IRB in case a participant has further questions or concerns.  </w:t>
      </w:r>
    </w:p>
    <w:p w14:paraId="35D82DDB" w14:textId="151BC80E" w:rsidR="00213969" w:rsidRPr="003D43B9" w:rsidRDefault="00213969" w:rsidP="0049245A">
      <w:pPr>
        <w:pStyle w:val="ListParagraph"/>
        <w:autoSpaceDE w:val="0"/>
        <w:autoSpaceDN w:val="0"/>
        <w:adjustRightInd w:val="0"/>
        <w:spacing w:line="240" w:lineRule="auto"/>
        <w:ind w:left="360"/>
        <w:contextualSpacing w:val="0"/>
        <w:rPr>
          <w:rFonts w:asciiTheme="majorHAnsi" w:hAnsiTheme="majorHAnsi"/>
          <w:sz w:val="24"/>
          <w:szCs w:val="24"/>
        </w:rPr>
      </w:pPr>
      <w:r>
        <w:rPr>
          <w:rFonts w:asciiTheme="majorHAnsi" w:hAnsiTheme="majorHAnsi"/>
          <w:sz w:val="24"/>
          <w:szCs w:val="24"/>
        </w:rPr>
        <w:t xml:space="preserve">Data collectors will also be trained and instructed on handling a participant crisis should one arise.  </w:t>
      </w:r>
      <w:r w:rsidRPr="00213969">
        <w:rPr>
          <w:rFonts w:asciiTheme="majorHAnsi" w:hAnsiTheme="majorHAnsi"/>
          <w:sz w:val="24"/>
          <w:szCs w:val="24"/>
        </w:rPr>
        <w:t>Crisis instructions will be provided during the pre-data collection training.  Data collectors will be instructed that should interviewers sense that participants are feeling distressed or don’t wish to continue with the interview, that the interview should be concluded without putting the participant under any undue stress.  All interviewers will be experienced in conducting field data collection and should be able to detect a situation where the interviewee may be uncomfortable or wish to discontinue.  The interviewer will also be instructed to help the person reconnect and regain control over his or her feelings by normalizing the person’s feelings and experience</w:t>
      </w:r>
      <w:r w:rsidR="00EB1934">
        <w:rPr>
          <w:rFonts w:asciiTheme="majorHAnsi" w:hAnsiTheme="majorHAnsi"/>
          <w:sz w:val="24"/>
          <w:szCs w:val="24"/>
        </w:rPr>
        <w:t xml:space="preserve">, </w:t>
      </w:r>
      <w:r w:rsidRPr="00213969">
        <w:rPr>
          <w:rFonts w:asciiTheme="majorHAnsi" w:hAnsiTheme="majorHAnsi"/>
          <w:sz w:val="24"/>
          <w:szCs w:val="24"/>
        </w:rPr>
        <w:t xml:space="preserve"> reminding him or her that it is not unusual for people to have strong feelings arise following this type of interview.  </w:t>
      </w:r>
      <w:r w:rsidR="00965CE0">
        <w:rPr>
          <w:rFonts w:asciiTheme="majorHAnsi" w:hAnsiTheme="majorHAnsi"/>
          <w:sz w:val="24"/>
          <w:szCs w:val="24"/>
        </w:rPr>
        <w:t xml:space="preserve">Participants can also be connected with the local child welfare agency for additional resources if requested. </w:t>
      </w:r>
      <w:r w:rsidR="0091743A">
        <w:rPr>
          <w:rFonts w:asciiTheme="majorHAnsi" w:hAnsiTheme="majorHAnsi"/>
          <w:sz w:val="24"/>
          <w:szCs w:val="24"/>
        </w:rPr>
        <w:t xml:space="preserve">Participants will also receive key CDC resources that might be helpful in navigating their day-to-day challenges (e.g., </w:t>
      </w:r>
      <w:r w:rsidR="0091743A">
        <w:rPr>
          <w:rFonts w:asciiTheme="majorHAnsi" w:hAnsiTheme="majorHAnsi"/>
          <w:i/>
          <w:sz w:val="24"/>
          <w:szCs w:val="24"/>
        </w:rPr>
        <w:t>Essentials for Parenting Toddlers and Young Children</w:t>
      </w:r>
      <w:r w:rsidR="0091743A">
        <w:rPr>
          <w:rFonts w:asciiTheme="majorHAnsi" w:hAnsiTheme="majorHAnsi"/>
          <w:sz w:val="24"/>
          <w:szCs w:val="24"/>
        </w:rPr>
        <w:t>).</w:t>
      </w:r>
      <w:r w:rsidR="00965CE0">
        <w:rPr>
          <w:rFonts w:asciiTheme="majorHAnsi" w:hAnsiTheme="majorHAnsi"/>
          <w:sz w:val="24"/>
          <w:szCs w:val="24"/>
        </w:rPr>
        <w:t xml:space="preserve"> </w:t>
      </w:r>
    </w:p>
    <w:p w14:paraId="66CE5017" w14:textId="3E4E0509" w:rsidR="00B64BFA" w:rsidRPr="000D7307" w:rsidRDefault="0088467A" w:rsidP="00D558F8">
      <w:pPr>
        <w:pStyle w:val="ListParagraph"/>
        <w:numPr>
          <w:ilvl w:val="0"/>
          <w:numId w:val="3"/>
        </w:numPr>
        <w:spacing w:after="120" w:line="240" w:lineRule="auto"/>
        <w:contextualSpacing w:val="0"/>
        <w:rPr>
          <w:rFonts w:asciiTheme="majorHAnsi" w:hAnsiTheme="majorHAnsi"/>
          <w:b/>
          <w:sz w:val="24"/>
          <w:szCs w:val="24"/>
        </w:rPr>
      </w:pPr>
      <w:r w:rsidRPr="000D7307">
        <w:rPr>
          <w:rFonts w:asciiTheme="majorHAnsi" w:hAnsiTheme="majorHAnsi"/>
          <w:b/>
          <w:bCs/>
          <w:sz w:val="24"/>
          <w:szCs w:val="24"/>
        </w:rPr>
        <w:t>Estimates of Annualized Burden Hours and Costs</w:t>
      </w:r>
    </w:p>
    <w:p w14:paraId="07D27611" w14:textId="3EF6B3A2" w:rsidR="00D90373" w:rsidRDefault="00977558" w:rsidP="00D31D3B">
      <w:pPr>
        <w:pStyle w:val="ListParagraph"/>
        <w:autoSpaceDE w:val="0"/>
        <w:autoSpaceDN w:val="0"/>
        <w:adjustRightInd w:val="0"/>
        <w:spacing w:line="240" w:lineRule="auto"/>
        <w:ind w:left="360"/>
        <w:contextualSpacing w:val="0"/>
        <w:rPr>
          <w:rFonts w:asciiTheme="majorHAnsi" w:hAnsiTheme="majorHAnsi"/>
          <w:color w:val="000000"/>
          <w:sz w:val="24"/>
          <w:szCs w:val="24"/>
        </w:rPr>
      </w:pPr>
      <w:r w:rsidRPr="000D7307">
        <w:rPr>
          <w:rFonts w:asciiTheme="majorHAnsi" w:hAnsiTheme="majorHAnsi"/>
          <w:color w:val="000000"/>
          <w:sz w:val="24"/>
          <w:szCs w:val="24"/>
        </w:rPr>
        <w:t xml:space="preserve">For </w:t>
      </w:r>
      <w:r w:rsidR="00D90373">
        <w:rPr>
          <w:rFonts w:asciiTheme="majorHAnsi" w:hAnsiTheme="majorHAnsi"/>
          <w:color w:val="000000"/>
          <w:sz w:val="24"/>
          <w:szCs w:val="24"/>
        </w:rPr>
        <w:t xml:space="preserve">the </w:t>
      </w:r>
      <w:r w:rsidR="00D90373" w:rsidRPr="00D90373">
        <w:rPr>
          <w:rFonts w:asciiTheme="majorHAnsi" w:hAnsiTheme="majorHAnsi"/>
          <w:i/>
          <w:color w:val="000000"/>
          <w:sz w:val="24"/>
          <w:szCs w:val="24"/>
        </w:rPr>
        <w:t>Rural Communities Substudy</w:t>
      </w:r>
      <w:r w:rsidR="00EF27AA">
        <w:rPr>
          <w:rFonts w:asciiTheme="majorHAnsi" w:hAnsiTheme="majorHAnsi"/>
          <w:i/>
          <w:color w:val="000000"/>
          <w:sz w:val="24"/>
          <w:szCs w:val="24"/>
        </w:rPr>
        <w:t>’s</w:t>
      </w:r>
      <w:r w:rsidR="00D90373">
        <w:rPr>
          <w:rFonts w:asciiTheme="majorHAnsi" w:hAnsiTheme="majorHAnsi"/>
          <w:color w:val="000000"/>
          <w:sz w:val="24"/>
          <w:szCs w:val="24"/>
        </w:rPr>
        <w:t xml:space="preserve"> </w:t>
      </w:r>
      <w:r w:rsidRPr="000D7307">
        <w:rPr>
          <w:rFonts w:asciiTheme="majorHAnsi" w:hAnsiTheme="majorHAnsi"/>
          <w:color w:val="000000"/>
          <w:sz w:val="24"/>
          <w:szCs w:val="24"/>
        </w:rPr>
        <w:t>key informant interviews, the estimate</w:t>
      </w:r>
      <w:r w:rsidR="00EB4BD8">
        <w:rPr>
          <w:rFonts w:asciiTheme="majorHAnsi" w:hAnsiTheme="majorHAnsi"/>
          <w:color w:val="000000"/>
          <w:sz w:val="24"/>
          <w:szCs w:val="24"/>
        </w:rPr>
        <w:t>d</w:t>
      </w:r>
      <w:r w:rsidRPr="000D7307">
        <w:rPr>
          <w:rFonts w:asciiTheme="majorHAnsi" w:hAnsiTheme="majorHAnsi"/>
          <w:color w:val="000000"/>
          <w:sz w:val="24"/>
          <w:szCs w:val="24"/>
        </w:rPr>
        <w:t xml:space="preserve"> burden is </w:t>
      </w:r>
      <w:r w:rsidR="00181B75">
        <w:rPr>
          <w:rFonts w:asciiTheme="majorHAnsi" w:hAnsiTheme="majorHAnsi"/>
          <w:color w:val="000000"/>
          <w:sz w:val="24"/>
          <w:szCs w:val="24"/>
        </w:rPr>
        <w:t>6</w:t>
      </w:r>
      <w:r w:rsidRPr="000D7307">
        <w:rPr>
          <w:rFonts w:asciiTheme="majorHAnsi" w:hAnsiTheme="majorHAnsi"/>
          <w:color w:val="000000"/>
          <w:sz w:val="24"/>
          <w:szCs w:val="24"/>
        </w:rPr>
        <w:t>0 minutes pe</w:t>
      </w:r>
      <w:r w:rsidR="0099790B" w:rsidRPr="000D7307">
        <w:rPr>
          <w:rFonts w:asciiTheme="majorHAnsi" w:hAnsiTheme="majorHAnsi"/>
          <w:color w:val="000000"/>
          <w:sz w:val="24"/>
          <w:szCs w:val="24"/>
        </w:rPr>
        <w:t>r response</w:t>
      </w:r>
      <w:r w:rsidR="00EB4BD8">
        <w:rPr>
          <w:rFonts w:asciiTheme="majorHAnsi" w:hAnsiTheme="majorHAnsi"/>
          <w:color w:val="000000"/>
          <w:sz w:val="24"/>
          <w:szCs w:val="24"/>
        </w:rPr>
        <w:t xml:space="preserve">. </w:t>
      </w:r>
      <w:r w:rsidR="00EB4BD8" w:rsidRPr="000D7307">
        <w:rPr>
          <w:rFonts w:asciiTheme="majorHAnsi" w:hAnsiTheme="majorHAnsi"/>
          <w:sz w:val="24"/>
          <w:szCs w:val="24"/>
        </w:rPr>
        <w:t xml:space="preserve">We plan to interview </w:t>
      </w:r>
      <w:r w:rsidR="00EB4BD8">
        <w:rPr>
          <w:rFonts w:asciiTheme="majorHAnsi" w:hAnsiTheme="majorHAnsi"/>
          <w:sz w:val="24"/>
          <w:szCs w:val="24"/>
        </w:rPr>
        <w:t>up to 24 key informants</w:t>
      </w:r>
      <w:r w:rsidR="00EB4BD8">
        <w:rPr>
          <w:rFonts w:asciiTheme="majorHAnsi" w:hAnsiTheme="majorHAnsi"/>
          <w:color w:val="000000"/>
          <w:sz w:val="24"/>
          <w:szCs w:val="24"/>
        </w:rPr>
        <w:t xml:space="preserve">, for a total of </w:t>
      </w:r>
      <w:r w:rsidR="00DA4E9C">
        <w:rPr>
          <w:rFonts w:asciiTheme="majorHAnsi" w:hAnsiTheme="majorHAnsi"/>
          <w:color w:val="000000"/>
          <w:sz w:val="24"/>
          <w:szCs w:val="24"/>
        </w:rPr>
        <w:t>24</w:t>
      </w:r>
      <w:r w:rsidR="00EB4BD8">
        <w:rPr>
          <w:rFonts w:asciiTheme="majorHAnsi" w:hAnsiTheme="majorHAnsi"/>
          <w:color w:val="000000"/>
          <w:sz w:val="24"/>
          <w:szCs w:val="24"/>
        </w:rPr>
        <w:t xml:space="preserve"> hours</w:t>
      </w:r>
      <w:r w:rsidRPr="000D7307">
        <w:rPr>
          <w:rFonts w:asciiTheme="majorHAnsi" w:hAnsiTheme="majorHAnsi"/>
          <w:color w:val="000000"/>
          <w:sz w:val="24"/>
          <w:szCs w:val="24"/>
        </w:rPr>
        <w:t>. For site visit</w:t>
      </w:r>
      <w:r w:rsidR="00E91050">
        <w:rPr>
          <w:rFonts w:asciiTheme="majorHAnsi" w:hAnsiTheme="majorHAnsi"/>
          <w:color w:val="000000"/>
          <w:sz w:val="24"/>
          <w:szCs w:val="24"/>
        </w:rPr>
        <w:t xml:space="preserve"> interviews</w:t>
      </w:r>
      <w:r w:rsidRPr="000D7307">
        <w:rPr>
          <w:rFonts w:asciiTheme="majorHAnsi" w:hAnsiTheme="majorHAnsi"/>
          <w:color w:val="000000"/>
          <w:sz w:val="24"/>
          <w:szCs w:val="24"/>
        </w:rPr>
        <w:t>, t</w:t>
      </w:r>
      <w:r w:rsidR="00F42C0E" w:rsidRPr="000D7307">
        <w:rPr>
          <w:rFonts w:asciiTheme="majorHAnsi" w:hAnsiTheme="majorHAnsi"/>
          <w:color w:val="000000"/>
          <w:sz w:val="24"/>
          <w:szCs w:val="24"/>
        </w:rPr>
        <w:t>h</w:t>
      </w:r>
      <w:r w:rsidR="00181B75">
        <w:rPr>
          <w:rFonts w:asciiTheme="majorHAnsi" w:hAnsiTheme="majorHAnsi"/>
          <w:color w:val="000000"/>
          <w:sz w:val="24"/>
          <w:szCs w:val="24"/>
        </w:rPr>
        <w:t>e estimate</w:t>
      </w:r>
      <w:r w:rsidR="00EB4BD8">
        <w:rPr>
          <w:rFonts w:asciiTheme="majorHAnsi" w:hAnsiTheme="majorHAnsi"/>
          <w:color w:val="000000"/>
          <w:sz w:val="24"/>
          <w:szCs w:val="24"/>
        </w:rPr>
        <w:t>d</w:t>
      </w:r>
      <w:r w:rsidR="00181B75">
        <w:rPr>
          <w:rFonts w:asciiTheme="majorHAnsi" w:hAnsiTheme="majorHAnsi"/>
          <w:color w:val="000000"/>
          <w:sz w:val="24"/>
          <w:szCs w:val="24"/>
        </w:rPr>
        <w:t xml:space="preserve"> burden is 9</w:t>
      </w:r>
      <w:r w:rsidR="00F42C0E" w:rsidRPr="000D7307">
        <w:rPr>
          <w:rFonts w:asciiTheme="majorHAnsi" w:hAnsiTheme="majorHAnsi"/>
          <w:color w:val="000000"/>
          <w:sz w:val="24"/>
          <w:szCs w:val="24"/>
        </w:rPr>
        <w:t>0 minutes per response</w:t>
      </w:r>
      <w:r w:rsidR="00EB4BD8">
        <w:rPr>
          <w:rFonts w:asciiTheme="majorHAnsi" w:hAnsiTheme="majorHAnsi"/>
          <w:color w:val="000000"/>
          <w:sz w:val="24"/>
          <w:szCs w:val="24"/>
        </w:rPr>
        <w:t xml:space="preserve">. We plan to conduct site visit interviews with </w:t>
      </w:r>
      <w:r w:rsidR="00181B75" w:rsidRPr="00A45420">
        <w:rPr>
          <w:rFonts w:asciiTheme="majorHAnsi" w:hAnsiTheme="majorHAnsi"/>
          <w:sz w:val="24"/>
          <w:szCs w:val="24"/>
        </w:rPr>
        <w:t xml:space="preserve">up to </w:t>
      </w:r>
      <w:r w:rsidR="00D5667A" w:rsidRPr="00A45420">
        <w:rPr>
          <w:rFonts w:asciiTheme="majorHAnsi" w:hAnsiTheme="majorHAnsi"/>
          <w:sz w:val="24"/>
          <w:szCs w:val="24"/>
        </w:rPr>
        <w:t>120</w:t>
      </w:r>
      <w:r w:rsidRPr="00A45420">
        <w:rPr>
          <w:rFonts w:asciiTheme="majorHAnsi" w:hAnsiTheme="majorHAnsi"/>
          <w:sz w:val="24"/>
          <w:szCs w:val="24"/>
        </w:rPr>
        <w:t xml:space="preserve"> participants</w:t>
      </w:r>
      <w:r w:rsidR="00EB4BD8">
        <w:rPr>
          <w:rFonts w:asciiTheme="majorHAnsi" w:hAnsiTheme="majorHAnsi"/>
          <w:sz w:val="24"/>
          <w:szCs w:val="24"/>
        </w:rPr>
        <w:t xml:space="preserve">, for an estimated burden of </w:t>
      </w:r>
      <w:r w:rsidR="00DA4E9C">
        <w:rPr>
          <w:rFonts w:asciiTheme="majorHAnsi" w:hAnsiTheme="majorHAnsi"/>
          <w:sz w:val="24"/>
          <w:szCs w:val="24"/>
        </w:rPr>
        <w:t>180</w:t>
      </w:r>
      <w:r w:rsidR="00EB4BD8">
        <w:rPr>
          <w:rFonts w:asciiTheme="majorHAnsi" w:hAnsiTheme="majorHAnsi"/>
          <w:sz w:val="24"/>
          <w:szCs w:val="24"/>
        </w:rPr>
        <w:t xml:space="preserve"> hours</w:t>
      </w:r>
      <w:r w:rsidR="00F42C0E" w:rsidRPr="000D7307">
        <w:rPr>
          <w:rFonts w:asciiTheme="majorHAnsi" w:hAnsiTheme="majorHAnsi"/>
          <w:color w:val="000000"/>
          <w:sz w:val="24"/>
          <w:szCs w:val="24"/>
        </w:rPr>
        <w:t>.</w:t>
      </w:r>
      <w:r w:rsidR="00DA4E9C">
        <w:rPr>
          <w:rFonts w:asciiTheme="majorHAnsi" w:hAnsiTheme="majorHAnsi"/>
          <w:color w:val="000000"/>
          <w:sz w:val="24"/>
          <w:szCs w:val="24"/>
        </w:rPr>
        <w:t xml:space="preserve"> </w:t>
      </w:r>
      <w:r w:rsidR="00EB4BD8">
        <w:rPr>
          <w:rFonts w:asciiTheme="majorHAnsi" w:hAnsiTheme="majorHAnsi"/>
          <w:color w:val="000000"/>
          <w:sz w:val="24"/>
          <w:szCs w:val="24"/>
        </w:rPr>
        <w:t xml:space="preserve">The total annualized burden </w:t>
      </w:r>
      <w:r w:rsidR="000102B0">
        <w:rPr>
          <w:rFonts w:asciiTheme="majorHAnsi" w:hAnsiTheme="majorHAnsi"/>
          <w:color w:val="000000"/>
          <w:sz w:val="24"/>
          <w:szCs w:val="24"/>
        </w:rPr>
        <w:t xml:space="preserve">for all 144 participants across all instruments is </w:t>
      </w:r>
      <w:r w:rsidR="00DA4E9C">
        <w:rPr>
          <w:rFonts w:asciiTheme="majorHAnsi" w:hAnsiTheme="majorHAnsi"/>
          <w:color w:val="000000"/>
          <w:sz w:val="24"/>
          <w:szCs w:val="24"/>
        </w:rPr>
        <w:t>204</w:t>
      </w:r>
      <w:r w:rsidR="000102B0">
        <w:rPr>
          <w:rFonts w:asciiTheme="majorHAnsi" w:hAnsiTheme="majorHAnsi"/>
          <w:color w:val="000000"/>
          <w:sz w:val="24"/>
          <w:szCs w:val="24"/>
        </w:rPr>
        <w:t xml:space="preserve"> hours. </w:t>
      </w:r>
    </w:p>
    <w:p w14:paraId="38ACAF00" w14:textId="77777777" w:rsidR="006165BC" w:rsidRDefault="00D90373" w:rsidP="00D31D3B">
      <w:pPr>
        <w:pStyle w:val="ListParagraph"/>
        <w:autoSpaceDE w:val="0"/>
        <w:autoSpaceDN w:val="0"/>
        <w:adjustRightInd w:val="0"/>
        <w:spacing w:line="240" w:lineRule="auto"/>
        <w:ind w:left="360"/>
        <w:contextualSpacing w:val="0"/>
        <w:rPr>
          <w:rFonts w:asciiTheme="majorHAnsi" w:hAnsiTheme="majorHAnsi"/>
          <w:color w:val="000000"/>
          <w:sz w:val="24"/>
          <w:szCs w:val="24"/>
        </w:rPr>
      </w:pPr>
      <w:r>
        <w:rPr>
          <w:rFonts w:asciiTheme="majorHAnsi" w:hAnsiTheme="majorHAnsi"/>
          <w:color w:val="000000"/>
          <w:sz w:val="24"/>
          <w:szCs w:val="24"/>
        </w:rPr>
        <w:t xml:space="preserve">As part of the </w:t>
      </w:r>
      <w:r w:rsidRPr="000F2E4E">
        <w:rPr>
          <w:rFonts w:asciiTheme="majorHAnsi" w:hAnsiTheme="majorHAnsi"/>
          <w:i/>
          <w:color w:val="000000"/>
          <w:sz w:val="24"/>
          <w:szCs w:val="24"/>
        </w:rPr>
        <w:t>Community Burden Substudy</w:t>
      </w:r>
      <w:r>
        <w:rPr>
          <w:rFonts w:asciiTheme="majorHAnsi" w:hAnsiTheme="majorHAnsi"/>
          <w:color w:val="000000"/>
          <w:sz w:val="24"/>
          <w:szCs w:val="24"/>
        </w:rPr>
        <w:t xml:space="preserve">, </w:t>
      </w:r>
      <w:r w:rsidR="000F2E4E">
        <w:rPr>
          <w:rFonts w:asciiTheme="majorHAnsi" w:hAnsiTheme="majorHAnsi"/>
          <w:color w:val="000000"/>
          <w:sz w:val="24"/>
          <w:szCs w:val="24"/>
        </w:rPr>
        <w:t>we will conduct a total of 108</w:t>
      </w:r>
      <w:r>
        <w:rPr>
          <w:rFonts w:asciiTheme="majorHAnsi" w:hAnsiTheme="majorHAnsi"/>
          <w:color w:val="000000"/>
          <w:sz w:val="24"/>
          <w:szCs w:val="24"/>
        </w:rPr>
        <w:t xml:space="preserve"> key informant interviews</w:t>
      </w:r>
      <w:r w:rsidR="000F2E4E">
        <w:rPr>
          <w:rFonts w:asciiTheme="majorHAnsi" w:hAnsiTheme="majorHAnsi"/>
          <w:color w:val="000000"/>
          <w:sz w:val="24"/>
          <w:szCs w:val="24"/>
        </w:rPr>
        <w:t xml:space="preserve"> with parents, caregivers, providers, and stakeholders. In addition, we will conduct a total of 30 focus groups with </w:t>
      </w:r>
      <w:r w:rsidR="00EF27AA">
        <w:rPr>
          <w:rFonts w:asciiTheme="majorHAnsi" w:hAnsiTheme="majorHAnsi"/>
          <w:color w:val="000000"/>
          <w:sz w:val="24"/>
          <w:szCs w:val="24"/>
        </w:rPr>
        <w:t>parents, caregivers, providers, and stakeholders</w:t>
      </w:r>
      <w:r w:rsidR="000F2E4E">
        <w:rPr>
          <w:rFonts w:asciiTheme="majorHAnsi" w:hAnsiTheme="majorHAnsi"/>
          <w:color w:val="000000"/>
          <w:sz w:val="24"/>
          <w:szCs w:val="24"/>
        </w:rPr>
        <w:t>. Each focus group will involv</w:t>
      </w:r>
      <w:r w:rsidR="006165BC">
        <w:rPr>
          <w:rFonts w:asciiTheme="majorHAnsi" w:hAnsiTheme="majorHAnsi"/>
          <w:color w:val="000000"/>
          <w:sz w:val="24"/>
          <w:szCs w:val="24"/>
        </w:rPr>
        <w:t xml:space="preserve">e approximately 8 participants. </w:t>
      </w:r>
      <w:r w:rsidR="00837B5A">
        <w:rPr>
          <w:rFonts w:asciiTheme="majorHAnsi" w:hAnsiTheme="majorHAnsi"/>
          <w:color w:val="000000"/>
          <w:sz w:val="24"/>
          <w:szCs w:val="24"/>
        </w:rPr>
        <w:t xml:space="preserve">The burden for </w:t>
      </w:r>
      <w:r w:rsidR="006165BC">
        <w:rPr>
          <w:rFonts w:asciiTheme="majorHAnsi" w:hAnsiTheme="majorHAnsi"/>
          <w:color w:val="000000"/>
          <w:sz w:val="24"/>
          <w:szCs w:val="24"/>
        </w:rPr>
        <w:t>the</w:t>
      </w:r>
      <w:r w:rsidR="00837B5A">
        <w:rPr>
          <w:rFonts w:asciiTheme="majorHAnsi" w:hAnsiTheme="majorHAnsi"/>
          <w:color w:val="000000"/>
          <w:sz w:val="24"/>
          <w:szCs w:val="24"/>
        </w:rPr>
        <w:t xml:space="preserve"> KIIs and focus groups </w:t>
      </w:r>
      <w:r w:rsidR="006165BC">
        <w:rPr>
          <w:rFonts w:asciiTheme="majorHAnsi" w:hAnsiTheme="majorHAnsi"/>
          <w:color w:val="000000"/>
          <w:sz w:val="24"/>
          <w:szCs w:val="24"/>
        </w:rPr>
        <w:t>includes</w:t>
      </w:r>
      <w:r w:rsidR="00837B5A">
        <w:rPr>
          <w:rFonts w:asciiTheme="majorHAnsi" w:hAnsiTheme="majorHAnsi"/>
          <w:color w:val="000000"/>
          <w:sz w:val="24"/>
          <w:szCs w:val="24"/>
        </w:rPr>
        <w:t xml:space="preserve"> </w:t>
      </w:r>
      <w:r w:rsidR="00AA7F72">
        <w:rPr>
          <w:rFonts w:asciiTheme="majorHAnsi" w:hAnsiTheme="majorHAnsi"/>
          <w:color w:val="000000"/>
          <w:sz w:val="24"/>
          <w:szCs w:val="24"/>
        </w:rPr>
        <w:t>3</w:t>
      </w:r>
      <w:r w:rsidR="00837B5A">
        <w:rPr>
          <w:rFonts w:asciiTheme="majorHAnsi" w:hAnsiTheme="majorHAnsi"/>
          <w:color w:val="000000"/>
          <w:sz w:val="24"/>
          <w:szCs w:val="24"/>
        </w:rPr>
        <w:t xml:space="preserve"> minutes to complete a brief demographic form</w:t>
      </w:r>
      <w:r w:rsidR="006165BC">
        <w:rPr>
          <w:rFonts w:asciiTheme="majorHAnsi" w:hAnsiTheme="majorHAnsi"/>
          <w:color w:val="000000"/>
          <w:sz w:val="24"/>
          <w:szCs w:val="24"/>
        </w:rPr>
        <w:t xml:space="preserve"> prior to participation</w:t>
      </w:r>
      <w:r w:rsidR="00837B5A">
        <w:rPr>
          <w:rFonts w:asciiTheme="majorHAnsi" w:hAnsiTheme="majorHAnsi"/>
          <w:color w:val="000000"/>
          <w:sz w:val="24"/>
          <w:szCs w:val="24"/>
        </w:rPr>
        <w:t xml:space="preserve">. </w:t>
      </w:r>
      <w:r w:rsidR="006165BC">
        <w:rPr>
          <w:rFonts w:asciiTheme="majorHAnsi" w:hAnsiTheme="majorHAnsi"/>
          <w:color w:val="000000"/>
          <w:sz w:val="24"/>
          <w:szCs w:val="24"/>
        </w:rPr>
        <w:t xml:space="preserve">As such, the burden for KIIs is 63 minutes and the burden for focus groups is 90 minutes. </w:t>
      </w:r>
    </w:p>
    <w:p w14:paraId="01C3ECE5" w14:textId="53C277ED" w:rsidR="005A59E5" w:rsidRDefault="0092022B" w:rsidP="00D31D3B">
      <w:pPr>
        <w:pStyle w:val="ListParagraph"/>
        <w:autoSpaceDE w:val="0"/>
        <w:autoSpaceDN w:val="0"/>
        <w:adjustRightInd w:val="0"/>
        <w:spacing w:line="240" w:lineRule="auto"/>
        <w:ind w:left="360"/>
        <w:contextualSpacing w:val="0"/>
        <w:rPr>
          <w:rFonts w:asciiTheme="majorHAnsi" w:hAnsiTheme="majorHAnsi"/>
          <w:color w:val="000000"/>
          <w:sz w:val="24"/>
          <w:szCs w:val="24"/>
        </w:rPr>
      </w:pPr>
      <w:r>
        <w:rPr>
          <w:rFonts w:asciiTheme="majorHAnsi" w:hAnsiTheme="majorHAnsi"/>
          <w:color w:val="000000"/>
          <w:sz w:val="24"/>
          <w:szCs w:val="24"/>
        </w:rPr>
        <w:t>Exhibit</w:t>
      </w:r>
      <w:r w:rsidRPr="000D7307">
        <w:rPr>
          <w:rFonts w:asciiTheme="majorHAnsi" w:hAnsiTheme="majorHAnsi"/>
          <w:color w:val="000000"/>
          <w:sz w:val="24"/>
          <w:szCs w:val="24"/>
        </w:rPr>
        <w:t xml:space="preserve"> </w:t>
      </w:r>
      <w:r w:rsidR="00F42C0E" w:rsidRPr="000D7307">
        <w:rPr>
          <w:rFonts w:asciiTheme="majorHAnsi" w:hAnsiTheme="majorHAnsi"/>
          <w:color w:val="000000"/>
          <w:sz w:val="24"/>
          <w:szCs w:val="24"/>
        </w:rPr>
        <w:t>A-1</w:t>
      </w:r>
      <w:r w:rsidR="00FC766E">
        <w:rPr>
          <w:rFonts w:asciiTheme="majorHAnsi" w:hAnsiTheme="majorHAnsi"/>
          <w:color w:val="000000"/>
          <w:sz w:val="24"/>
          <w:szCs w:val="24"/>
        </w:rPr>
        <w:t>2</w:t>
      </w:r>
      <w:r w:rsidR="00F42C0E" w:rsidRPr="000D7307">
        <w:rPr>
          <w:rFonts w:asciiTheme="majorHAnsi" w:hAnsiTheme="majorHAnsi"/>
          <w:color w:val="000000"/>
          <w:sz w:val="24"/>
          <w:szCs w:val="24"/>
        </w:rPr>
        <w:t xml:space="preserve"> shows estimated burden and cost</w:t>
      </w:r>
      <w:r w:rsidR="00EF27AA">
        <w:rPr>
          <w:rFonts w:asciiTheme="majorHAnsi" w:hAnsiTheme="majorHAnsi"/>
          <w:color w:val="000000"/>
          <w:sz w:val="24"/>
          <w:szCs w:val="24"/>
        </w:rPr>
        <w:t>s</w:t>
      </w:r>
      <w:r w:rsidR="00F42C0E" w:rsidRPr="000D7307">
        <w:rPr>
          <w:rFonts w:asciiTheme="majorHAnsi" w:hAnsiTheme="majorHAnsi"/>
          <w:color w:val="000000"/>
          <w:sz w:val="24"/>
          <w:szCs w:val="24"/>
        </w:rPr>
        <w:t xml:space="preserve"> </w:t>
      </w:r>
      <w:r w:rsidR="000F2E4E">
        <w:rPr>
          <w:rFonts w:asciiTheme="majorHAnsi" w:hAnsiTheme="majorHAnsi"/>
          <w:color w:val="000000"/>
          <w:sz w:val="24"/>
          <w:szCs w:val="24"/>
        </w:rPr>
        <w:t>for the ASPE-CDC study</w:t>
      </w:r>
      <w:r w:rsidR="00F42C0E" w:rsidRPr="000D7307">
        <w:rPr>
          <w:rFonts w:asciiTheme="majorHAnsi" w:hAnsiTheme="majorHAnsi"/>
          <w:color w:val="000000"/>
          <w:sz w:val="24"/>
          <w:szCs w:val="24"/>
        </w:rPr>
        <w:t>.</w:t>
      </w:r>
    </w:p>
    <w:p w14:paraId="5DB50D8D" w14:textId="15BC3BA0" w:rsidR="00D31D3B" w:rsidRPr="0092022B" w:rsidRDefault="0092022B" w:rsidP="00995AC4">
      <w:pPr>
        <w:spacing w:after="60"/>
        <w:rPr>
          <w:rFonts w:asciiTheme="majorHAnsi" w:hAnsiTheme="majorHAnsi"/>
          <w:b/>
        </w:rPr>
      </w:pPr>
      <w:r w:rsidRPr="0092022B">
        <w:rPr>
          <w:rFonts w:asciiTheme="majorHAnsi" w:hAnsiTheme="majorHAnsi"/>
          <w:b/>
        </w:rPr>
        <w:t xml:space="preserve">Exhibit </w:t>
      </w:r>
      <w:r w:rsidR="00D31D3B" w:rsidRPr="0092022B">
        <w:rPr>
          <w:rFonts w:asciiTheme="majorHAnsi" w:hAnsiTheme="majorHAnsi"/>
          <w:b/>
        </w:rPr>
        <w:t xml:space="preserve">A-12: Estimated Annualized Burden Hours and Costs to Respondents – Addressing </w:t>
      </w:r>
      <w:r>
        <w:rPr>
          <w:rFonts w:asciiTheme="majorHAnsi" w:hAnsiTheme="majorHAnsi"/>
          <w:b/>
        </w:rPr>
        <w:t>SUDs</w:t>
      </w:r>
      <w:r w:rsidR="00D31D3B" w:rsidRPr="0092022B">
        <w:rPr>
          <w:rFonts w:asciiTheme="majorHAnsi" w:hAnsiTheme="majorHAnsi"/>
          <w:b/>
        </w:rPr>
        <w:t xml:space="preserve"> among Families Involved with the Child Welfare System: </w:t>
      </w:r>
      <w:r>
        <w:rPr>
          <w:rFonts w:asciiTheme="majorHAnsi" w:hAnsiTheme="majorHAnsi"/>
          <w:b/>
        </w:rPr>
        <w:t>A Cross-Agency Collaboration</w:t>
      </w: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1350"/>
        <w:gridCol w:w="1350"/>
        <w:gridCol w:w="1440"/>
        <w:gridCol w:w="900"/>
        <w:gridCol w:w="900"/>
        <w:gridCol w:w="1080"/>
      </w:tblGrid>
      <w:tr w:rsidR="00F067AD" w:rsidRPr="004371F2" w14:paraId="4D3E2104" w14:textId="77777777" w:rsidTr="00AA7F72">
        <w:trPr>
          <w:trHeight w:val="899"/>
          <w:tblHeader/>
          <w:jc w:val="center"/>
        </w:trPr>
        <w:tc>
          <w:tcPr>
            <w:tcW w:w="2317" w:type="dxa"/>
            <w:tcBorders>
              <w:bottom w:val="single" w:sz="12" w:space="0" w:color="000000"/>
            </w:tcBorders>
            <w:shd w:val="clear" w:color="auto" w:fill="404040" w:themeFill="text1" w:themeFillTint="BF"/>
            <w:tcMar>
              <w:left w:w="58" w:type="dxa"/>
              <w:right w:w="43" w:type="dxa"/>
            </w:tcMar>
            <w:vAlign w:val="bottom"/>
          </w:tcPr>
          <w:p w14:paraId="766EAD2F" w14:textId="77777777" w:rsidR="00D31D3B" w:rsidRPr="00C73CED" w:rsidRDefault="00D31D3B" w:rsidP="0092022B">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Type of respondent</w:t>
            </w:r>
          </w:p>
        </w:tc>
        <w:tc>
          <w:tcPr>
            <w:tcW w:w="1350" w:type="dxa"/>
            <w:tcBorders>
              <w:bottom w:val="single" w:sz="12" w:space="0" w:color="000000"/>
            </w:tcBorders>
            <w:shd w:val="clear" w:color="auto" w:fill="404040" w:themeFill="text1" w:themeFillTint="BF"/>
            <w:tcMar>
              <w:left w:w="58" w:type="dxa"/>
              <w:right w:w="43" w:type="dxa"/>
            </w:tcMar>
            <w:vAlign w:val="bottom"/>
          </w:tcPr>
          <w:p w14:paraId="0EF6D24C" w14:textId="77777777" w:rsidR="00D31D3B" w:rsidRPr="00C73CED" w:rsidRDefault="00D31D3B" w:rsidP="00D32734">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No. of Respondents</w:t>
            </w:r>
          </w:p>
        </w:tc>
        <w:tc>
          <w:tcPr>
            <w:tcW w:w="1350" w:type="dxa"/>
            <w:tcBorders>
              <w:bottom w:val="single" w:sz="12" w:space="0" w:color="000000"/>
            </w:tcBorders>
            <w:shd w:val="clear" w:color="auto" w:fill="404040" w:themeFill="text1" w:themeFillTint="BF"/>
            <w:tcMar>
              <w:left w:w="58" w:type="dxa"/>
              <w:right w:w="43" w:type="dxa"/>
            </w:tcMar>
            <w:vAlign w:val="bottom"/>
          </w:tcPr>
          <w:p w14:paraId="2DEE6894" w14:textId="77777777" w:rsidR="00D31D3B" w:rsidRPr="00C73CED" w:rsidRDefault="00D31D3B" w:rsidP="00D32734">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No. of responses per respondent</w:t>
            </w:r>
          </w:p>
        </w:tc>
        <w:tc>
          <w:tcPr>
            <w:tcW w:w="1440" w:type="dxa"/>
            <w:tcBorders>
              <w:bottom w:val="single" w:sz="12" w:space="0" w:color="000000"/>
            </w:tcBorders>
            <w:shd w:val="clear" w:color="auto" w:fill="404040" w:themeFill="text1" w:themeFillTint="BF"/>
            <w:tcMar>
              <w:left w:w="58" w:type="dxa"/>
              <w:right w:w="43" w:type="dxa"/>
            </w:tcMar>
            <w:vAlign w:val="bottom"/>
          </w:tcPr>
          <w:p w14:paraId="2E2ECDBC" w14:textId="77777777" w:rsidR="00D31D3B" w:rsidRPr="00C73CED" w:rsidRDefault="00D31D3B" w:rsidP="00D32734">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 xml:space="preserve">Average burden per response </w:t>
            </w:r>
            <w:r w:rsidRPr="00C73CED">
              <w:rPr>
                <w:rFonts w:asciiTheme="majorHAnsi" w:hAnsiTheme="majorHAnsi"/>
                <w:b/>
                <w:color w:val="FFFFFF" w:themeColor="background1"/>
                <w:spacing w:val="-2"/>
                <w:sz w:val="18"/>
                <w:szCs w:val="18"/>
              </w:rPr>
              <w:t>(in minutes)</w:t>
            </w:r>
          </w:p>
        </w:tc>
        <w:tc>
          <w:tcPr>
            <w:tcW w:w="900" w:type="dxa"/>
            <w:tcBorders>
              <w:bottom w:val="single" w:sz="12" w:space="0" w:color="000000"/>
            </w:tcBorders>
            <w:shd w:val="clear" w:color="auto" w:fill="404040" w:themeFill="text1" w:themeFillTint="BF"/>
            <w:tcMar>
              <w:left w:w="58" w:type="dxa"/>
              <w:right w:w="43" w:type="dxa"/>
            </w:tcMar>
            <w:vAlign w:val="bottom"/>
          </w:tcPr>
          <w:p w14:paraId="54976236" w14:textId="77777777" w:rsidR="00D31D3B" w:rsidRPr="00C73CED" w:rsidRDefault="00D31D3B" w:rsidP="00D32734">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Total burden hours</w:t>
            </w:r>
          </w:p>
        </w:tc>
        <w:tc>
          <w:tcPr>
            <w:tcW w:w="900" w:type="dxa"/>
            <w:tcBorders>
              <w:bottom w:val="single" w:sz="12" w:space="0" w:color="000000"/>
            </w:tcBorders>
            <w:shd w:val="clear" w:color="auto" w:fill="404040" w:themeFill="text1" w:themeFillTint="BF"/>
            <w:tcMar>
              <w:left w:w="58" w:type="dxa"/>
              <w:right w:w="43" w:type="dxa"/>
            </w:tcMar>
            <w:vAlign w:val="bottom"/>
          </w:tcPr>
          <w:p w14:paraId="4E9FA54E" w14:textId="77777777" w:rsidR="00D31D3B" w:rsidRPr="00C73CED" w:rsidRDefault="00D31D3B" w:rsidP="00D32734">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Hourly wage</w:t>
            </w:r>
            <w:r w:rsidRPr="00C73CED">
              <w:rPr>
                <w:rFonts w:asciiTheme="majorHAnsi" w:hAnsiTheme="majorHAnsi"/>
                <w:b/>
                <w:color w:val="FFFFFF" w:themeColor="background1"/>
                <w:sz w:val="18"/>
                <w:szCs w:val="18"/>
                <w:vertAlign w:val="superscript"/>
              </w:rPr>
              <w:t>1</w:t>
            </w:r>
          </w:p>
        </w:tc>
        <w:tc>
          <w:tcPr>
            <w:tcW w:w="1080" w:type="dxa"/>
            <w:tcBorders>
              <w:bottom w:val="single" w:sz="12" w:space="0" w:color="000000"/>
            </w:tcBorders>
            <w:shd w:val="clear" w:color="auto" w:fill="404040" w:themeFill="text1" w:themeFillTint="BF"/>
            <w:tcMar>
              <w:left w:w="58" w:type="dxa"/>
              <w:right w:w="43" w:type="dxa"/>
            </w:tcMar>
            <w:vAlign w:val="bottom"/>
          </w:tcPr>
          <w:p w14:paraId="5D958C8F" w14:textId="77777777" w:rsidR="00D31D3B" w:rsidRPr="00C73CED" w:rsidRDefault="00D31D3B" w:rsidP="00D32734">
            <w:pPr>
              <w:spacing w:after="60"/>
              <w:jc w:val="center"/>
              <w:rPr>
                <w:rFonts w:asciiTheme="majorHAnsi" w:hAnsiTheme="majorHAnsi"/>
                <w:b/>
                <w:color w:val="FFFFFF" w:themeColor="background1"/>
                <w:sz w:val="18"/>
                <w:szCs w:val="18"/>
              </w:rPr>
            </w:pPr>
            <w:r w:rsidRPr="00C73CED">
              <w:rPr>
                <w:rFonts w:asciiTheme="majorHAnsi" w:hAnsiTheme="majorHAnsi"/>
                <w:b/>
                <w:color w:val="FFFFFF" w:themeColor="background1"/>
                <w:sz w:val="18"/>
                <w:szCs w:val="18"/>
              </w:rPr>
              <w:t>Total respondent costs</w:t>
            </w:r>
          </w:p>
        </w:tc>
      </w:tr>
      <w:tr w:rsidR="00D31D3B" w:rsidRPr="004371F2" w14:paraId="11937A86" w14:textId="77777777" w:rsidTr="00AA7F72">
        <w:trPr>
          <w:trHeight w:val="250"/>
          <w:jc w:val="center"/>
        </w:trPr>
        <w:tc>
          <w:tcPr>
            <w:tcW w:w="9337" w:type="dxa"/>
            <w:gridSpan w:val="7"/>
            <w:tcBorders>
              <w:top w:val="single" w:sz="12" w:space="0" w:color="000000"/>
              <w:left w:val="nil"/>
              <w:bottom w:val="single" w:sz="12" w:space="0" w:color="000000"/>
              <w:right w:val="nil"/>
            </w:tcBorders>
            <w:shd w:val="clear" w:color="auto" w:fill="D9D9D9" w:themeFill="background1" w:themeFillShade="D9"/>
            <w:tcMar>
              <w:left w:w="58" w:type="dxa"/>
              <w:right w:w="43" w:type="dxa"/>
            </w:tcMar>
            <w:vAlign w:val="center"/>
          </w:tcPr>
          <w:p w14:paraId="638572D6" w14:textId="0C8840C9" w:rsidR="00D31D3B" w:rsidRPr="003801E6" w:rsidRDefault="0092022B" w:rsidP="00D32734">
            <w:pPr>
              <w:spacing w:after="0"/>
              <w:jc w:val="center"/>
              <w:rPr>
                <w:rFonts w:asciiTheme="majorHAnsi" w:hAnsiTheme="majorHAnsi"/>
                <w:b/>
                <w:i/>
                <w:sz w:val="20"/>
              </w:rPr>
            </w:pPr>
            <w:r w:rsidRPr="003801E6">
              <w:rPr>
                <w:rFonts w:asciiTheme="majorHAnsi" w:hAnsiTheme="majorHAnsi"/>
                <w:b/>
                <w:i/>
                <w:color w:val="000000" w:themeColor="text1"/>
                <w:sz w:val="20"/>
              </w:rPr>
              <w:t xml:space="preserve">Rural Communities </w:t>
            </w:r>
            <w:r w:rsidR="003B2ED5" w:rsidRPr="003801E6">
              <w:rPr>
                <w:rFonts w:asciiTheme="majorHAnsi" w:hAnsiTheme="majorHAnsi"/>
                <w:b/>
                <w:i/>
                <w:color w:val="000000" w:themeColor="text1"/>
                <w:sz w:val="20"/>
              </w:rPr>
              <w:t>Substudy</w:t>
            </w:r>
          </w:p>
        </w:tc>
      </w:tr>
      <w:tr w:rsidR="00F067AD" w:rsidRPr="004371F2" w14:paraId="70E34359" w14:textId="77777777" w:rsidTr="00AA7F72">
        <w:trPr>
          <w:trHeight w:val="1041"/>
          <w:jc w:val="center"/>
        </w:trPr>
        <w:tc>
          <w:tcPr>
            <w:tcW w:w="2317" w:type="dxa"/>
            <w:tcBorders>
              <w:top w:val="single" w:sz="12" w:space="0" w:color="000000"/>
              <w:bottom w:val="single" w:sz="12" w:space="0" w:color="000000"/>
            </w:tcBorders>
            <w:tcMar>
              <w:left w:w="58" w:type="dxa"/>
              <w:right w:w="43" w:type="dxa"/>
            </w:tcMar>
            <w:vAlign w:val="center"/>
          </w:tcPr>
          <w:p w14:paraId="61D0270B" w14:textId="77777777" w:rsidR="00D31D3B" w:rsidRPr="00C73CED" w:rsidRDefault="00D31D3B" w:rsidP="00D32734">
            <w:pPr>
              <w:spacing w:after="0"/>
              <w:rPr>
                <w:rFonts w:asciiTheme="majorHAnsi" w:hAnsiTheme="majorHAnsi"/>
                <w:sz w:val="18"/>
                <w:szCs w:val="18"/>
              </w:rPr>
            </w:pPr>
            <w:r w:rsidRPr="00C73CED">
              <w:rPr>
                <w:rFonts w:asciiTheme="majorHAnsi" w:hAnsiTheme="majorHAnsi"/>
                <w:sz w:val="18"/>
                <w:szCs w:val="18"/>
              </w:rPr>
              <w:t xml:space="preserve">Key informants – wave 1: Substantive experts, evaluators, program directors, and developers </w:t>
            </w:r>
          </w:p>
        </w:tc>
        <w:tc>
          <w:tcPr>
            <w:tcW w:w="1350" w:type="dxa"/>
            <w:tcBorders>
              <w:top w:val="single" w:sz="12" w:space="0" w:color="000000"/>
              <w:bottom w:val="single" w:sz="12" w:space="0" w:color="000000"/>
            </w:tcBorders>
            <w:tcMar>
              <w:left w:w="58" w:type="dxa"/>
              <w:right w:w="43" w:type="dxa"/>
            </w:tcMar>
            <w:vAlign w:val="center"/>
          </w:tcPr>
          <w:p w14:paraId="0976ABF6"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12</w:t>
            </w:r>
          </w:p>
        </w:tc>
        <w:tc>
          <w:tcPr>
            <w:tcW w:w="1350" w:type="dxa"/>
            <w:tcBorders>
              <w:top w:val="single" w:sz="12" w:space="0" w:color="000000"/>
              <w:bottom w:val="single" w:sz="12" w:space="0" w:color="000000"/>
            </w:tcBorders>
            <w:tcMar>
              <w:left w:w="58" w:type="dxa"/>
              <w:right w:w="43" w:type="dxa"/>
            </w:tcMar>
            <w:vAlign w:val="center"/>
          </w:tcPr>
          <w:p w14:paraId="28AFC37A"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w:t>
            </w:r>
          </w:p>
        </w:tc>
        <w:tc>
          <w:tcPr>
            <w:tcW w:w="1440" w:type="dxa"/>
            <w:tcBorders>
              <w:top w:val="single" w:sz="12" w:space="0" w:color="000000"/>
              <w:bottom w:val="single" w:sz="12" w:space="0" w:color="000000"/>
            </w:tcBorders>
            <w:tcMar>
              <w:left w:w="58" w:type="dxa"/>
              <w:right w:w="43" w:type="dxa"/>
            </w:tcMar>
            <w:vAlign w:val="center"/>
          </w:tcPr>
          <w:p w14:paraId="79EAE141"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60</w:t>
            </w:r>
          </w:p>
        </w:tc>
        <w:tc>
          <w:tcPr>
            <w:tcW w:w="900" w:type="dxa"/>
            <w:tcBorders>
              <w:top w:val="single" w:sz="12" w:space="0" w:color="000000"/>
              <w:bottom w:val="single" w:sz="12" w:space="0" w:color="000000"/>
            </w:tcBorders>
            <w:tcMar>
              <w:left w:w="58" w:type="dxa"/>
              <w:right w:w="43" w:type="dxa"/>
            </w:tcMar>
            <w:vAlign w:val="center"/>
          </w:tcPr>
          <w:p w14:paraId="42D074D2"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12</w:t>
            </w:r>
          </w:p>
        </w:tc>
        <w:tc>
          <w:tcPr>
            <w:tcW w:w="900" w:type="dxa"/>
            <w:tcBorders>
              <w:top w:val="single" w:sz="12" w:space="0" w:color="000000"/>
              <w:bottom w:val="single" w:sz="12" w:space="0" w:color="000000"/>
            </w:tcBorders>
            <w:tcMar>
              <w:left w:w="58" w:type="dxa"/>
              <w:right w:w="43" w:type="dxa"/>
            </w:tcMar>
            <w:vAlign w:val="center"/>
          </w:tcPr>
          <w:p w14:paraId="521E8005"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$39.96</w:t>
            </w:r>
          </w:p>
        </w:tc>
        <w:tc>
          <w:tcPr>
            <w:tcW w:w="1080" w:type="dxa"/>
            <w:tcBorders>
              <w:top w:val="single" w:sz="12" w:space="0" w:color="000000"/>
              <w:bottom w:val="single" w:sz="12" w:space="0" w:color="000000"/>
            </w:tcBorders>
            <w:tcMar>
              <w:left w:w="58" w:type="dxa"/>
              <w:right w:w="43" w:type="dxa"/>
            </w:tcMar>
            <w:vAlign w:val="center"/>
          </w:tcPr>
          <w:p w14:paraId="77221096"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$480</w:t>
            </w:r>
          </w:p>
        </w:tc>
      </w:tr>
      <w:tr w:rsidR="00F067AD" w:rsidRPr="004371F2" w14:paraId="2C796343" w14:textId="77777777" w:rsidTr="00AA7F72">
        <w:trPr>
          <w:trHeight w:val="591"/>
          <w:jc w:val="center"/>
        </w:trPr>
        <w:tc>
          <w:tcPr>
            <w:tcW w:w="2317" w:type="dxa"/>
            <w:tcBorders>
              <w:top w:val="single" w:sz="12" w:space="0" w:color="000000"/>
              <w:bottom w:val="single" w:sz="12" w:space="0" w:color="000000"/>
            </w:tcBorders>
            <w:tcMar>
              <w:left w:w="58" w:type="dxa"/>
              <w:right w:w="43" w:type="dxa"/>
            </w:tcMar>
            <w:vAlign w:val="center"/>
          </w:tcPr>
          <w:p w14:paraId="599BAD15" w14:textId="77777777" w:rsidR="00D31D3B" w:rsidRPr="00C73CED" w:rsidRDefault="00D31D3B" w:rsidP="00D32734">
            <w:pPr>
              <w:spacing w:after="0"/>
              <w:rPr>
                <w:rFonts w:asciiTheme="majorHAnsi" w:hAnsiTheme="majorHAnsi"/>
                <w:sz w:val="18"/>
                <w:szCs w:val="18"/>
              </w:rPr>
            </w:pPr>
            <w:r w:rsidRPr="00C73CED">
              <w:rPr>
                <w:rFonts w:asciiTheme="majorHAnsi" w:hAnsiTheme="majorHAnsi"/>
                <w:sz w:val="18"/>
                <w:szCs w:val="18"/>
              </w:rPr>
              <w:t>Key informants – wave 2: Program administrators</w:t>
            </w:r>
          </w:p>
        </w:tc>
        <w:tc>
          <w:tcPr>
            <w:tcW w:w="1350" w:type="dxa"/>
            <w:tcBorders>
              <w:top w:val="single" w:sz="12" w:space="0" w:color="000000"/>
              <w:bottom w:val="single" w:sz="12" w:space="0" w:color="000000"/>
            </w:tcBorders>
            <w:tcMar>
              <w:left w:w="58" w:type="dxa"/>
              <w:right w:w="43" w:type="dxa"/>
            </w:tcMar>
            <w:vAlign w:val="center"/>
          </w:tcPr>
          <w:p w14:paraId="444BF34B"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12</w:t>
            </w:r>
          </w:p>
        </w:tc>
        <w:tc>
          <w:tcPr>
            <w:tcW w:w="1350" w:type="dxa"/>
            <w:tcBorders>
              <w:top w:val="single" w:sz="12" w:space="0" w:color="000000"/>
              <w:bottom w:val="single" w:sz="12" w:space="0" w:color="000000"/>
            </w:tcBorders>
            <w:tcMar>
              <w:left w:w="58" w:type="dxa"/>
              <w:right w:w="43" w:type="dxa"/>
            </w:tcMar>
            <w:vAlign w:val="center"/>
          </w:tcPr>
          <w:p w14:paraId="30C156F8"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w:t>
            </w:r>
          </w:p>
        </w:tc>
        <w:tc>
          <w:tcPr>
            <w:tcW w:w="1440" w:type="dxa"/>
            <w:tcBorders>
              <w:top w:val="single" w:sz="12" w:space="0" w:color="000000"/>
              <w:bottom w:val="single" w:sz="12" w:space="0" w:color="000000"/>
            </w:tcBorders>
            <w:tcMar>
              <w:left w:w="58" w:type="dxa"/>
              <w:right w:w="43" w:type="dxa"/>
            </w:tcMar>
            <w:vAlign w:val="center"/>
          </w:tcPr>
          <w:p w14:paraId="04322FF4"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60</w:t>
            </w:r>
          </w:p>
        </w:tc>
        <w:tc>
          <w:tcPr>
            <w:tcW w:w="900" w:type="dxa"/>
            <w:tcBorders>
              <w:top w:val="single" w:sz="12" w:space="0" w:color="000000"/>
              <w:bottom w:val="single" w:sz="12" w:space="0" w:color="000000"/>
            </w:tcBorders>
            <w:tcMar>
              <w:left w:w="58" w:type="dxa"/>
              <w:right w:w="43" w:type="dxa"/>
            </w:tcMar>
            <w:vAlign w:val="center"/>
          </w:tcPr>
          <w:p w14:paraId="14665E8A"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12</w:t>
            </w:r>
          </w:p>
        </w:tc>
        <w:tc>
          <w:tcPr>
            <w:tcW w:w="900" w:type="dxa"/>
            <w:tcBorders>
              <w:top w:val="single" w:sz="12" w:space="0" w:color="000000"/>
              <w:bottom w:val="single" w:sz="12" w:space="0" w:color="000000"/>
            </w:tcBorders>
            <w:tcMar>
              <w:left w:w="58" w:type="dxa"/>
              <w:right w:w="43" w:type="dxa"/>
            </w:tcMar>
            <w:vAlign w:val="center"/>
          </w:tcPr>
          <w:p w14:paraId="36457EC5"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$39.96</w:t>
            </w:r>
          </w:p>
        </w:tc>
        <w:tc>
          <w:tcPr>
            <w:tcW w:w="1080" w:type="dxa"/>
            <w:tcBorders>
              <w:top w:val="single" w:sz="12" w:space="0" w:color="000000"/>
              <w:bottom w:val="single" w:sz="12" w:space="0" w:color="000000"/>
            </w:tcBorders>
            <w:tcMar>
              <w:left w:w="58" w:type="dxa"/>
              <w:right w:w="43" w:type="dxa"/>
            </w:tcMar>
            <w:vAlign w:val="center"/>
          </w:tcPr>
          <w:p w14:paraId="231D0C9B"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$480</w:t>
            </w:r>
          </w:p>
        </w:tc>
      </w:tr>
      <w:tr w:rsidR="00F067AD" w:rsidRPr="004371F2" w14:paraId="7265AABF" w14:textId="77777777" w:rsidTr="00AA7F72">
        <w:trPr>
          <w:trHeight w:val="524"/>
          <w:jc w:val="center"/>
        </w:trPr>
        <w:tc>
          <w:tcPr>
            <w:tcW w:w="2317" w:type="dxa"/>
            <w:tcBorders>
              <w:top w:val="single" w:sz="12" w:space="0" w:color="000000"/>
            </w:tcBorders>
            <w:tcMar>
              <w:left w:w="58" w:type="dxa"/>
              <w:right w:w="43" w:type="dxa"/>
            </w:tcMar>
            <w:vAlign w:val="center"/>
          </w:tcPr>
          <w:p w14:paraId="47E1C9B8" w14:textId="77777777" w:rsidR="00D31D3B" w:rsidRPr="00C73CED" w:rsidRDefault="00D31D3B" w:rsidP="00D32734">
            <w:pPr>
              <w:spacing w:after="0"/>
              <w:rPr>
                <w:rFonts w:asciiTheme="majorHAnsi" w:hAnsiTheme="majorHAnsi"/>
                <w:sz w:val="18"/>
                <w:szCs w:val="18"/>
              </w:rPr>
            </w:pPr>
            <w:r w:rsidRPr="00C73CED">
              <w:rPr>
                <w:rFonts w:asciiTheme="majorHAnsi" w:hAnsiTheme="majorHAnsi"/>
                <w:sz w:val="18"/>
                <w:szCs w:val="18"/>
              </w:rPr>
              <w:t>Site visits: Program administrators</w:t>
            </w:r>
          </w:p>
        </w:tc>
        <w:tc>
          <w:tcPr>
            <w:tcW w:w="1350" w:type="dxa"/>
            <w:tcBorders>
              <w:top w:val="single" w:sz="12" w:space="0" w:color="000000"/>
            </w:tcBorders>
            <w:tcMar>
              <w:left w:w="58" w:type="dxa"/>
              <w:right w:w="43" w:type="dxa"/>
            </w:tcMar>
            <w:vAlign w:val="center"/>
          </w:tcPr>
          <w:p w14:paraId="3C048384"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12</w:t>
            </w:r>
          </w:p>
        </w:tc>
        <w:tc>
          <w:tcPr>
            <w:tcW w:w="1350" w:type="dxa"/>
            <w:tcBorders>
              <w:top w:val="single" w:sz="12" w:space="0" w:color="000000"/>
            </w:tcBorders>
            <w:tcMar>
              <w:left w:w="58" w:type="dxa"/>
              <w:right w:w="43" w:type="dxa"/>
            </w:tcMar>
            <w:vAlign w:val="center"/>
          </w:tcPr>
          <w:p w14:paraId="14363978"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w:t>
            </w:r>
          </w:p>
        </w:tc>
        <w:tc>
          <w:tcPr>
            <w:tcW w:w="1440" w:type="dxa"/>
            <w:tcBorders>
              <w:top w:val="single" w:sz="12" w:space="0" w:color="000000"/>
            </w:tcBorders>
            <w:tcMar>
              <w:left w:w="58" w:type="dxa"/>
              <w:right w:w="43" w:type="dxa"/>
            </w:tcMar>
            <w:vAlign w:val="center"/>
          </w:tcPr>
          <w:p w14:paraId="7F477440"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90</w:t>
            </w:r>
          </w:p>
        </w:tc>
        <w:tc>
          <w:tcPr>
            <w:tcW w:w="900" w:type="dxa"/>
            <w:tcBorders>
              <w:top w:val="single" w:sz="12" w:space="0" w:color="000000"/>
            </w:tcBorders>
            <w:tcMar>
              <w:left w:w="58" w:type="dxa"/>
              <w:right w:w="43" w:type="dxa"/>
            </w:tcMar>
            <w:vAlign w:val="center"/>
          </w:tcPr>
          <w:p w14:paraId="7343BC46"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18</w:t>
            </w:r>
          </w:p>
        </w:tc>
        <w:tc>
          <w:tcPr>
            <w:tcW w:w="900" w:type="dxa"/>
            <w:tcBorders>
              <w:top w:val="single" w:sz="12" w:space="0" w:color="000000"/>
            </w:tcBorders>
            <w:tcMar>
              <w:left w:w="58" w:type="dxa"/>
              <w:right w:w="43" w:type="dxa"/>
            </w:tcMar>
            <w:vAlign w:val="center"/>
          </w:tcPr>
          <w:p w14:paraId="089AC18B"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$33.91</w:t>
            </w:r>
          </w:p>
        </w:tc>
        <w:tc>
          <w:tcPr>
            <w:tcW w:w="1080" w:type="dxa"/>
            <w:tcBorders>
              <w:top w:val="single" w:sz="12" w:space="0" w:color="000000"/>
            </w:tcBorders>
            <w:tcMar>
              <w:left w:w="58" w:type="dxa"/>
              <w:right w:w="43" w:type="dxa"/>
            </w:tcMar>
            <w:vAlign w:val="center"/>
          </w:tcPr>
          <w:p w14:paraId="33FFAB91"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$610</w:t>
            </w:r>
          </w:p>
        </w:tc>
      </w:tr>
      <w:tr w:rsidR="00F067AD" w:rsidRPr="004371F2" w14:paraId="6CFBC43F" w14:textId="77777777" w:rsidTr="00AA7F72">
        <w:trPr>
          <w:trHeight w:val="341"/>
          <w:jc w:val="center"/>
        </w:trPr>
        <w:tc>
          <w:tcPr>
            <w:tcW w:w="2317" w:type="dxa"/>
            <w:tcBorders>
              <w:top w:val="single" w:sz="4" w:space="0" w:color="000000"/>
            </w:tcBorders>
            <w:tcMar>
              <w:left w:w="58" w:type="dxa"/>
              <w:right w:w="43" w:type="dxa"/>
            </w:tcMar>
            <w:vAlign w:val="center"/>
          </w:tcPr>
          <w:p w14:paraId="41544FC2" w14:textId="77777777" w:rsidR="00D31D3B" w:rsidRPr="00C73CED" w:rsidRDefault="00D31D3B" w:rsidP="00D32734">
            <w:pPr>
              <w:spacing w:after="0"/>
              <w:rPr>
                <w:rFonts w:asciiTheme="majorHAnsi" w:hAnsiTheme="majorHAnsi"/>
                <w:sz w:val="18"/>
                <w:szCs w:val="18"/>
              </w:rPr>
            </w:pPr>
            <w:r w:rsidRPr="00C73CED">
              <w:rPr>
                <w:rFonts w:asciiTheme="majorHAnsi" w:hAnsiTheme="majorHAnsi"/>
                <w:sz w:val="18"/>
                <w:szCs w:val="18"/>
              </w:rPr>
              <w:t>Site visits: Practitioners</w:t>
            </w:r>
          </w:p>
        </w:tc>
        <w:tc>
          <w:tcPr>
            <w:tcW w:w="1350" w:type="dxa"/>
            <w:tcBorders>
              <w:top w:val="single" w:sz="4" w:space="0" w:color="000000"/>
            </w:tcBorders>
            <w:tcMar>
              <w:left w:w="58" w:type="dxa"/>
              <w:right w:w="43" w:type="dxa"/>
            </w:tcMar>
            <w:vAlign w:val="center"/>
          </w:tcPr>
          <w:p w14:paraId="5A848E61"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72</w:t>
            </w:r>
          </w:p>
        </w:tc>
        <w:tc>
          <w:tcPr>
            <w:tcW w:w="1350" w:type="dxa"/>
            <w:tcBorders>
              <w:top w:val="single" w:sz="4" w:space="0" w:color="000000"/>
            </w:tcBorders>
            <w:tcMar>
              <w:left w:w="58" w:type="dxa"/>
              <w:right w:w="43" w:type="dxa"/>
            </w:tcMar>
            <w:vAlign w:val="center"/>
          </w:tcPr>
          <w:p w14:paraId="2A571554"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w:t>
            </w:r>
          </w:p>
        </w:tc>
        <w:tc>
          <w:tcPr>
            <w:tcW w:w="1440" w:type="dxa"/>
            <w:tcBorders>
              <w:top w:val="single" w:sz="4" w:space="0" w:color="000000"/>
            </w:tcBorders>
            <w:tcMar>
              <w:left w:w="58" w:type="dxa"/>
              <w:right w:w="43" w:type="dxa"/>
            </w:tcMar>
            <w:vAlign w:val="center"/>
          </w:tcPr>
          <w:p w14:paraId="69D9F52E"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90</w:t>
            </w:r>
          </w:p>
        </w:tc>
        <w:tc>
          <w:tcPr>
            <w:tcW w:w="900" w:type="dxa"/>
            <w:tcBorders>
              <w:top w:val="single" w:sz="4" w:space="0" w:color="000000"/>
            </w:tcBorders>
            <w:tcMar>
              <w:left w:w="58" w:type="dxa"/>
              <w:right w:w="43" w:type="dxa"/>
            </w:tcMar>
            <w:vAlign w:val="center"/>
          </w:tcPr>
          <w:p w14:paraId="699FD25B"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108</w:t>
            </w:r>
          </w:p>
        </w:tc>
        <w:tc>
          <w:tcPr>
            <w:tcW w:w="900" w:type="dxa"/>
            <w:tcBorders>
              <w:top w:val="single" w:sz="4" w:space="0" w:color="000000"/>
            </w:tcBorders>
            <w:tcMar>
              <w:left w:w="58" w:type="dxa"/>
              <w:right w:w="43" w:type="dxa"/>
            </w:tcMar>
            <w:vAlign w:val="center"/>
          </w:tcPr>
          <w:p w14:paraId="3355D56F"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$23.28</w:t>
            </w:r>
          </w:p>
        </w:tc>
        <w:tc>
          <w:tcPr>
            <w:tcW w:w="1080" w:type="dxa"/>
            <w:tcBorders>
              <w:top w:val="single" w:sz="4" w:space="0" w:color="000000"/>
            </w:tcBorders>
            <w:tcMar>
              <w:left w:w="58" w:type="dxa"/>
              <w:right w:w="43" w:type="dxa"/>
            </w:tcMar>
            <w:vAlign w:val="center"/>
          </w:tcPr>
          <w:p w14:paraId="7EE9DE22"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$2,514</w:t>
            </w:r>
          </w:p>
        </w:tc>
      </w:tr>
      <w:tr w:rsidR="00F067AD" w:rsidRPr="004371F2" w14:paraId="617DC02E" w14:textId="77777777" w:rsidTr="00AA7F72">
        <w:trPr>
          <w:trHeight w:val="530"/>
          <w:jc w:val="center"/>
        </w:trPr>
        <w:tc>
          <w:tcPr>
            <w:tcW w:w="2317" w:type="dxa"/>
            <w:tcBorders>
              <w:top w:val="single" w:sz="4" w:space="0" w:color="000000"/>
              <w:bottom w:val="single" w:sz="12" w:space="0" w:color="000000"/>
            </w:tcBorders>
            <w:tcMar>
              <w:left w:w="58" w:type="dxa"/>
              <w:right w:w="43" w:type="dxa"/>
            </w:tcMar>
            <w:vAlign w:val="center"/>
          </w:tcPr>
          <w:p w14:paraId="11A49582" w14:textId="77777777" w:rsidR="00D31D3B" w:rsidRPr="00C73CED" w:rsidRDefault="00D31D3B" w:rsidP="00D32734">
            <w:pPr>
              <w:spacing w:after="0"/>
              <w:rPr>
                <w:rFonts w:asciiTheme="majorHAnsi" w:hAnsiTheme="majorHAnsi"/>
                <w:sz w:val="18"/>
                <w:szCs w:val="18"/>
              </w:rPr>
            </w:pPr>
            <w:r w:rsidRPr="00C73CED">
              <w:rPr>
                <w:rFonts w:asciiTheme="majorHAnsi" w:hAnsiTheme="majorHAnsi"/>
                <w:sz w:val="18"/>
                <w:szCs w:val="18"/>
              </w:rPr>
              <w:t>Site visits: Partners or staff from related organizations</w:t>
            </w:r>
          </w:p>
        </w:tc>
        <w:tc>
          <w:tcPr>
            <w:tcW w:w="1350" w:type="dxa"/>
            <w:tcBorders>
              <w:top w:val="single" w:sz="4" w:space="0" w:color="000000"/>
              <w:bottom w:val="single" w:sz="12" w:space="0" w:color="000000"/>
            </w:tcBorders>
            <w:tcMar>
              <w:left w:w="58" w:type="dxa"/>
              <w:right w:w="43" w:type="dxa"/>
            </w:tcMar>
            <w:vAlign w:val="center"/>
          </w:tcPr>
          <w:p w14:paraId="72085000"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36</w:t>
            </w:r>
          </w:p>
        </w:tc>
        <w:tc>
          <w:tcPr>
            <w:tcW w:w="1350" w:type="dxa"/>
            <w:tcBorders>
              <w:top w:val="single" w:sz="4" w:space="0" w:color="000000"/>
              <w:bottom w:val="single" w:sz="12" w:space="0" w:color="000000"/>
            </w:tcBorders>
            <w:tcMar>
              <w:left w:w="58" w:type="dxa"/>
              <w:right w:w="43" w:type="dxa"/>
            </w:tcMar>
            <w:vAlign w:val="center"/>
          </w:tcPr>
          <w:p w14:paraId="43F1FD8C"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w:t>
            </w:r>
          </w:p>
        </w:tc>
        <w:tc>
          <w:tcPr>
            <w:tcW w:w="1440" w:type="dxa"/>
            <w:tcBorders>
              <w:top w:val="single" w:sz="4" w:space="0" w:color="000000"/>
              <w:bottom w:val="single" w:sz="12" w:space="0" w:color="000000"/>
            </w:tcBorders>
            <w:tcMar>
              <w:left w:w="58" w:type="dxa"/>
              <w:right w:w="43" w:type="dxa"/>
            </w:tcMar>
            <w:vAlign w:val="center"/>
          </w:tcPr>
          <w:p w14:paraId="3598ACEA"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90</w:t>
            </w:r>
          </w:p>
        </w:tc>
        <w:tc>
          <w:tcPr>
            <w:tcW w:w="900" w:type="dxa"/>
            <w:tcBorders>
              <w:top w:val="single" w:sz="4" w:space="0" w:color="000000"/>
              <w:bottom w:val="single" w:sz="12" w:space="0" w:color="000000"/>
            </w:tcBorders>
            <w:tcMar>
              <w:left w:w="58" w:type="dxa"/>
              <w:right w:w="43" w:type="dxa"/>
            </w:tcMar>
            <w:vAlign w:val="center"/>
          </w:tcPr>
          <w:p w14:paraId="3D2E6AAB"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54</w:t>
            </w:r>
          </w:p>
        </w:tc>
        <w:tc>
          <w:tcPr>
            <w:tcW w:w="900" w:type="dxa"/>
            <w:tcBorders>
              <w:top w:val="single" w:sz="4" w:space="0" w:color="000000"/>
              <w:bottom w:val="single" w:sz="12" w:space="0" w:color="000000"/>
            </w:tcBorders>
            <w:tcMar>
              <w:left w:w="58" w:type="dxa"/>
              <w:right w:w="43" w:type="dxa"/>
            </w:tcMar>
            <w:vAlign w:val="center"/>
          </w:tcPr>
          <w:p w14:paraId="38BEFDE9"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$33.91</w:t>
            </w:r>
          </w:p>
        </w:tc>
        <w:tc>
          <w:tcPr>
            <w:tcW w:w="1080" w:type="dxa"/>
            <w:tcBorders>
              <w:top w:val="single" w:sz="4" w:space="0" w:color="000000"/>
              <w:bottom w:val="single" w:sz="12" w:space="0" w:color="000000"/>
            </w:tcBorders>
            <w:tcMar>
              <w:left w:w="58" w:type="dxa"/>
              <w:right w:w="43" w:type="dxa"/>
            </w:tcMar>
            <w:vAlign w:val="center"/>
          </w:tcPr>
          <w:p w14:paraId="121F9AAE"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$1,831</w:t>
            </w:r>
          </w:p>
        </w:tc>
      </w:tr>
      <w:tr w:rsidR="00F067AD" w:rsidRPr="004371F2" w14:paraId="4FEE5D25" w14:textId="77777777" w:rsidTr="00AA7F72">
        <w:trPr>
          <w:trHeight w:hRule="exact" w:val="431"/>
          <w:jc w:val="center"/>
        </w:trPr>
        <w:tc>
          <w:tcPr>
            <w:tcW w:w="2317" w:type="dxa"/>
            <w:tcBorders>
              <w:top w:val="single" w:sz="12" w:space="0" w:color="000000"/>
              <w:bottom w:val="single" w:sz="12" w:space="0" w:color="000000"/>
            </w:tcBorders>
            <w:tcMar>
              <w:left w:w="58" w:type="dxa"/>
              <w:right w:w="43" w:type="dxa"/>
            </w:tcMar>
            <w:vAlign w:val="center"/>
          </w:tcPr>
          <w:p w14:paraId="30427CAE" w14:textId="77777777" w:rsidR="00D31D3B" w:rsidRPr="00C73CED" w:rsidRDefault="00D31D3B" w:rsidP="00D32734">
            <w:pPr>
              <w:spacing w:after="0"/>
              <w:jc w:val="right"/>
              <w:rPr>
                <w:rFonts w:asciiTheme="majorHAnsi" w:hAnsiTheme="majorHAnsi"/>
                <w:b/>
                <w:sz w:val="18"/>
                <w:szCs w:val="18"/>
              </w:rPr>
            </w:pPr>
            <w:r w:rsidRPr="00C73CED">
              <w:rPr>
                <w:rFonts w:asciiTheme="majorHAnsi" w:hAnsiTheme="majorHAnsi"/>
                <w:b/>
                <w:sz w:val="18"/>
                <w:szCs w:val="18"/>
              </w:rPr>
              <w:t>STUDY 1 TOTALS</w:t>
            </w:r>
          </w:p>
        </w:tc>
        <w:tc>
          <w:tcPr>
            <w:tcW w:w="1350" w:type="dxa"/>
            <w:tcBorders>
              <w:top w:val="single" w:sz="12" w:space="0" w:color="000000"/>
              <w:bottom w:val="single" w:sz="12" w:space="0" w:color="000000"/>
            </w:tcBorders>
            <w:tcMar>
              <w:left w:w="58" w:type="dxa"/>
              <w:right w:w="43" w:type="dxa"/>
            </w:tcMar>
            <w:vAlign w:val="center"/>
          </w:tcPr>
          <w:p w14:paraId="01B5DC22"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144</w:t>
            </w:r>
          </w:p>
        </w:tc>
        <w:tc>
          <w:tcPr>
            <w:tcW w:w="135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38CAAB51" w14:textId="77777777" w:rsidR="00D31D3B" w:rsidRPr="004371F2" w:rsidRDefault="00D31D3B" w:rsidP="00D32734">
            <w:pPr>
              <w:spacing w:after="0"/>
              <w:jc w:val="center"/>
              <w:rPr>
                <w:rFonts w:asciiTheme="majorHAnsi" w:hAnsiTheme="majorHAnsi"/>
                <w:b/>
                <w:sz w:val="20"/>
              </w:rPr>
            </w:pPr>
          </w:p>
        </w:tc>
        <w:tc>
          <w:tcPr>
            <w:tcW w:w="144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521B0749" w14:textId="77777777" w:rsidR="00D31D3B" w:rsidRPr="004371F2" w:rsidRDefault="00D31D3B" w:rsidP="00D32734">
            <w:pPr>
              <w:spacing w:after="0"/>
              <w:jc w:val="center"/>
              <w:rPr>
                <w:rFonts w:asciiTheme="majorHAnsi" w:hAnsiTheme="majorHAnsi"/>
                <w:b/>
                <w:sz w:val="20"/>
              </w:rPr>
            </w:pPr>
          </w:p>
        </w:tc>
        <w:tc>
          <w:tcPr>
            <w:tcW w:w="900" w:type="dxa"/>
            <w:tcBorders>
              <w:top w:val="single" w:sz="12" w:space="0" w:color="000000"/>
              <w:bottom w:val="single" w:sz="12" w:space="0" w:color="000000"/>
            </w:tcBorders>
            <w:tcMar>
              <w:left w:w="58" w:type="dxa"/>
              <w:right w:w="43" w:type="dxa"/>
            </w:tcMar>
            <w:vAlign w:val="center"/>
          </w:tcPr>
          <w:p w14:paraId="71F36996"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204</w:t>
            </w:r>
          </w:p>
        </w:tc>
        <w:tc>
          <w:tcPr>
            <w:tcW w:w="90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2226992E" w14:textId="77777777" w:rsidR="00D31D3B" w:rsidRPr="004371F2" w:rsidRDefault="00D31D3B" w:rsidP="00D32734">
            <w:pPr>
              <w:spacing w:after="0"/>
              <w:jc w:val="center"/>
              <w:rPr>
                <w:rFonts w:asciiTheme="majorHAnsi" w:hAnsiTheme="majorHAnsi"/>
                <w:b/>
                <w:sz w:val="20"/>
              </w:rPr>
            </w:pPr>
          </w:p>
        </w:tc>
        <w:tc>
          <w:tcPr>
            <w:tcW w:w="1080" w:type="dxa"/>
            <w:tcBorders>
              <w:top w:val="single" w:sz="12" w:space="0" w:color="000000"/>
              <w:bottom w:val="single" w:sz="12" w:space="0" w:color="000000"/>
            </w:tcBorders>
            <w:tcMar>
              <w:left w:w="58" w:type="dxa"/>
              <w:right w:w="43" w:type="dxa"/>
            </w:tcMar>
            <w:vAlign w:val="center"/>
          </w:tcPr>
          <w:p w14:paraId="3DCF2C96" w14:textId="77777777" w:rsidR="00D31D3B" w:rsidRPr="004371F2" w:rsidRDefault="00D31D3B" w:rsidP="00D32734">
            <w:pPr>
              <w:spacing w:after="0"/>
              <w:jc w:val="center"/>
              <w:rPr>
                <w:rFonts w:asciiTheme="majorHAnsi" w:hAnsiTheme="majorHAnsi"/>
                <w:sz w:val="20"/>
              </w:rPr>
            </w:pPr>
            <w:r w:rsidRPr="004371F2">
              <w:rPr>
                <w:rFonts w:asciiTheme="majorHAnsi" w:hAnsiTheme="majorHAnsi"/>
                <w:sz w:val="20"/>
              </w:rPr>
              <w:t>$5,915</w:t>
            </w:r>
          </w:p>
        </w:tc>
      </w:tr>
      <w:tr w:rsidR="00D31D3B" w:rsidRPr="004371F2" w14:paraId="4AB41BEA" w14:textId="77777777" w:rsidTr="00AA7F72">
        <w:trPr>
          <w:trHeight w:hRule="exact" w:val="271"/>
          <w:jc w:val="center"/>
        </w:trPr>
        <w:tc>
          <w:tcPr>
            <w:tcW w:w="9337" w:type="dxa"/>
            <w:gridSpan w:val="7"/>
            <w:tcBorders>
              <w:top w:val="single" w:sz="12" w:space="0" w:color="000000"/>
              <w:bottom w:val="single" w:sz="12" w:space="0" w:color="000000"/>
            </w:tcBorders>
            <w:shd w:val="clear" w:color="auto" w:fill="D9D9D9" w:themeFill="background1" w:themeFillShade="D9"/>
            <w:tcMar>
              <w:left w:w="58" w:type="dxa"/>
              <w:right w:w="43" w:type="dxa"/>
            </w:tcMar>
            <w:vAlign w:val="center"/>
          </w:tcPr>
          <w:p w14:paraId="06782871" w14:textId="622A114B" w:rsidR="00D31D3B" w:rsidRPr="003801E6" w:rsidRDefault="0092022B" w:rsidP="00D32734">
            <w:pPr>
              <w:spacing w:after="0"/>
              <w:jc w:val="center"/>
              <w:rPr>
                <w:rFonts w:asciiTheme="majorHAnsi" w:hAnsiTheme="majorHAnsi"/>
                <w:b/>
                <w:i/>
                <w:sz w:val="20"/>
                <w:szCs w:val="20"/>
              </w:rPr>
            </w:pPr>
            <w:r w:rsidRPr="003801E6">
              <w:rPr>
                <w:rFonts w:asciiTheme="majorHAnsi" w:hAnsiTheme="majorHAnsi"/>
                <w:b/>
                <w:i/>
                <w:color w:val="000000" w:themeColor="text1"/>
                <w:sz w:val="20"/>
                <w:szCs w:val="20"/>
              </w:rPr>
              <w:t xml:space="preserve">Community Burden </w:t>
            </w:r>
            <w:r w:rsidR="003B2ED5" w:rsidRPr="003801E6">
              <w:rPr>
                <w:rFonts w:asciiTheme="majorHAnsi" w:hAnsiTheme="majorHAnsi"/>
                <w:b/>
                <w:i/>
                <w:color w:val="000000" w:themeColor="text1"/>
                <w:sz w:val="20"/>
                <w:szCs w:val="20"/>
              </w:rPr>
              <w:t>Substudy</w:t>
            </w:r>
          </w:p>
        </w:tc>
      </w:tr>
      <w:tr w:rsidR="00CE01B7" w:rsidRPr="004371F2" w14:paraId="17CC86F9" w14:textId="77777777" w:rsidTr="00AA7F72">
        <w:trPr>
          <w:trHeight w:hRule="exact" w:val="619"/>
          <w:jc w:val="center"/>
        </w:trPr>
        <w:tc>
          <w:tcPr>
            <w:tcW w:w="2317" w:type="dxa"/>
            <w:tcBorders>
              <w:top w:val="single" w:sz="12" w:space="0" w:color="000000"/>
              <w:bottom w:val="single" w:sz="12" w:space="0" w:color="000000"/>
            </w:tcBorders>
            <w:tcMar>
              <w:left w:w="58" w:type="dxa"/>
              <w:right w:w="43" w:type="dxa"/>
            </w:tcMar>
            <w:vAlign w:val="center"/>
          </w:tcPr>
          <w:p w14:paraId="7A9FC7EE" w14:textId="4F3D998D" w:rsidR="00CE01B7" w:rsidRPr="00D31D3B" w:rsidRDefault="00CE01B7" w:rsidP="00CE01B7">
            <w:pPr>
              <w:spacing w:after="0"/>
              <w:rPr>
                <w:rFonts w:asciiTheme="majorHAnsi" w:hAnsiTheme="majorHAnsi"/>
                <w:sz w:val="18"/>
                <w:szCs w:val="18"/>
              </w:rPr>
            </w:pPr>
            <w:r w:rsidRPr="00D31D3B">
              <w:rPr>
                <w:rFonts w:asciiTheme="majorHAnsi" w:hAnsiTheme="majorHAnsi"/>
                <w:sz w:val="18"/>
                <w:szCs w:val="18"/>
              </w:rPr>
              <w:t>KII informants – Parents</w:t>
            </w:r>
            <w:r>
              <w:rPr>
                <w:rFonts w:asciiTheme="majorHAnsi" w:hAnsiTheme="majorHAnsi"/>
                <w:sz w:val="18"/>
                <w:szCs w:val="18"/>
              </w:rPr>
              <w:t>/</w:t>
            </w:r>
            <w:r w:rsidRPr="00D31D3B">
              <w:rPr>
                <w:rFonts w:asciiTheme="majorHAnsi" w:hAnsiTheme="majorHAnsi"/>
                <w:sz w:val="18"/>
                <w:szCs w:val="18"/>
              </w:rPr>
              <w:t>Caregivers</w:t>
            </w:r>
          </w:p>
        </w:tc>
        <w:tc>
          <w:tcPr>
            <w:tcW w:w="1350" w:type="dxa"/>
            <w:tcBorders>
              <w:top w:val="single" w:sz="12" w:space="0" w:color="000000"/>
              <w:bottom w:val="single" w:sz="12" w:space="0" w:color="000000"/>
            </w:tcBorders>
            <w:tcMar>
              <w:left w:w="58" w:type="dxa"/>
              <w:right w:w="43" w:type="dxa"/>
            </w:tcMar>
            <w:vAlign w:val="center"/>
          </w:tcPr>
          <w:p w14:paraId="5EC5F330" w14:textId="7A12B59B" w:rsidR="00CE01B7" w:rsidRPr="004371F2" w:rsidRDefault="00CE01B7" w:rsidP="00CE01B7">
            <w:pPr>
              <w:spacing w:after="0"/>
              <w:jc w:val="center"/>
              <w:rPr>
                <w:rFonts w:asciiTheme="majorHAnsi" w:hAnsiTheme="majorHAnsi"/>
                <w:sz w:val="20"/>
              </w:rPr>
            </w:pPr>
            <w:r>
              <w:rPr>
                <w:rFonts w:asciiTheme="majorHAnsi" w:hAnsiTheme="majorHAnsi"/>
                <w:sz w:val="20"/>
              </w:rPr>
              <w:t>84</w:t>
            </w:r>
          </w:p>
        </w:tc>
        <w:tc>
          <w:tcPr>
            <w:tcW w:w="1350" w:type="dxa"/>
            <w:tcBorders>
              <w:top w:val="single" w:sz="12" w:space="0" w:color="000000"/>
              <w:bottom w:val="single" w:sz="12" w:space="0" w:color="000000"/>
            </w:tcBorders>
            <w:shd w:val="clear" w:color="auto" w:fill="auto"/>
            <w:tcMar>
              <w:left w:w="58" w:type="dxa"/>
              <w:right w:w="43" w:type="dxa"/>
            </w:tcMar>
            <w:vAlign w:val="center"/>
          </w:tcPr>
          <w:p w14:paraId="6B0F70D8" w14:textId="76913F92" w:rsidR="00CE01B7" w:rsidRPr="00CE01B7" w:rsidRDefault="00CE01B7" w:rsidP="00CE01B7">
            <w:pPr>
              <w:spacing w:after="0"/>
              <w:jc w:val="center"/>
              <w:rPr>
                <w:rFonts w:asciiTheme="majorHAnsi" w:hAnsiTheme="majorHAnsi"/>
                <w:sz w:val="20"/>
              </w:rPr>
            </w:pPr>
            <w:r w:rsidRPr="00CE01B7">
              <w:rPr>
                <w:rFonts w:asciiTheme="majorHAnsi" w:hAnsiTheme="majorHAnsi"/>
                <w:sz w:val="20"/>
              </w:rPr>
              <w:t>1</w:t>
            </w:r>
          </w:p>
        </w:tc>
        <w:tc>
          <w:tcPr>
            <w:tcW w:w="1440" w:type="dxa"/>
            <w:tcBorders>
              <w:top w:val="single" w:sz="12" w:space="0" w:color="000000"/>
              <w:bottom w:val="single" w:sz="12" w:space="0" w:color="000000"/>
            </w:tcBorders>
            <w:shd w:val="clear" w:color="auto" w:fill="auto"/>
            <w:tcMar>
              <w:left w:w="58" w:type="dxa"/>
              <w:right w:w="43" w:type="dxa"/>
            </w:tcMar>
            <w:vAlign w:val="center"/>
          </w:tcPr>
          <w:p w14:paraId="4A690AB3" w14:textId="24E41B0F" w:rsidR="00CE01B7" w:rsidRPr="00CE01B7" w:rsidRDefault="00CE01B7" w:rsidP="00AA7F72">
            <w:pPr>
              <w:spacing w:after="0"/>
              <w:jc w:val="center"/>
              <w:rPr>
                <w:rFonts w:asciiTheme="majorHAnsi" w:hAnsiTheme="majorHAnsi"/>
                <w:sz w:val="20"/>
              </w:rPr>
            </w:pPr>
            <w:r w:rsidRPr="00CE01B7">
              <w:rPr>
                <w:rFonts w:asciiTheme="majorHAnsi" w:hAnsiTheme="majorHAnsi"/>
                <w:sz w:val="20"/>
              </w:rPr>
              <w:t>6</w:t>
            </w:r>
            <w:r w:rsidR="00AA7F72">
              <w:rPr>
                <w:rFonts w:asciiTheme="majorHAnsi" w:hAnsiTheme="majorHAnsi"/>
                <w:sz w:val="20"/>
              </w:rPr>
              <w:t>3</w:t>
            </w:r>
            <w:r w:rsidRPr="00CE01B7">
              <w:rPr>
                <w:rFonts w:asciiTheme="majorHAnsi" w:hAnsiTheme="majorHAnsi"/>
                <w:sz w:val="20"/>
              </w:rPr>
              <w:t>/60</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3ACC5529" w14:textId="4C138185" w:rsidR="00CE01B7" w:rsidRPr="004371F2" w:rsidRDefault="0076154A" w:rsidP="00CE01B7">
            <w:pPr>
              <w:spacing w:after="0"/>
              <w:jc w:val="center"/>
              <w:rPr>
                <w:rFonts w:asciiTheme="majorHAnsi" w:hAnsiTheme="majorHAnsi"/>
                <w:sz w:val="20"/>
              </w:rPr>
            </w:pPr>
            <w:r>
              <w:rPr>
                <w:rFonts w:asciiTheme="majorHAnsi" w:hAnsiTheme="majorHAnsi"/>
                <w:sz w:val="20"/>
              </w:rPr>
              <w:t>88</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4BEBE175" w14:textId="2A966E9A" w:rsidR="00CE01B7" w:rsidRPr="00CE01B7" w:rsidRDefault="00CE01B7" w:rsidP="00CE01B7">
            <w:pPr>
              <w:spacing w:after="0"/>
              <w:jc w:val="center"/>
              <w:rPr>
                <w:rFonts w:asciiTheme="majorHAnsi" w:hAnsiTheme="majorHAnsi"/>
                <w:sz w:val="20"/>
              </w:rPr>
            </w:pPr>
            <w:r w:rsidRPr="00CE01B7">
              <w:rPr>
                <w:rFonts w:asciiTheme="majorHAnsi" w:hAnsiTheme="majorHAnsi"/>
                <w:sz w:val="20"/>
              </w:rPr>
              <w:t>$7.25</w:t>
            </w:r>
          </w:p>
        </w:tc>
        <w:tc>
          <w:tcPr>
            <w:tcW w:w="1080" w:type="dxa"/>
            <w:tcBorders>
              <w:top w:val="single" w:sz="12" w:space="0" w:color="000000"/>
              <w:bottom w:val="single" w:sz="12" w:space="0" w:color="000000"/>
            </w:tcBorders>
            <w:tcMar>
              <w:left w:w="58" w:type="dxa"/>
              <w:right w:w="43" w:type="dxa"/>
            </w:tcMar>
            <w:vAlign w:val="center"/>
          </w:tcPr>
          <w:p w14:paraId="33351DFF" w14:textId="463CC88E" w:rsidR="00CE01B7" w:rsidRPr="004371F2" w:rsidRDefault="00CE01B7" w:rsidP="00AA7F72">
            <w:pPr>
              <w:spacing w:after="0"/>
              <w:jc w:val="center"/>
              <w:rPr>
                <w:rFonts w:asciiTheme="majorHAnsi" w:hAnsiTheme="majorHAnsi"/>
                <w:sz w:val="20"/>
              </w:rPr>
            </w:pPr>
            <w:r>
              <w:rPr>
                <w:rFonts w:asciiTheme="majorHAnsi" w:hAnsiTheme="majorHAnsi"/>
                <w:sz w:val="20"/>
              </w:rPr>
              <w:t>$6</w:t>
            </w:r>
            <w:r w:rsidR="0076154A">
              <w:rPr>
                <w:rFonts w:asciiTheme="majorHAnsi" w:hAnsiTheme="majorHAnsi"/>
                <w:sz w:val="20"/>
              </w:rPr>
              <w:t>38</w:t>
            </w:r>
          </w:p>
        </w:tc>
      </w:tr>
      <w:tr w:rsidR="00CE01B7" w:rsidRPr="004371F2" w14:paraId="26FE822A" w14:textId="77777777" w:rsidTr="00AA7F72">
        <w:trPr>
          <w:trHeight w:hRule="exact" w:val="628"/>
          <w:jc w:val="center"/>
        </w:trPr>
        <w:tc>
          <w:tcPr>
            <w:tcW w:w="2317" w:type="dxa"/>
            <w:tcBorders>
              <w:top w:val="single" w:sz="12" w:space="0" w:color="000000"/>
              <w:bottom w:val="single" w:sz="12" w:space="0" w:color="000000"/>
            </w:tcBorders>
            <w:tcMar>
              <w:left w:w="58" w:type="dxa"/>
              <w:right w:w="43" w:type="dxa"/>
            </w:tcMar>
            <w:vAlign w:val="center"/>
          </w:tcPr>
          <w:p w14:paraId="1C62AEF0" w14:textId="2CD3B4B7" w:rsidR="00CE01B7" w:rsidRPr="00D31D3B" w:rsidRDefault="00CE01B7" w:rsidP="00CE01B7">
            <w:pPr>
              <w:spacing w:after="0"/>
              <w:rPr>
                <w:rFonts w:asciiTheme="majorHAnsi" w:hAnsiTheme="majorHAnsi"/>
                <w:sz w:val="18"/>
                <w:szCs w:val="18"/>
              </w:rPr>
            </w:pPr>
            <w:r w:rsidRPr="00D31D3B">
              <w:rPr>
                <w:rFonts w:asciiTheme="majorHAnsi" w:hAnsiTheme="majorHAnsi"/>
                <w:sz w:val="18"/>
                <w:szCs w:val="18"/>
              </w:rPr>
              <w:t>KII informants</w:t>
            </w:r>
            <w:r>
              <w:rPr>
                <w:rFonts w:asciiTheme="majorHAnsi" w:hAnsiTheme="majorHAnsi"/>
                <w:sz w:val="18"/>
                <w:szCs w:val="18"/>
              </w:rPr>
              <w:t xml:space="preserve"> – providers/s</w:t>
            </w:r>
            <w:r w:rsidRPr="00D31D3B">
              <w:rPr>
                <w:rFonts w:asciiTheme="majorHAnsi" w:hAnsiTheme="majorHAnsi"/>
                <w:sz w:val="18"/>
                <w:szCs w:val="18"/>
              </w:rPr>
              <w:t>takeholder</w:t>
            </w:r>
          </w:p>
        </w:tc>
        <w:tc>
          <w:tcPr>
            <w:tcW w:w="1350" w:type="dxa"/>
            <w:tcBorders>
              <w:top w:val="single" w:sz="12" w:space="0" w:color="000000"/>
              <w:bottom w:val="single" w:sz="12" w:space="0" w:color="000000"/>
            </w:tcBorders>
            <w:tcMar>
              <w:left w:w="58" w:type="dxa"/>
              <w:right w:w="43" w:type="dxa"/>
            </w:tcMar>
            <w:vAlign w:val="center"/>
          </w:tcPr>
          <w:p w14:paraId="10DDF4AC" w14:textId="3ACDE841" w:rsidR="00CE01B7" w:rsidRPr="004371F2" w:rsidRDefault="00CE01B7" w:rsidP="00CE01B7">
            <w:pPr>
              <w:spacing w:after="0"/>
              <w:jc w:val="center"/>
              <w:rPr>
                <w:rFonts w:asciiTheme="majorHAnsi" w:hAnsiTheme="majorHAnsi"/>
                <w:sz w:val="20"/>
              </w:rPr>
            </w:pPr>
            <w:r>
              <w:rPr>
                <w:rFonts w:asciiTheme="majorHAnsi" w:hAnsiTheme="majorHAnsi"/>
                <w:sz w:val="20"/>
              </w:rPr>
              <w:t>24</w:t>
            </w:r>
          </w:p>
        </w:tc>
        <w:tc>
          <w:tcPr>
            <w:tcW w:w="1350" w:type="dxa"/>
            <w:tcBorders>
              <w:top w:val="single" w:sz="12" w:space="0" w:color="000000"/>
              <w:bottom w:val="single" w:sz="12" w:space="0" w:color="000000"/>
            </w:tcBorders>
            <w:shd w:val="clear" w:color="auto" w:fill="auto"/>
            <w:tcMar>
              <w:left w:w="58" w:type="dxa"/>
              <w:right w:w="43" w:type="dxa"/>
            </w:tcMar>
            <w:vAlign w:val="center"/>
          </w:tcPr>
          <w:p w14:paraId="2E0028E7" w14:textId="3D40C704" w:rsidR="00CE01B7" w:rsidRPr="00CE01B7" w:rsidRDefault="00CE01B7" w:rsidP="00CE01B7">
            <w:pPr>
              <w:spacing w:after="0"/>
              <w:jc w:val="center"/>
              <w:rPr>
                <w:rFonts w:asciiTheme="majorHAnsi" w:hAnsiTheme="majorHAnsi"/>
                <w:sz w:val="20"/>
              </w:rPr>
            </w:pPr>
            <w:r w:rsidRPr="00CE01B7">
              <w:rPr>
                <w:rFonts w:asciiTheme="majorHAnsi" w:hAnsiTheme="majorHAnsi"/>
                <w:sz w:val="20"/>
              </w:rPr>
              <w:t>1</w:t>
            </w:r>
          </w:p>
        </w:tc>
        <w:tc>
          <w:tcPr>
            <w:tcW w:w="1440" w:type="dxa"/>
            <w:tcBorders>
              <w:top w:val="single" w:sz="12" w:space="0" w:color="000000"/>
              <w:bottom w:val="single" w:sz="12" w:space="0" w:color="000000"/>
            </w:tcBorders>
            <w:shd w:val="clear" w:color="auto" w:fill="auto"/>
            <w:tcMar>
              <w:left w:w="58" w:type="dxa"/>
              <w:right w:w="43" w:type="dxa"/>
            </w:tcMar>
            <w:vAlign w:val="center"/>
          </w:tcPr>
          <w:p w14:paraId="572DE528" w14:textId="2D589E56" w:rsidR="00CE01B7" w:rsidRPr="00CE01B7" w:rsidRDefault="00CE01B7" w:rsidP="00AA7F72">
            <w:pPr>
              <w:spacing w:after="0"/>
              <w:jc w:val="center"/>
              <w:rPr>
                <w:rFonts w:asciiTheme="majorHAnsi" w:hAnsiTheme="majorHAnsi"/>
                <w:sz w:val="20"/>
              </w:rPr>
            </w:pPr>
            <w:r w:rsidRPr="00CE01B7">
              <w:rPr>
                <w:rFonts w:asciiTheme="majorHAnsi" w:hAnsiTheme="majorHAnsi"/>
                <w:sz w:val="20"/>
              </w:rPr>
              <w:t>6</w:t>
            </w:r>
            <w:r w:rsidR="00AA7F72">
              <w:rPr>
                <w:rFonts w:asciiTheme="majorHAnsi" w:hAnsiTheme="majorHAnsi"/>
                <w:sz w:val="20"/>
              </w:rPr>
              <w:t>3</w:t>
            </w:r>
            <w:r w:rsidRPr="00CE01B7">
              <w:rPr>
                <w:rFonts w:asciiTheme="majorHAnsi" w:hAnsiTheme="majorHAnsi"/>
                <w:sz w:val="20"/>
              </w:rPr>
              <w:t>/60</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16BD1510" w14:textId="341EE25E" w:rsidR="00CE01B7" w:rsidRPr="004371F2" w:rsidRDefault="00CE01B7" w:rsidP="00AA7F72">
            <w:pPr>
              <w:spacing w:after="0"/>
              <w:jc w:val="center"/>
              <w:rPr>
                <w:rFonts w:asciiTheme="majorHAnsi" w:hAnsiTheme="majorHAnsi"/>
                <w:sz w:val="20"/>
              </w:rPr>
            </w:pPr>
            <w:r>
              <w:rPr>
                <w:rFonts w:asciiTheme="majorHAnsi" w:hAnsiTheme="majorHAnsi"/>
                <w:sz w:val="20"/>
              </w:rPr>
              <w:t>2</w:t>
            </w:r>
            <w:r w:rsidR="0076154A">
              <w:rPr>
                <w:rFonts w:asciiTheme="majorHAnsi" w:hAnsiTheme="majorHAnsi"/>
                <w:sz w:val="20"/>
              </w:rPr>
              <w:t>5</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6EDDBF02" w14:textId="42E9312D" w:rsidR="00CE01B7" w:rsidRPr="002D3E80" w:rsidRDefault="00CE01B7" w:rsidP="00CE01B7">
            <w:pPr>
              <w:spacing w:after="0"/>
              <w:jc w:val="center"/>
              <w:rPr>
                <w:rFonts w:asciiTheme="majorHAnsi" w:hAnsiTheme="majorHAnsi"/>
                <w:sz w:val="20"/>
              </w:rPr>
            </w:pPr>
            <w:r w:rsidRPr="002D3E80">
              <w:rPr>
                <w:rFonts w:asciiTheme="majorHAnsi" w:hAnsiTheme="majorHAnsi"/>
                <w:sz w:val="20"/>
              </w:rPr>
              <w:t>$28.56</w:t>
            </w:r>
          </w:p>
        </w:tc>
        <w:tc>
          <w:tcPr>
            <w:tcW w:w="1080" w:type="dxa"/>
            <w:tcBorders>
              <w:top w:val="single" w:sz="12" w:space="0" w:color="000000"/>
              <w:bottom w:val="single" w:sz="12" w:space="0" w:color="000000"/>
            </w:tcBorders>
            <w:tcMar>
              <w:left w:w="58" w:type="dxa"/>
              <w:right w:w="43" w:type="dxa"/>
            </w:tcMar>
            <w:vAlign w:val="center"/>
          </w:tcPr>
          <w:p w14:paraId="4BF59268" w14:textId="5FF183B9" w:rsidR="00CE01B7" w:rsidRPr="004371F2" w:rsidRDefault="00CE01B7" w:rsidP="00AA7F72">
            <w:pPr>
              <w:spacing w:after="0"/>
              <w:jc w:val="center"/>
              <w:rPr>
                <w:rFonts w:asciiTheme="majorHAnsi" w:hAnsiTheme="majorHAnsi"/>
                <w:sz w:val="20"/>
              </w:rPr>
            </w:pPr>
            <w:r>
              <w:rPr>
                <w:rFonts w:asciiTheme="majorHAnsi" w:hAnsiTheme="majorHAnsi"/>
                <w:sz w:val="20"/>
              </w:rPr>
              <w:t>$</w:t>
            </w:r>
            <w:r w:rsidR="00AA7F72">
              <w:rPr>
                <w:rFonts w:asciiTheme="majorHAnsi" w:hAnsiTheme="majorHAnsi"/>
                <w:sz w:val="20"/>
              </w:rPr>
              <w:t>7</w:t>
            </w:r>
            <w:r w:rsidR="0076154A">
              <w:rPr>
                <w:rFonts w:asciiTheme="majorHAnsi" w:hAnsiTheme="majorHAnsi"/>
                <w:sz w:val="20"/>
              </w:rPr>
              <w:t>14</w:t>
            </w:r>
          </w:p>
        </w:tc>
      </w:tr>
      <w:tr w:rsidR="00CE01B7" w:rsidRPr="004371F2" w14:paraId="0D58BE87" w14:textId="77777777" w:rsidTr="00AA7F72">
        <w:trPr>
          <w:trHeight w:hRule="exact" w:val="426"/>
          <w:jc w:val="center"/>
        </w:trPr>
        <w:tc>
          <w:tcPr>
            <w:tcW w:w="2317" w:type="dxa"/>
            <w:tcBorders>
              <w:top w:val="single" w:sz="12" w:space="0" w:color="000000"/>
              <w:bottom w:val="single" w:sz="12" w:space="0" w:color="000000"/>
            </w:tcBorders>
            <w:tcMar>
              <w:left w:w="58" w:type="dxa"/>
              <w:right w:w="43" w:type="dxa"/>
            </w:tcMar>
            <w:vAlign w:val="center"/>
          </w:tcPr>
          <w:p w14:paraId="0CD44BB2" w14:textId="397D0536" w:rsidR="00CE01B7" w:rsidRPr="00D31D3B" w:rsidRDefault="00CE01B7" w:rsidP="00CE01B7">
            <w:pPr>
              <w:spacing w:after="0"/>
              <w:rPr>
                <w:rFonts w:asciiTheme="majorHAnsi" w:hAnsiTheme="majorHAnsi"/>
                <w:sz w:val="18"/>
                <w:szCs w:val="18"/>
              </w:rPr>
            </w:pPr>
            <w:r w:rsidRPr="00D31D3B">
              <w:rPr>
                <w:rFonts w:asciiTheme="majorHAnsi" w:hAnsiTheme="majorHAnsi"/>
                <w:sz w:val="18"/>
                <w:szCs w:val="18"/>
              </w:rPr>
              <w:t>FG participants</w:t>
            </w:r>
            <w:r>
              <w:rPr>
                <w:rFonts w:asciiTheme="majorHAnsi" w:hAnsiTheme="majorHAnsi"/>
                <w:sz w:val="18"/>
                <w:szCs w:val="18"/>
              </w:rPr>
              <w:t xml:space="preserve"> – C</w:t>
            </w:r>
            <w:r w:rsidRPr="00D31D3B">
              <w:rPr>
                <w:rFonts w:asciiTheme="majorHAnsi" w:hAnsiTheme="majorHAnsi"/>
                <w:sz w:val="18"/>
                <w:szCs w:val="18"/>
              </w:rPr>
              <w:t>aregivers</w:t>
            </w:r>
          </w:p>
        </w:tc>
        <w:tc>
          <w:tcPr>
            <w:tcW w:w="1350" w:type="dxa"/>
            <w:tcBorders>
              <w:top w:val="single" w:sz="12" w:space="0" w:color="000000"/>
              <w:bottom w:val="single" w:sz="12" w:space="0" w:color="000000"/>
            </w:tcBorders>
            <w:tcMar>
              <w:left w:w="58" w:type="dxa"/>
              <w:right w:w="43" w:type="dxa"/>
            </w:tcMar>
            <w:vAlign w:val="center"/>
          </w:tcPr>
          <w:p w14:paraId="47689540" w14:textId="33363DAF" w:rsidR="00CE01B7" w:rsidRPr="004371F2" w:rsidRDefault="00CE01B7" w:rsidP="00CE01B7">
            <w:pPr>
              <w:spacing w:after="0"/>
              <w:jc w:val="center"/>
              <w:rPr>
                <w:rFonts w:asciiTheme="majorHAnsi" w:hAnsiTheme="majorHAnsi"/>
                <w:sz w:val="20"/>
              </w:rPr>
            </w:pPr>
            <w:r>
              <w:rPr>
                <w:rFonts w:asciiTheme="majorHAnsi" w:hAnsiTheme="majorHAnsi"/>
                <w:sz w:val="20"/>
              </w:rPr>
              <w:t>96</w:t>
            </w:r>
          </w:p>
        </w:tc>
        <w:tc>
          <w:tcPr>
            <w:tcW w:w="1350" w:type="dxa"/>
            <w:tcBorders>
              <w:top w:val="single" w:sz="12" w:space="0" w:color="000000"/>
              <w:bottom w:val="single" w:sz="12" w:space="0" w:color="000000"/>
            </w:tcBorders>
            <w:shd w:val="clear" w:color="auto" w:fill="auto"/>
            <w:tcMar>
              <w:left w:w="58" w:type="dxa"/>
              <w:right w:w="43" w:type="dxa"/>
            </w:tcMar>
            <w:vAlign w:val="center"/>
          </w:tcPr>
          <w:p w14:paraId="12328AD3" w14:textId="791FAB68" w:rsidR="00CE01B7" w:rsidRPr="00CE01B7" w:rsidRDefault="00CE01B7" w:rsidP="00CE01B7">
            <w:pPr>
              <w:spacing w:after="0"/>
              <w:jc w:val="center"/>
              <w:rPr>
                <w:rFonts w:asciiTheme="majorHAnsi" w:hAnsiTheme="majorHAnsi"/>
                <w:sz w:val="20"/>
              </w:rPr>
            </w:pPr>
            <w:r w:rsidRPr="00CE01B7">
              <w:rPr>
                <w:rFonts w:asciiTheme="majorHAnsi" w:hAnsiTheme="majorHAnsi"/>
                <w:sz w:val="20"/>
              </w:rPr>
              <w:t>1</w:t>
            </w:r>
          </w:p>
        </w:tc>
        <w:tc>
          <w:tcPr>
            <w:tcW w:w="1440" w:type="dxa"/>
            <w:tcBorders>
              <w:top w:val="single" w:sz="12" w:space="0" w:color="000000"/>
              <w:bottom w:val="single" w:sz="12" w:space="0" w:color="000000"/>
            </w:tcBorders>
            <w:shd w:val="clear" w:color="auto" w:fill="auto"/>
            <w:tcMar>
              <w:left w:w="58" w:type="dxa"/>
              <w:right w:w="43" w:type="dxa"/>
            </w:tcMar>
            <w:vAlign w:val="center"/>
          </w:tcPr>
          <w:p w14:paraId="38047A93" w14:textId="2EC8AD44" w:rsidR="00CE01B7" w:rsidRPr="00CE01B7" w:rsidRDefault="00CE01B7" w:rsidP="00AA7F72">
            <w:pPr>
              <w:spacing w:after="0"/>
              <w:jc w:val="center"/>
              <w:rPr>
                <w:rFonts w:asciiTheme="majorHAnsi" w:hAnsiTheme="majorHAnsi"/>
                <w:sz w:val="20"/>
              </w:rPr>
            </w:pPr>
            <w:r w:rsidRPr="00CE01B7">
              <w:rPr>
                <w:rFonts w:asciiTheme="majorHAnsi" w:hAnsiTheme="majorHAnsi"/>
                <w:sz w:val="20"/>
              </w:rPr>
              <w:t>9</w:t>
            </w:r>
            <w:r w:rsidR="00AA7F72">
              <w:rPr>
                <w:rFonts w:asciiTheme="majorHAnsi" w:hAnsiTheme="majorHAnsi"/>
                <w:sz w:val="20"/>
              </w:rPr>
              <w:t>3</w:t>
            </w:r>
            <w:r w:rsidRPr="00CE01B7">
              <w:rPr>
                <w:rFonts w:asciiTheme="majorHAnsi" w:hAnsiTheme="majorHAnsi"/>
                <w:sz w:val="20"/>
              </w:rPr>
              <w:t>/60</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1EDF1C8A" w14:textId="4A4CE38E" w:rsidR="00CE01B7" w:rsidRPr="004371F2" w:rsidRDefault="00CE01B7" w:rsidP="0076154A">
            <w:pPr>
              <w:spacing w:after="0"/>
              <w:jc w:val="center"/>
              <w:rPr>
                <w:rFonts w:asciiTheme="majorHAnsi" w:hAnsiTheme="majorHAnsi"/>
                <w:sz w:val="20"/>
              </w:rPr>
            </w:pPr>
            <w:r>
              <w:rPr>
                <w:rFonts w:asciiTheme="majorHAnsi" w:hAnsiTheme="majorHAnsi"/>
                <w:sz w:val="20"/>
              </w:rPr>
              <w:t>14</w:t>
            </w:r>
            <w:r w:rsidR="0076154A">
              <w:rPr>
                <w:rFonts w:asciiTheme="majorHAnsi" w:hAnsiTheme="majorHAnsi"/>
                <w:sz w:val="20"/>
              </w:rPr>
              <w:t>9</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7056AA61" w14:textId="58A80204" w:rsidR="00CE01B7" w:rsidRPr="002D3E80" w:rsidRDefault="00CE01B7" w:rsidP="00CE01B7">
            <w:pPr>
              <w:spacing w:after="0"/>
              <w:jc w:val="center"/>
              <w:rPr>
                <w:rFonts w:asciiTheme="majorHAnsi" w:hAnsiTheme="majorHAnsi"/>
                <w:sz w:val="20"/>
              </w:rPr>
            </w:pPr>
            <w:r w:rsidRPr="002D3E80">
              <w:rPr>
                <w:rFonts w:asciiTheme="majorHAnsi" w:hAnsiTheme="majorHAnsi"/>
                <w:sz w:val="20"/>
              </w:rPr>
              <w:t>$7.25</w:t>
            </w:r>
          </w:p>
        </w:tc>
        <w:tc>
          <w:tcPr>
            <w:tcW w:w="1080" w:type="dxa"/>
            <w:tcBorders>
              <w:top w:val="single" w:sz="12" w:space="0" w:color="000000"/>
              <w:bottom w:val="single" w:sz="12" w:space="0" w:color="000000"/>
            </w:tcBorders>
            <w:tcMar>
              <w:left w:w="58" w:type="dxa"/>
              <w:right w:w="43" w:type="dxa"/>
            </w:tcMar>
            <w:vAlign w:val="center"/>
          </w:tcPr>
          <w:p w14:paraId="47D339AF" w14:textId="2A030394" w:rsidR="00CE01B7" w:rsidRPr="004371F2" w:rsidRDefault="0076154A" w:rsidP="00CE01B7">
            <w:pPr>
              <w:spacing w:after="0"/>
              <w:jc w:val="center"/>
              <w:rPr>
                <w:rFonts w:asciiTheme="majorHAnsi" w:hAnsiTheme="majorHAnsi"/>
                <w:sz w:val="20"/>
              </w:rPr>
            </w:pPr>
            <w:r>
              <w:rPr>
                <w:rFonts w:asciiTheme="majorHAnsi" w:hAnsiTheme="majorHAnsi"/>
                <w:sz w:val="20"/>
              </w:rPr>
              <w:t>$1,080</w:t>
            </w:r>
          </w:p>
        </w:tc>
      </w:tr>
      <w:tr w:rsidR="00CE01B7" w:rsidRPr="004371F2" w14:paraId="2EEDC1C7" w14:textId="77777777" w:rsidTr="00AA7F72">
        <w:trPr>
          <w:trHeight w:hRule="exact" w:val="628"/>
          <w:jc w:val="center"/>
        </w:trPr>
        <w:tc>
          <w:tcPr>
            <w:tcW w:w="2317" w:type="dxa"/>
            <w:tcBorders>
              <w:top w:val="single" w:sz="12" w:space="0" w:color="000000"/>
              <w:bottom w:val="single" w:sz="12" w:space="0" w:color="000000"/>
            </w:tcBorders>
            <w:tcMar>
              <w:left w:w="58" w:type="dxa"/>
              <w:right w:w="43" w:type="dxa"/>
            </w:tcMar>
            <w:vAlign w:val="center"/>
          </w:tcPr>
          <w:p w14:paraId="2091ED41" w14:textId="78AC57F6" w:rsidR="00CE01B7" w:rsidRPr="00D31D3B" w:rsidRDefault="00CE01B7" w:rsidP="00CE01B7">
            <w:pPr>
              <w:spacing w:after="0"/>
              <w:rPr>
                <w:rFonts w:asciiTheme="majorHAnsi" w:hAnsiTheme="majorHAnsi"/>
                <w:sz w:val="18"/>
                <w:szCs w:val="18"/>
              </w:rPr>
            </w:pPr>
            <w:r w:rsidRPr="00D31D3B">
              <w:rPr>
                <w:rFonts w:asciiTheme="majorHAnsi" w:hAnsiTheme="majorHAnsi"/>
                <w:sz w:val="18"/>
                <w:szCs w:val="18"/>
              </w:rPr>
              <w:t>FG participants</w:t>
            </w:r>
            <w:r>
              <w:rPr>
                <w:rFonts w:asciiTheme="majorHAnsi" w:hAnsiTheme="majorHAnsi"/>
                <w:sz w:val="18"/>
                <w:szCs w:val="18"/>
              </w:rPr>
              <w:t xml:space="preserve"> – </w:t>
            </w:r>
            <w:r w:rsidRPr="00D31D3B">
              <w:rPr>
                <w:rFonts w:asciiTheme="majorHAnsi" w:hAnsiTheme="majorHAnsi"/>
                <w:sz w:val="18"/>
                <w:szCs w:val="18"/>
              </w:rPr>
              <w:t xml:space="preserve"> </w:t>
            </w:r>
            <w:r>
              <w:rPr>
                <w:rFonts w:asciiTheme="majorHAnsi" w:hAnsiTheme="majorHAnsi"/>
                <w:sz w:val="18"/>
                <w:szCs w:val="18"/>
              </w:rPr>
              <w:t>Providers/s</w:t>
            </w:r>
            <w:r w:rsidRPr="00D31D3B">
              <w:rPr>
                <w:rFonts w:asciiTheme="majorHAnsi" w:hAnsiTheme="majorHAnsi"/>
                <w:sz w:val="18"/>
                <w:szCs w:val="18"/>
              </w:rPr>
              <w:t>takeholders</w:t>
            </w:r>
          </w:p>
        </w:tc>
        <w:tc>
          <w:tcPr>
            <w:tcW w:w="1350" w:type="dxa"/>
            <w:tcBorders>
              <w:top w:val="single" w:sz="12" w:space="0" w:color="000000"/>
              <w:bottom w:val="single" w:sz="12" w:space="0" w:color="000000"/>
            </w:tcBorders>
            <w:tcMar>
              <w:left w:w="58" w:type="dxa"/>
              <w:right w:w="43" w:type="dxa"/>
            </w:tcMar>
            <w:vAlign w:val="center"/>
          </w:tcPr>
          <w:p w14:paraId="19479089" w14:textId="01EE6F73" w:rsidR="00CE01B7" w:rsidRPr="004371F2" w:rsidRDefault="00CE01B7" w:rsidP="00CE01B7">
            <w:pPr>
              <w:spacing w:after="0"/>
              <w:jc w:val="center"/>
              <w:rPr>
                <w:rFonts w:asciiTheme="majorHAnsi" w:hAnsiTheme="majorHAnsi"/>
                <w:sz w:val="20"/>
              </w:rPr>
            </w:pPr>
            <w:r>
              <w:rPr>
                <w:rFonts w:asciiTheme="majorHAnsi" w:hAnsiTheme="majorHAnsi"/>
                <w:sz w:val="20"/>
              </w:rPr>
              <w:t>144</w:t>
            </w:r>
          </w:p>
        </w:tc>
        <w:tc>
          <w:tcPr>
            <w:tcW w:w="1350" w:type="dxa"/>
            <w:tcBorders>
              <w:top w:val="single" w:sz="12" w:space="0" w:color="000000"/>
              <w:bottom w:val="single" w:sz="12" w:space="0" w:color="000000"/>
            </w:tcBorders>
            <w:shd w:val="clear" w:color="auto" w:fill="auto"/>
            <w:tcMar>
              <w:left w:w="58" w:type="dxa"/>
              <w:right w:w="43" w:type="dxa"/>
            </w:tcMar>
            <w:vAlign w:val="center"/>
          </w:tcPr>
          <w:p w14:paraId="69809AE7" w14:textId="4EFFB582" w:rsidR="00CE01B7" w:rsidRPr="00CE01B7" w:rsidRDefault="00CE01B7" w:rsidP="00CE01B7">
            <w:pPr>
              <w:spacing w:after="0"/>
              <w:jc w:val="center"/>
              <w:rPr>
                <w:rFonts w:asciiTheme="majorHAnsi" w:hAnsiTheme="majorHAnsi"/>
                <w:sz w:val="20"/>
              </w:rPr>
            </w:pPr>
            <w:r w:rsidRPr="00CE01B7">
              <w:rPr>
                <w:rFonts w:asciiTheme="majorHAnsi" w:hAnsiTheme="majorHAnsi"/>
                <w:sz w:val="20"/>
              </w:rPr>
              <w:t>1</w:t>
            </w:r>
          </w:p>
        </w:tc>
        <w:tc>
          <w:tcPr>
            <w:tcW w:w="1440" w:type="dxa"/>
            <w:tcBorders>
              <w:top w:val="single" w:sz="12" w:space="0" w:color="000000"/>
              <w:bottom w:val="single" w:sz="12" w:space="0" w:color="000000"/>
            </w:tcBorders>
            <w:shd w:val="clear" w:color="auto" w:fill="auto"/>
            <w:tcMar>
              <w:left w:w="58" w:type="dxa"/>
              <w:right w:w="43" w:type="dxa"/>
            </w:tcMar>
            <w:vAlign w:val="center"/>
          </w:tcPr>
          <w:p w14:paraId="05C38689" w14:textId="5502D4A2" w:rsidR="00CE01B7" w:rsidRPr="00CE01B7" w:rsidRDefault="00CE01B7" w:rsidP="00AA7F72">
            <w:pPr>
              <w:spacing w:after="0"/>
              <w:jc w:val="center"/>
              <w:rPr>
                <w:rFonts w:asciiTheme="majorHAnsi" w:hAnsiTheme="majorHAnsi"/>
                <w:sz w:val="20"/>
              </w:rPr>
            </w:pPr>
            <w:r w:rsidRPr="00CE01B7">
              <w:rPr>
                <w:rFonts w:asciiTheme="majorHAnsi" w:hAnsiTheme="majorHAnsi"/>
                <w:sz w:val="20"/>
              </w:rPr>
              <w:t>9</w:t>
            </w:r>
            <w:r w:rsidR="00AA7F72">
              <w:rPr>
                <w:rFonts w:asciiTheme="majorHAnsi" w:hAnsiTheme="majorHAnsi"/>
                <w:sz w:val="20"/>
              </w:rPr>
              <w:t>3</w:t>
            </w:r>
            <w:r w:rsidRPr="00CE01B7">
              <w:rPr>
                <w:rFonts w:asciiTheme="majorHAnsi" w:hAnsiTheme="majorHAnsi"/>
                <w:sz w:val="20"/>
              </w:rPr>
              <w:t>/60</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390CD77D" w14:textId="401CE7C4" w:rsidR="00CE01B7" w:rsidRPr="004371F2" w:rsidRDefault="00CE01B7" w:rsidP="0076154A">
            <w:pPr>
              <w:spacing w:after="0"/>
              <w:jc w:val="center"/>
              <w:rPr>
                <w:rFonts w:asciiTheme="majorHAnsi" w:hAnsiTheme="majorHAnsi"/>
                <w:sz w:val="20"/>
              </w:rPr>
            </w:pPr>
            <w:r>
              <w:rPr>
                <w:rFonts w:asciiTheme="majorHAnsi" w:hAnsiTheme="majorHAnsi"/>
                <w:sz w:val="20"/>
              </w:rPr>
              <w:t>2</w:t>
            </w:r>
            <w:r w:rsidR="0076154A">
              <w:rPr>
                <w:rFonts w:asciiTheme="majorHAnsi" w:hAnsiTheme="majorHAnsi"/>
                <w:sz w:val="20"/>
              </w:rPr>
              <w:t>23</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3CB3A636" w14:textId="07106A96" w:rsidR="00CE01B7" w:rsidRPr="002D3E80" w:rsidRDefault="00CE01B7" w:rsidP="00CE01B7">
            <w:pPr>
              <w:spacing w:after="0"/>
              <w:jc w:val="center"/>
              <w:rPr>
                <w:rFonts w:asciiTheme="majorHAnsi" w:hAnsiTheme="majorHAnsi"/>
                <w:sz w:val="20"/>
              </w:rPr>
            </w:pPr>
            <w:r w:rsidRPr="002D3E80">
              <w:rPr>
                <w:rFonts w:asciiTheme="majorHAnsi" w:hAnsiTheme="majorHAnsi"/>
                <w:sz w:val="20"/>
              </w:rPr>
              <w:t>$28.56</w:t>
            </w:r>
          </w:p>
        </w:tc>
        <w:tc>
          <w:tcPr>
            <w:tcW w:w="1080" w:type="dxa"/>
            <w:tcBorders>
              <w:top w:val="single" w:sz="12" w:space="0" w:color="000000"/>
              <w:bottom w:val="single" w:sz="12" w:space="0" w:color="000000"/>
            </w:tcBorders>
            <w:tcMar>
              <w:left w:w="58" w:type="dxa"/>
              <w:right w:w="43" w:type="dxa"/>
            </w:tcMar>
            <w:vAlign w:val="center"/>
          </w:tcPr>
          <w:p w14:paraId="52FC2A40" w14:textId="190F396D" w:rsidR="00CE01B7" w:rsidRPr="004371F2" w:rsidRDefault="00CE01B7" w:rsidP="00CE01B7">
            <w:pPr>
              <w:spacing w:after="0"/>
              <w:jc w:val="center"/>
              <w:rPr>
                <w:rFonts w:asciiTheme="majorHAnsi" w:hAnsiTheme="majorHAnsi"/>
                <w:sz w:val="20"/>
              </w:rPr>
            </w:pPr>
            <w:r>
              <w:rPr>
                <w:rFonts w:asciiTheme="majorHAnsi" w:hAnsiTheme="majorHAnsi"/>
                <w:sz w:val="20"/>
              </w:rPr>
              <w:t>$</w:t>
            </w:r>
            <w:r w:rsidR="0076154A">
              <w:rPr>
                <w:rFonts w:asciiTheme="majorHAnsi" w:hAnsiTheme="majorHAnsi"/>
                <w:sz w:val="20"/>
              </w:rPr>
              <w:t>63</w:t>
            </w:r>
            <w:r>
              <w:rPr>
                <w:rFonts w:asciiTheme="majorHAnsi" w:hAnsiTheme="majorHAnsi"/>
                <w:sz w:val="20"/>
              </w:rPr>
              <w:t>69</w:t>
            </w:r>
          </w:p>
        </w:tc>
      </w:tr>
      <w:tr w:rsidR="00965CE0" w:rsidRPr="004371F2" w14:paraId="5B3FF269" w14:textId="77777777" w:rsidTr="00AA7F72">
        <w:trPr>
          <w:trHeight w:hRule="exact" w:val="360"/>
          <w:jc w:val="center"/>
        </w:trPr>
        <w:tc>
          <w:tcPr>
            <w:tcW w:w="2317" w:type="dxa"/>
            <w:tcBorders>
              <w:top w:val="single" w:sz="12" w:space="0" w:color="000000"/>
              <w:bottom w:val="single" w:sz="12" w:space="0" w:color="000000"/>
            </w:tcBorders>
            <w:tcMar>
              <w:left w:w="58" w:type="dxa"/>
              <w:right w:w="43" w:type="dxa"/>
            </w:tcMar>
            <w:vAlign w:val="center"/>
          </w:tcPr>
          <w:p w14:paraId="4193C6B1" w14:textId="3F43860E" w:rsidR="00965CE0" w:rsidRPr="00C73CED" w:rsidRDefault="00965CE0" w:rsidP="00AC114E">
            <w:pPr>
              <w:spacing w:after="0"/>
              <w:rPr>
                <w:rFonts w:asciiTheme="majorHAnsi" w:hAnsiTheme="majorHAnsi"/>
                <w:b/>
                <w:sz w:val="18"/>
                <w:szCs w:val="18"/>
              </w:rPr>
            </w:pPr>
            <w:r>
              <w:rPr>
                <w:rFonts w:asciiTheme="majorHAnsi" w:hAnsiTheme="majorHAnsi"/>
                <w:b/>
                <w:sz w:val="18"/>
                <w:szCs w:val="18"/>
              </w:rPr>
              <w:t>CW site liaison</w:t>
            </w:r>
          </w:p>
        </w:tc>
        <w:tc>
          <w:tcPr>
            <w:tcW w:w="1350" w:type="dxa"/>
            <w:tcBorders>
              <w:top w:val="single" w:sz="12" w:space="0" w:color="000000"/>
              <w:bottom w:val="single" w:sz="12" w:space="0" w:color="000000"/>
            </w:tcBorders>
            <w:tcMar>
              <w:left w:w="58" w:type="dxa"/>
              <w:right w:w="43" w:type="dxa"/>
            </w:tcMar>
            <w:vAlign w:val="center"/>
          </w:tcPr>
          <w:p w14:paraId="5D3A5256" w14:textId="1C7A8DBF" w:rsidR="00965CE0" w:rsidRDefault="00965CE0" w:rsidP="00D32734">
            <w:pPr>
              <w:spacing w:after="0"/>
              <w:jc w:val="center"/>
              <w:rPr>
                <w:rFonts w:asciiTheme="majorHAnsi" w:hAnsiTheme="majorHAnsi"/>
                <w:sz w:val="20"/>
              </w:rPr>
            </w:pPr>
            <w:r>
              <w:rPr>
                <w:rFonts w:asciiTheme="majorHAnsi" w:hAnsiTheme="majorHAnsi"/>
                <w:sz w:val="20"/>
              </w:rPr>
              <w:t>6</w:t>
            </w:r>
          </w:p>
        </w:tc>
        <w:tc>
          <w:tcPr>
            <w:tcW w:w="135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21758583" w14:textId="249C96E1" w:rsidR="00965CE0" w:rsidRPr="00BA024C" w:rsidRDefault="00965CE0" w:rsidP="00D32734">
            <w:pPr>
              <w:spacing w:after="0"/>
              <w:jc w:val="center"/>
              <w:rPr>
                <w:rFonts w:asciiTheme="majorHAnsi" w:hAnsiTheme="majorHAnsi"/>
                <w:b/>
                <w:sz w:val="20"/>
              </w:rPr>
            </w:pPr>
            <w:r>
              <w:rPr>
                <w:rFonts w:asciiTheme="majorHAnsi" w:hAnsiTheme="majorHAnsi"/>
                <w:b/>
                <w:sz w:val="20"/>
              </w:rPr>
              <w:t>1</w:t>
            </w:r>
          </w:p>
        </w:tc>
        <w:tc>
          <w:tcPr>
            <w:tcW w:w="144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348FA505" w14:textId="503A0F58" w:rsidR="00965CE0" w:rsidRPr="00BA024C" w:rsidRDefault="00AA3B7F" w:rsidP="00D32734">
            <w:pPr>
              <w:spacing w:after="0"/>
              <w:jc w:val="center"/>
              <w:rPr>
                <w:rFonts w:asciiTheme="majorHAnsi" w:hAnsiTheme="majorHAnsi"/>
                <w:b/>
                <w:sz w:val="20"/>
              </w:rPr>
            </w:pPr>
            <w:r>
              <w:rPr>
                <w:rFonts w:asciiTheme="majorHAnsi" w:hAnsiTheme="majorHAnsi"/>
                <w:b/>
                <w:sz w:val="20"/>
              </w:rPr>
              <w:t>180</w:t>
            </w:r>
          </w:p>
        </w:tc>
        <w:tc>
          <w:tcPr>
            <w:tcW w:w="900" w:type="dxa"/>
            <w:tcBorders>
              <w:top w:val="single" w:sz="12" w:space="0" w:color="000000"/>
              <w:bottom w:val="single" w:sz="12" w:space="0" w:color="000000"/>
            </w:tcBorders>
            <w:shd w:val="clear" w:color="auto" w:fill="auto"/>
            <w:tcMar>
              <w:left w:w="58" w:type="dxa"/>
              <w:right w:w="43" w:type="dxa"/>
            </w:tcMar>
            <w:vAlign w:val="center"/>
          </w:tcPr>
          <w:p w14:paraId="05BA6DA9" w14:textId="5D40DBA1" w:rsidR="00965CE0" w:rsidRPr="00BA024C" w:rsidRDefault="00AA3B7F" w:rsidP="005C4780">
            <w:pPr>
              <w:spacing w:after="0"/>
              <w:jc w:val="center"/>
              <w:rPr>
                <w:rFonts w:asciiTheme="majorHAnsi" w:hAnsiTheme="majorHAnsi"/>
                <w:sz w:val="20"/>
              </w:rPr>
            </w:pPr>
            <w:r>
              <w:rPr>
                <w:rFonts w:asciiTheme="majorHAnsi" w:hAnsiTheme="majorHAnsi"/>
                <w:sz w:val="20"/>
              </w:rPr>
              <w:t>18</w:t>
            </w:r>
          </w:p>
        </w:tc>
        <w:tc>
          <w:tcPr>
            <w:tcW w:w="90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5C0DB2C0" w14:textId="3C3ABAA6" w:rsidR="00965CE0" w:rsidRPr="004371F2" w:rsidRDefault="004B478C" w:rsidP="00D32734">
            <w:pPr>
              <w:spacing w:after="0"/>
              <w:jc w:val="center"/>
              <w:rPr>
                <w:rFonts w:asciiTheme="majorHAnsi" w:hAnsiTheme="majorHAnsi"/>
                <w:b/>
                <w:sz w:val="20"/>
              </w:rPr>
            </w:pPr>
            <w:r>
              <w:rPr>
                <w:rFonts w:asciiTheme="majorHAnsi" w:hAnsiTheme="majorHAnsi"/>
                <w:b/>
                <w:sz w:val="20"/>
              </w:rPr>
              <w:t>$28.56</w:t>
            </w:r>
          </w:p>
        </w:tc>
        <w:tc>
          <w:tcPr>
            <w:tcW w:w="1080" w:type="dxa"/>
            <w:tcBorders>
              <w:top w:val="single" w:sz="12" w:space="0" w:color="000000"/>
              <w:bottom w:val="single" w:sz="12" w:space="0" w:color="000000"/>
            </w:tcBorders>
            <w:tcMar>
              <w:left w:w="58" w:type="dxa"/>
              <w:right w:w="43" w:type="dxa"/>
            </w:tcMar>
            <w:vAlign w:val="center"/>
          </w:tcPr>
          <w:p w14:paraId="148F5F19" w14:textId="570ED5D2" w:rsidR="00965CE0" w:rsidRDefault="004B478C" w:rsidP="00E766CC">
            <w:pPr>
              <w:spacing w:after="0"/>
              <w:jc w:val="center"/>
              <w:rPr>
                <w:rFonts w:asciiTheme="majorHAnsi" w:hAnsiTheme="majorHAnsi"/>
                <w:sz w:val="20"/>
              </w:rPr>
            </w:pPr>
            <w:r>
              <w:rPr>
                <w:rFonts w:asciiTheme="majorHAnsi" w:hAnsiTheme="majorHAnsi"/>
                <w:sz w:val="20"/>
              </w:rPr>
              <w:t>$</w:t>
            </w:r>
            <w:r w:rsidR="00E766CC">
              <w:rPr>
                <w:rFonts w:asciiTheme="majorHAnsi" w:hAnsiTheme="majorHAnsi"/>
                <w:sz w:val="20"/>
              </w:rPr>
              <w:t>514</w:t>
            </w:r>
          </w:p>
        </w:tc>
      </w:tr>
      <w:tr w:rsidR="0092022B" w:rsidRPr="004371F2" w14:paraId="7C29012B" w14:textId="77777777" w:rsidTr="00AA3B7F">
        <w:trPr>
          <w:trHeight w:hRule="exact" w:val="543"/>
          <w:jc w:val="center"/>
        </w:trPr>
        <w:tc>
          <w:tcPr>
            <w:tcW w:w="2317" w:type="dxa"/>
            <w:tcBorders>
              <w:top w:val="single" w:sz="12" w:space="0" w:color="000000"/>
              <w:bottom w:val="single" w:sz="12" w:space="0" w:color="000000"/>
            </w:tcBorders>
            <w:tcMar>
              <w:left w:w="58" w:type="dxa"/>
              <w:right w:w="43" w:type="dxa"/>
            </w:tcMar>
            <w:vAlign w:val="center"/>
          </w:tcPr>
          <w:p w14:paraId="722FB1AD" w14:textId="77777777" w:rsidR="00D31D3B" w:rsidRPr="00C73CED" w:rsidRDefault="00D31D3B" w:rsidP="00D32734">
            <w:pPr>
              <w:spacing w:after="0"/>
              <w:jc w:val="right"/>
              <w:rPr>
                <w:rFonts w:asciiTheme="majorHAnsi" w:hAnsiTheme="majorHAnsi"/>
                <w:b/>
                <w:sz w:val="18"/>
                <w:szCs w:val="18"/>
              </w:rPr>
            </w:pPr>
            <w:r w:rsidRPr="00C73CED">
              <w:rPr>
                <w:rFonts w:asciiTheme="majorHAnsi" w:hAnsiTheme="majorHAnsi"/>
                <w:b/>
                <w:sz w:val="18"/>
                <w:szCs w:val="18"/>
              </w:rPr>
              <w:t>STUDY 2 TOTALS</w:t>
            </w:r>
          </w:p>
        </w:tc>
        <w:tc>
          <w:tcPr>
            <w:tcW w:w="1350" w:type="dxa"/>
            <w:tcBorders>
              <w:top w:val="single" w:sz="12" w:space="0" w:color="000000"/>
              <w:bottom w:val="single" w:sz="12" w:space="0" w:color="000000"/>
            </w:tcBorders>
            <w:tcMar>
              <w:left w:w="58" w:type="dxa"/>
              <w:right w:w="43" w:type="dxa"/>
            </w:tcMar>
            <w:vAlign w:val="center"/>
          </w:tcPr>
          <w:p w14:paraId="2AC03781" w14:textId="65D681BF" w:rsidR="00D31D3B" w:rsidRPr="00BA024C" w:rsidRDefault="00965CE0" w:rsidP="00D32734">
            <w:pPr>
              <w:spacing w:after="0"/>
              <w:jc w:val="center"/>
              <w:rPr>
                <w:rFonts w:asciiTheme="majorHAnsi" w:hAnsiTheme="majorHAnsi"/>
                <w:sz w:val="20"/>
              </w:rPr>
            </w:pPr>
            <w:r>
              <w:rPr>
                <w:rFonts w:asciiTheme="majorHAnsi" w:hAnsiTheme="majorHAnsi"/>
                <w:sz w:val="20"/>
              </w:rPr>
              <w:t>354</w:t>
            </w:r>
          </w:p>
        </w:tc>
        <w:tc>
          <w:tcPr>
            <w:tcW w:w="135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2B1E1ADE" w14:textId="77777777" w:rsidR="00D31D3B" w:rsidRPr="00BA024C" w:rsidRDefault="00D31D3B" w:rsidP="00D32734">
            <w:pPr>
              <w:spacing w:after="0"/>
              <w:jc w:val="center"/>
              <w:rPr>
                <w:rFonts w:asciiTheme="majorHAnsi" w:hAnsiTheme="majorHAnsi"/>
                <w:b/>
                <w:sz w:val="20"/>
              </w:rPr>
            </w:pPr>
          </w:p>
        </w:tc>
        <w:tc>
          <w:tcPr>
            <w:tcW w:w="144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3CF989AB" w14:textId="77777777" w:rsidR="00D31D3B" w:rsidRPr="00BA024C" w:rsidRDefault="00D31D3B" w:rsidP="00D32734">
            <w:pPr>
              <w:spacing w:after="0"/>
              <w:jc w:val="center"/>
              <w:rPr>
                <w:rFonts w:asciiTheme="majorHAnsi" w:hAnsiTheme="majorHAnsi"/>
                <w:b/>
                <w:sz w:val="20"/>
              </w:rPr>
            </w:pPr>
          </w:p>
        </w:tc>
        <w:tc>
          <w:tcPr>
            <w:tcW w:w="900" w:type="dxa"/>
            <w:tcBorders>
              <w:top w:val="single" w:sz="12" w:space="0" w:color="000000"/>
              <w:bottom w:val="single" w:sz="12" w:space="0" w:color="000000"/>
            </w:tcBorders>
            <w:shd w:val="clear" w:color="auto" w:fill="auto"/>
            <w:tcMar>
              <w:left w:w="58" w:type="dxa"/>
              <w:right w:w="43" w:type="dxa"/>
            </w:tcMar>
            <w:vAlign w:val="center"/>
          </w:tcPr>
          <w:p w14:paraId="4C2348DA" w14:textId="371D2EB2" w:rsidR="00D31D3B" w:rsidRPr="00BA024C" w:rsidRDefault="00E766CC" w:rsidP="00E766CC">
            <w:pPr>
              <w:spacing w:after="0"/>
              <w:jc w:val="center"/>
              <w:rPr>
                <w:rFonts w:asciiTheme="majorHAnsi" w:hAnsiTheme="majorHAnsi"/>
                <w:sz w:val="20"/>
              </w:rPr>
            </w:pPr>
            <w:r>
              <w:rPr>
                <w:rFonts w:asciiTheme="majorHAnsi" w:hAnsiTheme="majorHAnsi"/>
                <w:sz w:val="20"/>
              </w:rPr>
              <w:t>503</w:t>
            </w:r>
          </w:p>
        </w:tc>
        <w:tc>
          <w:tcPr>
            <w:tcW w:w="900" w:type="dxa"/>
            <w:tcBorders>
              <w:top w:val="single" w:sz="12" w:space="0" w:color="000000"/>
              <w:bottom w:val="single" w:sz="12" w:space="0" w:color="000000"/>
            </w:tcBorders>
            <w:shd w:val="clear" w:color="auto" w:fill="A6A6A6" w:themeFill="background1" w:themeFillShade="A6"/>
            <w:tcMar>
              <w:left w:w="58" w:type="dxa"/>
              <w:right w:w="43" w:type="dxa"/>
            </w:tcMar>
            <w:vAlign w:val="center"/>
          </w:tcPr>
          <w:p w14:paraId="00AEA3F9" w14:textId="77777777" w:rsidR="00D31D3B" w:rsidRPr="004371F2" w:rsidRDefault="00D31D3B" w:rsidP="00D32734">
            <w:pPr>
              <w:spacing w:after="0"/>
              <w:jc w:val="center"/>
              <w:rPr>
                <w:rFonts w:asciiTheme="majorHAnsi" w:hAnsiTheme="majorHAnsi"/>
                <w:b/>
                <w:sz w:val="20"/>
              </w:rPr>
            </w:pPr>
          </w:p>
        </w:tc>
        <w:tc>
          <w:tcPr>
            <w:tcW w:w="1080" w:type="dxa"/>
            <w:tcBorders>
              <w:top w:val="single" w:sz="12" w:space="0" w:color="000000"/>
              <w:bottom w:val="single" w:sz="12" w:space="0" w:color="000000"/>
            </w:tcBorders>
            <w:tcMar>
              <w:left w:w="58" w:type="dxa"/>
              <w:right w:w="43" w:type="dxa"/>
            </w:tcMar>
            <w:vAlign w:val="center"/>
          </w:tcPr>
          <w:p w14:paraId="46D53397" w14:textId="20F407BE" w:rsidR="00D31D3B" w:rsidRPr="004371F2" w:rsidRDefault="002D3E80" w:rsidP="00E766CC">
            <w:pPr>
              <w:spacing w:after="0"/>
              <w:jc w:val="center"/>
              <w:rPr>
                <w:rFonts w:asciiTheme="majorHAnsi" w:hAnsiTheme="majorHAnsi"/>
                <w:sz w:val="20"/>
              </w:rPr>
            </w:pPr>
            <w:r>
              <w:rPr>
                <w:rFonts w:asciiTheme="majorHAnsi" w:hAnsiTheme="majorHAnsi"/>
                <w:sz w:val="20"/>
              </w:rPr>
              <w:t>$</w:t>
            </w:r>
            <w:r w:rsidR="00E766CC">
              <w:rPr>
                <w:rFonts w:asciiTheme="majorHAnsi" w:hAnsiTheme="majorHAnsi"/>
                <w:sz w:val="20"/>
              </w:rPr>
              <w:t>9,315</w:t>
            </w:r>
          </w:p>
        </w:tc>
      </w:tr>
      <w:tr w:rsidR="00D31D3B" w:rsidRPr="004371F2" w14:paraId="53E0329C" w14:textId="77777777" w:rsidTr="00AA7F72">
        <w:trPr>
          <w:trHeight w:hRule="exact" w:val="271"/>
          <w:jc w:val="center"/>
        </w:trPr>
        <w:tc>
          <w:tcPr>
            <w:tcW w:w="9337" w:type="dxa"/>
            <w:gridSpan w:val="7"/>
            <w:tcBorders>
              <w:top w:val="single" w:sz="12" w:space="0" w:color="000000"/>
              <w:bottom w:val="single" w:sz="12" w:space="0" w:color="000000"/>
            </w:tcBorders>
            <w:shd w:val="clear" w:color="auto" w:fill="D9D9D9" w:themeFill="background1" w:themeFillShade="D9"/>
            <w:tcMar>
              <w:left w:w="58" w:type="dxa"/>
              <w:right w:w="43" w:type="dxa"/>
            </w:tcMar>
            <w:vAlign w:val="center"/>
          </w:tcPr>
          <w:p w14:paraId="4C1EC7B4" w14:textId="77777777" w:rsidR="00D31D3B" w:rsidRPr="00BA024C" w:rsidRDefault="00D31D3B" w:rsidP="00D32734">
            <w:pPr>
              <w:spacing w:after="0"/>
              <w:jc w:val="center"/>
              <w:rPr>
                <w:rFonts w:asciiTheme="majorHAnsi" w:hAnsiTheme="majorHAnsi"/>
                <w:sz w:val="18"/>
                <w:szCs w:val="18"/>
              </w:rPr>
            </w:pPr>
          </w:p>
        </w:tc>
      </w:tr>
      <w:tr w:rsidR="0092022B" w:rsidRPr="004371F2" w14:paraId="51B6B88A" w14:textId="77777777" w:rsidTr="00AA3B7F">
        <w:trPr>
          <w:trHeight w:hRule="exact" w:val="534"/>
          <w:jc w:val="center"/>
        </w:trPr>
        <w:tc>
          <w:tcPr>
            <w:tcW w:w="2317" w:type="dxa"/>
            <w:tcBorders>
              <w:top w:val="single" w:sz="12" w:space="0" w:color="000000"/>
            </w:tcBorders>
            <w:tcMar>
              <w:left w:w="58" w:type="dxa"/>
              <w:right w:w="43" w:type="dxa"/>
            </w:tcMar>
            <w:vAlign w:val="center"/>
          </w:tcPr>
          <w:p w14:paraId="5B026BED" w14:textId="77777777" w:rsidR="00D31D3B" w:rsidRPr="00C73CED" w:rsidRDefault="00D31D3B" w:rsidP="00D32734">
            <w:pPr>
              <w:spacing w:after="0"/>
              <w:jc w:val="right"/>
              <w:rPr>
                <w:rFonts w:asciiTheme="majorHAnsi" w:hAnsiTheme="majorHAnsi"/>
                <w:b/>
                <w:sz w:val="18"/>
                <w:szCs w:val="18"/>
              </w:rPr>
            </w:pPr>
            <w:r w:rsidRPr="00C73CED">
              <w:rPr>
                <w:rFonts w:asciiTheme="majorHAnsi" w:hAnsiTheme="majorHAnsi"/>
                <w:b/>
                <w:sz w:val="18"/>
                <w:szCs w:val="18"/>
              </w:rPr>
              <w:t>COMBINED TOTAL</w:t>
            </w:r>
          </w:p>
        </w:tc>
        <w:tc>
          <w:tcPr>
            <w:tcW w:w="1350" w:type="dxa"/>
            <w:tcBorders>
              <w:top w:val="single" w:sz="12" w:space="0" w:color="000000"/>
            </w:tcBorders>
            <w:tcMar>
              <w:left w:w="58" w:type="dxa"/>
              <w:right w:w="43" w:type="dxa"/>
            </w:tcMar>
            <w:vAlign w:val="center"/>
          </w:tcPr>
          <w:p w14:paraId="06F35A76" w14:textId="4CD9D5C5" w:rsidR="00D31D3B" w:rsidRPr="00BA024C" w:rsidRDefault="00AA3B7F" w:rsidP="00D32734">
            <w:pPr>
              <w:spacing w:after="0"/>
              <w:jc w:val="center"/>
              <w:rPr>
                <w:rFonts w:asciiTheme="majorHAnsi" w:hAnsiTheme="majorHAnsi"/>
                <w:sz w:val="20"/>
              </w:rPr>
            </w:pPr>
            <w:r>
              <w:rPr>
                <w:rFonts w:asciiTheme="majorHAnsi" w:hAnsiTheme="majorHAnsi"/>
                <w:sz w:val="20"/>
              </w:rPr>
              <w:t>498</w:t>
            </w:r>
          </w:p>
        </w:tc>
        <w:tc>
          <w:tcPr>
            <w:tcW w:w="1350" w:type="dxa"/>
            <w:tcBorders>
              <w:top w:val="single" w:sz="12" w:space="0" w:color="000000"/>
            </w:tcBorders>
            <w:shd w:val="clear" w:color="auto" w:fill="A6A6A6" w:themeFill="background1" w:themeFillShade="A6"/>
            <w:tcMar>
              <w:left w:w="58" w:type="dxa"/>
              <w:right w:w="43" w:type="dxa"/>
            </w:tcMar>
            <w:vAlign w:val="center"/>
          </w:tcPr>
          <w:p w14:paraId="40E221E8" w14:textId="77777777" w:rsidR="00D31D3B" w:rsidRPr="00BA024C" w:rsidRDefault="00D31D3B" w:rsidP="00D32734">
            <w:pPr>
              <w:spacing w:after="0"/>
              <w:jc w:val="center"/>
              <w:rPr>
                <w:rFonts w:asciiTheme="majorHAnsi" w:hAnsiTheme="majorHAnsi"/>
                <w:b/>
                <w:sz w:val="20"/>
              </w:rPr>
            </w:pPr>
          </w:p>
        </w:tc>
        <w:tc>
          <w:tcPr>
            <w:tcW w:w="1440" w:type="dxa"/>
            <w:tcBorders>
              <w:top w:val="single" w:sz="12" w:space="0" w:color="000000"/>
            </w:tcBorders>
            <w:shd w:val="clear" w:color="auto" w:fill="A6A6A6" w:themeFill="background1" w:themeFillShade="A6"/>
            <w:tcMar>
              <w:left w:w="58" w:type="dxa"/>
              <w:right w:w="43" w:type="dxa"/>
            </w:tcMar>
            <w:vAlign w:val="center"/>
          </w:tcPr>
          <w:p w14:paraId="3E3B8E3C" w14:textId="77777777" w:rsidR="00D31D3B" w:rsidRPr="00BA024C" w:rsidRDefault="00D31D3B" w:rsidP="00D32734">
            <w:pPr>
              <w:spacing w:after="0"/>
              <w:jc w:val="center"/>
              <w:rPr>
                <w:rFonts w:asciiTheme="majorHAnsi" w:hAnsiTheme="majorHAnsi"/>
                <w:b/>
                <w:sz w:val="20"/>
              </w:rPr>
            </w:pPr>
          </w:p>
        </w:tc>
        <w:tc>
          <w:tcPr>
            <w:tcW w:w="900" w:type="dxa"/>
            <w:tcBorders>
              <w:top w:val="single" w:sz="12" w:space="0" w:color="000000"/>
            </w:tcBorders>
            <w:shd w:val="clear" w:color="auto" w:fill="auto"/>
            <w:tcMar>
              <w:left w:w="58" w:type="dxa"/>
              <w:right w:w="43" w:type="dxa"/>
            </w:tcMar>
            <w:vAlign w:val="center"/>
          </w:tcPr>
          <w:p w14:paraId="0DCC5C2E" w14:textId="5BEAC6EC" w:rsidR="00D31D3B" w:rsidRPr="00BA024C" w:rsidRDefault="00E766CC" w:rsidP="00D32734">
            <w:pPr>
              <w:spacing w:after="0"/>
              <w:jc w:val="center"/>
              <w:rPr>
                <w:rFonts w:asciiTheme="majorHAnsi" w:hAnsiTheme="majorHAnsi"/>
                <w:sz w:val="20"/>
              </w:rPr>
            </w:pPr>
            <w:r>
              <w:rPr>
                <w:rFonts w:asciiTheme="majorHAnsi" w:hAnsiTheme="majorHAnsi"/>
                <w:sz w:val="20"/>
              </w:rPr>
              <w:t>707</w:t>
            </w:r>
          </w:p>
        </w:tc>
        <w:tc>
          <w:tcPr>
            <w:tcW w:w="900" w:type="dxa"/>
            <w:tcBorders>
              <w:top w:val="single" w:sz="12" w:space="0" w:color="000000"/>
            </w:tcBorders>
            <w:shd w:val="clear" w:color="auto" w:fill="A6A6A6" w:themeFill="background1" w:themeFillShade="A6"/>
            <w:tcMar>
              <w:left w:w="58" w:type="dxa"/>
              <w:right w:w="43" w:type="dxa"/>
            </w:tcMar>
            <w:vAlign w:val="center"/>
          </w:tcPr>
          <w:p w14:paraId="73F91604" w14:textId="77777777" w:rsidR="00D31D3B" w:rsidRPr="004371F2" w:rsidRDefault="00D31D3B" w:rsidP="00D32734">
            <w:pPr>
              <w:spacing w:after="0"/>
              <w:jc w:val="center"/>
              <w:rPr>
                <w:rFonts w:asciiTheme="majorHAnsi" w:hAnsiTheme="majorHAnsi"/>
                <w:b/>
                <w:sz w:val="20"/>
              </w:rPr>
            </w:pPr>
          </w:p>
        </w:tc>
        <w:tc>
          <w:tcPr>
            <w:tcW w:w="1080" w:type="dxa"/>
            <w:tcBorders>
              <w:top w:val="single" w:sz="12" w:space="0" w:color="000000"/>
            </w:tcBorders>
            <w:tcMar>
              <w:left w:w="58" w:type="dxa"/>
              <w:right w:w="43" w:type="dxa"/>
            </w:tcMar>
            <w:vAlign w:val="center"/>
          </w:tcPr>
          <w:p w14:paraId="35CE9855" w14:textId="1CBB7F46" w:rsidR="00D31D3B" w:rsidRPr="004371F2" w:rsidRDefault="00E766CC" w:rsidP="00E766CC">
            <w:pPr>
              <w:spacing w:after="0"/>
              <w:jc w:val="center"/>
              <w:rPr>
                <w:rFonts w:asciiTheme="majorHAnsi" w:hAnsiTheme="majorHAnsi"/>
                <w:sz w:val="20"/>
              </w:rPr>
            </w:pPr>
            <w:r>
              <w:rPr>
                <w:rFonts w:asciiTheme="majorHAnsi" w:hAnsiTheme="majorHAnsi"/>
                <w:sz w:val="20"/>
              </w:rPr>
              <w:t>15,230</w:t>
            </w:r>
          </w:p>
        </w:tc>
      </w:tr>
    </w:tbl>
    <w:p w14:paraId="69D260CB" w14:textId="77777777" w:rsidR="00D31D3B" w:rsidRPr="00356578" w:rsidRDefault="00D31D3B" w:rsidP="00D31D3B">
      <w:pPr>
        <w:pStyle w:val="BodyTextIndent"/>
        <w:tabs>
          <w:tab w:val="left" w:pos="360"/>
        </w:tabs>
        <w:spacing w:before="60" w:after="120"/>
        <w:ind w:left="0"/>
        <w:rPr>
          <w:bCs/>
          <w:sz w:val="18"/>
          <w:szCs w:val="18"/>
        </w:rPr>
      </w:pPr>
      <w:r w:rsidRPr="00356578">
        <w:rPr>
          <w:color w:val="000000"/>
          <w:sz w:val="18"/>
          <w:szCs w:val="18"/>
          <w:vertAlign w:val="superscript"/>
        </w:rPr>
        <w:t>1</w:t>
      </w:r>
      <w:r w:rsidRPr="00356578">
        <w:rPr>
          <w:color w:val="000000"/>
          <w:sz w:val="18"/>
          <w:szCs w:val="18"/>
        </w:rPr>
        <w:t xml:space="preserve">Estimates for the average hourly wage for respondents are based on the Department of Labor 2017 National Occupational Employment and Wage Estimates, March 30, 2018. Available at </w:t>
      </w:r>
      <w:hyperlink r:id="rId10" w:history="1">
        <w:r w:rsidRPr="00356578">
          <w:rPr>
            <w:color w:val="000000"/>
            <w:sz w:val="18"/>
            <w:szCs w:val="18"/>
          </w:rPr>
          <w:t>https://www.bls.gov/oes/current/oes_nat.htm</w:t>
        </w:r>
      </w:hyperlink>
      <w:r w:rsidRPr="00356578">
        <w:rPr>
          <w:color w:val="000000"/>
          <w:sz w:val="18"/>
          <w:szCs w:val="18"/>
        </w:rPr>
        <w:t>.</w:t>
      </w:r>
    </w:p>
    <w:p w14:paraId="6FFFC38E" w14:textId="0BD0B1B1" w:rsidR="002660A3" w:rsidRPr="007F07ED" w:rsidRDefault="002660A3" w:rsidP="000F6BE2">
      <w:pPr>
        <w:pStyle w:val="ListParagraph"/>
        <w:keepNext/>
        <w:numPr>
          <w:ilvl w:val="0"/>
          <w:numId w:val="3"/>
        </w:numPr>
        <w:autoSpaceDE w:val="0"/>
        <w:autoSpaceDN w:val="0"/>
        <w:adjustRightInd w:val="0"/>
        <w:spacing w:before="240" w:after="120" w:line="240" w:lineRule="auto"/>
        <w:ind w:right="720"/>
        <w:contextualSpacing w:val="0"/>
        <w:rPr>
          <w:rFonts w:asciiTheme="majorHAnsi" w:hAnsiTheme="majorHAnsi"/>
          <w:b/>
          <w:bCs/>
          <w:sz w:val="24"/>
          <w:szCs w:val="24"/>
        </w:rPr>
      </w:pPr>
      <w:r w:rsidRPr="007F07ED">
        <w:rPr>
          <w:rFonts w:asciiTheme="majorHAnsi" w:hAnsiTheme="majorHAnsi"/>
          <w:b/>
          <w:bCs/>
          <w:sz w:val="24"/>
          <w:szCs w:val="24"/>
        </w:rPr>
        <w:t>Estimates of Other Total Annual Cost Burden to Respondents or Record Keepers</w:t>
      </w:r>
    </w:p>
    <w:p w14:paraId="31D7FA83" w14:textId="0147307A" w:rsidR="00D24284" w:rsidRDefault="002660A3" w:rsidP="00B76373">
      <w:pPr>
        <w:pStyle w:val="CM89"/>
        <w:ind w:left="360"/>
        <w:rPr>
          <w:rFonts w:asciiTheme="majorHAnsi" w:hAnsiTheme="majorHAnsi" w:cs="Times New Roman"/>
          <w:color w:val="000000"/>
        </w:rPr>
      </w:pPr>
      <w:r w:rsidRPr="007F07ED">
        <w:rPr>
          <w:rFonts w:asciiTheme="majorHAnsi" w:hAnsiTheme="majorHAnsi" w:cs="Times New Roman"/>
          <w:color w:val="000000"/>
        </w:rPr>
        <w:t>There will be no direct costs to the respondents other than their time to participate in each data collection.</w:t>
      </w:r>
    </w:p>
    <w:p w14:paraId="231B58FE" w14:textId="77777777" w:rsidR="00D13A33" w:rsidRPr="00D13A33" w:rsidRDefault="00D13A33" w:rsidP="00D13A33">
      <w:pPr>
        <w:pStyle w:val="Default"/>
      </w:pPr>
    </w:p>
    <w:p w14:paraId="74A08E18" w14:textId="420324BA" w:rsidR="00B12F51" w:rsidRPr="007F07ED" w:rsidRDefault="0088467A" w:rsidP="00D558F8">
      <w:pPr>
        <w:pStyle w:val="ListParagraph"/>
        <w:numPr>
          <w:ilvl w:val="0"/>
          <w:numId w:val="3"/>
        </w:numPr>
        <w:autoSpaceDE w:val="0"/>
        <w:autoSpaceDN w:val="0"/>
        <w:adjustRightInd w:val="0"/>
        <w:spacing w:after="120" w:line="240" w:lineRule="auto"/>
        <w:ind w:right="720"/>
        <w:contextualSpacing w:val="0"/>
        <w:rPr>
          <w:rFonts w:asciiTheme="majorHAnsi" w:hAnsiTheme="majorHAnsi"/>
          <w:b/>
          <w:sz w:val="24"/>
          <w:szCs w:val="24"/>
        </w:rPr>
      </w:pPr>
      <w:r w:rsidRPr="007F07ED">
        <w:rPr>
          <w:rFonts w:asciiTheme="majorHAnsi" w:hAnsiTheme="majorHAnsi"/>
          <w:b/>
          <w:bCs/>
          <w:sz w:val="24"/>
          <w:szCs w:val="24"/>
        </w:rPr>
        <w:t>Annualized Cost to the Government</w:t>
      </w:r>
      <w:r w:rsidR="00D75750" w:rsidRPr="007F07ED">
        <w:rPr>
          <w:rFonts w:asciiTheme="majorHAnsi" w:hAnsiTheme="majorHAnsi"/>
          <w:b/>
          <w:bCs/>
          <w:sz w:val="24"/>
          <w:szCs w:val="24"/>
        </w:rPr>
        <w:t xml:space="preserve"> </w:t>
      </w:r>
    </w:p>
    <w:p w14:paraId="3ABA052C" w14:textId="21D53BC6" w:rsidR="0076154A" w:rsidRPr="002D31D7" w:rsidRDefault="0076154A" w:rsidP="00023F0E">
      <w:pPr>
        <w:spacing w:line="240" w:lineRule="auto"/>
        <w:jc w:val="both"/>
        <w:rPr>
          <w:rFonts w:asciiTheme="majorHAnsi" w:hAnsiTheme="majorHAnsi"/>
          <w:b/>
          <w:bCs/>
          <w:sz w:val="24"/>
          <w:szCs w:val="24"/>
        </w:rPr>
      </w:pPr>
      <w:bookmarkStart w:id="1" w:name="_Toc472941601"/>
      <w:r w:rsidRPr="002D31D7">
        <w:rPr>
          <w:rFonts w:asciiTheme="majorHAnsi" w:hAnsiTheme="majorHAnsi"/>
          <w:sz w:val="24"/>
          <w:szCs w:val="24"/>
        </w:rPr>
        <w:t xml:space="preserve">The total annualized cost to the government </w:t>
      </w:r>
      <w:r w:rsidR="00570CA6">
        <w:rPr>
          <w:rFonts w:asciiTheme="majorHAnsi" w:hAnsiTheme="majorHAnsi"/>
          <w:sz w:val="24"/>
          <w:szCs w:val="24"/>
        </w:rPr>
        <w:t xml:space="preserve">across the two components </w:t>
      </w:r>
      <w:r w:rsidRPr="002D31D7">
        <w:rPr>
          <w:rFonts w:asciiTheme="majorHAnsi" w:hAnsiTheme="majorHAnsi"/>
          <w:sz w:val="24"/>
          <w:szCs w:val="24"/>
        </w:rPr>
        <w:t>is $</w:t>
      </w:r>
      <w:r w:rsidR="00D63636">
        <w:rPr>
          <w:rFonts w:asciiTheme="majorHAnsi" w:hAnsiTheme="majorHAnsi"/>
          <w:sz w:val="24"/>
          <w:szCs w:val="24"/>
        </w:rPr>
        <w:t>498,119</w:t>
      </w:r>
      <w:r w:rsidRPr="002D31D7">
        <w:rPr>
          <w:rFonts w:asciiTheme="majorHAnsi" w:hAnsiTheme="majorHAnsi"/>
          <w:sz w:val="24"/>
          <w:szCs w:val="24"/>
        </w:rPr>
        <w:t xml:space="preserve">. The breakdown of how that estimate was reached </w:t>
      </w:r>
      <w:r w:rsidR="00570CA6">
        <w:rPr>
          <w:rFonts w:asciiTheme="majorHAnsi" w:hAnsiTheme="majorHAnsi"/>
          <w:sz w:val="24"/>
          <w:szCs w:val="24"/>
        </w:rPr>
        <w:t xml:space="preserve">for each component </w:t>
      </w:r>
      <w:r w:rsidRPr="002D31D7">
        <w:rPr>
          <w:rFonts w:asciiTheme="majorHAnsi" w:hAnsiTheme="majorHAnsi"/>
          <w:sz w:val="24"/>
          <w:szCs w:val="24"/>
        </w:rPr>
        <w:t>is below.</w:t>
      </w:r>
      <w:bookmarkEnd w:id="1"/>
    </w:p>
    <w:p w14:paraId="66627DF0" w14:textId="70839A5E" w:rsidR="00023F0E" w:rsidRPr="002D31D7" w:rsidRDefault="00023F0E" w:rsidP="00504E78">
      <w:pPr>
        <w:pStyle w:val="ListParagraph"/>
        <w:numPr>
          <w:ilvl w:val="0"/>
          <w:numId w:val="24"/>
        </w:numPr>
        <w:spacing w:line="240" w:lineRule="auto"/>
        <w:contextualSpacing w:val="0"/>
        <w:rPr>
          <w:rFonts w:asciiTheme="majorHAnsi" w:hAnsiTheme="majorHAnsi"/>
          <w:color w:val="1F497D"/>
        </w:rPr>
      </w:pPr>
      <w:r w:rsidRPr="002D31D7">
        <w:rPr>
          <w:rFonts w:asciiTheme="majorHAnsi" w:hAnsiTheme="majorHAnsi"/>
          <w:sz w:val="24"/>
          <w:szCs w:val="24"/>
        </w:rPr>
        <w:t xml:space="preserve">Governmental costs for the </w:t>
      </w:r>
      <w:r>
        <w:rPr>
          <w:rFonts w:asciiTheme="majorHAnsi" w:hAnsiTheme="majorHAnsi"/>
          <w:i/>
          <w:sz w:val="24"/>
          <w:szCs w:val="24"/>
        </w:rPr>
        <w:t>Rural Communities</w:t>
      </w:r>
      <w:r w:rsidRPr="002D31D7">
        <w:rPr>
          <w:rFonts w:asciiTheme="majorHAnsi" w:hAnsiTheme="majorHAnsi"/>
          <w:i/>
          <w:sz w:val="24"/>
          <w:szCs w:val="24"/>
        </w:rPr>
        <w:t xml:space="preserve"> Substudy</w:t>
      </w:r>
      <w:r w:rsidRPr="002D31D7">
        <w:rPr>
          <w:rFonts w:asciiTheme="majorHAnsi" w:hAnsiTheme="majorHAnsi"/>
          <w:sz w:val="24"/>
          <w:szCs w:val="24"/>
        </w:rPr>
        <w:t xml:space="preserve"> project include personnel costs for federal staff</w:t>
      </w:r>
      <w:r>
        <w:rPr>
          <w:rFonts w:asciiTheme="majorHAnsi" w:hAnsiTheme="majorHAnsi"/>
          <w:sz w:val="24"/>
          <w:szCs w:val="24"/>
        </w:rPr>
        <w:t xml:space="preserve"> overseeing the project; data collection instrument and </w:t>
      </w:r>
      <w:r w:rsidRPr="002D31D7">
        <w:rPr>
          <w:rFonts w:asciiTheme="majorHAnsi" w:hAnsiTheme="majorHAnsi"/>
          <w:sz w:val="24"/>
          <w:szCs w:val="24"/>
        </w:rPr>
        <w:t xml:space="preserve">OMB </w:t>
      </w:r>
      <w:r>
        <w:rPr>
          <w:rFonts w:asciiTheme="majorHAnsi" w:hAnsiTheme="majorHAnsi"/>
          <w:sz w:val="24"/>
          <w:szCs w:val="24"/>
        </w:rPr>
        <w:t xml:space="preserve">materials development; and </w:t>
      </w:r>
      <w:r w:rsidRPr="002D31D7">
        <w:rPr>
          <w:rFonts w:asciiTheme="majorHAnsi" w:hAnsiTheme="majorHAnsi"/>
          <w:sz w:val="24"/>
          <w:szCs w:val="24"/>
        </w:rPr>
        <w:t>data collection</w:t>
      </w:r>
      <w:r>
        <w:rPr>
          <w:rFonts w:asciiTheme="majorHAnsi" w:hAnsiTheme="majorHAnsi"/>
          <w:sz w:val="24"/>
          <w:szCs w:val="24"/>
        </w:rPr>
        <w:t>,</w:t>
      </w:r>
      <w:r w:rsidRPr="002D31D7">
        <w:rPr>
          <w:rFonts w:asciiTheme="majorHAnsi" w:hAnsiTheme="majorHAnsi"/>
          <w:sz w:val="24"/>
          <w:szCs w:val="24"/>
        </w:rPr>
        <w:t xml:space="preserve"> analysis, and reporting. This level of effort includes approximately 10 percent of a GS-14 behavioral scientist’s time</w:t>
      </w:r>
      <w:r>
        <w:rPr>
          <w:rFonts w:asciiTheme="majorHAnsi" w:hAnsiTheme="majorHAnsi"/>
          <w:sz w:val="24"/>
          <w:szCs w:val="24"/>
        </w:rPr>
        <w:t xml:space="preserve"> (</w:t>
      </w:r>
      <w:r w:rsidRPr="002D31D7">
        <w:rPr>
          <w:rFonts w:asciiTheme="majorHAnsi" w:hAnsiTheme="majorHAnsi"/>
          <w:sz w:val="24"/>
          <w:szCs w:val="24"/>
        </w:rPr>
        <w:t>assuming a $97,400 annual salary</w:t>
      </w:r>
      <w:r>
        <w:rPr>
          <w:rFonts w:asciiTheme="majorHAnsi" w:hAnsiTheme="majorHAnsi"/>
          <w:sz w:val="24"/>
          <w:szCs w:val="24"/>
        </w:rPr>
        <w:t>, this totals</w:t>
      </w:r>
      <w:r w:rsidRPr="002D31D7">
        <w:rPr>
          <w:rFonts w:asciiTheme="majorHAnsi" w:hAnsiTheme="majorHAnsi"/>
          <w:sz w:val="24"/>
          <w:szCs w:val="24"/>
        </w:rPr>
        <w:t xml:space="preserve"> $19,480). </w:t>
      </w:r>
      <w:r w:rsidRPr="00F8236C">
        <w:rPr>
          <w:rFonts w:asciiTheme="majorHAnsi" w:hAnsiTheme="majorHAnsi"/>
          <w:sz w:val="24"/>
          <w:szCs w:val="24"/>
        </w:rPr>
        <w:t xml:space="preserve">There are no equipment or overhead costs; however, a contractor is being used to support </w:t>
      </w:r>
      <w:r>
        <w:rPr>
          <w:rFonts w:asciiTheme="majorHAnsi" w:hAnsiTheme="majorHAnsi"/>
          <w:sz w:val="24"/>
          <w:szCs w:val="24"/>
        </w:rPr>
        <w:t>this effort</w:t>
      </w:r>
      <w:r w:rsidRPr="00F8236C">
        <w:rPr>
          <w:rFonts w:asciiTheme="majorHAnsi" w:hAnsiTheme="majorHAnsi"/>
          <w:sz w:val="24"/>
          <w:szCs w:val="24"/>
        </w:rPr>
        <w:t xml:space="preserve">. The contract amount </w:t>
      </w:r>
      <w:r>
        <w:rPr>
          <w:rFonts w:asciiTheme="majorHAnsi" w:hAnsiTheme="majorHAnsi"/>
          <w:sz w:val="24"/>
          <w:szCs w:val="24"/>
        </w:rPr>
        <w:t>to plan, conduct, and analyze the</w:t>
      </w:r>
      <w:r w:rsidRPr="00F8236C">
        <w:rPr>
          <w:rFonts w:asciiTheme="majorHAnsi" w:hAnsiTheme="majorHAnsi"/>
          <w:sz w:val="24"/>
          <w:szCs w:val="24"/>
        </w:rPr>
        <w:t xml:space="preserve"> </w:t>
      </w:r>
      <w:r>
        <w:rPr>
          <w:rFonts w:asciiTheme="majorHAnsi" w:hAnsiTheme="majorHAnsi"/>
          <w:sz w:val="24"/>
          <w:szCs w:val="24"/>
        </w:rPr>
        <w:t>data</w:t>
      </w:r>
      <w:r w:rsidRPr="00F8236C">
        <w:rPr>
          <w:rFonts w:asciiTheme="majorHAnsi" w:hAnsiTheme="majorHAnsi"/>
          <w:sz w:val="24"/>
          <w:szCs w:val="24"/>
        </w:rPr>
        <w:t xml:space="preserve"> is $</w:t>
      </w:r>
      <w:r w:rsidR="00504E78" w:rsidRPr="00504E78">
        <w:rPr>
          <w:rFonts w:asciiTheme="majorHAnsi" w:hAnsiTheme="majorHAnsi"/>
          <w:sz w:val="24"/>
          <w:szCs w:val="24"/>
        </w:rPr>
        <w:t>274,972</w:t>
      </w:r>
      <w:r w:rsidRPr="00F8236C">
        <w:rPr>
          <w:rFonts w:asciiTheme="majorHAnsi" w:hAnsiTheme="majorHAnsi"/>
          <w:sz w:val="24"/>
          <w:szCs w:val="24"/>
        </w:rPr>
        <w:t xml:space="preserve">. Thus, the total cost to the government for the </w:t>
      </w:r>
      <w:r>
        <w:rPr>
          <w:rFonts w:asciiTheme="majorHAnsi" w:hAnsiTheme="majorHAnsi"/>
          <w:sz w:val="24"/>
          <w:szCs w:val="24"/>
        </w:rPr>
        <w:t xml:space="preserve">RCS </w:t>
      </w:r>
      <w:r w:rsidRPr="00F8236C">
        <w:rPr>
          <w:rFonts w:asciiTheme="majorHAnsi" w:hAnsiTheme="majorHAnsi"/>
          <w:sz w:val="24"/>
          <w:szCs w:val="24"/>
        </w:rPr>
        <w:t>is $</w:t>
      </w:r>
      <w:r w:rsidR="00504E78">
        <w:rPr>
          <w:rFonts w:asciiTheme="majorHAnsi" w:hAnsiTheme="majorHAnsi"/>
          <w:sz w:val="24"/>
          <w:szCs w:val="24"/>
        </w:rPr>
        <w:t>294,452</w:t>
      </w:r>
      <w:r w:rsidRPr="00F8236C">
        <w:rPr>
          <w:rFonts w:asciiTheme="majorHAnsi" w:hAnsiTheme="majorHAnsi"/>
          <w:sz w:val="24"/>
          <w:szCs w:val="24"/>
        </w:rPr>
        <w:t>.</w:t>
      </w:r>
    </w:p>
    <w:p w14:paraId="0D652AED" w14:textId="74AA0D39" w:rsidR="0076154A" w:rsidRPr="002D31D7" w:rsidRDefault="0076154A" w:rsidP="002D31D7">
      <w:pPr>
        <w:pStyle w:val="ListParagraph"/>
        <w:numPr>
          <w:ilvl w:val="0"/>
          <w:numId w:val="24"/>
        </w:numPr>
        <w:spacing w:line="240" w:lineRule="auto"/>
        <w:contextualSpacing w:val="0"/>
        <w:rPr>
          <w:rFonts w:asciiTheme="majorHAnsi" w:hAnsiTheme="majorHAnsi"/>
          <w:color w:val="1F497D"/>
        </w:rPr>
      </w:pPr>
      <w:r w:rsidRPr="002D31D7">
        <w:rPr>
          <w:rFonts w:asciiTheme="majorHAnsi" w:hAnsiTheme="majorHAnsi"/>
          <w:sz w:val="24"/>
          <w:szCs w:val="24"/>
        </w:rPr>
        <w:t xml:space="preserve">Governmental costs for </w:t>
      </w:r>
      <w:r w:rsidR="002D31D7" w:rsidRPr="002D31D7">
        <w:rPr>
          <w:rFonts w:asciiTheme="majorHAnsi" w:hAnsiTheme="majorHAnsi"/>
          <w:sz w:val="24"/>
          <w:szCs w:val="24"/>
        </w:rPr>
        <w:t xml:space="preserve">the </w:t>
      </w:r>
      <w:r w:rsidR="002D31D7" w:rsidRPr="002D31D7">
        <w:rPr>
          <w:rFonts w:asciiTheme="majorHAnsi" w:hAnsiTheme="majorHAnsi"/>
          <w:i/>
          <w:sz w:val="24"/>
          <w:szCs w:val="24"/>
        </w:rPr>
        <w:t>Community Burden Substudy</w:t>
      </w:r>
      <w:r w:rsidRPr="002D31D7">
        <w:rPr>
          <w:rFonts w:asciiTheme="majorHAnsi" w:hAnsiTheme="majorHAnsi"/>
          <w:sz w:val="24"/>
          <w:szCs w:val="24"/>
        </w:rPr>
        <w:t xml:space="preserve"> project include personnel costs for federal staff</w:t>
      </w:r>
      <w:r w:rsidR="002549FA">
        <w:rPr>
          <w:rFonts w:asciiTheme="majorHAnsi" w:hAnsiTheme="majorHAnsi"/>
          <w:sz w:val="24"/>
          <w:szCs w:val="24"/>
        </w:rPr>
        <w:t xml:space="preserve"> overseeing the project</w:t>
      </w:r>
      <w:r w:rsidR="00023F0E">
        <w:rPr>
          <w:rFonts w:asciiTheme="majorHAnsi" w:hAnsiTheme="majorHAnsi"/>
          <w:sz w:val="24"/>
          <w:szCs w:val="24"/>
        </w:rPr>
        <w:t xml:space="preserve">; data collection </w:t>
      </w:r>
      <w:r w:rsidR="002549FA">
        <w:rPr>
          <w:rFonts w:asciiTheme="majorHAnsi" w:hAnsiTheme="majorHAnsi"/>
          <w:sz w:val="24"/>
          <w:szCs w:val="24"/>
        </w:rPr>
        <w:t xml:space="preserve">instrument and </w:t>
      </w:r>
      <w:r w:rsidRPr="002D31D7">
        <w:rPr>
          <w:rFonts w:asciiTheme="majorHAnsi" w:hAnsiTheme="majorHAnsi"/>
          <w:sz w:val="24"/>
          <w:szCs w:val="24"/>
        </w:rPr>
        <w:t xml:space="preserve">OMB </w:t>
      </w:r>
      <w:r w:rsidR="002549FA">
        <w:rPr>
          <w:rFonts w:asciiTheme="majorHAnsi" w:hAnsiTheme="majorHAnsi"/>
          <w:sz w:val="24"/>
          <w:szCs w:val="24"/>
        </w:rPr>
        <w:t>materials</w:t>
      </w:r>
      <w:r w:rsidR="00023F0E">
        <w:rPr>
          <w:rFonts w:asciiTheme="majorHAnsi" w:hAnsiTheme="majorHAnsi"/>
          <w:sz w:val="24"/>
          <w:szCs w:val="24"/>
        </w:rPr>
        <w:t xml:space="preserve"> development; and </w:t>
      </w:r>
      <w:r w:rsidRPr="002D31D7">
        <w:rPr>
          <w:rFonts w:asciiTheme="majorHAnsi" w:hAnsiTheme="majorHAnsi"/>
          <w:sz w:val="24"/>
          <w:szCs w:val="24"/>
        </w:rPr>
        <w:t>data collection</w:t>
      </w:r>
      <w:r w:rsidR="002549FA">
        <w:rPr>
          <w:rFonts w:asciiTheme="majorHAnsi" w:hAnsiTheme="majorHAnsi"/>
          <w:sz w:val="24"/>
          <w:szCs w:val="24"/>
        </w:rPr>
        <w:t>,</w:t>
      </w:r>
      <w:r w:rsidRPr="002D31D7">
        <w:rPr>
          <w:rFonts w:asciiTheme="majorHAnsi" w:hAnsiTheme="majorHAnsi"/>
          <w:sz w:val="24"/>
          <w:szCs w:val="24"/>
        </w:rPr>
        <w:t xml:space="preserve"> analysis, and reporting. This level of effort includes approximately 10 percent of a GS</w:t>
      </w:r>
      <w:r w:rsidR="002D31D7" w:rsidRPr="002D31D7">
        <w:rPr>
          <w:rFonts w:asciiTheme="majorHAnsi" w:hAnsiTheme="majorHAnsi"/>
          <w:sz w:val="24"/>
          <w:szCs w:val="24"/>
        </w:rPr>
        <w:t>-1</w:t>
      </w:r>
      <w:r w:rsidR="00255285">
        <w:rPr>
          <w:rFonts w:asciiTheme="majorHAnsi" w:hAnsiTheme="majorHAnsi"/>
          <w:sz w:val="24"/>
          <w:szCs w:val="24"/>
        </w:rPr>
        <w:t>3</w:t>
      </w:r>
      <w:r w:rsidR="002D31D7" w:rsidRPr="002D31D7">
        <w:rPr>
          <w:rFonts w:asciiTheme="majorHAnsi" w:hAnsiTheme="majorHAnsi"/>
          <w:sz w:val="24"/>
          <w:szCs w:val="24"/>
        </w:rPr>
        <w:t xml:space="preserve"> behavioral scientist’s time</w:t>
      </w:r>
      <w:r w:rsidR="002549FA">
        <w:rPr>
          <w:rFonts w:asciiTheme="majorHAnsi" w:hAnsiTheme="majorHAnsi"/>
          <w:sz w:val="24"/>
          <w:szCs w:val="24"/>
        </w:rPr>
        <w:t xml:space="preserve"> (</w:t>
      </w:r>
      <w:r w:rsidRPr="002D31D7">
        <w:rPr>
          <w:rFonts w:asciiTheme="majorHAnsi" w:hAnsiTheme="majorHAnsi"/>
          <w:sz w:val="24"/>
          <w:szCs w:val="24"/>
        </w:rPr>
        <w:t>assuming a $97,400 annual salary</w:t>
      </w:r>
      <w:r w:rsidR="002549FA">
        <w:rPr>
          <w:rFonts w:asciiTheme="majorHAnsi" w:hAnsiTheme="majorHAnsi"/>
          <w:sz w:val="24"/>
          <w:szCs w:val="24"/>
        </w:rPr>
        <w:t>, this totals</w:t>
      </w:r>
      <w:r w:rsidRPr="002D31D7">
        <w:rPr>
          <w:rFonts w:asciiTheme="majorHAnsi" w:hAnsiTheme="majorHAnsi"/>
          <w:sz w:val="24"/>
          <w:szCs w:val="24"/>
        </w:rPr>
        <w:t xml:space="preserve"> $19,480). </w:t>
      </w:r>
      <w:r w:rsidR="00023F0E" w:rsidRPr="00F8236C">
        <w:rPr>
          <w:rFonts w:asciiTheme="majorHAnsi" w:hAnsiTheme="majorHAnsi"/>
          <w:sz w:val="24"/>
          <w:szCs w:val="24"/>
        </w:rPr>
        <w:t xml:space="preserve">There are no equipment or overhead costs; however, a contractor is being used to support </w:t>
      </w:r>
      <w:r w:rsidR="00023F0E">
        <w:rPr>
          <w:rFonts w:asciiTheme="majorHAnsi" w:hAnsiTheme="majorHAnsi"/>
          <w:sz w:val="24"/>
          <w:szCs w:val="24"/>
        </w:rPr>
        <w:t>this effort</w:t>
      </w:r>
      <w:r w:rsidR="00023F0E" w:rsidRPr="00F8236C">
        <w:rPr>
          <w:rFonts w:asciiTheme="majorHAnsi" w:hAnsiTheme="majorHAnsi"/>
          <w:sz w:val="24"/>
          <w:szCs w:val="24"/>
        </w:rPr>
        <w:t xml:space="preserve">. The contract amount </w:t>
      </w:r>
      <w:r w:rsidR="00023F0E">
        <w:rPr>
          <w:rFonts w:asciiTheme="majorHAnsi" w:hAnsiTheme="majorHAnsi"/>
          <w:sz w:val="24"/>
          <w:szCs w:val="24"/>
        </w:rPr>
        <w:t>to plan, conduct, and analyze the</w:t>
      </w:r>
      <w:r w:rsidR="00023F0E" w:rsidRPr="00F8236C">
        <w:rPr>
          <w:rFonts w:asciiTheme="majorHAnsi" w:hAnsiTheme="majorHAnsi"/>
          <w:sz w:val="24"/>
          <w:szCs w:val="24"/>
        </w:rPr>
        <w:t xml:space="preserve"> formative research is $184,187. Thus, the total cost to the government for the CBS is $203,667.</w:t>
      </w:r>
    </w:p>
    <w:p w14:paraId="0D8E0D88" w14:textId="49A700AC" w:rsidR="00B12F51" w:rsidRPr="007F07ED" w:rsidRDefault="00D75750" w:rsidP="00D558F8">
      <w:pPr>
        <w:pStyle w:val="ListParagraph"/>
        <w:numPr>
          <w:ilvl w:val="0"/>
          <w:numId w:val="3"/>
        </w:numPr>
        <w:autoSpaceDE w:val="0"/>
        <w:autoSpaceDN w:val="0"/>
        <w:adjustRightInd w:val="0"/>
        <w:spacing w:after="120" w:line="240" w:lineRule="auto"/>
        <w:ind w:right="720"/>
        <w:contextualSpacing w:val="0"/>
        <w:rPr>
          <w:rFonts w:asciiTheme="majorHAnsi" w:hAnsiTheme="majorHAnsi"/>
          <w:b/>
          <w:sz w:val="24"/>
          <w:szCs w:val="24"/>
        </w:rPr>
      </w:pPr>
      <w:r w:rsidRPr="007F07ED">
        <w:rPr>
          <w:rFonts w:asciiTheme="majorHAnsi" w:hAnsiTheme="majorHAnsi"/>
          <w:b/>
          <w:bCs/>
          <w:sz w:val="24"/>
          <w:szCs w:val="24"/>
        </w:rPr>
        <w:t>Explanation for Program Changes or Adjustments</w:t>
      </w:r>
    </w:p>
    <w:p w14:paraId="14803D78" w14:textId="4A44323E" w:rsidR="00F52BCC" w:rsidRDefault="003C7C5D" w:rsidP="00B76373">
      <w:pPr>
        <w:pStyle w:val="ListParagraph"/>
        <w:spacing w:after="0" w:line="240" w:lineRule="auto"/>
        <w:ind w:left="360"/>
        <w:contextualSpacing w:val="0"/>
        <w:rPr>
          <w:rFonts w:asciiTheme="majorHAnsi" w:hAnsiTheme="majorHAnsi"/>
          <w:sz w:val="24"/>
          <w:szCs w:val="24"/>
        </w:rPr>
      </w:pPr>
      <w:r w:rsidRPr="007F07ED">
        <w:rPr>
          <w:rFonts w:asciiTheme="majorHAnsi" w:hAnsiTheme="majorHAnsi"/>
          <w:sz w:val="24"/>
          <w:szCs w:val="24"/>
        </w:rPr>
        <w:t>This is a new data collection.</w:t>
      </w:r>
    </w:p>
    <w:p w14:paraId="35484094" w14:textId="77777777" w:rsidR="00D24284" w:rsidRPr="007F07ED" w:rsidRDefault="00D24284" w:rsidP="00D24284">
      <w:pPr>
        <w:pStyle w:val="ListParagraph"/>
        <w:spacing w:after="0" w:line="240" w:lineRule="auto"/>
        <w:ind w:left="810"/>
        <w:contextualSpacing w:val="0"/>
        <w:rPr>
          <w:rFonts w:asciiTheme="majorHAnsi" w:hAnsiTheme="majorHAnsi"/>
          <w:sz w:val="24"/>
          <w:szCs w:val="24"/>
        </w:rPr>
      </w:pPr>
    </w:p>
    <w:p w14:paraId="16C2DED1" w14:textId="4DD5A504" w:rsidR="00B12F51" w:rsidRPr="007F07ED" w:rsidRDefault="00616090" w:rsidP="00D558F8">
      <w:pPr>
        <w:pStyle w:val="ListParagraph"/>
        <w:numPr>
          <w:ilvl w:val="0"/>
          <w:numId w:val="3"/>
        </w:numPr>
        <w:spacing w:after="120" w:line="240" w:lineRule="auto"/>
        <w:contextualSpacing w:val="0"/>
        <w:rPr>
          <w:rFonts w:asciiTheme="majorHAnsi" w:hAnsiTheme="majorHAnsi"/>
          <w:b/>
          <w:sz w:val="24"/>
          <w:szCs w:val="24"/>
        </w:rPr>
      </w:pPr>
      <w:r w:rsidRPr="007F07ED">
        <w:rPr>
          <w:rFonts w:asciiTheme="majorHAnsi" w:hAnsiTheme="majorHAnsi"/>
          <w:b/>
          <w:sz w:val="24"/>
          <w:szCs w:val="24"/>
        </w:rPr>
        <w:t>Plan</w:t>
      </w:r>
      <w:r w:rsidR="00D75750" w:rsidRPr="007F07ED">
        <w:rPr>
          <w:rFonts w:asciiTheme="majorHAnsi" w:hAnsiTheme="majorHAnsi"/>
          <w:b/>
          <w:sz w:val="24"/>
          <w:szCs w:val="24"/>
        </w:rPr>
        <w:t>s</w:t>
      </w:r>
      <w:r w:rsidR="00D75750" w:rsidRPr="007F07ED">
        <w:rPr>
          <w:rFonts w:asciiTheme="majorHAnsi" w:hAnsiTheme="majorHAnsi"/>
          <w:b/>
          <w:bCs/>
          <w:sz w:val="24"/>
          <w:szCs w:val="24"/>
        </w:rPr>
        <w:t xml:space="preserve"> for Tabulation and Publication and Project Time Schedule</w:t>
      </w:r>
    </w:p>
    <w:p w14:paraId="7006EB1B" w14:textId="3A528B1A" w:rsidR="00C26EE9" w:rsidRPr="00C26EE9" w:rsidRDefault="00822FBA" w:rsidP="00B76373">
      <w:pPr>
        <w:pStyle w:val="ListParagraph"/>
        <w:spacing w:after="120" w:line="240" w:lineRule="auto"/>
        <w:ind w:left="360"/>
        <w:contextualSpacing w:val="0"/>
        <w:rPr>
          <w:rFonts w:asciiTheme="majorHAnsi" w:hAnsiTheme="majorHAnsi"/>
          <w:b/>
          <w:sz w:val="24"/>
          <w:szCs w:val="24"/>
          <w:u w:val="single"/>
        </w:rPr>
      </w:pPr>
      <w:r w:rsidRPr="00C26EE9">
        <w:rPr>
          <w:rFonts w:asciiTheme="majorHAnsi" w:hAnsiTheme="majorHAnsi"/>
          <w:b/>
          <w:sz w:val="24"/>
          <w:szCs w:val="24"/>
          <w:u w:val="single"/>
        </w:rPr>
        <w:t>Data Analysis</w:t>
      </w:r>
      <w:r>
        <w:rPr>
          <w:rFonts w:asciiTheme="majorHAnsi" w:hAnsiTheme="majorHAnsi"/>
          <w:b/>
          <w:sz w:val="24"/>
          <w:szCs w:val="24"/>
          <w:u w:val="single"/>
        </w:rPr>
        <w:t xml:space="preserve"> and Plans for Publication</w:t>
      </w:r>
    </w:p>
    <w:p w14:paraId="0348ADF4" w14:textId="75D454B4" w:rsidR="00C26EE9" w:rsidRPr="00C26EE9" w:rsidRDefault="00C26EE9" w:rsidP="00B76373">
      <w:pPr>
        <w:pStyle w:val="ListParagraph"/>
        <w:spacing w:after="120" w:line="240" w:lineRule="auto"/>
        <w:ind w:left="360"/>
        <w:contextualSpacing w:val="0"/>
        <w:rPr>
          <w:rFonts w:asciiTheme="majorHAnsi" w:hAnsiTheme="majorHAnsi"/>
          <w:b/>
          <w:sz w:val="24"/>
          <w:szCs w:val="24"/>
        </w:rPr>
      </w:pPr>
      <w:r w:rsidRPr="00C26EE9">
        <w:rPr>
          <w:rFonts w:asciiTheme="majorHAnsi" w:hAnsiTheme="majorHAnsi"/>
          <w:b/>
          <w:sz w:val="24"/>
          <w:szCs w:val="24"/>
        </w:rPr>
        <w:t xml:space="preserve">Study </w:t>
      </w:r>
      <w:r w:rsidR="00356578">
        <w:rPr>
          <w:rFonts w:asciiTheme="majorHAnsi" w:hAnsiTheme="majorHAnsi"/>
          <w:b/>
          <w:sz w:val="24"/>
          <w:szCs w:val="24"/>
        </w:rPr>
        <w:t xml:space="preserve">Component </w:t>
      </w:r>
      <w:r w:rsidRPr="00C26EE9">
        <w:rPr>
          <w:rFonts w:asciiTheme="majorHAnsi" w:hAnsiTheme="majorHAnsi"/>
          <w:b/>
          <w:sz w:val="24"/>
          <w:szCs w:val="24"/>
        </w:rPr>
        <w:t>1</w:t>
      </w:r>
      <w:r>
        <w:rPr>
          <w:rFonts w:asciiTheme="majorHAnsi" w:hAnsiTheme="majorHAnsi"/>
          <w:b/>
          <w:sz w:val="24"/>
          <w:szCs w:val="24"/>
        </w:rPr>
        <w:t xml:space="preserve">. </w:t>
      </w:r>
      <w:r w:rsidR="00356578" w:rsidRPr="00356578">
        <w:rPr>
          <w:rFonts w:asciiTheme="majorHAnsi" w:hAnsiTheme="majorHAnsi"/>
          <w:b/>
          <w:i/>
          <w:sz w:val="24"/>
          <w:szCs w:val="24"/>
        </w:rPr>
        <w:t>Rural Communities Substudy</w:t>
      </w:r>
    </w:p>
    <w:p w14:paraId="097B3CDD" w14:textId="7622E74E" w:rsidR="00CF0904" w:rsidRPr="007F07ED" w:rsidRDefault="00CF0904" w:rsidP="00B76373">
      <w:pPr>
        <w:pStyle w:val="ListParagraph"/>
        <w:spacing w:after="0" w:line="240" w:lineRule="auto"/>
        <w:ind w:left="360"/>
        <w:contextualSpacing w:val="0"/>
        <w:rPr>
          <w:rFonts w:asciiTheme="majorHAnsi" w:hAnsiTheme="majorHAnsi"/>
          <w:sz w:val="24"/>
          <w:szCs w:val="24"/>
        </w:rPr>
      </w:pPr>
      <w:r w:rsidRPr="007F07ED">
        <w:rPr>
          <w:rFonts w:asciiTheme="majorHAnsi" w:hAnsiTheme="majorHAnsi"/>
          <w:sz w:val="24"/>
          <w:szCs w:val="24"/>
        </w:rPr>
        <w:t xml:space="preserve">After the </w:t>
      </w:r>
      <w:r w:rsidR="007F07ED">
        <w:rPr>
          <w:rFonts w:asciiTheme="majorHAnsi" w:hAnsiTheme="majorHAnsi"/>
          <w:sz w:val="24"/>
          <w:szCs w:val="24"/>
        </w:rPr>
        <w:t xml:space="preserve">key informant and </w:t>
      </w:r>
      <w:r w:rsidRPr="007F07ED">
        <w:rPr>
          <w:rFonts w:asciiTheme="majorHAnsi" w:hAnsiTheme="majorHAnsi"/>
          <w:sz w:val="24"/>
          <w:szCs w:val="24"/>
        </w:rPr>
        <w:t xml:space="preserve">site </w:t>
      </w:r>
      <w:r w:rsidR="007F07ED">
        <w:rPr>
          <w:rFonts w:asciiTheme="majorHAnsi" w:hAnsiTheme="majorHAnsi"/>
          <w:sz w:val="24"/>
          <w:szCs w:val="24"/>
        </w:rPr>
        <w:t xml:space="preserve">visit </w:t>
      </w:r>
      <w:r w:rsidRPr="007F07ED">
        <w:rPr>
          <w:rFonts w:asciiTheme="majorHAnsi" w:hAnsiTheme="majorHAnsi"/>
          <w:sz w:val="24"/>
          <w:szCs w:val="24"/>
        </w:rPr>
        <w:t xml:space="preserve">interviews, </w:t>
      </w:r>
      <w:r w:rsidR="007F07ED" w:rsidRPr="0041582B">
        <w:rPr>
          <w:rFonts w:asciiTheme="majorHAnsi" w:hAnsiTheme="majorHAnsi"/>
          <w:sz w:val="24"/>
          <w:szCs w:val="24"/>
        </w:rPr>
        <w:t>the contractor will prepare site-specific summaries using standardized templates to document key findings</w:t>
      </w:r>
      <w:r w:rsidRPr="007F07ED">
        <w:rPr>
          <w:rFonts w:asciiTheme="majorHAnsi" w:hAnsiTheme="majorHAnsi"/>
          <w:sz w:val="24"/>
          <w:szCs w:val="24"/>
        </w:rPr>
        <w:t xml:space="preserve">. </w:t>
      </w:r>
    </w:p>
    <w:p w14:paraId="4BC60EBB" w14:textId="77777777" w:rsidR="00E51753" w:rsidRPr="007F07ED" w:rsidRDefault="00E51753" w:rsidP="00D24284">
      <w:pPr>
        <w:spacing w:after="0" w:line="240" w:lineRule="auto"/>
        <w:ind w:left="810"/>
        <w:rPr>
          <w:rFonts w:asciiTheme="majorHAnsi" w:hAnsiTheme="majorHAnsi"/>
          <w:sz w:val="24"/>
          <w:szCs w:val="24"/>
        </w:rPr>
      </w:pPr>
    </w:p>
    <w:p w14:paraId="083008CF" w14:textId="6DB1225F" w:rsidR="00E51753" w:rsidRDefault="00D24284" w:rsidP="00B76373">
      <w:pPr>
        <w:spacing w:after="0" w:line="240" w:lineRule="auto"/>
        <w:ind w:left="360"/>
        <w:rPr>
          <w:rFonts w:asciiTheme="majorHAnsi" w:hAnsiTheme="majorHAnsi"/>
          <w:sz w:val="24"/>
          <w:szCs w:val="24"/>
        </w:rPr>
      </w:pPr>
      <w:r>
        <w:rPr>
          <w:rFonts w:asciiTheme="majorHAnsi" w:hAnsiTheme="majorHAnsi"/>
          <w:sz w:val="24"/>
          <w:szCs w:val="24"/>
        </w:rPr>
        <w:t>Th</w:t>
      </w:r>
      <w:r w:rsidR="00E51753" w:rsidRPr="007F07ED">
        <w:rPr>
          <w:rFonts w:asciiTheme="majorHAnsi" w:hAnsiTheme="majorHAnsi"/>
          <w:sz w:val="24"/>
          <w:szCs w:val="24"/>
        </w:rPr>
        <w:t xml:space="preserve">e </w:t>
      </w:r>
      <w:r>
        <w:rPr>
          <w:rFonts w:asciiTheme="majorHAnsi" w:hAnsiTheme="majorHAnsi"/>
          <w:sz w:val="24"/>
          <w:szCs w:val="24"/>
        </w:rPr>
        <w:t xml:space="preserve">contractor </w:t>
      </w:r>
      <w:r w:rsidR="00E51753" w:rsidRPr="007F07ED">
        <w:rPr>
          <w:rFonts w:asciiTheme="majorHAnsi" w:hAnsiTheme="majorHAnsi"/>
          <w:sz w:val="24"/>
          <w:szCs w:val="24"/>
        </w:rPr>
        <w:t xml:space="preserve">will prepare </w:t>
      </w:r>
      <w:r>
        <w:rPr>
          <w:rFonts w:asciiTheme="majorHAnsi" w:hAnsiTheme="majorHAnsi"/>
          <w:sz w:val="24"/>
          <w:szCs w:val="24"/>
        </w:rPr>
        <w:t>t</w:t>
      </w:r>
      <w:r w:rsidR="00D5667A">
        <w:rPr>
          <w:rFonts w:asciiTheme="majorHAnsi" w:hAnsiTheme="majorHAnsi"/>
          <w:sz w:val="24"/>
          <w:szCs w:val="24"/>
        </w:rPr>
        <w:t>wo</w:t>
      </w:r>
      <w:r>
        <w:rPr>
          <w:rFonts w:asciiTheme="majorHAnsi" w:hAnsiTheme="majorHAnsi"/>
          <w:sz w:val="24"/>
          <w:szCs w:val="24"/>
        </w:rPr>
        <w:t xml:space="preserve"> issue briefs</w:t>
      </w:r>
      <w:r w:rsidR="00E51753" w:rsidRPr="007F07ED">
        <w:rPr>
          <w:rFonts w:asciiTheme="majorHAnsi" w:hAnsiTheme="majorHAnsi"/>
          <w:sz w:val="24"/>
          <w:szCs w:val="24"/>
        </w:rPr>
        <w:t xml:space="preserve"> for ASPE to </w:t>
      </w:r>
      <w:r>
        <w:rPr>
          <w:rFonts w:asciiTheme="majorHAnsi" w:hAnsiTheme="majorHAnsi"/>
          <w:sz w:val="24"/>
          <w:szCs w:val="24"/>
        </w:rPr>
        <w:t xml:space="preserve">summarize study </w:t>
      </w:r>
      <w:r w:rsidR="00E51753" w:rsidRPr="007F07ED">
        <w:rPr>
          <w:rFonts w:asciiTheme="majorHAnsi" w:hAnsiTheme="majorHAnsi"/>
          <w:sz w:val="24"/>
          <w:szCs w:val="24"/>
        </w:rPr>
        <w:t>findings</w:t>
      </w:r>
      <w:r w:rsidR="00D5667A">
        <w:rPr>
          <w:rFonts w:asciiTheme="majorHAnsi" w:hAnsiTheme="majorHAnsi"/>
          <w:sz w:val="24"/>
          <w:szCs w:val="24"/>
        </w:rPr>
        <w:t>, which will be made publicly available</w:t>
      </w:r>
      <w:r w:rsidR="00E51753" w:rsidRPr="007F07ED">
        <w:rPr>
          <w:rFonts w:asciiTheme="majorHAnsi" w:hAnsiTheme="majorHAnsi"/>
          <w:sz w:val="24"/>
          <w:szCs w:val="24"/>
        </w:rPr>
        <w:t xml:space="preserve">. </w:t>
      </w:r>
    </w:p>
    <w:p w14:paraId="1D3C1E07" w14:textId="77777777" w:rsidR="00C26EE9" w:rsidRDefault="00C26EE9" w:rsidP="00D24284">
      <w:pPr>
        <w:spacing w:after="0" w:line="240" w:lineRule="auto"/>
        <w:ind w:left="810"/>
        <w:rPr>
          <w:rFonts w:asciiTheme="majorHAnsi" w:hAnsiTheme="majorHAnsi"/>
          <w:sz w:val="24"/>
          <w:szCs w:val="24"/>
        </w:rPr>
      </w:pPr>
    </w:p>
    <w:p w14:paraId="2658C125" w14:textId="0F703D50" w:rsidR="00C26EE9" w:rsidRDefault="00C26EE9" w:rsidP="00356578">
      <w:pPr>
        <w:spacing w:after="120" w:line="240" w:lineRule="auto"/>
        <w:ind w:left="360"/>
        <w:rPr>
          <w:rFonts w:asciiTheme="majorHAnsi" w:hAnsiTheme="majorHAnsi"/>
          <w:b/>
          <w:sz w:val="24"/>
          <w:szCs w:val="24"/>
        </w:rPr>
      </w:pPr>
      <w:r w:rsidRPr="00C26EE9">
        <w:rPr>
          <w:rFonts w:asciiTheme="majorHAnsi" w:hAnsiTheme="majorHAnsi"/>
          <w:b/>
          <w:sz w:val="24"/>
          <w:szCs w:val="24"/>
        </w:rPr>
        <w:t xml:space="preserve">Study </w:t>
      </w:r>
      <w:r w:rsidR="00356578">
        <w:rPr>
          <w:rFonts w:asciiTheme="majorHAnsi" w:hAnsiTheme="majorHAnsi"/>
          <w:b/>
          <w:sz w:val="24"/>
          <w:szCs w:val="24"/>
        </w:rPr>
        <w:t xml:space="preserve">Component </w:t>
      </w:r>
      <w:r w:rsidRPr="00C26EE9">
        <w:rPr>
          <w:rFonts w:asciiTheme="majorHAnsi" w:hAnsiTheme="majorHAnsi"/>
          <w:b/>
          <w:sz w:val="24"/>
          <w:szCs w:val="24"/>
        </w:rPr>
        <w:t xml:space="preserve">2. </w:t>
      </w:r>
      <w:r w:rsidR="00356578" w:rsidRPr="00356578">
        <w:rPr>
          <w:rFonts w:asciiTheme="majorHAnsi" w:hAnsiTheme="majorHAnsi"/>
          <w:b/>
          <w:i/>
          <w:sz w:val="24"/>
          <w:szCs w:val="24"/>
        </w:rPr>
        <w:t>Community Burden Substudy</w:t>
      </w:r>
    </w:p>
    <w:p w14:paraId="75F8100F" w14:textId="27723862" w:rsidR="000D67B8" w:rsidRPr="00035EA1" w:rsidRDefault="00F76027" w:rsidP="00023F0E">
      <w:pPr>
        <w:pStyle w:val="BHNormal"/>
        <w:ind w:left="360"/>
        <w:jc w:val="left"/>
        <w:rPr>
          <w:rFonts w:asciiTheme="majorHAnsi" w:hAnsiTheme="majorHAnsi" w:cstheme="minorHAnsi"/>
          <w:szCs w:val="24"/>
        </w:rPr>
      </w:pPr>
      <w:r w:rsidRPr="00035EA1">
        <w:rPr>
          <w:rFonts w:asciiTheme="majorHAnsi" w:hAnsiTheme="majorHAnsi"/>
        </w:rPr>
        <w:t>CBS team members</w:t>
      </w:r>
      <w:r w:rsidR="00356578" w:rsidRPr="00035EA1">
        <w:rPr>
          <w:rFonts w:asciiTheme="majorHAnsi" w:hAnsiTheme="majorHAnsi"/>
        </w:rPr>
        <w:t xml:space="preserve"> will </w:t>
      </w:r>
      <w:r w:rsidRPr="00035EA1">
        <w:rPr>
          <w:rFonts w:asciiTheme="majorHAnsi" w:hAnsiTheme="majorHAnsi"/>
        </w:rPr>
        <w:t>analyze</w:t>
      </w:r>
      <w:r w:rsidR="00356578" w:rsidRPr="00035EA1">
        <w:rPr>
          <w:rFonts w:asciiTheme="majorHAnsi" w:hAnsiTheme="majorHAnsi"/>
        </w:rPr>
        <w:t xml:space="preserve"> </w:t>
      </w:r>
      <w:r w:rsidR="00035EA1" w:rsidRPr="00035EA1">
        <w:rPr>
          <w:rFonts w:asciiTheme="majorHAnsi" w:hAnsiTheme="majorHAnsi"/>
        </w:rPr>
        <w:t xml:space="preserve">the </w:t>
      </w:r>
      <w:r w:rsidRPr="00035EA1">
        <w:rPr>
          <w:rFonts w:asciiTheme="majorHAnsi" w:hAnsiTheme="majorHAnsi"/>
        </w:rPr>
        <w:t xml:space="preserve">qualitative </w:t>
      </w:r>
      <w:r w:rsidR="00035EA1" w:rsidRPr="00035EA1">
        <w:rPr>
          <w:rFonts w:asciiTheme="majorHAnsi" w:hAnsiTheme="majorHAnsi"/>
        </w:rPr>
        <w:t>data</w:t>
      </w:r>
      <w:r w:rsidRPr="00035EA1">
        <w:rPr>
          <w:rFonts w:asciiTheme="majorHAnsi" w:hAnsiTheme="majorHAnsi"/>
        </w:rPr>
        <w:t xml:space="preserve"> </w:t>
      </w:r>
      <w:r w:rsidR="00356578" w:rsidRPr="00035EA1">
        <w:rPr>
          <w:rFonts w:asciiTheme="majorHAnsi" w:hAnsiTheme="majorHAnsi"/>
        </w:rPr>
        <w:t>to identify patterns and themes</w:t>
      </w:r>
      <w:r w:rsidR="00035EA1" w:rsidRPr="00035EA1">
        <w:rPr>
          <w:rFonts w:asciiTheme="majorHAnsi" w:hAnsiTheme="majorHAnsi"/>
        </w:rPr>
        <w:t xml:space="preserve"> related to the aims of the </w:t>
      </w:r>
      <w:r w:rsidR="00150FA4">
        <w:rPr>
          <w:rFonts w:asciiTheme="majorHAnsi" w:hAnsiTheme="majorHAnsi"/>
        </w:rPr>
        <w:t>research</w:t>
      </w:r>
      <w:r w:rsidR="00570CA6">
        <w:rPr>
          <w:rFonts w:asciiTheme="majorHAnsi" w:hAnsiTheme="majorHAnsi"/>
        </w:rPr>
        <w:t xml:space="preserve"> and summarize findings</w:t>
      </w:r>
      <w:r w:rsidR="00356578" w:rsidRPr="00035EA1">
        <w:rPr>
          <w:rFonts w:asciiTheme="majorHAnsi" w:hAnsiTheme="majorHAnsi"/>
        </w:rPr>
        <w:t xml:space="preserve">. </w:t>
      </w:r>
      <w:r w:rsidRPr="00035EA1">
        <w:rPr>
          <w:rFonts w:asciiTheme="majorHAnsi" w:hAnsiTheme="majorHAnsi" w:cstheme="minorHAnsi"/>
          <w:szCs w:val="24"/>
        </w:rPr>
        <w:t>The team will</w:t>
      </w:r>
      <w:r w:rsidR="000D67B8" w:rsidRPr="00035EA1">
        <w:rPr>
          <w:rFonts w:asciiTheme="majorHAnsi" w:hAnsiTheme="majorHAnsi" w:cstheme="minorHAnsi"/>
          <w:szCs w:val="24"/>
        </w:rPr>
        <w:t xml:space="preserve"> analyze data from the demographic </w:t>
      </w:r>
      <w:r w:rsidR="000D67B8" w:rsidRPr="000F4B8C">
        <w:rPr>
          <w:rFonts w:asciiTheme="majorHAnsi" w:hAnsiTheme="majorHAnsi" w:cstheme="minorHAnsi"/>
          <w:szCs w:val="24"/>
        </w:rPr>
        <w:t xml:space="preserve">information forms using basic </w:t>
      </w:r>
      <w:r w:rsidR="00570CA6">
        <w:rPr>
          <w:rFonts w:asciiTheme="majorHAnsi" w:hAnsiTheme="majorHAnsi" w:cstheme="minorHAnsi"/>
          <w:szCs w:val="24"/>
        </w:rPr>
        <w:t xml:space="preserve">descriptive analyses. </w:t>
      </w:r>
      <w:r w:rsidR="00035EA1" w:rsidRPr="00035EA1">
        <w:rPr>
          <w:rFonts w:asciiTheme="majorHAnsi" w:hAnsiTheme="majorHAnsi" w:cstheme="minorHAnsi"/>
          <w:szCs w:val="24"/>
        </w:rPr>
        <w:t xml:space="preserve">All data will be reported in aggregate. </w:t>
      </w:r>
      <w:r w:rsidR="00035EA1" w:rsidRPr="00035EA1">
        <w:rPr>
          <w:rFonts w:asciiTheme="majorHAnsi" w:hAnsiTheme="majorHAnsi"/>
        </w:rPr>
        <w:t xml:space="preserve">Team members will prepare the following reports: (1) summary report of KIIs/focus groups with providers/stakeholders, (2) summary report of focus groups with caregivers, (3) summary report of interviews with parents and caregivers, and (4) a final project report.  </w:t>
      </w:r>
    </w:p>
    <w:p w14:paraId="60D98E81" w14:textId="3F8DC568" w:rsidR="00F76027" w:rsidRDefault="00F76027" w:rsidP="00023F0E">
      <w:pPr>
        <w:pStyle w:val="BHNormal"/>
        <w:ind w:left="360"/>
        <w:jc w:val="left"/>
        <w:rPr>
          <w:rFonts w:asciiTheme="majorHAnsi" w:hAnsiTheme="majorHAnsi"/>
        </w:rPr>
      </w:pPr>
    </w:p>
    <w:p w14:paraId="4CE69C64" w14:textId="77777777" w:rsidR="00173CD8" w:rsidRPr="00035EA1" w:rsidRDefault="00173CD8" w:rsidP="00023F0E">
      <w:pPr>
        <w:pStyle w:val="BHNormal"/>
        <w:ind w:left="360"/>
        <w:jc w:val="left"/>
        <w:rPr>
          <w:rFonts w:asciiTheme="majorHAnsi" w:hAnsiTheme="majorHAnsi" w:cstheme="minorHAnsi"/>
          <w:szCs w:val="24"/>
        </w:rPr>
      </w:pPr>
    </w:p>
    <w:p w14:paraId="16B47EEE" w14:textId="77777777" w:rsidR="00C73CED" w:rsidRDefault="00C73CED" w:rsidP="00570CA6">
      <w:pPr>
        <w:keepNext/>
        <w:spacing w:after="120" w:line="240" w:lineRule="auto"/>
        <w:ind w:left="360"/>
        <w:rPr>
          <w:rFonts w:asciiTheme="majorHAnsi" w:hAnsiTheme="majorHAnsi"/>
          <w:b/>
          <w:sz w:val="24"/>
          <w:szCs w:val="24"/>
          <w:u w:val="single"/>
        </w:rPr>
      </w:pPr>
      <w:r w:rsidRPr="00C26EE9">
        <w:rPr>
          <w:rFonts w:asciiTheme="majorHAnsi" w:hAnsiTheme="majorHAnsi"/>
          <w:b/>
          <w:sz w:val="24"/>
          <w:szCs w:val="24"/>
          <w:u w:val="single"/>
        </w:rPr>
        <w:t>Project Time Schedule</w:t>
      </w:r>
    </w:p>
    <w:p w14:paraId="25761C4C" w14:textId="5FF688F2" w:rsidR="00C73CED" w:rsidRDefault="00C73CED" w:rsidP="009378EC">
      <w:pPr>
        <w:spacing w:line="240" w:lineRule="auto"/>
        <w:ind w:left="360"/>
        <w:rPr>
          <w:rFonts w:asciiTheme="majorHAnsi" w:hAnsiTheme="majorHAnsi"/>
          <w:sz w:val="24"/>
          <w:szCs w:val="24"/>
        </w:rPr>
      </w:pPr>
      <w:r w:rsidRPr="00C26EE9">
        <w:rPr>
          <w:rFonts w:asciiTheme="majorHAnsi" w:hAnsiTheme="majorHAnsi"/>
          <w:sz w:val="24"/>
          <w:szCs w:val="24"/>
        </w:rPr>
        <w:t xml:space="preserve">Below we present the project time schedule for each study. Note that all dates are dependent upon the receipt of OMB approval, which is estimated for </w:t>
      </w:r>
      <w:r w:rsidR="00173CD8">
        <w:rPr>
          <w:rFonts w:asciiTheme="majorHAnsi" w:hAnsiTheme="majorHAnsi"/>
          <w:sz w:val="24"/>
          <w:szCs w:val="24"/>
        </w:rPr>
        <w:t>April</w:t>
      </w:r>
      <w:r w:rsidRPr="00C26EE9">
        <w:rPr>
          <w:rFonts w:asciiTheme="majorHAnsi" w:hAnsiTheme="majorHAnsi"/>
          <w:sz w:val="24"/>
          <w:szCs w:val="24"/>
        </w:rPr>
        <w:t xml:space="preserve"> 2019.</w:t>
      </w:r>
    </w:p>
    <w:p w14:paraId="4834B375" w14:textId="3AF26F54" w:rsidR="009378EC" w:rsidRPr="009378EC" w:rsidRDefault="009378EC" w:rsidP="006165BC">
      <w:pPr>
        <w:keepNext/>
        <w:spacing w:after="60" w:line="240" w:lineRule="auto"/>
        <w:ind w:left="360"/>
        <w:jc w:val="center"/>
        <w:rPr>
          <w:rFonts w:asciiTheme="majorHAnsi" w:hAnsiTheme="majorHAnsi"/>
          <w:b/>
        </w:rPr>
      </w:pPr>
      <w:r w:rsidRPr="009378EC">
        <w:rPr>
          <w:rFonts w:asciiTheme="majorHAnsi" w:hAnsiTheme="majorHAnsi"/>
          <w:b/>
        </w:rPr>
        <w:t>Exhibit A16. Project Time Schedule</w:t>
      </w:r>
    </w:p>
    <w:tbl>
      <w:tblPr>
        <w:tblStyle w:val="TableGrid"/>
        <w:tblW w:w="0" w:type="auto"/>
        <w:tblInd w:w="355" w:type="dxa"/>
        <w:tblLook w:val="04A0" w:firstRow="1" w:lastRow="0" w:firstColumn="1" w:lastColumn="0" w:noHBand="0" w:noVBand="1"/>
      </w:tblPr>
      <w:tblGrid>
        <w:gridCol w:w="2520"/>
        <w:gridCol w:w="6475"/>
      </w:tblGrid>
      <w:tr w:rsidR="00710D00" w:rsidRPr="009378EC" w14:paraId="78D9A851" w14:textId="77777777" w:rsidTr="00995AC4">
        <w:tc>
          <w:tcPr>
            <w:tcW w:w="8995" w:type="dxa"/>
            <w:gridSpan w:val="2"/>
            <w:shd w:val="clear" w:color="auto" w:fill="404040" w:themeFill="text1" w:themeFillTint="BF"/>
          </w:tcPr>
          <w:p w14:paraId="226E3450" w14:textId="06057C4F" w:rsidR="00710D00" w:rsidRPr="009378EC" w:rsidRDefault="00710D00" w:rsidP="006165BC">
            <w:pPr>
              <w:keepNext/>
              <w:jc w:val="center"/>
              <w:rPr>
                <w:rFonts w:asciiTheme="majorHAnsi" w:hAnsiTheme="majorHAnsi"/>
                <w:b/>
                <w:sz w:val="20"/>
                <w:szCs w:val="20"/>
              </w:rPr>
            </w:pPr>
            <w:r w:rsidRPr="009378EC">
              <w:rPr>
                <w:rFonts w:asciiTheme="majorHAnsi" w:hAnsiTheme="majorHAnsi"/>
                <w:b/>
                <w:color w:val="FFFFFF" w:themeColor="background1"/>
                <w:sz w:val="20"/>
                <w:szCs w:val="20"/>
              </w:rPr>
              <w:t>Project Time Schedule</w:t>
            </w:r>
          </w:p>
        </w:tc>
      </w:tr>
      <w:tr w:rsidR="00710D00" w:rsidRPr="009378EC" w14:paraId="249A00A9" w14:textId="77777777" w:rsidTr="00995AC4">
        <w:tc>
          <w:tcPr>
            <w:tcW w:w="8995" w:type="dxa"/>
            <w:gridSpan w:val="2"/>
            <w:shd w:val="clear" w:color="auto" w:fill="D9D9D9" w:themeFill="background1" w:themeFillShade="D9"/>
          </w:tcPr>
          <w:p w14:paraId="6A218FE4" w14:textId="4DB939FC" w:rsidR="00710D00" w:rsidRPr="009378EC" w:rsidRDefault="00995AC4" w:rsidP="00995AC4">
            <w:pPr>
              <w:jc w:val="center"/>
              <w:rPr>
                <w:rFonts w:asciiTheme="majorHAnsi" w:hAnsiTheme="majorHAnsi"/>
                <w:b/>
                <w:i/>
                <w:sz w:val="20"/>
                <w:szCs w:val="20"/>
              </w:rPr>
            </w:pPr>
            <w:r w:rsidRPr="009378EC">
              <w:rPr>
                <w:rFonts w:asciiTheme="majorHAnsi" w:hAnsiTheme="majorHAnsi"/>
                <w:b/>
                <w:i/>
                <w:sz w:val="20"/>
                <w:szCs w:val="20"/>
              </w:rPr>
              <w:t>Rural Communities Subs</w:t>
            </w:r>
            <w:r w:rsidR="0047321E" w:rsidRPr="009378EC">
              <w:rPr>
                <w:rFonts w:asciiTheme="majorHAnsi" w:hAnsiTheme="majorHAnsi"/>
                <w:b/>
                <w:i/>
                <w:sz w:val="20"/>
                <w:szCs w:val="20"/>
              </w:rPr>
              <w:t>tudy</w:t>
            </w:r>
          </w:p>
        </w:tc>
      </w:tr>
      <w:tr w:rsidR="00710D00" w:rsidRPr="009378EC" w14:paraId="247D42DE" w14:textId="77777777" w:rsidTr="00995AC4">
        <w:tc>
          <w:tcPr>
            <w:tcW w:w="2520" w:type="dxa"/>
          </w:tcPr>
          <w:p w14:paraId="65979340" w14:textId="5B049456" w:rsidR="00710D00" w:rsidRPr="009378EC" w:rsidRDefault="00710D00" w:rsidP="00D24284">
            <w:pPr>
              <w:rPr>
                <w:rFonts w:asciiTheme="majorHAnsi" w:hAnsiTheme="majorHAnsi"/>
                <w:sz w:val="20"/>
                <w:szCs w:val="20"/>
              </w:rPr>
            </w:pPr>
            <w:r w:rsidRPr="009378EC">
              <w:rPr>
                <w:rFonts w:asciiTheme="majorHAnsi" w:hAnsiTheme="majorHAnsi"/>
                <w:sz w:val="20"/>
                <w:szCs w:val="20"/>
              </w:rPr>
              <w:t>November 2018–February 2019</w:t>
            </w:r>
          </w:p>
        </w:tc>
        <w:tc>
          <w:tcPr>
            <w:tcW w:w="6475" w:type="dxa"/>
          </w:tcPr>
          <w:p w14:paraId="02F8F936" w14:textId="311C48B6" w:rsidR="00710D00" w:rsidRPr="009378EC" w:rsidRDefault="00710D00" w:rsidP="00D24284">
            <w:pPr>
              <w:rPr>
                <w:rFonts w:asciiTheme="majorHAnsi" w:hAnsiTheme="majorHAnsi"/>
                <w:sz w:val="20"/>
                <w:szCs w:val="20"/>
              </w:rPr>
            </w:pPr>
            <w:r w:rsidRPr="009378EC">
              <w:rPr>
                <w:rFonts w:asciiTheme="majorHAnsi" w:hAnsiTheme="majorHAnsi"/>
                <w:sz w:val="20"/>
                <w:szCs w:val="20"/>
              </w:rPr>
              <w:t>Develop discussion guides and recruitment plan</w:t>
            </w:r>
          </w:p>
        </w:tc>
      </w:tr>
      <w:tr w:rsidR="009B4713" w:rsidRPr="009378EC" w14:paraId="79A83A7A" w14:textId="77777777" w:rsidTr="00995AC4">
        <w:tc>
          <w:tcPr>
            <w:tcW w:w="2520" w:type="dxa"/>
          </w:tcPr>
          <w:p w14:paraId="62F24295" w14:textId="22133890" w:rsidR="009B4713" w:rsidRPr="009378EC" w:rsidRDefault="00710D00" w:rsidP="00D24284">
            <w:pPr>
              <w:rPr>
                <w:rFonts w:asciiTheme="majorHAnsi" w:hAnsiTheme="majorHAnsi"/>
                <w:sz w:val="20"/>
                <w:szCs w:val="20"/>
              </w:rPr>
            </w:pPr>
            <w:r w:rsidRPr="009378EC">
              <w:rPr>
                <w:rFonts w:asciiTheme="majorHAnsi" w:hAnsiTheme="majorHAnsi"/>
                <w:sz w:val="20"/>
                <w:szCs w:val="20"/>
              </w:rPr>
              <w:t>February 2019</w:t>
            </w:r>
          </w:p>
        </w:tc>
        <w:tc>
          <w:tcPr>
            <w:tcW w:w="6475" w:type="dxa"/>
          </w:tcPr>
          <w:p w14:paraId="02F12F17" w14:textId="3D6E3312" w:rsidR="009B4713" w:rsidRPr="009378EC" w:rsidRDefault="00710D00" w:rsidP="00D24284">
            <w:pPr>
              <w:rPr>
                <w:rFonts w:asciiTheme="majorHAnsi" w:hAnsiTheme="majorHAnsi"/>
                <w:sz w:val="20"/>
                <w:szCs w:val="20"/>
              </w:rPr>
            </w:pPr>
            <w:r w:rsidRPr="009378EC">
              <w:rPr>
                <w:rFonts w:asciiTheme="majorHAnsi" w:hAnsiTheme="majorHAnsi"/>
                <w:sz w:val="20"/>
                <w:szCs w:val="20"/>
              </w:rPr>
              <w:t>Outreach and scheduling of Wave 1 key informant interviews</w:t>
            </w:r>
          </w:p>
        </w:tc>
      </w:tr>
      <w:tr w:rsidR="009B4713" w:rsidRPr="009378EC" w14:paraId="426FFC64" w14:textId="77777777" w:rsidTr="00995AC4">
        <w:tc>
          <w:tcPr>
            <w:tcW w:w="2520" w:type="dxa"/>
          </w:tcPr>
          <w:p w14:paraId="45D85235" w14:textId="670EF62F" w:rsidR="009B4713" w:rsidRPr="009378EC" w:rsidRDefault="00710D00" w:rsidP="00D24284">
            <w:pPr>
              <w:rPr>
                <w:rFonts w:asciiTheme="majorHAnsi" w:hAnsiTheme="majorHAnsi"/>
                <w:sz w:val="20"/>
                <w:szCs w:val="20"/>
              </w:rPr>
            </w:pPr>
            <w:r w:rsidRPr="009378EC">
              <w:rPr>
                <w:rFonts w:asciiTheme="majorHAnsi" w:hAnsiTheme="majorHAnsi"/>
                <w:sz w:val="20"/>
                <w:szCs w:val="20"/>
              </w:rPr>
              <w:t>March–April 2019</w:t>
            </w:r>
          </w:p>
        </w:tc>
        <w:tc>
          <w:tcPr>
            <w:tcW w:w="6475" w:type="dxa"/>
          </w:tcPr>
          <w:p w14:paraId="16D69DCA" w14:textId="597E7E16" w:rsidR="009B4713" w:rsidRPr="009378EC" w:rsidRDefault="00710D00" w:rsidP="00D24284">
            <w:pPr>
              <w:rPr>
                <w:rFonts w:asciiTheme="majorHAnsi" w:hAnsiTheme="majorHAnsi"/>
                <w:sz w:val="20"/>
                <w:szCs w:val="20"/>
              </w:rPr>
            </w:pPr>
            <w:r w:rsidRPr="009378EC">
              <w:rPr>
                <w:rFonts w:asciiTheme="majorHAnsi" w:hAnsiTheme="majorHAnsi"/>
                <w:sz w:val="20"/>
                <w:szCs w:val="20"/>
              </w:rPr>
              <w:t>Conduct Wave 1 key informant interviews; outreach and scheduling of site visits</w:t>
            </w:r>
          </w:p>
        </w:tc>
      </w:tr>
      <w:tr w:rsidR="009B4713" w:rsidRPr="009378EC" w14:paraId="46ED9558" w14:textId="77777777" w:rsidTr="00995AC4">
        <w:tc>
          <w:tcPr>
            <w:tcW w:w="2520" w:type="dxa"/>
          </w:tcPr>
          <w:p w14:paraId="5427ED72" w14:textId="666AF37F" w:rsidR="009B4713" w:rsidRPr="009378EC" w:rsidRDefault="00710D00" w:rsidP="00D24284">
            <w:pPr>
              <w:rPr>
                <w:rFonts w:asciiTheme="majorHAnsi" w:hAnsiTheme="majorHAnsi"/>
                <w:sz w:val="20"/>
                <w:szCs w:val="20"/>
              </w:rPr>
            </w:pPr>
            <w:r w:rsidRPr="009378EC">
              <w:rPr>
                <w:rFonts w:asciiTheme="majorHAnsi" w:hAnsiTheme="majorHAnsi"/>
                <w:sz w:val="20"/>
                <w:szCs w:val="20"/>
              </w:rPr>
              <w:t>May–July 2019</w:t>
            </w:r>
          </w:p>
        </w:tc>
        <w:tc>
          <w:tcPr>
            <w:tcW w:w="6475" w:type="dxa"/>
          </w:tcPr>
          <w:p w14:paraId="1ACD0961" w14:textId="08370888" w:rsidR="009B4713" w:rsidRPr="009378EC" w:rsidRDefault="00710D00" w:rsidP="00D24284">
            <w:pPr>
              <w:rPr>
                <w:rFonts w:asciiTheme="majorHAnsi" w:hAnsiTheme="majorHAnsi"/>
                <w:sz w:val="20"/>
                <w:szCs w:val="20"/>
              </w:rPr>
            </w:pPr>
            <w:r w:rsidRPr="009378EC">
              <w:rPr>
                <w:rFonts w:asciiTheme="majorHAnsi" w:hAnsiTheme="majorHAnsi"/>
                <w:sz w:val="20"/>
                <w:szCs w:val="20"/>
              </w:rPr>
              <w:t>Conduct Wave 2 key informant interviews and 6 site visits</w:t>
            </w:r>
          </w:p>
        </w:tc>
      </w:tr>
      <w:tr w:rsidR="009B4713" w:rsidRPr="009378EC" w14:paraId="2416D14D" w14:textId="77777777" w:rsidTr="00995AC4">
        <w:tc>
          <w:tcPr>
            <w:tcW w:w="2520" w:type="dxa"/>
          </w:tcPr>
          <w:p w14:paraId="23873945" w14:textId="300C36D7" w:rsidR="009B4713" w:rsidRPr="009378EC" w:rsidRDefault="00710D00" w:rsidP="00D24284">
            <w:pPr>
              <w:rPr>
                <w:rFonts w:asciiTheme="majorHAnsi" w:hAnsiTheme="majorHAnsi"/>
                <w:sz w:val="20"/>
                <w:szCs w:val="20"/>
              </w:rPr>
            </w:pPr>
            <w:r w:rsidRPr="009378EC">
              <w:rPr>
                <w:rFonts w:asciiTheme="majorHAnsi" w:hAnsiTheme="majorHAnsi"/>
                <w:sz w:val="20"/>
                <w:szCs w:val="20"/>
              </w:rPr>
              <w:t>August–November 2019</w:t>
            </w:r>
          </w:p>
        </w:tc>
        <w:tc>
          <w:tcPr>
            <w:tcW w:w="6475" w:type="dxa"/>
          </w:tcPr>
          <w:p w14:paraId="15ACDFEA" w14:textId="0FF09C03" w:rsidR="009B4713" w:rsidRPr="009378EC" w:rsidRDefault="00710D00" w:rsidP="00173CD8">
            <w:pPr>
              <w:rPr>
                <w:rFonts w:asciiTheme="majorHAnsi" w:hAnsiTheme="majorHAnsi"/>
                <w:sz w:val="20"/>
                <w:szCs w:val="20"/>
              </w:rPr>
            </w:pPr>
            <w:r w:rsidRPr="009378EC">
              <w:rPr>
                <w:rFonts w:asciiTheme="majorHAnsi" w:hAnsiTheme="majorHAnsi"/>
                <w:sz w:val="20"/>
                <w:szCs w:val="20"/>
              </w:rPr>
              <w:t>Analyze findings on promising strategies to ASPE</w:t>
            </w:r>
          </w:p>
        </w:tc>
      </w:tr>
      <w:tr w:rsidR="009B4713" w:rsidRPr="009378EC" w14:paraId="41B90B96" w14:textId="77777777" w:rsidTr="00995AC4">
        <w:tc>
          <w:tcPr>
            <w:tcW w:w="2520" w:type="dxa"/>
          </w:tcPr>
          <w:p w14:paraId="1A6840C8" w14:textId="5FA09891" w:rsidR="009B4713" w:rsidRPr="009378EC" w:rsidRDefault="00710D00" w:rsidP="00D24284">
            <w:pPr>
              <w:rPr>
                <w:rFonts w:asciiTheme="majorHAnsi" w:hAnsiTheme="majorHAnsi"/>
                <w:sz w:val="20"/>
                <w:szCs w:val="20"/>
              </w:rPr>
            </w:pPr>
            <w:r w:rsidRPr="009378EC">
              <w:rPr>
                <w:rFonts w:asciiTheme="majorHAnsi" w:hAnsiTheme="majorHAnsi"/>
                <w:sz w:val="20"/>
                <w:szCs w:val="20"/>
              </w:rPr>
              <w:t>September–December 2019</w:t>
            </w:r>
          </w:p>
        </w:tc>
        <w:tc>
          <w:tcPr>
            <w:tcW w:w="6475" w:type="dxa"/>
          </w:tcPr>
          <w:p w14:paraId="2C89E8E9" w14:textId="45C335E2" w:rsidR="009B4713" w:rsidRPr="009378EC" w:rsidRDefault="00710D00" w:rsidP="00D24284">
            <w:pPr>
              <w:rPr>
                <w:rFonts w:asciiTheme="majorHAnsi" w:hAnsiTheme="majorHAnsi"/>
                <w:sz w:val="20"/>
                <w:szCs w:val="20"/>
              </w:rPr>
            </w:pPr>
            <w:r w:rsidRPr="009378EC">
              <w:rPr>
                <w:rFonts w:asciiTheme="majorHAnsi" w:hAnsiTheme="majorHAnsi"/>
                <w:sz w:val="20"/>
                <w:szCs w:val="20"/>
              </w:rPr>
              <w:t>Analyze findings and submit memo and briefing to ASPE</w:t>
            </w:r>
          </w:p>
        </w:tc>
      </w:tr>
      <w:tr w:rsidR="00710D00" w:rsidRPr="009378EC" w14:paraId="232B97AA" w14:textId="77777777" w:rsidTr="00995AC4">
        <w:tc>
          <w:tcPr>
            <w:tcW w:w="8995" w:type="dxa"/>
            <w:gridSpan w:val="2"/>
            <w:shd w:val="clear" w:color="auto" w:fill="D9D9D9" w:themeFill="background1" w:themeFillShade="D9"/>
          </w:tcPr>
          <w:p w14:paraId="1F8DEF8C" w14:textId="78DCAD66" w:rsidR="00710D00" w:rsidRPr="009378EC" w:rsidRDefault="00574359" w:rsidP="00574359">
            <w:pPr>
              <w:jc w:val="center"/>
              <w:rPr>
                <w:rFonts w:asciiTheme="majorHAnsi" w:hAnsiTheme="majorHAnsi"/>
                <w:b/>
                <w:i/>
                <w:sz w:val="20"/>
                <w:szCs w:val="20"/>
              </w:rPr>
            </w:pPr>
            <w:r w:rsidRPr="009378EC">
              <w:rPr>
                <w:rFonts w:asciiTheme="majorHAnsi" w:hAnsiTheme="majorHAnsi"/>
                <w:b/>
                <w:i/>
                <w:sz w:val="20"/>
                <w:szCs w:val="20"/>
              </w:rPr>
              <w:t>Community Burden Subs</w:t>
            </w:r>
            <w:r w:rsidR="00710D00" w:rsidRPr="009378EC">
              <w:rPr>
                <w:rFonts w:asciiTheme="majorHAnsi" w:hAnsiTheme="majorHAnsi"/>
                <w:b/>
                <w:i/>
                <w:sz w:val="20"/>
                <w:szCs w:val="20"/>
              </w:rPr>
              <w:t>tudy</w:t>
            </w:r>
          </w:p>
        </w:tc>
      </w:tr>
      <w:tr w:rsidR="009B4713" w:rsidRPr="009378EC" w14:paraId="7BC94EB3" w14:textId="77777777" w:rsidTr="00995AC4">
        <w:tc>
          <w:tcPr>
            <w:tcW w:w="2520" w:type="dxa"/>
          </w:tcPr>
          <w:p w14:paraId="5A662B60" w14:textId="2BFAAC98" w:rsidR="009B4713" w:rsidRPr="009378EC" w:rsidRDefault="00173CD8" w:rsidP="00D24284">
            <w:pPr>
              <w:rPr>
                <w:rFonts w:asciiTheme="majorHAnsi" w:hAnsiTheme="majorHAnsi"/>
                <w:sz w:val="20"/>
                <w:szCs w:val="20"/>
              </w:rPr>
            </w:pPr>
            <w:r>
              <w:rPr>
                <w:rFonts w:asciiTheme="majorHAnsi" w:hAnsiTheme="majorHAnsi"/>
                <w:sz w:val="20"/>
                <w:szCs w:val="20"/>
              </w:rPr>
              <w:t>April</w:t>
            </w:r>
            <w:r w:rsidR="00C26EE9" w:rsidRPr="009378EC">
              <w:rPr>
                <w:rFonts w:asciiTheme="majorHAnsi" w:hAnsiTheme="majorHAnsi"/>
                <w:sz w:val="20"/>
                <w:szCs w:val="20"/>
              </w:rPr>
              <w:t xml:space="preserve"> 2019</w:t>
            </w:r>
          </w:p>
        </w:tc>
        <w:tc>
          <w:tcPr>
            <w:tcW w:w="6475" w:type="dxa"/>
          </w:tcPr>
          <w:p w14:paraId="1C9ADAD1" w14:textId="41475D32" w:rsidR="009B4713" w:rsidRPr="009378EC" w:rsidRDefault="00822FBA" w:rsidP="00822FBA">
            <w:pPr>
              <w:rPr>
                <w:rFonts w:asciiTheme="majorHAnsi" w:hAnsiTheme="majorHAnsi"/>
                <w:sz w:val="20"/>
                <w:szCs w:val="20"/>
              </w:rPr>
            </w:pPr>
            <w:r w:rsidRPr="009378EC">
              <w:rPr>
                <w:rFonts w:asciiTheme="majorHAnsi" w:hAnsiTheme="majorHAnsi"/>
                <w:sz w:val="20"/>
                <w:szCs w:val="20"/>
              </w:rPr>
              <w:t xml:space="preserve">Estimated OMB approval date </w:t>
            </w:r>
          </w:p>
        </w:tc>
      </w:tr>
      <w:tr w:rsidR="00822FBA" w:rsidRPr="009378EC" w14:paraId="10273A55" w14:textId="77777777" w:rsidTr="00995AC4">
        <w:tc>
          <w:tcPr>
            <w:tcW w:w="2520" w:type="dxa"/>
          </w:tcPr>
          <w:p w14:paraId="20B40AE7" w14:textId="2190A974" w:rsidR="00822FBA" w:rsidRPr="009378EC" w:rsidRDefault="00150FA4" w:rsidP="00D24284">
            <w:pPr>
              <w:rPr>
                <w:rFonts w:asciiTheme="majorHAnsi" w:hAnsiTheme="majorHAnsi"/>
                <w:sz w:val="20"/>
                <w:szCs w:val="20"/>
              </w:rPr>
            </w:pPr>
            <w:r>
              <w:rPr>
                <w:rFonts w:asciiTheme="majorHAnsi" w:hAnsiTheme="majorHAnsi"/>
                <w:sz w:val="20"/>
                <w:szCs w:val="20"/>
              </w:rPr>
              <w:t>March-June 2019</w:t>
            </w:r>
          </w:p>
        </w:tc>
        <w:tc>
          <w:tcPr>
            <w:tcW w:w="6475" w:type="dxa"/>
          </w:tcPr>
          <w:p w14:paraId="3612F3FE" w14:textId="6BF7EECA" w:rsidR="00822FBA" w:rsidRPr="009378EC" w:rsidRDefault="009378EC" w:rsidP="00822FBA">
            <w:pPr>
              <w:rPr>
                <w:rFonts w:asciiTheme="majorHAnsi" w:hAnsiTheme="majorHAnsi"/>
                <w:sz w:val="20"/>
                <w:szCs w:val="20"/>
              </w:rPr>
            </w:pPr>
            <w:r>
              <w:rPr>
                <w:rFonts w:asciiTheme="majorHAnsi" w:hAnsiTheme="majorHAnsi"/>
                <w:sz w:val="20"/>
                <w:szCs w:val="20"/>
              </w:rPr>
              <w:t xml:space="preserve">Work with state and local child welfare agencies to </w:t>
            </w:r>
            <w:r w:rsidR="00150FA4">
              <w:rPr>
                <w:rFonts w:asciiTheme="majorHAnsi" w:hAnsiTheme="majorHAnsi"/>
                <w:sz w:val="20"/>
                <w:szCs w:val="20"/>
              </w:rPr>
              <w:t xml:space="preserve">gain study buy-in and </w:t>
            </w:r>
            <w:r>
              <w:rPr>
                <w:rFonts w:asciiTheme="majorHAnsi" w:hAnsiTheme="majorHAnsi"/>
                <w:sz w:val="20"/>
                <w:szCs w:val="20"/>
              </w:rPr>
              <w:t>identify participants</w:t>
            </w:r>
          </w:p>
        </w:tc>
      </w:tr>
      <w:tr w:rsidR="00822FBA" w:rsidRPr="009378EC" w14:paraId="218DDE59" w14:textId="77777777" w:rsidTr="00995AC4">
        <w:tc>
          <w:tcPr>
            <w:tcW w:w="2520" w:type="dxa"/>
          </w:tcPr>
          <w:p w14:paraId="31E1621C" w14:textId="45C19A89" w:rsidR="00822FBA" w:rsidRPr="009378EC" w:rsidRDefault="00150FA4" w:rsidP="00D24284">
            <w:pPr>
              <w:rPr>
                <w:rFonts w:asciiTheme="majorHAnsi" w:hAnsiTheme="majorHAnsi"/>
                <w:sz w:val="20"/>
                <w:szCs w:val="20"/>
              </w:rPr>
            </w:pPr>
            <w:r>
              <w:rPr>
                <w:rFonts w:asciiTheme="majorHAnsi" w:hAnsiTheme="majorHAnsi"/>
                <w:sz w:val="20"/>
                <w:szCs w:val="20"/>
              </w:rPr>
              <w:t>July-December 2019</w:t>
            </w:r>
          </w:p>
        </w:tc>
        <w:tc>
          <w:tcPr>
            <w:tcW w:w="6475" w:type="dxa"/>
          </w:tcPr>
          <w:p w14:paraId="2E7D8CC3" w14:textId="5D62A203" w:rsidR="00822FBA" w:rsidRPr="009378EC" w:rsidRDefault="000222F3" w:rsidP="00822FBA">
            <w:pPr>
              <w:rPr>
                <w:rFonts w:asciiTheme="majorHAnsi" w:hAnsiTheme="majorHAnsi"/>
                <w:sz w:val="20"/>
                <w:szCs w:val="20"/>
              </w:rPr>
            </w:pPr>
            <w:r>
              <w:rPr>
                <w:rFonts w:asciiTheme="majorHAnsi" w:hAnsiTheme="majorHAnsi"/>
                <w:sz w:val="20"/>
                <w:szCs w:val="20"/>
              </w:rPr>
              <w:t>Conduct site visits and analyze data</w:t>
            </w:r>
          </w:p>
        </w:tc>
      </w:tr>
      <w:tr w:rsidR="00822FBA" w:rsidRPr="009378EC" w14:paraId="6A38BA8F" w14:textId="77777777" w:rsidTr="00995AC4">
        <w:tc>
          <w:tcPr>
            <w:tcW w:w="2520" w:type="dxa"/>
          </w:tcPr>
          <w:p w14:paraId="72D888CB" w14:textId="66055EE1" w:rsidR="00822FBA" w:rsidRPr="009378EC" w:rsidRDefault="00150FA4" w:rsidP="00D24284">
            <w:pPr>
              <w:rPr>
                <w:rFonts w:asciiTheme="majorHAnsi" w:hAnsiTheme="majorHAnsi"/>
                <w:sz w:val="20"/>
                <w:szCs w:val="20"/>
              </w:rPr>
            </w:pPr>
            <w:r>
              <w:rPr>
                <w:rFonts w:asciiTheme="majorHAnsi" w:hAnsiTheme="majorHAnsi"/>
                <w:sz w:val="20"/>
                <w:szCs w:val="20"/>
              </w:rPr>
              <w:t>January – March 2020</w:t>
            </w:r>
          </w:p>
        </w:tc>
        <w:tc>
          <w:tcPr>
            <w:tcW w:w="6475" w:type="dxa"/>
          </w:tcPr>
          <w:p w14:paraId="7804C64F" w14:textId="69FDD51F" w:rsidR="00822FBA" w:rsidRPr="009378EC" w:rsidRDefault="000222F3" w:rsidP="00822FBA">
            <w:pPr>
              <w:rPr>
                <w:rFonts w:asciiTheme="majorHAnsi" w:hAnsiTheme="majorHAnsi"/>
                <w:sz w:val="20"/>
                <w:szCs w:val="20"/>
              </w:rPr>
            </w:pPr>
            <w:r>
              <w:rPr>
                <w:rFonts w:asciiTheme="majorHAnsi" w:hAnsiTheme="majorHAnsi"/>
                <w:sz w:val="20"/>
                <w:szCs w:val="20"/>
              </w:rPr>
              <w:t>Prepare and submit report summaries</w:t>
            </w:r>
          </w:p>
        </w:tc>
      </w:tr>
      <w:tr w:rsidR="00822FBA" w:rsidRPr="009378EC" w14:paraId="6006A923" w14:textId="77777777" w:rsidTr="00995AC4">
        <w:tc>
          <w:tcPr>
            <w:tcW w:w="2520" w:type="dxa"/>
          </w:tcPr>
          <w:p w14:paraId="08A5BA06" w14:textId="6594247D" w:rsidR="00822FBA" w:rsidRPr="009378EC" w:rsidRDefault="00AF0124" w:rsidP="00D24284">
            <w:pPr>
              <w:rPr>
                <w:rFonts w:asciiTheme="majorHAnsi" w:hAnsiTheme="majorHAnsi"/>
                <w:sz w:val="20"/>
                <w:szCs w:val="20"/>
              </w:rPr>
            </w:pPr>
            <w:r>
              <w:rPr>
                <w:rFonts w:asciiTheme="majorHAnsi" w:hAnsiTheme="majorHAnsi"/>
                <w:sz w:val="20"/>
                <w:szCs w:val="20"/>
              </w:rPr>
              <w:t>September</w:t>
            </w:r>
            <w:r w:rsidR="000222F3">
              <w:rPr>
                <w:rFonts w:asciiTheme="majorHAnsi" w:hAnsiTheme="majorHAnsi"/>
                <w:sz w:val="20"/>
                <w:szCs w:val="20"/>
              </w:rPr>
              <w:t xml:space="preserve"> 2020</w:t>
            </w:r>
          </w:p>
        </w:tc>
        <w:tc>
          <w:tcPr>
            <w:tcW w:w="6475" w:type="dxa"/>
          </w:tcPr>
          <w:p w14:paraId="58DE3791" w14:textId="1BF6237A" w:rsidR="00822FBA" w:rsidRPr="009378EC" w:rsidRDefault="000222F3" w:rsidP="00150FA4">
            <w:pPr>
              <w:rPr>
                <w:rFonts w:asciiTheme="majorHAnsi" w:hAnsiTheme="majorHAnsi"/>
                <w:sz w:val="20"/>
                <w:szCs w:val="20"/>
              </w:rPr>
            </w:pPr>
            <w:r>
              <w:rPr>
                <w:rFonts w:asciiTheme="majorHAnsi" w:hAnsiTheme="majorHAnsi"/>
                <w:sz w:val="20"/>
                <w:szCs w:val="20"/>
              </w:rPr>
              <w:t xml:space="preserve">Submit final project report </w:t>
            </w:r>
          </w:p>
        </w:tc>
      </w:tr>
    </w:tbl>
    <w:p w14:paraId="689ABB3F" w14:textId="33D5A67F" w:rsidR="00B12F51" w:rsidRPr="007F07ED" w:rsidRDefault="00D75750" w:rsidP="001B6DA6">
      <w:pPr>
        <w:pStyle w:val="ListParagraph"/>
        <w:keepNext/>
        <w:numPr>
          <w:ilvl w:val="0"/>
          <w:numId w:val="3"/>
        </w:numPr>
        <w:spacing w:before="240" w:after="120" w:line="240" w:lineRule="auto"/>
        <w:contextualSpacing w:val="0"/>
        <w:rPr>
          <w:rFonts w:asciiTheme="majorHAnsi" w:hAnsiTheme="majorHAnsi"/>
          <w:b/>
          <w:sz w:val="24"/>
          <w:szCs w:val="24"/>
        </w:rPr>
      </w:pPr>
      <w:r w:rsidRPr="007F07ED">
        <w:rPr>
          <w:rFonts w:asciiTheme="majorHAnsi" w:hAnsiTheme="majorHAnsi"/>
          <w:b/>
          <w:bCs/>
          <w:sz w:val="24"/>
          <w:szCs w:val="24"/>
        </w:rPr>
        <w:t xml:space="preserve">Reason(s) Display of OMB Expiration </w:t>
      </w:r>
      <w:r w:rsidRPr="007F07ED">
        <w:rPr>
          <w:rFonts w:asciiTheme="majorHAnsi" w:hAnsiTheme="majorHAnsi"/>
          <w:b/>
          <w:sz w:val="24"/>
          <w:szCs w:val="24"/>
        </w:rPr>
        <w:t xml:space="preserve">Date </w:t>
      </w:r>
      <w:r w:rsidRPr="007F07ED">
        <w:rPr>
          <w:rFonts w:asciiTheme="majorHAnsi" w:hAnsiTheme="majorHAnsi"/>
          <w:b/>
          <w:bCs/>
          <w:sz w:val="24"/>
          <w:szCs w:val="24"/>
        </w:rPr>
        <w:t>is Inappropriate</w:t>
      </w:r>
    </w:p>
    <w:p w14:paraId="271C3FF7" w14:textId="45B23FA4" w:rsidR="00F52BCC" w:rsidRPr="00822FBA" w:rsidRDefault="00180D45" w:rsidP="00822FBA">
      <w:pPr>
        <w:spacing w:after="0" w:line="240" w:lineRule="auto"/>
        <w:ind w:left="432"/>
        <w:rPr>
          <w:rFonts w:asciiTheme="majorHAnsi" w:hAnsiTheme="majorHAnsi"/>
          <w:sz w:val="24"/>
          <w:szCs w:val="24"/>
        </w:rPr>
      </w:pPr>
      <w:r w:rsidRPr="00822FBA">
        <w:rPr>
          <w:rFonts w:asciiTheme="majorHAnsi" w:hAnsiTheme="majorHAnsi"/>
          <w:sz w:val="24"/>
          <w:szCs w:val="24"/>
        </w:rPr>
        <w:t>We are requesting no exemption.</w:t>
      </w:r>
    </w:p>
    <w:p w14:paraId="62405E6D" w14:textId="77777777" w:rsidR="00D24284" w:rsidRPr="007F07ED" w:rsidRDefault="00D24284" w:rsidP="00D24284">
      <w:pPr>
        <w:pStyle w:val="ListParagraph"/>
        <w:spacing w:after="0" w:line="240" w:lineRule="auto"/>
        <w:ind w:left="810"/>
        <w:contextualSpacing w:val="0"/>
        <w:rPr>
          <w:rFonts w:asciiTheme="majorHAnsi" w:hAnsiTheme="majorHAnsi"/>
          <w:sz w:val="24"/>
          <w:szCs w:val="24"/>
        </w:rPr>
      </w:pPr>
    </w:p>
    <w:p w14:paraId="01CEA18E" w14:textId="51FA3975" w:rsidR="00B12F51" w:rsidRPr="007F07ED" w:rsidRDefault="00B12F51" w:rsidP="001B6DA6">
      <w:pPr>
        <w:pStyle w:val="ListParagraph"/>
        <w:numPr>
          <w:ilvl w:val="0"/>
          <w:numId w:val="3"/>
        </w:numPr>
        <w:spacing w:after="120" w:line="240" w:lineRule="auto"/>
        <w:contextualSpacing w:val="0"/>
        <w:rPr>
          <w:rFonts w:asciiTheme="majorHAnsi" w:hAnsiTheme="majorHAnsi"/>
          <w:b/>
          <w:sz w:val="24"/>
          <w:szCs w:val="24"/>
        </w:rPr>
      </w:pPr>
      <w:r w:rsidRPr="007F07ED">
        <w:rPr>
          <w:rFonts w:asciiTheme="majorHAnsi" w:hAnsiTheme="majorHAnsi"/>
          <w:b/>
          <w:sz w:val="24"/>
          <w:szCs w:val="24"/>
        </w:rPr>
        <w:t>Exceptions to Certification for Paperwork Reduction Act Submissions</w:t>
      </w:r>
    </w:p>
    <w:p w14:paraId="6F186840" w14:textId="0DBDCAD8" w:rsidR="00F52BCC" w:rsidRPr="00822FBA" w:rsidRDefault="0031279F" w:rsidP="00822FBA">
      <w:pPr>
        <w:spacing w:after="0" w:line="240" w:lineRule="auto"/>
        <w:ind w:left="432"/>
        <w:rPr>
          <w:rFonts w:asciiTheme="majorHAnsi" w:hAnsiTheme="majorHAnsi"/>
          <w:sz w:val="24"/>
          <w:szCs w:val="24"/>
        </w:rPr>
      </w:pPr>
      <w:r w:rsidRPr="00822FBA">
        <w:rPr>
          <w:rFonts w:asciiTheme="majorHAnsi" w:hAnsiTheme="majorHAnsi"/>
          <w:sz w:val="24"/>
          <w:szCs w:val="24"/>
        </w:rPr>
        <w:t>There are no exceptions to the certification.</w:t>
      </w:r>
      <w:r w:rsidR="00180D45" w:rsidRPr="00822FBA">
        <w:rPr>
          <w:rFonts w:asciiTheme="majorHAnsi" w:hAnsiTheme="majorHAnsi"/>
          <w:sz w:val="24"/>
          <w:szCs w:val="24"/>
        </w:rPr>
        <w:t xml:space="preserve"> These activities comply with the requirements in 5 CFR 1320.9.</w:t>
      </w:r>
    </w:p>
    <w:p w14:paraId="16644AC7" w14:textId="4109E736" w:rsidR="00385BB5" w:rsidRPr="007F07ED" w:rsidRDefault="00385BB5" w:rsidP="00D24284">
      <w:pPr>
        <w:spacing w:after="0" w:line="240" w:lineRule="auto"/>
        <w:rPr>
          <w:rFonts w:asciiTheme="majorHAnsi" w:hAnsiTheme="majorHAnsi"/>
          <w:b/>
          <w:sz w:val="24"/>
          <w:szCs w:val="24"/>
        </w:rPr>
      </w:pPr>
    </w:p>
    <w:p w14:paraId="08562591" w14:textId="170E77A7" w:rsidR="00A12CA8" w:rsidRPr="007F07ED" w:rsidRDefault="00254D2B" w:rsidP="00570CA6">
      <w:pPr>
        <w:spacing w:after="120"/>
        <w:rPr>
          <w:rFonts w:asciiTheme="majorHAnsi" w:hAnsiTheme="majorHAnsi"/>
          <w:b/>
          <w:sz w:val="24"/>
          <w:szCs w:val="24"/>
        </w:rPr>
      </w:pPr>
      <w:r w:rsidRPr="007F07ED">
        <w:rPr>
          <w:rFonts w:asciiTheme="majorHAnsi" w:hAnsiTheme="majorHAnsi"/>
          <w:b/>
          <w:sz w:val="24"/>
          <w:szCs w:val="24"/>
        </w:rPr>
        <w:t>REFERENCES</w:t>
      </w:r>
    </w:p>
    <w:p w14:paraId="0BECAE5C" w14:textId="31C559F9" w:rsidR="00546615" w:rsidRPr="00255285" w:rsidRDefault="00546615" w:rsidP="00255285">
      <w:pPr>
        <w:pStyle w:val="BodyText"/>
        <w:kinsoku w:val="0"/>
        <w:overflowPunct w:val="0"/>
        <w:spacing w:line="259" w:lineRule="auto"/>
        <w:rPr>
          <w:rFonts w:asciiTheme="majorHAnsi" w:hAnsiTheme="majorHAnsi"/>
          <w:sz w:val="24"/>
          <w:szCs w:val="24"/>
        </w:rPr>
      </w:pPr>
      <w:r w:rsidRPr="00255285">
        <w:rPr>
          <w:rFonts w:asciiTheme="majorHAnsi" w:hAnsiTheme="majorHAnsi"/>
          <w:sz w:val="24"/>
          <w:szCs w:val="24"/>
        </w:rPr>
        <w:t xml:space="preserve">Anda RF, Brown DF, Felitti VJ, et al. (2008). Adverse childhood experiences and prescription drug use in a cohort study of adult HMO patients. </w:t>
      </w:r>
      <w:r w:rsidRPr="00255285">
        <w:rPr>
          <w:rFonts w:asciiTheme="majorHAnsi" w:hAnsiTheme="majorHAnsi"/>
          <w:i/>
          <w:iCs/>
          <w:sz w:val="24"/>
          <w:szCs w:val="24"/>
        </w:rPr>
        <w:t>BMC Public Health</w:t>
      </w:r>
      <w:r w:rsidRPr="00255285">
        <w:rPr>
          <w:rFonts w:asciiTheme="majorHAnsi" w:hAnsiTheme="majorHAnsi"/>
          <w:sz w:val="24"/>
          <w:szCs w:val="24"/>
        </w:rPr>
        <w:t xml:space="preserve">, </w:t>
      </w:r>
      <w:r w:rsidRPr="00255285">
        <w:rPr>
          <w:rFonts w:asciiTheme="majorHAnsi" w:hAnsiTheme="majorHAnsi"/>
          <w:i/>
          <w:iCs/>
          <w:sz w:val="24"/>
          <w:szCs w:val="24"/>
        </w:rPr>
        <w:t>8,</w:t>
      </w:r>
      <w:r w:rsidRPr="00255285">
        <w:rPr>
          <w:rFonts w:asciiTheme="majorHAnsi" w:hAnsiTheme="majorHAnsi"/>
          <w:sz w:val="24"/>
          <w:szCs w:val="24"/>
        </w:rPr>
        <w:t>198.</w:t>
      </w:r>
    </w:p>
    <w:p w14:paraId="01C4442E" w14:textId="6576CE8E" w:rsidR="007A7264" w:rsidRPr="00255285" w:rsidRDefault="007A7264" w:rsidP="00D63636">
      <w:pPr>
        <w:spacing w:after="120" w:line="259" w:lineRule="auto"/>
        <w:rPr>
          <w:rFonts w:asciiTheme="majorHAnsi" w:hAnsiTheme="majorHAnsi"/>
          <w:sz w:val="24"/>
          <w:szCs w:val="24"/>
        </w:rPr>
      </w:pPr>
      <w:r w:rsidRPr="00255285">
        <w:rPr>
          <w:rFonts w:asciiTheme="majorHAnsi" w:hAnsiTheme="majorHAnsi"/>
          <w:sz w:val="24"/>
          <w:szCs w:val="24"/>
        </w:rPr>
        <w:t xml:space="preserve">Bruskas D &amp; Tessin DH. (2013). Adverse childhood experiences and psychosocial well-being of women who were in foster care as children. </w:t>
      </w:r>
      <w:r w:rsidRPr="00255285">
        <w:rPr>
          <w:rFonts w:asciiTheme="majorHAnsi" w:hAnsiTheme="majorHAnsi"/>
          <w:i/>
          <w:iCs/>
          <w:sz w:val="24"/>
          <w:szCs w:val="24"/>
        </w:rPr>
        <w:t>The Permanente Journal</w:t>
      </w:r>
      <w:r w:rsidRPr="00255285">
        <w:rPr>
          <w:rFonts w:asciiTheme="majorHAnsi" w:hAnsiTheme="majorHAnsi"/>
          <w:sz w:val="24"/>
          <w:szCs w:val="24"/>
        </w:rPr>
        <w:t xml:space="preserve">, </w:t>
      </w:r>
      <w:r w:rsidRPr="00255285">
        <w:rPr>
          <w:rFonts w:asciiTheme="majorHAnsi" w:hAnsiTheme="majorHAnsi"/>
          <w:i/>
          <w:iCs/>
          <w:sz w:val="24"/>
          <w:szCs w:val="24"/>
        </w:rPr>
        <w:t>17</w:t>
      </w:r>
      <w:r w:rsidRPr="00255285">
        <w:rPr>
          <w:rFonts w:asciiTheme="majorHAnsi" w:hAnsiTheme="majorHAnsi"/>
          <w:sz w:val="24"/>
          <w:szCs w:val="24"/>
        </w:rPr>
        <w:t xml:space="preserve">(3), e131–e141.  </w:t>
      </w:r>
    </w:p>
    <w:p w14:paraId="1004EFFA" w14:textId="59D5FFD4" w:rsidR="00983F2E" w:rsidRPr="00255285" w:rsidRDefault="00983F2E" w:rsidP="00EE7C5E">
      <w:pPr>
        <w:spacing w:after="120" w:line="259" w:lineRule="auto"/>
        <w:rPr>
          <w:rFonts w:asciiTheme="majorHAnsi" w:eastAsia="Calibri" w:hAnsiTheme="majorHAnsi" w:cs="Times New Roman"/>
          <w:sz w:val="24"/>
          <w:szCs w:val="24"/>
        </w:rPr>
      </w:pPr>
      <w:r w:rsidRPr="00255285">
        <w:rPr>
          <w:rFonts w:asciiTheme="majorHAnsi" w:hAnsiTheme="majorHAnsi"/>
          <w:sz w:val="24"/>
          <w:szCs w:val="24"/>
        </w:rPr>
        <w:t>Children’s Bureau. (2018). Trends in Foster Care and Adoption: FY 2008 – FY 2017. Available at https://www.acf.hhs.gov/cb/resource/trends-in-foster-care-and-adoption.</w:t>
      </w:r>
    </w:p>
    <w:p w14:paraId="71EE32C5" w14:textId="77777777" w:rsidR="00721B3B" w:rsidRPr="00255285" w:rsidRDefault="00721B3B" w:rsidP="00EE7C5E">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Child Welfare Information Gateway. “Rural Child Welfare Practice.” Washington, DC: Children’s Bureau, 2018. Available at https://www.childwelfare.gov/pubPDFs/rural.pdf. Accessed July 10, 2018.</w:t>
      </w:r>
    </w:p>
    <w:p w14:paraId="14D9476A" w14:textId="1F756720" w:rsidR="00546615" w:rsidRPr="00255285" w:rsidRDefault="00546615" w:rsidP="00255285">
      <w:pPr>
        <w:pStyle w:val="BodyText"/>
        <w:kinsoku w:val="0"/>
        <w:overflowPunct w:val="0"/>
        <w:spacing w:line="259" w:lineRule="auto"/>
        <w:rPr>
          <w:rFonts w:asciiTheme="majorHAnsi" w:hAnsiTheme="majorHAnsi"/>
          <w:sz w:val="24"/>
          <w:szCs w:val="24"/>
        </w:rPr>
      </w:pPr>
      <w:r w:rsidRPr="00255285">
        <w:rPr>
          <w:rFonts w:asciiTheme="majorHAnsi" w:hAnsiTheme="majorHAnsi"/>
          <w:sz w:val="24"/>
          <w:szCs w:val="24"/>
        </w:rPr>
        <w:t xml:space="preserve">Conron KJ, Beardslee W, Koenen KC, et al. (2009). A longitudinal study of maternal depression and child maltreatment in a national sample of families investigated by child protective services. </w:t>
      </w:r>
      <w:r w:rsidRPr="00255285">
        <w:rPr>
          <w:rFonts w:asciiTheme="majorHAnsi" w:hAnsiTheme="majorHAnsi"/>
          <w:i/>
          <w:iCs/>
          <w:sz w:val="24"/>
          <w:szCs w:val="24"/>
        </w:rPr>
        <w:t>Archives of Pediatrics &amp; Adolescent Medicine, 163</w:t>
      </w:r>
      <w:r w:rsidRPr="00255285">
        <w:rPr>
          <w:rFonts w:asciiTheme="majorHAnsi" w:hAnsiTheme="majorHAnsi"/>
          <w:sz w:val="24"/>
          <w:szCs w:val="24"/>
        </w:rPr>
        <w:t>(10), 922.</w:t>
      </w:r>
    </w:p>
    <w:p w14:paraId="1D7C31F7" w14:textId="73072E1E" w:rsidR="00546615" w:rsidRPr="00255285" w:rsidRDefault="00546615" w:rsidP="00255285">
      <w:pPr>
        <w:pStyle w:val="BodyText"/>
        <w:kinsoku w:val="0"/>
        <w:overflowPunct w:val="0"/>
        <w:spacing w:before="5" w:line="259" w:lineRule="auto"/>
        <w:ind w:right="115"/>
        <w:rPr>
          <w:rFonts w:asciiTheme="majorHAnsi" w:hAnsiTheme="majorHAnsi"/>
          <w:sz w:val="24"/>
          <w:szCs w:val="24"/>
        </w:rPr>
      </w:pPr>
      <w:r w:rsidRPr="00255285">
        <w:rPr>
          <w:rFonts w:asciiTheme="majorHAnsi" w:hAnsiTheme="majorHAnsi"/>
          <w:sz w:val="24"/>
          <w:szCs w:val="24"/>
        </w:rPr>
        <w:t xml:space="preserve">Dube SR, Felitti VJ, Dong M, et al. (2003). Childhood abuse, neglect, and household dysfunction and the risk of illicit drug use: The adverse childhood experiences study. </w:t>
      </w:r>
      <w:r w:rsidRPr="00255285">
        <w:rPr>
          <w:rFonts w:asciiTheme="majorHAnsi" w:hAnsiTheme="majorHAnsi"/>
          <w:i/>
          <w:iCs/>
          <w:sz w:val="24"/>
          <w:szCs w:val="24"/>
        </w:rPr>
        <w:t>Pediatrics</w:t>
      </w:r>
      <w:r w:rsidRPr="00255285">
        <w:rPr>
          <w:rFonts w:asciiTheme="majorHAnsi" w:hAnsiTheme="majorHAnsi"/>
          <w:sz w:val="24"/>
          <w:szCs w:val="24"/>
        </w:rPr>
        <w:t xml:space="preserve">, </w:t>
      </w:r>
      <w:r w:rsidRPr="00255285">
        <w:rPr>
          <w:rFonts w:asciiTheme="majorHAnsi" w:hAnsiTheme="majorHAnsi"/>
          <w:i/>
          <w:iCs/>
          <w:sz w:val="24"/>
          <w:szCs w:val="24"/>
        </w:rPr>
        <w:t>111</w:t>
      </w:r>
      <w:r w:rsidRPr="00255285">
        <w:rPr>
          <w:rFonts w:asciiTheme="majorHAnsi" w:hAnsiTheme="majorHAnsi"/>
          <w:sz w:val="24"/>
          <w:szCs w:val="24"/>
        </w:rPr>
        <w:t>(3), 564–572.</w:t>
      </w:r>
    </w:p>
    <w:p w14:paraId="3D82D16C" w14:textId="4056C640" w:rsidR="007A7264" w:rsidRDefault="00066762" w:rsidP="00255285">
      <w:pPr>
        <w:autoSpaceDE w:val="0"/>
        <w:autoSpaceDN w:val="0"/>
        <w:adjustRightInd w:val="0"/>
        <w:spacing w:after="120" w:line="259" w:lineRule="auto"/>
        <w:rPr>
          <w:rFonts w:asciiTheme="majorHAnsi" w:hAnsiTheme="majorHAnsi" w:cs="Times New Roman"/>
          <w:sz w:val="24"/>
          <w:szCs w:val="24"/>
        </w:rPr>
      </w:pPr>
      <w:r w:rsidRPr="00255285">
        <w:rPr>
          <w:rFonts w:asciiTheme="majorHAnsi" w:hAnsiTheme="majorHAnsi" w:cs="Times New Roman"/>
          <w:sz w:val="24"/>
          <w:szCs w:val="24"/>
        </w:rPr>
        <w:t xml:space="preserve">First Focus Campaign for Children. (March 2018). Family First Prevention Services Act: Bill Summary. </w:t>
      </w:r>
      <w:r w:rsidR="00B10863" w:rsidRPr="00255285">
        <w:rPr>
          <w:rFonts w:asciiTheme="majorHAnsi" w:hAnsiTheme="majorHAnsi" w:cs="Times New Roman"/>
          <w:sz w:val="24"/>
          <w:szCs w:val="24"/>
        </w:rPr>
        <w:t>Retrieved from</w:t>
      </w:r>
      <w:r w:rsidR="00570CA6" w:rsidRPr="00255285">
        <w:rPr>
          <w:rFonts w:asciiTheme="majorHAnsi" w:hAnsiTheme="majorHAnsi" w:cs="Times New Roman"/>
          <w:sz w:val="24"/>
          <w:szCs w:val="24"/>
        </w:rPr>
        <w:t xml:space="preserve"> </w:t>
      </w:r>
      <w:hyperlink r:id="rId11" w:history="1">
        <w:r w:rsidR="00C043CA" w:rsidRPr="006A666B">
          <w:rPr>
            <w:rStyle w:val="Hyperlink"/>
            <w:rFonts w:asciiTheme="majorHAnsi" w:hAnsiTheme="majorHAnsi" w:cs="Times New Roman"/>
            <w:sz w:val="24"/>
            <w:szCs w:val="24"/>
          </w:rPr>
          <w:t>https://campaignforchildren.org/wp-content/uploads/sites/2/2016/06/FFCC-Short-Summary-FFPSA.pdf</w:t>
        </w:r>
      </w:hyperlink>
    </w:p>
    <w:p w14:paraId="558D5EBE" w14:textId="7239816F" w:rsidR="00C043CA" w:rsidRPr="00C043CA" w:rsidRDefault="00C043CA" w:rsidP="00C043CA">
      <w:pPr>
        <w:autoSpaceDE w:val="0"/>
        <w:autoSpaceDN w:val="0"/>
        <w:adjustRightInd w:val="0"/>
        <w:spacing w:after="120" w:line="259" w:lineRule="auto"/>
        <w:rPr>
          <w:rFonts w:asciiTheme="majorHAnsi" w:hAnsiTheme="majorHAnsi" w:cs="Times New Roman"/>
          <w:sz w:val="24"/>
          <w:szCs w:val="24"/>
        </w:rPr>
      </w:pPr>
      <w:r w:rsidRPr="00C043CA">
        <w:rPr>
          <w:rFonts w:asciiTheme="majorHAnsi" w:hAnsiTheme="majorHAnsi" w:cs="Times New Roman"/>
          <w:sz w:val="24"/>
          <w:szCs w:val="24"/>
        </w:rPr>
        <w:t>Felitti, V. J., Anda, R. F., Nordenberg, D., Williamson, D. F., Spitz, A. M., Edwards, V., … Marks, J. S. (1998). Relationship of childhood abuse and household dysfunction to many of the leading causes of death in adults. The Adverse Childhood Experiences (ACE) Study. American Journal of Prev</w:t>
      </w:r>
      <w:r>
        <w:rPr>
          <w:rFonts w:asciiTheme="majorHAnsi" w:hAnsiTheme="majorHAnsi" w:cs="Times New Roman"/>
          <w:sz w:val="24"/>
          <w:szCs w:val="24"/>
        </w:rPr>
        <w:t>entive Medicine, 14(4),245–258.</w:t>
      </w:r>
    </w:p>
    <w:p w14:paraId="47B048BC" w14:textId="26317014" w:rsidR="00C043CA" w:rsidRPr="00C043CA" w:rsidRDefault="00C043CA" w:rsidP="00C043CA">
      <w:pPr>
        <w:autoSpaceDE w:val="0"/>
        <w:autoSpaceDN w:val="0"/>
        <w:adjustRightInd w:val="0"/>
        <w:spacing w:after="120" w:line="259" w:lineRule="auto"/>
        <w:rPr>
          <w:rFonts w:asciiTheme="majorHAnsi" w:hAnsiTheme="majorHAnsi" w:cs="Times New Roman"/>
          <w:sz w:val="24"/>
          <w:szCs w:val="24"/>
        </w:rPr>
      </w:pPr>
      <w:r w:rsidRPr="00C043CA">
        <w:rPr>
          <w:rFonts w:asciiTheme="majorHAnsi" w:hAnsiTheme="majorHAnsi" w:cs="Times New Roman"/>
          <w:sz w:val="24"/>
          <w:szCs w:val="24"/>
        </w:rPr>
        <w:t>Finkelhor, D., Turner, H. A., Shattuck, A., &amp; Hamby, S. L. (2013). Violence, Crime, and Abuse Exposure in a National Sample of Children and Youth. JAMA Pediatrics</w:t>
      </w:r>
      <w:r>
        <w:rPr>
          <w:rFonts w:asciiTheme="majorHAnsi" w:hAnsiTheme="majorHAnsi" w:cs="Times New Roman"/>
          <w:sz w:val="24"/>
          <w:szCs w:val="24"/>
        </w:rPr>
        <w:t xml:space="preserve">, 167(7), 614. </w:t>
      </w:r>
    </w:p>
    <w:p w14:paraId="3DEE924D" w14:textId="26BA8906" w:rsidR="00C043CA" w:rsidRPr="00456E10" w:rsidRDefault="00C043CA" w:rsidP="00255285">
      <w:pPr>
        <w:autoSpaceDE w:val="0"/>
        <w:autoSpaceDN w:val="0"/>
        <w:adjustRightInd w:val="0"/>
        <w:spacing w:after="120" w:line="259" w:lineRule="auto"/>
        <w:rPr>
          <w:rFonts w:asciiTheme="majorHAnsi" w:hAnsiTheme="majorHAnsi" w:cs="Times New Roman"/>
          <w:sz w:val="24"/>
          <w:szCs w:val="24"/>
        </w:rPr>
      </w:pPr>
      <w:r w:rsidRPr="00C043CA">
        <w:rPr>
          <w:rFonts w:asciiTheme="majorHAnsi" w:hAnsiTheme="majorHAnsi" w:cs="Times New Roman"/>
          <w:sz w:val="24"/>
          <w:szCs w:val="24"/>
        </w:rPr>
        <w:t>Fin, L. K., Breiding, M. J., Merrick, M. T., Thompson, W. W., Ford, D. C., Dhingra, S. S., &amp; Parks, S. E. (2015). Childhood Adversity and Adult Chronic Disease: An Update from Ten States and the District of Columbia, 2010. American Journal of Preventive Medicine, 48(3), 345–349.</w:t>
      </w:r>
    </w:p>
    <w:p w14:paraId="5A1EB3F7" w14:textId="4BAEA678" w:rsidR="00721B3B" w:rsidRPr="00255285" w:rsidRDefault="00721B3B" w:rsidP="00D63636">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Ghertner, R., and L. Groves. “The Opioid Crisis and Economic Opportunity: Geographic and Economic Trends.” ASPE Research Brief. Washington, DC: U.S. Department of Health and Human Services, Office of the Assistant Secretary for Planning and Evaluation, June 29, 2018.</w:t>
      </w:r>
    </w:p>
    <w:p w14:paraId="66EAEE9C" w14:textId="4C50B01C" w:rsidR="00721B3B" w:rsidRPr="00255285" w:rsidRDefault="00721B3B" w:rsidP="00EE7C5E">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 xml:space="preserve">Keyes, K.M., M. Cerdá, J.E. Brady, J.R. Havens, and S. Galea. “Understanding the Rural-Urban Differences in Nonmedical Prescription Opioid Use and Abuse in the United States.” </w:t>
      </w:r>
      <w:r w:rsidRPr="00255285">
        <w:rPr>
          <w:rFonts w:asciiTheme="majorHAnsi" w:eastAsia="Calibri" w:hAnsiTheme="majorHAnsi" w:cs="Times New Roman"/>
          <w:i/>
          <w:sz w:val="24"/>
          <w:szCs w:val="24"/>
        </w:rPr>
        <w:t>American Journal of Public Health,</w:t>
      </w:r>
      <w:r w:rsidRPr="00255285">
        <w:rPr>
          <w:rFonts w:asciiTheme="majorHAnsi" w:eastAsia="Calibri" w:hAnsiTheme="majorHAnsi" w:cs="Times New Roman"/>
          <w:sz w:val="24"/>
          <w:szCs w:val="24"/>
        </w:rPr>
        <w:t xml:space="preserve"> vol. 104, no. 2, 2014, pp. e52-e59.</w:t>
      </w:r>
    </w:p>
    <w:p w14:paraId="274F55C7" w14:textId="1178E22C" w:rsidR="00066762" w:rsidRPr="00D63636" w:rsidRDefault="00066762" w:rsidP="00255285">
      <w:pPr>
        <w:autoSpaceDE w:val="0"/>
        <w:autoSpaceDN w:val="0"/>
        <w:adjustRightInd w:val="0"/>
        <w:spacing w:after="120" w:line="259" w:lineRule="auto"/>
        <w:rPr>
          <w:rFonts w:asciiTheme="majorHAnsi" w:hAnsiTheme="majorHAnsi" w:cs="Times New Roman"/>
          <w:sz w:val="24"/>
          <w:szCs w:val="24"/>
        </w:rPr>
      </w:pPr>
      <w:r w:rsidRPr="00D63636">
        <w:rPr>
          <w:rFonts w:asciiTheme="majorHAnsi" w:hAnsiTheme="majorHAnsi" w:cs="Times New Roman"/>
          <w:sz w:val="24"/>
          <w:szCs w:val="24"/>
        </w:rPr>
        <w:t xml:space="preserve">Kumpfer KL. Special populations: Etiology and prevention of vulnerability to chemical dependency in children of substance </w:t>
      </w:r>
      <w:r w:rsidRPr="000B635B">
        <w:rPr>
          <w:rFonts w:asciiTheme="majorHAnsi" w:hAnsiTheme="majorHAnsi" w:cs="Times New Roman"/>
          <w:sz w:val="24"/>
          <w:szCs w:val="24"/>
        </w:rPr>
        <w:t xml:space="preserve">abusers. In Brown BS, Mills AR, Eds., </w:t>
      </w:r>
      <w:r w:rsidRPr="000B635B">
        <w:rPr>
          <w:rFonts w:asciiTheme="majorHAnsi" w:hAnsiTheme="majorHAnsi" w:cs="Times New Roman"/>
          <w:i/>
          <w:iCs/>
          <w:sz w:val="24"/>
          <w:szCs w:val="24"/>
        </w:rPr>
        <w:t xml:space="preserve">Youth at High Risk for Substance Abuse. </w:t>
      </w:r>
      <w:r w:rsidRPr="00EE7C5E">
        <w:rPr>
          <w:rFonts w:asciiTheme="majorHAnsi" w:hAnsiTheme="majorHAnsi" w:cs="Times New Roman"/>
          <w:sz w:val="24"/>
          <w:szCs w:val="24"/>
        </w:rPr>
        <w:t>Rockville, MD: National Institute on Drug Addiction Research Monograph; 1987.</w:t>
      </w:r>
    </w:p>
    <w:p w14:paraId="13B695EC" w14:textId="047E0EB7" w:rsidR="00066762" w:rsidRPr="00D63636" w:rsidRDefault="00066762" w:rsidP="00255285">
      <w:pPr>
        <w:autoSpaceDE w:val="0"/>
        <w:autoSpaceDN w:val="0"/>
        <w:adjustRightInd w:val="0"/>
        <w:spacing w:after="120" w:line="259" w:lineRule="auto"/>
        <w:rPr>
          <w:rFonts w:asciiTheme="majorHAnsi" w:eastAsia="Calibri" w:hAnsiTheme="majorHAnsi" w:cs="Times New Roman"/>
          <w:sz w:val="24"/>
          <w:szCs w:val="24"/>
        </w:rPr>
      </w:pPr>
      <w:r w:rsidRPr="00D63636">
        <w:rPr>
          <w:rFonts w:asciiTheme="majorHAnsi" w:hAnsiTheme="majorHAnsi" w:cs="Times New Roman"/>
          <w:sz w:val="24"/>
          <w:szCs w:val="24"/>
        </w:rPr>
        <w:t>NIDA. (2016, March 9). Principles of substance abuse prevention for early childhood. Retrieved from</w:t>
      </w:r>
      <w:r w:rsidR="00D63636">
        <w:rPr>
          <w:rFonts w:asciiTheme="majorHAnsi" w:hAnsiTheme="majorHAnsi" w:cs="Times New Roman"/>
          <w:sz w:val="24"/>
          <w:szCs w:val="24"/>
        </w:rPr>
        <w:t xml:space="preserve"> </w:t>
      </w:r>
      <w:r w:rsidRPr="00D63636">
        <w:rPr>
          <w:rFonts w:asciiTheme="majorHAnsi" w:hAnsiTheme="majorHAnsi" w:cs="Times New Roman"/>
          <w:sz w:val="24"/>
          <w:szCs w:val="24"/>
        </w:rPr>
        <w:t>https://www.drugabuse.gov/publications/principles-substance-abuse-prevention-early-childhood</w:t>
      </w:r>
    </w:p>
    <w:p w14:paraId="5DD0B561" w14:textId="77777777" w:rsidR="00721B3B" w:rsidRPr="00255285" w:rsidRDefault="00721B3B" w:rsidP="00D63636">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 xml:space="preserve">Oliveros, A., and J. Kaufman. “Addressing Substance Abuse Treatment Needs of Parents Involved with the Child Welfare System.” </w:t>
      </w:r>
      <w:r w:rsidRPr="00255285">
        <w:rPr>
          <w:rFonts w:asciiTheme="majorHAnsi" w:eastAsia="Calibri" w:hAnsiTheme="majorHAnsi" w:cs="Times New Roman"/>
          <w:i/>
          <w:sz w:val="24"/>
          <w:szCs w:val="24"/>
        </w:rPr>
        <w:t>Child Welfare,</w:t>
      </w:r>
      <w:r w:rsidRPr="00255285">
        <w:rPr>
          <w:rFonts w:asciiTheme="majorHAnsi" w:eastAsia="Calibri" w:hAnsiTheme="majorHAnsi" w:cs="Times New Roman"/>
          <w:sz w:val="24"/>
          <w:szCs w:val="24"/>
        </w:rPr>
        <w:t xml:space="preserve"> vol. 90, no. 1, 2011, pp. 25–41.</w:t>
      </w:r>
    </w:p>
    <w:p w14:paraId="2ACB3ADB" w14:textId="77777777" w:rsidR="00721B3B" w:rsidRPr="00255285" w:rsidRDefault="00721B3B" w:rsidP="00EE7C5E">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Radel, L., M. Baldwin, G. Crouse, R. Ghertner, and A. Waters. “Substance Use, the Opioid Epidemic, and the Child Welfare System: Key Findings from a Mixed Methods Study.” ASPE Research Brief. Washington, DC: U.S. Department of Health and Human Services, Office of the Assistant Secretary for Planning and Evaluation, March 7, 2018.</w:t>
      </w:r>
    </w:p>
    <w:p w14:paraId="519DBD9F" w14:textId="451B6BC7" w:rsidR="00721B3B" w:rsidRPr="00255285" w:rsidRDefault="00721B3B" w:rsidP="00EE7C5E">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 xml:space="preserve">Rosenblatt, R.A., C.H.A. Andrilla, M. Catlin, and E.H. Larson. “Geographic and Specialty Distribution of US Physicians Trained to Treat Opioid Use Disorder.” </w:t>
      </w:r>
      <w:r w:rsidRPr="00255285">
        <w:rPr>
          <w:rFonts w:asciiTheme="majorHAnsi" w:eastAsia="Calibri" w:hAnsiTheme="majorHAnsi" w:cs="Times New Roman"/>
          <w:i/>
          <w:sz w:val="24"/>
          <w:szCs w:val="24"/>
        </w:rPr>
        <w:t>Annals of Family Medicine,</w:t>
      </w:r>
      <w:r w:rsidRPr="00255285">
        <w:rPr>
          <w:rFonts w:asciiTheme="majorHAnsi" w:eastAsia="Calibri" w:hAnsiTheme="majorHAnsi" w:cs="Times New Roman"/>
          <w:sz w:val="24"/>
          <w:szCs w:val="24"/>
        </w:rPr>
        <w:t xml:space="preserve"> vol. 13, no. 1, 2015, pp. 23–26. Available at https://doi.org/10.1370/afm.1735</w:t>
      </w:r>
      <w:r w:rsidR="003A00A0" w:rsidRPr="00255285">
        <w:rPr>
          <w:rFonts w:asciiTheme="majorHAnsi" w:eastAsia="Calibri" w:hAnsiTheme="majorHAnsi" w:cs="Times New Roman"/>
          <w:sz w:val="24"/>
          <w:szCs w:val="24"/>
        </w:rPr>
        <w:t>.</w:t>
      </w:r>
      <w:r w:rsidRPr="00255285">
        <w:rPr>
          <w:rFonts w:asciiTheme="majorHAnsi" w:eastAsia="Calibri" w:hAnsiTheme="majorHAnsi" w:cs="Times New Roman"/>
          <w:sz w:val="24"/>
          <w:szCs w:val="24"/>
        </w:rPr>
        <w:t xml:space="preserve"> Accessed July 9, 2018.</w:t>
      </w:r>
    </w:p>
    <w:p w14:paraId="2B806357" w14:textId="2D68E3B5" w:rsidR="00721B3B" w:rsidRPr="00255285" w:rsidRDefault="00721B3B" w:rsidP="00EE7C5E">
      <w:pPr>
        <w:spacing w:after="12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 xml:space="preserve">The President’s Commission on Combating Drug Addiction and the Opioid Crisis. 2017. </w:t>
      </w:r>
      <w:r w:rsidR="003A00A0" w:rsidRPr="00255285">
        <w:rPr>
          <w:rFonts w:asciiTheme="majorHAnsi" w:eastAsia="Calibri" w:hAnsiTheme="majorHAnsi" w:cs="Times New Roman"/>
          <w:sz w:val="24"/>
          <w:szCs w:val="24"/>
        </w:rPr>
        <w:t xml:space="preserve">Available at </w:t>
      </w:r>
      <w:hyperlink r:id="rId12" w:history="1">
        <w:r w:rsidRPr="00255285">
          <w:rPr>
            <w:rFonts w:asciiTheme="majorHAnsi" w:eastAsia="Calibri" w:hAnsiTheme="majorHAnsi" w:cs="Times New Roman"/>
            <w:sz w:val="24"/>
            <w:szCs w:val="24"/>
          </w:rPr>
          <w:t>https://www.whitehouse.gov/sites/whitehouse.gov/files/images/Final_Report_Draft_11-1-2017.pdf</w:t>
        </w:r>
      </w:hyperlink>
      <w:r w:rsidR="003A00A0" w:rsidRPr="00255285">
        <w:rPr>
          <w:rFonts w:asciiTheme="majorHAnsi" w:eastAsia="Calibri" w:hAnsiTheme="majorHAnsi" w:cs="Times New Roman"/>
          <w:sz w:val="24"/>
          <w:szCs w:val="24"/>
        </w:rPr>
        <w:t>.</w:t>
      </w:r>
      <w:r w:rsidRPr="00255285">
        <w:rPr>
          <w:rFonts w:asciiTheme="majorHAnsi" w:eastAsia="Calibri" w:hAnsiTheme="majorHAnsi" w:cs="Times New Roman"/>
          <w:sz w:val="24"/>
          <w:szCs w:val="24"/>
        </w:rPr>
        <w:t xml:space="preserve"> </w:t>
      </w:r>
    </w:p>
    <w:p w14:paraId="776FCDA1" w14:textId="2343693A" w:rsidR="00721B3B" w:rsidRPr="00255285" w:rsidRDefault="00721B3B">
      <w:pPr>
        <w:spacing w:after="160" w:line="259" w:lineRule="auto"/>
        <w:rPr>
          <w:rFonts w:asciiTheme="majorHAnsi" w:eastAsia="Calibri" w:hAnsiTheme="majorHAnsi" w:cs="Times New Roman"/>
          <w:sz w:val="24"/>
          <w:szCs w:val="24"/>
        </w:rPr>
      </w:pPr>
      <w:r w:rsidRPr="00255285">
        <w:rPr>
          <w:rFonts w:asciiTheme="majorHAnsi" w:eastAsia="Calibri" w:hAnsiTheme="majorHAnsi" w:cs="Times New Roman"/>
          <w:sz w:val="24"/>
          <w:szCs w:val="24"/>
        </w:rPr>
        <w:t xml:space="preserve">Vivolo-Kantor A.M., P. Seth, R.M. Gladden, C.L. Mattson, G.T. Baldwin, A. Kite-Powell, and M.A. Coletta. “Vital Signs: Trends in Emergency Department Visits for Suspected Opioid Overdoses—United States, July 2016–September 2017.” </w:t>
      </w:r>
      <w:r w:rsidRPr="00255285">
        <w:rPr>
          <w:rFonts w:asciiTheme="majorHAnsi" w:eastAsia="Calibri" w:hAnsiTheme="majorHAnsi" w:cs="Times New Roman"/>
          <w:i/>
          <w:sz w:val="24"/>
          <w:szCs w:val="24"/>
        </w:rPr>
        <w:t>Morbidity and Mortality Weekly Report,</w:t>
      </w:r>
      <w:r w:rsidRPr="00255285">
        <w:rPr>
          <w:rFonts w:asciiTheme="majorHAnsi" w:eastAsia="Calibri" w:hAnsiTheme="majorHAnsi" w:cs="Times New Roman"/>
          <w:sz w:val="24"/>
          <w:szCs w:val="24"/>
        </w:rPr>
        <w:t xml:space="preserve"> vol. 67, no. 9, 2018, pp. 279–285. Available at http://dx.doi.org/10.15585/mmwr.mm6709e. Accessed July 16, 2018.</w:t>
      </w:r>
    </w:p>
    <w:p w14:paraId="6BEBF182" w14:textId="77777777" w:rsidR="00A12CA8" w:rsidRPr="007F07ED" w:rsidRDefault="00A12CA8" w:rsidP="00AD7F9F">
      <w:pPr>
        <w:spacing w:after="0" w:line="240" w:lineRule="auto"/>
        <w:rPr>
          <w:rFonts w:asciiTheme="majorHAnsi" w:hAnsiTheme="majorHAnsi"/>
          <w:b/>
          <w:sz w:val="24"/>
          <w:szCs w:val="24"/>
        </w:rPr>
      </w:pPr>
    </w:p>
    <w:p w14:paraId="20957183" w14:textId="77777777" w:rsidR="00A36419" w:rsidRPr="007F07ED" w:rsidRDefault="00A36419" w:rsidP="00AD7F9F">
      <w:pPr>
        <w:spacing w:after="0" w:line="240" w:lineRule="auto"/>
        <w:rPr>
          <w:rFonts w:asciiTheme="majorHAnsi" w:hAnsiTheme="majorHAnsi"/>
          <w:b/>
          <w:sz w:val="24"/>
          <w:szCs w:val="24"/>
        </w:rPr>
      </w:pPr>
      <w:r w:rsidRPr="007F07ED">
        <w:rPr>
          <w:rFonts w:asciiTheme="majorHAnsi" w:hAnsiTheme="majorHAnsi"/>
          <w:b/>
          <w:sz w:val="24"/>
          <w:szCs w:val="24"/>
        </w:rPr>
        <w:t>LIST OF ATTACHMENTS</w:t>
      </w:r>
      <w:r w:rsidR="00A33E90" w:rsidRPr="007F07ED">
        <w:rPr>
          <w:rFonts w:asciiTheme="majorHAnsi" w:hAnsiTheme="majorHAnsi"/>
          <w:b/>
          <w:sz w:val="24"/>
          <w:szCs w:val="24"/>
        </w:rPr>
        <w:t xml:space="preserve"> – Section A</w:t>
      </w:r>
    </w:p>
    <w:p w14:paraId="2030716E" w14:textId="77777777" w:rsidR="006B5E55" w:rsidRDefault="006B5E55" w:rsidP="00AD7F9F">
      <w:pPr>
        <w:spacing w:after="0" w:line="240" w:lineRule="auto"/>
        <w:rPr>
          <w:rFonts w:asciiTheme="majorHAnsi" w:hAnsiTheme="majorHAnsi"/>
          <w:sz w:val="24"/>
          <w:szCs w:val="24"/>
        </w:rPr>
      </w:pPr>
      <w:r w:rsidRPr="007F07ED">
        <w:rPr>
          <w:rFonts w:asciiTheme="majorHAnsi" w:hAnsiTheme="majorHAnsi"/>
          <w:sz w:val="24"/>
          <w:szCs w:val="24"/>
        </w:rPr>
        <w:t>Note: Attachments are included as separate files as instructed.</w:t>
      </w:r>
    </w:p>
    <w:p w14:paraId="6F1FA0A3" w14:textId="77777777" w:rsidR="00AD7F9F" w:rsidRPr="007F07ED" w:rsidRDefault="00AD7F9F" w:rsidP="00AD7F9F">
      <w:pPr>
        <w:spacing w:after="0" w:line="240" w:lineRule="auto"/>
        <w:rPr>
          <w:rFonts w:asciiTheme="majorHAnsi" w:hAnsiTheme="majorHAnsi"/>
          <w:sz w:val="24"/>
          <w:szCs w:val="24"/>
        </w:rPr>
      </w:pPr>
    </w:p>
    <w:p w14:paraId="2435AEFE" w14:textId="3DAE78E8" w:rsidR="00EF5416" w:rsidRPr="006B2082" w:rsidRDefault="00EF5416" w:rsidP="001B6DA6">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A:</w:t>
      </w:r>
      <w:r w:rsidRPr="006B2082">
        <w:rPr>
          <w:rFonts w:asciiTheme="majorHAnsi" w:hAnsiTheme="majorHAnsi"/>
          <w:sz w:val="24"/>
          <w:szCs w:val="24"/>
        </w:rPr>
        <w:t xml:space="preserve"> Instrument 1 </w:t>
      </w:r>
      <w:r w:rsidR="001B6DA6">
        <w:rPr>
          <w:rFonts w:asciiTheme="majorHAnsi" w:hAnsiTheme="majorHAnsi"/>
          <w:sz w:val="24"/>
          <w:szCs w:val="24"/>
        </w:rPr>
        <w:t>–</w:t>
      </w:r>
      <w:r w:rsidRPr="006B2082">
        <w:rPr>
          <w:rFonts w:asciiTheme="majorHAnsi" w:hAnsiTheme="majorHAnsi"/>
          <w:sz w:val="24"/>
          <w:szCs w:val="24"/>
        </w:rPr>
        <w:t xml:space="preserve"> </w:t>
      </w:r>
      <w:r w:rsidR="001B6DA6">
        <w:rPr>
          <w:rFonts w:asciiTheme="majorHAnsi" w:hAnsiTheme="majorHAnsi"/>
          <w:sz w:val="24"/>
          <w:szCs w:val="24"/>
        </w:rPr>
        <w:t xml:space="preserve">RCS </w:t>
      </w:r>
      <w:r w:rsidRPr="006B2082">
        <w:rPr>
          <w:rFonts w:asciiTheme="majorHAnsi" w:hAnsiTheme="majorHAnsi"/>
          <w:sz w:val="24"/>
          <w:szCs w:val="24"/>
        </w:rPr>
        <w:t xml:space="preserve">Discussion Guide for Key Informant Interviews for Wave 1 </w:t>
      </w:r>
    </w:p>
    <w:p w14:paraId="3A86FE18" w14:textId="2876F6DB" w:rsidR="00EF5416" w:rsidRPr="006B2082" w:rsidRDefault="00EF5416" w:rsidP="001B6DA6">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B:</w:t>
      </w:r>
      <w:r w:rsidRPr="006B2082">
        <w:rPr>
          <w:rFonts w:asciiTheme="majorHAnsi" w:hAnsiTheme="majorHAnsi"/>
          <w:sz w:val="24"/>
          <w:szCs w:val="24"/>
        </w:rPr>
        <w:t xml:space="preserve"> Instrument 2 </w:t>
      </w:r>
      <w:r w:rsidR="001B6DA6">
        <w:rPr>
          <w:rFonts w:asciiTheme="majorHAnsi" w:hAnsiTheme="majorHAnsi"/>
          <w:sz w:val="24"/>
          <w:szCs w:val="24"/>
        </w:rPr>
        <w:t>–</w:t>
      </w:r>
      <w:r w:rsidR="001B6DA6" w:rsidRPr="006B2082">
        <w:rPr>
          <w:rFonts w:asciiTheme="majorHAnsi" w:hAnsiTheme="majorHAnsi"/>
          <w:sz w:val="24"/>
          <w:szCs w:val="24"/>
        </w:rPr>
        <w:t xml:space="preserve"> </w:t>
      </w:r>
      <w:r w:rsidR="001B6DA6">
        <w:rPr>
          <w:rFonts w:asciiTheme="majorHAnsi" w:hAnsiTheme="majorHAnsi"/>
          <w:sz w:val="24"/>
          <w:szCs w:val="24"/>
        </w:rPr>
        <w:t>RCS</w:t>
      </w:r>
      <w:r w:rsidRPr="006B2082">
        <w:rPr>
          <w:rFonts w:asciiTheme="majorHAnsi" w:hAnsiTheme="majorHAnsi"/>
          <w:sz w:val="24"/>
          <w:szCs w:val="24"/>
        </w:rPr>
        <w:t xml:space="preserve"> Discussion Guide for Key Informant Interviews for Wave 2 and Site Visit Interviews with </w:t>
      </w:r>
      <w:r>
        <w:rPr>
          <w:rFonts w:asciiTheme="majorHAnsi" w:hAnsiTheme="majorHAnsi"/>
          <w:sz w:val="24"/>
          <w:szCs w:val="24"/>
        </w:rPr>
        <w:t xml:space="preserve">Program </w:t>
      </w:r>
      <w:r w:rsidRPr="006B2082">
        <w:rPr>
          <w:rFonts w:asciiTheme="majorHAnsi" w:hAnsiTheme="majorHAnsi"/>
          <w:sz w:val="24"/>
          <w:szCs w:val="24"/>
        </w:rPr>
        <w:t>Administrators</w:t>
      </w:r>
    </w:p>
    <w:p w14:paraId="67CEC4EB" w14:textId="76E8E966" w:rsidR="00EF5416" w:rsidRPr="008C59AC" w:rsidRDefault="00EF5416" w:rsidP="001B6DA6">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C:</w:t>
      </w:r>
      <w:r w:rsidRPr="008C59AC">
        <w:rPr>
          <w:rFonts w:asciiTheme="majorHAnsi" w:hAnsiTheme="majorHAnsi"/>
          <w:sz w:val="24"/>
          <w:szCs w:val="24"/>
        </w:rPr>
        <w:t xml:space="preserve"> </w:t>
      </w:r>
      <w:r>
        <w:rPr>
          <w:rFonts w:asciiTheme="majorHAnsi" w:hAnsiTheme="majorHAnsi"/>
          <w:sz w:val="24"/>
          <w:szCs w:val="24"/>
        </w:rPr>
        <w:t xml:space="preserve">Instrument 3 </w:t>
      </w:r>
      <w:r w:rsidR="001B6DA6">
        <w:rPr>
          <w:rFonts w:asciiTheme="majorHAnsi" w:hAnsiTheme="majorHAnsi"/>
          <w:sz w:val="24"/>
          <w:szCs w:val="24"/>
        </w:rPr>
        <w:t>–</w:t>
      </w:r>
      <w:r w:rsidR="001B6DA6" w:rsidRPr="006B2082">
        <w:rPr>
          <w:rFonts w:asciiTheme="majorHAnsi" w:hAnsiTheme="majorHAnsi"/>
          <w:sz w:val="24"/>
          <w:szCs w:val="24"/>
        </w:rPr>
        <w:t xml:space="preserve"> </w:t>
      </w:r>
      <w:r w:rsidR="001B6DA6">
        <w:rPr>
          <w:rFonts w:asciiTheme="majorHAnsi" w:hAnsiTheme="majorHAnsi"/>
          <w:sz w:val="24"/>
          <w:szCs w:val="24"/>
        </w:rPr>
        <w:t>RCS</w:t>
      </w:r>
      <w:r>
        <w:rPr>
          <w:rFonts w:asciiTheme="majorHAnsi" w:hAnsiTheme="majorHAnsi"/>
          <w:sz w:val="24"/>
          <w:szCs w:val="24"/>
        </w:rPr>
        <w:t xml:space="preserve"> </w:t>
      </w:r>
      <w:r w:rsidRPr="008C59AC">
        <w:rPr>
          <w:rFonts w:asciiTheme="majorHAnsi" w:hAnsiTheme="majorHAnsi"/>
          <w:sz w:val="24"/>
          <w:szCs w:val="24"/>
        </w:rPr>
        <w:t>Discussion Guide for Site Visit Interviews with Practitioners</w:t>
      </w:r>
    </w:p>
    <w:p w14:paraId="02656249" w14:textId="604EF6F2" w:rsidR="00EF5416" w:rsidRPr="008C59AC" w:rsidRDefault="00EF5416" w:rsidP="001B6DA6">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D:</w:t>
      </w:r>
      <w:r w:rsidRPr="008C59AC">
        <w:rPr>
          <w:rFonts w:asciiTheme="majorHAnsi" w:hAnsiTheme="majorHAnsi"/>
          <w:sz w:val="24"/>
          <w:szCs w:val="24"/>
        </w:rPr>
        <w:t xml:space="preserve"> </w:t>
      </w:r>
      <w:r>
        <w:rPr>
          <w:rFonts w:asciiTheme="majorHAnsi" w:hAnsiTheme="majorHAnsi"/>
          <w:sz w:val="24"/>
          <w:szCs w:val="24"/>
        </w:rPr>
        <w:t xml:space="preserve">Instrument 4 </w:t>
      </w:r>
      <w:r w:rsidR="001B6DA6">
        <w:rPr>
          <w:rFonts w:asciiTheme="majorHAnsi" w:hAnsiTheme="majorHAnsi"/>
          <w:sz w:val="24"/>
          <w:szCs w:val="24"/>
        </w:rPr>
        <w:t>–</w:t>
      </w:r>
      <w:r w:rsidR="001B6DA6" w:rsidRPr="006B2082">
        <w:rPr>
          <w:rFonts w:asciiTheme="majorHAnsi" w:hAnsiTheme="majorHAnsi"/>
          <w:sz w:val="24"/>
          <w:szCs w:val="24"/>
        </w:rPr>
        <w:t xml:space="preserve"> </w:t>
      </w:r>
      <w:r w:rsidR="001B6DA6">
        <w:rPr>
          <w:rFonts w:asciiTheme="majorHAnsi" w:hAnsiTheme="majorHAnsi"/>
          <w:sz w:val="24"/>
          <w:szCs w:val="24"/>
        </w:rPr>
        <w:t>RCS</w:t>
      </w:r>
      <w:r>
        <w:rPr>
          <w:rFonts w:asciiTheme="majorHAnsi" w:hAnsiTheme="majorHAnsi"/>
          <w:sz w:val="24"/>
          <w:szCs w:val="24"/>
        </w:rPr>
        <w:t xml:space="preserve"> </w:t>
      </w:r>
      <w:r w:rsidRPr="008C59AC">
        <w:rPr>
          <w:rFonts w:asciiTheme="majorHAnsi" w:hAnsiTheme="majorHAnsi"/>
          <w:sz w:val="24"/>
          <w:szCs w:val="24"/>
        </w:rPr>
        <w:t>Discussion Guide for Site Visit Interviews with Partners</w:t>
      </w:r>
      <w:r>
        <w:rPr>
          <w:rFonts w:asciiTheme="majorHAnsi" w:hAnsiTheme="majorHAnsi"/>
          <w:sz w:val="24"/>
          <w:szCs w:val="24"/>
        </w:rPr>
        <w:t xml:space="preserve"> and Other Related Organizations</w:t>
      </w:r>
    </w:p>
    <w:p w14:paraId="0678481D" w14:textId="04D38EDD" w:rsidR="00EF5416" w:rsidRDefault="00EF5416" w:rsidP="006362BF">
      <w:pPr>
        <w:pStyle w:val="ListParagraph"/>
        <w:numPr>
          <w:ilvl w:val="0"/>
          <w:numId w:val="1"/>
        </w:numPr>
        <w:spacing w:after="120" w:line="240" w:lineRule="auto"/>
        <w:contextualSpacing w:val="0"/>
        <w:rPr>
          <w:rFonts w:asciiTheme="majorHAnsi" w:hAnsiTheme="majorHAnsi"/>
          <w:sz w:val="24"/>
          <w:szCs w:val="24"/>
        </w:rPr>
      </w:pPr>
      <w:r w:rsidRPr="008C59AC">
        <w:rPr>
          <w:rFonts w:asciiTheme="majorHAnsi" w:hAnsiTheme="majorHAnsi"/>
          <w:sz w:val="24"/>
          <w:szCs w:val="24"/>
        </w:rPr>
        <w:t xml:space="preserve">Attachment E: </w:t>
      </w:r>
      <w:r w:rsidR="001B6DA6">
        <w:rPr>
          <w:rFonts w:asciiTheme="majorHAnsi" w:hAnsiTheme="majorHAnsi"/>
          <w:sz w:val="24"/>
          <w:szCs w:val="24"/>
        </w:rPr>
        <w:t xml:space="preserve">RCS </w:t>
      </w:r>
      <w:r w:rsidRPr="008C59AC">
        <w:rPr>
          <w:rFonts w:asciiTheme="majorHAnsi" w:hAnsiTheme="majorHAnsi"/>
          <w:sz w:val="24"/>
          <w:szCs w:val="24"/>
        </w:rPr>
        <w:t xml:space="preserve">Informed Consent </w:t>
      </w:r>
    </w:p>
    <w:p w14:paraId="1B68C1AE" w14:textId="72205300" w:rsidR="001B6DA6" w:rsidRDefault="001B6DA6" w:rsidP="006362BF">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F. CBS</w:t>
      </w:r>
      <w:r w:rsidRPr="00F801C2">
        <w:rPr>
          <w:rFonts w:asciiTheme="majorHAnsi" w:hAnsiTheme="majorHAnsi"/>
          <w:sz w:val="24"/>
          <w:szCs w:val="24"/>
        </w:rPr>
        <w:t xml:space="preserve"> KII–Parent</w:t>
      </w:r>
      <w:r>
        <w:rPr>
          <w:rFonts w:asciiTheme="majorHAnsi" w:hAnsiTheme="majorHAnsi"/>
          <w:sz w:val="24"/>
          <w:szCs w:val="24"/>
        </w:rPr>
        <w:t>s</w:t>
      </w:r>
      <w:r w:rsidRPr="00F801C2">
        <w:rPr>
          <w:rFonts w:asciiTheme="majorHAnsi" w:hAnsiTheme="majorHAnsi"/>
          <w:sz w:val="24"/>
          <w:szCs w:val="24"/>
        </w:rPr>
        <w:t>/Caregiver</w:t>
      </w:r>
      <w:r>
        <w:rPr>
          <w:rFonts w:asciiTheme="majorHAnsi" w:hAnsiTheme="majorHAnsi"/>
          <w:sz w:val="24"/>
          <w:szCs w:val="24"/>
        </w:rPr>
        <w:t>s</w:t>
      </w:r>
    </w:p>
    <w:p w14:paraId="56B18237" w14:textId="411157AD" w:rsidR="001B6DA6" w:rsidRDefault="001B6DA6" w:rsidP="006362BF">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G. CBS</w:t>
      </w:r>
      <w:r w:rsidRPr="00F801C2">
        <w:rPr>
          <w:rFonts w:asciiTheme="majorHAnsi" w:hAnsiTheme="majorHAnsi"/>
          <w:sz w:val="24"/>
          <w:szCs w:val="24"/>
        </w:rPr>
        <w:t xml:space="preserve"> KII–Provider</w:t>
      </w:r>
      <w:r>
        <w:rPr>
          <w:rFonts w:asciiTheme="majorHAnsi" w:hAnsiTheme="majorHAnsi"/>
          <w:sz w:val="24"/>
          <w:szCs w:val="24"/>
        </w:rPr>
        <w:t>s</w:t>
      </w:r>
      <w:r w:rsidRPr="00F801C2">
        <w:rPr>
          <w:rFonts w:asciiTheme="majorHAnsi" w:hAnsiTheme="majorHAnsi"/>
          <w:sz w:val="24"/>
          <w:szCs w:val="24"/>
        </w:rPr>
        <w:t>/Stakeholder</w:t>
      </w:r>
      <w:r>
        <w:rPr>
          <w:rFonts w:asciiTheme="majorHAnsi" w:hAnsiTheme="majorHAnsi"/>
          <w:sz w:val="24"/>
          <w:szCs w:val="24"/>
        </w:rPr>
        <w:t>s</w:t>
      </w:r>
    </w:p>
    <w:p w14:paraId="589735E6" w14:textId="515D4E21" w:rsidR="001B6DA6" w:rsidRPr="008C59AC" w:rsidRDefault="001B6DA6" w:rsidP="006362BF">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H. CBS</w:t>
      </w:r>
      <w:r w:rsidRPr="00F801C2">
        <w:rPr>
          <w:rFonts w:asciiTheme="majorHAnsi" w:hAnsiTheme="majorHAnsi"/>
          <w:sz w:val="24"/>
          <w:szCs w:val="24"/>
        </w:rPr>
        <w:t xml:space="preserve"> Focus Group</w:t>
      </w:r>
      <w:r>
        <w:rPr>
          <w:rFonts w:asciiTheme="majorHAnsi" w:hAnsiTheme="majorHAnsi"/>
          <w:sz w:val="24"/>
          <w:szCs w:val="24"/>
        </w:rPr>
        <w:t xml:space="preserve"> Guide</w:t>
      </w:r>
      <w:r w:rsidRPr="00F801C2">
        <w:rPr>
          <w:rFonts w:asciiTheme="majorHAnsi" w:hAnsiTheme="majorHAnsi"/>
          <w:sz w:val="24"/>
          <w:szCs w:val="24"/>
        </w:rPr>
        <w:t>–Caregiver</w:t>
      </w:r>
      <w:r>
        <w:rPr>
          <w:rFonts w:asciiTheme="majorHAnsi" w:hAnsiTheme="majorHAnsi"/>
          <w:sz w:val="24"/>
          <w:szCs w:val="24"/>
        </w:rPr>
        <w:t>s</w:t>
      </w:r>
    </w:p>
    <w:p w14:paraId="2F32130C" w14:textId="038B305E" w:rsidR="006F6799" w:rsidRDefault="001B6DA6" w:rsidP="006362BF">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Attachment I. CBS</w:t>
      </w:r>
      <w:r w:rsidRPr="00F801C2">
        <w:rPr>
          <w:rFonts w:asciiTheme="majorHAnsi" w:hAnsiTheme="majorHAnsi"/>
          <w:sz w:val="24"/>
          <w:szCs w:val="24"/>
        </w:rPr>
        <w:t xml:space="preserve"> Focus Group Guide–Provider</w:t>
      </w:r>
      <w:r>
        <w:rPr>
          <w:rFonts w:asciiTheme="majorHAnsi" w:hAnsiTheme="majorHAnsi"/>
          <w:sz w:val="24"/>
          <w:szCs w:val="24"/>
        </w:rPr>
        <w:t>s</w:t>
      </w:r>
      <w:r w:rsidRPr="00F801C2">
        <w:rPr>
          <w:rFonts w:asciiTheme="majorHAnsi" w:hAnsiTheme="majorHAnsi"/>
          <w:sz w:val="24"/>
          <w:szCs w:val="24"/>
        </w:rPr>
        <w:t>/Stakeholder</w:t>
      </w:r>
      <w:r>
        <w:rPr>
          <w:rFonts w:asciiTheme="majorHAnsi" w:hAnsiTheme="majorHAnsi"/>
          <w:sz w:val="24"/>
          <w:szCs w:val="24"/>
        </w:rPr>
        <w:t>s</w:t>
      </w:r>
    </w:p>
    <w:p w14:paraId="7ABECB7B" w14:textId="1002E116" w:rsidR="006362BF" w:rsidRDefault="006362BF" w:rsidP="006362BF">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 xml:space="preserve">Attachment J. CBS </w:t>
      </w:r>
      <w:r w:rsidR="00570CA6">
        <w:rPr>
          <w:rFonts w:asciiTheme="majorHAnsi" w:hAnsiTheme="majorHAnsi"/>
          <w:sz w:val="24"/>
          <w:szCs w:val="24"/>
        </w:rPr>
        <w:t>Demographic Forms</w:t>
      </w:r>
      <w:r>
        <w:rPr>
          <w:rFonts w:asciiTheme="majorHAnsi" w:hAnsiTheme="majorHAnsi"/>
          <w:sz w:val="24"/>
          <w:szCs w:val="24"/>
        </w:rPr>
        <w:t xml:space="preserve">  </w:t>
      </w:r>
    </w:p>
    <w:p w14:paraId="71206535" w14:textId="26371992" w:rsidR="001B6DA6" w:rsidRDefault="001B6DA6" w:rsidP="006362BF">
      <w:pPr>
        <w:pStyle w:val="ListParagraph"/>
        <w:numPr>
          <w:ilvl w:val="0"/>
          <w:numId w:val="1"/>
        </w:numPr>
        <w:spacing w:after="120" w:line="240" w:lineRule="auto"/>
        <w:contextualSpacing w:val="0"/>
        <w:rPr>
          <w:rFonts w:asciiTheme="majorHAnsi" w:hAnsiTheme="majorHAnsi"/>
          <w:sz w:val="24"/>
          <w:szCs w:val="24"/>
        </w:rPr>
      </w:pPr>
      <w:r>
        <w:rPr>
          <w:rFonts w:asciiTheme="majorHAnsi" w:hAnsiTheme="majorHAnsi"/>
          <w:sz w:val="24"/>
          <w:szCs w:val="24"/>
        </w:rPr>
        <w:t xml:space="preserve">Attachment </w:t>
      </w:r>
      <w:r w:rsidR="006362BF">
        <w:rPr>
          <w:rFonts w:asciiTheme="majorHAnsi" w:hAnsiTheme="majorHAnsi"/>
          <w:sz w:val="24"/>
          <w:szCs w:val="24"/>
        </w:rPr>
        <w:t>K</w:t>
      </w:r>
      <w:r>
        <w:rPr>
          <w:rFonts w:asciiTheme="majorHAnsi" w:hAnsiTheme="majorHAnsi"/>
          <w:sz w:val="24"/>
          <w:szCs w:val="24"/>
        </w:rPr>
        <w:t xml:space="preserve">. CBS </w:t>
      </w:r>
      <w:r w:rsidR="00570CA6">
        <w:rPr>
          <w:rFonts w:asciiTheme="majorHAnsi" w:hAnsiTheme="majorHAnsi"/>
          <w:sz w:val="24"/>
          <w:szCs w:val="24"/>
        </w:rPr>
        <w:t>Informed Consents</w:t>
      </w:r>
    </w:p>
    <w:p w14:paraId="0D602101" w14:textId="77777777" w:rsidR="001B6DA6" w:rsidRDefault="001B6DA6" w:rsidP="006B2082">
      <w:pPr>
        <w:pStyle w:val="ListParagraph"/>
        <w:spacing w:line="240" w:lineRule="auto"/>
        <w:rPr>
          <w:rFonts w:asciiTheme="majorHAnsi" w:hAnsiTheme="majorHAnsi"/>
          <w:color w:val="FF0000"/>
          <w:sz w:val="24"/>
          <w:szCs w:val="24"/>
        </w:rPr>
      </w:pPr>
    </w:p>
    <w:p w14:paraId="3BDEED05" w14:textId="7467904F" w:rsidR="001B6DA6" w:rsidRPr="001D6AB8" w:rsidRDefault="001B6DA6" w:rsidP="006B2082">
      <w:pPr>
        <w:pStyle w:val="ListParagraph"/>
        <w:spacing w:line="240" w:lineRule="auto"/>
        <w:rPr>
          <w:rFonts w:asciiTheme="majorHAnsi" w:hAnsiTheme="majorHAnsi"/>
          <w:color w:val="FF0000"/>
          <w:sz w:val="24"/>
          <w:szCs w:val="24"/>
        </w:rPr>
      </w:pPr>
    </w:p>
    <w:sectPr w:rsidR="001B6DA6" w:rsidRPr="001D6AB8" w:rsidSect="00385BB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CA746E" w16cid:durableId="1FBA1536"/>
  <w16cid:commentId w16cid:paraId="4095FDB7" w16cid:durableId="1FBA31D0"/>
  <w16cid:commentId w16cid:paraId="106A3EC2" w16cid:durableId="1FBA1537"/>
  <w16cid:commentId w16cid:paraId="64AC1E27" w16cid:durableId="1FBA1538"/>
  <w16cid:commentId w16cid:paraId="2296AFDA" w16cid:durableId="1FBA429B"/>
  <w16cid:commentId w16cid:paraId="7856A61F" w16cid:durableId="1FBA1539"/>
  <w16cid:commentId w16cid:paraId="5829DA19" w16cid:durableId="1FBA153A"/>
  <w16cid:commentId w16cid:paraId="6CCF17AA" w16cid:durableId="1FBA153B"/>
  <w16cid:commentId w16cid:paraId="4003999C" w16cid:durableId="1FBA153C"/>
  <w16cid:commentId w16cid:paraId="57798847" w16cid:durableId="1FBA4981"/>
  <w16cid:commentId w16cid:paraId="3DA1999F" w16cid:durableId="1FBA5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D66FD" w14:textId="77777777" w:rsidR="004A3F73" w:rsidRDefault="004A3F73" w:rsidP="00716F94">
      <w:pPr>
        <w:spacing w:after="0" w:line="240" w:lineRule="auto"/>
      </w:pPr>
      <w:r>
        <w:separator/>
      </w:r>
    </w:p>
  </w:endnote>
  <w:endnote w:type="continuationSeparator" w:id="0">
    <w:p w14:paraId="051771BF" w14:textId="77777777" w:rsidR="004A3F73" w:rsidRDefault="004A3F7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C6F6F" w14:textId="77777777" w:rsidR="00017A1E" w:rsidRDefault="00017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0A3D587" w14:textId="154645E9" w:rsidR="00017A1E" w:rsidRDefault="00017A1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517DF">
              <w:rPr>
                <w:b/>
                <w:noProof/>
              </w:rPr>
              <w:t>2</w:t>
            </w:r>
            <w:r>
              <w:rPr>
                <w:b/>
                <w:sz w:val="24"/>
                <w:szCs w:val="24"/>
              </w:rPr>
              <w:fldChar w:fldCharType="end"/>
            </w:r>
            <w:r>
              <w:t xml:space="preserve"> of </w:t>
            </w:r>
            <w:r>
              <w:rPr>
                <w:b/>
                <w:szCs w:val="24"/>
              </w:rPr>
              <w:t>18</w:t>
            </w:r>
          </w:p>
        </w:sdtContent>
      </w:sdt>
    </w:sdtContent>
  </w:sdt>
  <w:p w14:paraId="484365D9" w14:textId="77777777" w:rsidR="00017A1E" w:rsidRDefault="00017A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91345" w14:textId="77777777" w:rsidR="00017A1E" w:rsidRDefault="00017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4982A" w14:textId="77777777" w:rsidR="004A3F73" w:rsidRDefault="004A3F73" w:rsidP="00716F94">
      <w:pPr>
        <w:spacing w:after="0" w:line="240" w:lineRule="auto"/>
      </w:pPr>
      <w:r>
        <w:separator/>
      </w:r>
    </w:p>
  </w:footnote>
  <w:footnote w:type="continuationSeparator" w:id="0">
    <w:p w14:paraId="55FC8FB9" w14:textId="77777777" w:rsidR="004A3F73" w:rsidRDefault="004A3F7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4C92" w14:textId="77777777" w:rsidR="00017A1E" w:rsidRDefault="00017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B0B0" w14:textId="77777777" w:rsidR="00017A1E" w:rsidRPr="00716F94" w:rsidRDefault="00017A1E"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E659A" w14:textId="77777777" w:rsidR="00017A1E" w:rsidRDefault="00017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C6C"/>
    <w:multiLevelType w:val="hybridMultilevel"/>
    <w:tmpl w:val="CCFC97E8"/>
    <w:lvl w:ilvl="0" w:tplc="1EA87E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C7255"/>
    <w:multiLevelType w:val="hybridMultilevel"/>
    <w:tmpl w:val="9E1C1D14"/>
    <w:lvl w:ilvl="0" w:tplc="88FA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F1981"/>
    <w:multiLevelType w:val="hybridMultilevel"/>
    <w:tmpl w:val="055ACF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9567D"/>
    <w:multiLevelType w:val="hybridMultilevel"/>
    <w:tmpl w:val="93968168"/>
    <w:lvl w:ilvl="0" w:tplc="A3CAF19C">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52AE3"/>
    <w:multiLevelType w:val="hybridMultilevel"/>
    <w:tmpl w:val="4F68C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551F2"/>
    <w:multiLevelType w:val="hybridMultilevel"/>
    <w:tmpl w:val="22B49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57943"/>
    <w:multiLevelType w:val="hybridMultilevel"/>
    <w:tmpl w:val="19AAD1D0"/>
    <w:lvl w:ilvl="0" w:tplc="04090005">
      <w:start w:val="1"/>
      <w:numFmt w:val="bullet"/>
      <w:lvlText w:val=""/>
      <w:lvlJc w:val="left"/>
      <w:pPr>
        <w:ind w:left="720" w:hanging="360"/>
      </w:pPr>
      <w:rPr>
        <w:rFonts w:ascii="Wingdings" w:hAnsi="Wingdings" w:hint="default"/>
      </w:rPr>
    </w:lvl>
    <w:lvl w:ilvl="1" w:tplc="F194570A">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25F2F"/>
    <w:multiLevelType w:val="hybridMultilevel"/>
    <w:tmpl w:val="3AFE9D34"/>
    <w:lvl w:ilvl="0" w:tplc="105026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455EF7"/>
    <w:multiLevelType w:val="hybridMultilevel"/>
    <w:tmpl w:val="41968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92ECB"/>
    <w:multiLevelType w:val="hybridMultilevel"/>
    <w:tmpl w:val="55CA9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51763E"/>
    <w:multiLevelType w:val="hybridMultilevel"/>
    <w:tmpl w:val="6CC66D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751167"/>
    <w:multiLevelType w:val="hybridMultilevel"/>
    <w:tmpl w:val="BB7ADA1A"/>
    <w:lvl w:ilvl="0" w:tplc="04090005">
      <w:start w:val="1"/>
      <w:numFmt w:val="bullet"/>
      <w:lvlText w:val=""/>
      <w:lvlJc w:val="left"/>
      <w:pPr>
        <w:ind w:left="1084" w:hanging="360"/>
      </w:pPr>
      <w:rPr>
        <w:rFonts w:ascii="Wingdings" w:hAnsi="Wingdings"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2">
    <w:nsid w:val="61BF2967"/>
    <w:multiLevelType w:val="hybridMultilevel"/>
    <w:tmpl w:val="FAAA103C"/>
    <w:lvl w:ilvl="0" w:tplc="A3CAF19C">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7137FD"/>
    <w:multiLevelType w:val="hybridMultilevel"/>
    <w:tmpl w:val="3976AC12"/>
    <w:lvl w:ilvl="0" w:tplc="3D80B47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D5BD3"/>
    <w:multiLevelType w:val="hybridMultilevel"/>
    <w:tmpl w:val="E412146A"/>
    <w:lvl w:ilvl="0" w:tplc="9F60A07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E84FB0"/>
    <w:multiLevelType w:val="hybridMultilevel"/>
    <w:tmpl w:val="18806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A8602E"/>
    <w:multiLevelType w:val="hybridMultilevel"/>
    <w:tmpl w:val="80FE00B0"/>
    <w:lvl w:ilvl="0" w:tplc="617A11EA">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3F1ADA"/>
    <w:multiLevelType w:val="multilevel"/>
    <w:tmpl w:val="C3CAA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5"/>
  </w:num>
  <w:num w:numId="3">
    <w:abstractNumId w:val="16"/>
  </w:num>
  <w:num w:numId="4">
    <w:abstractNumId w:val="8"/>
  </w:num>
  <w:num w:numId="5">
    <w:abstractNumId w:val="5"/>
  </w:num>
  <w:num w:numId="6">
    <w:abstractNumId w:val="6"/>
  </w:num>
  <w:num w:numId="7">
    <w:abstractNumId w:val="2"/>
  </w:num>
  <w:num w:numId="8">
    <w:abstractNumId w:val="11"/>
  </w:num>
  <w:num w:numId="9">
    <w:abstractNumId w:val="12"/>
  </w:num>
  <w:num w:numId="10">
    <w:abstractNumId w:val="3"/>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14"/>
  </w:num>
  <w:num w:numId="24">
    <w:abstractNumId w:val="0"/>
  </w:num>
  <w:num w:numId="25">
    <w:abstractNumId w:val="7"/>
  </w:num>
  <w:num w:numId="26">
    <w:abstractNumId w:val="9"/>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YwsTQCMgwNLQxMzJR0lIJTi4sz8/NACgxrAeKPOfEsAAAA"/>
  </w:docVars>
  <w:rsids>
    <w:rsidRoot w:val="00716F94"/>
    <w:rsid w:val="00002D41"/>
    <w:rsid w:val="00003D3F"/>
    <w:rsid w:val="0000634A"/>
    <w:rsid w:val="000102B0"/>
    <w:rsid w:val="00011A98"/>
    <w:rsid w:val="00011F8D"/>
    <w:rsid w:val="000130B4"/>
    <w:rsid w:val="00014361"/>
    <w:rsid w:val="000155E2"/>
    <w:rsid w:val="00015B70"/>
    <w:rsid w:val="00017A1E"/>
    <w:rsid w:val="000222F3"/>
    <w:rsid w:val="00023F0E"/>
    <w:rsid w:val="00024EEF"/>
    <w:rsid w:val="00035D73"/>
    <w:rsid w:val="00035EA1"/>
    <w:rsid w:val="0004023A"/>
    <w:rsid w:val="00043741"/>
    <w:rsid w:val="000439B5"/>
    <w:rsid w:val="00045A24"/>
    <w:rsid w:val="000474FB"/>
    <w:rsid w:val="00050F8F"/>
    <w:rsid w:val="00053374"/>
    <w:rsid w:val="00053A92"/>
    <w:rsid w:val="00053D5B"/>
    <w:rsid w:val="00053EE0"/>
    <w:rsid w:val="00054839"/>
    <w:rsid w:val="0005545B"/>
    <w:rsid w:val="00055D08"/>
    <w:rsid w:val="00057F36"/>
    <w:rsid w:val="000607F4"/>
    <w:rsid w:val="00066659"/>
    <w:rsid w:val="00066762"/>
    <w:rsid w:val="00066D97"/>
    <w:rsid w:val="00070E0E"/>
    <w:rsid w:val="00071795"/>
    <w:rsid w:val="00074B32"/>
    <w:rsid w:val="00081838"/>
    <w:rsid w:val="000823C4"/>
    <w:rsid w:val="00084183"/>
    <w:rsid w:val="00084ABD"/>
    <w:rsid w:val="00096441"/>
    <w:rsid w:val="00097363"/>
    <w:rsid w:val="000A004F"/>
    <w:rsid w:val="000A1F30"/>
    <w:rsid w:val="000A257F"/>
    <w:rsid w:val="000A26B0"/>
    <w:rsid w:val="000A2D0C"/>
    <w:rsid w:val="000A71DF"/>
    <w:rsid w:val="000A76A1"/>
    <w:rsid w:val="000A7B45"/>
    <w:rsid w:val="000B0962"/>
    <w:rsid w:val="000B1487"/>
    <w:rsid w:val="000B2075"/>
    <w:rsid w:val="000B2CBC"/>
    <w:rsid w:val="000B39C4"/>
    <w:rsid w:val="000B635B"/>
    <w:rsid w:val="000B6BCE"/>
    <w:rsid w:val="000B77C3"/>
    <w:rsid w:val="000D67B8"/>
    <w:rsid w:val="000D7307"/>
    <w:rsid w:val="000E3C9C"/>
    <w:rsid w:val="000E4DBB"/>
    <w:rsid w:val="000E6577"/>
    <w:rsid w:val="000E7A19"/>
    <w:rsid w:val="000F13FF"/>
    <w:rsid w:val="000F28BC"/>
    <w:rsid w:val="000F2E4E"/>
    <w:rsid w:val="000F3BF0"/>
    <w:rsid w:val="000F4B8C"/>
    <w:rsid w:val="000F4EEC"/>
    <w:rsid w:val="000F6BE2"/>
    <w:rsid w:val="000F6DBC"/>
    <w:rsid w:val="000F77B0"/>
    <w:rsid w:val="00100843"/>
    <w:rsid w:val="00100B25"/>
    <w:rsid w:val="00100C05"/>
    <w:rsid w:val="00104A1B"/>
    <w:rsid w:val="001078D1"/>
    <w:rsid w:val="00112F18"/>
    <w:rsid w:val="00113395"/>
    <w:rsid w:val="001135CA"/>
    <w:rsid w:val="001139CD"/>
    <w:rsid w:val="001177DD"/>
    <w:rsid w:val="00122EAD"/>
    <w:rsid w:val="00125307"/>
    <w:rsid w:val="00127BA5"/>
    <w:rsid w:val="00131D1B"/>
    <w:rsid w:val="00132F85"/>
    <w:rsid w:val="00133F0E"/>
    <w:rsid w:val="00134083"/>
    <w:rsid w:val="00135334"/>
    <w:rsid w:val="00136D68"/>
    <w:rsid w:val="001412D4"/>
    <w:rsid w:val="00143306"/>
    <w:rsid w:val="001436D5"/>
    <w:rsid w:val="00144F64"/>
    <w:rsid w:val="00145D62"/>
    <w:rsid w:val="00147819"/>
    <w:rsid w:val="00150FA4"/>
    <w:rsid w:val="00151567"/>
    <w:rsid w:val="00153624"/>
    <w:rsid w:val="001573C2"/>
    <w:rsid w:val="00160024"/>
    <w:rsid w:val="00162CBA"/>
    <w:rsid w:val="00163E17"/>
    <w:rsid w:val="00164619"/>
    <w:rsid w:val="00166F9E"/>
    <w:rsid w:val="00167880"/>
    <w:rsid w:val="0017161E"/>
    <w:rsid w:val="00173CD8"/>
    <w:rsid w:val="00180D45"/>
    <w:rsid w:val="00181B75"/>
    <w:rsid w:val="00181F23"/>
    <w:rsid w:val="001836CF"/>
    <w:rsid w:val="001862EA"/>
    <w:rsid w:val="00187870"/>
    <w:rsid w:val="00187D5A"/>
    <w:rsid w:val="001972D7"/>
    <w:rsid w:val="001A1F46"/>
    <w:rsid w:val="001A28F6"/>
    <w:rsid w:val="001A431F"/>
    <w:rsid w:val="001A4B18"/>
    <w:rsid w:val="001A6456"/>
    <w:rsid w:val="001A7764"/>
    <w:rsid w:val="001B2831"/>
    <w:rsid w:val="001B3543"/>
    <w:rsid w:val="001B4065"/>
    <w:rsid w:val="001B6DA6"/>
    <w:rsid w:val="001B746F"/>
    <w:rsid w:val="001B7F3B"/>
    <w:rsid w:val="001C0493"/>
    <w:rsid w:val="001C28AD"/>
    <w:rsid w:val="001C431E"/>
    <w:rsid w:val="001C6BDD"/>
    <w:rsid w:val="001D5B15"/>
    <w:rsid w:val="001D60F9"/>
    <w:rsid w:val="001D6AB8"/>
    <w:rsid w:val="001D6BD7"/>
    <w:rsid w:val="001D7C99"/>
    <w:rsid w:val="001D7FCB"/>
    <w:rsid w:val="001E1C23"/>
    <w:rsid w:val="001E2B99"/>
    <w:rsid w:val="001E69B6"/>
    <w:rsid w:val="001E6A59"/>
    <w:rsid w:val="001F4DBB"/>
    <w:rsid w:val="001F6FAC"/>
    <w:rsid w:val="00202D07"/>
    <w:rsid w:val="0020312D"/>
    <w:rsid w:val="002039EC"/>
    <w:rsid w:val="002053C2"/>
    <w:rsid w:val="00205B12"/>
    <w:rsid w:val="00206E33"/>
    <w:rsid w:val="00207F64"/>
    <w:rsid w:val="00210519"/>
    <w:rsid w:val="00213969"/>
    <w:rsid w:val="00225928"/>
    <w:rsid w:val="00227259"/>
    <w:rsid w:val="00231585"/>
    <w:rsid w:val="00241041"/>
    <w:rsid w:val="00241B17"/>
    <w:rsid w:val="00241C81"/>
    <w:rsid w:val="002441D9"/>
    <w:rsid w:val="00245366"/>
    <w:rsid w:val="00246B34"/>
    <w:rsid w:val="00250858"/>
    <w:rsid w:val="00252768"/>
    <w:rsid w:val="002549FA"/>
    <w:rsid w:val="00254D2B"/>
    <w:rsid w:val="00255285"/>
    <w:rsid w:val="00256B7F"/>
    <w:rsid w:val="00257A1C"/>
    <w:rsid w:val="00261440"/>
    <w:rsid w:val="0026181C"/>
    <w:rsid w:val="002660A3"/>
    <w:rsid w:val="0026750D"/>
    <w:rsid w:val="00270A30"/>
    <w:rsid w:val="0027234C"/>
    <w:rsid w:val="0027524C"/>
    <w:rsid w:val="0027543C"/>
    <w:rsid w:val="00277B41"/>
    <w:rsid w:val="00281795"/>
    <w:rsid w:val="0028236B"/>
    <w:rsid w:val="00284470"/>
    <w:rsid w:val="002850E3"/>
    <w:rsid w:val="002874F1"/>
    <w:rsid w:val="00287E2F"/>
    <w:rsid w:val="00292564"/>
    <w:rsid w:val="0029359D"/>
    <w:rsid w:val="00293E74"/>
    <w:rsid w:val="00297B7B"/>
    <w:rsid w:val="002A140C"/>
    <w:rsid w:val="002A1948"/>
    <w:rsid w:val="002A355D"/>
    <w:rsid w:val="002A432A"/>
    <w:rsid w:val="002A4991"/>
    <w:rsid w:val="002A59FF"/>
    <w:rsid w:val="002A6068"/>
    <w:rsid w:val="002A651A"/>
    <w:rsid w:val="002B1AE9"/>
    <w:rsid w:val="002B6BA1"/>
    <w:rsid w:val="002B7626"/>
    <w:rsid w:val="002C0877"/>
    <w:rsid w:val="002C2AE2"/>
    <w:rsid w:val="002C4625"/>
    <w:rsid w:val="002C7F86"/>
    <w:rsid w:val="002D0DCE"/>
    <w:rsid w:val="002D31D7"/>
    <w:rsid w:val="002D3CE3"/>
    <w:rsid w:val="002D3E80"/>
    <w:rsid w:val="002D6EEB"/>
    <w:rsid w:val="002E2B10"/>
    <w:rsid w:val="002E2DCB"/>
    <w:rsid w:val="002E5F31"/>
    <w:rsid w:val="002E653F"/>
    <w:rsid w:val="002E73B0"/>
    <w:rsid w:val="002F1502"/>
    <w:rsid w:val="002F2069"/>
    <w:rsid w:val="002F2B67"/>
    <w:rsid w:val="002F5C6F"/>
    <w:rsid w:val="002F6583"/>
    <w:rsid w:val="002F71A2"/>
    <w:rsid w:val="00302744"/>
    <w:rsid w:val="00302B04"/>
    <w:rsid w:val="003041AD"/>
    <w:rsid w:val="003041CC"/>
    <w:rsid w:val="003058D4"/>
    <w:rsid w:val="00310EB8"/>
    <w:rsid w:val="0031279F"/>
    <w:rsid w:val="003141DC"/>
    <w:rsid w:val="0031436D"/>
    <w:rsid w:val="00316F00"/>
    <w:rsid w:val="00321B51"/>
    <w:rsid w:val="00323DB0"/>
    <w:rsid w:val="00326442"/>
    <w:rsid w:val="003275FF"/>
    <w:rsid w:val="00331FAB"/>
    <w:rsid w:val="00332E9E"/>
    <w:rsid w:val="0033360F"/>
    <w:rsid w:val="00333D1A"/>
    <w:rsid w:val="00336569"/>
    <w:rsid w:val="00336939"/>
    <w:rsid w:val="00336D96"/>
    <w:rsid w:val="00336EC0"/>
    <w:rsid w:val="00336F5A"/>
    <w:rsid w:val="00343A5A"/>
    <w:rsid w:val="00344F07"/>
    <w:rsid w:val="00345334"/>
    <w:rsid w:val="003469C8"/>
    <w:rsid w:val="00350C8C"/>
    <w:rsid w:val="003515F1"/>
    <w:rsid w:val="00351909"/>
    <w:rsid w:val="00353167"/>
    <w:rsid w:val="00355EA4"/>
    <w:rsid w:val="00356578"/>
    <w:rsid w:val="00356831"/>
    <w:rsid w:val="003635BE"/>
    <w:rsid w:val="00363AEB"/>
    <w:rsid w:val="00365045"/>
    <w:rsid w:val="00366B5E"/>
    <w:rsid w:val="00367B0A"/>
    <w:rsid w:val="00374560"/>
    <w:rsid w:val="0037598E"/>
    <w:rsid w:val="00375EB4"/>
    <w:rsid w:val="00377040"/>
    <w:rsid w:val="003801E6"/>
    <w:rsid w:val="00385BB5"/>
    <w:rsid w:val="00386BC2"/>
    <w:rsid w:val="00386DD4"/>
    <w:rsid w:val="00387664"/>
    <w:rsid w:val="0039032B"/>
    <w:rsid w:val="003939A8"/>
    <w:rsid w:val="00393D6E"/>
    <w:rsid w:val="00397042"/>
    <w:rsid w:val="003A00A0"/>
    <w:rsid w:val="003A21FB"/>
    <w:rsid w:val="003A6F57"/>
    <w:rsid w:val="003B125E"/>
    <w:rsid w:val="003B2ED5"/>
    <w:rsid w:val="003B5206"/>
    <w:rsid w:val="003B574B"/>
    <w:rsid w:val="003C08C1"/>
    <w:rsid w:val="003C31C9"/>
    <w:rsid w:val="003C4961"/>
    <w:rsid w:val="003C77FF"/>
    <w:rsid w:val="003C7C5D"/>
    <w:rsid w:val="003D0AD2"/>
    <w:rsid w:val="003D1AA7"/>
    <w:rsid w:val="003D43B9"/>
    <w:rsid w:val="003D54EA"/>
    <w:rsid w:val="003E0681"/>
    <w:rsid w:val="003E1930"/>
    <w:rsid w:val="003E5801"/>
    <w:rsid w:val="003E5D20"/>
    <w:rsid w:val="003F0FEB"/>
    <w:rsid w:val="003F1A35"/>
    <w:rsid w:val="003F4666"/>
    <w:rsid w:val="003F5913"/>
    <w:rsid w:val="004024F8"/>
    <w:rsid w:val="00405696"/>
    <w:rsid w:val="0041074D"/>
    <w:rsid w:val="0041159A"/>
    <w:rsid w:val="00413DEE"/>
    <w:rsid w:val="00414FB0"/>
    <w:rsid w:val="00416104"/>
    <w:rsid w:val="004167BF"/>
    <w:rsid w:val="004172E2"/>
    <w:rsid w:val="004206F4"/>
    <w:rsid w:val="00423918"/>
    <w:rsid w:val="00424DF8"/>
    <w:rsid w:val="00426A48"/>
    <w:rsid w:val="004305A8"/>
    <w:rsid w:val="0043369B"/>
    <w:rsid w:val="0043478C"/>
    <w:rsid w:val="004353D5"/>
    <w:rsid w:val="0043662E"/>
    <w:rsid w:val="004371F2"/>
    <w:rsid w:val="00443CA0"/>
    <w:rsid w:val="00450E14"/>
    <w:rsid w:val="00451756"/>
    <w:rsid w:val="004517DF"/>
    <w:rsid w:val="00456E10"/>
    <w:rsid w:val="00462AA9"/>
    <w:rsid w:val="00462C65"/>
    <w:rsid w:val="00463172"/>
    <w:rsid w:val="0046735E"/>
    <w:rsid w:val="004674E7"/>
    <w:rsid w:val="00467B14"/>
    <w:rsid w:val="00467F6B"/>
    <w:rsid w:val="0047321E"/>
    <w:rsid w:val="00474EDA"/>
    <w:rsid w:val="00475835"/>
    <w:rsid w:val="004808F5"/>
    <w:rsid w:val="00481225"/>
    <w:rsid w:val="00481C04"/>
    <w:rsid w:val="004824FA"/>
    <w:rsid w:val="00484011"/>
    <w:rsid w:val="004841F1"/>
    <w:rsid w:val="00485414"/>
    <w:rsid w:val="0049245A"/>
    <w:rsid w:val="0049522C"/>
    <w:rsid w:val="004A04E0"/>
    <w:rsid w:val="004A15E4"/>
    <w:rsid w:val="004A1E3A"/>
    <w:rsid w:val="004A3F73"/>
    <w:rsid w:val="004B46D6"/>
    <w:rsid w:val="004B478C"/>
    <w:rsid w:val="004B67DB"/>
    <w:rsid w:val="004B6DD3"/>
    <w:rsid w:val="004C0BF6"/>
    <w:rsid w:val="004C18AB"/>
    <w:rsid w:val="004C3C64"/>
    <w:rsid w:val="004C4464"/>
    <w:rsid w:val="004C4AEA"/>
    <w:rsid w:val="004C5603"/>
    <w:rsid w:val="004C7D09"/>
    <w:rsid w:val="004D0430"/>
    <w:rsid w:val="004D1DAA"/>
    <w:rsid w:val="004D4EB1"/>
    <w:rsid w:val="004D7F48"/>
    <w:rsid w:val="004E003C"/>
    <w:rsid w:val="004E0604"/>
    <w:rsid w:val="004E16EB"/>
    <w:rsid w:val="004E2163"/>
    <w:rsid w:val="004E2195"/>
    <w:rsid w:val="004E5857"/>
    <w:rsid w:val="004E6276"/>
    <w:rsid w:val="004E6665"/>
    <w:rsid w:val="004F0BA9"/>
    <w:rsid w:val="004F5579"/>
    <w:rsid w:val="004F634E"/>
    <w:rsid w:val="004F67A8"/>
    <w:rsid w:val="004F7AE6"/>
    <w:rsid w:val="00504E78"/>
    <w:rsid w:val="00505D29"/>
    <w:rsid w:val="00506299"/>
    <w:rsid w:val="005070F6"/>
    <w:rsid w:val="0051208F"/>
    <w:rsid w:val="00512290"/>
    <w:rsid w:val="005144B7"/>
    <w:rsid w:val="0051582C"/>
    <w:rsid w:val="0051767C"/>
    <w:rsid w:val="0052167F"/>
    <w:rsid w:val="00522A50"/>
    <w:rsid w:val="00525E61"/>
    <w:rsid w:val="00527225"/>
    <w:rsid w:val="00527671"/>
    <w:rsid w:val="0053280B"/>
    <w:rsid w:val="0053557D"/>
    <w:rsid w:val="0053559D"/>
    <w:rsid w:val="005410E3"/>
    <w:rsid w:val="005455A6"/>
    <w:rsid w:val="00545A63"/>
    <w:rsid w:val="005462B0"/>
    <w:rsid w:val="005463DE"/>
    <w:rsid w:val="00546615"/>
    <w:rsid w:val="00546DC2"/>
    <w:rsid w:val="005470D3"/>
    <w:rsid w:val="005500FB"/>
    <w:rsid w:val="00553F25"/>
    <w:rsid w:val="005542E8"/>
    <w:rsid w:val="005560A5"/>
    <w:rsid w:val="00556630"/>
    <w:rsid w:val="0055686D"/>
    <w:rsid w:val="00557EC5"/>
    <w:rsid w:val="0056075B"/>
    <w:rsid w:val="00570CA6"/>
    <w:rsid w:val="00573AB9"/>
    <w:rsid w:val="00574359"/>
    <w:rsid w:val="00575F34"/>
    <w:rsid w:val="005800EE"/>
    <w:rsid w:val="00580C7B"/>
    <w:rsid w:val="00580EA7"/>
    <w:rsid w:val="00582C12"/>
    <w:rsid w:val="00583243"/>
    <w:rsid w:val="005869D6"/>
    <w:rsid w:val="00587DB7"/>
    <w:rsid w:val="0059070E"/>
    <w:rsid w:val="0059331E"/>
    <w:rsid w:val="00594619"/>
    <w:rsid w:val="005A33F6"/>
    <w:rsid w:val="005A4885"/>
    <w:rsid w:val="005A59E5"/>
    <w:rsid w:val="005A760B"/>
    <w:rsid w:val="005B05EF"/>
    <w:rsid w:val="005B29F2"/>
    <w:rsid w:val="005B33DC"/>
    <w:rsid w:val="005B3623"/>
    <w:rsid w:val="005B3D84"/>
    <w:rsid w:val="005B5080"/>
    <w:rsid w:val="005B7440"/>
    <w:rsid w:val="005C018E"/>
    <w:rsid w:val="005C091A"/>
    <w:rsid w:val="005C2015"/>
    <w:rsid w:val="005C4780"/>
    <w:rsid w:val="005C6FA2"/>
    <w:rsid w:val="005C7AE1"/>
    <w:rsid w:val="005D1756"/>
    <w:rsid w:val="005D1C96"/>
    <w:rsid w:val="005D4124"/>
    <w:rsid w:val="005D43C9"/>
    <w:rsid w:val="005E1ED4"/>
    <w:rsid w:val="005E2150"/>
    <w:rsid w:val="005E2995"/>
    <w:rsid w:val="005E5FA0"/>
    <w:rsid w:val="005F1B46"/>
    <w:rsid w:val="005F2F27"/>
    <w:rsid w:val="005F3FEF"/>
    <w:rsid w:val="005F4B58"/>
    <w:rsid w:val="005F4BAB"/>
    <w:rsid w:val="005F71C0"/>
    <w:rsid w:val="005F720D"/>
    <w:rsid w:val="005F7D25"/>
    <w:rsid w:val="00600C4F"/>
    <w:rsid w:val="00601630"/>
    <w:rsid w:val="00603CAE"/>
    <w:rsid w:val="00607F7C"/>
    <w:rsid w:val="006102DA"/>
    <w:rsid w:val="00610424"/>
    <w:rsid w:val="00611542"/>
    <w:rsid w:val="0061314A"/>
    <w:rsid w:val="006140E2"/>
    <w:rsid w:val="00616090"/>
    <w:rsid w:val="006165BC"/>
    <w:rsid w:val="00617856"/>
    <w:rsid w:val="00624078"/>
    <w:rsid w:val="006272CE"/>
    <w:rsid w:val="006315A3"/>
    <w:rsid w:val="00634B31"/>
    <w:rsid w:val="006362BF"/>
    <w:rsid w:val="0063702E"/>
    <w:rsid w:val="00637AE6"/>
    <w:rsid w:val="0064186D"/>
    <w:rsid w:val="00650137"/>
    <w:rsid w:val="006502E7"/>
    <w:rsid w:val="0065118F"/>
    <w:rsid w:val="00653D3A"/>
    <w:rsid w:val="0065590C"/>
    <w:rsid w:val="006579A2"/>
    <w:rsid w:val="0066149D"/>
    <w:rsid w:val="00663509"/>
    <w:rsid w:val="00663777"/>
    <w:rsid w:val="00663EA1"/>
    <w:rsid w:val="00666C7B"/>
    <w:rsid w:val="006676E7"/>
    <w:rsid w:val="00667C89"/>
    <w:rsid w:val="00670639"/>
    <w:rsid w:val="006711EE"/>
    <w:rsid w:val="00673319"/>
    <w:rsid w:val="00674DCE"/>
    <w:rsid w:val="00674F89"/>
    <w:rsid w:val="0067614F"/>
    <w:rsid w:val="006809BB"/>
    <w:rsid w:val="006809FD"/>
    <w:rsid w:val="006821A8"/>
    <w:rsid w:val="00682A2F"/>
    <w:rsid w:val="00683280"/>
    <w:rsid w:val="00683864"/>
    <w:rsid w:val="00687CF1"/>
    <w:rsid w:val="00691D1F"/>
    <w:rsid w:val="00692C49"/>
    <w:rsid w:val="00693C1E"/>
    <w:rsid w:val="00697BAE"/>
    <w:rsid w:val="006A0A37"/>
    <w:rsid w:val="006A0C12"/>
    <w:rsid w:val="006A1939"/>
    <w:rsid w:val="006A5D8E"/>
    <w:rsid w:val="006A640D"/>
    <w:rsid w:val="006A7995"/>
    <w:rsid w:val="006A7B08"/>
    <w:rsid w:val="006B2082"/>
    <w:rsid w:val="006B4422"/>
    <w:rsid w:val="006B4DDC"/>
    <w:rsid w:val="006B5038"/>
    <w:rsid w:val="006B5E55"/>
    <w:rsid w:val="006B7600"/>
    <w:rsid w:val="006C4DA7"/>
    <w:rsid w:val="006C5091"/>
    <w:rsid w:val="006D1C36"/>
    <w:rsid w:val="006D22E3"/>
    <w:rsid w:val="006D25A1"/>
    <w:rsid w:val="006D6F8A"/>
    <w:rsid w:val="006E010B"/>
    <w:rsid w:val="006E14E9"/>
    <w:rsid w:val="006F09A2"/>
    <w:rsid w:val="006F5274"/>
    <w:rsid w:val="006F6799"/>
    <w:rsid w:val="006F6856"/>
    <w:rsid w:val="007001FD"/>
    <w:rsid w:val="00701D3B"/>
    <w:rsid w:val="007035B0"/>
    <w:rsid w:val="00704C34"/>
    <w:rsid w:val="00707699"/>
    <w:rsid w:val="007105C0"/>
    <w:rsid w:val="00710D00"/>
    <w:rsid w:val="00710F8A"/>
    <w:rsid w:val="0071178F"/>
    <w:rsid w:val="007145D0"/>
    <w:rsid w:val="00716F94"/>
    <w:rsid w:val="00721B3B"/>
    <w:rsid w:val="00727535"/>
    <w:rsid w:val="0074442B"/>
    <w:rsid w:val="00750613"/>
    <w:rsid w:val="0075188E"/>
    <w:rsid w:val="007533EE"/>
    <w:rsid w:val="00754388"/>
    <w:rsid w:val="0075530B"/>
    <w:rsid w:val="007558F8"/>
    <w:rsid w:val="007563AD"/>
    <w:rsid w:val="0076001C"/>
    <w:rsid w:val="00760E12"/>
    <w:rsid w:val="0076154A"/>
    <w:rsid w:val="00763CF3"/>
    <w:rsid w:val="00771272"/>
    <w:rsid w:val="00772293"/>
    <w:rsid w:val="00774A90"/>
    <w:rsid w:val="00776981"/>
    <w:rsid w:val="00780B4F"/>
    <w:rsid w:val="00781AE3"/>
    <w:rsid w:val="00783C75"/>
    <w:rsid w:val="00784619"/>
    <w:rsid w:val="0078627B"/>
    <w:rsid w:val="0078765B"/>
    <w:rsid w:val="00791F69"/>
    <w:rsid w:val="00792415"/>
    <w:rsid w:val="007927A0"/>
    <w:rsid w:val="00794E32"/>
    <w:rsid w:val="007A0D73"/>
    <w:rsid w:val="007A651E"/>
    <w:rsid w:val="007A7264"/>
    <w:rsid w:val="007B305A"/>
    <w:rsid w:val="007B5477"/>
    <w:rsid w:val="007B607F"/>
    <w:rsid w:val="007B7E7C"/>
    <w:rsid w:val="007C62DF"/>
    <w:rsid w:val="007C72C9"/>
    <w:rsid w:val="007D6F3A"/>
    <w:rsid w:val="007E0128"/>
    <w:rsid w:val="007E0916"/>
    <w:rsid w:val="007E26B1"/>
    <w:rsid w:val="007E575D"/>
    <w:rsid w:val="007E6AEF"/>
    <w:rsid w:val="007E7175"/>
    <w:rsid w:val="007E791A"/>
    <w:rsid w:val="007F07ED"/>
    <w:rsid w:val="007F4E6E"/>
    <w:rsid w:val="00803D76"/>
    <w:rsid w:val="008059C9"/>
    <w:rsid w:val="0080714A"/>
    <w:rsid w:val="00810AFB"/>
    <w:rsid w:val="00815953"/>
    <w:rsid w:val="00815C7D"/>
    <w:rsid w:val="008164A4"/>
    <w:rsid w:val="0081786F"/>
    <w:rsid w:val="00817941"/>
    <w:rsid w:val="008229E4"/>
    <w:rsid w:val="00822FBA"/>
    <w:rsid w:val="00823547"/>
    <w:rsid w:val="008261AB"/>
    <w:rsid w:val="008269AB"/>
    <w:rsid w:val="00831B3C"/>
    <w:rsid w:val="00832386"/>
    <w:rsid w:val="008343FF"/>
    <w:rsid w:val="00834C6D"/>
    <w:rsid w:val="00834C91"/>
    <w:rsid w:val="00835CA7"/>
    <w:rsid w:val="00836EFB"/>
    <w:rsid w:val="008370D4"/>
    <w:rsid w:val="00837B5A"/>
    <w:rsid w:val="008414AD"/>
    <w:rsid w:val="00841C52"/>
    <w:rsid w:val="008428D9"/>
    <w:rsid w:val="00842E76"/>
    <w:rsid w:val="0085014B"/>
    <w:rsid w:val="008539A2"/>
    <w:rsid w:val="00853E64"/>
    <w:rsid w:val="00854654"/>
    <w:rsid w:val="008546F3"/>
    <w:rsid w:val="00857CD6"/>
    <w:rsid w:val="0086200A"/>
    <w:rsid w:val="00867946"/>
    <w:rsid w:val="00874CC8"/>
    <w:rsid w:val="00880D8B"/>
    <w:rsid w:val="0088467A"/>
    <w:rsid w:val="00884DB9"/>
    <w:rsid w:val="00884F8D"/>
    <w:rsid w:val="00885F1B"/>
    <w:rsid w:val="00886E5A"/>
    <w:rsid w:val="00893E74"/>
    <w:rsid w:val="008975F1"/>
    <w:rsid w:val="00897A60"/>
    <w:rsid w:val="00897DBF"/>
    <w:rsid w:val="008A21DD"/>
    <w:rsid w:val="008A304C"/>
    <w:rsid w:val="008A3EC5"/>
    <w:rsid w:val="008A78DB"/>
    <w:rsid w:val="008B2938"/>
    <w:rsid w:val="008B4C07"/>
    <w:rsid w:val="008B5A15"/>
    <w:rsid w:val="008B65F4"/>
    <w:rsid w:val="008C59AC"/>
    <w:rsid w:val="008C67D2"/>
    <w:rsid w:val="008D0C20"/>
    <w:rsid w:val="008D6CB8"/>
    <w:rsid w:val="008E0683"/>
    <w:rsid w:val="008E3992"/>
    <w:rsid w:val="008E51D9"/>
    <w:rsid w:val="008E7E40"/>
    <w:rsid w:val="008F2148"/>
    <w:rsid w:val="008F31FD"/>
    <w:rsid w:val="008F34AE"/>
    <w:rsid w:val="008F6390"/>
    <w:rsid w:val="008F66FD"/>
    <w:rsid w:val="0090039A"/>
    <w:rsid w:val="00902DD9"/>
    <w:rsid w:val="00902E58"/>
    <w:rsid w:val="009047A1"/>
    <w:rsid w:val="0090565E"/>
    <w:rsid w:val="009062CD"/>
    <w:rsid w:val="00906C35"/>
    <w:rsid w:val="00911486"/>
    <w:rsid w:val="009117FE"/>
    <w:rsid w:val="009129CA"/>
    <w:rsid w:val="0091743A"/>
    <w:rsid w:val="0092022B"/>
    <w:rsid w:val="00920353"/>
    <w:rsid w:val="009206B6"/>
    <w:rsid w:val="009225CE"/>
    <w:rsid w:val="009230AA"/>
    <w:rsid w:val="009252DC"/>
    <w:rsid w:val="009257E2"/>
    <w:rsid w:val="009263C1"/>
    <w:rsid w:val="009272FE"/>
    <w:rsid w:val="00927B95"/>
    <w:rsid w:val="00931FC2"/>
    <w:rsid w:val="009325EA"/>
    <w:rsid w:val="00932C4F"/>
    <w:rsid w:val="009378EC"/>
    <w:rsid w:val="00941B4F"/>
    <w:rsid w:val="009518C0"/>
    <w:rsid w:val="00952C9E"/>
    <w:rsid w:val="00954F9C"/>
    <w:rsid w:val="00957374"/>
    <w:rsid w:val="00961131"/>
    <w:rsid w:val="00963CE3"/>
    <w:rsid w:val="00964F18"/>
    <w:rsid w:val="00965CE0"/>
    <w:rsid w:val="009707CA"/>
    <w:rsid w:val="00974424"/>
    <w:rsid w:val="009767DF"/>
    <w:rsid w:val="00977412"/>
    <w:rsid w:val="00977558"/>
    <w:rsid w:val="00981A9C"/>
    <w:rsid w:val="00983F2E"/>
    <w:rsid w:val="00985538"/>
    <w:rsid w:val="00987F76"/>
    <w:rsid w:val="00993088"/>
    <w:rsid w:val="00993D53"/>
    <w:rsid w:val="00994BB5"/>
    <w:rsid w:val="00995AC4"/>
    <w:rsid w:val="0099664F"/>
    <w:rsid w:val="0099790B"/>
    <w:rsid w:val="00997B6D"/>
    <w:rsid w:val="00997D5D"/>
    <w:rsid w:val="009A0447"/>
    <w:rsid w:val="009A1B30"/>
    <w:rsid w:val="009A2CE5"/>
    <w:rsid w:val="009A338E"/>
    <w:rsid w:val="009A4B59"/>
    <w:rsid w:val="009A6616"/>
    <w:rsid w:val="009B17B2"/>
    <w:rsid w:val="009B4713"/>
    <w:rsid w:val="009B4A51"/>
    <w:rsid w:val="009B6B06"/>
    <w:rsid w:val="009C28B1"/>
    <w:rsid w:val="009C4503"/>
    <w:rsid w:val="009C61AD"/>
    <w:rsid w:val="009C6697"/>
    <w:rsid w:val="009D373D"/>
    <w:rsid w:val="009D436B"/>
    <w:rsid w:val="009D5FA2"/>
    <w:rsid w:val="009D7B2C"/>
    <w:rsid w:val="009E0801"/>
    <w:rsid w:val="009E1D05"/>
    <w:rsid w:val="009F7DE0"/>
    <w:rsid w:val="00A05973"/>
    <w:rsid w:val="00A11B0C"/>
    <w:rsid w:val="00A1291F"/>
    <w:rsid w:val="00A12CA8"/>
    <w:rsid w:val="00A16127"/>
    <w:rsid w:val="00A17337"/>
    <w:rsid w:val="00A206A7"/>
    <w:rsid w:val="00A236FD"/>
    <w:rsid w:val="00A23BBA"/>
    <w:rsid w:val="00A25462"/>
    <w:rsid w:val="00A315F2"/>
    <w:rsid w:val="00A33B35"/>
    <w:rsid w:val="00A33E90"/>
    <w:rsid w:val="00A36419"/>
    <w:rsid w:val="00A41163"/>
    <w:rsid w:val="00A4405E"/>
    <w:rsid w:val="00A44196"/>
    <w:rsid w:val="00A4428F"/>
    <w:rsid w:val="00A44921"/>
    <w:rsid w:val="00A45420"/>
    <w:rsid w:val="00A5640A"/>
    <w:rsid w:val="00A57018"/>
    <w:rsid w:val="00A578C2"/>
    <w:rsid w:val="00A57AC7"/>
    <w:rsid w:val="00A60A48"/>
    <w:rsid w:val="00A60DEF"/>
    <w:rsid w:val="00A65502"/>
    <w:rsid w:val="00A676DB"/>
    <w:rsid w:val="00A72652"/>
    <w:rsid w:val="00A737E3"/>
    <w:rsid w:val="00A75D1C"/>
    <w:rsid w:val="00A76677"/>
    <w:rsid w:val="00A809AA"/>
    <w:rsid w:val="00A83F91"/>
    <w:rsid w:val="00A849B3"/>
    <w:rsid w:val="00A8510D"/>
    <w:rsid w:val="00A86AF3"/>
    <w:rsid w:val="00A8772F"/>
    <w:rsid w:val="00A90AFF"/>
    <w:rsid w:val="00A90BDC"/>
    <w:rsid w:val="00A90E8B"/>
    <w:rsid w:val="00A940EF"/>
    <w:rsid w:val="00A95477"/>
    <w:rsid w:val="00A95C91"/>
    <w:rsid w:val="00A975A9"/>
    <w:rsid w:val="00AA3192"/>
    <w:rsid w:val="00AA37A7"/>
    <w:rsid w:val="00AA3B7F"/>
    <w:rsid w:val="00AA48BB"/>
    <w:rsid w:val="00AA5840"/>
    <w:rsid w:val="00AA6FBE"/>
    <w:rsid w:val="00AA7797"/>
    <w:rsid w:val="00AA7F72"/>
    <w:rsid w:val="00AB0486"/>
    <w:rsid w:val="00AB1497"/>
    <w:rsid w:val="00AB251E"/>
    <w:rsid w:val="00AB3029"/>
    <w:rsid w:val="00AB3608"/>
    <w:rsid w:val="00AC114E"/>
    <w:rsid w:val="00AC45AE"/>
    <w:rsid w:val="00AC5C48"/>
    <w:rsid w:val="00AC63E3"/>
    <w:rsid w:val="00AD1C27"/>
    <w:rsid w:val="00AD20D0"/>
    <w:rsid w:val="00AD28DF"/>
    <w:rsid w:val="00AD294A"/>
    <w:rsid w:val="00AD5E20"/>
    <w:rsid w:val="00AD752B"/>
    <w:rsid w:val="00AD7F9F"/>
    <w:rsid w:val="00AE475A"/>
    <w:rsid w:val="00AE4798"/>
    <w:rsid w:val="00AE4B95"/>
    <w:rsid w:val="00AF0124"/>
    <w:rsid w:val="00AF0CF4"/>
    <w:rsid w:val="00AF2252"/>
    <w:rsid w:val="00AF2286"/>
    <w:rsid w:val="00AF25AA"/>
    <w:rsid w:val="00AF39E5"/>
    <w:rsid w:val="00AF4DBA"/>
    <w:rsid w:val="00AF56DB"/>
    <w:rsid w:val="00AF6767"/>
    <w:rsid w:val="00AF6777"/>
    <w:rsid w:val="00B00B12"/>
    <w:rsid w:val="00B0344C"/>
    <w:rsid w:val="00B10863"/>
    <w:rsid w:val="00B1129F"/>
    <w:rsid w:val="00B11D61"/>
    <w:rsid w:val="00B12648"/>
    <w:rsid w:val="00B12F51"/>
    <w:rsid w:val="00B15161"/>
    <w:rsid w:val="00B2751E"/>
    <w:rsid w:val="00B31F86"/>
    <w:rsid w:val="00B3566A"/>
    <w:rsid w:val="00B3650C"/>
    <w:rsid w:val="00B428A4"/>
    <w:rsid w:val="00B4420E"/>
    <w:rsid w:val="00B47055"/>
    <w:rsid w:val="00B6259B"/>
    <w:rsid w:val="00B64BFA"/>
    <w:rsid w:val="00B6532B"/>
    <w:rsid w:val="00B70A0E"/>
    <w:rsid w:val="00B70A41"/>
    <w:rsid w:val="00B71E63"/>
    <w:rsid w:val="00B759B9"/>
    <w:rsid w:val="00B76373"/>
    <w:rsid w:val="00B83212"/>
    <w:rsid w:val="00B85DE4"/>
    <w:rsid w:val="00B85F5F"/>
    <w:rsid w:val="00B86C7B"/>
    <w:rsid w:val="00B87AAD"/>
    <w:rsid w:val="00B90297"/>
    <w:rsid w:val="00B91A31"/>
    <w:rsid w:val="00B950FA"/>
    <w:rsid w:val="00B95FCB"/>
    <w:rsid w:val="00BA024C"/>
    <w:rsid w:val="00BA0286"/>
    <w:rsid w:val="00BA0306"/>
    <w:rsid w:val="00BA5516"/>
    <w:rsid w:val="00BA6C28"/>
    <w:rsid w:val="00BA6DB4"/>
    <w:rsid w:val="00BA705B"/>
    <w:rsid w:val="00BB1F0F"/>
    <w:rsid w:val="00BB2429"/>
    <w:rsid w:val="00BB2CCD"/>
    <w:rsid w:val="00BB6631"/>
    <w:rsid w:val="00BB6ECD"/>
    <w:rsid w:val="00BC2B87"/>
    <w:rsid w:val="00BC3F3C"/>
    <w:rsid w:val="00BC3FE0"/>
    <w:rsid w:val="00BC5230"/>
    <w:rsid w:val="00BC5550"/>
    <w:rsid w:val="00BC5BB2"/>
    <w:rsid w:val="00BC7A75"/>
    <w:rsid w:val="00BD0E29"/>
    <w:rsid w:val="00BD5ECA"/>
    <w:rsid w:val="00BE2161"/>
    <w:rsid w:val="00BE5280"/>
    <w:rsid w:val="00BE738E"/>
    <w:rsid w:val="00BF0977"/>
    <w:rsid w:val="00BF11A1"/>
    <w:rsid w:val="00BF1E15"/>
    <w:rsid w:val="00BF3F54"/>
    <w:rsid w:val="00C00697"/>
    <w:rsid w:val="00C0376C"/>
    <w:rsid w:val="00C043CA"/>
    <w:rsid w:val="00C06D77"/>
    <w:rsid w:val="00C14BA6"/>
    <w:rsid w:val="00C223A6"/>
    <w:rsid w:val="00C26EE9"/>
    <w:rsid w:val="00C32129"/>
    <w:rsid w:val="00C32BD3"/>
    <w:rsid w:val="00C3485C"/>
    <w:rsid w:val="00C34D0D"/>
    <w:rsid w:val="00C354B6"/>
    <w:rsid w:val="00C356F3"/>
    <w:rsid w:val="00C37425"/>
    <w:rsid w:val="00C43C11"/>
    <w:rsid w:val="00C450F4"/>
    <w:rsid w:val="00C46474"/>
    <w:rsid w:val="00C5078E"/>
    <w:rsid w:val="00C512BE"/>
    <w:rsid w:val="00C544A4"/>
    <w:rsid w:val="00C55EEE"/>
    <w:rsid w:val="00C56A54"/>
    <w:rsid w:val="00C6190E"/>
    <w:rsid w:val="00C6691F"/>
    <w:rsid w:val="00C678CB"/>
    <w:rsid w:val="00C73CED"/>
    <w:rsid w:val="00C768E5"/>
    <w:rsid w:val="00C76AC2"/>
    <w:rsid w:val="00C772FE"/>
    <w:rsid w:val="00C8571E"/>
    <w:rsid w:val="00CA1631"/>
    <w:rsid w:val="00CA2004"/>
    <w:rsid w:val="00CA5B99"/>
    <w:rsid w:val="00CA6F12"/>
    <w:rsid w:val="00CA7B0D"/>
    <w:rsid w:val="00CB0933"/>
    <w:rsid w:val="00CB0CC9"/>
    <w:rsid w:val="00CB334D"/>
    <w:rsid w:val="00CB56D5"/>
    <w:rsid w:val="00CC136F"/>
    <w:rsid w:val="00CC75A7"/>
    <w:rsid w:val="00CD111A"/>
    <w:rsid w:val="00CD1454"/>
    <w:rsid w:val="00CD1EA8"/>
    <w:rsid w:val="00CE01B7"/>
    <w:rsid w:val="00CE1371"/>
    <w:rsid w:val="00CE78CB"/>
    <w:rsid w:val="00CE79CD"/>
    <w:rsid w:val="00CE7CCA"/>
    <w:rsid w:val="00CF0904"/>
    <w:rsid w:val="00CF21E5"/>
    <w:rsid w:val="00CF5ABD"/>
    <w:rsid w:val="00CF63CE"/>
    <w:rsid w:val="00CF6A1A"/>
    <w:rsid w:val="00D01E45"/>
    <w:rsid w:val="00D03613"/>
    <w:rsid w:val="00D067C1"/>
    <w:rsid w:val="00D13A33"/>
    <w:rsid w:val="00D13B13"/>
    <w:rsid w:val="00D16E78"/>
    <w:rsid w:val="00D201D3"/>
    <w:rsid w:val="00D24284"/>
    <w:rsid w:val="00D25AED"/>
    <w:rsid w:val="00D267D5"/>
    <w:rsid w:val="00D26A64"/>
    <w:rsid w:val="00D27323"/>
    <w:rsid w:val="00D27782"/>
    <w:rsid w:val="00D31720"/>
    <w:rsid w:val="00D31D3B"/>
    <w:rsid w:val="00D32734"/>
    <w:rsid w:val="00D35C6F"/>
    <w:rsid w:val="00D36354"/>
    <w:rsid w:val="00D43B03"/>
    <w:rsid w:val="00D50E8A"/>
    <w:rsid w:val="00D518A0"/>
    <w:rsid w:val="00D52B9A"/>
    <w:rsid w:val="00D53241"/>
    <w:rsid w:val="00D532C0"/>
    <w:rsid w:val="00D5367E"/>
    <w:rsid w:val="00D536DF"/>
    <w:rsid w:val="00D53B1E"/>
    <w:rsid w:val="00D558F8"/>
    <w:rsid w:val="00D56600"/>
    <w:rsid w:val="00D5667A"/>
    <w:rsid w:val="00D60EFE"/>
    <w:rsid w:val="00D61BE0"/>
    <w:rsid w:val="00D634CA"/>
    <w:rsid w:val="00D63636"/>
    <w:rsid w:val="00D63DF5"/>
    <w:rsid w:val="00D63FBC"/>
    <w:rsid w:val="00D64AB6"/>
    <w:rsid w:val="00D65E56"/>
    <w:rsid w:val="00D753F0"/>
    <w:rsid w:val="00D75750"/>
    <w:rsid w:val="00D82619"/>
    <w:rsid w:val="00D82B9A"/>
    <w:rsid w:val="00D84865"/>
    <w:rsid w:val="00D8493A"/>
    <w:rsid w:val="00D84EF0"/>
    <w:rsid w:val="00D861ED"/>
    <w:rsid w:val="00D86941"/>
    <w:rsid w:val="00D873E0"/>
    <w:rsid w:val="00D876E1"/>
    <w:rsid w:val="00D90373"/>
    <w:rsid w:val="00D9133A"/>
    <w:rsid w:val="00D9236B"/>
    <w:rsid w:val="00D92980"/>
    <w:rsid w:val="00D94F8B"/>
    <w:rsid w:val="00D95FBF"/>
    <w:rsid w:val="00DA4E9C"/>
    <w:rsid w:val="00DA5988"/>
    <w:rsid w:val="00DA716D"/>
    <w:rsid w:val="00DB573D"/>
    <w:rsid w:val="00DB62A5"/>
    <w:rsid w:val="00DB7F78"/>
    <w:rsid w:val="00DC0184"/>
    <w:rsid w:val="00DC317C"/>
    <w:rsid w:val="00DC4FF2"/>
    <w:rsid w:val="00DC79CC"/>
    <w:rsid w:val="00DD031F"/>
    <w:rsid w:val="00DD3260"/>
    <w:rsid w:val="00DD4891"/>
    <w:rsid w:val="00DD5C8D"/>
    <w:rsid w:val="00DE0DC8"/>
    <w:rsid w:val="00E01E89"/>
    <w:rsid w:val="00E07168"/>
    <w:rsid w:val="00E1003F"/>
    <w:rsid w:val="00E10D39"/>
    <w:rsid w:val="00E134F4"/>
    <w:rsid w:val="00E15C3D"/>
    <w:rsid w:val="00E162E0"/>
    <w:rsid w:val="00E2149E"/>
    <w:rsid w:val="00E23568"/>
    <w:rsid w:val="00E245B5"/>
    <w:rsid w:val="00E276BD"/>
    <w:rsid w:val="00E33E1B"/>
    <w:rsid w:val="00E3409D"/>
    <w:rsid w:val="00E34D3E"/>
    <w:rsid w:val="00E4260C"/>
    <w:rsid w:val="00E42888"/>
    <w:rsid w:val="00E43D86"/>
    <w:rsid w:val="00E443A8"/>
    <w:rsid w:val="00E46F84"/>
    <w:rsid w:val="00E501E6"/>
    <w:rsid w:val="00E51753"/>
    <w:rsid w:val="00E60B57"/>
    <w:rsid w:val="00E625F2"/>
    <w:rsid w:val="00E6310A"/>
    <w:rsid w:val="00E662F4"/>
    <w:rsid w:val="00E67ED0"/>
    <w:rsid w:val="00E720E9"/>
    <w:rsid w:val="00E73188"/>
    <w:rsid w:val="00E766CC"/>
    <w:rsid w:val="00E81C5E"/>
    <w:rsid w:val="00E83B3C"/>
    <w:rsid w:val="00E83DC4"/>
    <w:rsid w:val="00E8736B"/>
    <w:rsid w:val="00E90275"/>
    <w:rsid w:val="00E91050"/>
    <w:rsid w:val="00E925D4"/>
    <w:rsid w:val="00E94E5B"/>
    <w:rsid w:val="00E97226"/>
    <w:rsid w:val="00EA00ED"/>
    <w:rsid w:val="00EA2B44"/>
    <w:rsid w:val="00EA33EF"/>
    <w:rsid w:val="00EA4EC5"/>
    <w:rsid w:val="00EA7373"/>
    <w:rsid w:val="00EA75F7"/>
    <w:rsid w:val="00EB0380"/>
    <w:rsid w:val="00EB1934"/>
    <w:rsid w:val="00EB2429"/>
    <w:rsid w:val="00EB4BD8"/>
    <w:rsid w:val="00EC0EE8"/>
    <w:rsid w:val="00EC104B"/>
    <w:rsid w:val="00EC13BB"/>
    <w:rsid w:val="00EC13C3"/>
    <w:rsid w:val="00EC1D4F"/>
    <w:rsid w:val="00EC4FFD"/>
    <w:rsid w:val="00EC58F5"/>
    <w:rsid w:val="00EC5BCF"/>
    <w:rsid w:val="00EC5EFC"/>
    <w:rsid w:val="00ED6DF6"/>
    <w:rsid w:val="00EE447F"/>
    <w:rsid w:val="00EE5640"/>
    <w:rsid w:val="00EE7011"/>
    <w:rsid w:val="00EE7C5E"/>
    <w:rsid w:val="00EF27AA"/>
    <w:rsid w:val="00EF33CD"/>
    <w:rsid w:val="00EF5416"/>
    <w:rsid w:val="00EF6463"/>
    <w:rsid w:val="00F00DB4"/>
    <w:rsid w:val="00F067A3"/>
    <w:rsid w:val="00F067AD"/>
    <w:rsid w:val="00F0693F"/>
    <w:rsid w:val="00F0755A"/>
    <w:rsid w:val="00F12924"/>
    <w:rsid w:val="00F13462"/>
    <w:rsid w:val="00F13C4F"/>
    <w:rsid w:val="00F150B9"/>
    <w:rsid w:val="00F17011"/>
    <w:rsid w:val="00F20C9B"/>
    <w:rsid w:val="00F226AB"/>
    <w:rsid w:val="00F22ADF"/>
    <w:rsid w:val="00F300CB"/>
    <w:rsid w:val="00F30455"/>
    <w:rsid w:val="00F30E78"/>
    <w:rsid w:val="00F3314E"/>
    <w:rsid w:val="00F400C3"/>
    <w:rsid w:val="00F42C0E"/>
    <w:rsid w:val="00F42C3A"/>
    <w:rsid w:val="00F432AA"/>
    <w:rsid w:val="00F454B1"/>
    <w:rsid w:val="00F45FC9"/>
    <w:rsid w:val="00F46604"/>
    <w:rsid w:val="00F509E3"/>
    <w:rsid w:val="00F5294C"/>
    <w:rsid w:val="00F52BCC"/>
    <w:rsid w:val="00F5313F"/>
    <w:rsid w:val="00F56FEE"/>
    <w:rsid w:val="00F602E6"/>
    <w:rsid w:val="00F66BED"/>
    <w:rsid w:val="00F67239"/>
    <w:rsid w:val="00F76027"/>
    <w:rsid w:val="00F76628"/>
    <w:rsid w:val="00F801C2"/>
    <w:rsid w:val="00F81135"/>
    <w:rsid w:val="00F81A48"/>
    <w:rsid w:val="00F843DD"/>
    <w:rsid w:val="00F85BEF"/>
    <w:rsid w:val="00F8700A"/>
    <w:rsid w:val="00F8782E"/>
    <w:rsid w:val="00F91271"/>
    <w:rsid w:val="00F91A98"/>
    <w:rsid w:val="00F92B69"/>
    <w:rsid w:val="00F95A82"/>
    <w:rsid w:val="00F96CF6"/>
    <w:rsid w:val="00F974AB"/>
    <w:rsid w:val="00F97956"/>
    <w:rsid w:val="00F97CFB"/>
    <w:rsid w:val="00FA3BC8"/>
    <w:rsid w:val="00FA4895"/>
    <w:rsid w:val="00FA636F"/>
    <w:rsid w:val="00FB4452"/>
    <w:rsid w:val="00FB62BC"/>
    <w:rsid w:val="00FC3B0E"/>
    <w:rsid w:val="00FC766E"/>
    <w:rsid w:val="00FC7DF0"/>
    <w:rsid w:val="00FD17C9"/>
    <w:rsid w:val="00FD2A5B"/>
    <w:rsid w:val="00FD2EEA"/>
    <w:rsid w:val="00FD4439"/>
    <w:rsid w:val="00FD731A"/>
    <w:rsid w:val="00FD7FF2"/>
    <w:rsid w:val="00FE2C1D"/>
    <w:rsid w:val="00FE6A5C"/>
    <w:rsid w:val="00FF1448"/>
    <w:rsid w:val="00FF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4">
    <w:name w:val="heading 4"/>
    <w:basedOn w:val="Normal"/>
    <w:next w:val="Normal"/>
    <w:link w:val="Heading4Char"/>
    <w:uiPriority w:val="9"/>
    <w:semiHidden/>
    <w:unhideWhenUsed/>
    <w:qFormat/>
    <w:rsid w:val="0035657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834C6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ListParagraphChar">
    <w:name w:val="List Paragraph Char"/>
    <w:basedOn w:val="DefaultParagraphFont"/>
    <w:link w:val="ListParagraph"/>
    <w:uiPriority w:val="34"/>
    <w:rsid w:val="00FE2C1D"/>
  </w:style>
  <w:style w:type="paragraph" w:styleId="BlockText">
    <w:name w:val="Block Text"/>
    <w:basedOn w:val="Normal"/>
    <w:uiPriority w:val="99"/>
    <w:unhideWhenUsed/>
    <w:rsid w:val="00FE2C1D"/>
    <w:pPr>
      <w:autoSpaceDE w:val="0"/>
      <w:autoSpaceDN w:val="0"/>
      <w:adjustRightInd w:val="0"/>
      <w:ind w:left="720" w:right="720"/>
    </w:pPr>
    <w:rPr>
      <w:rFonts w:asciiTheme="majorHAnsi" w:hAnsiTheme="majorHAnsi"/>
    </w:rPr>
  </w:style>
  <w:style w:type="paragraph" w:styleId="FootnoteText">
    <w:name w:val="footnote text"/>
    <w:basedOn w:val="Normal"/>
    <w:link w:val="FootnoteTextChar"/>
    <w:uiPriority w:val="99"/>
    <w:semiHidden/>
    <w:unhideWhenUsed/>
    <w:rsid w:val="002660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660A3"/>
    <w:rPr>
      <w:rFonts w:ascii="Times New Roman" w:eastAsia="Times New Roman" w:hAnsi="Times New Roman" w:cs="Times New Roman"/>
      <w:sz w:val="20"/>
      <w:szCs w:val="20"/>
    </w:rPr>
  </w:style>
  <w:style w:type="character" w:styleId="FootnoteReference">
    <w:name w:val="footnote reference"/>
    <w:uiPriority w:val="99"/>
    <w:semiHidden/>
    <w:unhideWhenUsed/>
    <w:rsid w:val="002660A3"/>
    <w:rPr>
      <w:vertAlign w:val="superscript"/>
    </w:rPr>
  </w:style>
  <w:style w:type="paragraph" w:styleId="BodyTextIndent">
    <w:name w:val="Body Text Indent"/>
    <w:basedOn w:val="Normal"/>
    <w:link w:val="BodyTextIndentChar"/>
    <w:uiPriority w:val="99"/>
    <w:unhideWhenUsed/>
    <w:rsid w:val="00254D2B"/>
    <w:pPr>
      <w:spacing w:after="0"/>
      <w:ind w:left="810"/>
    </w:pPr>
    <w:rPr>
      <w:rFonts w:asciiTheme="majorHAnsi" w:hAnsiTheme="majorHAnsi"/>
    </w:rPr>
  </w:style>
  <w:style w:type="character" w:customStyle="1" w:styleId="BodyTextIndentChar">
    <w:name w:val="Body Text Indent Char"/>
    <w:basedOn w:val="DefaultParagraphFont"/>
    <w:link w:val="BodyTextIndent"/>
    <w:uiPriority w:val="99"/>
    <w:rsid w:val="00254D2B"/>
    <w:rPr>
      <w:rFonts w:asciiTheme="majorHAnsi" w:hAnsiTheme="majorHAnsi"/>
    </w:rPr>
  </w:style>
  <w:style w:type="paragraph" w:styleId="Revision">
    <w:name w:val="Revision"/>
    <w:hidden/>
    <w:uiPriority w:val="99"/>
    <w:semiHidden/>
    <w:rsid w:val="00682A2F"/>
    <w:pPr>
      <w:spacing w:after="0" w:line="240" w:lineRule="auto"/>
    </w:pPr>
  </w:style>
  <w:style w:type="paragraph" w:customStyle="1" w:styleId="SuicideBodyText">
    <w:name w:val="Suicide Body Text"/>
    <w:basedOn w:val="Normal"/>
    <w:link w:val="SuicideBodyTextChar"/>
    <w:rsid w:val="00C73CED"/>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C73CED"/>
    <w:rPr>
      <w:rFonts w:ascii="Times New Roman" w:eastAsia="Times New Roman" w:hAnsi="Times New Roman" w:cs="Times New Roman"/>
      <w:sz w:val="24"/>
      <w:szCs w:val="24"/>
    </w:rPr>
  </w:style>
  <w:style w:type="paragraph" w:customStyle="1" w:styleId="Brandedtblcel">
    <w:name w:val="Branded_tbl_cel"/>
    <w:basedOn w:val="Normal"/>
    <w:qFormat/>
    <w:rsid w:val="002E5F31"/>
    <w:pPr>
      <w:spacing w:after="0" w:line="240" w:lineRule="auto"/>
    </w:pPr>
    <w:rPr>
      <w:rFonts w:eastAsiaTheme="minorHAnsi" w:cs="Arial"/>
      <w:sz w:val="20"/>
      <w:szCs w:val="20"/>
    </w:rPr>
  </w:style>
  <w:style w:type="character" w:customStyle="1" w:styleId="Heading8Char">
    <w:name w:val="Heading 8 Char"/>
    <w:basedOn w:val="DefaultParagraphFont"/>
    <w:link w:val="Heading8"/>
    <w:uiPriority w:val="9"/>
    <w:semiHidden/>
    <w:rsid w:val="00834C6D"/>
    <w:rPr>
      <w:rFonts w:asciiTheme="majorHAnsi" w:eastAsiaTheme="majorEastAsia" w:hAnsiTheme="majorHAnsi" w:cstheme="majorBidi"/>
      <w:color w:val="272727" w:themeColor="text1" w:themeTint="D8"/>
      <w:sz w:val="21"/>
      <w:szCs w:val="21"/>
    </w:rPr>
  </w:style>
  <w:style w:type="paragraph" w:customStyle="1" w:styleId="SidebarHeading">
    <w:name w:val="Sidebar Heading"/>
    <w:basedOn w:val="Normal"/>
    <w:link w:val="SidebarHeadingChar"/>
    <w:qFormat/>
    <w:rsid w:val="00834C6D"/>
    <w:pPr>
      <w:spacing w:before="120" w:after="0"/>
    </w:pPr>
    <w:rPr>
      <w:rFonts w:asciiTheme="majorHAnsi" w:hAnsiTheme="majorHAnsi" w:cstheme="majorHAnsi"/>
      <w:b/>
      <w:color w:val="1F497D" w:themeColor="text2"/>
      <w:szCs w:val="24"/>
    </w:rPr>
  </w:style>
  <w:style w:type="character" w:customStyle="1" w:styleId="SidebarHeadingChar">
    <w:name w:val="Sidebar Heading Char"/>
    <w:basedOn w:val="DefaultParagraphFont"/>
    <w:link w:val="SidebarHeading"/>
    <w:rsid w:val="00834C6D"/>
    <w:rPr>
      <w:rFonts w:asciiTheme="majorHAnsi" w:hAnsiTheme="majorHAnsi" w:cstheme="majorHAnsi"/>
      <w:b/>
      <w:color w:val="1F497D" w:themeColor="text2"/>
      <w:szCs w:val="24"/>
    </w:rPr>
  </w:style>
  <w:style w:type="paragraph" w:customStyle="1" w:styleId="BHNormal">
    <w:name w:val="BHNormal"/>
    <w:qFormat/>
    <w:rsid w:val="00834C6D"/>
    <w:pPr>
      <w:spacing w:line="240" w:lineRule="auto"/>
      <w:jc w:val="both"/>
    </w:pPr>
    <w:rPr>
      <w:rFonts w:ascii="Times New Roman" w:eastAsiaTheme="minorHAnsi" w:hAnsi="Times New Roman" w:cs="Times New Roman"/>
      <w:sz w:val="24"/>
    </w:rPr>
  </w:style>
  <w:style w:type="character" w:customStyle="1" w:styleId="Heading4Char">
    <w:name w:val="Heading 4 Char"/>
    <w:basedOn w:val="DefaultParagraphFont"/>
    <w:link w:val="Heading4"/>
    <w:uiPriority w:val="9"/>
    <w:semiHidden/>
    <w:rsid w:val="00356578"/>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546615"/>
    <w:pPr>
      <w:spacing w:after="120"/>
    </w:pPr>
  </w:style>
  <w:style w:type="character" w:customStyle="1" w:styleId="BodyTextChar">
    <w:name w:val="Body Text Char"/>
    <w:basedOn w:val="DefaultParagraphFont"/>
    <w:link w:val="BodyText"/>
    <w:uiPriority w:val="99"/>
    <w:semiHidden/>
    <w:rsid w:val="00546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4">
    <w:name w:val="heading 4"/>
    <w:basedOn w:val="Normal"/>
    <w:next w:val="Normal"/>
    <w:link w:val="Heading4Char"/>
    <w:uiPriority w:val="9"/>
    <w:semiHidden/>
    <w:unhideWhenUsed/>
    <w:qFormat/>
    <w:rsid w:val="0035657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834C6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ListParagraphChar">
    <w:name w:val="List Paragraph Char"/>
    <w:basedOn w:val="DefaultParagraphFont"/>
    <w:link w:val="ListParagraph"/>
    <w:uiPriority w:val="34"/>
    <w:rsid w:val="00FE2C1D"/>
  </w:style>
  <w:style w:type="paragraph" w:styleId="BlockText">
    <w:name w:val="Block Text"/>
    <w:basedOn w:val="Normal"/>
    <w:uiPriority w:val="99"/>
    <w:unhideWhenUsed/>
    <w:rsid w:val="00FE2C1D"/>
    <w:pPr>
      <w:autoSpaceDE w:val="0"/>
      <w:autoSpaceDN w:val="0"/>
      <w:adjustRightInd w:val="0"/>
      <w:ind w:left="720" w:right="720"/>
    </w:pPr>
    <w:rPr>
      <w:rFonts w:asciiTheme="majorHAnsi" w:hAnsiTheme="majorHAnsi"/>
    </w:rPr>
  </w:style>
  <w:style w:type="paragraph" w:styleId="FootnoteText">
    <w:name w:val="footnote text"/>
    <w:basedOn w:val="Normal"/>
    <w:link w:val="FootnoteTextChar"/>
    <w:uiPriority w:val="99"/>
    <w:semiHidden/>
    <w:unhideWhenUsed/>
    <w:rsid w:val="002660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660A3"/>
    <w:rPr>
      <w:rFonts w:ascii="Times New Roman" w:eastAsia="Times New Roman" w:hAnsi="Times New Roman" w:cs="Times New Roman"/>
      <w:sz w:val="20"/>
      <w:szCs w:val="20"/>
    </w:rPr>
  </w:style>
  <w:style w:type="character" w:styleId="FootnoteReference">
    <w:name w:val="footnote reference"/>
    <w:uiPriority w:val="99"/>
    <w:semiHidden/>
    <w:unhideWhenUsed/>
    <w:rsid w:val="002660A3"/>
    <w:rPr>
      <w:vertAlign w:val="superscript"/>
    </w:rPr>
  </w:style>
  <w:style w:type="paragraph" w:styleId="BodyTextIndent">
    <w:name w:val="Body Text Indent"/>
    <w:basedOn w:val="Normal"/>
    <w:link w:val="BodyTextIndentChar"/>
    <w:uiPriority w:val="99"/>
    <w:unhideWhenUsed/>
    <w:rsid w:val="00254D2B"/>
    <w:pPr>
      <w:spacing w:after="0"/>
      <w:ind w:left="810"/>
    </w:pPr>
    <w:rPr>
      <w:rFonts w:asciiTheme="majorHAnsi" w:hAnsiTheme="majorHAnsi"/>
    </w:rPr>
  </w:style>
  <w:style w:type="character" w:customStyle="1" w:styleId="BodyTextIndentChar">
    <w:name w:val="Body Text Indent Char"/>
    <w:basedOn w:val="DefaultParagraphFont"/>
    <w:link w:val="BodyTextIndent"/>
    <w:uiPriority w:val="99"/>
    <w:rsid w:val="00254D2B"/>
    <w:rPr>
      <w:rFonts w:asciiTheme="majorHAnsi" w:hAnsiTheme="majorHAnsi"/>
    </w:rPr>
  </w:style>
  <w:style w:type="paragraph" w:styleId="Revision">
    <w:name w:val="Revision"/>
    <w:hidden/>
    <w:uiPriority w:val="99"/>
    <w:semiHidden/>
    <w:rsid w:val="00682A2F"/>
    <w:pPr>
      <w:spacing w:after="0" w:line="240" w:lineRule="auto"/>
    </w:pPr>
  </w:style>
  <w:style w:type="paragraph" w:customStyle="1" w:styleId="SuicideBodyText">
    <w:name w:val="Suicide Body Text"/>
    <w:basedOn w:val="Normal"/>
    <w:link w:val="SuicideBodyTextChar"/>
    <w:rsid w:val="00C73CED"/>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C73CED"/>
    <w:rPr>
      <w:rFonts w:ascii="Times New Roman" w:eastAsia="Times New Roman" w:hAnsi="Times New Roman" w:cs="Times New Roman"/>
      <w:sz w:val="24"/>
      <w:szCs w:val="24"/>
    </w:rPr>
  </w:style>
  <w:style w:type="paragraph" w:customStyle="1" w:styleId="Brandedtblcel">
    <w:name w:val="Branded_tbl_cel"/>
    <w:basedOn w:val="Normal"/>
    <w:qFormat/>
    <w:rsid w:val="002E5F31"/>
    <w:pPr>
      <w:spacing w:after="0" w:line="240" w:lineRule="auto"/>
    </w:pPr>
    <w:rPr>
      <w:rFonts w:eastAsiaTheme="minorHAnsi" w:cs="Arial"/>
      <w:sz w:val="20"/>
      <w:szCs w:val="20"/>
    </w:rPr>
  </w:style>
  <w:style w:type="character" w:customStyle="1" w:styleId="Heading8Char">
    <w:name w:val="Heading 8 Char"/>
    <w:basedOn w:val="DefaultParagraphFont"/>
    <w:link w:val="Heading8"/>
    <w:uiPriority w:val="9"/>
    <w:semiHidden/>
    <w:rsid w:val="00834C6D"/>
    <w:rPr>
      <w:rFonts w:asciiTheme="majorHAnsi" w:eastAsiaTheme="majorEastAsia" w:hAnsiTheme="majorHAnsi" w:cstheme="majorBidi"/>
      <w:color w:val="272727" w:themeColor="text1" w:themeTint="D8"/>
      <w:sz w:val="21"/>
      <w:szCs w:val="21"/>
    </w:rPr>
  </w:style>
  <w:style w:type="paragraph" w:customStyle="1" w:styleId="SidebarHeading">
    <w:name w:val="Sidebar Heading"/>
    <w:basedOn w:val="Normal"/>
    <w:link w:val="SidebarHeadingChar"/>
    <w:qFormat/>
    <w:rsid w:val="00834C6D"/>
    <w:pPr>
      <w:spacing w:before="120" w:after="0"/>
    </w:pPr>
    <w:rPr>
      <w:rFonts w:asciiTheme="majorHAnsi" w:hAnsiTheme="majorHAnsi" w:cstheme="majorHAnsi"/>
      <w:b/>
      <w:color w:val="1F497D" w:themeColor="text2"/>
      <w:szCs w:val="24"/>
    </w:rPr>
  </w:style>
  <w:style w:type="character" w:customStyle="1" w:styleId="SidebarHeadingChar">
    <w:name w:val="Sidebar Heading Char"/>
    <w:basedOn w:val="DefaultParagraphFont"/>
    <w:link w:val="SidebarHeading"/>
    <w:rsid w:val="00834C6D"/>
    <w:rPr>
      <w:rFonts w:asciiTheme="majorHAnsi" w:hAnsiTheme="majorHAnsi" w:cstheme="majorHAnsi"/>
      <w:b/>
      <w:color w:val="1F497D" w:themeColor="text2"/>
      <w:szCs w:val="24"/>
    </w:rPr>
  </w:style>
  <w:style w:type="paragraph" w:customStyle="1" w:styleId="BHNormal">
    <w:name w:val="BHNormal"/>
    <w:qFormat/>
    <w:rsid w:val="00834C6D"/>
    <w:pPr>
      <w:spacing w:line="240" w:lineRule="auto"/>
      <w:jc w:val="both"/>
    </w:pPr>
    <w:rPr>
      <w:rFonts w:ascii="Times New Roman" w:eastAsiaTheme="minorHAnsi" w:hAnsi="Times New Roman" w:cs="Times New Roman"/>
      <w:sz w:val="24"/>
    </w:rPr>
  </w:style>
  <w:style w:type="character" w:customStyle="1" w:styleId="Heading4Char">
    <w:name w:val="Heading 4 Char"/>
    <w:basedOn w:val="DefaultParagraphFont"/>
    <w:link w:val="Heading4"/>
    <w:uiPriority w:val="9"/>
    <w:semiHidden/>
    <w:rsid w:val="00356578"/>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546615"/>
    <w:pPr>
      <w:spacing w:after="120"/>
    </w:pPr>
  </w:style>
  <w:style w:type="character" w:customStyle="1" w:styleId="BodyTextChar">
    <w:name w:val="Body Text Char"/>
    <w:basedOn w:val="DefaultParagraphFont"/>
    <w:link w:val="BodyText"/>
    <w:uiPriority w:val="99"/>
    <w:semiHidden/>
    <w:rsid w:val="0054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8681">
      <w:bodyDiv w:val="1"/>
      <w:marLeft w:val="0"/>
      <w:marRight w:val="0"/>
      <w:marTop w:val="0"/>
      <w:marBottom w:val="0"/>
      <w:divBdr>
        <w:top w:val="none" w:sz="0" w:space="0" w:color="auto"/>
        <w:left w:val="none" w:sz="0" w:space="0" w:color="auto"/>
        <w:bottom w:val="none" w:sz="0" w:space="0" w:color="auto"/>
        <w:right w:val="none" w:sz="0" w:space="0" w:color="auto"/>
      </w:divBdr>
    </w:div>
    <w:div w:id="7247629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47934579">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itehouse.gov/sites/whitehouse.gov/files/images/Final_Report_Draft_11-1-2017.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mpaignforchildren.org/wp-content/uploads/sites/2/2016/06/FFCC-Short-Summary-FFPSA.pdf"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www.bls.gov/oes/current/oes_nat.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9B45-BA54-4C40-B0E3-2DCC4C57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8048</Words>
  <Characters>45877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Matjasko, Jennifer (CDC/DDNID/NCIPC/DVP)</dc:creator>
  <cp:lastModifiedBy>SYSTEM</cp:lastModifiedBy>
  <cp:revision>2</cp:revision>
  <dcterms:created xsi:type="dcterms:W3CDTF">2019-06-07T17:42:00Z</dcterms:created>
  <dcterms:modified xsi:type="dcterms:W3CDTF">2019-06-07T17:42:00Z</dcterms:modified>
</cp:coreProperties>
</file>