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1F04B" w14:textId="77777777" w:rsidR="003F1C7A" w:rsidRPr="00BE2BC5" w:rsidRDefault="003F1C7A">
      <w:pPr>
        <w:pStyle w:val="Heading2"/>
        <w:tabs>
          <w:tab w:val="left" w:pos="900"/>
        </w:tabs>
        <w:ind w:right="-180"/>
        <w:rPr>
          <w:rFonts w:ascii="Cambria" w:hAnsi="Cambria"/>
          <w:sz w:val="28"/>
        </w:rPr>
      </w:pPr>
      <w:bookmarkStart w:id="0" w:name="_GoBack"/>
      <w:bookmarkEnd w:id="0"/>
      <w:r w:rsidRPr="00BE2BC5">
        <w:rPr>
          <w:rFonts w:ascii="Cambria" w:hAnsi="Cambria"/>
          <w:sz w:val="28"/>
        </w:rPr>
        <w:t>DOCUMENTATION FOR THE GENERIC CLEARANCE</w:t>
      </w:r>
    </w:p>
    <w:p w14:paraId="777C3852" w14:textId="77777777" w:rsidR="003F1C7A" w:rsidRPr="00BE2BC5" w:rsidRDefault="0037375D">
      <w:pPr>
        <w:jc w:val="center"/>
        <w:rPr>
          <w:rFonts w:ascii="Cambria" w:hAnsi="Cambria"/>
        </w:rPr>
      </w:pPr>
      <w:r w:rsidRPr="00BE2BC5">
        <w:rPr>
          <w:rFonts w:ascii="Cambria" w:hAnsi="Cambria"/>
          <w:b/>
          <w:sz w:val="28"/>
        </w:rPr>
        <w:t>FOR THE COLLECTION OF QUALITATIVE RESEARCH &amp; ASSESSMENT</w:t>
      </w:r>
    </w:p>
    <w:p w14:paraId="7389A223" w14:textId="77777777" w:rsidR="003F1C7A" w:rsidRPr="00BE2BC5" w:rsidRDefault="003F1C7A">
      <w:pPr>
        <w:rPr>
          <w:rFonts w:ascii="Cambria" w:hAnsi="Cambria"/>
        </w:rPr>
      </w:pPr>
    </w:p>
    <w:p w14:paraId="021E1EC4" w14:textId="77777777" w:rsidR="003F1C7A" w:rsidRPr="00BE2BC5" w:rsidRDefault="00BE2BC5">
      <w:pPr>
        <w:rPr>
          <w:rFonts w:ascii="Cambria" w:hAnsi="Cambria"/>
        </w:rPr>
      </w:pPr>
      <w:r w:rsidRPr="00BE2BC5">
        <w:rPr>
          <w:rFonts w:ascii="Cambria" w:hAnsi="Cambria"/>
          <w:noProof/>
        </w:rPr>
        <mc:AlternateContent>
          <mc:Choice Requires="wps">
            <w:drawing>
              <wp:anchor distT="0" distB="0" distL="114300" distR="114300" simplePos="0" relativeHeight="251657728" behindDoc="0" locked="0" layoutInCell="0" allowOverlap="1" wp14:anchorId="4C0BADD4" wp14:editId="7718710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3A1B3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7926ACB4" w14:textId="081E5F7B" w:rsidR="005C0F7C" w:rsidRPr="00D75CBF" w:rsidRDefault="003F1C7A" w:rsidP="005C0F7C">
      <w:pPr>
        <w:rPr>
          <w:b/>
        </w:rPr>
      </w:pPr>
      <w:r w:rsidRPr="00BE2BC5">
        <w:rPr>
          <w:rFonts w:ascii="Cambria" w:hAnsi="Cambria"/>
          <w:b/>
        </w:rPr>
        <w:t>TITLE OF INFORMATION COLLECTION:</w:t>
      </w:r>
      <w:r w:rsidRPr="00BE2BC5">
        <w:rPr>
          <w:rFonts w:ascii="Cambria" w:hAnsi="Cambria"/>
        </w:rPr>
        <w:t xml:space="preserve">  </w:t>
      </w:r>
      <w:r w:rsidR="005C0F7C" w:rsidRPr="005C0F7C">
        <w:rPr>
          <w:rFonts w:ascii="Cambria" w:hAnsi="Cambria"/>
          <w:bCs/>
        </w:rPr>
        <w:t>Reproductive Health and Family Planning Education and Services:</w:t>
      </w:r>
      <w:r w:rsidR="005C0F7C" w:rsidRPr="005C0F7C">
        <w:rPr>
          <w:rFonts w:ascii="Cambria" w:hAnsi="Cambria"/>
          <w:bCs/>
          <w:i/>
        </w:rPr>
        <w:t xml:space="preserve">  </w:t>
      </w:r>
      <w:r w:rsidR="005C0F7C" w:rsidRPr="005C0F7C">
        <w:rPr>
          <w:rFonts w:ascii="Cambria" w:hAnsi="Cambria"/>
          <w:bCs/>
        </w:rPr>
        <w:t xml:space="preserve">Understanding Experiences of </w:t>
      </w:r>
      <w:r w:rsidR="00E011BE">
        <w:rPr>
          <w:rFonts w:ascii="Cambria" w:hAnsi="Cambria"/>
          <w:bCs/>
        </w:rPr>
        <w:t>Young Adults</w:t>
      </w:r>
    </w:p>
    <w:p w14:paraId="7FA7BFBA" w14:textId="3E0362A4" w:rsidR="0037375D" w:rsidRPr="00BE2BC5" w:rsidRDefault="003F1C7A" w:rsidP="006363E4">
      <w:pPr>
        <w:pStyle w:val="BodyTextIndent"/>
        <w:tabs>
          <w:tab w:val="left" w:pos="360"/>
        </w:tabs>
        <w:spacing w:before="240" w:after="60"/>
        <w:ind w:left="0"/>
        <w:rPr>
          <w:rFonts w:ascii="Cambria" w:hAnsi="Cambria"/>
          <w:b/>
          <w:bCs/>
          <w:sz w:val="24"/>
        </w:rPr>
      </w:pPr>
      <w:r w:rsidRPr="00BE2BC5">
        <w:rPr>
          <w:rFonts w:ascii="Cambria" w:hAnsi="Cambria"/>
          <w:b/>
          <w:bCs/>
          <w:sz w:val="24"/>
        </w:rPr>
        <w:t>[</w:t>
      </w:r>
      <w:r w:rsidR="00400FED">
        <w:rPr>
          <w:rFonts w:ascii="Cambria" w:hAnsi="Cambria"/>
          <w:b/>
          <w:bCs/>
          <w:sz w:val="24"/>
        </w:rPr>
        <w:t xml:space="preserve">  </w:t>
      </w:r>
      <w:r w:rsidRPr="00BE2BC5">
        <w:rPr>
          <w:rFonts w:ascii="Cambria" w:hAnsi="Cambria"/>
          <w:b/>
          <w:bCs/>
          <w:sz w:val="24"/>
        </w:rPr>
        <w:t xml:space="preserve">] </w:t>
      </w:r>
      <w:r w:rsidR="0037375D" w:rsidRPr="00BE2BC5">
        <w:rPr>
          <w:rFonts w:ascii="Cambria" w:hAnsi="Cambria"/>
          <w:b/>
          <w:bCs/>
          <w:sz w:val="24"/>
        </w:rPr>
        <w:t>INTERVIEWS</w:t>
      </w:r>
    </w:p>
    <w:p w14:paraId="617340E6" w14:textId="0DB44529" w:rsidR="0037375D" w:rsidRPr="00BE2BC5" w:rsidRDefault="00531165" w:rsidP="00BE2BC5">
      <w:pPr>
        <w:pStyle w:val="BodyTextIndent"/>
        <w:tabs>
          <w:tab w:val="left" w:pos="360"/>
        </w:tabs>
        <w:spacing w:before="60" w:after="60"/>
        <w:ind w:left="0"/>
        <w:rPr>
          <w:rFonts w:ascii="Cambria" w:hAnsi="Cambria"/>
          <w:b/>
          <w:bCs/>
          <w:sz w:val="24"/>
        </w:rPr>
      </w:pPr>
      <w:r w:rsidRPr="00BE2BC5">
        <w:rPr>
          <w:rFonts w:ascii="Cambria" w:hAnsi="Cambria"/>
          <w:b/>
          <w:bCs/>
          <w:sz w:val="24"/>
        </w:rPr>
        <w:t>[</w:t>
      </w:r>
      <w:r w:rsidR="00400FED">
        <w:rPr>
          <w:rFonts w:ascii="Cambria" w:hAnsi="Cambria"/>
          <w:b/>
          <w:bCs/>
          <w:sz w:val="24"/>
        </w:rPr>
        <w:t xml:space="preserve">  </w:t>
      </w:r>
      <w:r w:rsidR="0037375D" w:rsidRPr="00BE2BC5">
        <w:rPr>
          <w:rFonts w:ascii="Cambria" w:hAnsi="Cambria"/>
          <w:b/>
          <w:bCs/>
          <w:sz w:val="24"/>
        </w:rPr>
        <w:t>] SMALL DISCUSSION GROUPS</w:t>
      </w:r>
    </w:p>
    <w:p w14:paraId="1D8D9AFD" w14:textId="71AAA6A8" w:rsidR="003F1C7A" w:rsidRPr="00BE2BC5" w:rsidRDefault="003F1C7A" w:rsidP="00BE2BC5">
      <w:pPr>
        <w:pStyle w:val="BodyTextIndent"/>
        <w:tabs>
          <w:tab w:val="left" w:pos="360"/>
        </w:tabs>
        <w:spacing w:before="60" w:after="60"/>
        <w:ind w:left="0"/>
        <w:rPr>
          <w:rFonts w:ascii="Cambria" w:hAnsi="Cambria"/>
          <w:b/>
          <w:bCs/>
          <w:sz w:val="24"/>
        </w:rPr>
      </w:pPr>
      <w:r w:rsidRPr="00BE2BC5">
        <w:rPr>
          <w:rFonts w:ascii="Cambria" w:hAnsi="Cambria"/>
          <w:b/>
          <w:bCs/>
          <w:sz w:val="24"/>
        </w:rPr>
        <w:t>[</w:t>
      </w:r>
      <w:r w:rsidR="00400FED">
        <w:rPr>
          <w:rFonts w:ascii="Cambria" w:hAnsi="Cambria"/>
          <w:b/>
          <w:bCs/>
          <w:sz w:val="24"/>
        </w:rPr>
        <w:t>X</w:t>
      </w:r>
      <w:r w:rsidRPr="00BE2BC5">
        <w:rPr>
          <w:rFonts w:ascii="Cambria" w:hAnsi="Cambria"/>
          <w:b/>
          <w:bCs/>
          <w:sz w:val="24"/>
        </w:rPr>
        <w:t>] FOCUS GROUP</w:t>
      </w:r>
      <w:r w:rsidR="0037375D" w:rsidRPr="00BE2BC5">
        <w:rPr>
          <w:rFonts w:ascii="Cambria" w:hAnsi="Cambria"/>
          <w:b/>
          <w:bCs/>
          <w:sz w:val="24"/>
        </w:rPr>
        <w:t>S</w:t>
      </w:r>
    </w:p>
    <w:p w14:paraId="5C7F90CF" w14:textId="77777777" w:rsidR="0037375D" w:rsidRPr="00BE2BC5" w:rsidRDefault="0037375D" w:rsidP="00BE2BC5">
      <w:pPr>
        <w:pStyle w:val="BodyTextIndent"/>
        <w:tabs>
          <w:tab w:val="left" w:pos="360"/>
        </w:tabs>
        <w:spacing w:before="60" w:after="60"/>
        <w:ind w:left="0"/>
        <w:rPr>
          <w:rFonts w:ascii="Cambria" w:hAnsi="Cambria"/>
          <w:b/>
          <w:bCs/>
          <w:sz w:val="24"/>
        </w:rPr>
      </w:pPr>
      <w:r w:rsidRPr="00BE2BC5">
        <w:rPr>
          <w:rFonts w:ascii="Cambria" w:hAnsi="Cambria"/>
          <w:b/>
          <w:bCs/>
          <w:sz w:val="24"/>
        </w:rPr>
        <w:t xml:space="preserve">[ </w:t>
      </w:r>
      <w:r w:rsidR="00BE2BC5">
        <w:rPr>
          <w:rFonts w:ascii="Cambria" w:hAnsi="Cambria"/>
          <w:b/>
          <w:bCs/>
          <w:sz w:val="24"/>
        </w:rPr>
        <w:t xml:space="preserve"> </w:t>
      </w:r>
      <w:r w:rsidRPr="00BE2BC5">
        <w:rPr>
          <w:rFonts w:ascii="Cambria" w:hAnsi="Cambria"/>
          <w:b/>
          <w:bCs/>
          <w:sz w:val="24"/>
        </w:rPr>
        <w:t>] QUESTIONNAIRES</w:t>
      </w:r>
    </w:p>
    <w:p w14:paraId="24E3382E" w14:textId="77777777" w:rsidR="0037375D" w:rsidRPr="00BE2BC5" w:rsidRDefault="0037375D" w:rsidP="00BE2BC5">
      <w:pPr>
        <w:pStyle w:val="BodyTextIndent"/>
        <w:tabs>
          <w:tab w:val="left" w:pos="360"/>
        </w:tabs>
        <w:spacing w:before="60" w:after="60"/>
        <w:ind w:left="0"/>
        <w:rPr>
          <w:rFonts w:ascii="Cambria" w:hAnsi="Cambria"/>
          <w:b/>
          <w:bCs/>
          <w:sz w:val="24"/>
        </w:rPr>
      </w:pPr>
      <w:r w:rsidRPr="00BE2BC5">
        <w:rPr>
          <w:rFonts w:ascii="Cambria" w:hAnsi="Cambria"/>
          <w:b/>
          <w:bCs/>
          <w:sz w:val="24"/>
        </w:rPr>
        <w:t xml:space="preserve">[ </w:t>
      </w:r>
      <w:r w:rsidR="00BE2BC5">
        <w:rPr>
          <w:rFonts w:ascii="Cambria" w:hAnsi="Cambria"/>
          <w:b/>
          <w:bCs/>
          <w:sz w:val="24"/>
        </w:rPr>
        <w:t xml:space="preserve"> </w:t>
      </w:r>
      <w:r w:rsidRPr="00BE2BC5">
        <w:rPr>
          <w:rFonts w:ascii="Cambria" w:hAnsi="Cambria"/>
          <w:b/>
          <w:bCs/>
          <w:sz w:val="24"/>
        </w:rPr>
        <w:t>] OTHER (EXPLAIN: )</w:t>
      </w:r>
    </w:p>
    <w:p w14:paraId="3BEF1487" w14:textId="77777777" w:rsidR="003F1C7A" w:rsidRPr="00BE2BC5" w:rsidRDefault="003F1C7A">
      <w:pPr>
        <w:rPr>
          <w:rFonts w:ascii="Cambria" w:hAnsi="Cambria"/>
          <w:b/>
        </w:rPr>
      </w:pPr>
    </w:p>
    <w:p w14:paraId="5DF35463" w14:textId="77777777" w:rsidR="003F1C7A" w:rsidRPr="00BE2BC5" w:rsidRDefault="003F1C7A">
      <w:pPr>
        <w:spacing w:after="120"/>
        <w:rPr>
          <w:rFonts w:ascii="Cambria" w:hAnsi="Cambria"/>
        </w:rPr>
      </w:pPr>
      <w:r w:rsidRPr="00BE2BC5">
        <w:rPr>
          <w:rFonts w:ascii="Cambria" w:hAnsi="Cambria"/>
          <w:b/>
        </w:rPr>
        <w:t>DESCRIPTION OF THIS SPECIFIC COLLECTION</w:t>
      </w:r>
      <w:r w:rsidRPr="00BE2BC5">
        <w:rPr>
          <w:rFonts w:ascii="Cambria" w:hAnsi="Cambria"/>
        </w:rPr>
        <w:t xml:space="preserve"> </w:t>
      </w:r>
    </w:p>
    <w:p w14:paraId="5AF92F88" w14:textId="77777777" w:rsidR="003F1C7A" w:rsidRPr="00BE2BC5" w:rsidRDefault="0037375D" w:rsidP="00BE2BC5">
      <w:pPr>
        <w:numPr>
          <w:ilvl w:val="0"/>
          <w:numId w:val="15"/>
        </w:numPr>
        <w:tabs>
          <w:tab w:val="clear" w:pos="1080"/>
          <w:tab w:val="num" w:pos="360"/>
        </w:tabs>
        <w:spacing w:before="240"/>
        <w:ind w:left="360"/>
        <w:rPr>
          <w:rFonts w:ascii="Cambria" w:hAnsi="Cambria"/>
        </w:rPr>
      </w:pPr>
      <w:r w:rsidRPr="00BE2BC5">
        <w:rPr>
          <w:rFonts w:ascii="Cambria" w:hAnsi="Cambria"/>
          <w:b/>
        </w:rPr>
        <w:t>Intended purpose</w:t>
      </w:r>
    </w:p>
    <w:p w14:paraId="351A1CF2" w14:textId="0DA2779C" w:rsidR="00FA630F" w:rsidRPr="00C461CA" w:rsidRDefault="00FA630F" w:rsidP="00C461CA">
      <w:pPr>
        <w:ind w:left="360"/>
        <w:rPr>
          <w:rFonts w:ascii="Cambria" w:hAnsi="Cambria"/>
        </w:rPr>
      </w:pPr>
      <w:r w:rsidRPr="00C461CA">
        <w:rPr>
          <w:rFonts w:ascii="Cambria" w:hAnsi="Cambria"/>
        </w:rPr>
        <w:t xml:space="preserve">This is an exploratory study in which we aim to gain insight into the beliefs, attitudes and behaviors of young adults related to: (1) obtaining and using information about how to develop healthy relationships; (2) how to prevent unplanned pregnancies and sexually transmitted diseases; and, (3) accessing and using health services related to family planning and reproductive health. </w:t>
      </w:r>
      <w:r w:rsidR="00400FED" w:rsidRPr="00C461CA">
        <w:rPr>
          <w:rFonts w:ascii="Cambria" w:hAnsi="Cambria"/>
        </w:rPr>
        <w:t>We propose conducting focus group conversations with young adults ages 18 to 22</w:t>
      </w:r>
      <w:r w:rsidR="00C461CA" w:rsidRPr="00C461CA">
        <w:rPr>
          <w:rFonts w:ascii="Cambria" w:hAnsi="Cambria"/>
        </w:rPr>
        <w:t xml:space="preserve"> </w:t>
      </w:r>
      <w:r w:rsidRPr="00C461CA">
        <w:rPr>
          <w:rFonts w:ascii="Cambria" w:hAnsi="Cambria"/>
        </w:rPr>
        <w:t xml:space="preserve">to understand the experiences of </w:t>
      </w:r>
      <w:r w:rsidR="00C50481">
        <w:rPr>
          <w:rFonts w:ascii="Cambria" w:hAnsi="Cambria"/>
        </w:rPr>
        <w:t>young adults</w:t>
      </w:r>
      <w:r w:rsidRPr="00C461CA">
        <w:rPr>
          <w:rFonts w:ascii="Cambria" w:hAnsi="Cambria"/>
        </w:rPr>
        <w:t xml:space="preserve"> (young women and men) who are receiving information and services, or could receive information and services, from HHS.  </w:t>
      </w:r>
    </w:p>
    <w:p w14:paraId="19799F33" w14:textId="77777777" w:rsidR="00400FED" w:rsidRPr="00C461CA" w:rsidRDefault="00400FED" w:rsidP="00400FED">
      <w:pPr>
        <w:ind w:left="360"/>
        <w:rPr>
          <w:rFonts w:ascii="Cambria" w:hAnsi="Cambria"/>
        </w:rPr>
      </w:pPr>
    </w:p>
    <w:p w14:paraId="5DC1BBD9" w14:textId="77777777" w:rsidR="00477629" w:rsidRPr="00C461CA" w:rsidRDefault="003F1C7A" w:rsidP="00BE2BC5">
      <w:pPr>
        <w:numPr>
          <w:ilvl w:val="0"/>
          <w:numId w:val="15"/>
        </w:numPr>
        <w:tabs>
          <w:tab w:val="clear" w:pos="1080"/>
          <w:tab w:val="num" w:pos="360"/>
        </w:tabs>
        <w:ind w:left="360"/>
        <w:rPr>
          <w:rFonts w:ascii="Cambria" w:hAnsi="Cambria"/>
        </w:rPr>
      </w:pPr>
      <w:r w:rsidRPr="00C461CA">
        <w:rPr>
          <w:rFonts w:ascii="Cambria" w:hAnsi="Cambria"/>
          <w:b/>
        </w:rPr>
        <w:t>N</w:t>
      </w:r>
      <w:r w:rsidR="0037375D" w:rsidRPr="00C461CA">
        <w:rPr>
          <w:rFonts w:ascii="Cambria" w:hAnsi="Cambria"/>
          <w:b/>
        </w:rPr>
        <w:t>eed for the collection</w:t>
      </w:r>
    </w:p>
    <w:p w14:paraId="7DA7577D" w14:textId="0CDCDFF9" w:rsidR="00400FED" w:rsidRPr="00C461CA" w:rsidRDefault="00FA630F" w:rsidP="00C461CA">
      <w:pPr>
        <w:ind w:left="360"/>
        <w:rPr>
          <w:rFonts w:ascii="Cambria" w:hAnsi="Cambria"/>
        </w:rPr>
      </w:pPr>
      <w:r w:rsidRPr="00C461CA">
        <w:rPr>
          <w:rFonts w:ascii="Cambria" w:hAnsi="Cambria"/>
        </w:rPr>
        <w:t xml:space="preserve">The U.S. Department of Health and Human Services (HHS) is committed to continuous quality improvement as it seeks to provide high-quality information and services to young people to enable them to engage in healthy behaviors and avoid diseases, unplanned pregnancies, and their consequences. Specifically, the Office of Population Affairs (OPA) provides voluntary, confidential and low-cost education, counseling, and related comprehensive medical services at its Title X family planning clinics. OPA has an interest in better understanding the opinions and experiences of young adults related to the design and delivery of those services. </w:t>
      </w:r>
      <w:r w:rsidR="00400FED" w:rsidRPr="00C461CA">
        <w:rPr>
          <w:rFonts w:ascii="Cambria" w:hAnsi="Cambria"/>
        </w:rPr>
        <w:t>A more nuanced understanding of</w:t>
      </w:r>
      <w:r w:rsidR="00C461CA" w:rsidRPr="00C461CA">
        <w:rPr>
          <w:rFonts w:ascii="Cambria" w:hAnsi="Cambria"/>
        </w:rPr>
        <w:t xml:space="preserve"> beliefs, attitude, and </w:t>
      </w:r>
      <w:r w:rsidR="00400FED" w:rsidRPr="00C461CA">
        <w:rPr>
          <w:rFonts w:ascii="Cambria" w:hAnsi="Cambria"/>
        </w:rPr>
        <w:t>decision-making will provide an important complement to the information HHS already obtains through current measures.</w:t>
      </w:r>
    </w:p>
    <w:p w14:paraId="5E633ABF" w14:textId="77777777" w:rsidR="00400FED" w:rsidRPr="00C461CA" w:rsidRDefault="00400FED" w:rsidP="00400FED">
      <w:pPr>
        <w:ind w:left="360"/>
        <w:rPr>
          <w:rFonts w:ascii="Cambria" w:hAnsi="Cambria"/>
        </w:rPr>
      </w:pPr>
    </w:p>
    <w:p w14:paraId="608F87D8" w14:textId="16DE049A" w:rsidR="003F1C7A" w:rsidRPr="00C461CA" w:rsidRDefault="0037375D" w:rsidP="00BE2BC5">
      <w:pPr>
        <w:numPr>
          <w:ilvl w:val="0"/>
          <w:numId w:val="15"/>
        </w:numPr>
        <w:tabs>
          <w:tab w:val="clear" w:pos="1080"/>
          <w:tab w:val="num" w:pos="360"/>
        </w:tabs>
        <w:ind w:left="360"/>
        <w:rPr>
          <w:rFonts w:ascii="Cambria" w:hAnsi="Cambria"/>
        </w:rPr>
      </w:pPr>
      <w:r w:rsidRPr="00C461CA">
        <w:rPr>
          <w:rFonts w:ascii="Cambria" w:hAnsi="Cambria"/>
          <w:b/>
        </w:rPr>
        <w:t>Planned use of the data</w:t>
      </w:r>
    </w:p>
    <w:p w14:paraId="4731DF83" w14:textId="45F8D6F7" w:rsidR="00C461CA" w:rsidRPr="00C461CA" w:rsidRDefault="00477629" w:rsidP="00C461CA">
      <w:pPr>
        <w:ind w:left="360"/>
        <w:rPr>
          <w:rFonts w:ascii="Cambria" w:hAnsi="Cambria"/>
        </w:rPr>
      </w:pPr>
      <w:r w:rsidRPr="00C461CA">
        <w:rPr>
          <w:rFonts w:ascii="Cambria" w:hAnsi="Cambria"/>
        </w:rPr>
        <w:t xml:space="preserve">We will summarize these data in </w:t>
      </w:r>
      <w:r w:rsidR="00FA630F" w:rsidRPr="00C461CA">
        <w:rPr>
          <w:rFonts w:ascii="Cambria" w:hAnsi="Cambria"/>
        </w:rPr>
        <w:t>a research brief for HHS synthesizing findings from the focus groups</w:t>
      </w:r>
      <w:r w:rsidR="00C461CA" w:rsidRPr="00C461CA">
        <w:rPr>
          <w:rFonts w:ascii="Cambria" w:hAnsi="Cambria"/>
        </w:rPr>
        <w:t xml:space="preserve">. </w:t>
      </w:r>
    </w:p>
    <w:p w14:paraId="5013075A" w14:textId="77777777" w:rsidR="00FA630F" w:rsidRPr="00C461CA" w:rsidRDefault="00FA630F" w:rsidP="00FA630F">
      <w:pPr>
        <w:ind w:left="360"/>
        <w:rPr>
          <w:rFonts w:ascii="Cambria" w:hAnsi="Cambria"/>
        </w:rPr>
      </w:pPr>
    </w:p>
    <w:p w14:paraId="32AD6E4D" w14:textId="72F9EBEC" w:rsidR="003F1C7A" w:rsidRPr="00C461CA" w:rsidRDefault="0037375D" w:rsidP="00FA630F">
      <w:pPr>
        <w:pStyle w:val="ListParagraph"/>
        <w:numPr>
          <w:ilvl w:val="0"/>
          <w:numId w:val="15"/>
        </w:numPr>
        <w:tabs>
          <w:tab w:val="clear" w:pos="1080"/>
          <w:tab w:val="num" w:pos="360"/>
        </w:tabs>
        <w:ind w:hanging="1080"/>
        <w:rPr>
          <w:rFonts w:ascii="Cambria" w:hAnsi="Cambria"/>
        </w:rPr>
      </w:pPr>
      <w:r w:rsidRPr="00C461CA">
        <w:rPr>
          <w:rFonts w:ascii="Cambria" w:hAnsi="Cambria"/>
          <w:b/>
        </w:rPr>
        <w:t>Date(s) and location(s)</w:t>
      </w:r>
      <w:r w:rsidR="003F1C7A" w:rsidRPr="00C461CA">
        <w:rPr>
          <w:rFonts w:ascii="Cambria" w:hAnsi="Cambria"/>
          <w:b/>
        </w:rPr>
        <w:t xml:space="preserve"> </w:t>
      </w:r>
    </w:p>
    <w:p w14:paraId="426D529E" w14:textId="7B30974D" w:rsidR="009738F2" w:rsidRPr="00FA630F" w:rsidRDefault="009738F2" w:rsidP="00FA630F">
      <w:pPr>
        <w:spacing w:after="240"/>
        <w:ind w:left="360"/>
        <w:rPr>
          <w:rFonts w:ascii="Cambria" w:hAnsi="Cambria"/>
        </w:rPr>
      </w:pPr>
      <w:r w:rsidRPr="00C461CA">
        <w:rPr>
          <w:rFonts w:ascii="Cambria" w:hAnsi="Cambria"/>
        </w:rPr>
        <w:t xml:space="preserve">We will conduct the proposed data collection upon receiving OMB </w:t>
      </w:r>
      <w:r w:rsidR="004F5889" w:rsidRPr="00C461CA">
        <w:rPr>
          <w:rFonts w:ascii="Cambria" w:hAnsi="Cambria"/>
        </w:rPr>
        <w:t>approval</w:t>
      </w:r>
      <w:r w:rsidRPr="00C461CA">
        <w:rPr>
          <w:rFonts w:ascii="Cambria" w:hAnsi="Cambria"/>
        </w:rPr>
        <w:t xml:space="preserve">, </w:t>
      </w:r>
      <w:r w:rsidR="008F0DFF" w:rsidRPr="00C461CA">
        <w:rPr>
          <w:rFonts w:ascii="Cambria" w:hAnsi="Cambria"/>
        </w:rPr>
        <w:t xml:space="preserve">which we anticipate will be approximately in </w:t>
      </w:r>
      <w:r w:rsidR="00FA630F" w:rsidRPr="00C461CA">
        <w:rPr>
          <w:rFonts w:ascii="Cambria" w:hAnsi="Cambria"/>
        </w:rPr>
        <w:t xml:space="preserve">mid-July </w:t>
      </w:r>
      <w:r w:rsidR="008F0DFF" w:rsidRPr="00C461CA">
        <w:rPr>
          <w:rFonts w:ascii="Cambria" w:hAnsi="Cambria"/>
        </w:rPr>
        <w:t>and</w:t>
      </w:r>
      <w:r w:rsidR="008F0DFF" w:rsidRPr="00FA630F">
        <w:rPr>
          <w:rFonts w:ascii="Cambria" w:hAnsi="Cambria"/>
        </w:rPr>
        <w:t xml:space="preserve"> will collect data over a period of </w:t>
      </w:r>
      <w:r w:rsidR="00FA630F" w:rsidRPr="00FA630F">
        <w:rPr>
          <w:rFonts w:ascii="Cambria" w:hAnsi="Cambria"/>
        </w:rPr>
        <w:t>six weeks</w:t>
      </w:r>
      <w:r w:rsidRPr="00FA630F">
        <w:rPr>
          <w:rFonts w:ascii="Cambria" w:hAnsi="Cambria"/>
        </w:rPr>
        <w:t xml:space="preserve">.  </w:t>
      </w:r>
      <w:r w:rsidR="00FA630F" w:rsidRPr="00FA630F">
        <w:rPr>
          <w:rFonts w:ascii="Cambria" w:hAnsi="Cambria"/>
        </w:rPr>
        <w:t xml:space="preserve">The focus groups will take place in various HHS regions – e.g., Massachusetts (DHHS Region 1), Washington DC (DHHS Region 3), Georgia (DHHS Region 4), Illinois </w:t>
      </w:r>
      <w:r w:rsidR="00FA630F" w:rsidRPr="00FA630F">
        <w:rPr>
          <w:rFonts w:ascii="Cambria" w:hAnsi="Cambria"/>
        </w:rPr>
        <w:lastRenderedPageBreak/>
        <w:t>(DHHS Region 5), Texas (DHHS Region 6), Nebraska (DHHS Region 7), and California (DHHS Region 9)</w:t>
      </w:r>
      <w:r w:rsidR="00FA630F" w:rsidRPr="00FA630F">
        <w:rPr>
          <w:rFonts w:ascii="Cambria" w:hAnsi="Cambria"/>
          <w:b/>
        </w:rPr>
        <w:t>.</w:t>
      </w:r>
    </w:p>
    <w:p w14:paraId="77075EA6" w14:textId="77777777" w:rsidR="00E26798" w:rsidRPr="00BE2BC5" w:rsidRDefault="003F1C7A" w:rsidP="00BE2BC5">
      <w:pPr>
        <w:numPr>
          <w:ilvl w:val="0"/>
          <w:numId w:val="15"/>
        </w:numPr>
        <w:tabs>
          <w:tab w:val="clear" w:pos="1080"/>
          <w:tab w:val="num" w:pos="360"/>
        </w:tabs>
        <w:ind w:left="360"/>
        <w:rPr>
          <w:rFonts w:ascii="Cambria" w:hAnsi="Cambria"/>
        </w:rPr>
      </w:pPr>
      <w:r w:rsidRPr="00BE2BC5">
        <w:rPr>
          <w:rFonts w:ascii="Cambria" w:hAnsi="Cambria"/>
          <w:b/>
        </w:rPr>
        <w:t>Collection procedures</w:t>
      </w:r>
      <w:r w:rsidR="0037375D" w:rsidRPr="00BE2BC5">
        <w:rPr>
          <w:rFonts w:ascii="Cambria" w:hAnsi="Cambria"/>
        </w:rPr>
        <w:t xml:space="preserve"> </w:t>
      </w:r>
    </w:p>
    <w:p w14:paraId="6D5D9C2F" w14:textId="5342F9FE" w:rsidR="00C461CA" w:rsidRPr="00C461CA" w:rsidRDefault="00C461CA" w:rsidP="00C461CA">
      <w:pPr>
        <w:keepNext/>
        <w:ind w:left="360"/>
        <w:rPr>
          <w:rFonts w:ascii="Cambria" w:hAnsi="Cambria"/>
        </w:rPr>
      </w:pPr>
      <w:r w:rsidRPr="00FB4828">
        <w:t>Data will be collected via in-person focus groups</w:t>
      </w:r>
      <w:r>
        <w:t xml:space="preserve"> using a focus group protocol</w:t>
      </w:r>
      <w:r w:rsidRPr="00FB4828">
        <w:t>. Convenience samples will be used.</w:t>
      </w:r>
    </w:p>
    <w:p w14:paraId="48C40676" w14:textId="77777777" w:rsidR="00C461CA" w:rsidRPr="00C461CA" w:rsidRDefault="00C461CA" w:rsidP="00C461CA">
      <w:pPr>
        <w:keepNext/>
        <w:ind w:left="360"/>
        <w:rPr>
          <w:rFonts w:ascii="Cambria" w:hAnsi="Cambria"/>
        </w:rPr>
      </w:pPr>
    </w:p>
    <w:p w14:paraId="1A4C6946" w14:textId="1E29E85D" w:rsidR="003F1C7A" w:rsidRPr="00BE2BC5" w:rsidRDefault="003F1C7A" w:rsidP="00BE2BC5">
      <w:pPr>
        <w:keepNext/>
        <w:numPr>
          <w:ilvl w:val="0"/>
          <w:numId w:val="15"/>
        </w:numPr>
        <w:tabs>
          <w:tab w:val="clear" w:pos="1080"/>
          <w:tab w:val="num" w:pos="360"/>
        </w:tabs>
        <w:ind w:left="360"/>
        <w:rPr>
          <w:rFonts w:ascii="Cambria" w:hAnsi="Cambria"/>
        </w:rPr>
      </w:pPr>
      <w:r w:rsidRPr="00BE2BC5">
        <w:rPr>
          <w:rFonts w:ascii="Cambria" w:hAnsi="Cambria"/>
          <w:b/>
        </w:rPr>
        <w:t xml:space="preserve">Number of </w:t>
      </w:r>
      <w:r w:rsidR="0037375D" w:rsidRPr="00BE2BC5">
        <w:rPr>
          <w:rFonts w:ascii="Cambria" w:hAnsi="Cambria"/>
          <w:b/>
        </w:rPr>
        <w:t xml:space="preserve">collections (e.g., </w:t>
      </w:r>
      <w:r w:rsidRPr="00BE2BC5">
        <w:rPr>
          <w:rFonts w:ascii="Cambria" w:hAnsi="Cambria"/>
          <w:b/>
        </w:rPr>
        <w:t>focus groups, surveys, sessions</w:t>
      </w:r>
      <w:r w:rsidR="0037375D" w:rsidRPr="00BE2BC5">
        <w:rPr>
          <w:rFonts w:ascii="Cambria" w:hAnsi="Cambria"/>
          <w:b/>
        </w:rPr>
        <w:t>)</w:t>
      </w:r>
      <w:r w:rsidRPr="00BE2BC5">
        <w:rPr>
          <w:rFonts w:ascii="Cambria" w:hAnsi="Cambria"/>
          <w:b/>
        </w:rPr>
        <w:t xml:space="preserve"> </w:t>
      </w:r>
    </w:p>
    <w:p w14:paraId="006F6E09" w14:textId="5CC2138F" w:rsidR="00D61A84" w:rsidRPr="00BE2BC5" w:rsidRDefault="00D61A84" w:rsidP="00BE2BC5">
      <w:pPr>
        <w:spacing w:after="240"/>
        <w:ind w:left="360"/>
        <w:rPr>
          <w:rFonts w:ascii="Cambria" w:hAnsi="Cambria"/>
        </w:rPr>
      </w:pPr>
      <w:r w:rsidRPr="00BE2BC5">
        <w:rPr>
          <w:rFonts w:ascii="Cambria" w:hAnsi="Cambria"/>
        </w:rPr>
        <w:t xml:space="preserve">We will collect </w:t>
      </w:r>
      <w:r w:rsidR="00DE293C" w:rsidRPr="00BE2BC5">
        <w:rPr>
          <w:rFonts w:ascii="Cambria" w:hAnsi="Cambria"/>
        </w:rPr>
        <w:t xml:space="preserve">data </w:t>
      </w:r>
      <w:r w:rsidR="00C461CA">
        <w:rPr>
          <w:rFonts w:ascii="Cambria" w:hAnsi="Cambria"/>
        </w:rPr>
        <w:t xml:space="preserve">through nine focus groups </w:t>
      </w:r>
      <w:r w:rsidR="00DE293C" w:rsidRPr="00BE2BC5">
        <w:rPr>
          <w:rFonts w:ascii="Cambria" w:hAnsi="Cambria"/>
        </w:rPr>
        <w:t xml:space="preserve">from approximately </w:t>
      </w:r>
      <w:r w:rsidR="00C461CA">
        <w:rPr>
          <w:rFonts w:ascii="Cambria" w:hAnsi="Cambria"/>
        </w:rPr>
        <w:t xml:space="preserve">72 </w:t>
      </w:r>
      <w:r w:rsidR="00DE293C" w:rsidRPr="00BE2BC5">
        <w:rPr>
          <w:rFonts w:ascii="Cambria" w:hAnsi="Cambria"/>
        </w:rPr>
        <w:t>respondents during</w:t>
      </w:r>
      <w:r w:rsidR="00C461CA">
        <w:rPr>
          <w:rFonts w:ascii="Cambria" w:hAnsi="Cambria"/>
        </w:rPr>
        <w:t xml:space="preserve"> focus group conversations, with approximately 6 to 8 respondents per focus group. </w:t>
      </w:r>
      <w:r w:rsidR="00DE293C" w:rsidRPr="00BE2BC5">
        <w:rPr>
          <w:rFonts w:ascii="Cambria" w:hAnsi="Cambria"/>
        </w:rPr>
        <w:t xml:space="preserve"> </w:t>
      </w:r>
    </w:p>
    <w:p w14:paraId="4DDD0D4F" w14:textId="77777777" w:rsidR="00E26798" w:rsidRPr="00233C3D" w:rsidRDefault="003F1C7A" w:rsidP="00BE2BC5">
      <w:pPr>
        <w:numPr>
          <w:ilvl w:val="0"/>
          <w:numId w:val="15"/>
        </w:numPr>
        <w:tabs>
          <w:tab w:val="clear" w:pos="1080"/>
          <w:tab w:val="num" w:pos="360"/>
        </w:tabs>
        <w:ind w:left="360"/>
        <w:rPr>
          <w:rFonts w:ascii="Cambria" w:hAnsi="Cambria"/>
          <w:b/>
        </w:rPr>
      </w:pPr>
      <w:r w:rsidRPr="00233C3D">
        <w:rPr>
          <w:rFonts w:ascii="Cambria" w:hAnsi="Cambria"/>
          <w:b/>
        </w:rPr>
        <w:t>Descript</w:t>
      </w:r>
      <w:r w:rsidR="0037375D" w:rsidRPr="00233C3D">
        <w:rPr>
          <w:rFonts w:ascii="Cambria" w:hAnsi="Cambria"/>
          <w:b/>
        </w:rPr>
        <w:t>ion of respondents/participants</w:t>
      </w:r>
    </w:p>
    <w:p w14:paraId="7E121B68" w14:textId="73AFEF4E" w:rsidR="00C461CA" w:rsidRPr="00233C3D" w:rsidRDefault="00C461CA" w:rsidP="00C461CA">
      <w:pPr>
        <w:ind w:left="360"/>
        <w:rPr>
          <w:rFonts w:ascii="Cambria" w:hAnsi="Cambria"/>
        </w:rPr>
      </w:pPr>
      <w:r w:rsidRPr="00233C3D">
        <w:rPr>
          <w:rFonts w:ascii="Cambria" w:hAnsi="Cambria"/>
        </w:rPr>
        <w:t>The sample will include participants already known to receive services from Title X clinics as well as some participants who will be recruited from other youth-serving organizations such as career readiness programs, organizations affiliated with Care-Net, City Year</w:t>
      </w:r>
      <w:r w:rsidRPr="00233C3D">
        <w:rPr>
          <w:rStyle w:val="FootnoteReference"/>
          <w:rFonts w:ascii="Cambria" w:hAnsi="Cambria"/>
        </w:rPr>
        <w:footnoteReference w:id="1"/>
      </w:r>
      <w:r w:rsidRPr="00233C3D">
        <w:rPr>
          <w:rFonts w:ascii="Cambria" w:hAnsi="Cambria"/>
        </w:rPr>
        <w:t xml:space="preserve">, and community colleges. To accomplish this, the AIR study team would work with designated points of contact at Title X clinics and organizations that serve young adults in the target states to recruit samples of patients meeting the age criteria for the study. Some of the participants could be recruited from youth councils sponsored by Title X clinics or youth-serving organizations. </w:t>
      </w:r>
    </w:p>
    <w:p w14:paraId="4FEDB5E3" w14:textId="77777777" w:rsidR="00C461CA" w:rsidRPr="00233C3D" w:rsidRDefault="00C461CA" w:rsidP="00C461CA">
      <w:pPr>
        <w:ind w:left="360"/>
        <w:rPr>
          <w:rFonts w:ascii="Cambria" w:hAnsi="Cambria"/>
          <w:b/>
        </w:rPr>
      </w:pPr>
    </w:p>
    <w:p w14:paraId="27AC15E3" w14:textId="65F700FC" w:rsidR="00AA071E" w:rsidRPr="00233C3D" w:rsidRDefault="00AA071E" w:rsidP="00BE2BC5">
      <w:pPr>
        <w:numPr>
          <w:ilvl w:val="0"/>
          <w:numId w:val="15"/>
        </w:numPr>
        <w:tabs>
          <w:tab w:val="clear" w:pos="1080"/>
          <w:tab w:val="num" w:pos="360"/>
        </w:tabs>
        <w:ind w:left="360"/>
        <w:rPr>
          <w:rFonts w:ascii="Cambria" w:hAnsi="Cambria"/>
          <w:b/>
        </w:rPr>
      </w:pPr>
      <w:r w:rsidRPr="00233C3D">
        <w:rPr>
          <w:rFonts w:ascii="Cambria" w:hAnsi="Cambria"/>
          <w:b/>
        </w:rPr>
        <w:t xml:space="preserve">Description of how results will be used </w:t>
      </w:r>
    </w:p>
    <w:p w14:paraId="0FD07A23" w14:textId="4AB39E5F" w:rsidR="00DE293C" w:rsidRPr="00BE2BC5" w:rsidRDefault="00AD4C9A" w:rsidP="00BE2BC5">
      <w:pPr>
        <w:spacing w:after="240"/>
        <w:ind w:left="360"/>
        <w:rPr>
          <w:rFonts w:ascii="Cambria" w:hAnsi="Cambria"/>
        </w:rPr>
      </w:pPr>
      <w:r>
        <w:t>Results will be used to document beliefs, attitudes, and behaviors of young adults related to family planning and reproductive health information and services. Results are intended to inform the Title X Family Planning program outreach and service delivery efforts.</w:t>
      </w:r>
      <w:r w:rsidR="00233C3D">
        <w:rPr>
          <w:rFonts w:ascii="Cambria" w:hAnsi="Cambria"/>
        </w:rPr>
        <w:t xml:space="preserve"> </w:t>
      </w:r>
    </w:p>
    <w:p w14:paraId="4BEA4DEE" w14:textId="77777777" w:rsidR="00AA071E" w:rsidRPr="00BE2BC5" w:rsidRDefault="00AA071E" w:rsidP="00BE2BC5">
      <w:pPr>
        <w:numPr>
          <w:ilvl w:val="0"/>
          <w:numId w:val="15"/>
        </w:numPr>
        <w:tabs>
          <w:tab w:val="clear" w:pos="1080"/>
          <w:tab w:val="num" w:pos="360"/>
        </w:tabs>
        <w:ind w:left="360"/>
        <w:rPr>
          <w:rFonts w:ascii="Cambria" w:hAnsi="Cambria"/>
          <w:b/>
        </w:rPr>
      </w:pPr>
      <w:r w:rsidRPr="00BE2BC5">
        <w:rPr>
          <w:rFonts w:ascii="Cambria" w:hAnsi="Cambria"/>
          <w:b/>
        </w:rPr>
        <w:t>Description of how results will or will not be disseminated and why or why not</w:t>
      </w:r>
    </w:p>
    <w:p w14:paraId="76BC8CA8" w14:textId="38580EB1" w:rsidR="00843A38" w:rsidRPr="00BE2BC5" w:rsidRDefault="00843A38" w:rsidP="00BE2BC5">
      <w:pPr>
        <w:spacing w:after="240"/>
        <w:ind w:left="360"/>
        <w:rPr>
          <w:rFonts w:ascii="Cambria" w:hAnsi="Cambria"/>
        </w:rPr>
      </w:pPr>
      <w:r w:rsidRPr="00BE2BC5">
        <w:rPr>
          <w:rFonts w:ascii="Cambria" w:hAnsi="Cambria"/>
        </w:rPr>
        <w:t xml:space="preserve">We will summarize findings from the </w:t>
      </w:r>
      <w:r w:rsidR="00C461CA">
        <w:rPr>
          <w:rFonts w:ascii="Cambria" w:hAnsi="Cambria"/>
        </w:rPr>
        <w:t xml:space="preserve">focus groups </w:t>
      </w:r>
      <w:r w:rsidRPr="00BE2BC5">
        <w:rPr>
          <w:rFonts w:ascii="Cambria" w:hAnsi="Cambria"/>
        </w:rPr>
        <w:t>in an internal re</w:t>
      </w:r>
      <w:r w:rsidR="00C461CA">
        <w:rPr>
          <w:rFonts w:ascii="Cambria" w:hAnsi="Cambria"/>
        </w:rPr>
        <w:t>search brief</w:t>
      </w:r>
      <w:r w:rsidRPr="00BE2BC5">
        <w:rPr>
          <w:rFonts w:ascii="Cambria" w:hAnsi="Cambria"/>
        </w:rPr>
        <w:t xml:space="preserve"> for </w:t>
      </w:r>
      <w:r w:rsidR="00233C3D">
        <w:rPr>
          <w:rFonts w:ascii="Cambria" w:hAnsi="Cambria"/>
        </w:rPr>
        <w:t>the use of ASPE and OPA</w:t>
      </w:r>
      <w:r w:rsidRPr="00BE2BC5">
        <w:rPr>
          <w:rFonts w:ascii="Cambria" w:hAnsi="Cambria"/>
        </w:rPr>
        <w:t xml:space="preserve">. </w:t>
      </w:r>
      <w:r w:rsidR="004F5889">
        <w:rPr>
          <w:rFonts w:ascii="Cambria" w:hAnsi="Cambria"/>
        </w:rPr>
        <w:t xml:space="preserve">ASPE </w:t>
      </w:r>
      <w:r w:rsidR="00233C3D">
        <w:rPr>
          <w:rFonts w:ascii="Cambria" w:hAnsi="Cambria"/>
        </w:rPr>
        <w:t xml:space="preserve">and OPA </w:t>
      </w:r>
      <w:r w:rsidR="004F5889">
        <w:rPr>
          <w:rFonts w:ascii="Cambria" w:hAnsi="Cambria"/>
        </w:rPr>
        <w:t xml:space="preserve">may </w:t>
      </w:r>
      <w:r w:rsidR="00C461CA">
        <w:rPr>
          <w:rFonts w:ascii="Cambria" w:hAnsi="Cambria"/>
        </w:rPr>
        <w:t xml:space="preserve">decide to post the brief </w:t>
      </w:r>
      <w:r w:rsidR="00233C3D">
        <w:rPr>
          <w:rFonts w:ascii="Cambria" w:hAnsi="Cambria"/>
        </w:rPr>
        <w:t>on the website of ASPE, OPA, or youth.gov</w:t>
      </w:r>
      <w:r w:rsidR="00C461CA">
        <w:rPr>
          <w:rFonts w:ascii="Cambria" w:hAnsi="Cambria"/>
        </w:rPr>
        <w:t xml:space="preserve"> if the results would be useful for a broader audience. </w:t>
      </w:r>
      <w:r w:rsidR="008321F9" w:rsidRPr="00BE2BC5">
        <w:rPr>
          <w:rFonts w:ascii="Cambria" w:hAnsi="Cambria"/>
        </w:rPr>
        <w:t xml:space="preserve"> </w:t>
      </w:r>
    </w:p>
    <w:p w14:paraId="3A6D0A22" w14:textId="77777777" w:rsidR="003F1C7A" w:rsidRPr="00BE2BC5" w:rsidRDefault="003F1C7A" w:rsidP="00BE2BC5">
      <w:pPr>
        <w:spacing w:after="120"/>
        <w:rPr>
          <w:rFonts w:ascii="Cambria" w:hAnsi="Cambria"/>
          <w:b/>
        </w:rPr>
      </w:pPr>
      <w:r w:rsidRPr="00BE2BC5">
        <w:rPr>
          <w:rFonts w:ascii="Cambria" w:hAnsi="Cambria"/>
          <w:b/>
        </w:rPr>
        <w:t>AMOUNT OF ANY PROPOSED STIPEND OR INCENTIVE</w:t>
      </w:r>
      <w:r w:rsidR="0037375D" w:rsidRPr="00BE2BC5">
        <w:rPr>
          <w:rFonts w:ascii="Cambria" w:hAnsi="Cambria"/>
          <w:b/>
        </w:rPr>
        <w:t xml:space="preserve"> – </w:t>
      </w:r>
      <w:r w:rsidR="008F0DFF" w:rsidRPr="00BE2BC5">
        <w:rPr>
          <w:rFonts w:ascii="Cambria" w:hAnsi="Cambria"/>
        </w:rPr>
        <w:t>None.</w:t>
      </w:r>
    </w:p>
    <w:p w14:paraId="273B1548" w14:textId="77777777" w:rsidR="00233C3D" w:rsidRDefault="00233C3D">
      <w:pPr>
        <w:rPr>
          <w:rFonts w:ascii="Cambria" w:hAnsi="Cambria"/>
          <w:b/>
        </w:rPr>
      </w:pPr>
      <w:r>
        <w:rPr>
          <w:rFonts w:ascii="Cambria" w:hAnsi="Cambria"/>
          <w:b/>
        </w:rPr>
        <w:br w:type="page"/>
      </w:r>
    </w:p>
    <w:p w14:paraId="042A92FF" w14:textId="6A610649" w:rsidR="003F1C7A" w:rsidRDefault="003F1C7A" w:rsidP="00BE2BC5">
      <w:pPr>
        <w:spacing w:before="240" w:after="120"/>
        <w:rPr>
          <w:rFonts w:ascii="Cambria" w:hAnsi="Cambria"/>
          <w:i/>
        </w:rPr>
      </w:pPr>
      <w:r w:rsidRPr="00BE2BC5">
        <w:rPr>
          <w:rFonts w:ascii="Cambria" w:hAnsi="Cambria"/>
          <w:b/>
        </w:rPr>
        <w:lastRenderedPageBreak/>
        <w:t>BURDEN HOUR COMPUTATION</w:t>
      </w:r>
      <w:r w:rsidRPr="00BE2BC5">
        <w:rPr>
          <w:rFonts w:ascii="Cambria" w:hAnsi="Cambria"/>
        </w:rPr>
        <w:t xml:space="preserve"> </w:t>
      </w:r>
      <w:r w:rsidRPr="00BE2BC5">
        <w:rPr>
          <w:rFonts w:ascii="Cambria" w:hAnsi="Cambria"/>
          <w:i/>
        </w:rPr>
        <w:t>(Number of responses (X) estimated response or participation time in minutes (/60) = annual burden hours):</w:t>
      </w:r>
    </w:p>
    <w:p w14:paraId="63227BB8" w14:textId="77777777" w:rsidR="00233C3D" w:rsidRPr="00D75CBF" w:rsidRDefault="00233C3D" w:rsidP="00233C3D">
      <w:pPr>
        <w:autoSpaceDE w:val="0"/>
        <w:autoSpaceDN w:val="0"/>
        <w:ind w:right="720"/>
      </w:pPr>
    </w:p>
    <w:tbl>
      <w:tblPr>
        <w:tblW w:w="9555" w:type="dxa"/>
        <w:tblInd w:w="-10" w:type="dxa"/>
        <w:tblCellMar>
          <w:left w:w="0" w:type="dxa"/>
          <w:right w:w="0" w:type="dxa"/>
        </w:tblCellMar>
        <w:tblLook w:val="04A0" w:firstRow="1" w:lastRow="0" w:firstColumn="1" w:lastColumn="0" w:noHBand="0" w:noVBand="1"/>
      </w:tblPr>
      <w:tblGrid>
        <w:gridCol w:w="1618"/>
        <w:gridCol w:w="1440"/>
        <w:gridCol w:w="1799"/>
        <w:gridCol w:w="1260"/>
        <w:gridCol w:w="1080"/>
        <w:gridCol w:w="990"/>
        <w:gridCol w:w="1368"/>
      </w:tblGrid>
      <w:tr w:rsidR="00233C3D" w:rsidRPr="00D75CBF" w14:paraId="0A57FE1A" w14:textId="77777777" w:rsidTr="00D75CBF">
        <w:trPr>
          <w:trHeight w:val="1493"/>
        </w:trPr>
        <w:tc>
          <w:tcPr>
            <w:tcW w:w="1618" w:type="dxa"/>
            <w:tcBorders>
              <w:top w:val="single" w:sz="8" w:space="0" w:color="000000"/>
              <w:left w:val="single" w:sz="8" w:space="0" w:color="000000"/>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3CF129D8" w14:textId="77777777" w:rsidR="00233C3D" w:rsidRPr="00233C3D" w:rsidRDefault="00233C3D" w:rsidP="00D75CBF">
            <w:pPr>
              <w:jc w:val="center"/>
              <w:rPr>
                <w:b/>
                <w:bCs/>
                <w:sz w:val="22"/>
                <w:szCs w:val="22"/>
              </w:rPr>
            </w:pPr>
            <w:r w:rsidRPr="00233C3D">
              <w:rPr>
                <w:b/>
                <w:bCs/>
                <w:sz w:val="22"/>
                <w:szCs w:val="22"/>
              </w:rPr>
              <w:t>Type of Respondent</w:t>
            </w:r>
          </w:p>
        </w:tc>
        <w:tc>
          <w:tcPr>
            <w:tcW w:w="144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0ADF21CF" w14:textId="2A116137" w:rsidR="00233C3D" w:rsidRPr="00233C3D" w:rsidRDefault="00233C3D" w:rsidP="00233C3D">
            <w:pPr>
              <w:jc w:val="center"/>
              <w:rPr>
                <w:b/>
                <w:bCs/>
                <w:sz w:val="22"/>
                <w:szCs w:val="22"/>
              </w:rPr>
            </w:pPr>
            <w:r w:rsidRPr="00233C3D">
              <w:rPr>
                <w:b/>
                <w:bCs/>
                <w:sz w:val="22"/>
                <w:szCs w:val="22"/>
              </w:rPr>
              <w:t>Number of Respondents</w:t>
            </w:r>
          </w:p>
        </w:tc>
        <w:tc>
          <w:tcPr>
            <w:tcW w:w="1799"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2D20A99D" w14:textId="5DC03B44" w:rsidR="00233C3D" w:rsidRPr="00233C3D" w:rsidRDefault="00233C3D" w:rsidP="00D75CBF">
            <w:pPr>
              <w:jc w:val="center"/>
              <w:rPr>
                <w:b/>
                <w:bCs/>
                <w:sz w:val="22"/>
                <w:szCs w:val="22"/>
              </w:rPr>
            </w:pPr>
            <w:r w:rsidRPr="00233C3D">
              <w:rPr>
                <w:b/>
                <w:bCs/>
                <w:sz w:val="22"/>
                <w:szCs w:val="22"/>
              </w:rPr>
              <w:t>Number of Responses per Respondent</w:t>
            </w:r>
          </w:p>
        </w:tc>
        <w:tc>
          <w:tcPr>
            <w:tcW w:w="126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5917B457" w14:textId="77777777" w:rsidR="00233C3D" w:rsidRPr="00233C3D" w:rsidRDefault="00233C3D" w:rsidP="00D75CBF">
            <w:pPr>
              <w:jc w:val="center"/>
              <w:rPr>
                <w:b/>
                <w:bCs/>
                <w:sz w:val="22"/>
                <w:szCs w:val="22"/>
              </w:rPr>
            </w:pPr>
            <w:r w:rsidRPr="00233C3D">
              <w:rPr>
                <w:b/>
                <w:bCs/>
                <w:sz w:val="22"/>
                <w:szCs w:val="22"/>
              </w:rPr>
              <w:t>Average Burden per Response (in hours)</w:t>
            </w:r>
          </w:p>
        </w:tc>
        <w:tc>
          <w:tcPr>
            <w:tcW w:w="108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7D6E524E" w14:textId="77777777" w:rsidR="00233C3D" w:rsidRPr="00233C3D" w:rsidRDefault="00233C3D" w:rsidP="00D75CBF">
            <w:pPr>
              <w:jc w:val="center"/>
              <w:rPr>
                <w:b/>
                <w:bCs/>
                <w:sz w:val="22"/>
                <w:szCs w:val="22"/>
              </w:rPr>
            </w:pPr>
            <w:r w:rsidRPr="00233C3D">
              <w:rPr>
                <w:b/>
                <w:bCs/>
                <w:sz w:val="22"/>
                <w:szCs w:val="22"/>
              </w:rPr>
              <w:t>Total Burden Hours</w:t>
            </w:r>
          </w:p>
        </w:tc>
        <w:tc>
          <w:tcPr>
            <w:tcW w:w="990"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0C587F56" w14:textId="77777777" w:rsidR="00233C3D" w:rsidRPr="00233C3D" w:rsidRDefault="00233C3D" w:rsidP="00D75CBF">
            <w:pPr>
              <w:jc w:val="center"/>
              <w:rPr>
                <w:b/>
                <w:bCs/>
                <w:sz w:val="22"/>
                <w:szCs w:val="22"/>
              </w:rPr>
            </w:pPr>
            <w:r w:rsidRPr="00233C3D">
              <w:rPr>
                <w:b/>
                <w:bCs/>
                <w:sz w:val="22"/>
                <w:szCs w:val="22"/>
              </w:rPr>
              <w:t>Hourly Wage Rate</w:t>
            </w:r>
          </w:p>
        </w:tc>
        <w:tc>
          <w:tcPr>
            <w:tcW w:w="1368" w:type="dxa"/>
            <w:tcBorders>
              <w:top w:val="single" w:sz="8" w:space="0" w:color="000000"/>
              <w:left w:val="nil"/>
              <w:bottom w:val="single" w:sz="12" w:space="0" w:color="000000"/>
              <w:right w:val="single" w:sz="8" w:space="0" w:color="000000"/>
            </w:tcBorders>
            <w:shd w:val="clear" w:color="auto" w:fill="D9D9D9"/>
            <w:tcMar>
              <w:top w:w="0" w:type="dxa"/>
              <w:left w:w="108" w:type="dxa"/>
              <w:bottom w:w="0" w:type="dxa"/>
              <w:right w:w="108" w:type="dxa"/>
            </w:tcMar>
            <w:vAlign w:val="center"/>
            <w:hideMark/>
          </w:tcPr>
          <w:p w14:paraId="3A19C99A" w14:textId="77777777" w:rsidR="00233C3D" w:rsidRPr="00233C3D" w:rsidRDefault="00233C3D" w:rsidP="00D75CBF">
            <w:pPr>
              <w:jc w:val="center"/>
              <w:rPr>
                <w:b/>
                <w:bCs/>
                <w:sz w:val="22"/>
                <w:szCs w:val="22"/>
              </w:rPr>
            </w:pPr>
            <w:r w:rsidRPr="00233C3D">
              <w:rPr>
                <w:b/>
                <w:bCs/>
                <w:sz w:val="22"/>
                <w:szCs w:val="22"/>
              </w:rPr>
              <w:t>Total Respondent Costs</w:t>
            </w:r>
          </w:p>
        </w:tc>
      </w:tr>
      <w:tr w:rsidR="00233C3D" w:rsidRPr="00D75CBF" w14:paraId="250E439C" w14:textId="77777777" w:rsidTr="00D75CBF">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BBE729" w14:textId="77777777" w:rsidR="00233C3D" w:rsidRPr="00233C3D" w:rsidRDefault="00233C3D" w:rsidP="00D75CBF">
            <w:pPr>
              <w:rPr>
                <w:sz w:val="22"/>
                <w:szCs w:val="22"/>
              </w:rPr>
            </w:pPr>
            <w:r w:rsidRPr="00233C3D">
              <w:rPr>
                <w:sz w:val="22"/>
                <w:szCs w:val="22"/>
              </w:rPr>
              <w:t xml:space="preserve">Recruitment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FA0072D" w14:textId="77777777" w:rsidR="00233C3D" w:rsidRPr="00233C3D" w:rsidRDefault="00233C3D" w:rsidP="00D75CBF">
            <w:pPr>
              <w:jc w:val="center"/>
              <w:rPr>
                <w:sz w:val="22"/>
                <w:szCs w:val="22"/>
              </w:rPr>
            </w:pP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405025" w14:textId="77777777" w:rsidR="00233C3D" w:rsidRPr="00233C3D" w:rsidRDefault="00233C3D" w:rsidP="00D75CBF">
            <w:pPr>
              <w:jc w:val="center"/>
              <w:rPr>
                <w:sz w:val="22"/>
                <w:szCs w:val="22"/>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4F6C96" w14:textId="77777777" w:rsidR="00233C3D" w:rsidRPr="00233C3D" w:rsidRDefault="00233C3D" w:rsidP="00D75CBF">
            <w:pPr>
              <w:jc w:val="center"/>
              <w:rPr>
                <w:sz w:val="22"/>
                <w:szCs w:val="22"/>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05ABD4" w14:textId="77777777" w:rsidR="00233C3D" w:rsidRPr="00233C3D" w:rsidRDefault="00233C3D" w:rsidP="00D75CBF">
            <w:pPr>
              <w:jc w:val="center"/>
              <w:rPr>
                <w:sz w:val="22"/>
                <w:szCs w:val="22"/>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9DCF3C" w14:textId="77777777" w:rsidR="00233C3D" w:rsidRPr="00233C3D" w:rsidRDefault="00233C3D" w:rsidP="00D75CBF">
            <w:pPr>
              <w:jc w:val="center"/>
              <w:rPr>
                <w:sz w:val="22"/>
                <w:szCs w:val="22"/>
              </w:rPr>
            </w:pP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242E3A" w14:textId="77777777" w:rsidR="00233C3D" w:rsidRPr="00233C3D" w:rsidRDefault="00233C3D" w:rsidP="00D75CBF">
            <w:pPr>
              <w:jc w:val="center"/>
              <w:rPr>
                <w:sz w:val="22"/>
                <w:szCs w:val="22"/>
              </w:rPr>
            </w:pPr>
          </w:p>
        </w:tc>
      </w:tr>
      <w:tr w:rsidR="00233C3D" w:rsidRPr="00D75CBF" w14:paraId="54645376" w14:textId="77777777" w:rsidTr="00D75CBF">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4477A9" w14:textId="70ABD14B" w:rsidR="00233C3D" w:rsidRPr="00233C3D" w:rsidRDefault="00233C3D" w:rsidP="00D75CBF">
            <w:pPr>
              <w:jc w:val="right"/>
              <w:rPr>
                <w:sz w:val="22"/>
                <w:szCs w:val="22"/>
              </w:rPr>
            </w:pPr>
            <w:r>
              <w:rPr>
                <w:sz w:val="22"/>
                <w:szCs w:val="22"/>
              </w:rPr>
              <w:t>Young Adults</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AF6CE0" w14:textId="77777777" w:rsidR="00233C3D" w:rsidRPr="00233C3D" w:rsidRDefault="00233C3D" w:rsidP="00D75CBF">
            <w:pPr>
              <w:jc w:val="center"/>
              <w:rPr>
                <w:bCs/>
                <w:sz w:val="22"/>
                <w:szCs w:val="22"/>
              </w:rPr>
            </w:pPr>
            <w:r w:rsidRPr="00233C3D">
              <w:rPr>
                <w:bCs/>
                <w:sz w:val="22"/>
                <w:szCs w:val="22"/>
              </w:rPr>
              <w:t>450</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F0CF74" w14:textId="77777777" w:rsidR="00233C3D" w:rsidRPr="00233C3D" w:rsidRDefault="00233C3D" w:rsidP="00D75CBF">
            <w:pPr>
              <w:jc w:val="center"/>
              <w:rPr>
                <w:sz w:val="22"/>
                <w:szCs w:val="22"/>
              </w:rPr>
            </w:pPr>
            <w:r w:rsidRPr="00233C3D">
              <w:rPr>
                <w:sz w:val="22"/>
                <w:szCs w:val="22"/>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535534" w14:textId="77777777" w:rsidR="00233C3D" w:rsidRPr="00233C3D" w:rsidRDefault="00233C3D" w:rsidP="00D75CBF">
            <w:pPr>
              <w:jc w:val="center"/>
              <w:rPr>
                <w:sz w:val="22"/>
                <w:szCs w:val="22"/>
              </w:rPr>
            </w:pPr>
            <w:r w:rsidRPr="00233C3D">
              <w:rPr>
                <w:sz w:val="22"/>
                <w:szCs w:val="22"/>
              </w:rPr>
              <w:t>2/60</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F89159" w14:textId="77777777" w:rsidR="00233C3D" w:rsidRPr="00233C3D" w:rsidRDefault="00233C3D" w:rsidP="00D75CBF">
            <w:pPr>
              <w:jc w:val="center"/>
              <w:rPr>
                <w:sz w:val="22"/>
                <w:szCs w:val="22"/>
              </w:rPr>
            </w:pPr>
            <w:r w:rsidRPr="00233C3D">
              <w:rPr>
                <w:bCs/>
                <w:sz w:val="22"/>
                <w:szCs w:val="22"/>
              </w:rPr>
              <w:t>15</w:t>
            </w:r>
          </w:p>
        </w:tc>
        <w:tc>
          <w:tcPr>
            <w:tcW w:w="9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CB4B6" w14:textId="77777777" w:rsidR="00233C3D" w:rsidRPr="00233C3D" w:rsidRDefault="00233C3D" w:rsidP="00D75CBF">
            <w:pPr>
              <w:jc w:val="center"/>
              <w:rPr>
                <w:sz w:val="22"/>
                <w:szCs w:val="22"/>
              </w:rPr>
            </w:pPr>
            <w:r w:rsidRPr="00233C3D">
              <w:rPr>
                <w:sz w:val="22"/>
                <w:szCs w:val="22"/>
              </w:rPr>
              <w:t>$7.25</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DD787F" w14:textId="77777777" w:rsidR="00233C3D" w:rsidRPr="00233C3D" w:rsidRDefault="00233C3D" w:rsidP="00D75CBF">
            <w:pPr>
              <w:jc w:val="center"/>
              <w:rPr>
                <w:bCs/>
                <w:sz w:val="22"/>
                <w:szCs w:val="22"/>
              </w:rPr>
            </w:pPr>
            <w:r w:rsidRPr="00233C3D">
              <w:rPr>
                <w:bCs/>
                <w:sz w:val="22"/>
                <w:szCs w:val="22"/>
              </w:rPr>
              <w:t>$108.75</w:t>
            </w:r>
          </w:p>
        </w:tc>
      </w:tr>
      <w:tr w:rsidR="00233C3D" w:rsidRPr="00D75CBF" w14:paraId="0B8B0692" w14:textId="77777777" w:rsidTr="00D75CBF">
        <w:trPr>
          <w:trHeight w:hRule="exact" w:val="432"/>
        </w:trPr>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E2BFF8" w14:textId="77777777" w:rsidR="00233C3D" w:rsidRPr="00233C3D" w:rsidRDefault="00233C3D" w:rsidP="00D75CBF">
            <w:pPr>
              <w:rPr>
                <w:sz w:val="22"/>
                <w:szCs w:val="22"/>
              </w:rPr>
            </w:pPr>
            <w:r w:rsidRPr="00233C3D">
              <w:rPr>
                <w:sz w:val="22"/>
                <w:szCs w:val="22"/>
              </w:rPr>
              <w:t>Focus Groups</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0EB485D" w14:textId="77777777" w:rsidR="00233C3D" w:rsidRPr="00233C3D" w:rsidRDefault="00233C3D" w:rsidP="00D75CBF">
            <w:pPr>
              <w:jc w:val="center"/>
              <w:rPr>
                <w:sz w:val="22"/>
                <w:szCs w:val="22"/>
              </w:rPr>
            </w:pPr>
          </w:p>
        </w:tc>
        <w:tc>
          <w:tcPr>
            <w:tcW w:w="17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D43E543" w14:textId="77777777" w:rsidR="00233C3D" w:rsidRPr="00233C3D" w:rsidRDefault="00233C3D" w:rsidP="00D75CBF">
            <w:pPr>
              <w:jc w:val="center"/>
              <w:rPr>
                <w:sz w:val="22"/>
                <w:szCs w:val="22"/>
              </w:rPr>
            </w:pP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0BF0E23" w14:textId="77777777" w:rsidR="00233C3D" w:rsidRPr="00233C3D" w:rsidRDefault="00233C3D" w:rsidP="00D75CBF">
            <w:pPr>
              <w:jc w:val="center"/>
              <w:rPr>
                <w:sz w:val="22"/>
                <w:szCs w:val="22"/>
              </w:rPr>
            </w:pP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C8E238A" w14:textId="77777777" w:rsidR="00233C3D" w:rsidRPr="00233C3D" w:rsidRDefault="00233C3D" w:rsidP="00D75CBF">
            <w:pPr>
              <w:jc w:val="center"/>
              <w:rPr>
                <w:sz w:val="22"/>
                <w:szCs w:val="22"/>
              </w:rPr>
            </w:pP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3F64246" w14:textId="77777777" w:rsidR="00233C3D" w:rsidRPr="00233C3D" w:rsidRDefault="00233C3D" w:rsidP="00D75CBF">
            <w:pPr>
              <w:jc w:val="center"/>
              <w:rPr>
                <w:sz w:val="22"/>
                <w:szCs w:val="22"/>
              </w:rPr>
            </w:pP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592271" w14:textId="77777777" w:rsidR="00233C3D" w:rsidRPr="00233C3D" w:rsidRDefault="00233C3D" w:rsidP="00D75CBF">
            <w:pPr>
              <w:jc w:val="center"/>
              <w:rPr>
                <w:sz w:val="22"/>
                <w:szCs w:val="22"/>
              </w:rPr>
            </w:pPr>
          </w:p>
        </w:tc>
      </w:tr>
      <w:tr w:rsidR="00233C3D" w:rsidRPr="00D75CBF" w14:paraId="10C17309" w14:textId="77777777" w:rsidTr="00D75CBF">
        <w:trPr>
          <w:trHeight w:hRule="exact" w:val="432"/>
        </w:trPr>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87C762" w14:textId="7C7C11EA" w:rsidR="00233C3D" w:rsidRPr="00233C3D" w:rsidRDefault="00233C3D" w:rsidP="00D75CBF">
            <w:pPr>
              <w:jc w:val="right"/>
              <w:rPr>
                <w:b/>
                <w:bCs/>
                <w:sz w:val="22"/>
                <w:szCs w:val="22"/>
              </w:rPr>
            </w:pPr>
            <w:r>
              <w:rPr>
                <w:sz w:val="22"/>
                <w:szCs w:val="22"/>
              </w:rPr>
              <w:t>Young Adults</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F8EB38" w14:textId="77777777" w:rsidR="00233C3D" w:rsidRPr="00233C3D" w:rsidRDefault="00233C3D" w:rsidP="00D75CBF">
            <w:pPr>
              <w:jc w:val="center"/>
              <w:rPr>
                <w:sz w:val="22"/>
                <w:szCs w:val="22"/>
              </w:rPr>
            </w:pPr>
            <w:r w:rsidRPr="00233C3D">
              <w:rPr>
                <w:bCs/>
                <w:sz w:val="22"/>
                <w:szCs w:val="22"/>
              </w:rPr>
              <w:t>72</w:t>
            </w:r>
          </w:p>
        </w:tc>
        <w:tc>
          <w:tcPr>
            <w:tcW w:w="17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649D7B" w14:textId="77777777" w:rsidR="00233C3D" w:rsidRPr="00233C3D" w:rsidRDefault="00233C3D" w:rsidP="00D75CBF">
            <w:pPr>
              <w:jc w:val="center"/>
              <w:rPr>
                <w:sz w:val="22"/>
                <w:szCs w:val="22"/>
              </w:rPr>
            </w:pPr>
            <w:r w:rsidRPr="00233C3D">
              <w:rPr>
                <w:sz w:val="22"/>
                <w:szCs w:val="22"/>
              </w:rPr>
              <w:t>1</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FA653A" w14:textId="77777777" w:rsidR="00233C3D" w:rsidRPr="00233C3D" w:rsidRDefault="00233C3D" w:rsidP="00D75CBF">
            <w:pPr>
              <w:jc w:val="center"/>
              <w:rPr>
                <w:bCs/>
                <w:sz w:val="22"/>
                <w:szCs w:val="22"/>
              </w:rPr>
            </w:pPr>
            <w:r w:rsidRPr="00233C3D">
              <w:rPr>
                <w:sz w:val="22"/>
                <w:szCs w:val="22"/>
              </w:rPr>
              <w:t>1.5</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0A5156" w14:textId="77777777" w:rsidR="00233C3D" w:rsidRPr="00233C3D" w:rsidRDefault="00233C3D" w:rsidP="00D75CBF">
            <w:pPr>
              <w:jc w:val="center"/>
              <w:rPr>
                <w:sz w:val="22"/>
                <w:szCs w:val="22"/>
              </w:rPr>
            </w:pPr>
            <w:r w:rsidRPr="00233C3D">
              <w:rPr>
                <w:bCs/>
                <w:sz w:val="22"/>
                <w:szCs w:val="22"/>
              </w:rPr>
              <w:t>108</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DF4667" w14:textId="77777777" w:rsidR="00233C3D" w:rsidRPr="00233C3D" w:rsidRDefault="00233C3D" w:rsidP="00D75CBF">
            <w:pPr>
              <w:jc w:val="center"/>
              <w:rPr>
                <w:bCs/>
                <w:sz w:val="22"/>
                <w:szCs w:val="22"/>
              </w:rPr>
            </w:pPr>
            <w:r w:rsidRPr="00233C3D">
              <w:rPr>
                <w:sz w:val="22"/>
                <w:szCs w:val="22"/>
              </w:rPr>
              <w:t>$7.25</w:t>
            </w: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9CC86A" w14:textId="77777777" w:rsidR="00233C3D" w:rsidRPr="00233C3D" w:rsidRDefault="00233C3D" w:rsidP="00D75CBF">
            <w:pPr>
              <w:jc w:val="center"/>
              <w:rPr>
                <w:bCs/>
                <w:sz w:val="22"/>
                <w:szCs w:val="22"/>
              </w:rPr>
            </w:pPr>
            <w:r w:rsidRPr="00233C3D">
              <w:rPr>
                <w:bCs/>
                <w:sz w:val="22"/>
                <w:szCs w:val="22"/>
              </w:rPr>
              <w:t xml:space="preserve">$783.00  </w:t>
            </w:r>
          </w:p>
        </w:tc>
      </w:tr>
      <w:tr w:rsidR="00233C3D" w:rsidRPr="00D75CBF" w14:paraId="7566E8C5" w14:textId="77777777" w:rsidTr="00D75CBF">
        <w:trPr>
          <w:trHeight w:hRule="exact" w:val="432"/>
        </w:trPr>
        <w:tc>
          <w:tcPr>
            <w:tcW w:w="1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66E2A7" w14:textId="77777777" w:rsidR="00233C3D" w:rsidRPr="00233C3D" w:rsidRDefault="00233C3D" w:rsidP="00D75CBF">
            <w:pPr>
              <w:jc w:val="right"/>
              <w:rPr>
                <w:b/>
                <w:bCs/>
                <w:sz w:val="22"/>
                <w:szCs w:val="22"/>
              </w:rPr>
            </w:pPr>
            <w:r w:rsidRPr="00233C3D">
              <w:rPr>
                <w:b/>
                <w:bCs/>
                <w:sz w:val="22"/>
                <w:szCs w:val="22"/>
              </w:rPr>
              <w:t>TOTAL</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121E52" w14:textId="5C47267F" w:rsidR="00233C3D" w:rsidRPr="00233C3D" w:rsidRDefault="00233C3D" w:rsidP="00D75CBF">
            <w:pPr>
              <w:jc w:val="center"/>
              <w:rPr>
                <w:b/>
                <w:sz w:val="22"/>
                <w:szCs w:val="22"/>
              </w:rPr>
            </w:pPr>
            <w:r w:rsidRPr="00233C3D">
              <w:rPr>
                <w:b/>
                <w:sz w:val="22"/>
                <w:szCs w:val="22"/>
              </w:rPr>
              <w:t>522</w:t>
            </w:r>
          </w:p>
        </w:tc>
        <w:tc>
          <w:tcPr>
            <w:tcW w:w="17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8222115" w14:textId="77777777" w:rsidR="00233C3D" w:rsidRPr="00233C3D" w:rsidRDefault="00233C3D" w:rsidP="00D75CBF">
            <w:pPr>
              <w:jc w:val="center"/>
              <w:rPr>
                <w:sz w:val="22"/>
                <w:szCs w:val="22"/>
              </w:rPr>
            </w:pP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05BEEAE" w14:textId="77777777" w:rsidR="00233C3D" w:rsidRPr="00233C3D" w:rsidRDefault="00233C3D" w:rsidP="00D75CBF">
            <w:pPr>
              <w:jc w:val="center"/>
              <w:rPr>
                <w:bCs/>
                <w:sz w:val="22"/>
                <w:szCs w:val="22"/>
              </w:rPr>
            </w:pP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E07110" w14:textId="77777777" w:rsidR="00233C3D" w:rsidRPr="00233C3D" w:rsidRDefault="00233C3D" w:rsidP="00D75CBF">
            <w:pPr>
              <w:jc w:val="center"/>
              <w:rPr>
                <w:b/>
                <w:sz w:val="22"/>
                <w:szCs w:val="22"/>
              </w:rPr>
            </w:pPr>
            <w:r w:rsidRPr="00233C3D">
              <w:rPr>
                <w:b/>
                <w:sz w:val="22"/>
                <w:szCs w:val="22"/>
              </w:rPr>
              <w:t>82</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A5E4336" w14:textId="77777777" w:rsidR="00233C3D" w:rsidRPr="00233C3D" w:rsidRDefault="00233C3D" w:rsidP="00D75CBF">
            <w:pPr>
              <w:jc w:val="center"/>
              <w:rPr>
                <w:bCs/>
                <w:sz w:val="22"/>
                <w:szCs w:val="22"/>
              </w:rPr>
            </w:pPr>
          </w:p>
        </w:tc>
        <w:tc>
          <w:tcPr>
            <w:tcW w:w="13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4544A2" w14:textId="77777777" w:rsidR="00233C3D" w:rsidRPr="00233C3D" w:rsidRDefault="00233C3D" w:rsidP="00D75CBF">
            <w:pPr>
              <w:jc w:val="center"/>
              <w:rPr>
                <w:b/>
                <w:bCs/>
                <w:sz w:val="22"/>
                <w:szCs w:val="22"/>
              </w:rPr>
            </w:pPr>
            <w:r w:rsidRPr="00233C3D">
              <w:rPr>
                <w:b/>
                <w:bCs/>
                <w:sz w:val="22"/>
                <w:szCs w:val="22"/>
              </w:rPr>
              <w:t>$891.75</w:t>
            </w:r>
          </w:p>
        </w:tc>
      </w:tr>
    </w:tbl>
    <w:p w14:paraId="361A1363" w14:textId="40657AA5" w:rsidR="0037375D" w:rsidRDefault="003F1C7A" w:rsidP="008B0C37">
      <w:pPr>
        <w:spacing w:before="360" w:after="120"/>
        <w:rPr>
          <w:rFonts w:ascii="Cambria" w:hAnsi="Cambria"/>
          <w:b/>
        </w:rPr>
      </w:pPr>
      <w:r w:rsidRPr="00BE2BC5">
        <w:rPr>
          <w:rFonts w:ascii="Cambria" w:hAnsi="Cambria"/>
          <w:b/>
        </w:rPr>
        <w:t>BURDEN COST COMPUTATION</w:t>
      </w:r>
    </w:p>
    <w:tbl>
      <w:tblPr>
        <w:tblStyle w:val="TableGrid"/>
        <w:tblW w:w="0" w:type="auto"/>
        <w:tblLook w:val="04A0" w:firstRow="1" w:lastRow="0" w:firstColumn="1" w:lastColumn="0" w:noHBand="0" w:noVBand="1"/>
      </w:tblPr>
      <w:tblGrid>
        <w:gridCol w:w="3831"/>
        <w:gridCol w:w="1822"/>
        <w:gridCol w:w="1561"/>
        <w:gridCol w:w="2136"/>
      </w:tblGrid>
      <w:tr w:rsidR="00AD4C9A" w:rsidRPr="00D75CBF" w14:paraId="424E4010" w14:textId="77777777" w:rsidTr="00D75CBF">
        <w:trPr>
          <w:trHeight w:val="593"/>
        </w:trPr>
        <w:tc>
          <w:tcPr>
            <w:tcW w:w="3831" w:type="dxa"/>
            <w:tcBorders>
              <w:bottom w:val="single" w:sz="12" w:space="0" w:color="auto"/>
            </w:tcBorders>
            <w:shd w:val="clear" w:color="auto" w:fill="D9D9D9" w:themeFill="background1" w:themeFillShade="D9"/>
            <w:vAlign w:val="center"/>
          </w:tcPr>
          <w:p w14:paraId="43DD5688" w14:textId="15986E7B" w:rsidR="00AD4C9A" w:rsidRPr="00AD4C9A" w:rsidRDefault="00AD4C9A" w:rsidP="00D75CBF">
            <w:pPr>
              <w:jc w:val="center"/>
              <w:rPr>
                <w:rFonts w:ascii="Times New Roman" w:hAnsi="Times New Roman" w:cs="Times New Roman"/>
                <w:b/>
                <w:sz w:val="22"/>
                <w:szCs w:val="22"/>
              </w:rPr>
            </w:pPr>
            <w:r w:rsidRPr="00AD4C9A">
              <w:rPr>
                <w:rFonts w:ascii="Times New Roman" w:hAnsi="Times New Roman" w:cs="Times New Roman"/>
                <w:b/>
                <w:sz w:val="22"/>
                <w:szCs w:val="22"/>
              </w:rPr>
              <w:t>Staff (full-time equivalent)</w:t>
            </w:r>
          </w:p>
        </w:tc>
        <w:tc>
          <w:tcPr>
            <w:tcW w:w="1822" w:type="dxa"/>
            <w:tcBorders>
              <w:bottom w:val="single" w:sz="12" w:space="0" w:color="auto"/>
            </w:tcBorders>
            <w:shd w:val="clear" w:color="auto" w:fill="D9D9D9" w:themeFill="background1" w:themeFillShade="D9"/>
            <w:vAlign w:val="center"/>
          </w:tcPr>
          <w:p w14:paraId="1D4D8A55" w14:textId="77777777" w:rsidR="00AD4C9A" w:rsidRPr="00AD4C9A" w:rsidRDefault="00AD4C9A" w:rsidP="00D75CBF">
            <w:pPr>
              <w:jc w:val="center"/>
              <w:rPr>
                <w:rFonts w:ascii="Times New Roman" w:hAnsi="Times New Roman" w:cs="Times New Roman"/>
                <w:b/>
                <w:sz w:val="22"/>
                <w:szCs w:val="22"/>
              </w:rPr>
            </w:pPr>
            <w:r w:rsidRPr="00AD4C9A">
              <w:rPr>
                <w:rFonts w:ascii="Times New Roman" w:hAnsi="Times New Roman" w:cs="Times New Roman"/>
                <w:b/>
                <w:sz w:val="22"/>
                <w:szCs w:val="22"/>
              </w:rPr>
              <w:t>Average Hours per Collection</w:t>
            </w:r>
          </w:p>
        </w:tc>
        <w:tc>
          <w:tcPr>
            <w:tcW w:w="1561" w:type="dxa"/>
            <w:tcBorders>
              <w:bottom w:val="single" w:sz="12" w:space="0" w:color="auto"/>
            </w:tcBorders>
            <w:shd w:val="clear" w:color="auto" w:fill="D9D9D9" w:themeFill="background1" w:themeFillShade="D9"/>
            <w:vAlign w:val="center"/>
          </w:tcPr>
          <w:p w14:paraId="42C09A13" w14:textId="77777777" w:rsidR="00AD4C9A" w:rsidRPr="00AD4C9A" w:rsidRDefault="00AD4C9A" w:rsidP="00D75CBF">
            <w:pPr>
              <w:jc w:val="center"/>
              <w:rPr>
                <w:rFonts w:ascii="Times New Roman" w:hAnsi="Times New Roman" w:cs="Times New Roman"/>
                <w:b/>
                <w:sz w:val="22"/>
                <w:szCs w:val="22"/>
              </w:rPr>
            </w:pPr>
            <w:r w:rsidRPr="00AD4C9A">
              <w:rPr>
                <w:rFonts w:ascii="Times New Roman" w:hAnsi="Times New Roman" w:cs="Times New Roman"/>
                <w:b/>
                <w:sz w:val="22"/>
                <w:szCs w:val="22"/>
              </w:rPr>
              <w:t>Average Hourly Rate</w:t>
            </w:r>
          </w:p>
        </w:tc>
        <w:tc>
          <w:tcPr>
            <w:tcW w:w="2136" w:type="dxa"/>
            <w:tcBorders>
              <w:bottom w:val="single" w:sz="12" w:space="0" w:color="auto"/>
            </w:tcBorders>
            <w:shd w:val="clear" w:color="auto" w:fill="D9D9D9" w:themeFill="background1" w:themeFillShade="D9"/>
            <w:vAlign w:val="center"/>
          </w:tcPr>
          <w:p w14:paraId="71E39168" w14:textId="77777777" w:rsidR="00AD4C9A" w:rsidRPr="00AD4C9A" w:rsidRDefault="00AD4C9A" w:rsidP="00D75CBF">
            <w:pPr>
              <w:jc w:val="center"/>
              <w:rPr>
                <w:rFonts w:ascii="Times New Roman" w:hAnsi="Times New Roman" w:cs="Times New Roman"/>
                <w:b/>
                <w:sz w:val="22"/>
                <w:szCs w:val="22"/>
              </w:rPr>
            </w:pPr>
            <w:r w:rsidRPr="00AD4C9A">
              <w:rPr>
                <w:rFonts w:ascii="Times New Roman" w:hAnsi="Times New Roman" w:cs="Times New Roman"/>
                <w:b/>
                <w:sz w:val="22"/>
                <w:szCs w:val="22"/>
              </w:rPr>
              <w:t>Average Cost</w:t>
            </w:r>
          </w:p>
        </w:tc>
      </w:tr>
      <w:tr w:rsidR="00E011BE" w:rsidRPr="00D75CBF" w14:paraId="34B4D6F4" w14:textId="77777777" w:rsidTr="00D75CBF">
        <w:tc>
          <w:tcPr>
            <w:tcW w:w="3831" w:type="dxa"/>
          </w:tcPr>
          <w:p w14:paraId="4EFC7443" w14:textId="77777777" w:rsidR="00E011BE" w:rsidRPr="00AD4C9A" w:rsidRDefault="00E011BE" w:rsidP="00E011BE">
            <w:pPr>
              <w:rPr>
                <w:rFonts w:ascii="Times New Roman" w:hAnsi="Times New Roman" w:cs="Times New Roman"/>
                <w:sz w:val="22"/>
                <w:szCs w:val="22"/>
              </w:rPr>
            </w:pPr>
            <w:r w:rsidRPr="00AD4C9A">
              <w:rPr>
                <w:rFonts w:ascii="Times New Roman" w:hAnsi="Times New Roman" w:cs="Times New Roman"/>
                <w:sz w:val="22"/>
                <w:szCs w:val="22"/>
              </w:rPr>
              <w:t xml:space="preserve">Senior Researcher </w:t>
            </w:r>
          </w:p>
        </w:tc>
        <w:tc>
          <w:tcPr>
            <w:tcW w:w="1822" w:type="dxa"/>
          </w:tcPr>
          <w:p w14:paraId="46050EFF" w14:textId="5BB40753"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202</w:t>
            </w:r>
          </w:p>
        </w:tc>
        <w:tc>
          <w:tcPr>
            <w:tcW w:w="1561" w:type="dxa"/>
          </w:tcPr>
          <w:p w14:paraId="4B1D329D" w14:textId="225097B0"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$ 149.88</w:t>
            </w:r>
          </w:p>
        </w:tc>
        <w:tc>
          <w:tcPr>
            <w:tcW w:w="2136" w:type="dxa"/>
          </w:tcPr>
          <w:p w14:paraId="3A2B930B" w14:textId="1227C1A3"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$ 30,275.76</w:t>
            </w:r>
          </w:p>
        </w:tc>
      </w:tr>
      <w:tr w:rsidR="00E011BE" w:rsidRPr="00D75CBF" w14:paraId="491F68F5" w14:textId="77777777" w:rsidTr="00D75CBF">
        <w:tc>
          <w:tcPr>
            <w:tcW w:w="3831" w:type="dxa"/>
          </w:tcPr>
          <w:p w14:paraId="18A70CD5" w14:textId="77777777" w:rsidR="00E011BE" w:rsidRPr="00AD4C9A" w:rsidRDefault="00E011BE" w:rsidP="00E011BE">
            <w:pPr>
              <w:rPr>
                <w:rFonts w:ascii="Times New Roman" w:hAnsi="Times New Roman" w:cs="Times New Roman"/>
                <w:sz w:val="22"/>
                <w:szCs w:val="22"/>
              </w:rPr>
            </w:pPr>
            <w:r w:rsidRPr="00AD4C9A">
              <w:rPr>
                <w:rFonts w:ascii="Times New Roman" w:hAnsi="Times New Roman" w:cs="Times New Roman"/>
                <w:sz w:val="22"/>
                <w:szCs w:val="22"/>
              </w:rPr>
              <w:t>Researcher</w:t>
            </w:r>
          </w:p>
        </w:tc>
        <w:tc>
          <w:tcPr>
            <w:tcW w:w="1822" w:type="dxa"/>
          </w:tcPr>
          <w:p w14:paraId="5BA41813" w14:textId="491B427C"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72</w:t>
            </w:r>
          </w:p>
        </w:tc>
        <w:tc>
          <w:tcPr>
            <w:tcW w:w="1561" w:type="dxa"/>
          </w:tcPr>
          <w:p w14:paraId="413C82CB" w14:textId="5F71E3B6"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$ 110.83</w:t>
            </w:r>
          </w:p>
        </w:tc>
        <w:tc>
          <w:tcPr>
            <w:tcW w:w="2136" w:type="dxa"/>
          </w:tcPr>
          <w:p w14:paraId="4972832E" w14:textId="1661E698"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$ 7,979.76</w:t>
            </w:r>
          </w:p>
        </w:tc>
      </w:tr>
      <w:tr w:rsidR="00E011BE" w:rsidRPr="00D75CBF" w14:paraId="447D654F" w14:textId="77777777" w:rsidTr="00D75CBF">
        <w:tc>
          <w:tcPr>
            <w:tcW w:w="3831" w:type="dxa"/>
          </w:tcPr>
          <w:p w14:paraId="550A5266" w14:textId="77777777" w:rsidR="00E011BE" w:rsidRPr="00AD4C9A" w:rsidRDefault="00E011BE" w:rsidP="00E011BE">
            <w:pPr>
              <w:rPr>
                <w:rFonts w:ascii="Times New Roman" w:hAnsi="Times New Roman" w:cs="Times New Roman"/>
                <w:sz w:val="22"/>
                <w:szCs w:val="22"/>
              </w:rPr>
            </w:pPr>
            <w:r w:rsidRPr="00AD4C9A">
              <w:rPr>
                <w:rFonts w:ascii="Times New Roman" w:hAnsi="Times New Roman" w:cs="Times New Roman"/>
                <w:sz w:val="22"/>
                <w:szCs w:val="22"/>
              </w:rPr>
              <w:t>Research Assistant</w:t>
            </w:r>
          </w:p>
        </w:tc>
        <w:tc>
          <w:tcPr>
            <w:tcW w:w="1822" w:type="dxa"/>
          </w:tcPr>
          <w:p w14:paraId="0807F344" w14:textId="2D1C30C2"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66</w:t>
            </w:r>
          </w:p>
        </w:tc>
        <w:tc>
          <w:tcPr>
            <w:tcW w:w="1561" w:type="dxa"/>
          </w:tcPr>
          <w:p w14:paraId="340C33DF" w14:textId="52ED5DCF"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 $ 87.39</w:t>
            </w:r>
          </w:p>
        </w:tc>
        <w:tc>
          <w:tcPr>
            <w:tcW w:w="2136" w:type="dxa"/>
          </w:tcPr>
          <w:p w14:paraId="532EC661" w14:textId="2F3FA16C" w:rsidR="00E011BE" w:rsidRPr="00E011BE" w:rsidRDefault="00E011BE" w:rsidP="00E011BE">
            <w:pPr>
              <w:jc w:val="center"/>
              <w:rPr>
                <w:rFonts w:ascii="Times New Roman" w:hAnsi="Times New Roman" w:cs="Times New Roman"/>
                <w:sz w:val="22"/>
                <w:szCs w:val="22"/>
              </w:rPr>
            </w:pPr>
            <w:r w:rsidRPr="00E011BE">
              <w:rPr>
                <w:rFonts w:ascii="Times New Roman" w:hAnsi="Times New Roman" w:cs="Times New Roman"/>
                <w:sz w:val="22"/>
                <w:szCs w:val="22"/>
              </w:rPr>
              <w:t>$ 5,767.74</w:t>
            </w:r>
          </w:p>
        </w:tc>
      </w:tr>
      <w:tr w:rsidR="00AD4C9A" w:rsidRPr="00D75CBF" w14:paraId="51F007BD" w14:textId="77777777" w:rsidTr="00D75CBF">
        <w:trPr>
          <w:trHeight w:val="332"/>
        </w:trPr>
        <w:tc>
          <w:tcPr>
            <w:tcW w:w="7214" w:type="dxa"/>
            <w:gridSpan w:val="3"/>
            <w:vAlign w:val="center"/>
          </w:tcPr>
          <w:p w14:paraId="19A45B06" w14:textId="77777777" w:rsidR="00AD4C9A" w:rsidRPr="00E011BE" w:rsidRDefault="00AD4C9A" w:rsidP="00D75CBF">
            <w:pPr>
              <w:jc w:val="right"/>
              <w:rPr>
                <w:rFonts w:ascii="Times New Roman" w:hAnsi="Times New Roman" w:cs="Times New Roman"/>
                <w:b/>
                <w:sz w:val="22"/>
                <w:szCs w:val="22"/>
              </w:rPr>
            </w:pPr>
            <w:r w:rsidRPr="00E011BE">
              <w:rPr>
                <w:rFonts w:ascii="Times New Roman" w:hAnsi="Times New Roman" w:cs="Times New Roman"/>
                <w:b/>
                <w:sz w:val="22"/>
                <w:szCs w:val="22"/>
              </w:rPr>
              <w:t>Estimated Total Cost of Information Collection</w:t>
            </w:r>
          </w:p>
        </w:tc>
        <w:tc>
          <w:tcPr>
            <w:tcW w:w="2136" w:type="dxa"/>
            <w:vAlign w:val="center"/>
          </w:tcPr>
          <w:p w14:paraId="5144A80E" w14:textId="2B354AFC" w:rsidR="00AD4C9A" w:rsidRPr="00E011BE" w:rsidRDefault="00E011BE" w:rsidP="00D75CBF">
            <w:pPr>
              <w:jc w:val="center"/>
              <w:rPr>
                <w:rFonts w:ascii="Times New Roman" w:hAnsi="Times New Roman" w:cs="Times New Roman"/>
                <w:b/>
                <w:sz w:val="22"/>
                <w:szCs w:val="22"/>
              </w:rPr>
            </w:pPr>
            <w:r w:rsidRPr="00E011BE">
              <w:rPr>
                <w:rFonts w:ascii="Times New Roman" w:hAnsi="Times New Roman" w:cs="Times New Roman"/>
                <w:b/>
                <w:bCs/>
                <w:sz w:val="22"/>
                <w:szCs w:val="22"/>
              </w:rPr>
              <w:t>$</w:t>
            </w:r>
            <w:r w:rsidRPr="00E011BE">
              <w:rPr>
                <w:rFonts w:ascii="Times New Roman" w:hAnsi="Times New Roman" w:cs="Times New Roman"/>
                <w:sz w:val="22"/>
                <w:szCs w:val="22"/>
              </w:rPr>
              <w:t xml:space="preserve"> 44,023.26</w:t>
            </w:r>
          </w:p>
        </w:tc>
      </w:tr>
    </w:tbl>
    <w:p w14:paraId="61558A1E" w14:textId="77777777" w:rsidR="00AD4C9A" w:rsidRDefault="00AD4C9A" w:rsidP="00BE2BC5">
      <w:pPr>
        <w:pStyle w:val="BodyTextIndent"/>
        <w:keepNext/>
        <w:tabs>
          <w:tab w:val="left" w:pos="360"/>
        </w:tabs>
        <w:spacing w:after="120"/>
        <w:ind w:left="0"/>
        <w:rPr>
          <w:rFonts w:ascii="Cambria" w:hAnsi="Cambria"/>
          <w:b/>
          <w:bCs/>
          <w:sz w:val="24"/>
          <w:u w:val="single"/>
        </w:rPr>
      </w:pPr>
    </w:p>
    <w:p w14:paraId="21669DED" w14:textId="4E02ED47" w:rsidR="003F1C7A" w:rsidRPr="00BE2BC5" w:rsidRDefault="0037375D" w:rsidP="00BE2BC5">
      <w:pPr>
        <w:pStyle w:val="BodyTextIndent"/>
        <w:keepNext/>
        <w:tabs>
          <w:tab w:val="left" w:pos="360"/>
        </w:tabs>
        <w:spacing w:after="120"/>
        <w:ind w:left="0"/>
        <w:rPr>
          <w:rFonts w:ascii="Cambria" w:hAnsi="Cambria"/>
          <w:b/>
          <w:bCs/>
          <w:sz w:val="24"/>
        </w:rPr>
      </w:pPr>
      <w:r w:rsidRPr="00BE2BC5">
        <w:rPr>
          <w:rFonts w:ascii="Cambria" w:hAnsi="Cambria"/>
          <w:b/>
          <w:bCs/>
          <w:sz w:val="24"/>
          <w:u w:val="single"/>
        </w:rPr>
        <w:t>OTHER SUPPORTING</w:t>
      </w:r>
      <w:r w:rsidR="003F1C7A" w:rsidRPr="00BE2BC5">
        <w:rPr>
          <w:rFonts w:ascii="Cambria" w:hAnsi="Cambria"/>
          <w:b/>
          <w:bCs/>
          <w:sz w:val="24"/>
          <w:u w:val="single"/>
        </w:rPr>
        <w:t xml:space="preserve"> INFORMATION</w:t>
      </w:r>
      <w:r w:rsidR="003F1C7A" w:rsidRPr="00BE2BC5">
        <w:rPr>
          <w:rFonts w:ascii="Cambria" w:hAnsi="Cambria"/>
          <w:b/>
          <w:bCs/>
          <w:sz w:val="24"/>
        </w:rPr>
        <w:t xml:space="preserve"> </w:t>
      </w:r>
    </w:p>
    <w:p w14:paraId="78C54238" w14:textId="62719344" w:rsidR="003F1C7A" w:rsidRPr="00DC55C4" w:rsidRDefault="003F1C7A" w:rsidP="00BE2BC5">
      <w:pPr>
        <w:spacing w:before="120" w:after="120"/>
        <w:rPr>
          <w:rFonts w:ascii="Cambria" w:hAnsi="Cambria"/>
        </w:rPr>
      </w:pPr>
      <w:r w:rsidRPr="00BE2BC5">
        <w:rPr>
          <w:rFonts w:ascii="Cambria" w:hAnsi="Cambria"/>
          <w:b/>
        </w:rPr>
        <w:t xml:space="preserve">REQUESTED APPROVAL DATE:  </w:t>
      </w:r>
      <w:r w:rsidR="00C461CA">
        <w:rPr>
          <w:rFonts w:ascii="Cambria" w:hAnsi="Cambria"/>
        </w:rPr>
        <w:t>July 13</w:t>
      </w:r>
      <w:r w:rsidR="00531165" w:rsidRPr="00DC55C4">
        <w:rPr>
          <w:rFonts w:ascii="Cambria" w:hAnsi="Cambria"/>
        </w:rPr>
        <w:t>, 2018</w:t>
      </w:r>
    </w:p>
    <w:p w14:paraId="428A563B" w14:textId="0DE0F8FF" w:rsidR="003F1C7A" w:rsidRPr="006F4A2C" w:rsidRDefault="003F1C7A" w:rsidP="00BE2BC5">
      <w:pPr>
        <w:spacing w:before="120" w:after="120"/>
        <w:rPr>
          <w:rFonts w:ascii="Cambria" w:hAnsi="Cambria"/>
          <w:bCs/>
        </w:rPr>
      </w:pPr>
      <w:r w:rsidRPr="00BE2BC5">
        <w:rPr>
          <w:rFonts w:ascii="Cambria" w:hAnsi="Cambria"/>
          <w:b/>
        </w:rPr>
        <w:t xml:space="preserve">NAME OF CONTACT PERSON:  </w:t>
      </w:r>
      <w:r w:rsidR="00C461CA">
        <w:rPr>
          <w:rFonts w:ascii="Cambria" w:hAnsi="Cambria"/>
        </w:rPr>
        <w:t>Lisa Trivits</w:t>
      </w:r>
      <w:r w:rsidR="00531165" w:rsidRPr="00DC55C4">
        <w:rPr>
          <w:rFonts w:ascii="Cambria" w:hAnsi="Cambria"/>
        </w:rPr>
        <w:t>, Project Officer</w:t>
      </w:r>
    </w:p>
    <w:p w14:paraId="501AE0E3" w14:textId="33913D2D" w:rsidR="0037375D" w:rsidRPr="00BE2BC5" w:rsidRDefault="003F1C7A" w:rsidP="00BE2BC5">
      <w:pPr>
        <w:spacing w:before="120" w:after="120"/>
        <w:rPr>
          <w:rFonts w:ascii="Cambria" w:hAnsi="Cambria"/>
          <w:b/>
        </w:rPr>
      </w:pPr>
      <w:r w:rsidRPr="00BE2BC5">
        <w:rPr>
          <w:rFonts w:ascii="Cambria" w:hAnsi="Cambria"/>
          <w:b/>
        </w:rPr>
        <w:t>TELEPHONE NUMBER:</w:t>
      </w:r>
      <w:r w:rsidRPr="00BE2BC5">
        <w:rPr>
          <w:rFonts w:ascii="Cambria" w:hAnsi="Cambria"/>
          <w:b/>
        </w:rPr>
        <w:tab/>
      </w:r>
      <w:r w:rsidR="00C461CA">
        <w:rPr>
          <w:rFonts w:ascii="Cambria" w:hAnsi="Cambria"/>
        </w:rPr>
        <w:t>(202) 205-9256</w:t>
      </w:r>
    </w:p>
    <w:p w14:paraId="32323AEF" w14:textId="77777777" w:rsidR="003F1C7A" w:rsidRPr="00BE2BC5" w:rsidRDefault="003F1C7A" w:rsidP="00BE2BC5">
      <w:pPr>
        <w:tabs>
          <w:tab w:val="left" w:pos="5670"/>
        </w:tabs>
        <w:suppressAutoHyphens/>
        <w:spacing w:before="120" w:after="120"/>
        <w:rPr>
          <w:rFonts w:ascii="Cambria" w:hAnsi="Cambria"/>
        </w:rPr>
      </w:pPr>
      <w:r w:rsidRPr="00BE2BC5">
        <w:rPr>
          <w:rFonts w:ascii="Cambria" w:hAnsi="Cambria"/>
          <w:b/>
        </w:rPr>
        <w:t>DEPARTMENT</w:t>
      </w:r>
      <w:r w:rsidR="0037375D" w:rsidRPr="00BE2BC5">
        <w:rPr>
          <w:rFonts w:ascii="Cambria" w:hAnsi="Cambria"/>
          <w:b/>
        </w:rPr>
        <w:t>/O</w:t>
      </w:r>
      <w:r w:rsidRPr="00BE2BC5">
        <w:rPr>
          <w:rFonts w:ascii="Cambria" w:hAnsi="Cambria"/>
          <w:b/>
        </w:rPr>
        <w:t>FFICE</w:t>
      </w:r>
      <w:r w:rsidR="0037375D" w:rsidRPr="00BE2BC5">
        <w:rPr>
          <w:rFonts w:ascii="Cambria" w:hAnsi="Cambria"/>
          <w:b/>
        </w:rPr>
        <w:t>/BUREAU</w:t>
      </w:r>
      <w:r w:rsidRPr="00BE2BC5">
        <w:rPr>
          <w:rFonts w:ascii="Cambria" w:hAnsi="Cambria"/>
          <w:b/>
        </w:rPr>
        <w:t xml:space="preserve">: </w:t>
      </w:r>
      <w:r w:rsidR="00531165" w:rsidRPr="00DC55C4">
        <w:rPr>
          <w:rFonts w:ascii="Cambria" w:hAnsi="Cambria"/>
        </w:rPr>
        <w:t>U.S. Department of Health and Human Services, Office of the Assistant Secretary for Planning and Evaluation</w:t>
      </w:r>
    </w:p>
    <w:sectPr w:rsidR="003F1C7A" w:rsidRPr="00BE2BC5">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37EC1" w14:textId="77777777" w:rsidR="00B80D31" w:rsidRDefault="00B80D31">
      <w:r>
        <w:separator/>
      </w:r>
    </w:p>
  </w:endnote>
  <w:endnote w:type="continuationSeparator" w:id="0">
    <w:p w14:paraId="06DDD305" w14:textId="77777777" w:rsidR="00B80D31" w:rsidRDefault="00B8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DC23" w14:textId="78D66C29" w:rsidR="003F1C7A" w:rsidRPr="00BE2BC5" w:rsidRDefault="003F1C7A">
    <w:pPr>
      <w:pStyle w:val="Footer"/>
      <w:tabs>
        <w:tab w:val="clear" w:pos="8640"/>
        <w:tab w:val="right" w:pos="9000"/>
      </w:tabs>
      <w:jc w:val="center"/>
      <w:rPr>
        <w:rFonts w:ascii="Cambria" w:hAnsi="Cambria"/>
        <w:iCs/>
        <w:sz w:val="18"/>
        <w:szCs w:val="18"/>
      </w:rPr>
    </w:pPr>
    <w:r w:rsidRPr="00BE2BC5">
      <w:rPr>
        <w:rStyle w:val="PageNumber"/>
        <w:rFonts w:ascii="Cambria" w:hAnsi="Cambria"/>
        <w:sz w:val="18"/>
        <w:szCs w:val="18"/>
      </w:rPr>
      <w:fldChar w:fldCharType="begin"/>
    </w:r>
    <w:r w:rsidRPr="00BE2BC5">
      <w:rPr>
        <w:rStyle w:val="PageNumber"/>
        <w:rFonts w:ascii="Cambria" w:hAnsi="Cambria"/>
        <w:sz w:val="18"/>
        <w:szCs w:val="18"/>
      </w:rPr>
      <w:instrText xml:space="preserve"> PAGE </w:instrText>
    </w:r>
    <w:r w:rsidRPr="00BE2BC5">
      <w:rPr>
        <w:rStyle w:val="PageNumber"/>
        <w:rFonts w:ascii="Cambria" w:hAnsi="Cambria"/>
        <w:sz w:val="18"/>
        <w:szCs w:val="18"/>
      </w:rPr>
      <w:fldChar w:fldCharType="separate"/>
    </w:r>
    <w:r w:rsidR="002530CD">
      <w:rPr>
        <w:rStyle w:val="PageNumber"/>
        <w:rFonts w:ascii="Cambria" w:hAnsi="Cambria"/>
        <w:noProof/>
        <w:sz w:val="18"/>
        <w:szCs w:val="18"/>
      </w:rPr>
      <w:t>1</w:t>
    </w:r>
    <w:r w:rsidRPr="00BE2BC5">
      <w:rPr>
        <w:rStyle w:val="PageNumber"/>
        <w:rFonts w:ascii="Cambria" w:hAnsi="Cambri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7409D" w14:textId="77777777" w:rsidR="00B80D31" w:rsidRDefault="00B80D31">
      <w:r>
        <w:separator/>
      </w:r>
    </w:p>
  </w:footnote>
  <w:footnote w:type="continuationSeparator" w:id="0">
    <w:p w14:paraId="1AA543D3" w14:textId="77777777" w:rsidR="00B80D31" w:rsidRDefault="00B80D31">
      <w:r>
        <w:continuationSeparator/>
      </w:r>
    </w:p>
  </w:footnote>
  <w:footnote w:id="1">
    <w:p w14:paraId="17B2716D" w14:textId="77777777" w:rsidR="00C461CA" w:rsidRDefault="00C461CA" w:rsidP="00C461CA">
      <w:pPr>
        <w:pStyle w:val="FootnoteText"/>
      </w:pPr>
      <w:r>
        <w:rPr>
          <w:rStyle w:val="FootnoteReference"/>
        </w:rPr>
        <w:footnoteRef/>
      </w:r>
      <w:r>
        <w:t xml:space="preserve"> City Year recruits 18 to 24 year-olds to serve on teams and support classrooms in public schools located in high-need communities.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5ED43E7C"/>
    <w:lvl w:ilvl="0" w:tplc="9D3A20E4">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106562"/>
    <w:rsid w:val="001A5939"/>
    <w:rsid w:val="001E3E09"/>
    <w:rsid w:val="002254DF"/>
    <w:rsid w:val="00233C3D"/>
    <w:rsid w:val="002530CD"/>
    <w:rsid w:val="00273B9E"/>
    <w:rsid w:val="00292EF6"/>
    <w:rsid w:val="002E2C45"/>
    <w:rsid w:val="00311FFC"/>
    <w:rsid w:val="00354D0A"/>
    <w:rsid w:val="0037375D"/>
    <w:rsid w:val="0038457A"/>
    <w:rsid w:val="003F1C7A"/>
    <w:rsid w:val="00400FED"/>
    <w:rsid w:val="0043480C"/>
    <w:rsid w:val="00465AEB"/>
    <w:rsid w:val="00477629"/>
    <w:rsid w:val="0049266F"/>
    <w:rsid w:val="004E0FFE"/>
    <w:rsid w:val="004F5889"/>
    <w:rsid w:val="00525D6B"/>
    <w:rsid w:val="00531165"/>
    <w:rsid w:val="00560F5D"/>
    <w:rsid w:val="005A6493"/>
    <w:rsid w:val="005B6895"/>
    <w:rsid w:val="005C0F7C"/>
    <w:rsid w:val="00635294"/>
    <w:rsid w:val="006363E4"/>
    <w:rsid w:val="00677379"/>
    <w:rsid w:val="006F4A2C"/>
    <w:rsid w:val="00707BE6"/>
    <w:rsid w:val="00744F5B"/>
    <w:rsid w:val="0076372B"/>
    <w:rsid w:val="007B761C"/>
    <w:rsid w:val="007D2536"/>
    <w:rsid w:val="00802837"/>
    <w:rsid w:val="00802D68"/>
    <w:rsid w:val="008321F9"/>
    <w:rsid w:val="0083369B"/>
    <w:rsid w:val="00843A38"/>
    <w:rsid w:val="008B0C37"/>
    <w:rsid w:val="008F0DFF"/>
    <w:rsid w:val="00914953"/>
    <w:rsid w:val="009738F2"/>
    <w:rsid w:val="00974706"/>
    <w:rsid w:val="009D3161"/>
    <w:rsid w:val="009D38C1"/>
    <w:rsid w:val="00A00DAF"/>
    <w:rsid w:val="00A14BAE"/>
    <w:rsid w:val="00AA071E"/>
    <w:rsid w:val="00AB2074"/>
    <w:rsid w:val="00AD4C9A"/>
    <w:rsid w:val="00B539E1"/>
    <w:rsid w:val="00B80D31"/>
    <w:rsid w:val="00B93AE9"/>
    <w:rsid w:val="00B93E48"/>
    <w:rsid w:val="00BE2BC5"/>
    <w:rsid w:val="00C461CA"/>
    <w:rsid w:val="00C50481"/>
    <w:rsid w:val="00D61A84"/>
    <w:rsid w:val="00D73838"/>
    <w:rsid w:val="00D77675"/>
    <w:rsid w:val="00DB2897"/>
    <w:rsid w:val="00DC55C4"/>
    <w:rsid w:val="00DE293C"/>
    <w:rsid w:val="00E011BE"/>
    <w:rsid w:val="00E26798"/>
    <w:rsid w:val="00E5579E"/>
    <w:rsid w:val="00E60AA6"/>
    <w:rsid w:val="00EF60B1"/>
    <w:rsid w:val="00F61131"/>
    <w:rsid w:val="00F73A47"/>
    <w:rsid w:val="00FA630F"/>
    <w:rsid w:val="00FB3FBF"/>
    <w:rsid w:val="00FB67C2"/>
    <w:rsid w:val="00FD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E56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paragraph" w:styleId="BodyTextIndent2">
    <w:name w:val="Body Text Indent 2"/>
    <w:basedOn w:val="Normal"/>
    <w:link w:val="BodyTextIndent2Char"/>
    <w:uiPriority w:val="99"/>
    <w:unhideWhenUsed/>
    <w:rsid w:val="00477629"/>
    <w:pPr>
      <w:ind w:left="360"/>
    </w:pPr>
  </w:style>
  <w:style w:type="character" w:customStyle="1" w:styleId="BodyTextIndent2Char">
    <w:name w:val="Body Text Indent 2 Char"/>
    <w:link w:val="BodyTextIndent2"/>
    <w:uiPriority w:val="99"/>
    <w:rsid w:val="00477629"/>
    <w:rPr>
      <w:sz w:val="24"/>
      <w:szCs w:val="24"/>
    </w:rPr>
  </w:style>
  <w:style w:type="character" w:styleId="CommentReference">
    <w:name w:val="annotation reference"/>
    <w:uiPriority w:val="99"/>
    <w:semiHidden/>
    <w:unhideWhenUsed/>
    <w:rsid w:val="00B93AE9"/>
    <w:rPr>
      <w:sz w:val="16"/>
      <w:szCs w:val="16"/>
    </w:rPr>
  </w:style>
  <w:style w:type="paragraph" w:styleId="CommentText">
    <w:name w:val="annotation text"/>
    <w:basedOn w:val="Normal"/>
    <w:link w:val="CommentTextChar"/>
    <w:uiPriority w:val="99"/>
    <w:semiHidden/>
    <w:unhideWhenUsed/>
    <w:rsid w:val="00B93AE9"/>
    <w:pPr>
      <w:spacing w:after="200"/>
    </w:pPr>
    <w:rPr>
      <w:rFonts w:ascii="Calibri" w:hAnsi="Calibri"/>
      <w:sz w:val="20"/>
      <w:szCs w:val="20"/>
    </w:rPr>
  </w:style>
  <w:style w:type="character" w:customStyle="1" w:styleId="CommentTextChar">
    <w:name w:val="Comment Text Char"/>
    <w:link w:val="CommentText"/>
    <w:uiPriority w:val="99"/>
    <w:semiHidden/>
    <w:rsid w:val="00B93AE9"/>
    <w:rPr>
      <w:rFonts w:ascii="Calibri" w:hAnsi="Calibri"/>
    </w:rPr>
  </w:style>
  <w:style w:type="paragraph" w:styleId="CommentSubject">
    <w:name w:val="annotation subject"/>
    <w:basedOn w:val="CommentText"/>
    <w:next w:val="CommentText"/>
    <w:link w:val="CommentSubjectChar"/>
    <w:uiPriority w:val="99"/>
    <w:semiHidden/>
    <w:unhideWhenUsed/>
    <w:rsid w:val="00560F5D"/>
    <w:pPr>
      <w:spacing w:after="0"/>
    </w:pPr>
    <w:rPr>
      <w:rFonts w:ascii="Times New Roman" w:hAnsi="Times New Roman"/>
      <w:b/>
      <w:bCs/>
    </w:rPr>
  </w:style>
  <w:style w:type="character" w:customStyle="1" w:styleId="CommentSubjectChar">
    <w:name w:val="Comment Subject Char"/>
    <w:link w:val="CommentSubject"/>
    <w:uiPriority w:val="99"/>
    <w:semiHidden/>
    <w:rsid w:val="00560F5D"/>
    <w:rPr>
      <w:rFonts w:ascii="Calibri" w:hAnsi="Calibri"/>
      <w:b/>
      <w:bCs/>
    </w:rPr>
  </w:style>
  <w:style w:type="paragraph" w:styleId="Revision">
    <w:name w:val="Revision"/>
    <w:hidden/>
    <w:uiPriority w:val="99"/>
    <w:semiHidden/>
    <w:rsid w:val="004F5889"/>
    <w:rPr>
      <w:sz w:val="24"/>
      <w:szCs w:val="24"/>
    </w:rPr>
  </w:style>
  <w:style w:type="table" w:styleId="TableGrid">
    <w:name w:val="Table Grid"/>
    <w:basedOn w:val="TableNormal"/>
    <w:uiPriority w:val="59"/>
    <w:rsid w:val="006F4A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61C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461C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461CA"/>
    <w:rPr>
      <w:vertAlign w:val="superscript"/>
    </w:rPr>
  </w:style>
  <w:style w:type="paragraph" w:customStyle="1" w:styleId="Default">
    <w:name w:val="Default"/>
    <w:rsid w:val="00233C3D"/>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AD4C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paragraph" w:styleId="BodyTextIndent2">
    <w:name w:val="Body Text Indent 2"/>
    <w:basedOn w:val="Normal"/>
    <w:link w:val="BodyTextIndent2Char"/>
    <w:uiPriority w:val="99"/>
    <w:unhideWhenUsed/>
    <w:rsid w:val="00477629"/>
    <w:pPr>
      <w:ind w:left="360"/>
    </w:pPr>
  </w:style>
  <w:style w:type="character" w:customStyle="1" w:styleId="BodyTextIndent2Char">
    <w:name w:val="Body Text Indent 2 Char"/>
    <w:link w:val="BodyTextIndent2"/>
    <w:uiPriority w:val="99"/>
    <w:rsid w:val="00477629"/>
    <w:rPr>
      <w:sz w:val="24"/>
      <w:szCs w:val="24"/>
    </w:rPr>
  </w:style>
  <w:style w:type="character" w:styleId="CommentReference">
    <w:name w:val="annotation reference"/>
    <w:uiPriority w:val="99"/>
    <w:semiHidden/>
    <w:unhideWhenUsed/>
    <w:rsid w:val="00B93AE9"/>
    <w:rPr>
      <w:sz w:val="16"/>
      <w:szCs w:val="16"/>
    </w:rPr>
  </w:style>
  <w:style w:type="paragraph" w:styleId="CommentText">
    <w:name w:val="annotation text"/>
    <w:basedOn w:val="Normal"/>
    <w:link w:val="CommentTextChar"/>
    <w:uiPriority w:val="99"/>
    <w:semiHidden/>
    <w:unhideWhenUsed/>
    <w:rsid w:val="00B93AE9"/>
    <w:pPr>
      <w:spacing w:after="200"/>
    </w:pPr>
    <w:rPr>
      <w:rFonts w:ascii="Calibri" w:hAnsi="Calibri"/>
      <w:sz w:val="20"/>
      <w:szCs w:val="20"/>
    </w:rPr>
  </w:style>
  <w:style w:type="character" w:customStyle="1" w:styleId="CommentTextChar">
    <w:name w:val="Comment Text Char"/>
    <w:link w:val="CommentText"/>
    <w:uiPriority w:val="99"/>
    <w:semiHidden/>
    <w:rsid w:val="00B93AE9"/>
    <w:rPr>
      <w:rFonts w:ascii="Calibri" w:hAnsi="Calibri"/>
    </w:rPr>
  </w:style>
  <w:style w:type="paragraph" w:styleId="CommentSubject">
    <w:name w:val="annotation subject"/>
    <w:basedOn w:val="CommentText"/>
    <w:next w:val="CommentText"/>
    <w:link w:val="CommentSubjectChar"/>
    <w:uiPriority w:val="99"/>
    <w:semiHidden/>
    <w:unhideWhenUsed/>
    <w:rsid w:val="00560F5D"/>
    <w:pPr>
      <w:spacing w:after="0"/>
    </w:pPr>
    <w:rPr>
      <w:rFonts w:ascii="Times New Roman" w:hAnsi="Times New Roman"/>
      <w:b/>
      <w:bCs/>
    </w:rPr>
  </w:style>
  <w:style w:type="character" w:customStyle="1" w:styleId="CommentSubjectChar">
    <w:name w:val="Comment Subject Char"/>
    <w:link w:val="CommentSubject"/>
    <w:uiPriority w:val="99"/>
    <w:semiHidden/>
    <w:rsid w:val="00560F5D"/>
    <w:rPr>
      <w:rFonts w:ascii="Calibri" w:hAnsi="Calibri"/>
      <w:b/>
      <w:bCs/>
    </w:rPr>
  </w:style>
  <w:style w:type="paragraph" w:styleId="Revision">
    <w:name w:val="Revision"/>
    <w:hidden/>
    <w:uiPriority w:val="99"/>
    <w:semiHidden/>
    <w:rsid w:val="004F5889"/>
    <w:rPr>
      <w:sz w:val="24"/>
      <w:szCs w:val="24"/>
    </w:rPr>
  </w:style>
  <w:style w:type="table" w:styleId="TableGrid">
    <w:name w:val="Table Grid"/>
    <w:basedOn w:val="TableNormal"/>
    <w:uiPriority w:val="59"/>
    <w:rsid w:val="006F4A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61C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461C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461CA"/>
    <w:rPr>
      <w:vertAlign w:val="superscript"/>
    </w:rPr>
  </w:style>
  <w:style w:type="paragraph" w:customStyle="1" w:styleId="Default">
    <w:name w:val="Default"/>
    <w:rsid w:val="00233C3D"/>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AD4C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1636">
      <w:bodyDiv w:val="1"/>
      <w:marLeft w:val="0"/>
      <w:marRight w:val="0"/>
      <w:marTop w:val="0"/>
      <w:marBottom w:val="0"/>
      <w:divBdr>
        <w:top w:val="none" w:sz="0" w:space="0" w:color="auto"/>
        <w:left w:val="none" w:sz="0" w:space="0" w:color="auto"/>
        <w:bottom w:val="none" w:sz="0" w:space="0" w:color="auto"/>
        <w:right w:val="none" w:sz="0" w:space="0" w:color="auto"/>
      </w:divBdr>
    </w:div>
    <w:div w:id="138733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CFE3-BAC5-40CD-8D15-7FEC3A3C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2014-07-24T16:07:00Z</cp:lastPrinted>
  <dcterms:created xsi:type="dcterms:W3CDTF">2018-06-22T20:20:00Z</dcterms:created>
  <dcterms:modified xsi:type="dcterms:W3CDTF">2018-06-22T20:20:00Z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