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Pr="002F30D0" w:rsidRDefault="00DC1C23">
      <w:pPr>
        <w:tabs>
          <w:tab w:val="center" w:pos="4680"/>
        </w:tabs>
        <w:suppressAutoHyphens/>
        <w:rPr>
          <w:rFonts w:ascii="Times New Roman" w:hAnsi="Times New Roman"/>
          <w:b/>
          <w:sz w:val="28"/>
          <w:szCs w:val="28"/>
        </w:rPr>
      </w:pPr>
      <w:r w:rsidRPr="002F30D0">
        <w:rPr>
          <w:rFonts w:ascii="Times New Roman" w:hAnsi="Times New Roman"/>
          <w:sz w:val="28"/>
          <w:szCs w:val="28"/>
        </w:rPr>
        <w:tab/>
      </w:r>
      <w:r w:rsidRPr="002F30D0">
        <w:rPr>
          <w:rFonts w:ascii="Times New Roman" w:hAnsi="Times New Roman"/>
          <w:b/>
          <w:sz w:val="28"/>
          <w:szCs w:val="28"/>
        </w:rPr>
        <w:t>THE SUPPORTING STATEMENT</w:t>
      </w:r>
    </w:p>
    <w:p w:rsidR="00DC1C23" w:rsidRPr="002F30D0" w:rsidRDefault="00DC1C23" w:rsidP="00511C25">
      <w:pPr>
        <w:tabs>
          <w:tab w:val="left" w:pos="-720"/>
        </w:tabs>
        <w:suppressAutoHyphens/>
        <w:rPr>
          <w:rFonts w:ascii="Times New Roman" w:hAnsi="Times New Roman"/>
          <w:b/>
          <w:sz w:val="28"/>
          <w:szCs w:val="28"/>
        </w:rPr>
      </w:pPr>
    </w:p>
    <w:p w:rsidR="002C3C4F" w:rsidRPr="002F30D0" w:rsidRDefault="002C3C4F" w:rsidP="002C3C4F">
      <w:pPr>
        <w:widowControl/>
        <w:spacing w:before="100" w:beforeAutospacing="1" w:after="100" w:afterAutospacing="1"/>
        <w:rPr>
          <w:rFonts w:ascii="Times New Roman" w:hAnsi="Times New Roman"/>
          <w:snapToGrid/>
          <w:sz w:val="28"/>
          <w:szCs w:val="28"/>
        </w:rPr>
      </w:pPr>
      <w:r w:rsidRPr="002F30D0">
        <w:rPr>
          <w:rFonts w:ascii="Times New Roman" w:hAnsi="Times New Roman"/>
          <w:b/>
          <w:bCs/>
          <w:snapToGrid/>
          <w:sz w:val="28"/>
          <w:szCs w:val="28"/>
        </w:rPr>
        <w:t>A. Justification</w:t>
      </w: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Circumstances Making the Collection of Information Necessary </w:t>
      </w:r>
    </w:p>
    <w:p w:rsidR="001B5DCD" w:rsidRPr="001B5DCD" w:rsidRDefault="001D77A9" w:rsidP="001B5DCD">
      <w:pPr>
        <w:widowControl/>
        <w:ind w:left="720"/>
        <w:rPr>
          <w:rFonts w:ascii="Times New Roman" w:hAnsi="Times New Roman"/>
          <w:snapToGrid/>
          <w:sz w:val="24"/>
          <w:szCs w:val="24"/>
        </w:rPr>
      </w:pPr>
      <w:r w:rsidRPr="001D77A9">
        <w:rPr>
          <w:rFonts w:ascii="Times New Roman" w:hAnsi="Times New Roman"/>
          <w:snapToGrid/>
          <w:sz w:val="24"/>
          <w:szCs w:val="24"/>
        </w:rPr>
        <w:t xml:space="preserve">The Children’s Health Act of 2000, 42 U.S.C. Section 300d-53(h), requires the Protection and Advocacy (P&amp;A) System in each State to annually prepare and submit to the Secretary a report that includes documentation of the progress they have made in serving individuals with traumatic brain injury. </w:t>
      </w:r>
      <w:r w:rsidR="00766C03">
        <w:rPr>
          <w:rFonts w:ascii="Times New Roman" w:hAnsi="Times New Roman"/>
          <w:snapToGrid/>
          <w:sz w:val="24"/>
          <w:szCs w:val="24"/>
        </w:rPr>
        <w:t xml:space="preserve">In order to comply with this requirement, </w:t>
      </w:r>
      <w:r w:rsidR="00766C03" w:rsidRPr="001B5DCD">
        <w:rPr>
          <w:rFonts w:ascii="Times New Roman" w:hAnsi="Times New Roman"/>
          <w:snapToGrid/>
          <w:sz w:val="24"/>
          <w:szCs w:val="24"/>
        </w:rPr>
        <w:t xml:space="preserve">each </w:t>
      </w:r>
      <w:r>
        <w:rPr>
          <w:rFonts w:ascii="Times New Roman" w:hAnsi="Times New Roman"/>
          <w:snapToGrid/>
          <w:sz w:val="24"/>
          <w:szCs w:val="24"/>
        </w:rPr>
        <w:t>PATBI must</w:t>
      </w:r>
      <w:r w:rsidR="00766C03">
        <w:rPr>
          <w:rFonts w:ascii="Times New Roman" w:hAnsi="Times New Roman"/>
          <w:snapToGrid/>
          <w:sz w:val="24"/>
          <w:szCs w:val="24"/>
        </w:rPr>
        <w:t xml:space="preserve"> </w:t>
      </w:r>
      <w:r w:rsidR="00766C03" w:rsidRPr="001B5DCD">
        <w:rPr>
          <w:rFonts w:ascii="Times New Roman" w:hAnsi="Times New Roman"/>
          <w:snapToGrid/>
          <w:sz w:val="24"/>
          <w:szCs w:val="24"/>
        </w:rPr>
        <w:t xml:space="preserve">annually prepare a </w:t>
      </w:r>
      <w:r w:rsidR="0002742C">
        <w:rPr>
          <w:rFonts w:ascii="Times New Roman" w:hAnsi="Times New Roman"/>
          <w:snapToGrid/>
          <w:sz w:val="24"/>
          <w:szCs w:val="24"/>
        </w:rPr>
        <w:t>Program Performance R</w:t>
      </w:r>
      <w:r w:rsidR="00766C03" w:rsidRPr="001B5DCD">
        <w:rPr>
          <w:rFonts w:ascii="Times New Roman" w:hAnsi="Times New Roman"/>
          <w:snapToGrid/>
          <w:sz w:val="24"/>
          <w:szCs w:val="24"/>
        </w:rPr>
        <w:t xml:space="preserve">eport </w:t>
      </w:r>
      <w:r w:rsidR="0002742C">
        <w:rPr>
          <w:rFonts w:ascii="Times New Roman" w:hAnsi="Times New Roman"/>
          <w:snapToGrid/>
          <w:sz w:val="24"/>
          <w:szCs w:val="24"/>
        </w:rPr>
        <w:t xml:space="preserve">(PPR) </w:t>
      </w:r>
      <w:r w:rsidR="00766C03" w:rsidRPr="001B5DCD">
        <w:rPr>
          <w:rFonts w:ascii="Times New Roman" w:hAnsi="Times New Roman"/>
          <w:snapToGrid/>
          <w:sz w:val="24"/>
          <w:szCs w:val="24"/>
        </w:rPr>
        <w:t xml:space="preserve">that describes the activities and accomplishments of the system during the preceding fiscal year. </w:t>
      </w:r>
    </w:p>
    <w:p w:rsidR="001B5DCD" w:rsidRDefault="001B5DCD" w:rsidP="001B5DCD">
      <w:pPr>
        <w:widowControl/>
        <w:ind w:left="720"/>
        <w:rPr>
          <w:rFonts w:ascii="Times New Roman" w:hAnsi="Times New Roman"/>
          <w:snapToGrid/>
          <w:sz w:val="24"/>
          <w:szCs w:val="24"/>
        </w:rPr>
      </w:pPr>
    </w:p>
    <w:p w:rsidR="00525AD8" w:rsidRDefault="00525AD8" w:rsidP="001B5DCD">
      <w:pPr>
        <w:widowControl/>
        <w:ind w:left="720"/>
        <w:rPr>
          <w:rFonts w:ascii="Times New Roman" w:hAnsi="Times New Roman"/>
          <w:snapToGrid/>
          <w:sz w:val="24"/>
          <w:szCs w:val="24"/>
        </w:rPr>
      </w:pPr>
      <w:r w:rsidRPr="00525AD8">
        <w:rPr>
          <w:rFonts w:ascii="Times New Roman" w:hAnsi="Times New Roman"/>
          <w:snapToGrid/>
          <w:sz w:val="24"/>
          <w:szCs w:val="24"/>
        </w:rPr>
        <w:t>The Administration for Community Living (ACL) is proposing the creation of a new PATBI Annual Program Performance form (PPR) to meet this requirement. The form will allow recipients the opportunity to submit yearly activities</w:t>
      </w:r>
      <w:r w:rsidR="00970547">
        <w:rPr>
          <w:rFonts w:ascii="Times New Roman" w:hAnsi="Times New Roman"/>
          <w:snapToGrid/>
          <w:sz w:val="24"/>
          <w:szCs w:val="24"/>
        </w:rPr>
        <w:t xml:space="preserve"> and</w:t>
      </w:r>
      <w:r w:rsidRPr="00525AD8">
        <w:rPr>
          <w:rFonts w:ascii="Times New Roman" w:hAnsi="Times New Roman"/>
          <w:snapToGrid/>
          <w:sz w:val="24"/>
          <w:szCs w:val="24"/>
        </w:rPr>
        <w:t xml:space="preserve"> progress and performance </w:t>
      </w:r>
      <w:r w:rsidR="00970547">
        <w:rPr>
          <w:rFonts w:ascii="Times New Roman" w:hAnsi="Times New Roman"/>
          <w:snapToGrid/>
          <w:sz w:val="24"/>
          <w:szCs w:val="24"/>
        </w:rPr>
        <w:t xml:space="preserve">data </w:t>
      </w:r>
      <w:r w:rsidRPr="00525AD8">
        <w:rPr>
          <w:rFonts w:ascii="Times New Roman" w:hAnsi="Times New Roman"/>
          <w:snapToGrid/>
          <w:sz w:val="24"/>
          <w:szCs w:val="24"/>
        </w:rPr>
        <w:t xml:space="preserve">as required in the statute. It will also allow federal reviewers to analyze patterns more readily, barriers to achievement of program goals, and overall program performance.  </w:t>
      </w:r>
    </w:p>
    <w:p w:rsidR="001B5DCD" w:rsidRDefault="001B5DCD" w:rsidP="001B5DCD">
      <w:pPr>
        <w:widowControl/>
        <w:ind w:left="720"/>
        <w:rPr>
          <w:rFonts w:ascii="Times New Roman" w:hAnsi="Times New Roman"/>
          <w:snapToGrid/>
          <w:sz w:val="24"/>
          <w:szCs w:val="24"/>
        </w:rPr>
      </w:pPr>
    </w:p>
    <w:p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This </w:t>
      </w:r>
      <w:r w:rsidR="00924F98">
        <w:rPr>
          <w:rFonts w:ascii="Times New Roman" w:hAnsi="Times New Roman"/>
          <w:snapToGrid/>
          <w:sz w:val="24"/>
          <w:szCs w:val="24"/>
        </w:rPr>
        <w:t>will be an</w:t>
      </w:r>
      <w:r w:rsidRPr="005F37C1">
        <w:rPr>
          <w:rFonts w:ascii="Times New Roman" w:hAnsi="Times New Roman"/>
          <w:snapToGrid/>
          <w:sz w:val="24"/>
          <w:szCs w:val="24"/>
        </w:rPr>
        <w:t xml:space="preserve"> ongoing </w:t>
      </w:r>
      <w:r w:rsidR="00063706">
        <w:rPr>
          <w:rFonts w:ascii="Times New Roman" w:hAnsi="Times New Roman"/>
          <w:snapToGrid/>
          <w:sz w:val="24"/>
          <w:szCs w:val="24"/>
        </w:rPr>
        <w:t xml:space="preserve">annual </w:t>
      </w:r>
      <w:r w:rsidRPr="005F37C1">
        <w:rPr>
          <w:rFonts w:ascii="Times New Roman" w:hAnsi="Times New Roman"/>
          <w:snapToGrid/>
          <w:sz w:val="24"/>
          <w:szCs w:val="24"/>
        </w:rPr>
        <w:t>data collection</w:t>
      </w:r>
      <w:r w:rsidR="002C3140">
        <w:rPr>
          <w:rFonts w:ascii="Times New Roman" w:hAnsi="Times New Roman"/>
          <w:snapToGrid/>
          <w:sz w:val="24"/>
          <w:szCs w:val="24"/>
        </w:rPr>
        <w:t xml:space="preserve">.  </w:t>
      </w:r>
    </w:p>
    <w:p w:rsidR="00313EF3" w:rsidRDefault="00313EF3" w:rsidP="00CA26B5">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Purpose and Use of the Information Collection </w:t>
      </w:r>
    </w:p>
    <w:p w:rsidR="008877ED" w:rsidRPr="009A6A46" w:rsidRDefault="008877ED" w:rsidP="000B098F">
      <w:pPr>
        <w:pStyle w:val="ListParagraph"/>
        <w:widowControl/>
        <w:rPr>
          <w:rFonts w:ascii="Times New Roman" w:hAnsi="Times New Roman"/>
          <w:snapToGrid/>
          <w:sz w:val="24"/>
          <w:szCs w:val="24"/>
        </w:rPr>
      </w:pPr>
      <w:r w:rsidRPr="009A6A46">
        <w:rPr>
          <w:rFonts w:ascii="Times New Roman" w:hAnsi="Times New Roman"/>
          <w:snapToGrid/>
          <w:sz w:val="24"/>
          <w:szCs w:val="24"/>
        </w:rPr>
        <w:t>The annual program performance report (PPR</w:t>
      </w:r>
      <w:r w:rsidR="001D77A9">
        <w:rPr>
          <w:rFonts w:ascii="Times New Roman" w:hAnsi="Times New Roman"/>
          <w:snapToGrid/>
          <w:sz w:val="24"/>
          <w:szCs w:val="24"/>
        </w:rPr>
        <w:t>)</w:t>
      </w:r>
      <w:r w:rsidRPr="009A6A46">
        <w:rPr>
          <w:rFonts w:ascii="Times New Roman" w:hAnsi="Times New Roman"/>
          <w:snapToGrid/>
          <w:sz w:val="24"/>
          <w:szCs w:val="24"/>
        </w:rPr>
        <w:t xml:space="preserve"> is reviewed by federal staff</w:t>
      </w:r>
      <w:r w:rsidR="00924F98">
        <w:rPr>
          <w:rFonts w:ascii="Times New Roman" w:hAnsi="Times New Roman"/>
          <w:snapToGrid/>
          <w:sz w:val="24"/>
          <w:szCs w:val="24"/>
        </w:rPr>
        <w:t>s</w:t>
      </w:r>
      <w:r w:rsidRPr="009A6A46">
        <w:rPr>
          <w:rFonts w:ascii="Times New Roman" w:hAnsi="Times New Roman"/>
          <w:snapToGrid/>
          <w:sz w:val="24"/>
          <w:szCs w:val="24"/>
        </w:rPr>
        <w:t xml:space="preserve"> for compliance and outcomes.  Information in the PPRs is analyzed to create a national profile of programmatic compliance, outcomes, and goals and priorities for P&amp;A Syste</w:t>
      </w:r>
      <w:r w:rsidR="001D77A9">
        <w:rPr>
          <w:rFonts w:ascii="Times New Roman" w:hAnsi="Times New Roman"/>
          <w:snapToGrid/>
          <w:sz w:val="24"/>
          <w:szCs w:val="24"/>
        </w:rPr>
        <w:t xml:space="preserve">ms for tracking accomplishments, </w:t>
      </w:r>
      <w:r w:rsidRPr="009A6A46">
        <w:rPr>
          <w:rFonts w:ascii="Times New Roman" w:hAnsi="Times New Roman"/>
          <w:snapToGrid/>
          <w:sz w:val="24"/>
          <w:szCs w:val="24"/>
        </w:rPr>
        <w:t>goals and to formulate areas of technical assistance related to compliance with Federal requirements.  Information collected in the unified report will inform AIDD of trends in P&amp;A advocacy, facilitate collaboration with other federally-funded entities, and identify best practices for the efficient use of federal funds.</w:t>
      </w:r>
    </w:p>
    <w:p w:rsidR="008877ED" w:rsidRDefault="008877ED" w:rsidP="005F37C1">
      <w:pPr>
        <w:widowControl/>
        <w:ind w:left="720"/>
        <w:rPr>
          <w:rFonts w:ascii="Times New Roman" w:hAnsi="Times New Roman"/>
          <w:snapToGrid/>
          <w:sz w:val="24"/>
          <w:szCs w:val="24"/>
        </w:rPr>
      </w:pPr>
    </w:p>
    <w:p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Additionally, the information is used to provide a national perspective on where the program is going (prospective view), and to provide a gauge for program accomplishments against program objectives for purposes of identifying continuing challenges and formulating technical assistance and management support provided to P&amp;A systems.  Finally, the </w:t>
      </w:r>
      <w:r w:rsidR="001B5DCD">
        <w:rPr>
          <w:rFonts w:ascii="Times New Roman" w:hAnsi="Times New Roman"/>
          <w:snapToGrid/>
          <w:sz w:val="24"/>
          <w:szCs w:val="24"/>
        </w:rPr>
        <w:t xml:space="preserve">form’s </w:t>
      </w:r>
      <w:r w:rsidR="00353996">
        <w:rPr>
          <w:rFonts w:ascii="Times New Roman" w:hAnsi="Times New Roman"/>
          <w:snapToGrid/>
          <w:sz w:val="24"/>
          <w:szCs w:val="24"/>
        </w:rPr>
        <w:t xml:space="preserve">prospective information </w:t>
      </w:r>
      <w:r w:rsidRPr="005F37C1">
        <w:rPr>
          <w:rFonts w:ascii="Times New Roman" w:hAnsi="Times New Roman"/>
          <w:snapToGrid/>
          <w:sz w:val="24"/>
          <w:szCs w:val="24"/>
        </w:rPr>
        <w:t xml:space="preserve">is </w:t>
      </w:r>
      <w:r w:rsidR="00353996">
        <w:rPr>
          <w:rFonts w:ascii="Times New Roman" w:hAnsi="Times New Roman"/>
          <w:snapToGrid/>
          <w:sz w:val="24"/>
          <w:szCs w:val="24"/>
        </w:rPr>
        <w:t xml:space="preserve">compared for interpretation purposes with the corresponding </w:t>
      </w:r>
      <w:r w:rsidR="0091597D">
        <w:rPr>
          <w:rFonts w:ascii="Times New Roman" w:hAnsi="Times New Roman"/>
          <w:snapToGrid/>
          <w:sz w:val="24"/>
          <w:szCs w:val="24"/>
        </w:rPr>
        <w:t xml:space="preserve">performance data and </w:t>
      </w:r>
      <w:r w:rsidR="00353996">
        <w:rPr>
          <w:rFonts w:ascii="Times New Roman" w:hAnsi="Times New Roman"/>
          <w:snapToGrid/>
          <w:sz w:val="24"/>
          <w:szCs w:val="24"/>
        </w:rPr>
        <w:t>outcome</w:t>
      </w:r>
      <w:r w:rsidR="0091597D">
        <w:rPr>
          <w:rFonts w:ascii="Times New Roman" w:hAnsi="Times New Roman"/>
          <w:snapToGrid/>
          <w:sz w:val="24"/>
          <w:szCs w:val="24"/>
        </w:rPr>
        <w:t>s</w:t>
      </w:r>
      <w:r w:rsidR="00353996">
        <w:rPr>
          <w:rFonts w:ascii="Times New Roman" w:hAnsi="Times New Roman"/>
          <w:snapToGrid/>
          <w:sz w:val="24"/>
          <w:szCs w:val="24"/>
        </w:rPr>
        <w:t xml:space="preserve"> that </w:t>
      </w:r>
      <w:r w:rsidR="0091597D">
        <w:rPr>
          <w:rFonts w:ascii="Times New Roman" w:hAnsi="Times New Roman"/>
          <w:snapToGrid/>
          <w:sz w:val="24"/>
          <w:szCs w:val="24"/>
        </w:rPr>
        <w:t>are</w:t>
      </w:r>
      <w:r w:rsidR="00353996">
        <w:rPr>
          <w:rFonts w:ascii="Times New Roman" w:hAnsi="Times New Roman"/>
          <w:snapToGrid/>
          <w:sz w:val="24"/>
          <w:szCs w:val="24"/>
        </w:rPr>
        <w:t xml:space="preserve"> </w:t>
      </w:r>
      <w:r w:rsidRPr="005F37C1">
        <w:rPr>
          <w:rFonts w:ascii="Times New Roman" w:hAnsi="Times New Roman"/>
          <w:snapToGrid/>
          <w:sz w:val="24"/>
          <w:szCs w:val="24"/>
        </w:rPr>
        <w:t>report</w:t>
      </w:r>
      <w:r w:rsidR="00353996">
        <w:rPr>
          <w:rFonts w:ascii="Times New Roman" w:hAnsi="Times New Roman"/>
          <w:snapToGrid/>
          <w:sz w:val="24"/>
          <w:szCs w:val="24"/>
        </w:rPr>
        <w:t>ed</w:t>
      </w:r>
      <w:r w:rsidRPr="005F37C1">
        <w:rPr>
          <w:rFonts w:ascii="Times New Roman" w:hAnsi="Times New Roman"/>
          <w:snapToGrid/>
          <w:sz w:val="24"/>
          <w:szCs w:val="24"/>
        </w:rPr>
        <w:t xml:space="preserve"> to Congress, as required by the Government Perf</w:t>
      </w:r>
      <w:r w:rsidR="00353996">
        <w:rPr>
          <w:rFonts w:ascii="Times New Roman" w:hAnsi="Times New Roman"/>
          <w:snapToGrid/>
          <w:sz w:val="24"/>
          <w:szCs w:val="24"/>
        </w:rPr>
        <w:t>ormance and Results Act</w:t>
      </w:r>
      <w:r w:rsidR="00BA3760">
        <w:rPr>
          <w:rFonts w:ascii="Times New Roman" w:hAnsi="Times New Roman"/>
          <w:snapToGrid/>
          <w:sz w:val="24"/>
          <w:szCs w:val="24"/>
        </w:rPr>
        <w:t xml:space="preserve"> Modernization Act of 2010</w:t>
      </w:r>
      <w:r w:rsidR="00353996">
        <w:rPr>
          <w:rFonts w:ascii="Times New Roman" w:hAnsi="Times New Roman"/>
          <w:snapToGrid/>
          <w:sz w:val="24"/>
          <w:szCs w:val="24"/>
        </w:rPr>
        <w:t> </w:t>
      </w:r>
      <w:r w:rsidRPr="005F37C1">
        <w:rPr>
          <w:rFonts w:ascii="Times New Roman" w:hAnsi="Times New Roman"/>
          <w:snapToGrid/>
          <w:sz w:val="24"/>
          <w:szCs w:val="24"/>
        </w:rPr>
        <w:t>(GPRA</w:t>
      </w:r>
      <w:r w:rsidR="00BA3760">
        <w:rPr>
          <w:rFonts w:ascii="Times New Roman" w:hAnsi="Times New Roman"/>
          <w:snapToGrid/>
          <w:sz w:val="24"/>
          <w:szCs w:val="24"/>
        </w:rPr>
        <w:t>MA</w:t>
      </w:r>
      <w:r w:rsidRPr="005F37C1">
        <w:rPr>
          <w:rFonts w:ascii="Times New Roman" w:hAnsi="Times New Roman"/>
          <w:snapToGrid/>
          <w:sz w:val="24"/>
          <w:szCs w:val="24"/>
        </w:rPr>
        <w:t xml:space="preserve">). </w:t>
      </w:r>
    </w:p>
    <w:p w:rsidR="005F37C1" w:rsidRPr="005F37C1" w:rsidRDefault="005F37C1" w:rsidP="005F37C1">
      <w:pPr>
        <w:widowControl/>
        <w:ind w:left="720"/>
        <w:rPr>
          <w:rFonts w:ascii="Times New Roman" w:hAnsi="Times New Roman"/>
          <w:snapToGrid/>
          <w:sz w:val="24"/>
          <w:szCs w:val="24"/>
        </w:rPr>
      </w:pPr>
    </w:p>
    <w:p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A</w:t>
      </w:r>
      <w:r w:rsidR="00B02089">
        <w:rPr>
          <w:rFonts w:ascii="Times New Roman" w:hAnsi="Times New Roman"/>
          <w:snapToGrid/>
          <w:sz w:val="24"/>
          <w:szCs w:val="24"/>
        </w:rPr>
        <w:t>I</w:t>
      </w:r>
      <w:r w:rsidRPr="005F37C1">
        <w:rPr>
          <w:rFonts w:ascii="Times New Roman" w:hAnsi="Times New Roman"/>
          <w:snapToGrid/>
          <w:sz w:val="24"/>
          <w:szCs w:val="24"/>
        </w:rPr>
        <w:t xml:space="preserve">DD plans to make the data from these </w:t>
      </w:r>
      <w:r w:rsidR="001B5DCD">
        <w:rPr>
          <w:rFonts w:ascii="Times New Roman" w:hAnsi="Times New Roman"/>
          <w:snapToGrid/>
          <w:sz w:val="24"/>
          <w:szCs w:val="24"/>
        </w:rPr>
        <w:t>reports</w:t>
      </w:r>
      <w:r w:rsidRPr="005F37C1">
        <w:rPr>
          <w:rFonts w:ascii="Times New Roman" w:hAnsi="Times New Roman"/>
          <w:snapToGrid/>
          <w:sz w:val="24"/>
          <w:szCs w:val="24"/>
        </w:rPr>
        <w:t xml:space="preserve"> available to the general public</w:t>
      </w:r>
      <w:r w:rsidR="00BA3760" w:rsidRPr="00BA3760">
        <w:rPr>
          <w:rFonts w:ascii="Times New Roman" w:hAnsi="Times New Roman"/>
          <w:snapToGrid/>
          <w:sz w:val="24"/>
          <w:szCs w:val="24"/>
        </w:rPr>
        <w:t xml:space="preserve"> </w:t>
      </w:r>
      <w:r w:rsidR="00BA3760" w:rsidRPr="005F37C1">
        <w:rPr>
          <w:rFonts w:ascii="Times New Roman" w:hAnsi="Times New Roman"/>
          <w:snapToGrid/>
          <w:sz w:val="24"/>
          <w:szCs w:val="24"/>
        </w:rPr>
        <w:t xml:space="preserve">on the </w:t>
      </w:r>
      <w:r w:rsidR="00BA3760">
        <w:rPr>
          <w:rFonts w:ascii="Times New Roman" w:hAnsi="Times New Roman"/>
          <w:snapToGrid/>
          <w:sz w:val="24"/>
          <w:szCs w:val="24"/>
        </w:rPr>
        <w:t>ACL i</w:t>
      </w:r>
      <w:r w:rsidR="00BA3760" w:rsidRPr="005F37C1">
        <w:rPr>
          <w:rFonts w:ascii="Times New Roman" w:hAnsi="Times New Roman"/>
          <w:snapToGrid/>
          <w:sz w:val="24"/>
          <w:szCs w:val="24"/>
        </w:rPr>
        <w:t>nternet</w:t>
      </w:r>
      <w:r w:rsidR="00BA3760">
        <w:rPr>
          <w:rFonts w:ascii="Times New Roman" w:hAnsi="Times New Roman"/>
          <w:snapToGrid/>
          <w:sz w:val="24"/>
          <w:szCs w:val="24"/>
        </w:rPr>
        <w:t xml:space="preserve"> site (</w:t>
      </w:r>
      <w:hyperlink r:id="rId13" w:history="1">
        <w:r w:rsidR="00525AD8" w:rsidRPr="000A0060">
          <w:rPr>
            <w:rStyle w:val="Hyperlink"/>
            <w:rFonts w:ascii="Times New Roman" w:hAnsi="Times New Roman"/>
            <w:snapToGrid/>
            <w:sz w:val="24"/>
            <w:szCs w:val="24"/>
          </w:rPr>
          <w:t>https://acl.gov</w:t>
        </w:r>
      </w:hyperlink>
      <w:r w:rsidR="00BA3760">
        <w:rPr>
          <w:rFonts w:ascii="Times New Roman" w:hAnsi="Times New Roman"/>
          <w:snapToGrid/>
          <w:sz w:val="24"/>
          <w:szCs w:val="24"/>
        </w:rPr>
        <w:t>)</w:t>
      </w:r>
      <w:r w:rsidRPr="005F37C1">
        <w:rPr>
          <w:rFonts w:ascii="Times New Roman" w:hAnsi="Times New Roman"/>
          <w:snapToGrid/>
          <w:sz w:val="24"/>
          <w:szCs w:val="24"/>
        </w:rPr>
        <w:t>.</w:t>
      </w:r>
    </w:p>
    <w:p w:rsidR="00572A47" w:rsidRPr="00CA26B5" w:rsidRDefault="00572A47" w:rsidP="00CA26B5">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Use of Improved Information Technology and Burden Reduction </w:t>
      </w:r>
    </w:p>
    <w:p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lastRenderedPageBreak/>
        <w:t xml:space="preserve">The </w:t>
      </w:r>
      <w:r w:rsidR="001B5DCD">
        <w:rPr>
          <w:rFonts w:ascii="Times New Roman" w:hAnsi="Times New Roman"/>
          <w:snapToGrid/>
          <w:sz w:val="24"/>
          <w:szCs w:val="24"/>
        </w:rPr>
        <w:t>report</w:t>
      </w:r>
      <w:r w:rsidRPr="005F37C1">
        <w:rPr>
          <w:rFonts w:ascii="Times New Roman" w:hAnsi="Times New Roman"/>
          <w:snapToGrid/>
          <w:sz w:val="24"/>
          <w:szCs w:val="24"/>
        </w:rPr>
        <w:t xml:space="preserve"> </w:t>
      </w:r>
      <w:r w:rsidR="008877ED">
        <w:rPr>
          <w:rFonts w:ascii="Times New Roman" w:hAnsi="Times New Roman"/>
          <w:snapToGrid/>
          <w:sz w:val="24"/>
          <w:szCs w:val="24"/>
        </w:rPr>
        <w:t>will be</w:t>
      </w:r>
      <w:r w:rsidRPr="005F37C1">
        <w:rPr>
          <w:rFonts w:ascii="Times New Roman" w:hAnsi="Times New Roman"/>
          <w:snapToGrid/>
          <w:sz w:val="24"/>
          <w:szCs w:val="24"/>
        </w:rPr>
        <w:t xml:space="preserve"> submitted electronically.  A major consequence of the electronic submission of the </w:t>
      </w:r>
      <w:r w:rsidR="001B5DCD">
        <w:rPr>
          <w:rFonts w:ascii="Times New Roman" w:hAnsi="Times New Roman"/>
          <w:snapToGrid/>
          <w:sz w:val="24"/>
          <w:szCs w:val="24"/>
        </w:rPr>
        <w:t>PPR</w:t>
      </w:r>
      <w:r w:rsidR="0041193F">
        <w:rPr>
          <w:rFonts w:ascii="Times New Roman" w:hAnsi="Times New Roman"/>
          <w:snapToGrid/>
          <w:sz w:val="24"/>
          <w:szCs w:val="24"/>
        </w:rPr>
        <w:t xml:space="preserve"> </w:t>
      </w:r>
      <w:r w:rsidRPr="005F37C1">
        <w:rPr>
          <w:rFonts w:ascii="Times New Roman" w:hAnsi="Times New Roman"/>
          <w:snapToGrid/>
          <w:sz w:val="24"/>
          <w:szCs w:val="24"/>
        </w:rPr>
        <w:t xml:space="preserve">is enhanced ability to review the </w:t>
      </w:r>
      <w:r w:rsidR="001B5DCD">
        <w:rPr>
          <w:rFonts w:ascii="Times New Roman" w:hAnsi="Times New Roman"/>
          <w:snapToGrid/>
          <w:sz w:val="24"/>
          <w:szCs w:val="24"/>
        </w:rPr>
        <w:t>PPRs</w:t>
      </w:r>
      <w:r w:rsidRPr="005F37C1">
        <w:rPr>
          <w:rFonts w:ascii="Times New Roman" w:hAnsi="Times New Roman"/>
          <w:snapToGrid/>
          <w:sz w:val="24"/>
          <w:szCs w:val="24"/>
        </w:rPr>
        <w:t xml:space="preserve"> and to manage the data in them.</w:t>
      </w:r>
    </w:p>
    <w:p w:rsidR="0064544B" w:rsidRDefault="0064544B" w:rsidP="0064544B">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Efforts to Identify Duplication and Use of Similar Information </w:t>
      </w:r>
    </w:p>
    <w:p w:rsidR="005F37C1" w:rsidRPr="005F37C1" w:rsidRDefault="005F37C1" w:rsidP="0041193F">
      <w:pPr>
        <w:widowControl/>
        <w:ind w:left="720"/>
        <w:rPr>
          <w:rFonts w:ascii="Times New Roman" w:hAnsi="Times New Roman"/>
          <w:snapToGrid/>
          <w:sz w:val="24"/>
          <w:szCs w:val="24"/>
        </w:rPr>
      </w:pPr>
      <w:r w:rsidRPr="005F37C1">
        <w:rPr>
          <w:rFonts w:ascii="Times New Roman" w:hAnsi="Times New Roman"/>
          <w:snapToGrid/>
          <w:sz w:val="24"/>
          <w:szCs w:val="24"/>
        </w:rPr>
        <w:t xml:space="preserve">A careful review of the PPR was conducted to avoid any duplication </w:t>
      </w:r>
      <w:r w:rsidR="0041193F">
        <w:rPr>
          <w:rFonts w:ascii="Times New Roman" w:hAnsi="Times New Roman"/>
          <w:snapToGrid/>
          <w:sz w:val="24"/>
          <w:szCs w:val="24"/>
        </w:rPr>
        <w:t xml:space="preserve">in the reports </w:t>
      </w:r>
      <w:r w:rsidRPr="005F37C1">
        <w:rPr>
          <w:rFonts w:ascii="Times New Roman" w:hAnsi="Times New Roman"/>
          <w:snapToGrid/>
          <w:sz w:val="24"/>
          <w:szCs w:val="24"/>
        </w:rPr>
        <w:t xml:space="preserve">submitted by the P&amp;As.  No duplication was found.  </w:t>
      </w:r>
      <w:r w:rsidR="0041193F">
        <w:rPr>
          <w:rFonts w:ascii="Times New Roman" w:hAnsi="Times New Roman"/>
          <w:snapToGrid/>
          <w:sz w:val="24"/>
          <w:szCs w:val="24"/>
        </w:rPr>
        <w:t>T</w:t>
      </w:r>
      <w:r w:rsidRPr="005F37C1">
        <w:rPr>
          <w:rFonts w:ascii="Times New Roman" w:hAnsi="Times New Roman"/>
          <w:snapToGrid/>
          <w:sz w:val="24"/>
          <w:szCs w:val="24"/>
        </w:rPr>
        <w:t xml:space="preserve">he PPR is retrospective, showing how the </w:t>
      </w:r>
      <w:r w:rsidR="00B96074">
        <w:rPr>
          <w:rFonts w:ascii="Times New Roman" w:hAnsi="Times New Roman"/>
          <w:snapToGrid/>
          <w:sz w:val="24"/>
          <w:szCs w:val="24"/>
        </w:rPr>
        <w:t>P&amp;</w:t>
      </w:r>
      <w:proofErr w:type="gramStart"/>
      <w:r w:rsidR="00B96074">
        <w:rPr>
          <w:rFonts w:ascii="Times New Roman" w:hAnsi="Times New Roman"/>
          <w:snapToGrid/>
          <w:sz w:val="24"/>
          <w:szCs w:val="24"/>
        </w:rPr>
        <w:t>As</w:t>
      </w:r>
      <w:proofErr w:type="gramEnd"/>
      <w:r w:rsidR="00B96074">
        <w:rPr>
          <w:rFonts w:ascii="Times New Roman" w:hAnsi="Times New Roman"/>
          <w:snapToGrid/>
          <w:sz w:val="24"/>
          <w:szCs w:val="24"/>
        </w:rPr>
        <w:t xml:space="preserve"> actually performed in comparison to the </w:t>
      </w:r>
      <w:r w:rsidR="00333C71">
        <w:rPr>
          <w:rFonts w:ascii="Times New Roman" w:hAnsi="Times New Roman"/>
          <w:snapToGrid/>
          <w:sz w:val="24"/>
          <w:szCs w:val="24"/>
        </w:rPr>
        <w:t xml:space="preserve">prior year </w:t>
      </w:r>
      <w:r w:rsidR="00B96074">
        <w:rPr>
          <w:rFonts w:ascii="Times New Roman" w:hAnsi="Times New Roman"/>
          <w:snapToGrid/>
          <w:sz w:val="24"/>
          <w:szCs w:val="24"/>
        </w:rPr>
        <w:t>plan</w:t>
      </w:r>
      <w:r w:rsidRPr="005F37C1">
        <w:rPr>
          <w:rFonts w:ascii="Times New Roman" w:hAnsi="Times New Roman"/>
          <w:snapToGrid/>
          <w:sz w:val="24"/>
          <w:szCs w:val="24"/>
        </w:rPr>
        <w:t>.</w:t>
      </w:r>
    </w:p>
    <w:p w:rsidR="005F37C1" w:rsidRPr="005F37C1" w:rsidRDefault="005F37C1" w:rsidP="005F37C1">
      <w:pPr>
        <w:widowControl/>
        <w:ind w:left="720"/>
        <w:rPr>
          <w:rFonts w:ascii="Times New Roman" w:hAnsi="Times New Roman"/>
          <w:snapToGrid/>
          <w:sz w:val="24"/>
          <w:szCs w:val="24"/>
        </w:rPr>
      </w:pPr>
    </w:p>
    <w:p w:rsidR="0018436A" w:rsidRPr="003D7897" w:rsidRDefault="0018436A" w:rsidP="003D7897">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Impact on Small Businesses or Other Small Entities </w:t>
      </w:r>
    </w:p>
    <w:p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The information collected does not involve, nor result in assignment of burden to any small business or other small entity. It is collected from 57 State systems designated by the governor of each State.</w:t>
      </w:r>
    </w:p>
    <w:p w:rsidR="0018436A" w:rsidRPr="00D564DC" w:rsidRDefault="0018436A" w:rsidP="00D564DC">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Consequences of Collecting the Information Less Frequently </w:t>
      </w:r>
    </w:p>
    <w:p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The collection of data less frequently than that prescribed by the requirements of the Act and by the </w:t>
      </w:r>
      <w:r>
        <w:rPr>
          <w:rFonts w:ascii="Times New Roman" w:hAnsi="Times New Roman"/>
          <w:snapToGrid/>
          <w:sz w:val="24"/>
          <w:szCs w:val="24"/>
        </w:rPr>
        <w:t>r</w:t>
      </w:r>
      <w:r w:rsidRPr="005F37C1">
        <w:rPr>
          <w:rFonts w:ascii="Times New Roman" w:hAnsi="Times New Roman"/>
          <w:snapToGrid/>
          <w:sz w:val="24"/>
          <w:szCs w:val="24"/>
        </w:rPr>
        <w:t>egulations (annually), would violate</w:t>
      </w:r>
      <w:r w:rsidR="00B96074">
        <w:rPr>
          <w:rFonts w:ascii="Times New Roman" w:hAnsi="Times New Roman"/>
          <w:snapToGrid/>
          <w:sz w:val="24"/>
          <w:szCs w:val="24"/>
        </w:rPr>
        <w:t xml:space="preserve"> the</w:t>
      </w:r>
      <w:r w:rsidRPr="005F37C1">
        <w:rPr>
          <w:rFonts w:ascii="Times New Roman" w:hAnsi="Times New Roman"/>
          <w:snapToGrid/>
          <w:sz w:val="24"/>
          <w:szCs w:val="24"/>
        </w:rPr>
        <w:t xml:space="preserve"> statute and regulation.  Less frequent collection would also prevent the Department from meeting its obligations under </w:t>
      </w:r>
      <w:r w:rsidR="00525AD8">
        <w:rPr>
          <w:rFonts w:ascii="Times New Roman" w:hAnsi="Times New Roman"/>
          <w:snapToGrid/>
          <w:sz w:val="24"/>
          <w:szCs w:val="24"/>
        </w:rPr>
        <w:t>GPRAMA</w:t>
      </w:r>
      <w:r w:rsidRPr="005F37C1">
        <w:rPr>
          <w:rFonts w:ascii="Times New Roman" w:hAnsi="Times New Roman"/>
          <w:snapToGrid/>
          <w:sz w:val="24"/>
          <w:szCs w:val="24"/>
        </w:rPr>
        <w:t>.  Further, it would deny the Department the opportunity to have a year to year understanding of the P&amp;A planning process in each State for purposes of providing technical assistance</w:t>
      </w:r>
      <w:r w:rsidR="00B96074">
        <w:rPr>
          <w:rFonts w:ascii="Times New Roman" w:hAnsi="Times New Roman"/>
          <w:snapToGrid/>
          <w:sz w:val="24"/>
          <w:szCs w:val="24"/>
        </w:rPr>
        <w:t xml:space="preserve">.  In addition, the </w:t>
      </w:r>
      <w:r w:rsidR="00333C71">
        <w:rPr>
          <w:rFonts w:ascii="Times New Roman" w:hAnsi="Times New Roman"/>
          <w:snapToGrid/>
          <w:sz w:val="24"/>
          <w:szCs w:val="24"/>
        </w:rPr>
        <w:t xml:space="preserve">annual </w:t>
      </w:r>
      <w:r w:rsidR="00B96074">
        <w:rPr>
          <w:rFonts w:ascii="Times New Roman" w:hAnsi="Times New Roman"/>
          <w:snapToGrid/>
          <w:sz w:val="24"/>
          <w:szCs w:val="24"/>
        </w:rPr>
        <w:t>reports provide ongoing data on the performance of the P&amp;</w:t>
      </w:r>
      <w:proofErr w:type="gramStart"/>
      <w:r w:rsidR="00B96074">
        <w:rPr>
          <w:rFonts w:ascii="Times New Roman" w:hAnsi="Times New Roman"/>
          <w:snapToGrid/>
          <w:sz w:val="24"/>
          <w:szCs w:val="24"/>
        </w:rPr>
        <w:t>As</w:t>
      </w:r>
      <w:proofErr w:type="gramEnd"/>
      <w:r w:rsidR="00B96074">
        <w:rPr>
          <w:rFonts w:ascii="Times New Roman" w:hAnsi="Times New Roman"/>
          <w:snapToGrid/>
          <w:sz w:val="24"/>
          <w:szCs w:val="24"/>
        </w:rPr>
        <w:t xml:space="preserve"> in terms of </w:t>
      </w:r>
      <w:r w:rsidRPr="005F37C1">
        <w:rPr>
          <w:rFonts w:ascii="Times New Roman" w:hAnsi="Times New Roman"/>
          <w:snapToGrid/>
          <w:sz w:val="24"/>
          <w:szCs w:val="24"/>
        </w:rPr>
        <w:t xml:space="preserve">the requirements of the Act </w:t>
      </w:r>
      <w:r w:rsidR="00B96074">
        <w:rPr>
          <w:rFonts w:ascii="Times New Roman" w:hAnsi="Times New Roman"/>
          <w:snapToGrid/>
          <w:sz w:val="24"/>
          <w:szCs w:val="24"/>
        </w:rPr>
        <w:t>and performance outcomes</w:t>
      </w:r>
      <w:r w:rsidRPr="005F37C1">
        <w:rPr>
          <w:rFonts w:ascii="Times New Roman" w:hAnsi="Times New Roman"/>
          <w:snapToGrid/>
          <w:sz w:val="24"/>
          <w:szCs w:val="24"/>
        </w:rPr>
        <w:t>.</w:t>
      </w:r>
    </w:p>
    <w:p w:rsidR="005F37C1" w:rsidRPr="00AD0DE4" w:rsidRDefault="005F37C1" w:rsidP="00AD0DE4">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Special Circumstances Relating to the Guidelines of 5 CFR 1320.5 </w:t>
      </w:r>
    </w:p>
    <w:p w:rsidR="00E41F46" w:rsidRPr="00E41F46" w:rsidRDefault="00E41F46" w:rsidP="00E41F46">
      <w:pPr>
        <w:widowControl/>
        <w:ind w:left="720"/>
        <w:rPr>
          <w:rFonts w:ascii="Times New Roman" w:hAnsi="Times New Roman"/>
          <w:snapToGrid/>
          <w:sz w:val="24"/>
          <w:szCs w:val="24"/>
        </w:rPr>
      </w:pPr>
      <w:r w:rsidRPr="00E41F46">
        <w:rPr>
          <w:rFonts w:ascii="Times New Roman" w:hAnsi="Times New Roman"/>
          <w:snapToGrid/>
          <w:sz w:val="24"/>
          <w:szCs w:val="24"/>
        </w:rPr>
        <w:t>There are no special circumstances governing the collection of data that are inconsistent with the estab</w:t>
      </w:r>
      <w:r>
        <w:rPr>
          <w:rFonts w:ascii="Times New Roman" w:hAnsi="Times New Roman"/>
          <w:snapToGrid/>
          <w:sz w:val="24"/>
          <w:szCs w:val="24"/>
        </w:rPr>
        <w:t>lished guidelines pursuant to 5 CFR </w:t>
      </w:r>
      <w:r w:rsidRPr="00E41F46">
        <w:rPr>
          <w:rFonts w:ascii="Times New Roman" w:hAnsi="Times New Roman"/>
          <w:snapToGrid/>
          <w:sz w:val="24"/>
          <w:szCs w:val="24"/>
        </w:rPr>
        <w:t>13</w:t>
      </w:r>
      <w:r>
        <w:rPr>
          <w:rFonts w:ascii="Times New Roman" w:hAnsi="Times New Roman"/>
          <w:snapToGrid/>
          <w:sz w:val="24"/>
          <w:szCs w:val="24"/>
        </w:rPr>
        <w:t>20.5</w:t>
      </w:r>
      <w:r w:rsidRPr="00E41F46">
        <w:rPr>
          <w:rFonts w:ascii="Times New Roman" w:hAnsi="Times New Roman"/>
          <w:snapToGrid/>
          <w:sz w:val="24"/>
          <w:szCs w:val="24"/>
        </w:rPr>
        <w:t>.</w:t>
      </w:r>
    </w:p>
    <w:p w:rsidR="00E570A9" w:rsidRPr="00E41F46" w:rsidRDefault="00E570A9" w:rsidP="00E41F46">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Comments in Response to the Federal Register Notice and Efforts to Consult Outside the Agency </w:t>
      </w:r>
    </w:p>
    <w:p w:rsidR="00A401A0" w:rsidRDefault="00A401A0" w:rsidP="00A401A0">
      <w:pPr>
        <w:widowControl/>
        <w:ind w:left="720"/>
        <w:rPr>
          <w:rFonts w:ascii="Times New Roman" w:hAnsi="Times New Roman"/>
          <w:snapToGrid/>
          <w:sz w:val="24"/>
          <w:szCs w:val="24"/>
        </w:rPr>
      </w:pPr>
      <w:r w:rsidRPr="00A401A0">
        <w:rPr>
          <w:rFonts w:ascii="Times New Roman" w:hAnsi="Times New Roman"/>
          <w:snapToGrid/>
          <w:sz w:val="24"/>
          <w:szCs w:val="24"/>
        </w:rPr>
        <w:t xml:space="preserve">A notice was published in the Federal Register in Vol. 82, No. 10, pages 4888-4889, on January 17, 2017, announcing that ACL was requesting approval of a new data collection. ACL has not received any comments expressing concern related to the new </w:t>
      </w:r>
      <w:r w:rsidRPr="00A401A0">
        <w:rPr>
          <w:rFonts w:ascii="Times New Roman" w:hAnsi="Times New Roman"/>
          <w:snapToGrid/>
          <w:sz w:val="24"/>
          <w:szCs w:val="24"/>
        </w:rPr>
        <w:lastRenderedPageBreak/>
        <w:t xml:space="preserve">PPR reporting forms for the P&amp;A program. However, one minor technical change was made to the PATBI PPR template to clarify an information collection item on the form in Part I, section </w:t>
      </w:r>
      <w:proofErr w:type="gramStart"/>
      <w:r w:rsidRPr="00A401A0">
        <w:rPr>
          <w:rFonts w:ascii="Times New Roman" w:hAnsi="Times New Roman"/>
          <w:snapToGrid/>
          <w:sz w:val="24"/>
          <w:szCs w:val="24"/>
        </w:rPr>
        <w:t>C(</w:t>
      </w:r>
      <w:proofErr w:type="gramEnd"/>
      <w:r w:rsidRPr="00A401A0">
        <w:rPr>
          <w:rFonts w:ascii="Times New Roman" w:hAnsi="Times New Roman"/>
          <w:snapToGrid/>
          <w:sz w:val="24"/>
          <w:szCs w:val="24"/>
        </w:rPr>
        <w:t xml:space="preserve">1)– Public Relations and Outreach.  ACL added the language “racial and ethnic” before the word “minority” to the section C(1) question, “Describe the agency’s outreach efforts to previously unserved or underserved individuals, including minority communities” to make sure the question is clear. </w:t>
      </w:r>
    </w:p>
    <w:p w:rsidR="00A401A0" w:rsidRPr="00A401A0" w:rsidRDefault="00A401A0" w:rsidP="00A401A0">
      <w:pPr>
        <w:widowControl/>
        <w:ind w:left="720"/>
        <w:rPr>
          <w:rFonts w:ascii="Times New Roman" w:hAnsi="Times New Roman"/>
          <w:snapToGrid/>
          <w:sz w:val="24"/>
          <w:szCs w:val="24"/>
        </w:rPr>
      </w:pPr>
    </w:p>
    <w:p w:rsidR="00DC5306" w:rsidRDefault="00A401A0" w:rsidP="00A401A0">
      <w:pPr>
        <w:widowControl/>
        <w:ind w:left="720"/>
        <w:rPr>
          <w:rFonts w:ascii="Times New Roman" w:hAnsi="Times New Roman"/>
          <w:snapToGrid/>
          <w:sz w:val="24"/>
          <w:szCs w:val="24"/>
        </w:rPr>
      </w:pPr>
      <w:r w:rsidRPr="00A401A0">
        <w:rPr>
          <w:rFonts w:ascii="Times New Roman" w:hAnsi="Times New Roman"/>
          <w:snapToGrid/>
          <w:sz w:val="24"/>
          <w:szCs w:val="24"/>
        </w:rPr>
        <w:t>The PPR will allow federal staff to review the programs performance and achievement and assist where technical assistance is needed. Additionally, information contained in the PPR provides performance measures based on the annual reports. The performance data is reported to Congress under the Government Performance and Results Act Modernization Act (GPRAMA).</w:t>
      </w:r>
    </w:p>
    <w:p w:rsidR="00A401A0" w:rsidRPr="00DC5306" w:rsidRDefault="00A401A0" w:rsidP="00A401A0">
      <w:pPr>
        <w:widowControl/>
        <w:ind w:left="720"/>
        <w:rPr>
          <w:rFonts w:ascii="Times New Roman" w:hAnsi="Times New Roman"/>
          <w:snapToGrid/>
          <w:sz w:val="24"/>
          <w:szCs w:val="24"/>
        </w:rPr>
      </w:pPr>
    </w:p>
    <w:p w:rsidR="009B5046" w:rsidRDefault="009B5046" w:rsidP="009B5046">
      <w:pPr>
        <w:widowControl/>
        <w:ind w:left="720"/>
        <w:rPr>
          <w:rFonts w:ascii="Times New Roman" w:hAnsi="Times New Roman"/>
          <w:sz w:val="24"/>
          <w:szCs w:val="24"/>
        </w:rPr>
      </w:pPr>
      <w:r>
        <w:rPr>
          <w:rFonts w:ascii="Times New Roman" w:hAnsi="Times New Roman"/>
          <w:sz w:val="24"/>
          <w:szCs w:val="24"/>
        </w:rPr>
        <w:t xml:space="preserve">Issues regarding the functionality and usability of the proposed data collection for the PPR were discussed with a sample of five grantees, and their input was addressed in the development of the ICR.  The format reflects minor changes suggested by this group.  </w:t>
      </w:r>
    </w:p>
    <w:p w:rsidR="00DC5306" w:rsidRPr="00CA26B5" w:rsidRDefault="00DC5306" w:rsidP="00525AD8">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Explanation of Any Payment or Gift to Respondents </w:t>
      </w:r>
    </w:p>
    <w:p w:rsidR="001D2008" w:rsidRPr="001D2008" w:rsidRDefault="001D2008" w:rsidP="001D2008">
      <w:pPr>
        <w:widowControl/>
        <w:ind w:left="720"/>
        <w:rPr>
          <w:rFonts w:ascii="Times New Roman" w:hAnsi="Times New Roman"/>
          <w:snapToGrid/>
          <w:sz w:val="24"/>
          <w:szCs w:val="24"/>
        </w:rPr>
      </w:pPr>
      <w:r w:rsidRPr="001D2008">
        <w:rPr>
          <w:rFonts w:ascii="Times New Roman" w:hAnsi="Times New Roman"/>
          <w:snapToGrid/>
          <w:sz w:val="24"/>
          <w:szCs w:val="24"/>
        </w:rPr>
        <w:t>No payments or gifts to respondents are planned.</w:t>
      </w:r>
    </w:p>
    <w:p w:rsidR="0018436A" w:rsidRDefault="0018436A" w:rsidP="001D2008">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Assurance of Confidentiality Provided to Respondents </w:t>
      </w:r>
    </w:p>
    <w:p w:rsidR="00FB3EB2" w:rsidRPr="00FB3EB2" w:rsidRDefault="00FB3EB2" w:rsidP="00FB3EB2">
      <w:pPr>
        <w:widowControl/>
        <w:ind w:left="720"/>
        <w:rPr>
          <w:rFonts w:ascii="Times New Roman" w:hAnsi="Times New Roman"/>
          <w:snapToGrid/>
          <w:sz w:val="24"/>
          <w:szCs w:val="24"/>
        </w:rPr>
      </w:pPr>
      <w:r w:rsidRPr="00FB3EB2">
        <w:rPr>
          <w:rFonts w:ascii="Times New Roman" w:hAnsi="Times New Roman"/>
          <w:snapToGrid/>
          <w:sz w:val="24"/>
          <w:szCs w:val="24"/>
        </w:rPr>
        <w:t>There are no data collected that requires confidentiality, and hence no assurance of confidentiality is required.</w:t>
      </w:r>
      <w:r w:rsidR="00B012DF">
        <w:rPr>
          <w:rFonts w:ascii="Times New Roman" w:hAnsi="Times New Roman"/>
          <w:snapToGrid/>
          <w:sz w:val="24"/>
          <w:szCs w:val="24"/>
        </w:rPr>
        <w:t xml:space="preserve">  All data is aggregated by the States, and no individual data is provided to the Federal Government.</w:t>
      </w:r>
      <w:r w:rsidR="00D429B3">
        <w:rPr>
          <w:rFonts w:ascii="Times New Roman" w:hAnsi="Times New Roman"/>
          <w:snapToGrid/>
          <w:sz w:val="24"/>
          <w:szCs w:val="24"/>
        </w:rPr>
        <w:t xml:space="preserve">  </w:t>
      </w:r>
    </w:p>
    <w:p w:rsidR="0018436A" w:rsidRPr="00FB3EB2" w:rsidRDefault="0018436A" w:rsidP="00FB3EB2">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Justification for Sensitive Questions </w:t>
      </w:r>
    </w:p>
    <w:p w:rsidR="000E3D4A" w:rsidRPr="000E3D4A" w:rsidRDefault="000E3D4A" w:rsidP="000E3D4A">
      <w:pPr>
        <w:widowControl/>
        <w:ind w:left="720"/>
        <w:rPr>
          <w:rFonts w:ascii="Times New Roman" w:hAnsi="Times New Roman"/>
          <w:snapToGrid/>
          <w:sz w:val="24"/>
          <w:szCs w:val="24"/>
        </w:rPr>
      </w:pPr>
      <w:r w:rsidRPr="000E3D4A">
        <w:rPr>
          <w:rFonts w:ascii="Times New Roman" w:hAnsi="Times New Roman"/>
          <w:snapToGrid/>
          <w:sz w:val="24"/>
          <w:szCs w:val="24"/>
        </w:rPr>
        <w:t xml:space="preserve">No data is collected </w:t>
      </w:r>
      <w:r w:rsidR="00B012DF">
        <w:rPr>
          <w:rFonts w:ascii="Times New Roman" w:hAnsi="Times New Roman"/>
          <w:snapToGrid/>
          <w:sz w:val="24"/>
          <w:szCs w:val="24"/>
        </w:rPr>
        <w:t xml:space="preserve">from States </w:t>
      </w:r>
      <w:r w:rsidRPr="000E3D4A">
        <w:rPr>
          <w:rFonts w:ascii="Times New Roman" w:hAnsi="Times New Roman"/>
          <w:snapToGrid/>
          <w:sz w:val="24"/>
          <w:szCs w:val="24"/>
        </w:rPr>
        <w:t>that is of a sensitive nature.</w:t>
      </w:r>
    </w:p>
    <w:p w:rsidR="00AE1DC9" w:rsidRDefault="00AE1DC9" w:rsidP="000E3D4A">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Annualized Burden Hours and Costs </w:t>
      </w:r>
    </w:p>
    <w:p w:rsid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following</w:t>
      </w:r>
      <w:r w:rsidR="00696244">
        <w:rPr>
          <w:rFonts w:ascii="Times New Roman" w:hAnsi="Times New Roman"/>
          <w:snapToGrid/>
          <w:sz w:val="24"/>
          <w:szCs w:val="24"/>
        </w:rPr>
        <w:t xml:space="preserve"> table summarizes </w:t>
      </w:r>
      <w:r w:rsidRPr="00AE1DC9">
        <w:rPr>
          <w:rFonts w:ascii="Times New Roman" w:hAnsi="Times New Roman"/>
          <w:snapToGrid/>
          <w:sz w:val="24"/>
          <w:szCs w:val="24"/>
        </w:rPr>
        <w:t>the burden</w:t>
      </w:r>
      <w:r w:rsidR="00696244">
        <w:rPr>
          <w:rFonts w:ascii="Times New Roman" w:hAnsi="Times New Roman"/>
          <w:snapToGrid/>
          <w:sz w:val="24"/>
          <w:szCs w:val="24"/>
        </w:rPr>
        <w:t xml:space="preserve"> hour</w:t>
      </w:r>
      <w:r w:rsidRPr="00AE1DC9">
        <w:rPr>
          <w:rFonts w:ascii="Times New Roman" w:hAnsi="Times New Roman"/>
          <w:snapToGrid/>
          <w:sz w:val="24"/>
          <w:szCs w:val="24"/>
        </w:rPr>
        <w:t xml:space="preserve"> estimate for this information collection:</w:t>
      </w:r>
    </w:p>
    <w:p w:rsidR="00636C18" w:rsidRDefault="00636C18" w:rsidP="00AE1DC9">
      <w:pPr>
        <w:widowControl/>
        <w:ind w:left="720"/>
        <w:rPr>
          <w:rFonts w:ascii="Times New Roman" w:hAnsi="Times New Roman"/>
          <w:snapToGrid/>
          <w:sz w:val="24"/>
          <w:szCs w:val="24"/>
        </w:rPr>
      </w:pPr>
    </w:p>
    <w:tbl>
      <w:tblPr>
        <w:tblW w:w="0" w:type="auto"/>
        <w:tblInd w:w="864" w:type="dxa"/>
        <w:tblLayout w:type="fixed"/>
        <w:tblLook w:val="00A0" w:firstRow="1" w:lastRow="0" w:firstColumn="1" w:lastColumn="0" w:noHBand="0" w:noVBand="0"/>
      </w:tblPr>
      <w:tblGrid>
        <w:gridCol w:w="1170"/>
        <w:gridCol w:w="2610"/>
        <w:gridCol w:w="2844"/>
        <w:gridCol w:w="1476"/>
      </w:tblGrid>
      <w:tr w:rsidR="00AE1DC9" w:rsidRPr="00AE1DC9" w:rsidTr="001B5DCD">
        <w:trPr>
          <w:trHeight w:val="609"/>
        </w:trPr>
        <w:tc>
          <w:tcPr>
            <w:tcW w:w="1170" w:type="dxa"/>
            <w:tcBorders>
              <w:top w:val="single" w:sz="12" w:space="0" w:color="808080"/>
              <w:bottom w:val="single" w:sz="6" w:space="0" w:color="808080"/>
            </w:tcBorders>
          </w:tcPr>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w:t>
            </w:r>
          </w:p>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States</w:t>
            </w:r>
          </w:p>
        </w:tc>
        <w:tc>
          <w:tcPr>
            <w:tcW w:w="2610" w:type="dxa"/>
            <w:tcBorders>
              <w:top w:val="single" w:sz="12" w:space="0" w:color="808080"/>
              <w:bottom w:val="single" w:sz="6" w:space="0" w:color="808080"/>
            </w:tcBorders>
          </w:tcPr>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 Responses</w:t>
            </w:r>
          </w:p>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2844" w:type="dxa"/>
            <w:tcBorders>
              <w:top w:val="single" w:sz="12" w:space="0" w:color="808080"/>
              <w:bottom w:val="single" w:sz="6" w:space="0" w:color="808080"/>
            </w:tcBorders>
          </w:tcPr>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Average Burden Hours</w:t>
            </w:r>
          </w:p>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1476" w:type="dxa"/>
            <w:tcBorders>
              <w:top w:val="single" w:sz="12" w:space="0" w:color="808080"/>
              <w:bottom w:val="single" w:sz="6" w:space="0" w:color="808080"/>
            </w:tcBorders>
          </w:tcPr>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Total</w:t>
            </w:r>
          </w:p>
          <w:p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Hours</w:t>
            </w:r>
          </w:p>
        </w:tc>
      </w:tr>
      <w:tr w:rsidR="00AE1DC9" w:rsidRPr="00AE1DC9" w:rsidTr="008C2070">
        <w:tc>
          <w:tcPr>
            <w:tcW w:w="1170" w:type="dxa"/>
            <w:tcBorders>
              <w:bottom w:val="single" w:sz="12" w:space="0" w:color="808080"/>
            </w:tcBorders>
          </w:tcPr>
          <w:p w:rsidR="00AE1DC9" w:rsidRPr="00AE1DC9" w:rsidRDefault="00AE1DC9" w:rsidP="008C2070">
            <w:pPr>
              <w:widowControl/>
              <w:ind w:left="134"/>
              <w:rPr>
                <w:rFonts w:ascii="Times New Roman" w:hAnsi="Times New Roman"/>
                <w:snapToGrid/>
                <w:sz w:val="24"/>
                <w:szCs w:val="24"/>
              </w:rPr>
            </w:pPr>
            <w:r w:rsidRPr="00AE1DC9">
              <w:rPr>
                <w:rFonts w:ascii="Times New Roman" w:hAnsi="Times New Roman"/>
                <w:snapToGrid/>
                <w:sz w:val="24"/>
                <w:szCs w:val="24"/>
              </w:rPr>
              <w:t>5</w:t>
            </w:r>
            <w:r w:rsidR="00DC5306">
              <w:rPr>
                <w:rFonts w:ascii="Times New Roman" w:hAnsi="Times New Roman"/>
                <w:snapToGrid/>
                <w:sz w:val="24"/>
                <w:szCs w:val="24"/>
              </w:rPr>
              <w:t>7</w:t>
            </w:r>
          </w:p>
        </w:tc>
        <w:tc>
          <w:tcPr>
            <w:tcW w:w="2610" w:type="dxa"/>
            <w:tcBorders>
              <w:bottom w:val="single" w:sz="12" w:space="0" w:color="808080"/>
            </w:tcBorders>
          </w:tcPr>
          <w:p w:rsidR="00AE1DC9" w:rsidRPr="00AE1DC9" w:rsidRDefault="00AE1DC9" w:rsidP="008C2070">
            <w:pPr>
              <w:widowControl/>
              <w:ind w:left="252"/>
              <w:rPr>
                <w:rFonts w:ascii="Times New Roman" w:hAnsi="Times New Roman"/>
                <w:snapToGrid/>
                <w:sz w:val="24"/>
                <w:szCs w:val="24"/>
              </w:rPr>
            </w:pPr>
            <w:r w:rsidRPr="00AE1DC9">
              <w:rPr>
                <w:rFonts w:ascii="Times New Roman" w:hAnsi="Times New Roman"/>
                <w:snapToGrid/>
                <w:sz w:val="24"/>
                <w:szCs w:val="24"/>
              </w:rPr>
              <w:t>1</w:t>
            </w:r>
          </w:p>
        </w:tc>
        <w:tc>
          <w:tcPr>
            <w:tcW w:w="2844" w:type="dxa"/>
            <w:tcBorders>
              <w:bottom w:val="single" w:sz="12" w:space="0" w:color="808080"/>
            </w:tcBorders>
          </w:tcPr>
          <w:p w:rsidR="00AE1DC9" w:rsidRPr="00AE1DC9" w:rsidRDefault="0041193F" w:rsidP="00853298">
            <w:pPr>
              <w:widowControl/>
              <w:ind w:left="162"/>
              <w:rPr>
                <w:rFonts w:ascii="Times New Roman" w:hAnsi="Times New Roman"/>
                <w:snapToGrid/>
                <w:sz w:val="24"/>
                <w:szCs w:val="24"/>
              </w:rPr>
            </w:pPr>
            <w:r>
              <w:rPr>
                <w:rFonts w:ascii="Times New Roman" w:hAnsi="Times New Roman"/>
                <w:snapToGrid/>
                <w:sz w:val="24"/>
                <w:szCs w:val="24"/>
              </w:rPr>
              <w:t>16</w:t>
            </w:r>
          </w:p>
        </w:tc>
        <w:tc>
          <w:tcPr>
            <w:tcW w:w="1476" w:type="dxa"/>
            <w:tcBorders>
              <w:bottom w:val="single" w:sz="12" w:space="0" w:color="808080"/>
            </w:tcBorders>
          </w:tcPr>
          <w:p w:rsidR="00AE1DC9" w:rsidRPr="00AE1DC9" w:rsidRDefault="0041193F" w:rsidP="00853298">
            <w:pPr>
              <w:widowControl/>
              <w:ind w:left="160"/>
              <w:rPr>
                <w:rFonts w:ascii="Times New Roman" w:hAnsi="Times New Roman"/>
                <w:snapToGrid/>
                <w:sz w:val="24"/>
                <w:szCs w:val="24"/>
              </w:rPr>
            </w:pPr>
            <w:r>
              <w:rPr>
                <w:rFonts w:ascii="Times New Roman" w:hAnsi="Times New Roman"/>
                <w:snapToGrid/>
                <w:sz w:val="24"/>
                <w:szCs w:val="24"/>
              </w:rPr>
              <w:t>912</w:t>
            </w:r>
          </w:p>
        </w:tc>
      </w:tr>
    </w:tbl>
    <w:p w:rsidR="00AE1DC9" w:rsidRDefault="00AE1DC9" w:rsidP="00AE1DC9">
      <w:pPr>
        <w:widowControl/>
        <w:ind w:left="720"/>
        <w:rPr>
          <w:rFonts w:ascii="Times New Roman" w:hAnsi="Times New Roman"/>
          <w:snapToGrid/>
          <w:sz w:val="24"/>
          <w:szCs w:val="24"/>
        </w:rPr>
      </w:pPr>
    </w:p>
    <w:p w:rsidR="00DC5306" w:rsidRPr="00DC5306" w:rsidRDefault="00DC5306" w:rsidP="00DC5306">
      <w:pPr>
        <w:widowControl/>
        <w:ind w:left="720"/>
        <w:rPr>
          <w:rFonts w:ascii="Times New Roman" w:hAnsi="Times New Roman"/>
          <w:snapToGrid/>
          <w:sz w:val="24"/>
          <w:szCs w:val="24"/>
        </w:rPr>
      </w:pPr>
      <w:r w:rsidRPr="00DC5306">
        <w:rPr>
          <w:rFonts w:ascii="Times New Roman" w:hAnsi="Times New Roman"/>
          <w:snapToGrid/>
          <w:sz w:val="24"/>
          <w:szCs w:val="24"/>
        </w:rPr>
        <w:lastRenderedPageBreak/>
        <w:t>The estimate</w:t>
      </w:r>
      <w:r w:rsidR="00853298">
        <w:rPr>
          <w:rFonts w:ascii="Times New Roman" w:hAnsi="Times New Roman"/>
          <w:snapToGrid/>
          <w:sz w:val="24"/>
          <w:szCs w:val="24"/>
        </w:rPr>
        <w:t>s</w:t>
      </w:r>
      <w:r w:rsidRPr="00DC5306">
        <w:rPr>
          <w:rFonts w:ascii="Times New Roman" w:hAnsi="Times New Roman"/>
          <w:snapToGrid/>
          <w:sz w:val="24"/>
          <w:szCs w:val="24"/>
        </w:rPr>
        <w:t xml:space="preserve"> of annual burden to the States var</w:t>
      </w:r>
      <w:r w:rsidR="00853298">
        <w:rPr>
          <w:rFonts w:ascii="Times New Roman" w:hAnsi="Times New Roman"/>
          <w:snapToGrid/>
          <w:sz w:val="24"/>
          <w:szCs w:val="24"/>
        </w:rPr>
        <w:t>y</w:t>
      </w:r>
      <w:r w:rsidRPr="00DC5306">
        <w:rPr>
          <w:rFonts w:ascii="Times New Roman" w:hAnsi="Times New Roman"/>
          <w:snapToGrid/>
          <w:sz w:val="24"/>
          <w:szCs w:val="24"/>
        </w:rPr>
        <w:t xml:space="preserve"> greatly </w:t>
      </w:r>
      <w:r w:rsidR="00853298">
        <w:rPr>
          <w:rFonts w:ascii="Times New Roman" w:hAnsi="Times New Roman"/>
          <w:snapToGrid/>
          <w:sz w:val="24"/>
          <w:szCs w:val="24"/>
        </w:rPr>
        <w:t xml:space="preserve">in accordance </w:t>
      </w:r>
      <w:r w:rsidRPr="00DC5306">
        <w:rPr>
          <w:rFonts w:ascii="Times New Roman" w:hAnsi="Times New Roman"/>
          <w:snapToGrid/>
          <w:sz w:val="24"/>
          <w:szCs w:val="24"/>
        </w:rPr>
        <w:t>with the size, program complexity</w:t>
      </w:r>
      <w:r w:rsidR="00853298">
        <w:rPr>
          <w:rFonts w:ascii="Times New Roman" w:hAnsi="Times New Roman"/>
          <w:snapToGrid/>
          <w:sz w:val="24"/>
          <w:szCs w:val="24"/>
        </w:rPr>
        <w:t>,</w:t>
      </w:r>
      <w:r w:rsidRPr="00DC5306">
        <w:rPr>
          <w:rFonts w:ascii="Times New Roman" w:hAnsi="Times New Roman"/>
          <w:snapToGrid/>
          <w:sz w:val="24"/>
          <w:szCs w:val="24"/>
        </w:rPr>
        <w:t xml:space="preserve"> and </w:t>
      </w:r>
      <w:r w:rsidR="00853298">
        <w:rPr>
          <w:rFonts w:ascii="Times New Roman" w:hAnsi="Times New Roman"/>
          <w:snapToGrid/>
          <w:sz w:val="24"/>
          <w:szCs w:val="24"/>
        </w:rPr>
        <w:t xml:space="preserve">technological capacity of </w:t>
      </w:r>
      <w:r w:rsidRPr="00DC5306">
        <w:rPr>
          <w:rFonts w:ascii="Times New Roman" w:hAnsi="Times New Roman"/>
          <w:snapToGrid/>
          <w:sz w:val="24"/>
          <w:szCs w:val="24"/>
        </w:rPr>
        <w:t xml:space="preserve">the States.  Consultations with selected States indicated that </w:t>
      </w:r>
      <w:r w:rsidR="00333C71">
        <w:rPr>
          <w:rFonts w:ascii="Times New Roman" w:hAnsi="Times New Roman"/>
          <w:snapToGrid/>
          <w:sz w:val="24"/>
          <w:szCs w:val="24"/>
        </w:rPr>
        <w:t>the</w:t>
      </w:r>
      <w:r w:rsidRPr="00DC5306">
        <w:rPr>
          <w:rFonts w:ascii="Times New Roman" w:hAnsi="Times New Roman"/>
          <w:snapToGrid/>
          <w:sz w:val="24"/>
          <w:szCs w:val="24"/>
        </w:rPr>
        <w:t xml:space="preserve"> range of times would vary.  The current estimate of annual burden is from </w:t>
      </w:r>
      <w:r w:rsidR="00D86C46">
        <w:rPr>
          <w:rFonts w:ascii="Times New Roman" w:hAnsi="Times New Roman"/>
          <w:snapToGrid/>
          <w:sz w:val="24"/>
          <w:szCs w:val="24"/>
        </w:rPr>
        <w:t>1</w:t>
      </w:r>
      <w:r w:rsidRPr="00DC5306">
        <w:rPr>
          <w:rFonts w:ascii="Times New Roman" w:hAnsi="Times New Roman"/>
          <w:snapToGrid/>
          <w:sz w:val="24"/>
          <w:szCs w:val="24"/>
        </w:rPr>
        <w:t xml:space="preserve"> to </w:t>
      </w:r>
      <w:r w:rsidR="00D86C46">
        <w:rPr>
          <w:rFonts w:ascii="Times New Roman" w:hAnsi="Times New Roman"/>
          <w:snapToGrid/>
          <w:sz w:val="24"/>
          <w:szCs w:val="24"/>
        </w:rPr>
        <w:t>2</w:t>
      </w:r>
      <w:r w:rsidRPr="00DC5306">
        <w:rPr>
          <w:rFonts w:ascii="Times New Roman" w:hAnsi="Times New Roman"/>
          <w:snapToGrid/>
          <w:sz w:val="24"/>
          <w:szCs w:val="24"/>
        </w:rPr>
        <w:t xml:space="preserve"> </w:t>
      </w:r>
      <w:r w:rsidR="00CB22D2">
        <w:rPr>
          <w:rFonts w:ascii="Times New Roman" w:hAnsi="Times New Roman"/>
          <w:snapToGrid/>
          <w:sz w:val="24"/>
          <w:szCs w:val="24"/>
        </w:rPr>
        <w:t>eight</w:t>
      </w:r>
      <w:r w:rsidRPr="00DC5306">
        <w:rPr>
          <w:rFonts w:ascii="Times New Roman" w:hAnsi="Times New Roman"/>
          <w:snapToGrid/>
          <w:sz w:val="24"/>
          <w:szCs w:val="24"/>
        </w:rPr>
        <w:t xml:space="preserve">-hour days with </w:t>
      </w:r>
      <w:r w:rsidR="00853298">
        <w:rPr>
          <w:rFonts w:ascii="Times New Roman" w:hAnsi="Times New Roman"/>
          <w:snapToGrid/>
          <w:sz w:val="24"/>
          <w:szCs w:val="24"/>
        </w:rPr>
        <w:t xml:space="preserve">the </w:t>
      </w:r>
      <w:r w:rsidRPr="00DC5306">
        <w:rPr>
          <w:rFonts w:ascii="Times New Roman" w:hAnsi="Times New Roman"/>
          <w:snapToGrid/>
          <w:sz w:val="24"/>
          <w:szCs w:val="24"/>
        </w:rPr>
        <w:t xml:space="preserve">most common figure of about </w:t>
      </w:r>
      <w:r w:rsidR="00D86C46">
        <w:rPr>
          <w:rFonts w:ascii="Times New Roman" w:hAnsi="Times New Roman"/>
          <w:snapToGrid/>
          <w:sz w:val="24"/>
          <w:szCs w:val="24"/>
        </w:rPr>
        <w:t xml:space="preserve">two </w:t>
      </w:r>
      <w:r w:rsidR="00CB22D2">
        <w:rPr>
          <w:rFonts w:ascii="Times New Roman" w:hAnsi="Times New Roman"/>
          <w:snapToGrid/>
          <w:sz w:val="24"/>
          <w:szCs w:val="24"/>
        </w:rPr>
        <w:t xml:space="preserve">eight </w:t>
      </w:r>
      <w:r w:rsidRPr="00DC5306">
        <w:rPr>
          <w:rFonts w:ascii="Times New Roman" w:hAnsi="Times New Roman"/>
          <w:snapToGrid/>
          <w:sz w:val="24"/>
          <w:szCs w:val="24"/>
        </w:rPr>
        <w:t>-hour days.  Hence, a mode of</w:t>
      </w:r>
      <w:r w:rsidR="00D86C46">
        <w:rPr>
          <w:rFonts w:ascii="Times New Roman" w:hAnsi="Times New Roman"/>
          <w:snapToGrid/>
          <w:sz w:val="24"/>
          <w:szCs w:val="24"/>
        </w:rPr>
        <w:t xml:space="preserve"> </w:t>
      </w:r>
      <w:r w:rsidR="007A2633">
        <w:rPr>
          <w:rFonts w:ascii="Times New Roman" w:hAnsi="Times New Roman"/>
          <w:snapToGrid/>
          <w:sz w:val="24"/>
          <w:szCs w:val="24"/>
        </w:rPr>
        <w:t xml:space="preserve">2 </w:t>
      </w:r>
      <w:r w:rsidRPr="00DC5306">
        <w:rPr>
          <w:rFonts w:ascii="Times New Roman" w:hAnsi="Times New Roman"/>
          <w:snapToGrid/>
          <w:sz w:val="24"/>
          <w:szCs w:val="24"/>
        </w:rPr>
        <w:t>days (</w:t>
      </w:r>
      <w:r w:rsidR="007A2633">
        <w:rPr>
          <w:rFonts w:ascii="Times New Roman" w:hAnsi="Times New Roman"/>
          <w:snapToGrid/>
          <w:sz w:val="24"/>
          <w:szCs w:val="24"/>
        </w:rPr>
        <w:t xml:space="preserve">16 </w:t>
      </w:r>
      <w:r w:rsidRPr="00DC5306">
        <w:rPr>
          <w:rFonts w:ascii="Times New Roman" w:hAnsi="Times New Roman"/>
          <w:snapToGrid/>
          <w:sz w:val="24"/>
          <w:szCs w:val="24"/>
        </w:rPr>
        <w:t>hours) is being used in these calculations.</w:t>
      </w:r>
      <w:r w:rsidR="008B5A4D">
        <w:rPr>
          <w:rFonts w:ascii="Times New Roman" w:hAnsi="Times New Roman"/>
          <w:snapToGrid/>
          <w:sz w:val="24"/>
          <w:szCs w:val="24"/>
        </w:rPr>
        <w:t xml:space="preserve">  </w:t>
      </w:r>
    </w:p>
    <w:p w:rsidR="00DC5306" w:rsidRPr="00DC5306" w:rsidRDefault="00DC5306" w:rsidP="00DC5306">
      <w:pPr>
        <w:widowControl/>
        <w:ind w:left="720"/>
        <w:rPr>
          <w:rFonts w:ascii="Times New Roman" w:hAnsi="Times New Roman"/>
          <w:snapToGrid/>
          <w:sz w:val="24"/>
          <w:szCs w:val="24"/>
        </w:rPr>
      </w:pPr>
    </w:p>
    <w:p w:rsidR="00DC5306" w:rsidRPr="00DC5306" w:rsidRDefault="00DC5306" w:rsidP="00DC5306">
      <w:pPr>
        <w:widowControl/>
        <w:ind w:left="720"/>
        <w:rPr>
          <w:rFonts w:ascii="Times New Roman" w:hAnsi="Times New Roman"/>
          <w:snapToGrid/>
          <w:sz w:val="24"/>
          <w:szCs w:val="24"/>
        </w:rPr>
      </w:pPr>
      <w:r w:rsidRPr="00DC5306">
        <w:rPr>
          <w:rFonts w:ascii="Times New Roman" w:hAnsi="Times New Roman"/>
          <w:snapToGrid/>
          <w:sz w:val="24"/>
          <w:szCs w:val="24"/>
        </w:rPr>
        <w:t xml:space="preserve">Consequently, the estimated burden hours </w:t>
      </w:r>
      <w:r w:rsidR="003E6CE0">
        <w:rPr>
          <w:rFonts w:ascii="Times New Roman" w:hAnsi="Times New Roman"/>
          <w:snapToGrid/>
          <w:sz w:val="24"/>
          <w:szCs w:val="24"/>
        </w:rPr>
        <w:t>are</w:t>
      </w:r>
      <w:r w:rsidRPr="00DC5306">
        <w:rPr>
          <w:rFonts w:ascii="Times New Roman" w:hAnsi="Times New Roman"/>
          <w:snapToGrid/>
          <w:sz w:val="24"/>
          <w:szCs w:val="24"/>
        </w:rPr>
        <w:t xml:space="preserve"> </w:t>
      </w:r>
      <w:r w:rsidR="00175B7B">
        <w:rPr>
          <w:rFonts w:ascii="Times New Roman" w:hAnsi="Times New Roman"/>
          <w:snapToGrid/>
          <w:sz w:val="24"/>
          <w:szCs w:val="24"/>
        </w:rPr>
        <w:t>912</w:t>
      </w:r>
      <w:r w:rsidR="007A2633">
        <w:rPr>
          <w:rFonts w:ascii="Times New Roman" w:hAnsi="Times New Roman"/>
          <w:snapToGrid/>
          <w:sz w:val="24"/>
          <w:szCs w:val="24"/>
        </w:rPr>
        <w:t xml:space="preserve"> </w:t>
      </w:r>
      <w:r w:rsidRPr="00DC5306">
        <w:rPr>
          <w:rFonts w:ascii="Times New Roman" w:hAnsi="Times New Roman"/>
          <w:snapToGrid/>
          <w:sz w:val="24"/>
          <w:szCs w:val="24"/>
        </w:rPr>
        <w:t>hours (57x</w:t>
      </w:r>
      <w:r w:rsidR="00175B7B">
        <w:rPr>
          <w:rFonts w:ascii="Times New Roman" w:hAnsi="Times New Roman"/>
          <w:snapToGrid/>
          <w:sz w:val="24"/>
          <w:szCs w:val="24"/>
        </w:rPr>
        <w:t>16</w:t>
      </w:r>
      <w:r w:rsidRPr="00DC5306">
        <w:rPr>
          <w:rFonts w:ascii="Times New Roman" w:hAnsi="Times New Roman"/>
          <w:snapToGrid/>
          <w:sz w:val="24"/>
          <w:szCs w:val="24"/>
        </w:rPr>
        <w:t>).</w:t>
      </w:r>
    </w:p>
    <w:p w:rsidR="00DC5306" w:rsidRPr="00DC5306" w:rsidRDefault="00DC5306" w:rsidP="00DC5306">
      <w:pPr>
        <w:widowControl/>
        <w:ind w:left="720"/>
        <w:rPr>
          <w:rFonts w:ascii="Times New Roman" w:hAnsi="Times New Roman"/>
          <w:snapToGrid/>
          <w:sz w:val="24"/>
          <w:szCs w:val="24"/>
        </w:rPr>
      </w:pPr>
    </w:p>
    <w:p w:rsid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annualized cost of the hour burden, expressed in dollars is:</w:t>
      </w:r>
    </w:p>
    <w:p w:rsidR="009B5046" w:rsidRPr="00AE1DC9" w:rsidRDefault="009B5046" w:rsidP="00AE1DC9">
      <w:pPr>
        <w:widowControl/>
        <w:ind w:left="720"/>
        <w:rPr>
          <w:rFonts w:ascii="Times New Roman" w:hAnsi="Times New Roman"/>
          <w:snapToGrid/>
          <w:sz w:val="24"/>
          <w:szCs w:val="24"/>
        </w:rPr>
      </w:pPr>
    </w:p>
    <w:tbl>
      <w:tblPr>
        <w:tblW w:w="8151" w:type="dxa"/>
        <w:tblInd w:w="864" w:type="dxa"/>
        <w:tblLayout w:type="fixed"/>
        <w:tblLook w:val="00A0" w:firstRow="1" w:lastRow="0" w:firstColumn="1" w:lastColumn="0" w:noHBand="0" w:noVBand="0"/>
      </w:tblPr>
      <w:tblGrid>
        <w:gridCol w:w="1674"/>
        <w:gridCol w:w="2250"/>
        <w:gridCol w:w="2520"/>
        <w:gridCol w:w="1707"/>
      </w:tblGrid>
      <w:tr w:rsidR="00AE1DC9" w:rsidRPr="00AE1DC9" w:rsidTr="008C2070">
        <w:tc>
          <w:tcPr>
            <w:tcW w:w="1674" w:type="dxa"/>
            <w:tcBorders>
              <w:top w:val="single" w:sz="12" w:space="0" w:color="808080"/>
              <w:bottom w:val="single" w:sz="6" w:space="0" w:color="808080"/>
            </w:tcBorders>
          </w:tcPr>
          <w:p w:rsidR="00AE1DC9" w:rsidRPr="00AE1DC9" w:rsidRDefault="00A635EA" w:rsidP="00697AC3">
            <w:pPr>
              <w:widowControl/>
              <w:ind w:left="162"/>
              <w:rPr>
                <w:rFonts w:ascii="Times New Roman" w:hAnsi="Times New Roman"/>
                <w:snapToGrid/>
                <w:sz w:val="24"/>
                <w:szCs w:val="24"/>
              </w:rPr>
            </w:pPr>
            <w:r>
              <w:rPr>
                <w:rFonts w:ascii="Times New Roman" w:hAnsi="Times New Roman"/>
                <w:snapToGrid/>
                <w:sz w:val="24"/>
                <w:szCs w:val="24"/>
              </w:rPr>
              <w:t>Number of Respondents</w:t>
            </w:r>
          </w:p>
        </w:tc>
        <w:tc>
          <w:tcPr>
            <w:tcW w:w="2250" w:type="dxa"/>
            <w:tcBorders>
              <w:top w:val="single" w:sz="12" w:space="0" w:color="808080"/>
              <w:bottom w:val="single" w:sz="6" w:space="0" w:color="808080"/>
            </w:tcBorders>
          </w:tcPr>
          <w:p w:rsidR="00AE1DC9" w:rsidRPr="00AE1DC9" w:rsidRDefault="00A635EA" w:rsidP="00697AC3">
            <w:pPr>
              <w:widowControl/>
              <w:ind w:left="252"/>
              <w:rPr>
                <w:rFonts w:ascii="Times New Roman" w:hAnsi="Times New Roman"/>
                <w:snapToGrid/>
                <w:sz w:val="24"/>
                <w:szCs w:val="24"/>
              </w:rPr>
            </w:pPr>
            <w:r>
              <w:rPr>
                <w:rFonts w:ascii="Times New Roman" w:hAnsi="Times New Roman"/>
                <w:snapToGrid/>
                <w:sz w:val="24"/>
                <w:szCs w:val="24"/>
              </w:rPr>
              <w:t>Average Burden Hour per response</w:t>
            </w:r>
          </w:p>
        </w:tc>
        <w:tc>
          <w:tcPr>
            <w:tcW w:w="2520" w:type="dxa"/>
            <w:tcBorders>
              <w:top w:val="single" w:sz="12" w:space="0" w:color="808080"/>
              <w:bottom w:val="single" w:sz="6" w:space="0" w:color="808080"/>
            </w:tcBorders>
          </w:tcPr>
          <w:p w:rsidR="00AE1DC9" w:rsidRPr="00AE1DC9" w:rsidRDefault="00A635EA" w:rsidP="00697AC3">
            <w:pPr>
              <w:widowControl/>
              <w:ind w:left="252"/>
              <w:rPr>
                <w:rFonts w:ascii="Times New Roman" w:hAnsi="Times New Roman"/>
                <w:snapToGrid/>
                <w:sz w:val="24"/>
                <w:szCs w:val="24"/>
              </w:rPr>
            </w:pPr>
            <w:r>
              <w:rPr>
                <w:rFonts w:ascii="Times New Roman" w:hAnsi="Times New Roman"/>
                <w:snapToGrid/>
                <w:sz w:val="24"/>
                <w:szCs w:val="24"/>
              </w:rPr>
              <w:t>Hourly Wage Rate</w:t>
            </w:r>
          </w:p>
        </w:tc>
        <w:tc>
          <w:tcPr>
            <w:tcW w:w="1707" w:type="dxa"/>
            <w:tcBorders>
              <w:top w:val="single" w:sz="12" w:space="0" w:color="808080"/>
              <w:bottom w:val="single" w:sz="6" w:space="0" w:color="808080"/>
            </w:tcBorders>
          </w:tcPr>
          <w:p w:rsidR="00AE1DC9" w:rsidRPr="00AE1DC9" w:rsidRDefault="00A635EA" w:rsidP="00A635EA">
            <w:pPr>
              <w:widowControl/>
              <w:ind w:left="110"/>
              <w:jc w:val="center"/>
              <w:rPr>
                <w:rFonts w:ascii="Times New Roman" w:hAnsi="Times New Roman"/>
                <w:snapToGrid/>
                <w:sz w:val="24"/>
                <w:szCs w:val="24"/>
              </w:rPr>
            </w:pPr>
            <w:r>
              <w:rPr>
                <w:rFonts w:ascii="Times New Roman" w:hAnsi="Times New Roman"/>
                <w:snapToGrid/>
                <w:sz w:val="24"/>
                <w:szCs w:val="24"/>
              </w:rPr>
              <w:t>Total Annual Cost</w:t>
            </w:r>
          </w:p>
        </w:tc>
      </w:tr>
      <w:tr w:rsidR="00AE1DC9" w:rsidRPr="00AE1DC9" w:rsidTr="008C2070">
        <w:tc>
          <w:tcPr>
            <w:tcW w:w="1674" w:type="dxa"/>
            <w:tcBorders>
              <w:bottom w:val="single" w:sz="12" w:space="0" w:color="808080"/>
            </w:tcBorders>
          </w:tcPr>
          <w:p w:rsidR="00AE1DC9" w:rsidRPr="00AE1DC9" w:rsidRDefault="00A635EA" w:rsidP="00DD7768">
            <w:pPr>
              <w:widowControl/>
              <w:ind w:left="342"/>
              <w:rPr>
                <w:rFonts w:ascii="Times New Roman" w:hAnsi="Times New Roman"/>
                <w:snapToGrid/>
                <w:sz w:val="24"/>
                <w:szCs w:val="24"/>
              </w:rPr>
            </w:pPr>
            <w:r>
              <w:rPr>
                <w:rFonts w:ascii="Times New Roman" w:hAnsi="Times New Roman"/>
                <w:snapToGrid/>
                <w:sz w:val="24"/>
                <w:szCs w:val="24"/>
              </w:rPr>
              <w:t>57</w:t>
            </w:r>
          </w:p>
        </w:tc>
        <w:tc>
          <w:tcPr>
            <w:tcW w:w="2250" w:type="dxa"/>
            <w:tcBorders>
              <w:bottom w:val="single" w:sz="12" w:space="0" w:color="808080"/>
            </w:tcBorders>
          </w:tcPr>
          <w:p w:rsidR="00AE1DC9" w:rsidRPr="00AE1DC9" w:rsidRDefault="00A635EA" w:rsidP="00853298">
            <w:pPr>
              <w:widowControl/>
              <w:ind w:left="522"/>
              <w:rPr>
                <w:rFonts w:ascii="Times New Roman" w:hAnsi="Times New Roman"/>
                <w:snapToGrid/>
                <w:sz w:val="24"/>
                <w:szCs w:val="24"/>
              </w:rPr>
            </w:pPr>
            <w:r>
              <w:rPr>
                <w:rFonts w:ascii="Times New Roman" w:hAnsi="Times New Roman"/>
                <w:snapToGrid/>
                <w:sz w:val="24"/>
                <w:szCs w:val="24"/>
              </w:rPr>
              <w:t>16</w:t>
            </w:r>
          </w:p>
        </w:tc>
        <w:tc>
          <w:tcPr>
            <w:tcW w:w="2520" w:type="dxa"/>
            <w:tcBorders>
              <w:bottom w:val="single" w:sz="12" w:space="0" w:color="808080"/>
            </w:tcBorders>
          </w:tcPr>
          <w:p w:rsidR="00AE1DC9" w:rsidRPr="00AE1DC9" w:rsidRDefault="00A635EA" w:rsidP="007A2633">
            <w:pPr>
              <w:widowControl/>
              <w:ind w:left="432"/>
              <w:rPr>
                <w:rFonts w:ascii="Times New Roman" w:hAnsi="Times New Roman"/>
                <w:snapToGrid/>
                <w:sz w:val="24"/>
                <w:szCs w:val="24"/>
              </w:rPr>
            </w:pPr>
            <w:r>
              <w:rPr>
                <w:rFonts w:ascii="Times New Roman" w:hAnsi="Times New Roman"/>
                <w:snapToGrid/>
                <w:sz w:val="24"/>
                <w:szCs w:val="24"/>
              </w:rPr>
              <w:t>$40</w:t>
            </w:r>
          </w:p>
        </w:tc>
        <w:tc>
          <w:tcPr>
            <w:tcW w:w="1707" w:type="dxa"/>
            <w:tcBorders>
              <w:bottom w:val="single" w:sz="12" w:space="0" w:color="808080"/>
            </w:tcBorders>
          </w:tcPr>
          <w:p w:rsidR="00AE1DC9" w:rsidRPr="00AE1DC9" w:rsidRDefault="00A635EA" w:rsidP="007A2633">
            <w:pPr>
              <w:widowControl/>
              <w:ind w:left="110"/>
              <w:rPr>
                <w:rFonts w:ascii="Times New Roman" w:hAnsi="Times New Roman"/>
                <w:snapToGrid/>
                <w:sz w:val="24"/>
                <w:szCs w:val="24"/>
              </w:rPr>
            </w:pPr>
            <w:r>
              <w:rPr>
                <w:rFonts w:ascii="Times New Roman" w:hAnsi="Times New Roman"/>
                <w:snapToGrid/>
                <w:sz w:val="24"/>
                <w:szCs w:val="24"/>
              </w:rPr>
              <w:t>$36480</w:t>
            </w:r>
            <w:bookmarkStart w:id="0" w:name="_GoBack"/>
            <w:bookmarkEnd w:id="0"/>
          </w:p>
        </w:tc>
      </w:tr>
    </w:tbl>
    <w:p w:rsidR="00E23496" w:rsidRDefault="00E23496" w:rsidP="00E23496">
      <w:pPr>
        <w:widowControl/>
        <w:ind w:left="720"/>
        <w:rPr>
          <w:rFonts w:ascii="Times New Roman" w:hAnsi="Times New Roman"/>
          <w:snapToGrid/>
          <w:sz w:val="24"/>
          <w:szCs w:val="24"/>
        </w:rPr>
      </w:pPr>
    </w:p>
    <w:p w:rsidR="00525AD8" w:rsidRDefault="00DD7768" w:rsidP="00525AD8">
      <w:pPr>
        <w:widowControl/>
        <w:ind w:left="720"/>
        <w:rPr>
          <w:rFonts w:ascii="Times New Roman" w:hAnsi="Times New Roman"/>
          <w:sz w:val="24"/>
          <w:szCs w:val="24"/>
        </w:rPr>
      </w:pPr>
      <w:r>
        <w:rPr>
          <w:rFonts w:ascii="Times New Roman" w:hAnsi="Times New Roman"/>
          <w:snapToGrid/>
          <w:sz w:val="24"/>
          <w:szCs w:val="24"/>
        </w:rPr>
        <w:t>T</w:t>
      </w:r>
      <w:r w:rsidRPr="00AE1DC9">
        <w:rPr>
          <w:rFonts w:ascii="Times New Roman" w:hAnsi="Times New Roman"/>
          <w:snapToGrid/>
          <w:sz w:val="24"/>
          <w:szCs w:val="24"/>
        </w:rPr>
        <w:t xml:space="preserve">his estimated </w:t>
      </w:r>
      <w:r>
        <w:rPr>
          <w:rFonts w:ascii="Times New Roman" w:hAnsi="Times New Roman"/>
          <w:snapToGrid/>
          <w:sz w:val="24"/>
          <w:szCs w:val="24"/>
        </w:rPr>
        <w:t xml:space="preserve">average cost per hour </w:t>
      </w:r>
      <w:r w:rsidRPr="00AE1DC9">
        <w:rPr>
          <w:rFonts w:ascii="Times New Roman" w:hAnsi="Times New Roman"/>
          <w:snapToGrid/>
          <w:sz w:val="24"/>
          <w:szCs w:val="24"/>
        </w:rPr>
        <w:t xml:space="preserve">includes </w:t>
      </w:r>
      <w:r>
        <w:rPr>
          <w:rFonts w:ascii="Times New Roman" w:hAnsi="Times New Roman"/>
          <w:snapToGrid/>
          <w:sz w:val="24"/>
          <w:szCs w:val="24"/>
        </w:rPr>
        <w:t>a base average salary of $20</w:t>
      </w:r>
      <w:r w:rsidR="00FD0700">
        <w:rPr>
          <w:rFonts w:ascii="Times New Roman" w:hAnsi="Times New Roman"/>
          <w:snapToGrid/>
          <w:sz w:val="24"/>
          <w:szCs w:val="24"/>
        </w:rPr>
        <w:t>.21</w:t>
      </w:r>
      <w:r>
        <w:rPr>
          <w:rFonts w:ascii="Times New Roman" w:hAnsi="Times New Roman"/>
          <w:snapToGrid/>
          <w:sz w:val="24"/>
          <w:szCs w:val="24"/>
        </w:rPr>
        <w:t xml:space="preserve"> plus 100% </w:t>
      </w:r>
      <w:r w:rsidR="00AE74F7">
        <w:rPr>
          <w:rFonts w:ascii="Times New Roman" w:hAnsi="Times New Roman"/>
          <w:snapToGrid/>
          <w:sz w:val="24"/>
          <w:szCs w:val="24"/>
        </w:rPr>
        <w:t xml:space="preserve">of salary </w:t>
      </w:r>
      <w:r>
        <w:rPr>
          <w:rFonts w:ascii="Times New Roman" w:hAnsi="Times New Roman"/>
          <w:snapToGrid/>
          <w:sz w:val="24"/>
          <w:szCs w:val="24"/>
        </w:rPr>
        <w:t xml:space="preserve">for </w:t>
      </w:r>
      <w:r w:rsidRPr="00AE1DC9">
        <w:rPr>
          <w:rFonts w:ascii="Times New Roman" w:hAnsi="Times New Roman"/>
          <w:snapToGrid/>
          <w:sz w:val="24"/>
          <w:szCs w:val="24"/>
        </w:rPr>
        <w:t>fringe benefits</w:t>
      </w:r>
      <w:r>
        <w:rPr>
          <w:rFonts w:ascii="Times New Roman" w:hAnsi="Times New Roman"/>
          <w:snapToGrid/>
          <w:sz w:val="24"/>
          <w:szCs w:val="24"/>
        </w:rPr>
        <w:t xml:space="preserve"> and overhead.</w:t>
      </w:r>
      <w:r w:rsidR="00AC36AD">
        <w:rPr>
          <w:rFonts w:ascii="Times New Roman" w:hAnsi="Times New Roman"/>
          <w:snapToGrid/>
          <w:sz w:val="24"/>
          <w:szCs w:val="24"/>
        </w:rPr>
        <w:t xml:space="preserve"> </w:t>
      </w:r>
      <w:proofErr w:type="gramStart"/>
      <w:r w:rsidR="00525AD8">
        <w:rPr>
          <w:rFonts w:ascii="Times New Roman" w:hAnsi="Times New Roman"/>
          <w:sz w:val="24"/>
          <w:szCs w:val="24"/>
        </w:rPr>
        <w:t>The computation of the average annual cost per states ($640.)</w:t>
      </w:r>
      <w:proofErr w:type="gramEnd"/>
      <w:r w:rsidR="00525AD8">
        <w:rPr>
          <w:rFonts w:ascii="Times New Roman" w:hAnsi="Times New Roman"/>
          <w:sz w:val="24"/>
          <w:szCs w:val="24"/>
        </w:rPr>
        <w:t xml:space="preserve">  </w:t>
      </w:r>
      <w:proofErr w:type="gramStart"/>
      <w:r w:rsidR="00525AD8">
        <w:rPr>
          <w:rFonts w:ascii="Times New Roman" w:hAnsi="Times New Roman"/>
          <w:sz w:val="24"/>
          <w:szCs w:val="24"/>
        </w:rPr>
        <w:t>is</w:t>
      </w:r>
      <w:proofErr w:type="gramEnd"/>
      <w:r w:rsidR="00525AD8">
        <w:rPr>
          <w:rFonts w:ascii="Times New Roman" w:hAnsi="Times New Roman"/>
          <w:sz w:val="24"/>
          <w:szCs w:val="24"/>
        </w:rPr>
        <w:t xml:space="preserve"> the average cost per state ($40.) multiplied by the average burden hours per states (16).</w:t>
      </w:r>
      <w:r w:rsidR="006403A6">
        <w:rPr>
          <w:rFonts w:ascii="Times New Roman" w:hAnsi="Times New Roman"/>
          <w:sz w:val="24"/>
          <w:szCs w:val="24"/>
        </w:rPr>
        <w:t xml:space="preserve">  This figure is then multiplied by the 57 States to derive the total annual cost of $36,480.</w:t>
      </w:r>
      <w:r w:rsidR="00FD0700">
        <w:rPr>
          <w:rFonts w:ascii="Times New Roman" w:hAnsi="Times New Roman"/>
          <w:sz w:val="24"/>
          <w:szCs w:val="24"/>
        </w:rPr>
        <w:t xml:space="preserve">  The hourly rate was derived from the Bureau of Labor Statistics salary category for Community and Social Service occupations (</w:t>
      </w:r>
      <w:r w:rsidR="00FD0700" w:rsidRPr="00851B25">
        <w:rPr>
          <w:rFonts w:ascii="Times New Roman" w:hAnsi="Times New Roman"/>
          <w:sz w:val="24"/>
          <w:szCs w:val="24"/>
        </w:rPr>
        <w:t>https://www.bls.gov/oes/current/oes_nat.htm).</w:t>
      </w:r>
    </w:p>
    <w:p w:rsidR="00525AD8" w:rsidRPr="00851B25" w:rsidRDefault="00525AD8" w:rsidP="00E23496">
      <w:pPr>
        <w:widowControl/>
        <w:ind w:left="720"/>
        <w:rPr>
          <w:rFonts w:ascii="Times New Roman" w:hAnsi="Times New Roman"/>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Other Total Annual Cost Burden to Respondents and Record Keepers </w:t>
      </w:r>
    </w:p>
    <w:p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 xml:space="preserve">There is no annual </w:t>
      </w:r>
      <w:r w:rsidR="000E1E70">
        <w:rPr>
          <w:rFonts w:ascii="Times New Roman" w:hAnsi="Times New Roman"/>
          <w:snapToGrid/>
          <w:sz w:val="24"/>
          <w:szCs w:val="24"/>
        </w:rPr>
        <w:t xml:space="preserve">cost </w:t>
      </w:r>
      <w:r w:rsidRPr="00AE1DC9">
        <w:rPr>
          <w:rFonts w:ascii="Times New Roman" w:hAnsi="Times New Roman"/>
          <w:snapToGrid/>
          <w:sz w:val="24"/>
          <w:szCs w:val="24"/>
        </w:rPr>
        <w:t xml:space="preserve">burden or startup cost to respondents resulting from collection of information for the </w:t>
      </w:r>
      <w:r w:rsidR="001B5DCD">
        <w:rPr>
          <w:rFonts w:ascii="Times New Roman" w:hAnsi="Times New Roman"/>
          <w:snapToGrid/>
          <w:sz w:val="24"/>
          <w:szCs w:val="24"/>
        </w:rPr>
        <w:t>PPR</w:t>
      </w:r>
      <w:r w:rsidR="00FF3B7D">
        <w:rPr>
          <w:rFonts w:ascii="Times New Roman" w:hAnsi="Times New Roman"/>
          <w:snapToGrid/>
          <w:sz w:val="24"/>
          <w:szCs w:val="24"/>
        </w:rPr>
        <w:t>.</w:t>
      </w:r>
    </w:p>
    <w:p w:rsidR="00AE1DC9" w:rsidRDefault="00AE1DC9" w:rsidP="00AE1DC9">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Annualized Cost to the Federal Government </w:t>
      </w:r>
    </w:p>
    <w:p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This computation is based on an estimated $</w:t>
      </w:r>
      <w:r w:rsidR="002C46DF">
        <w:rPr>
          <w:rFonts w:ascii="Times New Roman" w:hAnsi="Times New Roman"/>
          <w:snapToGrid/>
          <w:sz w:val="24"/>
          <w:szCs w:val="24"/>
        </w:rPr>
        <w:t>90</w:t>
      </w:r>
      <w:r w:rsidRPr="00AE1DC9">
        <w:rPr>
          <w:rFonts w:ascii="Times New Roman" w:hAnsi="Times New Roman"/>
          <w:snapToGrid/>
          <w:sz w:val="24"/>
          <w:szCs w:val="24"/>
        </w:rPr>
        <w:t xml:space="preserve"> per hour for the efforts of a Program Specialist</w:t>
      </w:r>
      <w:r w:rsidR="00525AD8">
        <w:rPr>
          <w:rFonts w:ascii="Times New Roman" w:hAnsi="Times New Roman"/>
          <w:snapToGrid/>
          <w:sz w:val="24"/>
          <w:szCs w:val="24"/>
        </w:rPr>
        <w:t xml:space="preserve"> Grade 13 step 1</w:t>
      </w:r>
      <w:r w:rsidRPr="00AE1DC9">
        <w:rPr>
          <w:rFonts w:ascii="Times New Roman" w:hAnsi="Times New Roman"/>
          <w:snapToGrid/>
          <w:sz w:val="24"/>
          <w:szCs w:val="24"/>
        </w:rPr>
        <w:t xml:space="preserve">; this estimated hourly rate includes </w:t>
      </w:r>
      <w:r w:rsidR="00FF3B7D">
        <w:rPr>
          <w:rFonts w:ascii="Times New Roman" w:hAnsi="Times New Roman"/>
          <w:snapToGrid/>
          <w:sz w:val="24"/>
          <w:szCs w:val="24"/>
        </w:rPr>
        <w:t>a base average salary of $</w:t>
      </w:r>
      <w:r w:rsidR="002C46DF">
        <w:rPr>
          <w:rFonts w:ascii="Times New Roman" w:hAnsi="Times New Roman"/>
          <w:snapToGrid/>
          <w:sz w:val="24"/>
          <w:szCs w:val="24"/>
        </w:rPr>
        <w:t>45</w:t>
      </w:r>
      <w:r w:rsidR="00FF3B7D">
        <w:rPr>
          <w:rFonts w:ascii="Times New Roman" w:hAnsi="Times New Roman"/>
          <w:snapToGrid/>
          <w:sz w:val="24"/>
          <w:szCs w:val="24"/>
        </w:rPr>
        <w:t xml:space="preserve"> plus 100% for </w:t>
      </w:r>
      <w:r w:rsidRPr="00AE1DC9">
        <w:rPr>
          <w:rFonts w:ascii="Times New Roman" w:hAnsi="Times New Roman"/>
          <w:snapToGrid/>
          <w:sz w:val="24"/>
          <w:szCs w:val="24"/>
        </w:rPr>
        <w:t>fringe benefits</w:t>
      </w:r>
      <w:r w:rsidR="00FF3B7D">
        <w:rPr>
          <w:rFonts w:ascii="Times New Roman" w:hAnsi="Times New Roman"/>
          <w:snapToGrid/>
          <w:sz w:val="24"/>
          <w:szCs w:val="24"/>
        </w:rPr>
        <w:t xml:space="preserve"> and overhead</w:t>
      </w:r>
      <w:r w:rsidRPr="00AE1DC9">
        <w:rPr>
          <w:rFonts w:ascii="Times New Roman" w:hAnsi="Times New Roman"/>
          <w:snapToGrid/>
          <w:sz w:val="24"/>
          <w:szCs w:val="24"/>
        </w:rPr>
        <w:t>.</w:t>
      </w:r>
    </w:p>
    <w:p w:rsidR="00AE1DC9" w:rsidRPr="00AE1DC9" w:rsidRDefault="00AE1DC9" w:rsidP="00AE1DC9">
      <w:pPr>
        <w:widowControl/>
        <w:ind w:left="720"/>
        <w:rPr>
          <w:rFonts w:ascii="Times New Roman" w:hAnsi="Times New Roman"/>
          <w:snapToGrid/>
          <w:sz w:val="24"/>
          <w:szCs w:val="24"/>
        </w:rPr>
      </w:pPr>
    </w:p>
    <w:p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Program specialists will devote an estimate</w:t>
      </w:r>
      <w:r w:rsidR="00973F7F">
        <w:rPr>
          <w:rFonts w:ascii="Times New Roman" w:hAnsi="Times New Roman"/>
          <w:snapToGrid/>
          <w:sz w:val="24"/>
          <w:szCs w:val="24"/>
        </w:rPr>
        <w:t>d</w:t>
      </w:r>
      <w:r w:rsidRPr="00AE1DC9">
        <w:rPr>
          <w:rFonts w:ascii="Times New Roman" w:hAnsi="Times New Roman"/>
          <w:snapToGrid/>
          <w:sz w:val="24"/>
          <w:szCs w:val="24"/>
        </w:rPr>
        <w:t xml:space="preserve"> </w:t>
      </w:r>
      <w:r w:rsidR="00525AD8">
        <w:rPr>
          <w:rFonts w:ascii="Times New Roman" w:hAnsi="Times New Roman"/>
          <w:snapToGrid/>
          <w:sz w:val="24"/>
          <w:szCs w:val="24"/>
        </w:rPr>
        <w:t>80</w:t>
      </w:r>
      <w:r w:rsidR="00525AD8" w:rsidRPr="00AE1DC9">
        <w:rPr>
          <w:rFonts w:ascii="Times New Roman" w:hAnsi="Times New Roman"/>
          <w:snapToGrid/>
          <w:sz w:val="24"/>
          <w:szCs w:val="24"/>
        </w:rPr>
        <w:t> </w:t>
      </w:r>
      <w:r w:rsidRPr="00AE1DC9">
        <w:rPr>
          <w:rFonts w:ascii="Times New Roman" w:hAnsi="Times New Roman"/>
          <w:snapToGrid/>
          <w:sz w:val="24"/>
          <w:szCs w:val="24"/>
        </w:rPr>
        <w:t xml:space="preserve">hours </w:t>
      </w:r>
      <w:r w:rsidR="00B37545">
        <w:rPr>
          <w:rFonts w:ascii="Times New Roman" w:hAnsi="Times New Roman"/>
          <w:snapToGrid/>
          <w:sz w:val="24"/>
          <w:szCs w:val="24"/>
        </w:rPr>
        <w:t xml:space="preserve">per </w:t>
      </w:r>
      <w:r w:rsidRPr="00AE1DC9">
        <w:rPr>
          <w:rFonts w:ascii="Times New Roman" w:hAnsi="Times New Roman"/>
          <w:snapToGrid/>
          <w:sz w:val="24"/>
          <w:szCs w:val="24"/>
        </w:rPr>
        <w:t xml:space="preserve">year to organize and review </w:t>
      </w:r>
      <w:r w:rsidR="00B37545">
        <w:rPr>
          <w:rFonts w:ascii="Times New Roman" w:hAnsi="Times New Roman"/>
          <w:snapToGrid/>
          <w:sz w:val="24"/>
          <w:szCs w:val="24"/>
        </w:rPr>
        <w:t xml:space="preserve">each </w:t>
      </w:r>
      <w:r w:rsidRPr="00AE1DC9">
        <w:rPr>
          <w:rFonts w:ascii="Times New Roman" w:hAnsi="Times New Roman"/>
          <w:snapToGrid/>
          <w:sz w:val="24"/>
          <w:szCs w:val="24"/>
        </w:rPr>
        <w:t xml:space="preserve">Program Performance Report and to generate analyses of the information therein for </w:t>
      </w:r>
      <w:r w:rsidR="00FF3B7D">
        <w:rPr>
          <w:rFonts w:ascii="Times New Roman" w:hAnsi="Times New Roman"/>
          <w:snapToGrid/>
          <w:sz w:val="24"/>
          <w:szCs w:val="24"/>
        </w:rPr>
        <w:t xml:space="preserve">the </w:t>
      </w:r>
      <w:r w:rsidRPr="00AE1DC9">
        <w:rPr>
          <w:rFonts w:ascii="Times New Roman" w:hAnsi="Times New Roman"/>
          <w:snapToGrid/>
          <w:sz w:val="24"/>
          <w:szCs w:val="24"/>
        </w:rPr>
        <w:t>use</w:t>
      </w:r>
      <w:r w:rsidR="00FF3B7D">
        <w:rPr>
          <w:rFonts w:ascii="Times New Roman" w:hAnsi="Times New Roman"/>
          <w:snapToGrid/>
          <w:sz w:val="24"/>
          <w:szCs w:val="24"/>
        </w:rPr>
        <w:t>s described in section 2</w:t>
      </w:r>
      <w:r w:rsidRPr="00AE1DC9">
        <w:rPr>
          <w:rFonts w:ascii="Times New Roman" w:hAnsi="Times New Roman"/>
          <w:snapToGrid/>
          <w:sz w:val="24"/>
          <w:szCs w:val="24"/>
        </w:rPr>
        <w:t>.</w:t>
      </w:r>
    </w:p>
    <w:p w:rsidR="00AE1DC9" w:rsidRPr="00AE1DC9" w:rsidRDefault="00AE1DC9" w:rsidP="00AE1DC9">
      <w:pPr>
        <w:widowControl/>
        <w:ind w:left="720"/>
        <w:rPr>
          <w:rFonts w:ascii="Times New Roman" w:hAnsi="Times New Roman"/>
          <w:snapToGrid/>
          <w:sz w:val="24"/>
          <w:szCs w:val="24"/>
        </w:rPr>
      </w:pPr>
    </w:p>
    <w:p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u w:val="single"/>
        </w:rPr>
        <w:t>Total Estimated Federal Costs</w:t>
      </w:r>
      <w:r w:rsidRPr="00525AD8">
        <w:rPr>
          <w:rFonts w:ascii="Times New Roman" w:hAnsi="Times New Roman"/>
          <w:snapToGrid/>
          <w:sz w:val="24"/>
          <w:szCs w:val="24"/>
        </w:rPr>
        <w:t>:</w:t>
      </w:r>
      <w:r w:rsidR="00AB63B6" w:rsidRPr="00525AD8">
        <w:rPr>
          <w:rFonts w:ascii="Times New Roman" w:hAnsi="Times New Roman"/>
          <w:snapToGrid/>
          <w:sz w:val="24"/>
          <w:szCs w:val="24"/>
        </w:rPr>
        <w:t xml:space="preserve"> </w:t>
      </w:r>
      <w:r w:rsidR="00793495" w:rsidRPr="00525AD8">
        <w:rPr>
          <w:rFonts w:ascii="Times New Roman" w:hAnsi="Times New Roman"/>
          <w:snapToGrid/>
          <w:sz w:val="24"/>
          <w:szCs w:val="24"/>
        </w:rPr>
        <w:t xml:space="preserve"> $</w:t>
      </w:r>
      <w:r w:rsidR="00AA1CCA">
        <w:rPr>
          <w:rFonts w:ascii="Times New Roman" w:hAnsi="Times New Roman"/>
          <w:snapToGrid/>
          <w:sz w:val="24"/>
          <w:szCs w:val="24"/>
        </w:rPr>
        <w:t>7</w:t>
      </w:r>
      <w:r w:rsidR="00793495">
        <w:rPr>
          <w:rFonts w:ascii="Times New Roman" w:hAnsi="Times New Roman"/>
          <w:snapToGrid/>
          <w:sz w:val="24"/>
          <w:szCs w:val="24"/>
        </w:rPr>
        <w:t>,</w:t>
      </w:r>
      <w:r w:rsidR="00AA1CCA">
        <w:rPr>
          <w:rFonts w:ascii="Times New Roman" w:hAnsi="Times New Roman"/>
          <w:snapToGrid/>
          <w:sz w:val="24"/>
          <w:szCs w:val="24"/>
        </w:rPr>
        <w:t>200</w:t>
      </w:r>
      <w:r w:rsidR="00793495">
        <w:rPr>
          <w:rFonts w:ascii="Times New Roman" w:hAnsi="Times New Roman"/>
          <w:snapToGrid/>
          <w:sz w:val="24"/>
          <w:szCs w:val="24"/>
        </w:rPr>
        <w:t>.</w:t>
      </w:r>
    </w:p>
    <w:p w:rsidR="00AE1DC9" w:rsidRDefault="00AE1DC9" w:rsidP="00E23496">
      <w:pPr>
        <w:widowControl/>
        <w:ind w:left="720"/>
        <w:rPr>
          <w:rFonts w:ascii="Times New Roman" w:hAnsi="Times New Roman"/>
          <w:snapToGrid/>
          <w:sz w:val="24"/>
          <w:szCs w:val="24"/>
        </w:rPr>
      </w:pPr>
    </w:p>
    <w:p w:rsidR="0018436A" w:rsidRPr="00CA26B5" w:rsidRDefault="0018436A" w:rsidP="00E23496">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lastRenderedPageBreak/>
        <w:t xml:space="preserve">Explanation for Program Changes or Adjustments </w:t>
      </w:r>
    </w:p>
    <w:p w:rsidR="00FC2932" w:rsidRDefault="00D86C46" w:rsidP="00FC2932">
      <w:pPr>
        <w:widowControl/>
        <w:ind w:left="720"/>
        <w:rPr>
          <w:rFonts w:ascii="Times New Roman" w:hAnsi="Times New Roman"/>
          <w:snapToGrid/>
          <w:sz w:val="24"/>
          <w:szCs w:val="24"/>
        </w:rPr>
      </w:pPr>
      <w:r>
        <w:rPr>
          <w:rFonts w:ascii="Times New Roman" w:hAnsi="Times New Roman"/>
          <w:snapToGrid/>
          <w:sz w:val="24"/>
          <w:szCs w:val="24"/>
        </w:rPr>
        <w:t xml:space="preserve">There </w:t>
      </w:r>
      <w:r w:rsidR="00B37545">
        <w:rPr>
          <w:rFonts w:ascii="Times New Roman" w:hAnsi="Times New Roman"/>
          <w:snapToGrid/>
          <w:sz w:val="24"/>
          <w:szCs w:val="24"/>
        </w:rPr>
        <w:t>a</w:t>
      </w:r>
      <w:r>
        <w:rPr>
          <w:rFonts w:ascii="Times New Roman" w:hAnsi="Times New Roman"/>
          <w:snapToGrid/>
          <w:sz w:val="24"/>
          <w:szCs w:val="24"/>
        </w:rPr>
        <w:t xml:space="preserve">re no OMB approved data collection forms for the recipients to provide documentation on the progress, achievement and performance of their program. </w:t>
      </w:r>
      <w:r w:rsidR="009A0F89">
        <w:rPr>
          <w:rFonts w:ascii="Times New Roman" w:hAnsi="Times New Roman"/>
          <w:snapToGrid/>
          <w:sz w:val="24"/>
          <w:szCs w:val="24"/>
        </w:rPr>
        <w:t xml:space="preserve">This </w:t>
      </w:r>
      <w:r w:rsidR="00B37545">
        <w:rPr>
          <w:rFonts w:ascii="Times New Roman" w:hAnsi="Times New Roman"/>
          <w:snapToGrid/>
          <w:sz w:val="24"/>
          <w:szCs w:val="24"/>
        </w:rPr>
        <w:t xml:space="preserve">effort </w:t>
      </w:r>
      <w:r w:rsidR="009A0F89">
        <w:rPr>
          <w:rFonts w:ascii="Times New Roman" w:hAnsi="Times New Roman"/>
          <w:snapToGrid/>
          <w:sz w:val="24"/>
          <w:szCs w:val="24"/>
        </w:rPr>
        <w:t>represents the creation of a new form.</w:t>
      </w: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Plans for Tabulation and Publication and Project Time Schedule </w:t>
      </w:r>
    </w:p>
    <w:p w:rsidR="008C1D1E" w:rsidRPr="008C1D1E" w:rsidRDefault="008C1D1E" w:rsidP="008C1D1E">
      <w:pPr>
        <w:widowControl/>
        <w:ind w:left="720"/>
        <w:rPr>
          <w:rFonts w:ascii="Times New Roman" w:hAnsi="Times New Roman"/>
          <w:snapToGrid/>
          <w:sz w:val="24"/>
          <w:szCs w:val="24"/>
        </w:rPr>
      </w:pPr>
      <w:r w:rsidRPr="008C1D1E">
        <w:rPr>
          <w:rFonts w:ascii="Times New Roman" w:hAnsi="Times New Roman"/>
          <w:snapToGrid/>
          <w:sz w:val="24"/>
          <w:szCs w:val="24"/>
        </w:rPr>
        <w:t>The results of this information collection are not planned to be published for statistical use.</w:t>
      </w:r>
    </w:p>
    <w:p w:rsidR="008C1D1E" w:rsidRPr="008C1D1E" w:rsidRDefault="008C1D1E" w:rsidP="008C1D1E">
      <w:pPr>
        <w:widowControl/>
        <w:ind w:left="720"/>
        <w:rPr>
          <w:rFonts w:ascii="Times New Roman" w:hAnsi="Times New Roman"/>
          <w:snapToGrid/>
          <w:sz w:val="24"/>
          <w:szCs w:val="24"/>
        </w:rPr>
      </w:pPr>
    </w:p>
    <w:p w:rsidR="0091597D" w:rsidRPr="008C1D1E" w:rsidRDefault="008C1D1E" w:rsidP="0091597D">
      <w:pPr>
        <w:widowControl/>
        <w:ind w:left="720"/>
        <w:rPr>
          <w:rFonts w:ascii="Times New Roman" w:hAnsi="Times New Roman"/>
          <w:snapToGrid/>
          <w:sz w:val="24"/>
          <w:szCs w:val="24"/>
        </w:rPr>
      </w:pPr>
      <w:r w:rsidRPr="008C1D1E">
        <w:rPr>
          <w:rFonts w:ascii="Times New Roman" w:hAnsi="Times New Roman"/>
          <w:snapToGrid/>
          <w:sz w:val="24"/>
          <w:szCs w:val="24"/>
        </w:rPr>
        <w:t xml:space="preserve">The </w:t>
      </w:r>
      <w:r w:rsidR="001B5DCD">
        <w:rPr>
          <w:rFonts w:ascii="Times New Roman" w:hAnsi="Times New Roman"/>
          <w:snapToGrid/>
          <w:sz w:val="24"/>
          <w:szCs w:val="24"/>
        </w:rPr>
        <w:t>PPR</w:t>
      </w:r>
      <w:r w:rsidRPr="008C1D1E">
        <w:rPr>
          <w:rFonts w:ascii="Times New Roman" w:hAnsi="Times New Roman"/>
          <w:snapToGrid/>
          <w:sz w:val="24"/>
          <w:szCs w:val="24"/>
        </w:rPr>
        <w:t xml:space="preserve">s are prepared by the P&amp;A systems and submitted to the Department by January 1 of each year.  Program personnel check the </w:t>
      </w:r>
      <w:r w:rsidR="001B5DCD">
        <w:rPr>
          <w:rFonts w:ascii="Times New Roman" w:hAnsi="Times New Roman"/>
          <w:snapToGrid/>
          <w:sz w:val="24"/>
          <w:szCs w:val="24"/>
        </w:rPr>
        <w:t>PPR</w:t>
      </w:r>
      <w:r w:rsidRPr="008C1D1E">
        <w:rPr>
          <w:rFonts w:ascii="Times New Roman" w:hAnsi="Times New Roman"/>
          <w:snapToGrid/>
          <w:sz w:val="24"/>
          <w:szCs w:val="24"/>
        </w:rPr>
        <w:t xml:space="preserve">s for completeness and consistency, and prepare program reviews and summaries of the information for use in technical assistance formulation, and for program management studies.  Program personnel aggregate the data, do national analyses (sum, average, etc.), and other management </w:t>
      </w:r>
      <w:r w:rsidR="00AB63B6">
        <w:rPr>
          <w:rFonts w:ascii="Times New Roman" w:hAnsi="Times New Roman"/>
          <w:snapToGrid/>
          <w:sz w:val="24"/>
          <w:szCs w:val="24"/>
        </w:rPr>
        <w:t>analyses</w:t>
      </w:r>
      <w:r w:rsidRPr="008C1D1E">
        <w:rPr>
          <w:rFonts w:ascii="Times New Roman" w:hAnsi="Times New Roman"/>
          <w:snapToGrid/>
          <w:sz w:val="24"/>
          <w:szCs w:val="24"/>
        </w:rPr>
        <w:t>.</w:t>
      </w:r>
      <w:r w:rsidR="0091597D" w:rsidRPr="0091597D">
        <w:rPr>
          <w:rFonts w:ascii="Times New Roman" w:hAnsi="Times New Roman"/>
          <w:snapToGrid/>
          <w:sz w:val="24"/>
          <w:szCs w:val="24"/>
        </w:rPr>
        <w:t xml:space="preserve"> </w:t>
      </w:r>
      <w:r w:rsidR="0091597D" w:rsidRPr="008C1D1E">
        <w:rPr>
          <w:rFonts w:ascii="Times New Roman" w:hAnsi="Times New Roman"/>
          <w:snapToGrid/>
          <w:sz w:val="24"/>
          <w:szCs w:val="24"/>
        </w:rPr>
        <w:t xml:space="preserve">The information obtained is used by </w:t>
      </w:r>
      <w:r w:rsidR="0091597D">
        <w:rPr>
          <w:rFonts w:ascii="Times New Roman" w:hAnsi="Times New Roman"/>
          <w:snapToGrid/>
          <w:sz w:val="24"/>
          <w:szCs w:val="24"/>
        </w:rPr>
        <w:t>AoD</w:t>
      </w:r>
      <w:r w:rsidR="0091597D" w:rsidRPr="008C1D1E">
        <w:rPr>
          <w:rFonts w:ascii="Times New Roman" w:hAnsi="Times New Roman"/>
          <w:snapToGrid/>
          <w:sz w:val="24"/>
          <w:szCs w:val="24"/>
        </w:rPr>
        <w:t xml:space="preserve"> to develop program priorities and to formulate technical assistance.</w:t>
      </w:r>
    </w:p>
    <w:p w:rsidR="008C1D1E" w:rsidRPr="008C1D1E" w:rsidRDefault="008C1D1E" w:rsidP="008C1D1E">
      <w:pPr>
        <w:widowControl/>
        <w:ind w:left="720"/>
        <w:rPr>
          <w:rFonts w:ascii="Times New Roman" w:hAnsi="Times New Roman"/>
          <w:snapToGrid/>
          <w:sz w:val="24"/>
          <w:szCs w:val="24"/>
        </w:rPr>
      </w:pPr>
    </w:p>
    <w:p w:rsidR="0091597D" w:rsidRPr="005F37C1" w:rsidRDefault="008C1D1E" w:rsidP="0091597D">
      <w:pPr>
        <w:widowControl/>
        <w:ind w:left="720"/>
        <w:rPr>
          <w:rFonts w:ascii="Times New Roman" w:hAnsi="Times New Roman"/>
          <w:snapToGrid/>
          <w:sz w:val="24"/>
          <w:szCs w:val="24"/>
        </w:rPr>
      </w:pPr>
      <w:r w:rsidRPr="008C1D1E">
        <w:rPr>
          <w:rFonts w:ascii="Times New Roman" w:hAnsi="Times New Roman"/>
          <w:snapToGrid/>
          <w:sz w:val="24"/>
          <w:szCs w:val="24"/>
        </w:rPr>
        <w:t xml:space="preserve">Legislation and regulation mandate the information collected within the </w:t>
      </w:r>
      <w:r w:rsidR="001B5DCD">
        <w:rPr>
          <w:rFonts w:ascii="Times New Roman" w:hAnsi="Times New Roman"/>
          <w:snapToGrid/>
          <w:sz w:val="24"/>
          <w:szCs w:val="24"/>
        </w:rPr>
        <w:t>PPR</w:t>
      </w:r>
      <w:r w:rsidRPr="008C1D1E">
        <w:rPr>
          <w:rFonts w:ascii="Times New Roman" w:hAnsi="Times New Roman"/>
          <w:snapToGrid/>
          <w:sz w:val="24"/>
          <w:szCs w:val="24"/>
        </w:rPr>
        <w:t>, and once acquired</w:t>
      </w:r>
      <w:r w:rsidR="009A0F89">
        <w:rPr>
          <w:rFonts w:ascii="Times New Roman" w:hAnsi="Times New Roman"/>
          <w:snapToGrid/>
          <w:sz w:val="24"/>
          <w:szCs w:val="24"/>
        </w:rPr>
        <w:t>, it</w:t>
      </w:r>
      <w:r w:rsidRPr="008C1D1E">
        <w:rPr>
          <w:rFonts w:ascii="Times New Roman" w:hAnsi="Times New Roman"/>
          <w:snapToGrid/>
          <w:sz w:val="24"/>
          <w:szCs w:val="24"/>
        </w:rPr>
        <w:t xml:space="preserve"> becomes </w:t>
      </w:r>
      <w:r w:rsidR="009A0F89">
        <w:rPr>
          <w:rFonts w:ascii="Times New Roman" w:hAnsi="Times New Roman"/>
          <w:snapToGrid/>
          <w:sz w:val="24"/>
          <w:szCs w:val="24"/>
        </w:rPr>
        <w:t xml:space="preserve">part of the </w:t>
      </w:r>
      <w:r w:rsidRPr="008C1D1E">
        <w:rPr>
          <w:rFonts w:ascii="Times New Roman" w:hAnsi="Times New Roman"/>
          <w:snapToGrid/>
          <w:sz w:val="24"/>
          <w:szCs w:val="24"/>
        </w:rPr>
        <w:t xml:space="preserve">public </w:t>
      </w:r>
      <w:r w:rsidR="009A0F89">
        <w:rPr>
          <w:rFonts w:ascii="Times New Roman" w:hAnsi="Times New Roman"/>
          <w:snapToGrid/>
          <w:sz w:val="24"/>
          <w:szCs w:val="24"/>
        </w:rPr>
        <w:t>domain</w:t>
      </w:r>
      <w:r w:rsidRPr="008C1D1E">
        <w:rPr>
          <w:rFonts w:ascii="Times New Roman" w:hAnsi="Times New Roman"/>
          <w:snapToGrid/>
          <w:sz w:val="24"/>
          <w:szCs w:val="24"/>
        </w:rPr>
        <w:t xml:space="preserve">.  </w:t>
      </w:r>
      <w:r w:rsidR="0091597D" w:rsidRPr="005F37C1">
        <w:rPr>
          <w:rFonts w:ascii="Times New Roman" w:hAnsi="Times New Roman"/>
          <w:snapToGrid/>
          <w:sz w:val="24"/>
          <w:szCs w:val="24"/>
        </w:rPr>
        <w:t>A</w:t>
      </w:r>
      <w:r w:rsidR="0091597D">
        <w:rPr>
          <w:rFonts w:ascii="Times New Roman" w:hAnsi="Times New Roman"/>
          <w:snapToGrid/>
          <w:sz w:val="24"/>
          <w:szCs w:val="24"/>
        </w:rPr>
        <w:t>I</w:t>
      </w:r>
      <w:r w:rsidR="0091597D" w:rsidRPr="005F37C1">
        <w:rPr>
          <w:rFonts w:ascii="Times New Roman" w:hAnsi="Times New Roman"/>
          <w:snapToGrid/>
          <w:sz w:val="24"/>
          <w:szCs w:val="24"/>
        </w:rPr>
        <w:t xml:space="preserve">DD plans to make the data from these </w:t>
      </w:r>
      <w:r w:rsidR="0091597D">
        <w:rPr>
          <w:rFonts w:ascii="Times New Roman" w:hAnsi="Times New Roman"/>
          <w:snapToGrid/>
          <w:sz w:val="24"/>
          <w:szCs w:val="24"/>
        </w:rPr>
        <w:t>reports</w:t>
      </w:r>
      <w:r w:rsidR="0091597D" w:rsidRPr="005F37C1">
        <w:rPr>
          <w:rFonts w:ascii="Times New Roman" w:hAnsi="Times New Roman"/>
          <w:snapToGrid/>
          <w:sz w:val="24"/>
          <w:szCs w:val="24"/>
        </w:rPr>
        <w:t xml:space="preserve"> available on the </w:t>
      </w:r>
      <w:r w:rsidR="0091597D">
        <w:rPr>
          <w:rFonts w:ascii="Times New Roman" w:hAnsi="Times New Roman"/>
          <w:snapToGrid/>
          <w:sz w:val="24"/>
          <w:szCs w:val="24"/>
        </w:rPr>
        <w:t>i</w:t>
      </w:r>
      <w:r w:rsidR="0091597D" w:rsidRPr="005F37C1">
        <w:rPr>
          <w:rFonts w:ascii="Times New Roman" w:hAnsi="Times New Roman"/>
          <w:snapToGrid/>
          <w:sz w:val="24"/>
          <w:szCs w:val="24"/>
        </w:rPr>
        <w:t>nternet to the general public.</w:t>
      </w:r>
    </w:p>
    <w:p w:rsidR="008C1D1E" w:rsidRPr="008C1D1E" w:rsidRDefault="008C1D1E" w:rsidP="008C1D1E">
      <w:pPr>
        <w:widowControl/>
        <w:ind w:left="720"/>
        <w:rPr>
          <w:rFonts w:ascii="Times New Roman" w:hAnsi="Times New Roman"/>
          <w:snapToGrid/>
          <w:sz w:val="24"/>
          <w:szCs w:val="24"/>
        </w:rPr>
      </w:pPr>
    </w:p>
    <w:p w:rsidR="008C1D1E" w:rsidRPr="008C1D1E" w:rsidRDefault="009A0F89" w:rsidP="008C1D1E">
      <w:pPr>
        <w:widowControl/>
        <w:ind w:left="720"/>
        <w:rPr>
          <w:rFonts w:ascii="Times New Roman" w:hAnsi="Times New Roman"/>
          <w:snapToGrid/>
          <w:sz w:val="24"/>
          <w:szCs w:val="24"/>
        </w:rPr>
      </w:pPr>
      <w:r>
        <w:rPr>
          <w:rFonts w:ascii="Times New Roman" w:hAnsi="Times New Roman"/>
          <w:snapToGrid/>
          <w:sz w:val="24"/>
          <w:szCs w:val="24"/>
        </w:rPr>
        <w:t xml:space="preserve">A </w:t>
      </w:r>
      <w:r w:rsidR="008C1D1E" w:rsidRPr="008C1D1E">
        <w:rPr>
          <w:rFonts w:ascii="Times New Roman" w:hAnsi="Times New Roman"/>
          <w:snapToGrid/>
          <w:sz w:val="24"/>
          <w:szCs w:val="24"/>
        </w:rPr>
        <w:t>small amount of quantitative data is summed to show national totals for reports.  Analysis and reporting of the data includes pie-charts and bar-charts.  Textual data is stored in electronic databases for access by word-searches</w:t>
      </w:r>
      <w:r w:rsidR="003C4574">
        <w:rPr>
          <w:rFonts w:ascii="Times New Roman" w:hAnsi="Times New Roman"/>
          <w:snapToGrid/>
          <w:sz w:val="24"/>
          <w:szCs w:val="24"/>
        </w:rPr>
        <w:t xml:space="preserve"> and</w:t>
      </w:r>
      <w:r w:rsidR="008C1D1E" w:rsidRPr="008C1D1E">
        <w:rPr>
          <w:rFonts w:ascii="Times New Roman" w:hAnsi="Times New Roman"/>
          <w:snapToGrid/>
          <w:sz w:val="24"/>
          <w:szCs w:val="24"/>
        </w:rPr>
        <w:t xml:space="preserve"> to search for commonalties among States with regard to </w:t>
      </w:r>
      <w:r>
        <w:rPr>
          <w:rFonts w:ascii="Times New Roman" w:hAnsi="Times New Roman"/>
          <w:snapToGrid/>
          <w:sz w:val="24"/>
          <w:szCs w:val="24"/>
        </w:rPr>
        <w:t xml:space="preserve">performance and </w:t>
      </w:r>
      <w:r w:rsidR="008C1D1E" w:rsidRPr="008C1D1E">
        <w:rPr>
          <w:rFonts w:ascii="Times New Roman" w:hAnsi="Times New Roman"/>
          <w:snapToGrid/>
          <w:sz w:val="24"/>
          <w:szCs w:val="24"/>
        </w:rPr>
        <w:t>researching activities of evolving interest.  Reporting on this data will be on an annual basis.</w:t>
      </w:r>
    </w:p>
    <w:p w:rsidR="008C1D1E" w:rsidRPr="008C1D1E" w:rsidRDefault="008C1D1E" w:rsidP="008C1D1E">
      <w:pPr>
        <w:widowControl/>
        <w:ind w:left="720"/>
        <w:rPr>
          <w:rFonts w:ascii="Times New Roman" w:hAnsi="Times New Roman"/>
          <w:snapToGrid/>
          <w:sz w:val="24"/>
          <w:szCs w:val="24"/>
        </w:rPr>
      </w:pPr>
    </w:p>
    <w:p w:rsidR="008C1D1E" w:rsidRPr="008C1D1E" w:rsidRDefault="008C1D1E" w:rsidP="008C1D1E">
      <w:pPr>
        <w:widowControl/>
        <w:ind w:left="720"/>
        <w:rPr>
          <w:rFonts w:ascii="Times New Roman" w:hAnsi="Times New Roman"/>
          <w:snapToGrid/>
          <w:sz w:val="24"/>
          <w:szCs w:val="24"/>
        </w:rPr>
      </w:pPr>
      <w:r w:rsidRPr="008C1D1E">
        <w:rPr>
          <w:rFonts w:ascii="Times New Roman" w:hAnsi="Times New Roman"/>
          <w:snapToGrid/>
          <w:sz w:val="24"/>
          <w:szCs w:val="24"/>
        </w:rPr>
        <w:t xml:space="preserve">Additionally, information contained in the </w:t>
      </w:r>
      <w:r w:rsidR="0041193F">
        <w:rPr>
          <w:rFonts w:ascii="Times New Roman" w:hAnsi="Times New Roman"/>
          <w:snapToGrid/>
          <w:sz w:val="24"/>
          <w:szCs w:val="24"/>
        </w:rPr>
        <w:t xml:space="preserve">PPR provides </w:t>
      </w:r>
      <w:r w:rsidR="009A0F89">
        <w:rPr>
          <w:rFonts w:ascii="Times New Roman" w:hAnsi="Times New Roman"/>
          <w:snapToGrid/>
          <w:sz w:val="24"/>
          <w:szCs w:val="24"/>
        </w:rPr>
        <w:t>dat</w:t>
      </w:r>
      <w:r w:rsidR="0041193F">
        <w:rPr>
          <w:rFonts w:ascii="Times New Roman" w:hAnsi="Times New Roman"/>
          <w:snapToGrid/>
          <w:sz w:val="24"/>
          <w:szCs w:val="24"/>
        </w:rPr>
        <w:t>a</w:t>
      </w:r>
      <w:r w:rsidRPr="008C1D1E">
        <w:rPr>
          <w:rFonts w:ascii="Times New Roman" w:hAnsi="Times New Roman"/>
          <w:snapToGrid/>
          <w:sz w:val="24"/>
          <w:szCs w:val="24"/>
        </w:rPr>
        <w:t xml:space="preserve"> </w:t>
      </w:r>
      <w:r w:rsidR="009A0F89">
        <w:rPr>
          <w:rFonts w:ascii="Times New Roman" w:hAnsi="Times New Roman"/>
          <w:snapToGrid/>
          <w:sz w:val="24"/>
          <w:szCs w:val="24"/>
        </w:rPr>
        <w:t xml:space="preserve">related to </w:t>
      </w:r>
      <w:r w:rsidRPr="008C1D1E">
        <w:rPr>
          <w:rFonts w:ascii="Times New Roman" w:hAnsi="Times New Roman"/>
          <w:snapToGrid/>
          <w:sz w:val="24"/>
          <w:szCs w:val="24"/>
        </w:rPr>
        <w:t>performance measures</w:t>
      </w:r>
      <w:r w:rsidR="009A0F89">
        <w:rPr>
          <w:rFonts w:ascii="Times New Roman" w:hAnsi="Times New Roman"/>
          <w:snapToGrid/>
          <w:sz w:val="24"/>
          <w:szCs w:val="24"/>
        </w:rPr>
        <w:t xml:space="preserve">, which is </w:t>
      </w:r>
      <w:r w:rsidRPr="008C1D1E">
        <w:rPr>
          <w:rFonts w:ascii="Times New Roman" w:hAnsi="Times New Roman"/>
          <w:snapToGrid/>
          <w:sz w:val="24"/>
          <w:szCs w:val="24"/>
        </w:rPr>
        <w:t>reported to Congress under</w:t>
      </w:r>
      <w:r w:rsidR="009A0F89">
        <w:rPr>
          <w:rFonts w:ascii="Times New Roman" w:hAnsi="Times New Roman"/>
          <w:snapToGrid/>
          <w:sz w:val="24"/>
          <w:szCs w:val="24"/>
        </w:rPr>
        <w:t xml:space="preserve"> the</w:t>
      </w:r>
      <w:r w:rsidRPr="008C1D1E">
        <w:rPr>
          <w:rFonts w:ascii="Times New Roman" w:hAnsi="Times New Roman"/>
          <w:snapToGrid/>
          <w:sz w:val="24"/>
          <w:szCs w:val="24"/>
        </w:rPr>
        <w:t xml:space="preserve"> GPRA</w:t>
      </w:r>
      <w:r w:rsidR="009A0F89">
        <w:rPr>
          <w:rFonts w:ascii="Times New Roman" w:hAnsi="Times New Roman"/>
          <w:snapToGrid/>
          <w:sz w:val="24"/>
          <w:szCs w:val="24"/>
        </w:rPr>
        <w:t>MA</w:t>
      </w:r>
      <w:r w:rsidRPr="008C1D1E">
        <w:rPr>
          <w:rFonts w:ascii="Times New Roman" w:hAnsi="Times New Roman"/>
          <w:snapToGrid/>
          <w:sz w:val="24"/>
          <w:szCs w:val="24"/>
        </w:rPr>
        <w:t>.</w:t>
      </w:r>
    </w:p>
    <w:p w:rsidR="007011A8" w:rsidRPr="007011A8" w:rsidRDefault="007011A8" w:rsidP="007011A8">
      <w:pPr>
        <w:widowControl/>
        <w:ind w:left="720"/>
        <w:rPr>
          <w:rFonts w:ascii="Times New Roman" w:hAnsi="Times New Roman"/>
          <w:snapToGrid/>
          <w:sz w:val="24"/>
          <w:szCs w:val="24"/>
        </w:rPr>
      </w:pPr>
    </w:p>
    <w:p w:rsidR="0018436A" w:rsidRPr="007011A8" w:rsidRDefault="0018436A" w:rsidP="007011A8">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Reason(s) Display of OMB Expiration Date is Inappropriate </w:t>
      </w:r>
    </w:p>
    <w:p w:rsidR="00E23496" w:rsidRDefault="003C4574" w:rsidP="00E23496">
      <w:pPr>
        <w:widowControl/>
        <w:ind w:left="720"/>
        <w:rPr>
          <w:rFonts w:ascii="Times New Roman" w:hAnsi="Times New Roman"/>
          <w:snapToGrid/>
          <w:sz w:val="24"/>
          <w:szCs w:val="24"/>
        </w:rPr>
      </w:pPr>
      <w:r>
        <w:rPr>
          <w:rFonts w:ascii="Times New Roman" w:hAnsi="Times New Roman"/>
          <w:snapToGrid/>
          <w:sz w:val="24"/>
          <w:szCs w:val="24"/>
        </w:rPr>
        <w:t>The OMB expiration date will be displayed on all data collection instruments.</w:t>
      </w:r>
    </w:p>
    <w:p w:rsidR="0018436A" w:rsidRDefault="0018436A" w:rsidP="00E23496">
      <w:pPr>
        <w:widowControl/>
        <w:ind w:left="720"/>
        <w:rPr>
          <w:rFonts w:ascii="Times New Roman" w:hAnsi="Times New Roman"/>
          <w:snapToGrid/>
          <w:sz w:val="24"/>
          <w:szCs w:val="24"/>
        </w:rPr>
      </w:pPr>
    </w:p>
    <w:p w:rsidR="00313EF3" w:rsidRPr="00CA26B5" w:rsidRDefault="00313EF3" w:rsidP="00E23496">
      <w:pPr>
        <w:widowControl/>
        <w:ind w:left="720"/>
        <w:rPr>
          <w:rFonts w:ascii="Times New Roman" w:hAnsi="Times New Roman"/>
          <w:snapToGrid/>
          <w:sz w:val="24"/>
          <w:szCs w:val="24"/>
        </w:rPr>
      </w:pPr>
    </w:p>
    <w:p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Exceptions to Certification for Paperwork Reduction Act Submissions</w:t>
      </w:r>
    </w:p>
    <w:p w:rsidR="008A6A4C" w:rsidRDefault="008A6A4C" w:rsidP="008A6A4C">
      <w:pPr>
        <w:widowControl/>
        <w:ind w:left="720"/>
        <w:rPr>
          <w:rFonts w:ascii="Times New Roman" w:hAnsi="Times New Roman"/>
          <w:snapToGrid/>
          <w:sz w:val="24"/>
          <w:szCs w:val="24"/>
        </w:rPr>
      </w:pPr>
      <w:r>
        <w:rPr>
          <w:rFonts w:ascii="Times New Roman" w:hAnsi="Times New Roman"/>
          <w:snapToGrid/>
          <w:sz w:val="24"/>
          <w:szCs w:val="24"/>
        </w:rPr>
        <w:t>Not applicable.</w:t>
      </w:r>
    </w:p>
    <w:p w:rsidR="008A6A4C" w:rsidRDefault="008A6A4C" w:rsidP="008A6A4C">
      <w:pPr>
        <w:widowControl/>
        <w:ind w:left="720"/>
        <w:rPr>
          <w:rFonts w:ascii="Times New Roman" w:hAnsi="Times New Roman"/>
          <w:snapToGrid/>
          <w:sz w:val="24"/>
          <w:szCs w:val="24"/>
        </w:rPr>
      </w:pPr>
    </w:p>
    <w:p w:rsidR="008C1D1E" w:rsidRPr="00CA26B5" w:rsidRDefault="008C1D1E" w:rsidP="008A6A4C">
      <w:pPr>
        <w:widowControl/>
        <w:ind w:left="720"/>
        <w:rPr>
          <w:rFonts w:ascii="Times New Roman" w:hAnsi="Times New Roman"/>
          <w:snapToGrid/>
          <w:sz w:val="24"/>
          <w:szCs w:val="24"/>
        </w:rPr>
      </w:pPr>
    </w:p>
    <w:p w:rsidR="002C3C4F" w:rsidRDefault="002C3C4F" w:rsidP="002C3C4F">
      <w:pPr>
        <w:widowControl/>
        <w:spacing w:before="100" w:beforeAutospacing="1" w:after="100" w:afterAutospacing="1"/>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CA26B5" w:rsidRPr="00CA26B5" w:rsidRDefault="00CA26B5" w:rsidP="00CA26B5">
      <w:pPr>
        <w:widowControl/>
        <w:ind w:left="720"/>
        <w:rPr>
          <w:rFonts w:ascii="Times New Roman" w:hAnsi="Times New Roman"/>
          <w:bCs/>
          <w:snapToGrid/>
          <w:sz w:val="24"/>
          <w:szCs w:val="24"/>
        </w:rPr>
      </w:pPr>
      <w:r>
        <w:rPr>
          <w:rFonts w:ascii="Times New Roman" w:hAnsi="Times New Roman"/>
          <w:bCs/>
          <w:snapToGrid/>
          <w:sz w:val="24"/>
          <w:szCs w:val="24"/>
        </w:rPr>
        <w:t>This information collection does not employ statistical methods.</w:t>
      </w:r>
    </w:p>
    <w:p w:rsidR="00CA26B5" w:rsidRPr="00CA26B5" w:rsidRDefault="00CA26B5" w:rsidP="00CA26B5">
      <w:pPr>
        <w:widowControl/>
        <w:rPr>
          <w:rFonts w:ascii="Times New Roman" w:hAnsi="Times New Roman"/>
          <w:snapToGrid/>
          <w:sz w:val="24"/>
          <w:szCs w:val="24"/>
        </w:rPr>
      </w:pPr>
    </w:p>
    <w:sectPr w:rsidR="00CA26B5" w:rsidRPr="00CA26B5"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70" w:rsidRDefault="006F1170">
      <w:pPr>
        <w:spacing w:line="20" w:lineRule="exact"/>
        <w:rPr>
          <w:sz w:val="24"/>
        </w:rPr>
      </w:pPr>
    </w:p>
  </w:endnote>
  <w:endnote w:type="continuationSeparator" w:id="0">
    <w:p w:rsidR="006F1170" w:rsidRDefault="006F1170">
      <w:r>
        <w:rPr>
          <w:sz w:val="24"/>
        </w:rPr>
        <w:t xml:space="preserve"> </w:t>
      </w:r>
    </w:p>
  </w:endnote>
  <w:endnote w:type="continuationNotice" w:id="1">
    <w:p w:rsidR="006F1170" w:rsidRDefault="006F117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96" w:rsidRDefault="00353996" w:rsidP="007807C4">
    <w:pPr>
      <w:spacing w:before="140" w:line="100" w:lineRule="exact"/>
      <w:rPr>
        <w:sz w:val="10"/>
      </w:rPr>
    </w:pPr>
  </w:p>
  <w:p w:rsidR="00353996" w:rsidRDefault="00353996" w:rsidP="007807C4">
    <w:pPr>
      <w:tabs>
        <w:tab w:val="left" w:pos="-720"/>
      </w:tabs>
      <w:suppressAutoHyphens/>
      <w:rPr>
        <w:sz w:val="24"/>
      </w:rPr>
    </w:pPr>
  </w:p>
  <w:p w:rsidR="00353996" w:rsidRDefault="002C3140" w:rsidP="007807C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996" w:rsidRDefault="00353996"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A635EA">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OU3QIAAF4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CudROU3QIAAF4GAAAOAAAAAAAAAAAAAAAAAC4C&#10;AABkcnMvZTJvRG9jLnhtbFBLAQItABQABgAIAAAAIQD7poUw3QAAAAcBAAAPAAAAAAAAAAAAAAAA&#10;ADcFAABkcnMvZG93bnJldi54bWxQSwUGAAAAAAQABADzAAAAQQYAAAAA&#10;" o:allowincell="f" filled="f" stroked="f" strokeweight="0">
              <v:textbox inset="0,0,0,0">
                <w:txbxContent>
                  <w:p w:rsidR="00353996" w:rsidRDefault="00353996"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A635EA">
                      <w:rPr>
                        <w:noProof/>
                        <w:sz w:val="24"/>
                      </w:rPr>
                      <w:t>4</w:t>
                    </w:r>
                    <w:r>
                      <w:rPr>
                        <w:sz w:val="24"/>
                      </w:rPr>
                      <w:fldChar w:fldCharType="end"/>
                    </w:r>
                  </w:p>
                </w:txbxContent>
              </v:textbox>
              <w10:wrap anchorx="margin"/>
            </v:rect>
          </w:pict>
        </mc:Fallback>
      </mc:AlternateContent>
    </w:r>
  </w:p>
  <w:p w:rsidR="00353996" w:rsidRPr="007807C4" w:rsidRDefault="00353996" w:rsidP="00780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70" w:rsidRDefault="006F1170">
      <w:r>
        <w:rPr>
          <w:sz w:val="24"/>
        </w:rPr>
        <w:separator/>
      </w:r>
    </w:p>
  </w:footnote>
  <w:footnote w:type="continuationSeparator" w:id="0">
    <w:p w:rsidR="006F1170" w:rsidRDefault="006F1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4523B8"/>
    <w:multiLevelType w:val="hybridMultilevel"/>
    <w:tmpl w:val="F47243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3442"/>
    <w:rsid w:val="0001469C"/>
    <w:rsid w:val="0002742C"/>
    <w:rsid w:val="0004592B"/>
    <w:rsid w:val="00060E54"/>
    <w:rsid w:val="00063706"/>
    <w:rsid w:val="0007166F"/>
    <w:rsid w:val="000949CF"/>
    <w:rsid w:val="000A5C8C"/>
    <w:rsid w:val="000B098F"/>
    <w:rsid w:val="000C642C"/>
    <w:rsid w:val="000D76E3"/>
    <w:rsid w:val="000E1E70"/>
    <w:rsid w:val="000E3D4A"/>
    <w:rsid w:val="000F12F5"/>
    <w:rsid w:val="00136DB8"/>
    <w:rsid w:val="0014145B"/>
    <w:rsid w:val="00162A99"/>
    <w:rsid w:val="00175B7B"/>
    <w:rsid w:val="0018436A"/>
    <w:rsid w:val="001848D4"/>
    <w:rsid w:val="00186385"/>
    <w:rsid w:val="00193E42"/>
    <w:rsid w:val="001B5DCD"/>
    <w:rsid w:val="001B76CC"/>
    <w:rsid w:val="001C18DB"/>
    <w:rsid w:val="001C483C"/>
    <w:rsid w:val="001D2008"/>
    <w:rsid w:val="001D77A9"/>
    <w:rsid w:val="00231A7C"/>
    <w:rsid w:val="00234235"/>
    <w:rsid w:val="0029589B"/>
    <w:rsid w:val="00296738"/>
    <w:rsid w:val="002C3140"/>
    <w:rsid w:val="002C3C4F"/>
    <w:rsid w:val="002C46DF"/>
    <w:rsid w:val="002E10D1"/>
    <w:rsid w:val="002E27D1"/>
    <w:rsid w:val="002F30D0"/>
    <w:rsid w:val="002F71C8"/>
    <w:rsid w:val="0030584F"/>
    <w:rsid w:val="00313EF3"/>
    <w:rsid w:val="00333C71"/>
    <w:rsid w:val="003405A4"/>
    <w:rsid w:val="00353996"/>
    <w:rsid w:val="00353FD1"/>
    <w:rsid w:val="00397138"/>
    <w:rsid w:val="003C4574"/>
    <w:rsid w:val="003D7897"/>
    <w:rsid w:val="003E6CE0"/>
    <w:rsid w:val="003E6EA3"/>
    <w:rsid w:val="0041193F"/>
    <w:rsid w:val="00467954"/>
    <w:rsid w:val="00476C1F"/>
    <w:rsid w:val="00480072"/>
    <w:rsid w:val="0049119A"/>
    <w:rsid w:val="004943E0"/>
    <w:rsid w:val="004D0A8E"/>
    <w:rsid w:val="004F6610"/>
    <w:rsid w:val="00511C25"/>
    <w:rsid w:val="0052552E"/>
    <w:rsid w:val="00525AD8"/>
    <w:rsid w:val="00555808"/>
    <w:rsid w:val="00563EF8"/>
    <w:rsid w:val="00572A47"/>
    <w:rsid w:val="00577789"/>
    <w:rsid w:val="0058205A"/>
    <w:rsid w:val="005824BD"/>
    <w:rsid w:val="005B1C6A"/>
    <w:rsid w:val="005B22D4"/>
    <w:rsid w:val="005D274E"/>
    <w:rsid w:val="005D542D"/>
    <w:rsid w:val="005D61DB"/>
    <w:rsid w:val="005F0ED4"/>
    <w:rsid w:val="005F37C1"/>
    <w:rsid w:val="00603498"/>
    <w:rsid w:val="00610B5F"/>
    <w:rsid w:val="00636C18"/>
    <w:rsid w:val="006403A6"/>
    <w:rsid w:val="00640565"/>
    <w:rsid w:val="0064544B"/>
    <w:rsid w:val="00696244"/>
    <w:rsid w:val="00697AC3"/>
    <w:rsid w:val="006A3709"/>
    <w:rsid w:val="006B2726"/>
    <w:rsid w:val="006E6629"/>
    <w:rsid w:val="006F1170"/>
    <w:rsid w:val="006F68BE"/>
    <w:rsid w:val="007011A8"/>
    <w:rsid w:val="00714B56"/>
    <w:rsid w:val="00731447"/>
    <w:rsid w:val="00740530"/>
    <w:rsid w:val="0076292C"/>
    <w:rsid w:val="00766C03"/>
    <w:rsid w:val="007807C4"/>
    <w:rsid w:val="00793495"/>
    <w:rsid w:val="007A2633"/>
    <w:rsid w:val="007C47C5"/>
    <w:rsid w:val="007D5098"/>
    <w:rsid w:val="00800C17"/>
    <w:rsid w:val="00811626"/>
    <w:rsid w:val="00827C8B"/>
    <w:rsid w:val="00841BDF"/>
    <w:rsid w:val="00846E18"/>
    <w:rsid w:val="00851B25"/>
    <w:rsid w:val="00853298"/>
    <w:rsid w:val="0086798A"/>
    <w:rsid w:val="00872442"/>
    <w:rsid w:val="008877ED"/>
    <w:rsid w:val="008A6712"/>
    <w:rsid w:val="008A6A4C"/>
    <w:rsid w:val="008B5A4D"/>
    <w:rsid w:val="008C1D1E"/>
    <w:rsid w:val="008C2070"/>
    <w:rsid w:val="00904DD4"/>
    <w:rsid w:val="0091597D"/>
    <w:rsid w:val="0091646B"/>
    <w:rsid w:val="00924F98"/>
    <w:rsid w:val="009364D4"/>
    <w:rsid w:val="00936A53"/>
    <w:rsid w:val="00945B72"/>
    <w:rsid w:val="00961B1C"/>
    <w:rsid w:val="00970547"/>
    <w:rsid w:val="00973F7F"/>
    <w:rsid w:val="009A0F89"/>
    <w:rsid w:val="009A6A46"/>
    <w:rsid w:val="009B5046"/>
    <w:rsid w:val="00A3457A"/>
    <w:rsid w:val="00A360DB"/>
    <w:rsid w:val="00A401A0"/>
    <w:rsid w:val="00A574C4"/>
    <w:rsid w:val="00A635EA"/>
    <w:rsid w:val="00A77AC0"/>
    <w:rsid w:val="00A918E4"/>
    <w:rsid w:val="00AA1CCA"/>
    <w:rsid w:val="00AA4104"/>
    <w:rsid w:val="00AB63B6"/>
    <w:rsid w:val="00AC36AD"/>
    <w:rsid w:val="00AD0DE4"/>
    <w:rsid w:val="00AE1DC9"/>
    <w:rsid w:val="00AE74F7"/>
    <w:rsid w:val="00AF4347"/>
    <w:rsid w:val="00AF5FE7"/>
    <w:rsid w:val="00B012DF"/>
    <w:rsid w:val="00B02089"/>
    <w:rsid w:val="00B02FFA"/>
    <w:rsid w:val="00B14A6A"/>
    <w:rsid w:val="00B25613"/>
    <w:rsid w:val="00B332D7"/>
    <w:rsid w:val="00B37545"/>
    <w:rsid w:val="00B652D8"/>
    <w:rsid w:val="00B763BD"/>
    <w:rsid w:val="00B77C62"/>
    <w:rsid w:val="00B96074"/>
    <w:rsid w:val="00BA3760"/>
    <w:rsid w:val="00BA5E29"/>
    <w:rsid w:val="00BB2A7C"/>
    <w:rsid w:val="00BB49DF"/>
    <w:rsid w:val="00BB68F5"/>
    <w:rsid w:val="00BC296F"/>
    <w:rsid w:val="00BD378C"/>
    <w:rsid w:val="00C119D5"/>
    <w:rsid w:val="00C13BA6"/>
    <w:rsid w:val="00C76D81"/>
    <w:rsid w:val="00CA26B5"/>
    <w:rsid w:val="00CB22D2"/>
    <w:rsid w:val="00CB39C6"/>
    <w:rsid w:val="00CE53AB"/>
    <w:rsid w:val="00D0678C"/>
    <w:rsid w:val="00D176EB"/>
    <w:rsid w:val="00D22E49"/>
    <w:rsid w:val="00D429B3"/>
    <w:rsid w:val="00D46184"/>
    <w:rsid w:val="00D564DC"/>
    <w:rsid w:val="00D7064B"/>
    <w:rsid w:val="00D85346"/>
    <w:rsid w:val="00D86C46"/>
    <w:rsid w:val="00D9648C"/>
    <w:rsid w:val="00DC1C23"/>
    <w:rsid w:val="00DC5306"/>
    <w:rsid w:val="00DD7768"/>
    <w:rsid w:val="00E23496"/>
    <w:rsid w:val="00E239B3"/>
    <w:rsid w:val="00E41F46"/>
    <w:rsid w:val="00E570A9"/>
    <w:rsid w:val="00E64AF0"/>
    <w:rsid w:val="00E75833"/>
    <w:rsid w:val="00EA560B"/>
    <w:rsid w:val="00EA6ECF"/>
    <w:rsid w:val="00EC7D7D"/>
    <w:rsid w:val="00ED7974"/>
    <w:rsid w:val="00F10B17"/>
    <w:rsid w:val="00F14FB0"/>
    <w:rsid w:val="00F16F85"/>
    <w:rsid w:val="00FA5092"/>
    <w:rsid w:val="00FB3EB2"/>
    <w:rsid w:val="00FC2932"/>
    <w:rsid w:val="00FD0700"/>
    <w:rsid w:val="00FF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paragraph" w:styleId="ListParagraph">
    <w:name w:val="List Paragraph"/>
    <w:basedOn w:val="Normal"/>
    <w:uiPriority w:val="34"/>
    <w:qFormat/>
    <w:rsid w:val="009A6A46"/>
    <w:pPr>
      <w:ind w:left="720"/>
      <w:contextualSpacing/>
    </w:pPr>
  </w:style>
  <w:style w:type="character" w:styleId="CommentReference">
    <w:name w:val="annotation reference"/>
    <w:basedOn w:val="DefaultParagraphFont"/>
    <w:rsid w:val="00D429B3"/>
    <w:rPr>
      <w:sz w:val="16"/>
      <w:szCs w:val="16"/>
    </w:rPr>
  </w:style>
  <w:style w:type="paragraph" w:styleId="CommentText">
    <w:name w:val="annotation text"/>
    <w:basedOn w:val="Normal"/>
    <w:link w:val="CommentTextChar"/>
    <w:rsid w:val="00D429B3"/>
  </w:style>
  <w:style w:type="character" w:customStyle="1" w:styleId="CommentTextChar">
    <w:name w:val="Comment Text Char"/>
    <w:basedOn w:val="DefaultParagraphFont"/>
    <w:link w:val="CommentText"/>
    <w:rsid w:val="00D429B3"/>
    <w:rPr>
      <w:rFonts w:ascii="Courier New" w:hAnsi="Courier New"/>
      <w:snapToGrid w:val="0"/>
    </w:rPr>
  </w:style>
  <w:style w:type="paragraph" w:styleId="CommentSubject">
    <w:name w:val="annotation subject"/>
    <w:basedOn w:val="CommentText"/>
    <w:next w:val="CommentText"/>
    <w:link w:val="CommentSubjectChar"/>
    <w:rsid w:val="00D429B3"/>
    <w:rPr>
      <w:b/>
      <w:bCs/>
    </w:rPr>
  </w:style>
  <w:style w:type="character" w:customStyle="1" w:styleId="CommentSubjectChar">
    <w:name w:val="Comment Subject Char"/>
    <w:basedOn w:val="CommentTextChar"/>
    <w:link w:val="CommentSubject"/>
    <w:rsid w:val="00D429B3"/>
    <w:rPr>
      <w:rFonts w:ascii="Courier New" w:hAnsi="Courier New"/>
      <w:b/>
      <w:bCs/>
      <w:snapToGrid w:val="0"/>
    </w:rPr>
  </w:style>
  <w:style w:type="paragraph" w:styleId="Revision">
    <w:name w:val="Revision"/>
    <w:hidden/>
    <w:uiPriority w:val="99"/>
    <w:semiHidden/>
    <w:rsid w:val="00D429B3"/>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paragraph" w:styleId="ListParagraph">
    <w:name w:val="List Paragraph"/>
    <w:basedOn w:val="Normal"/>
    <w:uiPriority w:val="34"/>
    <w:qFormat/>
    <w:rsid w:val="009A6A46"/>
    <w:pPr>
      <w:ind w:left="720"/>
      <w:contextualSpacing/>
    </w:pPr>
  </w:style>
  <w:style w:type="character" w:styleId="CommentReference">
    <w:name w:val="annotation reference"/>
    <w:basedOn w:val="DefaultParagraphFont"/>
    <w:rsid w:val="00D429B3"/>
    <w:rPr>
      <w:sz w:val="16"/>
      <w:szCs w:val="16"/>
    </w:rPr>
  </w:style>
  <w:style w:type="paragraph" w:styleId="CommentText">
    <w:name w:val="annotation text"/>
    <w:basedOn w:val="Normal"/>
    <w:link w:val="CommentTextChar"/>
    <w:rsid w:val="00D429B3"/>
  </w:style>
  <w:style w:type="character" w:customStyle="1" w:styleId="CommentTextChar">
    <w:name w:val="Comment Text Char"/>
    <w:basedOn w:val="DefaultParagraphFont"/>
    <w:link w:val="CommentText"/>
    <w:rsid w:val="00D429B3"/>
    <w:rPr>
      <w:rFonts w:ascii="Courier New" w:hAnsi="Courier New"/>
      <w:snapToGrid w:val="0"/>
    </w:rPr>
  </w:style>
  <w:style w:type="paragraph" w:styleId="CommentSubject">
    <w:name w:val="annotation subject"/>
    <w:basedOn w:val="CommentText"/>
    <w:next w:val="CommentText"/>
    <w:link w:val="CommentSubjectChar"/>
    <w:rsid w:val="00D429B3"/>
    <w:rPr>
      <w:b/>
      <w:bCs/>
    </w:rPr>
  </w:style>
  <w:style w:type="character" w:customStyle="1" w:styleId="CommentSubjectChar">
    <w:name w:val="Comment Subject Char"/>
    <w:basedOn w:val="CommentTextChar"/>
    <w:link w:val="CommentSubject"/>
    <w:rsid w:val="00D429B3"/>
    <w:rPr>
      <w:rFonts w:ascii="Courier New" w:hAnsi="Courier New"/>
      <w:b/>
      <w:bCs/>
      <w:snapToGrid w:val="0"/>
    </w:rPr>
  </w:style>
  <w:style w:type="paragraph" w:styleId="Revision">
    <w:name w:val="Revision"/>
    <w:hidden/>
    <w:uiPriority w:val="99"/>
    <w:semiHidden/>
    <w:rsid w:val="00D429B3"/>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21553">
      <w:bodyDiv w:val="1"/>
      <w:marLeft w:val="0"/>
      <w:marRight w:val="0"/>
      <w:marTop w:val="0"/>
      <w:marBottom w:val="0"/>
      <w:divBdr>
        <w:top w:val="none" w:sz="0" w:space="0" w:color="auto"/>
        <w:left w:val="none" w:sz="0" w:space="0" w:color="auto"/>
        <w:bottom w:val="none" w:sz="0" w:space="0" w:color="auto"/>
        <w:right w:val="none" w:sz="0" w:space="0" w:color="auto"/>
      </w:divBdr>
    </w:div>
    <w:div w:id="12530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acl.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0980-0270</OMB_x0020_Control_x0020_Number>
    <FR_x0020_Title xmlns="e059a2d5-a4f8-4fd8-b836-4c9cf26100e7" xsi:nil="true"/>
    <ACF_x0020_Tracking_x0020_No_x002e_ xmlns="e059a2d5-a4f8-4fd8-b836-4c9cf26100e7">ADD-0074</ACF_x0020_Tracking_x0020_No_x002e_>
    <Description0 xmlns="e059a2d5-a4f8-4fd8-b836-4c9cf26100e7">Supporting Statement for DD P&amp;A SGP</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43D12-B59A-4B24-9101-A622D3324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5DF87-945D-4248-9AC8-3BC8BC96F206}">
  <ds:schemaRefs>
    <ds:schemaRef ds:uri="http://schemas.microsoft.com/office/2006/metadata/longProperties"/>
  </ds:schemaRefs>
</ds:datastoreItem>
</file>

<file path=customXml/itemProps3.xml><?xml version="1.0" encoding="utf-8"?>
<ds:datastoreItem xmlns:ds="http://schemas.openxmlformats.org/officeDocument/2006/customXml" ds:itemID="{5F62C09D-A39A-4BA2-8BC9-89F8C3D7F7BC}">
  <ds:schemaRefs>
    <ds:schemaRef ds:uri="http://schemas.microsoft.com/sharepoint/v3/contenttype/forms"/>
  </ds:schemaRefs>
</ds:datastoreItem>
</file>

<file path=customXml/itemProps4.xml><?xml version="1.0" encoding="utf-8"?>
<ds:datastoreItem xmlns:ds="http://schemas.openxmlformats.org/officeDocument/2006/customXml" ds:itemID="{CE5A5125-D906-4CA4-BB22-268D7D931225}">
  <ds:schemaRefs>
    <ds:schemaRef ds:uri="http://schemas.microsoft.com/office/2006/metadata/properties"/>
    <ds:schemaRef ds:uri="http://schemas.microsoft.com/office/infopath/2007/PartnerControls"/>
    <ds:schemaRef ds:uri="e059a2d5-a4f8-4fd8-b836-4c9cf26100e7"/>
  </ds:schemaRefs>
</ds:datastoreItem>
</file>

<file path=customXml/itemProps5.xml><?xml version="1.0" encoding="utf-8"?>
<ds:datastoreItem xmlns:ds="http://schemas.openxmlformats.org/officeDocument/2006/customXml" ds:itemID="{8215161D-0434-4588-BDDF-B71FCB25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PA-SGP-09-Supp</vt:lpstr>
    </vt:vector>
  </TitlesOfParts>
  <Company>DHHS</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PA-SGP-09-Supp</dc:title>
  <dc:creator>ACF</dc:creator>
  <cp:lastModifiedBy>Windows User</cp:lastModifiedBy>
  <cp:revision>4</cp:revision>
  <cp:lastPrinted>2017-06-08T14:05:00Z</cp:lastPrinted>
  <dcterms:created xsi:type="dcterms:W3CDTF">2017-04-20T14:30:00Z</dcterms:created>
  <dcterms:modified xsi:type="dcterms:W3CDTF">2017-06-08T19:01:00Z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