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BA13F" w14:textId="77777777" w:rsidR="00B7210C" w:rsidRDefault="00B7210C" w:rsidP="008C2905">
      <w:pPr>
        <w:pStyle w:val="Title"/>
      </w:pPr>
    </w:p>
    <w:p w14:paraId="6AD5EF49" w14:textId="77777777" w:rsidR="00C90F5B" w:rsidRPr="00C90F5B" w:rsidRDefault="00870D59" w:rsidP="008C2905">
      <w:pPr>
        <w:pStyle w:val="Title"/>
      </w:pPr>
      <w:r w:rsidRPr="00CF5391">
        <w:t>Supporting Statement – Part A</w:t>
      </w:r>
    </w:p>
    <w:p w14:paraId="54587E04" w14:textId="77777777" w:rsidR="00B257E5" w:rsidRDefault="002E035C" w:rsidP="00B257E5">
      <w:pPr>
        <w:pStyle w:val="Heading1"/>
        <w:rPr>
          <w:rStyle w:val="TitleChar"/>
          <w:color w:val="auto"/>
          <w:spacing w:val="0"/>
          <w:kern w:val="0"/>
          <w:sz w:val="26"/>
          <w:szCs w:val="26"/>
        </w:rPr>
      </w:pPr>
      <w:r w:rsidRPr="00B257E5">
        <w:rPr>
          <w:rStyle w:val="TitleChar"/>
          <w:color w:val="auto"/>
          <w:spacing w:val="0"/>
          <w:kern w:val="0"/>
          <w:sz w:val="26"/>
          <w:szCs w:val="26"/>
        </w:rPr>
        <w:t>Montana Health and Economic Livelihood Partnership (HELP)</w:t>
      </w:r>
    </w:p>
    <w:p w14:paraId="2C49B809" w14:textId="7D20B457" w:rsidR="002E035C" w:rsidRPr="00B257E5" w:rsidRDefault="002E035C" w:rsidP="00B257E5">
      <w:pPr>
        <w:pStyle w:val="Heading1"/>
        <w:rPr>
          <w:rStyle w:val="TitleChar"/>
          <w:color w:val="auto"/>
          <w:spacing w:val="0"/>
          <w:kern w:val="0"/>
          <w:sz w:val="26"/>
          <w:szCs w:val="26"/>
        </w:rPr>
      </w:pPr>
      <w:r w:rsidRPr="00B257E5">
        <w:rPr>
          <w:rStyle w:val="TitleChar"/>
          <w:color w:val="auto"/>
          <w:spacing w:val="0"/>
          <w:kern w:val="0"/>
          <w:sz w:val="26"/>
          <w:szCs w:val="26"/>
        </w:rPr>
        <w:t>Federal Evaluation</w:t>
      </w:r>
    </w:p>
    <w:p w14:paraId="1665086D" w14:textId="3D010A8D" w:rsidR="00B257E5" w:rsidRPr="00B257E5" w:rsidRDefault="00B257E5" w:rsidP="00B257E5">
      <w:pPr>
        <w:jc w:val="center"/>
        <w:rPr>
          <w:rFonts w:ascii="Cambria" w:hAnsi="Cambria"/>
          <w:b/>
          <w:sz w:val="26"/>
          <w:szCs w:val="26"/>
        </w:rPr>
      </w:pPr>
      <w:r w:rsidRPr="00B257E5">
        <w:rPr>
          <w:rFonts w:ascii="Cambria" w:hAnsi="Cambria"/>
          <w:b/>
          <w:sz w:val="26"/>
          <w:szCs w:val="26"/>
        </w:rPr>
        <w:t>CMS-10635, OMB 0938-New</w:t>
      </w:r>
    </w:p>
    <w:p w14:paraId="0BB90744" w14:textId="77777777" w:rsidR="00B257E5" w:rsidRDefault="00B257E5" w:rsidP="00DE1709">
      <w:pPr>
        <w:pStyle w:val="Heading2"/>
      </w:pPr>
    </w:p>
    <w:p w14:paraId="545E186B" w14:textId="700BB203" w:rsidR="008F1EB4" w:rsidRDefault="008F1EB4" w:rsidP="00DE1709">
      <w:pPr>
        <w:pStyle w:val="Heading2"/>
      </w:pPr>
      <w:r>
        <w:t>Background</w:t>
      </w:r>
    </w:p>
    <w:p w14:paraId="1EA0B9D1" w14:textId="77777777" w:rsidR="004507B3" w:rsidRDefault="004507B3" w:rsidP="00C059D3">
      <w:pPr>
        <w:pStyle w:val="BodyText"/>
      </w:pPr>
    </w:p>
    <w:p w14:paraId="170548B7" w14:textId="53D1A83F" w:rsidR="004507B3" w:rsidRDefault="004507B3" w:rsidP="00C059D3">
      <w:pPr>
        <w:pStyle w:val="BodyText"/>
      </w:pPr>
      <w:r>
        <w:t xml:space="preserve">Currently </w:t>
      </w:r>
      <w:r w:rsidR="00C05DA7">
        <w:t>31</w:t>
      </w:r>
      <w:r>
        <w:t xml:space="preserve"> states</w:t>
      </w:r>
      <w:r w:rsidR="00C05DA7">
        <w:t>, including the District of Columbia,</w:t>
      </w:r>
      <w:r w:rsidR="009756BE">
        <w:t xml:space="preserve"> </w:t>
      </w:r>
      <w:r w:rsidR="00CB622D">
        <w:t>have adopted Medicaid expansion</w:t>
      </w:r>
      <w:r>
        <w:t>. S</w:t>
      </w:r>
      <w:r w:rsidR="00563816">
        <w:t>even</w:t>
      </w:r>
      <w:r w:rsidR="00CB622D">
        <w:t xml:space="preserve"> </w:t>
      </w:r>
      <w:r>
        <w:t>(</w:t>
      </w:r>
      <w:r w:rsidR="00563816">
        <w:t>7</w:t>
      </w:r>
      <w:r>
        <w:t>) states are expanding Medicaid by using an alternative to traditional Medicaid expansion (i.e., Section 1115 demonstration approvals). CMS anticipates that additional states may seek a Section 1115 demonstration for the new adult group, namely</w:t>
      </w:r>
      <w:r w:rsidR="007E47C0">
        <w:t xml:space="preserve"> </w:t>
      </w:r>
      <w:r>
        <w:t>those at or below 13</w:t>
      </w:r>
      <w:r w:rsidR="00EF36E3">
        <w:t>3</w:t>
      </w:r>
      <w:r>
        <w:t xml:space="preserve">% of the federal poverty level (FPL), under the </w:t>
      </w:r>
      <w:r w:rsidR="00413495">
        <w:t>Affordable Care Act (ACA)</w:t>
      </w:r>
      <w:r>
        <w:t xml:space="preserve">. </w:t>
      </w:r>
    </w:p>
    <w:p w14:paraId="40C35A64" w14:textId="77777777" w:rsidR="004507B3" w:rsidRDefault="004507B3" w:rsidP="00C059D3">
      <w:pPr>
        <w:pStyle w:val="BodyText"/>
      </w:pPr>
    </w:p>
    <w:p w14:paraId="216F73DD" w14:textId="1DFF478C" w:rsidR="007E47C0" w:rsidRDefault="004507B3" w:rsidP="00C059D3">
      <w:pPr>
        <w:pStyle w:val="BodyText"/>
      </w:pPr>
      <w:r>
        <w:t xml:space="preserve">CMS approved the Montana Health and Economic Livelihood Partnership (HELP) demonstration (hereinafter, “HELP demonstration”) in November 2015. The demonstration </w:t>
      </w:r>
      <w:r w:rsidR="00C05DA7">
        <w:t xml:space="preserve">provides flexibility for the </w:t>
      </w:r>
      <w:r>
        <w:t>expand</w:t>
      </w:r>
      <w:r w:rsidR="00C05DA7">
        <w:t>ed</w:t>
      </w:r>
      <w:r>
        <w:t xml:space="preserve"> Medicaid </w:t>
      </w:r>
      <w:r w:rsidR="00C05DA7">
        <w:t xml:space="preserve">population </w:t>
      </w:r>
      <w:r>
        <w:t xml:space="preserve">under the Affordable Care Act for individuals in </w:t>
      </w:r>
      <w:r w:rsidR="00C05DA7">
        <w:t xml:space="preserve">the </w:t>
      </w:r>
      <w:r w:rsidR="007E47C0">
        <w:t xml:space="preserve">state of </w:t>
      </w:r>
      <w:r>
        <w:t>Montana</w:t>
      </w:r>
      <w:r w:rsidR="007E47C0">
        <w:t xml:space="preserve"> (hereinafter, “State” or “Montana”)</w:t>
      </w:r>
      <w:r>
        <w:t xml:space="preserve">. </w:t>
      </w:r>
      <w:r w:rsidR="00396A46">
        <w:t>Montana expects to achieve the following</w:t>
      </w:r>
      <w:r>
        <w:t xml:space="preserve">: </w:t>
      </w:r>
      <w:r w:rsidRPr="00B3683B">
        <w:t>(1)</w:t>
      </w:r>
      <w:r w:rsidR="00396A46" w:rsidRPr="00B3683B">
        <w:t xml:space="preserve"> Premiums and copayment liability </w:t>
      </w:r>
      <w:r w:rsidR="00AE3C80">
        <w:t xml:space="preserve">that </w:t>
      </w:r>
      <w:r w:rsidR="00396A46" w:rsidRPr="00B3683B">
        <w:t xml:space="preserve">will encourage HELP Program enrollees to be discerning health care purchasers, take personal responsibility for their health care decisions and develop health-conscious behaviors as consumers of health care services; (2) </w:t>
      </w:r>
      <w:r w:rsidR="003B07DE" w:rsidRPr="00B3683B">
        <w:t>12-month</w:t>
      </w:r>
      <w:r w:rsidR="00396A46" w:rsidRPr="00B3683B">
        <w:t xml:space="preserve"> continuous eligibility </w:t>
      </w:r>
      <w:r w:rsidR="00AE3C80">
        <w:t>to</w:t>
      </w:r>
      <w:r w:rsidR="00396A46" w:rsidRPr="00B3683B">
        <w:t xml:space="preserve"> improve continuity of care. Additionally, Montana seeks to demonstrate the following over the life of the demonstration: (1) Premiums will not pose a barrier to accessing care for HELP Program beneficiaries; (2) HELP Program enrollees will exhibit health-conscious health care </w:t>
      </w:r>
      <w:r w:rsidR="00396A46" w:rsidRPr="00DE1709">
        <w:t xml:space="preserve">behaviors without harming beneficiary health; (3) </w:t>
      </w:r>
      <w:r w:rsidR="003B07DE" w:rsidRPr="00DE1709">
        <w:t>12-month</w:t>
      </w:r>
      <w:r w:rsidR="00396A46" w:rsidRPr="00DE1709">
        <w:t xml:space="preserve"> continuous eligibility will promote continuity of coverage and reduce churning rates.</w:t>
      </w:r>
      <w:r w:rsidRPr="00DE1709">
        <w:t xml:space="preserve"> The demonstration is authorized for five (5) years from</w:t>
      </w:r>
      <w:r>
        <w:t xml:space="preserve"> January 1, 2016 through December 31, 2020. </w:t>
      </w:r>
      <w:r w:rsidR="007D7187">
        <w:t>T</w:t>
      </w:r>
      <w:r w:rsidR="007E47C0">
        <w:t xml:space="preserve">he demonstration includes the authority to charge premiums of 2 percent of </w:t>
      </w:r>
      <w:r w:rsidR="00C05DA7">
        <w:t xml:space="preserve">household </w:t>
      </w:r>
      <w:r w:rsidR="007E47C0">
        <w:t>income to individuals in the new adult group with incomes between 5</w:t>
      </w:r>
      <w:r w:rsidR="00C05DA7">
        <w:t>0</w:t>
      </w:r>
      <w:r w:rsidR="007E47C0">
        <w:t xml:space="preserve"> and 13</w:t>
      </w:r>
      <w:r w:rsidR="00C05DA7">
        <w:t>3</w:t>
      </w:r>
      <w:r w:rsidR="007E47C0">
        <w:t xml:space="preserve"> percent of the FPL. The state will credit such individuals’ premium obligation towards copayments due. Non-payment of premiums may result in disenrollment for individuals with incomes above 100 percent of the FPL after notice and a </w:t>
      </w:r>
      <w:r w:rsidR="007E47C0">
        <w:lastRenderedPageBreak/>
        <w:t xml:space="preserve">grace period. </w:t>
      </w:r>
      <w:r w:rsidR="00A435EA">
        <w:t>I</w:t>
      </w:r>
      <w:r w:rsidR="007E47C0">
        <w:t xml:space="preserve">ndividuals at or below 100 percent who stop paying premiums will not be disenrolled. </w:t>
      </w:r>
    </w:p>
    <w:p w14:paraId="4BBCAE57" w14:textId="77777777" w:rsidR="007E47C0" w:rsidRDefault="007E47C0" w:rsidP="00DE1709"/>
    <w:p w14:paraId="20791D45" w14:textId="77777777" w:rsidR="00270742" w:rsidRDefault="007E47C0" w:rsidP="00C059D3">
      <w:pPr>
        <w:pStyle w:val="BodyText"/>
      </w:pPr>
      <w:r>
        <w:t xml:space="preserve">In 2014, CMS awarded a cross-state federal evaluation covering four (4) 1115 demonstration types of high priority policy significance. This was the first federal evaluation in over ten (10) years. Subsequently, </w:t>
      </w:r>
      <w:r w:rsidR="00270742">
        <w:t>in early 2015, CMS awarded a federal evaluation of the Medicaid expansion demonstration (HIP 2.0) for the state of Indiana. Additionally, in early 2016, under the same contract CMS awarded a federal evaluation of the HELP demonstration. CMS expects that additional federal evaluations likely will be required for more states, and that both the Indiana and Montana evaluations can serve as a model.</w:t>
      </w:r>
    </w:p>
    <w:p w14:paraId="6164957D" w14:textId="77777777" w:rsidR="00270742" w:rsidRDefault="002707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C7C9CE" w14:textId="0E82B224" w:rsidR="008F1EB4" w:rsidRDefault="00413C4A" w:rsidP="00C90F5B">
      <w:pPr>
        <w:pStyle w:val="Heading2"/>
      </w:pPr>
      <w:r>
        <w:t>A</w:t>
      </w:r>
      <w:r w:rsidR="008F1EB4">
        <w:t>.</w:t>
      </w:r>
      <w:r w:rsidR="008F1EB4">
        <w:tab/>
        <w:t>Justification</w:t>
      </w:r>
    </w:p>
    <w:p w14:paraId="0D95C52C" w14:textId="77777777" w:rsidR="008F1EB4" w:rsidRDefault="008F1EB4" w:rsidP="00C90F5B"/>
    <w:p w14:paraId="45B9DAA9" w14:textId="77777777" w:rsidR="008F1EB4" w:rsidRPr="000A2A8F" w:rsidRDefault="00B3683B" w:rsidP="00C90F5B">
      <w:pPr>
        <w:pStyle w:val="Heading3"/>
      </w:pPr>
      <w:r w:rsidRPr="000A2A8F">
        <w:t>1.</w:t>
      </w:r>
      <w:r w:rsidRPr="000A2A8F">
        <w:tab/>
      </w:r>
      <w:r w:rsidR="008F1EB4" w:rsidRPr="000A2A8F">
        <w:t>Need and Legal Basis</w:t>
      </w:r>
    </w:p>
    <w:p w14:paraId="5525350A" w14:textId="77777777" w:rsidR="000A2A8F" w:rsidRDefault="000A2A8F" w:rsidP="00C90F5B"/>
    <w:p w14:paraId="0F70942E" w14:textId="1C9C05D9" w:rsidR="000A2A8F" w:rsidRDefault="000A2A8F" w:rsidP="00C059D3">
      <w:pPr>
        <w:pStyle w:val="BodyText"/>
      </w:pPr>
      <w:r>
        <w:t>Approval of the survey and associated focus groups, and informational interviews conducted during site visits and via phone</w:t>
      </w:r>
      <w:r w:rsidR="008C244E">
        <w:t>,</w:t>
      </w:r>
      <w:r>
        <w:t xml:space="preserve"> </w:t>
      </w:r>
      <w:r w:rsidRPr="00FE2FB4">
        <w:t>is vital to</w:t>
      </w:r>
      <w:r w:rsidR="007535BF">
        <w:t xml:space="preserve"> adequately inform CMS decision-</w:t>
      </w:r>
      <w:r w:rsidRPr="00FE2FB4">
        <w:t xml:space="preserve">making regarding Section 1115 </w:t>
      </w:r>
      <w:r w:rsidR="00C05DA7">
        <w:t>Demonstrations</w:t>
      </w:r>
      <w:r>
        <w:t xml:space="preserve">.  The HELP demonstration provides authority for the state to charge premiums of 2 percent of income to specific individuals in the new adult group with </w:t>
      </w:r>
      <w:r w:rsidR="00C05DA7">
        <w:t xml:space="preserve">household </w:t>
      </w:r>
      <w:r>
        <w:t>incomes between 5</w:t>
      </w:r>
      <w:r w:rsidR="00C05DA7">
        <w:t>0</w:t>
      </w:r>
      <w:r>
        <w:t xml:space="preserve"> and 13</w:t>
      </w:r>
      <w:r w:rsidR="00C05DA7">
        <w:t>3</w:t>
      </w:r>
      <w:r>
        <w:t xml:space="preserve"> percent of the FPL, who are not medically frail or exempt under federal or state law. Additionally, the demonstration authorizes twelve months of continuous eligibility for all individuals who are eligible under the state plan in the new adult coverage group.</w:t>
      </w:r>
    </w:p>
    <w:p w14:paraId="6CF1707D" w14:textId="77777777" w:rsidR="00D85A61" w:rsidRDefault="00D85A61" w:rsidP="00C059D3">
      <w:pPr>
        <w:pStyle w:val="BodyText"/>
      </w:pPr>
    </w:p>
    <w:p w14:paraId="05756C11" w14:textId="4602F36C" w:rsidR="00D85A61" w:rsidRDefault="00D85A61" w:rsidP="00C059D3">
      <w:pPr>
        <w:pStyle w:val="BodyText"/>
      </w:pPr>
      <w:r w:rsidRPr="00D85A61">
        <w:t>The federal evaluation of the Montana HELP demonstration includes two waves of the beneficiary survey, Wave 1 and Wave 2, to allow comparisons at two time points (approximately one year apart) in the demon</w:t>
      </w:r>
      <w:r>
        <w:t xml:space="preserve">stration. The SSS Team </w:t>
      </w:r>
      <w:r w:rsidR="007535BF">
        <w:t xml:space="preserve">is </w:t>
      </w:r>
      <w:r>
        <w:t>requesting</w:t>
      </w:r>
      <w:r w:rsidR="007535BF">
        <w:t xml:space="preserve"> that</w:t>
      </w:r>
      <w:r>
        <w:t xml:space="preserve"> approval for both </w:t>
      </w:r>
      <w:r w:rsidRPr="00D85A61">
        <w:t>survey waves</w:t>
      </w:r>
      <w:r>
        <w:t xml:space="preserve"> and both site visits (including focus groups and informational interviews)</w:t>
      </w:r>
      <w:r w:rsidRPr="00D85A61">
        <w:t xml:space="preserve"> be included in the same standard PRA package to increase project efficiency and to reduce burden on government resources. </w:t>
      </w:r>
      <w:r w:rsidR="003B07DE">
        <w:t>In order t</w:t>
      </w:r>
      <w:r w:rsidRPr="00D85A61">
        <w:t xml:space="preserve">o </w:t>
      </w:r>
      <w:r w:rsidR="003B07DE">
        <w:t>allow for optimal</w:t>
      </w:r>
      <w:r w:rsidRPr="00D85A61">
        <w:t xml:space="preserve"> comparisons between Wave 1 and Wave 2, the SSS Team is submitting the correct and final survey and does not anticipate making substantive changes to the survey instruments, sample respondents, data collection methods, response burden, or requirements between the two waves. </w:t>
      </w:r>
      <w:r w:rsidR="003C7F2B">
        <w:t xml:space="preserve">Substantive changes to the survey instruments or the sample and data collection methods will pose challenges in comparing the </w:t>
      </w:r>
      <w:r w:rsidR="003C7F2B">
        <w:lastRenderedPageBreak/>
        <w:t xml:space="preserve">experiences of respondents in the HELP program at two different points in time when it comes to the particular program elements that are being asked about in the survey. </w:t>
      </w:r>
      <w:r w:rsidRPr="00D85A61">
        <w:t>The Team recognizes, however, that several factors may impact the extent of changes to the survey, including: OMB feedback and the timing of approval, public comments and any additional comment period(s), and potential shifts in CMS priorities. If the Wave 2 survey requires significant revisions, a PRA Revision package will be submitted to OMB for approval.</w:t>
      </w:r>
    </w:p>
    <w:p w14:paraId="04BF7703" w14:textId="77777777" w:rsidR="008F1EB4" w:rsidRDefault="008F1EB4" w:rsidP="00C90F5B"/>
    <w:p w14:paraId="40454F5C" w14:textId="77777777" w:rsidR="008F1EB4" w:rsidRPr="000A2A8F" w:rsidRDefault="008F1EB4" w:rsidP="00C90F5B">
      <w:pPr>
        <w:pStyle w:val="Heading3"/>
      </w:pPr>
      <w:r w:rsidRPr="000A2A8F">
        <w:t>2.</w:t>
      </w:r>
      <w:r w:rsidRPr="000A2A8F">
        <w:tab/>
        <w:t>Information Users</w:t>
      </w:r>
    </w:p>
    <w:p w14:paraId="60D44A29" w14:textId="77777777" w:rsidR="00D65118" w:rsidRDefault="00D65118" w:rsidP="00C90F5B"/>
    <w:p w14:paraId="4B2DDE7C" w14:textId="12FB4262" w:rsidR="00D65118" w:rsidRPr="00E66FAB" w:rsidRDefault="00D65118" w:rsidP="00C059D3">
      <w:pPr>
        <w:pStyle w:val="BodyText"/>
        <w:rPr>
          <w:color w:val="0070C0"/>
        </w:rPr>
      </w:pPr>
      <w:r>
        <w:t xml:space="preserve">Information will be used by CMS to </w:t>
      </w:r>
      <w:r w:rsidRPr="00FE2FB4">
        <w:t xml:space="preserve">adequately inform CMS decision making regarding Section 1115 </w:t>
      </w:r>
      <w:r w:rsidR="00C05DA7">
        <w:t>Demonstrations</w:t>
      </w:r>
      <w:r>
        <w:t xml:space="preserve">. CMS and other stakeholders also will use the information as a point of comparison to states implementing similar demonstrations. Other states contemplating </w:t>
      </w:r>
      <w:r w:rsidR="00C05DA7">
        <w:t xml:space="preserve">demonstrations </w:t>
      </w:r>
      <w:r>
        <w:t>may find the information helpful for their own decision-making processes.</w:t>
      </w:r>
    </w:p>
    <w:p w14:paraId="39BD21D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C863C4" w14:textId="77777777" w:rsidR="008F1EB4" w:rsidRPr="000A2A8F" w:rsidRDefault="008F1EB4" w:rsidP="00844401">
      <w:pPr>
        <w:pStyle w:val="Heading3"/>
      </w:pPr>
      <w:r w:rsidRPr="000A2A8F">
        <w:t>3.</w:t>
      </w:r>
      <w:r w:rsidRPr="000A2A8F">
        <w:tab/>
        <w:t>Use of Information Technology</w:t>
      </w:r>
    </w:p>
    <w:p w14:paraId="361DDB3A" w14:textId="77777777" w:rsidR="00D65118" w:rsidRDefault="00D65118" w:rsidP="000615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701770" w14:textId="77777777" w:rsidR="00D65118" w:rsidRPr="00D65118" w:rsidRDefault="00D65118" w:rsidP="00C059D3">
      <w:pPr>
        <w:pStyle w:val="BodyText"/>
      </w:pPr>
      <w:r w:rsidRPr="00D65118">
        <w:t xml:space="preserve">The survey involves multi-mode data collection, consisting of: (1) paper self-administered questionnaire (SAQ) mailed by FedEx or Priority mail to beneficiaries, (2) phone follow-up to non-responders, and a (3) Web survey option. The SSS Survey Operations </w:t>
      </w:r>
      <w:r w:rsidR="00933E3D">
        <w:t xml:space="preserve">Center </w:t>
      </w:r>
      <w:r w:rsidRPr="00D65118">
        <w:t>and the Telephone Research Center will administer the survey and ha</w:t>
      </w:r>
      <w:r w:rsidR="008A1E2E">
        <w:t>ve</w:t>
      </w:r>
      <w:r w:rsidRPr="00D65118">
        <w:t xml:space="preserve"> several automated systems to help monitor all progress of survey administration incorporating mail, phone, and online survey modes. It is our experience that offering multiple modes of response is well-suited to gathering information on patient perceptions and helps to reduce burden on participants, foster compliance, enhance response rates, and accommodate beneficiary preferences. While we are aware that this population may have limited computer access, our proposed approach is based on past successful efforts that have achieved </w:t>
      </w:r>
      <w:r w:rsidRPr="00B3683B">
        <w:t>response rates of 30 percent and higher with Medicaid populations.</w:t>
      </w:r>
      <w:r w:rsidRPr="00D65118">
        <w:t xml:space="preserve"> </w:t>
      </w:r>
    </w:p>
    <w:p w14:paraId="113FF596" w14:textId="77777777" w:rsidR="00D65118" w:rsidRPr="00D65118" w:rsidRDefault="00D65118" w:rsidP="00C059D3">
      <w:pPr>
        <w:pStyle w:val="BodyText"/>
      </w:pPr>
    </w:p>
    <w:p w14:paraId="5DBD436C" w14:textId="77777777" w:rsidR="00D65118" w:rsidRPr="00D65118" w:rsidRDefault="00D65118" w:rsidP="00C059D3">
      <w:pPr>
        <w:pStyle w:val="BodyText"/>
      </w:pPr>
      <w:r w:rsidRPr="00D65118">
        <w:t xml:space="preserve">Survey information will be collected electronically by </w:t>
      </w:r>
      <w:r w:rsidR="008A1E2E">
        <w:t xml:space="preserve">survey software packages </w:t>
      </w:r>
      <w:r w:rsidR="00732657">
        <w:t>DatStat</w:t>
      </w:r>
      <w:r w:rsidR="00510813">
        <w:t xml:space="preserve"> and Blaise</w:t>
      </w:r>
      <w:r w:rsidR="00732657">
        <w:t>.</w:t>
      </w:r>
      <w:r w:rsidRPr="00D65118">
        <w:t xml:space="preserve"> The information will be stored </w:t>
      </w:r>
      <w:r w:rsidR="00CB0DE2">
        <w:t>i</w:t>
      </w:r>
      <w:r w:rsidRPr="00D65118">
        <w:t xml:space="preserve">n the </w:t>
      </w:r>
      <w:r>
        <w:t xml:space="preserve">SSS Secure Data Center (SSS SDC). </w:t>
      </w:r>
      <w:r w:rsidRPr="00D65118">
        <w:t xml:space="preserve">A link to the online survey is available for </w:t>
      </w:r>
      <w:r w:rsidR="00EF4500">
        <w:t>electronic completion</w:t>
      </w:r>
      <w:r w:rsidRPr="00D65118">
        <w:t xml:space="preserve">. We expect approximately </w:t>
      </w:r>
      <w:r w:rsidRPr="00B3683B">
        <w:t>10 percent of survey questionnaires</w:t>
      </w:r>
      <w:r w:rsidRPr="00D65118">
        <w:t xml:space="preserve"> to be completed online.</w:t>
      </w:r>
    </w:p>
    <w:p w14:paraId="40D06E76" w14:textId="77777777" w:rsidR="00D65118" w:rsidRPr="00D65118" w:rsidRDefault="00D65118" w:rsidP="00C059D3">
      <w:pPr>
        <w:pStyle w:val="BodyText"/>
      </w:pPr>
    </w:p>
    <w:p w14:paraId="172A71BF" w14:textId="77777777" w:rsidR="00D65118" w:rsidRPr="00D65118" w:rsidRDefault="00D65118" w:rsidP="00C059D3">
      <w:pPr>
        <w:pStyle w:val="BodyText"/>
      </w:pPr>
      <w:r w:rsidRPr="00D65118">
        <w:t xml:space="preserve">The survey data collection does not require a signature from the respondents. </w:t>
      </w:r>
    </w:p>
    <w:p w14:paraId="525A6DCC" w14:textId="77777777" w:rsidR="00D65118" w:rsidRPr="00D65118" w:rsidRDefault="00D65118" w:rsidP="00C059D3">
      <w:pPr>
        <w:pStyle w:val="BodyText"/>
      </w:pPr>
    </w:p>
    <w:p w14:paraId="72331AE6" w14:textId="77777777" w:rsidR="00D65118" w:rsidRPr="00D65118" w:rsidRDefault="00D65118" w:rsidP="00C059D3">
      <w:pPr>
        <w:pStyle w:val="BodyText"/>
      </w:pPr>
      <w:r w:rsidRPr="00D65118">
        <w:t>For the focus groups, we will obtain written informed consent from participants after: (1) explaining to them the purpose of our study; (2) informing them that focus groups are confidential to the extent permitted by law, voluntary, and can be stopped at any time; (3) requesting their permission to take notes and audio record the focus group; and (4) soliciting and answering any questions they may have. A copy of the informed consent statement that participants will be asked to sign at the start of all focus groups is included with this package.</w:t>
      </w:r>
    </w:p>
    <w:p w14:paraId="2D9BEA0F" w14:textId="77777777" w:rsidR="00D65118" w:rsidRPr="00D65118" w:rsidRDefault="00D65118" w:rsidP="00C059D3">
      <w:pPr>
        <w:pStyle w:val="BodyText"/>
      </w:pPr>
    </w:p>
    <w:p w14:paraId="516F08B5" w14:textId="77777777" w:rsidR="00D65118" w:rsidRDefault="00D65118" w:rsidP="00C059D3">
      <w:pPr>
        <w:pStyle w:val="BodyText"/>
      </w:pPr>
      <w:r w:rsidRPr="00D65118">
        <w:t xml:space="preserve">The focus group recruitment lists will be stored at the SSS Secure Data Center (SSS SDC) and will be sanitized from the system once the focus groups are completed.  The security controls implemented at the SSS SDC are consistent with the recommendations from NIST and are compliant with a FISMA moderate security categorization. The data that reside at the SSS SDC, while at rest, are stored on encrypted drives that are dedicated to the project. Authorized users, </w:t>
      </w:r>
      <w:r>
        <w:t>will</w:t>
      </w:r>
      <w:r w:rsidRPr="00D65118">
        <w:t xml:space="preserve"> access the data via Citrix NetScaler using a FIPS 140-2 compliant encryption module.  Authorized users are required to access the SSS SDC utilizing two-factor authentication</w:t>
      </w:r>
      <w:r w:rsidR="008C244E">
        <w:t>,</w:t>
      </w:r>
      <w:r w:rsidRPr="00D65118">
        <w:t xml:space="preserve"> which consists of a unique username and password combination in addition to a RSA SecurID token.  Each user is allocated a virtual machine in the secure project environment. Once authenticated, users are permitted access to the environment and data files per role-based access controls using Windows Active Directory groups.  In addition, there are protocols in place at the SSS SDC that further limit the access and sharing to authorized activities only</w:t>
      </w:r>
      <w:r w:rsidR="0098219D">
        <w:t>.</w:t>
      </w:r>
    </w:p>
    <w:p w14:paraId="2BADD7A1" w14:textId="77777777" w:rsidR="0098219D" w:rsidRPr="00D65118" w:rsidRDefault="0098219D" w:rsidP="00C059D3">
      <w:pPr>
        <w:pStyle w:val="BodyText"/>
      </w:pPr>
    </w:p>
    <w:p w14:paraId="47360717" w14:textId="77777777" w:rsidR="00D65118" w:rsidRDefault="00D65118" w:rsidP="00C059D3">
      <w:pPr>
        <w:pStyle w:val="BodyText"/>
      </w:pPr>
      <w:r w:rsidRPr="00D65118">
        <w:rPr>
          <w:color w:val="000000"/>
        </w:rPr>
        <w:t xml:space="preserve">The project will adhere to the fundamental principles of research ethics to ensure that the security of the informational interviewee data collected are protected and maintained. Toward that end, we will use a digital audio recorder to create an audio recording of each interview (subject to consent of interviewee), and take notes on an encrypted, password-protected laptop during the interview. </w:t>
      </w:r>
      <w:r w:rsidR="00E37EE3">
        <w:rPr>
          <w:color w:val="000000"/>
        </w:rPr>
        <w:t>SSS and Urban has quality control processes in place to ensure that the recordings of the interviews and focus groups will not include any identifiers.</w:t>
      </w:r>
      <w:r w:rsidR="00D22AE8">
        <w:rPr>
          <w:color w:val="000000"/>
        </w:rPr>
        <w:t xml:space="preserve"> </w:t>
      </w:r>
      <w:r w:rsidR="00871D97" w:rsidRPr="00D65118">
        <w:t xml:space="preserve">All identifiers will be redacted in interview and focus group notes, and not mentioned in reports we write as part of this study. </w:t>
      </w:r>
      <w:r w:rsidRPr="00D65118">
        <w:rPr>
          <w:color w:val="000000"/>
        </w:rPr>
        <w:t xml:space="preserve">At the end of each day of interviewing Urban staff will upload the audio recordings of their interviews onto the </w:t>
      </w:r>
      <w:r w:rsidR="00E37EE3">
        <w:rPr>
          <w:color w:val="000000"/>
        </w:rPr>
        <w:t>SSS SDC</w:t>
      </w:r>
      <w:r w:rsidRPr="00D65118">
        <w:rPr>
          <w:color w:val="000000"/>
        </w:rPr>
        <w:t xml:space="preserve"> to a project folder only accessible by project staff with a need to use these data and who have signed a staff pledge of confidentiality. Files will then be deleted from laptops. </w:t>
      </w:r>
      <w:r w:rsidR="00D22AE8">
        <w:t xml:space="preserve">All Urban staff members who access such data will undergo the necessary training required to work in the SSS SDC. </w:t>
      </w:r>
    </w:p>
    <w:p w14:paraId="7EBAE1C2" w14:textId="77777777" w:rsidR="008F1EB4" w:rsidRDefault="008F1EB4" w:rsidP="00844401"/>
    <w:p w14:paraId="6273B899" w14:textId="77777777" w:rsidR="008F1EB4" w:rsidRPr="000A2A8F" w:rsidRDefault="008F1EB4" w:rsidP="00844401">
      <w:pPr>
        <w:pStyle w:val="Heading3"/>
      </w:pPr>
      <w:r w:rsidRPr="000A2A8F">
        <w:lastRenderedPageBreak/>
        <w:t>4.</w:t>
      </w:r>
      <w:r w:rsidRPr="000A2A8F">
        <w:tab/>
        <w:t>Duplication of Efforts</w:t>
      </w:r>
    </w:p>
    <w:p w14:paraId="07902571" w14:textId="77777777" w:rsidR="00D65118" w:rsidRPr="0055609B" w:rsidRDefault="00D65118" w:rsidP="00844401"/>
    <w:p w14:paraId="3FF9104E" w14:textId="576DE221" w:rsidR="00D65118" w:rsidRDefault="00B15ECB" w:rsidP="00C059D3">
      <w:pPr>
        <w:pStyle w:val="BodyText"/>
      </w:pPr>
      <w:r>
        <w:t xml:space="preserve">Montana will not be conducting an independent evaluation of the HELP demonstration.  CMS is allowing Montana to use the federal evaluation to meet the requirement for a state evaluation, thereby avoiding any duplication of efforts. </w:t>
      </w:r>
    </w:p>
    <w:p w14:paraId="50F3594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B4C393" w14:textId="77777777" w:rsidR="008F1EB4" w:rsidRPr="000A2A8F" w:rsidRDefault="008F1EB4" w:rsidP="00844401">
      <w:pPr>
        <w:pStyle w:val="Heading3"/>
      </w:pPr>
      <w:r w:rsidRPr="000A2A8F">
        <w:t>5.</w:t>
      </w:r>
      <w:r w:rsidRPr="000A2A8F">
        <w:tab/>
        <w:t>Small Businesses</w:t>
      </w:r>
    </w:p>
    <w:p w14:paraId="64DEF002" w14:textId="77777777" w:rsidR="0098219D" w:rsidRDefault="0098219D" w:rsidP="00C059D3">
      <w:pPr>
        <w:pStyle w:val="BodyText"/>
        <w:rPr>
          <w:i/>
          <w:iCs/>
          <w:color w:val="4F81BD"/>
        </w:rPr>
      </w:pPr>
    </w:p>
    <w:p w14:paraId="57AA59C9" w14:textId="77777777" w:rsidR="000A2A8F" w:rsidRDefault="000A2A8F" w:rsidP="00C059D3">
      <w:pPr>
        <w:pStyle w:val="BodyText"/>
      </w:pPr>
      <w:r>
        <w:t>This data collection effort should not have an impact on small businesses or other small entities.</w:t>
      </w:r>
    </w:p>
    <w:p w14:paraId="3D4364C9" w14:textId="77777777" w:rsidR="008F1EB4" w:rsidRDefault="008F1EB4" w:rsidP="00844401"/>
    <w:p w14:paraId="5D7E5B05" w14:textId="77777777" w:rsidR="008F1EB4" w:rsidRPr="000A2A8F" w:rsidRDefault="008F1EB4" w:rsidP="00844401">
      <w:pPr>
        <w:pStyle w:val="Heading3"/>
      </w:pPr>
      <w:r w:rsidRPr="000A2A8F">
        <w:t>6.</w:t>
      </w:r>
      <w:r w:rsidRPr="000A2A8F">
        <w:tab/>
        <w:t>Less Frequent Collection</w:t>
      </w:r>
    </w:p>
    <w:p w14:paraId="5376AD26" w14:textId="77777777" w:rsidR="008F1EB4" w:rsidRDefault="008F1EB4" w:rsidP="00844401"/>
    <w:p w14:paraId="539C930C" w14:textId="768E071A" w:rsidR="00D65118" w:rsidRDefault="00D65118" w:rsidP="00C059D3">
      <w:pPr>
        <w:pStyle w:val="BodyText"/>
      </w:pPr>
      <w:r>
        <w:t xml:space="preserve">A less frequent or delayed data collection would not serve the purposes of completion of the evaluation of the HELP demonstration, approved through </w:t>
      </w:r>
      <w:r w:rsidRPr="002342AD">
        <w:t>December 31, 2020</w:t>
      </w:r>
      <w:r>
        <w:t xml:space="preserve">. It is crucial that the data collection be completed on time for both the first round and second round of surveys, focus groups, and informational interviews. The second round of data collection will occur </w:t>
      </w:r>
      <w:r w:rsidR="00410B92">
        <w:t xml:space="preserve">approximately </w:t>
      </w:r>
      <w:r>
        <w:t xml:space="preserve">one year after the first </w:t>
      </w:r>
      <w:r w:rsidR="00410B92">
        <w:t>r</w:t>
      </w:r>
      <w:r>
        <w:t xml:space="preserve">ound to allow for comparisons over time. </w:t>
      </w:r>
    </w:p>
    <w:p w14:paraId="38C211FF" w14:textId="77777777" w:rsidR="008F1EB4" w:rsidRDefault="008F1EB4" w:rsidP="00844401"/>
    <w:p w14:paraId="083926ED" w14:textId="77777777" w:rsidR="008F1EB4" w:rsidRDefault="008F1EB4" w:rsidP="00844401">
      <w:pPr>
        <w:pStyle w:val="Heading3"/>
      </w:pPr>
      <w:r w:rsidRPr="000A2A8F">
        <w:t>7.</w:t>
      </w:r>
      <w:r w:rsidRPr="000A2A8F">
        <w:tab/>
        <w:t>Special Circumstances</w:t>
      </w:r>
    </w:p>
    <w:p w14:paraId="10DFE707" w14:textId="77777777" w:rsidR="00B73C3B" w:rsidRDefault="00B73C3B" w:rsidP="000615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78AEAB51" w14:textId="77777777" w:rsidR="00B73C3B" w:rsidRPr="0070248F" w:rsidRDefault="00B73C3B" w:rsidP="00C059D3">
      <w:pPr>
        <w:pStyle w:val="BodyText"/>
      </w:pPr>
      <w:r w:rsidRPr="0070248F">
        <w:t>There are no special circumstances that would require an information collection to be conducted in a manner that requires respondents to:</w:t>
      </w:r>
    </w:p>
    <w:p w14:paraId="5FEF2FF8" w14:textId="77777777" w:rsidR="00B73C3B" w:rsidRPr="0070248F" w:rsidRDefault="00B73C3B" w:rsidP="00C059D3">
      <w:pPr>
        <w:pStyle w:val="ListBullet"/>
      </w:pPr>
      <w:r w:rsidRPr="0070248F">
        <w:t>Report information to the agency more often than quarterly;</w:t>
      </w:r>
    </w:p>
    <w:p w14:paraId="76102C82" w14:textId="77777777" w:rsidR="00B73C3B" w:rsidRPr="0070248F" w:rsidRDefault="00B73C3B" w:rsidP="00C059D3">
      <w:pPr>
        <w:pStyle w:val="ListBullet"/>
      </w:pPr>
      <w:r w:rsidRPr="0070248F">
        <w:t xml:space="preserve">Prepare a written response to a collection of information in fewer than 30 days after receipt of it; </w:t>
      </w:r>
    </w:p>
    <w:p w14:paraId="65887B40" w14:textId="77777777" w:rsidR="00B73C3B" w:rsidRPr="0070248F" w:rsidRDefault="00B73C3B" w:rsidP="00C059D3">
      <w:pPr>
        <w:pStyle w:val="ListBullet"/>
      </w:pPr>
      <w:r w:rsidRPr="0070248F">
        <w:t>Submit more than an original and two copies of any document;</w:t>
      </w:r>
    </w:p>
    <w:p w14:paraId="3FED2230" w14:textId="77777777" w:rsidR="00B73C3B" w:rsidRPr="0070248F" w:rsidRDefault="00B73C3B" w:rsidP="00C059D3">
      <w:pPr>
        <w:pStyle w:val="ListBullet"/>
      </w:pPr>
      <w:r w:rsidRPr="0070248F">
        <w:t>Retain records, other than health, medical, government contract, grant-in-aid, or tax records for more than three years;</w:t>
      </w:r>
    </w:p>
    <w:p w14:paraId="07456069" w14:textId="77777777" w:rsidR="00B73C3B" w:rsidRPr="0070248F" w:rsidRDefault="00B73C3B" w:rsidP="00C059D3">
      <w:pPr>
        <w:pStyle w:val="ListBullet"/>
      </w:pPr>
      <w:r w:rsidRPr="0070248F">
        <w:t>Collect data in connection with a statistical survey that is not designed to produce valid and reliable results that can be generalized to the universe of study,</w:t>
      </w:r>
    </w:p>
    <w:p w14:paraId="0B904EE0" w14:textId="77777777" w:rsidR="00B73C3B" w:rsidRPr="0070248F" w:rsidRDefault="00B73C3B" w:rsidP="00C059D3">
      <w:pPr>
        <w:pStyle w:val="ListBullet"/>
      </w:pPr>
      <w:r w:rsidRPr="0070248F">
        <w:t>Use a statistical data classification that has not been reviewed and approved by OMB;</w:t>
      </w:r>
    </w:p>
    <w:p w14:paraId="3A2E99BA" w14:textId="77777777" w:rsidR="00B73C3B" w:rsidRPr="0070248F" w:rsidRDefault="00B73C3B" w:rsidP="00C059D3">
      <w:pPr>
        <w:pStyle w:val="ListBullet"/>
      </w:pPr>
      <w:r w:rsidRPr="0070248F">
        <w:t xml:space="preserve">Include a pledge of confidentiality that is not supported by authority established in statute or regulation that is not supported by disclosure and data security policies that </w:t>
      </w:r>
      <w:r w:rsidRPr="0070248F">
        <w:lastRenderedPageBreak/>
        <w:t>are consistent with the pledge, or which unnecessarily impedes sharing of data with other agencies for compatible confidential use; or</w:t>
      </w:r>
    </w:p>
    <w:p w14:paraId="28CC50CF" w14:textId="77777777" w:rsidR="00B73C3B" w:rsidRPr="00C059D3" w:rsidRDefault="00B73C3B" w:rsidP="00C059D3">
      <w:pPr>
        <w:pStyle w:val="ListBullet"/>
      </w:pPr>
      <w:r w:rsidRPr="0070248F">
        <w:t>Submit proprietary trade secret, or other confidential information unless the agency can demonstrate that it has instituted procedures to protect the information's confidentiality to the extent permitted by law.</w:t>
      </w:r>
    </w:p>
    <w:p w14:paraId="4144DFA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A45DED2" w14:textId="77777777" w:rsidR="008F1EB4" w:rsidRDefault="008F1EB4" w:rsidP="0098219D">
      <w:pPr>
        <w:pStyle w:val="Heading3"/>
      </w:pPr>
      <w:r w:rsidRPr="000A2A8F">
        <w:t>8.</w:t>
      </w:r>
      <w:r w:rsidRPr="000A2A8F">
        <w:tab/>
        <w:t>Federal Register/Outside Consultation</w:t>
      </w:r>
    </w:p>
    <w:p w14:paraId="3581D224" w14:textId="77777777" w:rsidR="0098219D" w:rsidRDefault="0098219D" w:rsidP="000A2A8F">
      <w:pPr>
        <w:tabs>
          <w:tab w:val="left" w:pos="0"/>
        </w:tabs>
      </w:pPr>
    </w:p>
    <w:p w14:paraId="30CB9E96" w14:textId="0B7E3F1C" w:rsidR="00CB622D" w:rsidRDefault="00BB3C0F" w:rsidP="00071491">
      <w:pPr>
        <w:ind w:left="360"/>
      </w:pPr>
      <w:r>
        <w:t xml:space="preserve">The 60-day notice published in the Federal Register on </w:t>
      </w:r>
      <w:r w:rsidR="00927DB1" w:rsidRPr="00927DB1">
        <w:t>October 21, 2016</w:t>
      </w:r>
      <w:r w:rsidR="00927DB1">
        <w:t xml:space="preserve"> (81 FR 72806).</w:t>
      </w:r>
      <w:r w:rsidR="00071491">
        <w:t xml:space="preserve"> While no comments were submitted via FDMS, t</w:t>
      </w:r>
      <w:r w:rsidR="00E04B50">
        <w:t>he S</w:t>
      </w:r>
      <w:r w:rsidR="001E33EC">
        <w:t>tate of Montana submitted comments to the federal evaluation team regarding the federal evaluation design including comments on the beneficiary surveys, focus groups, and information</w:t>
      </w:r>
      <w:r w:rsidR="00E04B50">
        <w:t>al</w:t>
      </w:r>
      <w:r w:rsidR="001E33EC">
        <w:t xml:space="preserve"> interviews.</w:t>
      </w:r>
      <w:r w:rsidR="007A0A83" w:rsidRPr="007A0A83">
        <w:rPr>
          <w:rStyle w:val="FootnoteReference"/>
          <w:vertAlign w:val="superscript"/>
        </w:rPr>
        <w:footnoteReference w:id="2"/>
      </w:r>
      <w:r w:rsidR="001E33EC">
        <w:t xml:space="preserve"> Those comments were taken into consideration and materials were revised</w:t>
      </w:r>
      <w:r w:rsidR="00413495">
        <w:t xml:space="preserve"> as appropriate</w:t>
      </w:r>
      <w:r w:rsidR="001E33EC">
        <w:t>.</w:t>
      </w:r>
      <w:r w:rsidR="00DC4664">
        <w:t xml:space="preserve"> </w:t>
      </w:r>
      <w:r w:rsidR="00071491">
        <w:t>Moderate r</w:t>
      </w:r>
      <w:r w:rsidR="00DC4664">
        <w:t xml:space="preserve">evisions made to the data collection instruments (i.e. beneficiary surveys, focus group moderator guide, and informational interview guide). </w:t>
      </w:r>
    </w:p>
    <w:p w14:paraId="2D957DA8" w14:textId="6DB0EEFA" w:rsidR="001E33EC" w:rsidRDefault="001E33EC" w:rsidP="001E33EC">
      <w:pPr>
        <w:ind w:left="360"/>
      </w:pPr>
    </w:p>
    <w:p w14:paraId="547D601C" w14:textId="77777777" w:rsidR="00842C99" w:rsidRPr="00281802" w:rsidRDefault="00842C99" w:rsidP="00842C99">
      <w:pPr>
        <w:pStyle w:val="BodyText"/>
        <w:ind w:left="360"/>
      </w:pPr>
      <w:r w:rsidRPr="00842C99">
        <w:t>Changes in burden occurred due to an increase in the number of focus group participants, from 40 to 60 participants, and in the number of informational interviews, from 18 to 25 participants.</w:t>
      </w:r>
    </w:p>
    <w:p w14:paraId="350679DA" w14:textId="77777777" w:rsidR="00842C99" w:rsidRDefault="00842C99" w:rsidP="001E33EC">
      <w:pPr>
        <w:ind w:left="360"/>
      </w:pPr>
    </w:p>
    <w:p w14:paraId="1E11B290" w14:textId="230A3C5B" w:rsidR="007A0A83" w:rsidRPr="00386AF0" w:rsidRDefault="00E04B50" w:rsidP="001E33EC">
      <w:pPr>
        <w:ind w:left="360"/>
      </w:pPr>
      <w:r w:rsidRPr="00386AF0">
        <w:t>Beneficiary</w:t>
      </w:r>
      <w:r w:rsidR="00DC4664" w:rsidRPr="00386AF0">
        <w:t xml:space="preserve"> </w:t>
      </w:r>
      <w:r w:rsidR="001E33EC" w:rsidRPr="00386AF0">
        <w:t>survey</w:t>
      </w:r>
      <w:r w:rsidRPr="00386AF0">
        <w:t xml:space="preserve"> instrument</w:t>
      </w:r>
      <w:r w:rsidR="001E33EC" w:rsidRPr="00386AF0">
        <w:t xml:space="preserve"> testing occurred shortly after the 60-day public comment period closed. The testing only included </w:t>
      </w:r>
      <w:r w:rsidR="00DC4664" w:rsidRPr="00386AF0">
        <w:t>8</w:t>
      </w:r>
      <w:r w:rsidR="001E33EC" w:rsidRPr="00386AF0">
        <w:t xml:space="preserve"> beneficiaries and took place in Billings, Montana. The survey testing consisted of respondent debriefings and resulted in minor survey revisions. A summary of the survey </w:t>
      </w:r>
      <w:r w:rsidR="007A0A83" w:rsidRPr="00386AF0">
        <w:t xml:space="preserve">testing results </w:t>
      </w:r>
      <w:r w:rsidR="00386AF0">
        <w:t>follows:</w:t>
      </w:r>
    </w:p>
    <w:p w14:paraId="549FD47C" w14:textId="77777777" w:rsidR="007A0A83" w:rsidRPr="00386AF0" w:rsidRDefault="007A0A83" w:rsidP="001E33EC">
      <w:pPr>
        <w:ind w:left="360"/>
      </w:pPr>
    </w:p>
    <w:p w14:paraId="40C56BBF" w14:textId="715DEA19" w:rsidR="007A0A83" w:rsidRPr="00386AF0" w:rsidRDefault="007A0A83" w:rsidP="00386AF0">
      <w:pPr>
        <w:ind w:left="360"/>
      </w:pPr>
      <w:r w:rsidRPr="00386AF0">
        <w:t xml:space="preserve">Researchers conducted respondent debriefings with 8 beneficiaries. The 8 beneficiaries </w:t>
      </w:r>
      <w:r w:rsidR="00E04B50" w:rsidRPr="00386AF0">
        <w:t>were</w:t>
      </w:r>
      <w:r w:rsidRPr="00386AF0">
        <w:t xml:space="preserve"> current and previous enrollees </w:t>
      </w:r>
      <w:r w:rsidR="00E04B50" w:rsidRPr="00386AF0">
        <w:t>in</w:t>
      </w:r>
      <w:r w:rsidRPr="00386AF0">
        <w:t xml:space="preserve"> the Montana HELP plan. The respondent debriefings took place in-pers</w:t>
      </w:r>
      <w:r w:rsidR="00E04B50" w:rsidRPr="00386AF0">
        <w:t>on in Billings, Montana over</w:t>
      </w:r>
      <w:r w:rsidRPr="00386AF0">
        <w:t xml:space="preserve"> a two-day period (January 4, 2017 – January 5, 2017). </w:t>
      </w:r>
    </w:p>
    <w:p w14:paraId="11063B1D" w14:textId="6FCBB8A2" w:rsidR="007A0A83" w:rsidRPr="00386AF0" w:rsidRDefault="007A0A83" w:rsidP="00386AF0">
      <w:pPr>
        <w:ind w:left="360"/>
      </w:pPr>
    </w:p>
    <w:p w14:paraId="64F9ECBA" w14:textId="000003D9" w:rsidR="00D81993" w:rsidRPr="00386AF0" w:rsidRDefault="007A0A83" w:rsidP="00386AF0">
      <w:pPr>
        <w:ind w:left="360"/>
      </w:pPr>
      <w:r w:rsidRPr="00386AF0">
        <w:t>Overall, the respondent debriefings did not result in major survey questionnaire revisions. Given that nearly half of the survey questions were directly from or adapted from previously used and vetted beneficiary surveys, the survey team did not exp</w:t>
      </w:r>
      <w:r w:rsidR="00E04B50" w:rsidRPr="00386AF0">
        <w:t>ect any major revisions. T</w:t>
      </w:r>
      <w:r w:rsidRPr="00386AF0">
        <w:t xml:space="preserve">he </w:t>
      </w:r>
      <w:r w:rsidRPr="00386AF0">
        <w:lastRenderedPageBreak/>
        <w:t xml:space="preserve">respondent debriefings helped further validate clarity and beneficiary understanding of the survey question format, content, and definitions utilized. </w:t>
      </w:r>
    </w:p>
    <w:p w14:paraId="04A965A4" w14:textId="77777777" w:rsidR="00D81993" w:rsidRPr="00386AF0" w:rsidRDefault="00D81993" w:rsidP="00386AF0">
      <w:pPr>
        <w:ind w:left="360"/>
      </w:pPr>
    </w:p>
    <w:p w14:paraId="757704D3" w14:textId="24008E5E" w:rsidR="007A0A83" w:rsidRDefault="007A0A83" w:rsidP="00386AF0">
      <w:pPr>
        <w:ind w:left="360"/>
      </w:pPr>
      <w:r w:rsidRPr="00386AF0">
        <w:t xml:space="preserve">While </w:t>
      </w:r>
      <w:r w:rsidR="00E04B50" w:rsidRPr="00386AF0">
        <w:t>the testing</w:t>
      </w:r>
      <w:r w:rsidRPr="00386AF0">
        <w:t xml:space="preserve"> did not reveal any challenging or confusing concepts </w:t>
      </w:r>
      <w:r w:rsidR="00D81993" w:rsidRPr="00386AF0">
        <w:t xml:space="preserve">within the survey questionnaire, </w:t>
      </w:r>
      <w:r w:rsidR="00DC4664" w:rsidRPr="00386AF0">
        <w:t xml:space="preserve">a few testing participants </w:t>
      </w:r>
      <w:r w:rsidR="00E04B50" w:rsidRPr="00386AF0">
        <w:t xml:space="preserve">indicated some confusion with the </w:t>
      </w:r>
      <w:r w:rsidR="00DC4664" w:rsidRPr="00386AF0">
        <w:t xml:space="preserve">question structure asking whether they agreed, disagreed, or were not sure with some statements provided about the HELP plan. The question structure was updated </w:t>
      </w:r>
      <w:r w:rsidR="004603B1" w:rsidRPr="00386AF0">
        <w:t xml:space="preserve">to </w:t>
      </w:r>
      <w:r w:rsidR="00E04B50" w:rsidRPr="00386AF0">
        <w:t xml:space="preserve">eliminate to more clearly </w:t>
      </w:r>
      <w:r w:rsidR="00DC4664" w:rsidRPr="00386AF0">
        <w:t xml:space="preserve">ask respondents whether they think certain </w:t>
      </w:r>
      <w:r w:rsidR="004603B1" w:rsidRPr="00386AF0">
        <w:t xml:space="preserve">features or components (listed in the question) </w:t>
      </w:r>
      <w:r w:rsidR="00DC4664" w:rsidRPr="00386AF0">
        <w:t>are part of HELP</w:t>
      </w:r>
      <w:r w:rsidR="004603B1" w:rsidRPr="00386AF0">
        <w:t>, not part of HELP, of if they are not sure.</w:t>
      </w:r>
    </w:p>
    <w:p w14:paraId="0054472F" w14:textId="6DD66571" w:rsidR="00CB622D" w:rsidRPr="00CB622D" w:rsidRDefault="00CB622D" w:rsidP="001E33EC"/>
    <w:p w14:paraId="23C71C6C" w14:textId="613819DD" w:rsidR="008F1EB4" w:rsidRPr="000A2A8F" w:rsidRDefault="008F1EB4" w:rsidP="005B00CE">
      <w:pPr>
        <w:pStyle w:val="Heading3"/>
      </w:pPr>
      <w:r w:rsidRPr="000A2A8F">
        <w:t>9.</w:t>
      </w:r>
      <w:r w:rsidRPr="000A2A8F">
        <w:tab/>
      </w:r>
      <w:r w:rsidR="000103CB">
        <w:t xml:space="preserve">”Thank You” </w:t>
      </w:r>
      <w:r w:rsidRPr="000A2A8F">
        <w:t>Gifts to Respondents</w:t>
      </w:r>
    </w:p>
    <w:p w14:paraId="289A311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83823A" w14:textId="4F436192" w:rsidR="000A2A8F" w:rsidRPr="00335FDC" w:rsidRDefault="000A2A8F" w:rsidP="005B00CE">
      <w:pPr>
        <w:pStyle w:val="BodyText"/>
      </w:pPr>
      <w:r>
        <w:t>Survey p</w:t>
      </w:r>
      <w:r w:rsidRPr="00335FDC">
        <w:t>articipants will be offered a $</w:t>
      </w:r>
      <w:r>
        <w:t>10</w:t>
      </w:r>
      <w:r w:rsidRPr="00335FDC">
        <w:t xml:space="preserve"> </w:t>
      </w:r>
      <w:r w:rsidR="000103CB">
        <w:t>Visa® gift card</w:t>
      </w:r>
      <w:r w:rsidRPr="00335FDC">
        <w:t xml:space="preserve"> </w:t>
      </w:r>
      <w:r w:rsidR="000103CB">
        <w:t>for their</w:t>
      </w:r>
      <w:r>
        <w:t xml:space="preserve"> participat</w:t>
      </w:r>
      <w:r w:rsidR="000103CB">
        <w:t>ion</w:t>
      </w:r>
      <w:r>
        <w:t xml:space="preserve"> in the data collection</w:t>
      </w:r>
      <w:r w:rsidRPr="00335FDC">
        <w:t>.</w:t>
      </w:r>
      <w:r w:rsidR="00134182">
        <w:t xml:space="preserve"> Based on past experience surveying Medicaid beneficiaries as well as the survey methods literature, we arrived at the $10 amount as the appropriate amount to provide potential survey respondents in order to thank them for their participation and incentivize them to respond to the survey(s).</w:t>
      </w:r>
      <w:r w:rsidR="00134182" w:rsidRPr="008A62A9">
        <w:rPr>
          <w:rStyle w:val="FootnoteReference"/>
          <w:sz w:val="22"/>
          <w:vertAlign w:val="superscript"/>
        </w:rPr>
        <w:footnoteReference w:id="3"/>
      </w:r>
      <w:r w:rsidR="000103CB">
        <w:t xml:space="preserve"> </w:t>
      </w:r>
      <w:r w:rsidR="00134182" w:rsidRPr="008A62A9">
        <w:rPr>
          <w:rStyle w:val="FootnoteReference"/>
          <w:sz w:val="22"/>
          <w:vertAlign w:val="superscript"/>
        </w:rPr>
        <w:footnoteReference w:id="4"/>
      </w:r>
      <w:r w:rsidR="000103CB">
        <w:t xml:space="preserve"> </w:t>
      </w:r>
      <w:r w:rsidR="00134182" w:rsidRPr="008A62A9">
        <w:rPr>
          <w:rStyle w:val="FootnoteReference"/>
          <w:sz w:val="22"/>
          <w:vertAlign w:val="superscript"/>
        </w:rPr>
        <w:footnoteReference w:id="5"/>
      </w:r>
      <w:r w:rsidRPr="008A62A9">
        <w:rPr>
          <w:sz w:val="18"/>
          <w:szCs w:val="18"/>
          <w:vertAlign w:val="superscript"/>
        </w:rPr>
        <w:t xml:space="preserve"> </w:t>
      </w:r>
      <w:r w:rsidRPr="00BB0565">
        <w:t xml:space="preserve">Focus group participants will each receive a $60 </w:t>
      </w:r>
      <w:r w:rsidR="000103CB">
        <w:t>gift card</w:t>
      </w:r>
      <w:r w:rsidR="00214039">
        <w:t xml:space="preserve"> </w:t>
      </w:r>
      <w:r w:rsidR="000103CB">
        <w:t xml:space="preserve">as a “Thank You” and </w:t>
      </w:r>
      <w:r w:rsidR="00214039">
        <w:t>to defray any costs incurred in participation</w:t>
      </w:r>
      <w:r w:rsidRPr="00BB0565">
        <w:t xml:space="preserve">. </w:t>
      </w:r>
      <w:r w:rsidR="005E2F95">
        <w:t>The focus group amount is based on Urban Institute’s decades of experience successfully recruiting focus group participants</w:t>
      </w:r>
      <w:r w:rsidR="00980BDF">
        <w:t>,</w:t>
      </w:r>
      <w:r w:rsidR="005E2F95">
        <w:t xml:space="preserve"> and recent experience with projects involving similar consumer populations. </w:t>
      </w:r>
      <w:r w:rsidRPr="00BB0565">
        <w:t xml:space="preserve">Urban Institute staff will collect signed receipts from each focus group participant receiving a </w:t>
      </w:r>
      <w:r>
        <w:t>payment</w:t>
      </w:r>
      <w:r w:rsidRPr="00BB0565">
        <w:t>.</w:t>
      </w:r>
      <w:r>
        <w:t xml:space="preserve"> Informational interview participants will not receive a</w:t>
      </w:r>
      <w:r w:rsidR="00A62FC4">
        <w:t xml:space="preserve"> gift card</w:t>
      </w:r>
      <w:r>
        <w:t xml:space="preserve"> for participation.</w:t>
      </w:r>
    </w:p>
    <w:p w14:paraId="6627B1A7" w14:textId="77777777" w:rsidR="000A2A8F" w:rsidRDefault="000A2A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D7318E" w14:textId="77777777" w:rsidR="008F1EB4" w:rsidRPr="000A2A8F" w:rsidRDefault="008F1EB4" w:rsidP="005B00CE">
      <w:pPr>
        <w:pStyle w:val="Heading3"/>
      </w:pPr>
      <w:r w:rsidRPr="000A2A8F">
        <w:t>10.</w:t>
      </w:r>
      <w:r w:rsidRPr="000A2A8F">
        <w:tab/>
        <w:t>Confidentiality</w:t>
      </w:r>
    </w:p>
    <w:p w14:paraId="2994DEEB"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757D31C1" w14:textId="77777777" w:rsidR="0055609B" w:rsidRPr="005B00CE" w:rsidRDefault="0055609B" w:rsidP="005B00CE">
      <w:pPr>
        <w:pStyle w:val="BodyText"/>
      </w:pPr>
      <w:r w:rsidRPr="00335FDC">
        <w:lastRenderedPageBreak/>
        <w:t>All information collected will be kept private</w:t>
      </w:r>
      <w:r>
        <w:t xml:space="preserve"> to the extent allowable by law</w:t>
      </w:r>
      <w:r w:rsidRPr="00335FDC">
        <w:t>, and reported in the aggregate only.</w:t>
      </w:r>
    </w:p>
    <w:p w14:paraId="5EEAAB4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BAA247" w14:textId="77777777" w:rsidR="008F1EB4" w:rsidRPr="000A2A8F" w:rsidRDefault="008F1EB4" w:rsidP="005B00CE">
      <w:pPr>
        <w:pStyle w:val="Heading3"/>
      </w:pPr>
      <w:r w:rsidRPr="000A2A8F">
        <w:t>11.</w:t>
      </w:r>
      <w:r w:rsidRPr="000A2A8F">
        <w:tab/>
        <w:t>Sensitive Questions</w:t>
      </w:r>
    </w:p>
    <w:p w14:paraId="21AD9EA5" w14:textId="77777777" w:rsidR="000A2A8F" w:rsidRPr="0055609B" w:rsidRDefault="000A2A8F" w:rsidP="000A2A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071C9E92" w14:textId="6227E855" w:rsidR="008F1EB4" w:rsidRDefault="002D3E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sensitive questions associated with this collection. Specifically, the collection does not solicit questions of a sensitive nature, such as sexual behavior and attitudes, religious beliefs, and other matters that are commonly considered private.</w:t>
      </w:r>
    </w:p>
    <w:p w14:paraId="6FFC0E5E" w14:textId="77777777" w:rsidR="008F1EB4" w:rsidRPr="000A2A8F" w:rsidRDefault="008F1EB4" w:rsidP="005B00CE">
      <w:pPr>
        <w:pStyle w:val="Heading3"/>
      </w:pPr>
      <w:r w:rsidRPr="000A2A8F">
        <w:t>12.</w:t>
      </w:r>
      <w:r w:rsidRPr="000A2A8F">
        <w:tab/>
        <w:t>Burden Estimates (Hours &amp; Wages)</w:t>
      </w:r>
    </w:p>
    <w:p w14:paraId="33C0295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69C410" w14:textId="77777777" w:rsidR="000A2A8F" w:rsidRPr="003722CB" w:rsidRDefault="000A2A8F" w:rsidP="009B75EE">
      <w:pPr>
        <w:pStyle w:val="Heading4"/>
        <w:ind w:left="0"/>
        <w:rPr>
          <w:i w:val="0"/>
        </w:rPr>
      </w:pPr>
      <w:r w:rsidRPr="003722CB">
        <w:rPr>
          <w:i w:val="0"/>
        </w:rPr>
        <w:t>12.1 Wage Estimates</w:t>
      </w:r>
    </w:p>
    <w:p w14:paraId="7D56E0A3" w14:textId="77777777" w:rsidR="003A54D3" w:rsidRPr="003722CB" w:rsidRDefault="003A54D3" w:rsidP="003436B0">
      <w:pPr>
        <w:pStyle w:val="BodyText"/>
        <w:ind w:left="360"/>
      </w:pPr>
    </w:p>
    <w:p w14:paraId="72EADCB4" w14:textId="32FD6003" w:rsidR="009B75EE" w:rsidRPr="003722CB" w:rsidRDefault="00442237" w:rsidP="003436B0">
      <w:pPr>
        <w:pStyle w:val="BodyText"/>
        <w:ind w:left="360"/>
      </w:pPr>
      <w:r w:rsidRPr="003722CB">
        <w:t xml:space="preserve">For unemployed beneficiary participants, we use the minimum wage </w:t>
      </w:r>
      <w:r w:rsidR="00403A97" w:rsidRPr="003722CB">
        <w:t>of $8.</w:t>
      </w:r>
      <w:r w:rsidR="00616919" w:rsidRPr="003722CB">
        <w:t>1</w:t>
      </w:r>
      <w:r w:rsidR="00403A97" w:rsidRPr="003722CB">
        <w:t>5</w:t>
      </w:r>
      <w:r w:rsidR="00D2732B" w:rsidRPr="003722CB">
        <w:t>/hour</w:t>
      </w:r>
      <w:r w:rsidR="00403A97" w:rsidRPr="003722CB">
        <w:t xml:space="preserve"> </w:t>
      </w:r>
      <w:r w:rsidRPr="003722CB">
        <w:t>set forth by the State of Montana</w:t>
      </w:r>
      <w:r w:rsidR="005A0B8A" w:rsidRPr="003722CB">
        <w:t xml:space="preserve"> (</w:t>
      </w:r>
      <w:r w:rsidR="00616919" w:rsidRPr="003722CB">
        <w:t>2017</w:t>
      </w:r>
      <w:r w:rsidR="005A0B8A" w:rsidRPr="003722CB">
        <w:t xml:space="preserve">. </w:t>
      </w:r>
      <w:hyperlink r:id="rId11" w:history="1">
        <w:r w:rsidR="00ED2AB8" w:rsidRPr="003722CB">
          <w:rPr>
            <w:rStyle w:val="Hyperlink"/>
          </w:rPr>
          <w:t>http://www.minimum-wage.org/states.asp?state=Montana</w:t>
        </w:r>
      </w:hyperlink>
      <w:r w:rsidR="005A0B8A" w:rsidRPr="003722CB">
        <w:t>)</w:t>
      </w:r>
      <w:r w:rsidR="00ED2AB8" w:rsidRPr="003722CB">
        <w:t>, accounting for a</w:t>
      </w:r>
      <w:r w:rsidR="001D31FE" w:rsidRPr="003722CB">
        <w:t xml:space="preserve">n estimated 1/3 of HELP eligibles </w:t>
      </w:r>
      <w:r w:rsidR="006377B7" w:rsidRPr="003722CB">
        <w:t>(a</w:t>
      </w:r>
      <w:r w:rsidR="00C37ACA" w:rsidRPr="003722CB">
        <w:t>s a</w:t>
      </w:r>
      <w:r w:rsidR="006377B7" w:rsidRPr="003722CB">
        <w:t xml:space="preserve"> proxy measure) </w:t>
      </w:r>
      <w:r w:rsidR="00ED2AB8" w:rsidRPr="003722CB">
        <w:t xml:space="preserve">that </w:t>
      </w:r>
      <w:r w:rsidR="001D31FE" w:rsidRPr="003722CB">
        <w:t>are unemployed (</w:t>
      </w:r>
      <w:hyperlink r:id="rId12" w:history="1">
        <w:r w:rsidR="001D31FE" w:rsidRPr="003722CB">
          <w:rPr>
            <w:rStyle w:val="Hyperlink"/>
          </w:rPr>
          <w:t>http://dphhs.mt.gov/Portals/85/Documents/MedicaidExpansion/DPHHS%20HELP%20Act%20Progress%20Report%20LFC9_29_2016.pdf</w:t>
        </w:r>
      </w:hyperlink>
      <w:r w:rsidR="001D31FE" w:rsidRPr="003722CB">
        <w:t xml:space="preserve">). </w:t>
      </w:r>
    </w:p>
    <w:p w14:paraId="2918D97D" w14:textId="77777777" w:rsidR="009B75EE" w:rsidRPr="003722CB" w:rsidRDefault="009B75EE" w:rsidP="003436B0">
      <w:pPr>
        <w:pStyle w:val="BodyText"/>
        <w:ind w:left="360"/>
      </w:pPr>
    </w:p>
    <w:p w14:paraId="58C292BB" w14:textId="22F2AD52" w:rsidR="00580EBC" w:rsidRPr="003722CB" w:rsidRDefault="000846A6" w:rsidP="00580EBC">
      <w:pPr>
        <w:pStyle w:val="BodyText"/>
        <w:ind w:left="360"/>
      </w:pPr>
      <w:r w:rsidRPr="003722CB">
        <w:t xml:space="preserve">Wage burden estimates </w:t>
      </w:r>
      <w:r w:rsidR="0045680B" w:rsidRPr="003722CB">
        <w:t xml:space="preserve">for employed </w:t>
      </w:r>
      <w:r w:rsidRPr="003722CB">
        <w:t>beneficiaries are based on US Bureau of Labor Statistics. May 201</w:t>
      </w:r>
      <w:r w:rsidR="007733AC" w:rsidRPr="003722CB">
        <w:t>6</w:t>
      </w:r>
      <w:r w:rsidRPr="003722CB">
        <w:t xml:space="preserve"> State Occupational Employment and Wage Estimates. Montana</w:t>
      </w:r>
      <w:r w:rsidR="007733AC" w:rsidRPr="003722CB">
        <w:t xml:space="preserve"> (</w:t>
      </w:r>
      <w:hyperlink r:id="rId13" w:history="1">
        <w:r w:rsidR="007733AC" w:rsidRPr="003722CB">
          <w:rPr>
            <w:rStyle w:val="Hyperlink"/>
          </w:rPr>
          <w:t>http://www.bls.gov/oes/current/oes_mt.htm</w:t>
        </w:r>
      </w:hyperlink>
      <w:r w:rsidR="007733AC" w:rsidRPr="003722CB">
        <w:rPr>
          <w:rStyle w:val="Hyperlink"/>
        </w:rPr>
        <w:t>)</w:t>
      </w:r>
      <w:r w:rsidRPr="003722CB">
        <w:t xml:space="preserve">. </w:t>
      </w:r>
      <w:r w:rsidR="00580EBC" w:rsidRPr="003722CB">
        <w:t>The following table presents the mean hourly wage, the cost of fringe benefits (calculated at 100 percent of salary), and the adjusted hourly wage.</w:t>
      </w:r>
    </w:p>
    <w:p w14:paraId="660D50A9" w14:textId="77777777" w:rsidR="00580EBC" w:rsidRPr="003722CB" w:rsidRDefault="00580EBC" w:rsidP="00580EBC">
      <w:pPr>
        <w:pStyle w:val="BodyText"/>
        <w:ind w:left="360"/>
      </w:pP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580EBC" w:rsidRPr="00A44F31" w14:paraId="04D611DA" w14:textId="77777777" w:rsidTr="003E121D">
        <w:tc>
          <w:tcPr>
            <w:tcW w:w="1809" w:type="dxa"/>
            <w:shd w:val="clear" w:color="auto" w:fill="auto"/>
          </w:tcPr>
          <w:p w14:paraId="7B0AED39" w14:textId="77777777" w:rsidR="00580EBC" w:rsidRPr="003722CB" w:rsidRDefault="00580EBC" w:rsidP="003E121D">
            <w:pPr>
              <w:keepNext/>
              <w:spacing w:line="240" w:lineRule="auto"/>
              <w:rPr>
                <w:rFonts w:ascii="Times New Roman" w:hAnsi="Times New Roman"/>
                <w:b/>
                <w:sz w:val="20"/>
                <w:szCs w:val="20"/>
              </w:rPr>
            </w:pPr>
            <w:r w:rsidRPr="003722CB">
              <w:rPr>
                <w:rFonts w:ascii="Times New Roman" w:hAnsi="Times New Roman"/>
                <w:b/>
                <w:sz w:val="20"/>
                <w:szCs w:val="20"/>
              </w:rPr>
              <w:t>Occupation Title</w:t>
            </w:r>
          </w:p>
        </w:tc>
        <w:tc>
          <w:tcPr>
            <w:tcW w:w="1809" w:type="dxa"/>
            <w:shd w:val="clear" w:color="auto" w:fill="auto"/>
          </w:tcPr>
          <w:p w14:paraId="6D3BA3D5" w14:textId="77777777" w:rsidR="00580EBC" w:rsidRPr="003722CB" w:rsidRDefault="00580EBC" w:rsidP="003E121D">
            <w:pPr>
              <w:keepNext/>
              <w:spacing w:line="240" w:lineRule="auto"/>
              <w:rPr>
                <w:rFonts w:ascii="Times New Roman" w:hAnsi="Times New Roman"/>
                <w:b/>
                <w:sz w:val="20"/>
                <w:szCs w:val="20"/>
              </w:rPr>
            </w:pPr>
            <w:r w:rsidRPr="003722CB">
              <w:rPr>
                <w:rFonts w:ascii="Times New Roman" w:hAnsi="Times New Roman"/>
                <w:b/>
                <w:sz w:val="20"/>
                <w:szCs w:val="20"/>
              </w:rPr>
              <w:t>Occupation Code</w:t>
            </w:r>
          </w:p>
        </w:tc>
        <w:tc>
          <w:tcPr>
            <w:tcW w:w="1733" w:type="dxa"/>
            <w:shd w:val="clear" w:color="auto" w:fill="auto"/>
          </w:tcPr>
          <w:p w14:paraId="24091399" w14:textId="77777777" w:rsidR="00580EBC" w:rsidRPr="003722CB" w:rsidRDefault="00580EBC" w:rsidP="003E121D">
            <w:pPr>
              <w:keepNext/>
              <w:spacing w:line="240" w:lineRule="auto"/>
              <w:rPr>
                <w:rFonts w:ascii="Times New Roman" w:hAnsi="Times New Roman"/>
                <w:b/>
                <w:sz w:val="20"/>
                <w:szCs w:val="20"/>
              </w:rPr>
            </w:pPr>
            <w:r w:rsidRPr="003722CB">
              <w:rPr>
                <w:rFonts w:ascii="Times New Roman" w:hAnsi="Times New Roman"/>
                <w:b/>
                <w:sz w:val="20"/>
                <w:szCs w:val="20"/>
              </w:rPr>
              <w:t>Mean Hourly Wage ($/hr)</w:t>
            </w:r>
          </w:p>
        </w:tc>
        <w:tc>
          <w:tcPr>
            <w:tcW w:w="1738" w:type="dxa"/>
            <w:shd w:val="clear" w:color="auto" w:fill="auto"/>
          </w:tcPr>
          <w:p w14:paraId="0B4199BF" w14:textId="77777777" w:rsidR="00580EBC" w:rsidRPr="003722CB" w:rsidRDefault="00580EBC" w:rsidP="003E121D">
            <w:pPr>
              <w:keepNext/>
              <w:spacing w:line="240" w:lineRule="auto"/>
              <w:rPr>
                <w:rFonts w:ascii="Times New Roman" w:hAnsi="Times New Roman"/>
                <w:b/>
                <w:sz w:val="20"/>
                <w:szCs w:val="20"/>
              </w:rPr>
            </w:pPr>
            <w:r w:rsidRPr="003722CB">
              <w:rPr>
                <w:rFonts w:ascii="Times New Roman" w:hAnsi="Times New Roman"/>
                <w:b/>
                <w:sz w:val="20"/>
                <w:szCs w:val="20"/>
              </w:rPr>
              <w:t>Fringe Benefit ($/hr)</w:t>
            </w:r>
          </w:p>
        </w:tc>
        <w:tc>
          <w:tcPr>
            <w:tcW w:w="1767" w:type="dxa"/>
            <w:shd w:val="clear" w:color="auto" w:fill="auto"/>
          </w:tcPr>
          <w:p w14:paraId="6EB3DA99" w14:textId="77777777" w:rsidR="00580EBC" w:rsidRPr="00A44F31" w:rsidRDefault="00580EBC" w:rsidP="003E121D">
            <w:pPr>
              <w:keepNext/>
              <w:spacing w:line="240" w:lineRule="auto"/>
              <w:rPr>
                <w:rFonts w:ascii="Times New Roman" w:hAnsi="Times New Roman"/>
                <w:b/>
                <w:sz w:val="20"/>
                <w:szCs w:val="20"/>
              </w:rPr>
            </w:pPr>
            <w:r w:rsidRPr="003722CB">
              <w:rPr>
                <w:rFonts w:ascii="Times New Roman" w:hAnsi="Times New Roman"/>
                <w:b/>
                <w:sz w:val="20"/>
                <w:szCs w:val="20"/>
              </w:rPr>
              <w:t>Adjusted Hourly Wage ($/hr)</w:t>
            </w:r>
          </w:p>
        </w:tc>
      </w:tr>
      <w:tr w:rsidR="007C718A" w:rsidRPr="00A44F31" w14:paraId="6CD481C7" w14:textId="77777777" w:rsidTr="003E121D">
        <w:tc>
          <w:tcPr>
            <w:tcW w:w="1809" w:type="dxa"/>
            <w:shd w:val="clear" w:color="auto" w:fill="auto"/>
          </w:tcPr>
          <w:p w14:paraId="391F02D7" w14:textId="37316944" w:rsidR="007C718A" w:rsidRPr="00A44F31" w:rsidRDefault="007C718A" w:rsidP="007C718A">
            <w:pPr>
              <w:keepNext/>
              <w:spacing w:line="240" w:lineRule="auto"/>
              <w:rPr>
                <w:rFonts w:ascii="Times New Roman" w:hAnsi="Times New Roman"/>
                <w:b/>
                <w:sz w:val="20"/>
                <w:szCs w:val="20"/>
              </w:rPr>
            </w:pPr>
            <w:r w:rsidRPr="00280C5E">
              <w:rPr>
                <w:rFonts w:ascii="Times New Roman" w:hAnsi="Times New Roman"/>
                <w:snapToGrid w:val="0"/>
                <w:sz w:val="20"/>
                <w:szCs w:val="20"/>
              </w:rPr>
              <w:t>All Occupations</w:t>
            </w:r>
            <w:r w:rsidR="00F0740F">
              <w:rPr>
                <w:rFonts w:ascii="Times New Roman" w:hAnsi="Times New Roman"/>
                <w:snapToGrid w:val="0"/>
                <w:sz w:val="20"/>
                <w:szCs w:val="20"/>
              </w:rPr>
              <w:t>*</w:t>
            </w:r>
          </w:p>
        </w:tc>
        <w:tc>
          <w:tcPr>
            <w:tcW w:w="1809" w:type="dxa"/>
            <w:shd w:val="clear" w:color="auto" w:fill="auto"/>
          </w:tcPr>
          <w:p w14:paraId="75BCBC35" w14:textId="1781DED5" w:rsidR="007C718A" w:rsidRPr="00A44F31" w:rsidRDefault="007C718A" w:rsidP="007C718A">
            <w:pPr>
              <w:keepNext/>
              <w:spacing w:line="240" w:lineRule="auto"/>
              <w:rPr>
                <w:rFonts w:ascii="Times New Roman" w:hAnsi="Times New Roman"/>
                <w:b/>
                <w:sz w:val="20"/>
                <w:szCs w:val="20"/>
              </w:rPr>
            </w:pPr>
            <w:r>
              <w:rPr>
                <w:rFonts w:ascii="Times New Roman" w:hAnsi="Times New Roman"/>
                <w:sz w:val="20"/>
                <w:szCs w:val="20"/>
              </w:rPr>
              <w:t>00-0000</w:t>
            </w:r>
          </w:p>
        </w:tc>
        <w:tc>
          <w:tcPr>
            <w:tcW w:w="1733" w:type="dxa"/>
            <w:shd w:val="clear" w:color="auto" w:fill="auto"/>
          </w:tcPr>
          <w:p w14:paraId="648D2FBE" w14:textId="6C4E5171" w:rsidR="007C718A" w:rsidRPr="00A44F31" w:rsidRDefault="007C718A" w:rsidP="007C718A">
            <w:pPr>
              <w:keepNext/>
              <w:spacing w:line="240" w:lineRule="auto"/>
              <w:rPr>
                <w:rFonts w:ascii="Times New Roman" w:hAnsi="Times New Roman"/>
                <w:b/>
                <w:sz w:val="20"/>
                <w:szCs w:val="20"/>
              </w:rPr>
            </w:pPr>
            <w:r w:rsidRPr="00373B51">
              <w:rPr>
                <w:rFonts w:ascii="Times New Roman" w:hAnsi="Times New Roman"/>
                <w:sz w:val="20"/>
                <w:szCs w:val="20"/>
              </w:rPr>
              <w:t>19.9</w:t>
            </w:r>
            <w:r>
              <w:rPr>
                <w:rFonts w:ascii="Times New Roman" w:hAnsi="Times New Roman"/>
                <w:sz w:val="20"/>
                <w:szCs w:val="20"/>
              </w:rPr>
              <w:t>2</w:t>
            </w:r>
          </w:p>
        </w:tc>
        <w:tc>
          <w:tcPr>
            <w:tcW w:w="1738" w:type="dxa"/>
            <w:shd w:val="clear" w:color="auto" w:fill="auto"/>
          </w:tcPr>
          <w:p w14:paraId="176D7AD8" w14:textId="13974182" w:rsidR="007C718A" w:rsidRPr="00A44F31" w:rsidRDefault="007C718A" w:rsidP="007C718A">
            <w:pPr>
              <w:keepNext/>
              <w:spacing w:line="240" w:lineRule="auto"/>
              <w:rPr>
                <w:rFonts w:ascii="Times New Roman" w:hAnsi="Times New Roman"/>
                <w:b/>
                <w:sz w:val="20"/>
                <w:szCs w:val="20"/>
              </w:rPr>
            </w:pPr>
            <w:r w:rsidRPr="00373B51">
              <w:rPr>
                <w:rFonts w:ascii="Times New Roman" w:hAnsi="Times New Roman"/>
                <w:sz w:val="20"/>
                <w:szCs w:val="20"/>
              </w:rPr>
              <w:t>19.9</w:t>
            </w:r>
            <w:r>
              <w:rPr>
                <w:rFonts w:ascii="Times New Roman" w:hAnsi="Times New Roman"/>
                <w:sz w:val="20"/>
                <w:szCs w:val="20"/>
              </w:rPr>
              <w:t>2</w:t>
            </w:r>
          </w:p>
        </w:tc>
        <w:tc>
          <w:tcPr>
            <w:tcW w:w="1767" w:type="dxa"/>
            <w:shd w:val="clear" w:color="auto" w:fill="auto"/>
          </w:tcPr>
          <w:p w14:paraId="5E0E7CBF" w14:textId="2CB8C99B" w:rsidR="007C718A" w:rsidRPr="00A44F31" w:rsidRDefault="007C718A" w:rsidP="007C718A">
            <w:pPr>
              <w:keepNext/>
              <w:spacing w:line="240" w:lineRule="auto"/>
              <w:rPr>
                <w:rFonts w:ascii="Times New Roman" w:hAnsi="Times New Roman"/>
                <w:b/>
                <w:sz w:val="20"/>
                <w:szCs w:val="20"/>
              </w:rPr>
            </w:pPr>
            <w:r w:rsidRPr="00373B51">
              <w:rPr>
                <w:rFonts w:ascii="Times New Roman" w:hAnsi="Times New Roman"/>
                <w:snapToGrid w:val="0"/>
                <w:sz w:val="20"/>
                <w:szCs w:val="20"/>
              </w:rPr>
              <w:t>39.8</w:t>
            </w:r>
            <w:r>
              <w:rPr>
                <w:rFonts w:ascii="Times New Roman" w:hAnsi="Times New Roman"/>
                <w:snapToGrid w:val="0"/>
                <w:sz w:val="20"/>
                <w:szCs w:val="20"/>
              </w:rPr>
              <w:t>4</w:t>
            </w:r>
          </w:p>
        </w:tc>
      </w:tr>
      <w:tr w:rsidR="007C718A" w:rsidRPr="00373B51" w14:paraId="294F190E" w14:textId="77777777" w:rsidTr="003E121D">
        <w:tc>
          <w:tcPr>
            <w:tcW w:w="1809" w:type="dxa"/>
            <w:shd w:val="clear" w:color="auto" w:fill="auto"/>
          </w:tcPr>
          <w:p w14:paraId="23778BD3" w14:textId="48DFCF35" w:rsidR="007C718A" w:rsidRPr="00373B51" w:rsidRDefault="007C718A" w:rsidP="007C718A">
            <w:pPr>
              <w:keepNext/>
              <w:spacing w:line="240" w:lineRule="auto"/>
              <w:rPr>
                <w:rFonts w:ascii="Times New Roman" w:hAnsi="Times New Roman"/>
                <w:snapToGrid w:val="0"/>
                <w:sz w:val="20"/>
                <w:szCs w:val="20"/>
              </w:rPr>
            </w:pPr>
            <w:r w:rsidRPr="00580EBC">
              <w:rPr>
                <w:rFonts w:ascii="Times New Roman" w:hAnsi="Times New Roman"/>
                <w:snapToGrid w:val="0"/>
                <w:sz w:val="20"/>
                <w:szCs w:val="20"/>
              </w:rPr>
              <w:t>General and Operations Managers</w:t>
            </w:r>
          </w:p>
        </w:tc>
        <w:tc>
          <w:tcPr>
            <w:tcW w:w="1809" w:type="dxa"/>
            <w:shd w:val="clear" w:color="auto" w:fill="auto"/>
          </w:tcPr>
          <w:p w14:paraId="3C3BD6E6" w14:textId="60B6D5A7" w:rsidR="007C718A" w:rsidRPr="00373B51" w:rsidRDefault="007C718A" w:rsidP="007C718A">
            <w:pPr>
              <w:keepNext/>
              <w:spacing w:line="240" w:lineRule="auto"/>
              <w:rPr>
                <w:rFonts w:ascii="Times New Roman" w:hAnsi="Times New Roman"/>
                <w:sz w:val="20"/>
                <w:szCs w:val="20"/>
              </w:rPr>
            </w:pPr>
            <w:r>
              <w:rPr>
                <w:rFonts w:ascii="Times New Roman" w:hAnsi="Times New Roman"/>
                <w:sz w:val="20"/>
                <w:szCs w:val="20"/>
              </w:rPr>
              <w:t>11-1</w:t>
            </w:r>
            <w:r w:rsidRPr="00580EBC">
              <w:rPr>
                <w:rFonts w:ascii="Times New Roman" w:hAnsi="Times New Roman"/>
                <w:sz w:val="20"/>
                <w:szCs w:val="20"/>
              </w:rPr>
              <w:t>021</w:t>
            </w:r>
          </w:p>
        </w:tc>
        <w:tc>
          <w:tcPr>
            <w:tcW w:w="1733" w:type="dxa"/>
            <w:shd w:val="clear" w:color="auto" w:fill="auto"/>
          </w:tcPr>
          <w:p w14:paraId="5EB006B3" w14:textId="48035533" w:rsidR="007C718A" w:rsidRPr="00373B51" w:rsidRDefault="007C718A" w:rsidP="007C718A">
            <w:pPr>
              <w:keepNext/>
              <w:spacing w:line="240" w:lineRule="auto"/>
              <w:rPr>
                <w:rFonts w:ascii="Times New Roman" w:hAnsi="Times New Roman"/>
                <w:sz w:val="20"/>
                <w:szCs w:val="20"/>
              </w:rPr>
            </w:pPr>
            <w:r>
              <w:rPr>
                <w:rFonts w:ascii="Times New Roman" w:hAnsi="Times New Roman"/>
                <w:sz w:val="20"/>
                <w:szCs w:val="20"/>
              </w:rPr>
              <w:t>46.69</w:t>
            </w:r>
          </w:p>
        </w:tc>
        <w:tc>
          <w:tcPr>
            <w:tcW w:w="1738" w:type="dxa"/>
            <w:shd w:val="clear" w:color="auto" w:fill="auto"/>
          </w:tcPr>
          <w:p w14:paraId="21FDF65E" w14:textId="2A870B80" w:rsidR="007C718A" w:rsidRPr="00373B51" w:rsidRDefault="007C718A" w:rsidP="007C718A">
            <w:pPr>
              <w:keepNext/>
              <w:spacing w:line="240" w:lineRule="auto"/>
              <w:rPr>
                <w:rFonts w:ascii="Times New Roman" w:hAnsi="Times New Roman"/>
                <w:sz w:val="20"/>
                <w:szCs w:val="20"/>
              </w:rPr>
            </w:pPr>
            <w:r>
              <w:rPr>
                <w:rFonts w:ascii="Times New Roman" w:hAnsi="Times New Roman"/>
                <w:sz w:val="20"/>
                <w:szCs w:val="20"/>
              </w:rPr>
              <w:t>46.69</w:t>
            </w:r>
          </w:p>
        </w:tc>
        <w:tc>
          <w:tcPr>
            <w:tcW w:w="1767" w:type="dxa"/>
            <w:shd w:val="clear" w:color="auto" w:fill="auto"/>
          </w:tcPr>
          <w:p w14:paraId="26E138DC" w14:textId="0FAFF63C" w:rsidR="007C718A" w:rsidRPr="00373B51" w:rsidRDefault="007C718A" w:rsidP="007C718A">
            <w:pPr>
              <w:keepNext/>
              <w:spacing w:line="240" w:lineRule="auto"/>
              <w:rPr>
                <w:rFonts w:ascii="Times New Roman" w:hAnsi="Times New Roman"/>
                <w:snapToGrid w:val="0"/>
                <w:sz w:val="20"/>
                <w:szCs w:val="20"/>
              </w:rPr>
            </w:pPr>
            <w:r>
              <w:rPr>
                <w:rFonts w:ascii="Times New Roman" w:hAnsi="Times New Roman"/>
                <w:snapToGrid w:val="0"/>
                <w:sz w:val="20"/>
                <w:szCs w:val="20"/>
              </w:rPr>
              <w:t>93.38</w:t>
            </w:r>
          </w:p>
        </w:tc>
      </w:tr>
    </w:tbl>
    <w:p w14:paraId="53823151" w14:textId="5A7B893C" w:rsidR="00580EBC" w:rsidRPr="00F0740F" w:rsidRDefault="00F0740F" w:rsidP="00580EBC">
      <w:pPr>
        <w:pStyle w:val="BodyText"/>
        <w:ind w:left="360"/>
        <w:rPr>
          <w:sz w:val="18"/>
          <w:szCs w:val="18"/>
        </w:rPr>
      </w:pPr>
      <w:r w:rsidRPr="00F0740F">
        <w:rPr>
          <w:sz w:val="18"/>
          <w:szCs w:val="18"/>
        </w:rPr>
        <w:t>*Serves as a proxy for the average median hourly wage for all employed beneficiaries.</w:t>
      </w:r>
    </w:p>
    <w:p w14:paraId="7DA028A5" w14:textId="77777777" w:rsidR="00F0740F" w:rsidRDefault="00F0740F" w:rsidP="00580EBC">
      <w:pPr>
        <w:pStyle w:val="BodyText"/>
        <w:ind w:left="360"/>
      </w:pPr>
    </w:p>
    <w:p w14:paraId="1833DE1B" w14:textId="44AAC326" w:rsidR="00580EBC" w:rsidRDefault="00580EBC" w:rsidP="00580EBC">
      <w:pPr>
        <w:pStyle w:val="BodyText"/>
        <w:ind w:left="360"/>
        <w:rPr>
          <w:highlight w:val="yellow"/>
        </w:rPr>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w:t>
      </w:r>
      <w:r>
        <w:lastRenderedPageBreak/>
        <w:t>costs vary widely from study to study. Nonetheless, there is no practical alternative and we believe that doubling the hourly wage to estimate total cost is a reasonably accurate estimation method.</w:t>
      </w:r>
    </w:p>
    <w:p w14:paraId="08F4C27B" w14:textId="77777777" w:rsidR="003A54D3" w:rsidRDefault="003A54D3" w:rsidP="005B00CE">
      <w:pPr>
        <w:pStyle w:val="Heading4"/>
      </w:pPr>
    </w:p>
    <w:p w14:paraId="6D828C82" w14:textId="77777777" w:rsidR="00D65118" w:rsidRPr="00560558" w:rsidRDefault="00D65118" w:rsidP="009B75EE">
      <w:pPr>
        <w:pStyle w:val="Heading4"/>
        <w:ind w:left="0"/>
        <w:rPr>
          <w:i w:val="0"/>
        </w:rPr>
      </w:pPr>
      <w:r w:rsidRPr="00560558">
        <w:rPr>
          <w:i w:val="0"/>
        </w:rPr>
        <w:t>12.2 Burden Estimates</w:t>
      </w:r>
    </w:p>
    <w:p w14:paraId="58578A16" w14:textId="77777777" w:rsidR="00150557" w:rsidRPr="005A5E78" w:rsidRDefault="001505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rPr>
      </w:pPr>
    </w:p>
    <w:p w14:paraId="14593EB7" w14:textId="79B9D9AA" w:rsidR="00D65118" w:rsidRDefault="00D65118" w:rsidP="006A6965">
      <w:pPr>
        <w:pStyle w:val="Heading5"/>
        <w:ind w:left="0"/>
      </w:pPr>
      <w:r w:rsidRPr="005B00CE">
        <w:t>12.2.1 Burden Estimates: Beneficiar</w:t>
      </w:r>
      <w:r w:rsidR="006A0FF7">
        <w:t>y</w:t>
      </w:r>
      <w:r w:rsidRPr="005B00CE">
        <w:t xml:space="preserve"> Surveys</w:t>
      </w:r>
    </w:p>
    <w:p w14:paraId="0E2FBB1E" w14:textId="77777777" w:rsidR="006A6965" w:rsidRPr="006A6965" w:rsidRDefault="006A6965" w:rsidP="006A6965"/>
    <w:p w14:paraId="315962D8" w14:textId="77777777" w:rsidR="00150557" w:rsidRDefault="00695527" w:rsidP="005B00CE">
      <w:pPr>
        <w:pStyle w:val="BodyText"/>
        <w:ind w:left="720"/>
      </w:pPr>
      <w:r w:rsidRPr="00C74504">
        <w:t>Two annual s</w:t>
      </w:r>
      <w:r w:rsidR="005A5E78" w:rsidRPr="00C74504">
        <w:t>urveys</w:t>
      </w:r>
      <w:r w:rsidR="002E3D3A" w:rsidRPr="00C74504">
        <w:t xml:space="preserve"> (Wave 1 and Wave 2)</w:t>
      </w:r>
      <w:r w:rsidR="005A5E78" w:rsidRPr="00C74504">
        <w:t xml:space="preserve"> will be conducted with </w:t>
      </w:r>
      <w:r w:rsidR="00554725" w:rsidRPr="00C74504">
        <w:t xml:space="preserve">approximately </w:t>
      </w:r>
      <w:r w:rsidR="004212D5" w:rsidRPr="00C74504">
        <w:t>1</w:t>
      </w:r>
      <w:r w:rsidR="005A5E78" w:rsidRPr="00C74504">
        <w:t>,</w:t>
      </w:r>
      <w:r w:rsidR="004212D5" w:rsidRPr="00C74504">
        <w:t>400</w:t>
      </w:r>
      <w:r w:rsidR="005A5E78" w:rsidRPr="00C74504">
        <w:t xml:space="preserve"> respondents</w:t>
      </w:r>
      <w:r>
        <w:t xml:space="preserve"> per year</w:t>
      </w:r>
      <w:r w:rsidR="002E3D3A">
        <w:t xml:space="preserve"> (</w:t>
      </w:r>
      <w:r w:rsidR="00F00FA1">
        <w:t xml:space="preserve">Note: </w:t>
      </w:r>
      <w:r w:rsidR="002E3D3A">
        <w:t>the respondent sample will include different individuals in Waves 1 and 2 so that no individual responds to the survey more than once)</w:t>
      </w:r>
      <w:r w:rsidR="005A5E78">
        <w:t xml:space="preserve">. Each survey is estimated to take an average </w:t>
      </w:r>
      <w:r w:rsidR="005A5E78" w:rsidRPr="004212D5">
        <w:t>of 15 minutes to complete</w:t>
      </w:r>
      <w:r w:rsidR="005A5E78">
        <w:t xml:space="preserve"> based on </w:t>
      </w:r>
      <w:r w:rsidR="004212D5">
        <w:t xml:space="preserve">previous </w:t>
      </w:r>
      <w:r w:rsidR="005A5E78">
        <w:t xml:space="preserve">experience testing the questions </w:t>
      </w:r>
      <w:r w:rsidR="00F00FA1">
        <w:t xml:space="preserve">in Indiana </w:t>
      </w:r>
      <w:r w:rsidR="005A5E78">
        <w:t xml:space="preserve">and on experience with </w:t>
      </w:r>
      <w:r w:rsidR="004212D5">
        <w:t>similar</w:t>
      </w:r>
      <w:r w:rsidR="005A5E78">
        <w:t xml:space="preserve"> instruments of this length</w:t>
      </w:r>
      <w:r>
        <w:t>.</w:t>
      </w:r>
      <w:r w:rsidR="005A5E78">
        <w:t xml:space="preserve"> </w:t>
      </w:r>
    </w:p>
    <w:p w14:paraId="0A07E1C4" w14:textId="77777777" w:rsidR="00150557" w:rsidRDefault="00150557" w:rsidP="005B00CE">
      <w:pPr>
        <w:pStyle w:val="BodyText"/>
        <w:ind w:left="720"/>
      </w:pPr>
    </w:p>
    <w:p w14:paraId="3EC7AB94" w14:textId="6B6CC6E9" w:rsidR="0098219D" w:rsidRDefault="005A5E78" w:rsidP="005B00CE">
      <w:pPr>
        <w:pStyle w:val="BodyText"/>
        <w:ind w:left="720"/>
      </w:pPr>
      <w:r>
        <w:t>The survey</w:t>
      </w:r>
      <w:r w:rsidR="008B7119">
        <w:t xml:space="preserve"> instrument</w:t>
      </w:r>
      <w:r>
        <w:t xml:space="preserve"> testing conducted during the 60-day public comment period </w:t>
      </w:r>
      <w:r w:rsidR="002A2B0B">
        <w:t>help</w:t>
      </w:r>
      <w:r w:rsidR="008B7119">
        <w:t>ed</w:t>
      </w:r>
      <w:r w:rsidR="002A2B0B">
        <w:t xml:space="preserve"> </w:t>
      </w:r>
      <w:r>
        <w:t>validate the 15</w:t>
      </w:r>
      <w:r w:rsidR="00F00FA1">
        <w:t>-</w:t>
      </w:r>
      <w:r>
        <w:t>minute completion estimate for Montana.</w:t>
      </w:r>
      <w:r w:rsidR="00C6429A">
        <w:t xml:space="preserve"> (Survey</w:t>
      </w:r>
      <w:r w:rsidR="008B7119">
        <w:t xml:space="preserve"> instrument</w:t>
      </w:r>
      <w:r w:rsidR="00C6429A">
        <w:t xml:space="preserve"> testing </w:t>
      </w:r>
      <w:r w:rsidR="008B7119">
        <w:t>took</w:t>
      </w:r>
      <w:r w:rsidR="00C6429A">
        <w:t xml:space="preserve"> place with up to </w:t>
      </w:r>
      <w:r w:rsidR="008B7119">
        <w:t>8</w:t>
      </w:r>
      <w:r w:rsidR="00C6429A">
        <w:t xml:space="preserve"> beneficiaries only</w:t>
      </w:r>
      <w:r w:rsidR="006E5A37">
        <w:t>.</w:t>
      </w:r>
      <w:r w:rsidR="00C6429A">
        <w:t>)</w:t>
      </w:r>
    </w:p>
    <w:p w14:paraId="5BF796E5" w14:textId="77777777" w:rsidR="00C32286" w:rsidRDefault="00C32286" w:rsidP="00772C3A"/>
    <w:p w14:paraId="6F87C109" w14:textId="503FBA0D" w:rsidR="005B00CE" w:rsidRPr="0006152B" w:rsidRDefault="007B40A6" w:rsidP="001D4709">
      <w:pPr>
        <w:rPr>
          <w:b/>
        </w:rPr>
      </w:pPr>
      <w:r w:rsidRPr="0006152B">
        <w:rPr>
          <w:b/>
        </w:rPr>
        <w:t>Beneficiary Surveys</w:t>
      </w: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10"/>
        <w:gridCol w:w="1585"/>
        <w:gridCol w:w="1492"/>
        <w:gridCol w:w="1494"/>
        <w:gridCol w:w="1054"/>
        <w:gridCol w:w="1492"/>
        <w:gridCol w:w="1110"/>
      </w:tblGrid>
      <w:tr w:rsidR="007D2270" w:rsidRPr="00A759FA" w14:paraId="42A5BEF1" w14:textId="77777777" w:rsidTr="0006152B">
        <w:trPr>
          <w:cantSplit/>
          <w:trHeight w:val="274"/>
          <w:tblHeader/>
        </w:trPr>
        <w:tc>
          <w:tcPr>
            <w:tcW w:w="776"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46056098" w14:textId="77777777" w:rsidR="005A5E78" w:rsidRPr="0006152B" w:rsidRDefault="005A5E78" w:rsidP="007D2270">
            <w:pPr>
              <w:pStyle w:val="BodyText"/>
              <w:jc w:val="center"/>
              <w:rPr>
                <w:b/>
                <w:sz w:val="22"/>
              </w:rPr>
            </w:pPr>
            <w:r w:rsidRPr="0006152B">
              <w:rPr>
                <w:b/>
                <w:sz w:val="22"/>
              </w:rPr>
              <w:t>Respondent</w:t>
            </w:r>
          </w:p>
        </w:tc>
        <w:tc>
          <w:tcPr>
            <w:tcW w:w="814"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57577777" w14:textId="77777777" w:rsidR="005A5E78" w:rsidRPr="0006152B" w:rsidRDefault="005A5E78" w:rsidP="007D2270">
            <w:pPr>
              <w:pStyle w:val="BodyText"/>
              <w:jc w:val="center"/>
              <w:rPr>
                <w:b/>
                <w:sz w:val="22"/>
              </w:rPr>
            </w:pPr>
            <w:r w:rsidRPr="0006152B">
              <w:rPr>
                <w:b/>
                <w:sz w:val="22"/>
              </w:rPr>
              <w:t>No. of Respondents</w:t>
            </w:r>
          </w:p>
        </w:tc>
        <w:tc>
          <w:tcPr>
            <w:tcW w:w="766" w:type="pct"/>
            <w:tcBorders>
              <w:top w:val="single" w:sz="4" w:space="0" w:color="auto"/>
              <w:left w:val="single" w:sz="4" w:space="0" w:color="auto"/>
              <w:bottom w:val="single" w:sz="4" w:space="0" w:color="auto"/>
              <w:right w:val="single" w:sz="4" w:space="0" w:color="auto"/>
            </w:tcBorders>
            <w:shd w:val="clear" w:color="auto" w:fill="EEECE1"/>
            <w:vAlign w:val="bottom"/>
          </w:tcPr>
          <w:p w14:paraId="518EFEAD" w14:textId="77777777" w:rsidR="005A5E78" w:rsidRPr="0006152B" w:rsidRDefault="005A5E78" w:rsidP="007D2270">
            <w:pPr>
              <w:pStyle w:val="BodyText"/>
              <w:jc w:val="center"/>
              <w:rPr>
                <w:b/>
                <w:sz w:val="22"/>
              </w:rPr>
            </w:pPr>
            <w:r w:rsidRPr="0006152B">
              <w:rPr>
                <w:b/>
                <w:sz w:val="22"/>
              </w:rPr>
              <w:t>Frequency of Response</w:t>
            </w:r>
          </w:p>
        </w:tc>
        <w:tc>
          <w:tcPr>
            <w:tcW w:w="767"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75CD02A5" w14:textId="77777777" w:rsidR="005A5E78" w:rsidRPr="0006152B" w:rsidRDefault="005A5E78" w:rsidP="007D2270">
            <w:pPr>
              <w:pStyle w:val="BodyText"/>
              <w:jc w:val="center"/>
              <w:rPr>
                <w:b/>
                <w:sz w:val="22"/>
              </w:rPr>
            </w:pPr>
            <w:r w:rsidRPr="0006152B">
              <w:rPr>
                <w:b/>
                <w:sz w:val="22"/>
              </w:rPr>
              <w:t>Participation Time</w:t>
            </w:r>
          </w:p>
        </w:tc>
        <w:tc>
          <w:tcPr>
            <w:tcW w:w="541"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54EB5EF0" w14:textId="77777777" w:rsidR="005A5E78" w:rsidRPr="0006152B" w:rsidRDefault="005A5E78" w:rsidP="007D2270">
            <w:pPr>
              <w:pStyle w:val="BodyText"/>
              <w:jc w:val="center"/>
              <w:rPr>
                <w:b/>
                <w:sz w:val="22"/>
              </w:rPr>
            </w:pPr>
            <w:r w:rsidRPr="0006152B">
              <w:rPr>
                <w:b/>
                <w:sz w:val="22"/>
              </w:rPr>
              <w:t>Annual Hour Burden</w:t>
            </w:r>
          </w:p>
        </w:tc>
        <w:tc>
          <w:tcPr>
            <w:tcW w:w="766" w:type="pct"/>
            <w:tcBorders>
              <w:top w:val="single" w:sz="4" w:space="0" w:color="auto"/>
              <w:left w:val="single" w:sz="4" w:space="0" w:color="auto"/>
              <w:bottom w:val="single" w:sz="4" w:space="0" w:color="auto"/>
              <w:right w:val="single" w:sz="4" w:space="0" w:color="auto"/>
            </w:tcBorders>
            <w:shd w:val="clear" w:color="auto" w:fill="EEECE1"/>
            <w:vAlign w:val="bottom"/>
          </w:tcPr>
          <w:p w14:paraId="005E03D7" w14:textId="77777777" w:rsidR="005A5E78" w:rsidRDefault="005A5E78" w:rsidP="00386B1D">
            <w:pPr>
              <w:pStyle w:val="BodyText"/>
              <w:jc w:val="center"/>
              <w:rPr>
                <w:b/>
                <w:sz w:val="22"/>
              </w:rPr>
            </w:pPr>
            <w:r w:rsidRPr="0006152B">
              <w:rPr>
                <w:b/>
                <w:sz w:val="22"/>
              </w:rPr>
              <w:t>Respondent</w:t>
            </w:r>
          </w:p>
          <w:p w14:paraId="31C60FD8" w14:textId="77777777" w:rsidR="00386B1D" w:rsidRDefault="00386B1D" w:rsidP="00386B1D">
            <w:pPr>
              <w:pStyle w:val="BodyText"/>
              <w:jc w:val="center"/>
              <w:rPr>
                <w:b/>
                <w:sz w:val="22"/>
              </w:rPr>
            </w:pPr>
            <w:r>
              <w:rPr>
                <w:b/>
                <w:sz w:val="22"/>
              </w:rPr>
              <w:t>Wage</w:t>
            </w:r>
          </w:p>
          <w:p w14:paraId="64A605B6" w14:textId="2F0ED9E6" w:rsidR="00386B1D" w:rsidRPr="0006152B" w:rsidRDefault="00386B1D" w:rsidP="00386B1D">
            <w:pPr>
              <w:pStyle w:val="BodyText"/>
              <w:jc w:val="center"/>
              <w:rPr>
                <w:b/>
                <w:sz w:val="22"/>
              </w:rPr>
            </w:pPr>
            <w:r>
              <w:rPr>
                <w:b/>
                <w:sz w:val="22"/>
              </w:rPr>
              <w:t>($/hr)</w:t>
            </w:r>
          </w:p>
        </w:tc>
        <w:tc>
          <w:tcPr>
            <w:tcW w:w="570" w:type="pct"/>
            <w:tcBorders>
              <w:top w:val="single" w:sz="4" w:space="0" w:color="auto"/>
              <w:left w:val="single" w:sz="4" w:space="0" w:color="auto"/>
              <w:bottom w:val="single" w:sz="4" w:space="0" w:color="auto"/>
              <w:right w:val="single" w:sz="4" w:space="0" w:color="auto"/>
            </w:tcBorders>
            <w:shd w:val="clear" w:color="auto" w:fill="EEECE1"/>
            <w:vAlign w:val="bottom"/>
          </w:tcPr>
          <w:p w14:paraId="5035FFDE" w14:textId="4DC8FDB9" w:rsidR="005A5E78" w:rsidRPr="0006152B" w:rsidRDefault="005A5E78" w:rsidP="00386B1D">
            <w:pPr>
              <w:pStyle w:val="BodyText"/>
              <w:jc w:val="center"/>
              <w:rPr>
                <w:b/>
                <w:sz w:val="22"/>
              </w:rPr>
            </w:pPr>
            <w:r w:rsidRPr="0006152B">
              <w:rPr>
                <w:b/>
                <w:sz w:val="22"/>
              </w:rPr>
              <w:t xml:space="preserve">Annual </w:t>
            </w:r>
            <w:r w:rsidR="00386B1D">
              <w:rPr>
                <w:b/>
                <w:sz w:val="22"/>
              </w:rPr>
              <w:t xml:space="preserve">Labor </w:t>
            </w:r>
            <w:r w:rsidRPr="0006152B">
              <w:rPr>
                <w:b/>
                <w:sz w:val="22"/>
              </w:rPr>
              <w:t>Cost (</w:t>
            </w:r>
            <w:r w:rsidR="00386B1D">
              <w:rPr>
                <w:b/>
                <w:sz w:val="22"/>
              </w:rPr>
              <w:t>$)</w:t>
            </w:r>
          </w:p>
        </w:tc>
      </w:tr>
      <w:tr w:rsidR="00A759FA" w:rsidRPr="0006152B" w14:paraId="155613B6" w14:textId="77777777" w:rsidTr="0006152B">
        <w:trPr>
          <w:cantSplit/>
          <w:trHeight w:val="274"/>
        </w:trPr>
        <w:tc>
          <w:tcPr>
            <w:tcW w:w="776" w:type="pct"/>
            <w:tcBorders>
              <w:top w:val="single" w:sz="4" w:space="0" w:color="auto"/>
              <w:left w:val="single" w:sz="4" w:space="0" w:color="auto"/>
              <w:bottom w:val="single" w:sz="4" w:space="0" w:color="auto"/>
              <w:right w:val="single" w:sz="4" w:space="0" w:color="auto"/>
            </w:tcBorders>
            <w:vAlign w:val="center"/>
            <w:hideMark/>
          </w:tcPr>
          <w:p w14:paraId="6B9AEE7A" w14:textId="165AA8EA" w:rsidR="005A5E78" w:rsidRPr="0006152B" w:rsidRDefault="005A5E78" w:rsidP="007D2270">
            <w:pPr>
              <w:pStyle w:val="BodyText"/>
              <w:rPr>
                <w:b/>
                <w:sz w:val="22"/>
              </w:rPr>
            </w:pPr>
            <w:r w:rsidRPr="0006152B">
              <w:rPr>
                <w:b/>
                <w:sz w:val="22"/>
              </w:rPr>
              <w:t>Respondents (HELP Enrollees and disenrollees)</w:t>
            </w:r>
          </w:p>
        </w:tc>
        <w:tc>
          <w:tcPr>
            <w:tcW w:w="814" w:type="pct"/>
            <w:tcBorders>
              <w:top w:val="single" w:sz="4" w:space="0" w:color="auto"/>
              <w:left w:val="single" w:sz="4" w:space="0" w:color="auto"/>
              <w:bottom w:val="single" w:sz="4" w:space="0" w:color="auto"/>
              <w:right w:val="single" w:sz="4" w:space="0" w:color="auto"/>
            </w:tcBorders>
            <w:vAlign w:val="center"/>
            <w:hideMark/>
          </w:tcPr>
          <w:p w14:paraId="0650BE34" w14:textId="5F082715" w:rsidR="006377B7" w:rsidRPr="0006152B" w:rsidRDefault="006377B7" w:rsidP="007D2270">
            <w:pPr>
              <w:pStyle w:val="BodyText"/>
              <w:jc w:val="center"/>
              <w:rPr>
                <w:sz w:val="22"/>
              </w:rPr>
            </w:pPr>
            <w:r w:rsidRPr="0006152B">
              <w:rPr>
                <w:sz w:val="22"/>
              </w:rPr>
              <w:t>Unemployed: 462</w:t>
            </w:r>
            <w:r w:rsidR="000C56EA" w:rsidRPr="0006152B">
              <w:rPr>
                <w:sz w:val="22"/>
              </w:rPr>
              <w:t>/year</w:t>
            </w:r>
            <w:r w:rsidR="00C767A5" w:rsidRPr="0006152B">
              <w:rPr>
                <w:sz w:val="22"/>
              </w:rPr>
              <w:t>;</w:t>
            </w:r>
          </w:p>
          <w:p w14:paraId="52632D06" w14:textId="77777777" w:rsidR="00C767A5" w:rsidRPr="0006152B" w:rsidRDefault="00740E7F" w:rsidP="006377B7">
            <w:pPr>
              <w:pStyle w:val="BodyText"/>
              <w:jc w:val="center"/>
              <w:rPr>
                <w:sz w:val="22"/>
              </w:rPr>
            </w:pPr>
            <w:r w:rsidRPr="0006152B">
              <w:rPr>
                <w:sz w:val="22"/>
              </w:rPr>
              <w:t>Employed</w:t>
            </w:r>
            <w:r w:rsidR="006E5A37" w:rsidRPr="0006152B">
              <w:rPr>
                <w:sz w:val="22"/>
              </w:rPr>
              <w:t>:</w:t>
            </w:r>
          </w:p>
          <w:p w14:paraId="31BBB0BD" w14:textId="5E39DFE7" w:rsidR="005A5E78" w:rsidRPr="0006152B" w:rsidRDefault="00740E7F" w:rsidP="006377B7">
            <w:pPr>
              <w:pStyle w:val="BodyText"/>
              <w:jc w:val="center"/>
              <w:rPr>
                <w:sz w:val="22"/>
              </w:rPr>
            </w:pPr>
            <w:r w:rsidRPr="0006152B">
              <w:rPr>
                <w:sz w:val="22"/>
              </w:rPr>
              <w:t>938</w:t>
            </w:r>
            <w:r w:rsidR="002E3D3A" w:rsidRPr="0006152B">
              <w:rPr>
                <w:sz w:val="22"/>
              </w:rPr>
              <w:t>/y</w:t>
            </w:r>
            <w:r w:rsidR="000C56EA" w:rsidRPr="0006152B">
              <w:rPr>
                <w:sz w:val="22"/>
              </w:rPr>
              <w:t>ear</w:t>
            </w:r>
          </w:p>
        </w:tc>
        <w:tc>
          <w:tcPr>
            <w:tcW w:w="766" w:type="pct"/>
            <w:tcBorders>
              <w:top w:val="single" w:sz="4" w:space="0" w:color="auto"/>
              <w:left w:val="single" w:sz="4" w:space="0" w:color="auto"/>
              <w:bottom w:val="single" w:sz="4" w:space="0" w:color="auto"/>
              <w:right w:val="single" w:sz="4" w:space="0" w:color="auto"/>
            </w:tcBorders>
            <w:vAlign w:val="center"/>
          </w:tcPr>
          <w:p w14:paraId="0878043A" w14:textId="210209AA" w:rsidR="005A5E78" w:rsidRPr="0006152B" w:rsidRDefault="005A5E78" w:rsidP="007D2270">
            <w:pPr>
              <w:pStyle w:val="BodyText"/>
              <w:jc w:val="center"/>
              <w:rPr>
                <w:sz w:val="22"/>
              </w:rPr>
            </w:pPr>
            <w:r w:rsidRPr="0006152B">
              <w:rPr>
                <w:sz w:val="22"/>
              </w:rPr>
              <w:t>1 time</w:t>
            </w:r>
            <w:r w:rsidR="00554725" w:rsidRPr="0006152B">
              <w:rPr>
                <w:sz w:val="22"/>
              </w:rPr>
              <w:t>/</w:t>
            </w:r>
            <w:r w:rsidR="000C56EA" w:rsidRPr="0006152B">
              <w:rPr>
                <w:sz w:val="22"/>
              </w:rPr>
              <w:t>year</w:t>
            </w:r>
          </w:p>
        </w:tc>
        <w:tc>
          <w:tcPr>
            <w:tcW w:w="767" w:type="pct"/>
            <w:tcBorders>
              <w:top w:val="single" w:sz="4" w:space="0" w:color="auto"/>
              <w:left w:val="single" w:sz="4" w:space="0" w:color="auto"/>
              <w:bottom w:val="single" w:sz="4" w:space="0" w:color="auto"/>
              <w:right w:val="single" w:sz="4" w:space="0" w:color="auto"/>
            </w:tcBorders>
            <w:vAlign w:val="center"/>
            <w:hideMark/>
          </w:tcPr>
          <w:p w14:paraId="7F46D612" w14:textId="663973BB" w:rsidR="005A5E78" w:rsidRPr="0006152B" w:rsidRDefault="005A5E78" w:rsidP="007D2270">
            <w:pPr>
              <w:pStyle w:val="BodyText"/>
              <w:jc w:val="center"/>
              <w:rPr>
                <w:sz w:val="22"/>
              </w:rPr>
            </w:pPr>
            <w:r w:rsidRPr="0006152B">
              <w:rPr>
                <w:sz w:val="22"/>
              </w:rPr>
              <w:t>.25 hours</w:t>
            </w:r>
            <w:r w:rsidR="00554725" w:rsidRPr="0006152B">
              <w:rPr>
                <w:sz w:val="22"/>
              </w:rPr>
              <w:t>/</w:t>
            </w:r>
            <w:r w:rsidR="000C56EA" w:rsidRPr="0006152B">
              <w:rPr>
                <w:sz w:val="22"/>
              </w:rPr>
              <w:t>year</w:t>
            </w:r>
          </w:p>
        </w:tc>
        <w:tc>
          <w:tcPr>
            <w:tcW w:w="541" w:type="pct"/>
            <w:tcBorders>
              <w:top w:val="single" w:sz="4" w:space="0" w:color="auto"/>
              <w:left w:val="single" w:sz="4" w:space="0" w:color="auto"/>
              <w:bottom w:val="single" w:sz="4" w:space="0" w:color="auto"/>
              <w:right w:val="single" w:sz="4" w:space="0" w:color="auto"/>
            </w:tcBorders>
            <w:vAlign w:val="center"/>
            <w:hideMark/>
          </w:tcPr>
          <w:p w14:paraId="5459053B" w14:textId="0689CFCD" w:rsidR="005A5E78" w:rsidRPr="0006152B" w:rsidRDefault="006669FE" w:rsidP="007D2270">
            <w:pPr>
              <w:pStyle w:val="BodyText"/>
              <w:jc w:val="center"/>
              <w:rPr>
                <w:sz w:val="22"/>
              </w:rPr>
            </w:pPr>
            <w:r w:rsidRPr="0006152B">
              <w:rPr>
                <w:sz w:val="22"/>
              </w:rPr>
              <w:t xml:space="preserve">115.5 </w:t>
            </w:r>
            <w:r w:rsidR="005A5E78" w:rsidRPr="0006152B">
              <w:rPr>
                <w:sz w:val="22"/>
              </w:rPr>
              <w:t>hours</w:t>
            </w:r>
            <w:r w:rsidRPr="0006152B">
              <w:rPr>
                <w:sz w:val="22"/>
              </w:rPr>
              <w:t>;</w:t>
            </w:r>
          </w:p>
          <w:p w14:paraId="5B8F68CC" w14:textId="762A8D36" w:rsidR="006669FE" w:rsidRPr="0006152B" w:rsidRDefault="006669FE" w:rsidP="007D2270">
            <w:pPr>
              <w:pStyle w:val="BodyText"/>
              <w:jc w:val="center"/>
              <w:rPr>
                <w:sz w:val="22"/>
              </w:rPr>
            </w:pPr>
            <w:r w:rsidRPr="0006152B">
              <w:rPr>
                <w:sz w:val="22"/>
              </w:rPr>
              <w:t>234.5 hours</w:t>
            </w:r>
          </w:p>
        </w:tc>
        <w:tc>
          <w:tcPr>
            <w:tcW w:w="766" w:type="pct"/>
            <w:tcBorders>
              <w:top w:val="single" w:sz="4" w:space="0" w:color="auto"/>
              <w:left w:val="single" w:sz="4" w:space="0" w:color="auto"/>
              <w:bottom w:val="single" w:sz="4" w:space="0" w:color="auto"/>
              <w:right w:val="single" w:sz="4" w:space="0" w:color="auto"/>
            </w:tcBorders>
            <w:vAlign w:val="center"/>
          </w:tcPr>
          <w:p w14:paraId="73AC92E2" w14:textId="79C82E50" w:rsidR="006E5A37" w:rsidRPr="0006152B" w:rsidRDefault="0085174F" w:rsidP="007D2270">
            <w:pPr>
              <w:pStyle w:val="BodyText"/>
              <w:jc w:val="center"/>
              <w:rPr>
                <w:sz w:val="22"/>
              </w:rPr>
            </w:pPr>
            <w:r>
              <w:rPr>
                <w:sz w:val="22"/>
              </w:rPr>
              <w:t>8.15</w:t>
            </w:r>
            <w:r w:rsidR="00C767A5" w:rsidRPr="0006152B">
              <w:rPr>
                <w:sz w:val="22"/>
              </w:rPr>
              <w:t>;</w:t>
            </w:r>
          </w:p>
          <w:p w14:paraId="27B4487B" w14:textId="2D8B4CA1" w:rsidR="005A5E78" w:rsidRPr="0006152B" w:rsidRDefault="0085174F" w:rsidP="00386B1D">
            <w:pPr>
              <w:pStyle w:val="BodyText"/>
              <w:jc w:val="center"/>
              <w:rPr>
                <w:sz w:val="22"/>
              </w:rPr>
            </w:pPr>
            <w:r>
              <w:rPr>
                <w:sz w:val="22"/>
              </w:rPr>
              <w:t>39.84</w:t>
            </w:r>
          </w:p>
        </w:tc>
        <w:tc>
          <w:tcPr>
            <w:tcW w:w="570" w:type="pct"/>
            <w:tcBorders>
              <w:top w:val="single" w:sz="4" w:space="0" w:color="auto"/>
              <w:left w:val="single" w:sz="4" w:space="0" w:color="auto"/>
              <w:bottom w:val="single" w:sz="4" w:space="0" w:color="auto"/>
              <w:right w:val="single" w:sz="4" w:space="0" w:color="auto"/>
            </w:tcBorders>
            <w:vAlign w:val="center"/>
          </w:tcPr>
          <w:p w14:paraId="49C74775" w14:textId="367F12C7" w:rsidR="006377B7" w:rsidRPr="0006152B" w:rsidRDefault="00FF76EC" w:rsidP="007D2270">
            <w:pPr>
              <w:pStyle w:val="BodyText"/>
              <w:jc w:val="center"/>
              <w:rPr>
                <w:sz w:val="22"/>
              </w:rPr>
            </w:pPr>
            <w:r w:rsidRPr="0006152B">
              <w:rPr>
                <w:sz w:val="22"/>
              </w:rPr>
              <w:t>9</w:t>
            </w:r>
            <w:r w:rsidR="00386B1D">
              <w:rPr>
                <w:sz w:val="22"/>
              </w:rPr>
              <w:t>41</w:t>
            </w:r>
          </w:p>
          <w:p w14:paraId="4A4D5F83" w14:textId="4CC18102" w:rsidR="005A5E78" w:rsidRPr="0006152B" w:rsidRDefault="00386B1D" w:rsidP="006377B7">
            <w:pPr>
              <w:pStyle w:val="BodyText"/>
              <w:jc w:val="center"/>
              <w:rPr>
                <w:sz w:val="22"/>
              </w:rPr>
            </w:pPr>
            <w:r>
              <w:rPr>
                <w:sz w:val="22"/>
              </w:rPr>
              <w:t>9,343</w:t>
            </w:r>
          </w:p>
        </w:tc>
      </w:tr>
      <w:tr w:rsidR="001D1A14" w:rsidRPr="001D1A14" w14:paraId="386B9622" w14:textId="77777777" w:rsidTr="0006152B">
        <w:trPr>
          <w:cantSplit/>
          <w:trHeight w:val="289"/>
        </w:trPr>
        <w:tc>
          <w:tcPr>
            <w:tcW w:w="7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3EEEE8" w14:textId="3EE51DBF" w:rsidR="005A5E78" w:rsidRPr="0006152B" w:rsidRDefault="005A5E78" w:rsidP="007D2270">
            <w:pPr>
              <w:pStyle w:val="BodyText"/>
              <w:rPr>
                <w:b/>
                <w:sz w:val="22"/>
              </w:rPr>
            </w:pPr>
            <w:r w:rsidRPr="0006152B">
              <w:rPr>
                <w:b/>
                <w:sz w:val="22"/>
              </w:rPr>
              <w:t>Total</w:t>
            </w:r>
          </w:p>
        </w:tc>
        <w:tc>
          <w:tcPr>
            <w:tcW w:w="8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600030" w14:textId="7C66FCAD" w:rsidR="005A5E78" w:rsidRPr="0006152B" w:rsidRDefault="00554725" w:rsidP="007D2270">
            <w:pPr>
              <w:pStyle w:val="BodyText"/>
              <w:jc w:val="center"/>
              <w:rPr>
                <w:sz w:val="22"/>
              </w:rPr>
            </w:pPr>
            <w:r w:rsidRPr="0006152B">
              <w:rPr>
                <w:sz w:val="22"/>
              </w:rPr>
              <w:t>1</w:t>
            </w:r>
            <w:r w:rsidR="005A5E78" w:rsidRPr="0006152B">
              <w:rPr>
                <w:sz w:val="22"/>
              </w:rPr>
              <w:t>,</w:t>
            </w:r>
            <w:r w:rsidRPr="0006152B">
              <w:rPr>
                <w:sz w:val="22"/>
              </w:rPr>
              <w:t>400</w:t>
            </w:r>
            <w:r w:rsidR="002E3D3A" w:rsidRPr="0006152B">
              <w:rPr>
                <w:sz w:val="22"/>
              </w:rPr>
              <w:t>/y</w:t>
            </w:r>
            <w:r w:rsidR="000C56EA" w:rsidRPr="0006152B">
              <w:rPr>
                <w:sz w:val="22"/>
              </w:rPr>
              <w:t>ear</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14:paraId="74F41D55" w14:textId="795F8CD9" w:rsidR="005A5E78" w:rsidRPr="0006152B" w:rsidRDefault="005A5E78" w:rsidP="007D2270">
            <w:pPr>
              <w:pStyle w:val="BodyText"/>
              <w:jc w:val="center"/>
              <w:rPr>
                <w:sz w:val="22"/>
              </w:rPr>
            </w:pPr>
            <w:r w:rsidRPr="0006152B">
              <w:rPr>
                <w:sz w:val="22"/>
              </w:rPr>
              <w:t>1 time</w:t>
            </w:r>
            <w:r w:rsidR="00554725" w:rsidRPr="0006152B">
              <w:rPr>
                <w:sz w:val="22"/>
              </w:rPr>
              <w:t>/</w:t>
            </w:r>
            <w:r w:rsidR="000C56EA" w:rsidRPr="0006152B">
              <w:rPr>
                <w:sz w:val="22"/>
              </w:rPr>
              <w:t>year</w:t>
            </w: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5416354C" w14:textId="61AB5079" w:rsidR="005A5E78" w:rsidRPr="0006152B" w:rsidRDefault="005A5E78" w:rsidP="007D2270">
            <w:pPr>
              <w:pStyle w:val="BodyText"/>
              <w:jc w:val="center"/>
              <w:rPr>
                <w:sz w:val="22"/>
              </w:rPr>
            </w:pPr>
            <w:r w:rsidRPr="0006152B">
              <w:rPr>
                <w:sz w:val="22"/>
              </w:rPr>
              <w:t>.25 hours</w:t>
            </w:r>
            <w:r w:rsidR="00554725" w:rsidRPr="0006152B">
              <w:rPr>
                <w:sz w:val="22"/>
              </w:rPr>
              <w:t>/y</w:t>
            </w:r>
            <w:r w:rsidR="000C56EA" w:rsidRPr="0006152B">
              <w:rPr>
                <w:sz w:val="22"/>
              </w:rPr>
              <w:t>ear</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078258" w14:textId="77777777" w:rsidR="005A5E78" w:rsidRPr="0006152B" w:rsidRDefault="00144022" w:rsidP="007D2270">
            <w:pPr>
              <w:pStyle w:val="BodyText"/>
              <w:jc w:val="center"/>
              <w:rPr>
                <w:sz w:val="22"/>
              </w:rPr>
            </w:pPr>
            <w:r w:rsidRPr="0006152B">
              <w:rPr>
                <w:sz w:val="22"/>
              </w:rPr>
              <w:t>350</w:t>
            </w:r>
            <w:r w:rsidR="005A5E78" w:rsidRPr="0006152B">
              <w:rPr>
                <w:sz w:val="22"/>
              </w:rPr>
              <w:t xml:space="preserve"> hours</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14:paraId="02204CBA" w14:textId="1C5BB1DF" w:rsidR="005A5E78" w:rsidRPr="0006152B" w:rsidRDefault="0085174F" w:rsidP="00386B1D">
            <w:pPr>
              <w:pStyle w:val="BodyText"/>
              <w:jc w:val="center"/>
              <w:rPr>
                <w:sz w:val="22"/>
              </w:rPr>
            </w:pPr>
            <w:r>
              <w:rPr>
                <w:sz w:val="22"/>
              </w:rPr>
              <w:t>8.15</w:t>
            </w:r>
            <w:r w:rsidR="006E5A37" w:rsidRPr="0006152B">
              <w:rPr>
                <w:sz w:val="22"/>
              </w:rPr>
              <w:t>-</w:t>
            </w:r>
            <w:r>
              <w:rPr>
                <w:sz w:val="22"/>
              </w:rPr>
              <w:t>39.84</w:t>
            </w: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tcPr>
          <w:p w14:paraId="2C2C3EA2" w14:textId="02894EA8" w:rsidR="005A5E78" w:rsidRPr="0006152B" w:rsidRDefault="00795842" w:rsidP="006377B7">
            <w:pPr>
              <w:pStyle w:val="BodyText"/>
              <w:jc w:val="center"/>
              <w:rPr>
                <w:sz w:val="22"/>
              </w:rPr>
            </w:pPr>
            <w:r>
              <w:rPr>
                <w:sz w:val="22"/>
              </w:rPr>
              <w:t>10,284</w:t>
            </w:r>
          </w:p>
        </w:tc>
      </w:tr>
    </w:tbl>
    <w:p w14:paraId="126B798F" w14:textId="77777777" w:rsidR="005A5E78" w:rsidRPr="005A5E78" w:rsidRDefault="005A5E78" w:rsidP="005A5E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1FF484AF" w14:textId="367D2323" w:rsidR="00D65118" w:rsidRPr="00560558" w:rsidRDefault="00AA20A8" w:rsidP="00AA20A8">
      <w:pPr>
        <w:pStyle w:val="Heading4"/>
        <w:ind w:left="0"/>
      </w:pPr>
      <w:r w:rsidRPr="00560558">
        <w:t xml:space="preserve">Beneficiary </w:t>
      </w:r>
      <w:r w:rsidR="00D65118" w:rsidRPr="00560558">
        <w:t>Survey Information Collection Instructions and Associated Materials</w:t>
      </w:r>
      <w:r w:rsidR="00046E61" w:rsidRPr="00560558">
        <w:rPr>
          <w:rStyle w:val="FootnoteReference"/>
          <w:vertAlign w:val="superscript"/>
        </w:rPr>
        <w:footnoteReference w:id="6"/>
      </w:r>
    </w:p>
    <w:p w14:paraId="236282FB" w14:textId="77777777" w:rsidR="003A54D3" w:rsidRPr="00560558" w:rsidRDefault="003A54D3" w:rsidP="003A54D3"/>
    <w:p w14:paraId="0292DDE8" w14:textId="77777777" w:rsidR="00D65118" w:rsidRPr="00560558" w:rsidRDefault="00D65118" w:rsidP="00A759FA">
      <w:pPr>
        <w:pStyle w:val="ListBullet"/>
      </w:pPr>
      <w:r w:rsidRPr="00560558">
        <w:t>Enrollee Beneficiary Survey (web option screenshots)</w:t>
      </w:r>
    </w:p>
    <w:p w14:paraId="5D7379AD" w14:textId="77777777" w:rsidR="00D65118" w:rsidRPr="00560558" w:rsidRDefault="00D65118" w:rsidP="00A759FA">
      <w:pPr>
        <w:pStyle w:val="ListBullet"/>
      </w:pPr>
      <w:r w:rsidRPr="00560558">
        <w:lastRenderedPageBreak/>
        <w:t>Disenrollee and Lockout Beneficiary Survey (web option screenshots)</w:t>
      </w:r>
    </w:p>
    <w:p w14:paraId="1FF9681D" w14:textId="1E0EB526" w:rsidR="00D65118" w:rsidRPr="00560558" w:rsidRDefault="00D65118" w:rsidP="00A759FA">
      <w:pPr>
        <w:pStyle w:val="ListBullet"/>
      </w:pPr>
      <w:r w:rsidRPr="00560558">
        <w:t>Beneficiary Survey: Enrollees (paper</w:t>
      </w:r>
      <w:r w:rsidR="0029772E">
        <w:t xml:space="preserve"> - English</w:t>
      </w:r>
      <w:r w:rsidRPr="00560558">
        <w:t>)</w:t>
      </w:r>
    </w:p>
    <w:p w14:paraId="3E1BDC67" w14:textId="1C3A5AFE" w:rsidR="00D65118" w:rsidRDefault="00D65118" w:rsidP="00A759FA">
      <w:pPr>
        <w:pStyle w:val="ListBullet"/>
      </w:pPr>
      <w:r w:rsidRPr="00560558">
        <w:t>Beneficiary Survey: Disenrollees (paper</w:t>
      </w:r>
      <w:r w:rsidR="0029772E">
        <w:t xml:space="preserve"> - English</w:t>
      </w:r>
      <w:r w:rsidRPr="00560558">
        <w:t>)</w:t>
      </w:r>
    </w:p>
    <w:p w14:paraId="69C8C1C8" w14:textId="30D7522C" w:rsidR="0029772E" w:rsidRPr="00560558" w:rsidRDefault="0029772E" w:rsidP="0029772E">
      <w:pPr>
        <w:pStyle w:val="ListBullet"/>
      </w:pPr>
      <w:r w:rsidRPr="00560558">
        <w:t>Beneficiary Survey: Enrollees (paper</w:t>
      </w:r>
      <w:r>
        <w:t xml:space="preserve"> - Spanish</w:t>
      </w:r>
      <w:r w:rsidRPr="00560558">
        <w:t>)</w:t>
      </w:r>
    </w:p>
    <w:p w14:paraId="55BEF869" w14:textId="2CE7BE67" w:rsidR="0029772E" w:rsidRDefault="0029772E" w:rsidP="0029772E">
      <w:pPr>
        <w:pStyle w:val="ListBullet"/>
      </w:pPr>
      <w:r w:rsidRPr="00560558">
        <w:t>Beneficiary Survey: Disenrollees (paper</w:t>
      </w:r>
      <w:r>
        <w:t xml:space="preserve"> - Spanish</w:t>
      </w:r>
      <w:r w:rsidRPr="00560558">
        <w:t>)</w:t>
      </w:r>
    </w:p>
    <w:p w14:paraId="4DE33A47" w14:textId="77777777" w:rsidR="00D65118" w:rsidRPr="00560558" w:rsidRDefault="00D65118" w:rsidP="00A759FA">
      <w:pPr>
        <w:pStyle w:val="ListBullet"/>
      </w:pPr>
      <w:r w:rsidRPr="00560558">
        <w:t>Survey Cover Letter</w:t>
      </w:r>
    </w:p>
    <w:p w14:paraId="6596353F" w14:textId="77777777" w:rsidR="00D7010F" w:rsidRPr="00560558" w:rsidRDefault="00D65118" w:rsidP="00402FE6">
      <w:pPr>
        <w:pStyle w:val="ListBullet"/>
      </w:pPr>
      <w:r w:rsidRPr="00560558">
        <w:t>Survey Reminder</w:t>
      </w:r>
      <w:r w:rsidR="00D46E02" w:rsidRPr="00560558">
        <w:t xml:space="preserve"> Postc</w:t>
      </w:r>
      <w:r w:rsidR="00A759FA" w:rsidRPr="00560558">
        <w:t>ard</w:t>
      </w:r>
    </w:p>
    <w:p w14:paraId="30D5A680" w14:textId="0957345D" w:rsidR="003A54D3" w:rsidRPr="00560558" w:rsidRDefault="00D7010F" w:rsidP="00402FE6">
      <w:pPr>
        <w:pStyle w:val="ListBullet"/>
      </w:pPr>
      <w:r w:rsidRPr="00560558">
        <w:t>Survey Thank You</w:t>
      </w:r>
      <w:r w:rsidR="00A759FA" w:rsidRPr="00560558">
        <w:br/>
      </w:r>
    </w:p>
    <w:p w14:paraId="1E36CE5F" w14:textId="72F3D955" w:rsidR="002453E2" w:rsidRPr="007D2270" w:rsidRDefault="00AA20A8" w:rsidP="00AA20A8">
      <w:pPr>
        <w:pStyle w:val="ListBullet"/>
        <w:numPr>
          <w:ilvl w:val="0"/>
          <w:numId w:val="0"/>
        </w:numPr>
      </w:pPr>
      <w:r w:rsidRPr="005B00CE">
        <w:t>12.2.</w:t>
      </w:r>
      <w:r>
        <w:t xml:space="preserve">2 </w:t>
      </w:r>
      <w:r w:rsidR="002453E2" w:rsidRPr="00A759FA">
        <w:rPr>
          <w:i/>
        </w:rPr>
        <w:t>Focus Group Information Collection Instruments and Associated Materials</w:t>
      </w:r>
    </w:p>
    <w:p w14:paraId="3797D37A" w14:textId="77777777" w:rsidR="007D2270" w:rsidRPr="0006152B" w:rsidRDefault="007D2270" w:rsidP="007D2270">
      <w:pPr>
        <w:pStyle w:val="BodyText"/>
        <w:rPr>
          <w:b/>
        </w:rPr>
      </w:pPr>
    </w:p>
    <w:p w14:paraId="5698B54D" w14:textId="37D15C51" w:rsidR="002453E2" w:rsidRPr="0006152B" w:rsidRDefault="007B40A6" w:rsidP="002453E2">
      <w:pPr>
        <w:rPr>
          <w:b/>
          <w:spacing w:val="5"/>
          <w:kern w:val="28"/>
        </w:rPr>
      </w:pPr>
      <w:r w:rsidRPr="0006152B">
        <w:rPr>
          <w:b/>
          <w:spacing w:val="5"/>
          <w:kern w:val="28"/>
        </w:rPr>
        <w:t>Beneficiary Focus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582"/>
        <w:gridCol w:w="1232"/>
        <w:gridCol w:w="1494"/>
        <w:gridCol w:w="1056"/>
        <w:gridCol w:w="1405"/>
        <w:gridCol w:w="1124"/>
      </w:tblGrid>
      <w:tr w:rsidR="0051293A" w:rsidRPr="007D2270" w14:paraId="7DADAADD" w14:textId="77777777" w:rsidTr="0051293A">
        <w:trPr>
          <w:cantSplit/>
          <w:trHeight w:val="274"/>
          <w:tblHeader/>
        </w:trPr>
        <w:tc>
          <w:tcPr>
            <w:tcW w:w="843"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3B703DD7" w14:textId="77777777" w:rsidR="00EB5188" w:rsidRPr="0006152B" w:rsidRDefault="00EB5188" w:rsidP="007D2270">
            <w:pPr>
              <w:pStyle w:val="BodyText"/>
              <w:jc w:val="center"/>
              <w:rPr>
                <w:b/>
                <w:sz w:val="22"/>
              </w:rPr>
            </w:pPr>
            <w:r w:rsidRPr="0006152B">
              <w:rPr>
                <w:b/>
                <w:sz w:val="22"/>
              </w:rPr>
              <w:t>Respondent</w:t>
            </w:r>
          </w:p>
        </w:tc>
        <w:tc>
          <w:tcPr>
            <w:tcW w:w="833"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5C01260A" w14:textId="77777777" w:rsidR="00EB5188" w:rsidRPr="0006152B" w:rsidRDefault="00EB5188" w:rsidP="007D2270">
            <w:pPr>
              <w:pStyle w:val="BodyText"/>
              <w:jc w:val="center"/>
              <w:rPr>
                <w:b/>
                <w:sz w:val="22"/>
              </w:rPr>
            </w:pPr>
            <w:r w:rsidRPr="0006152B">
              <w:rPr>
                <w:b/>
                <w:sz w:val="22"/>
              </w:rPr>
              <w:t>No. of Respondents</w:t>
            </w:r>
          </w:p>
        </w:tc>
        <w:tc>
          <w:tcPr>
            <w:tcW w:w="649" w:type="pct"/>
            <w:tcBorders>
              <w:top w:val="single" w:sz="4" w:space="0" w:color="auto"/>
              <w:left w:val="single" w:sz="4" w:space="0" w:color="auto"/>
              <w:bottom w:val="single" w:sz="4" w:space="0" w:color="auto"/>
              <w:right w:val="single" w:sz="4" w:space="0" w:color="auto"/>
            </w:tcBorders>
            <w:shd w:val="clear" w:color="auto" w:fill="EEECE1"/>
            <w:vAlign w:val="bottom"/>
          </w:tcPr>
          <w:p w14:paraId="331D2BAB" w14:textId="77777777" w:rsidR="00EB5188" w:rsidRPr="0006152B" w:rsidRDefault="00EB5188" w:rsidP="007D2270">
            <w:pPr>
              <w:pStyle w:val="BodyText"/>
              <w:jc w:val="center"/>
              <w:rPr>
                <w:b/>
                <w:sz w:val="22"/>
              </w:rPr>
            </w:pPr>
            <w:r w:rsidRPr="0006152B">
              <w:rPr>
                <w:b/>
                <w:sz w:val="22"/>
              </w:rPr>
              <w:t>Frequency of Response</w:t>
            </w:r>
          </w:p>
        </w:tc>
        <w:tc>
          <w:tcPr>
            <w:tcW w:w="787"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01211764" w14:textId="77777777" w:rsidR="00EB5188" w:rsidRPr="0006152B" w:rsidRDefault="00EB5188" w:rsidP="007D2270">
            <w:pPr>
              <w:pStyle w:val="BodyText"/>
              <w:jc w:val="center"/>
              <w:rPr>
                <w:b/>
                <w:sz w:val="22"/>
              </w:rPr>
            </w:pPr>
            <w:r w:rsidRPr="0006152B">
              <w:rPr>
                <w:b/>
                <w:sz w:val="22"/>
              </w:rPr>
              <w:t>Participation Time</w:t>
            </w:r>
          </w:p>
        </w:tc>
        <w:tc>
          <w:tcPr>
            <w:tcW w:w="556"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6D8B09C1" w14:textId="77777777" w:rsidR="00EB5188" w:rsidRPr="0006152B" w:rsidRDefault="00EB5188" w:rsidP="007D2270">
            <w:pPr>
              <w:pStyle w:val="BodyText"/>
              <w:jc w:val="center"/>
              <w:rPr>
                <w:b/>
                <w:sz w:val="22"/>
              </w:rPr>
            </w:pPr>
            <w:r w:rsidRPr="0006152B">
              <w:rPr>
                <w:b/>
                <w:sz w:val="22"/>
              </w:rPr>
              <w:t>Annual Hour Burden</w:t>
            </w:r>
          </w:p>
        </w:tc>
        <w:tc>
          <w:tcPr>
            <w:tcW w:w="740" w:type="pct"/>
            <w:tcBorders>
              <w:top w:val="single" w:sz="4" w:space="0" w:color="auto"/>
              <w:left w:val="single" w:sz="4" w:space="0" w:color="auto"/>
              <w:bottom w:val="single" w:sz="4" w:space="0" w:color="auto"/>
              <w:right w:val="single" w:sz="4" w:space="0" w:color="auto"/>
            </w:tcBorders>
            <w:shd w:val="clear" w:color="auto" w:fill="EEECE1"/>
            <w:vAlign w:val="bottom"/>
          </w:tcPr>
          <w:p w14:paraId="044C624F" w14:textId="77777777" w:rsidR="005B0D48" w:rsidRDefault="005B0D48" w:rsidP="005B0D48">
            <w:pPr>
              <w:pStyle w:val="BodyText"/>
              <w:jc w:val="center"/>
              <w:rPr>
                <w:b/>
                <w:sz w:val="22"/>
              </w:rPr>
            </w:pPr>
            <w:r w:rsidRPr="0006152B">
              <w:rPr>
                <w:b/>
                <w:sz w:val="22"/>
              </w:rPr>
              <w:t>Respondent</w:t>
            </w:r>
          </w:p>
          <w:p w14:paraId="016423F4" w14:textId="77777777" w:rsidR="005B0D48" w:rsidRDefault="005B0D48" w:rsidP="005B0D48">
            <w:pPr>
              <w:pStyle w:val="BodyText"/>
              <w:jc w:val="center"/>
              <w:rPr>
                <w:b/>
                <w:sz w:val="22"/>
              </w:rPr>
            </w:pPr>
            <w:r>
              <w:rPr>
                <w:b/>
                <w:sz w:val="22"/>
              </w:rPr>
              <w:t>Wage</w:t>
            </w:r>
          </w:p>
          <w:p w14:paraId="0A021453" w14:textId="79C40467" w:rsidR="00EB5188" w:rsidRPr="0006152B" w:rsidRDefault="005B0D48" w:rsidP="005B0D48">
            <w:pPr>
              <w:pStyle w:val="BodyText"/>
              <w:jc w:val="center"/>
              <w:rPr>
                <w:b/>
                <w:sz w:val="22"/>
              </w:rPr>
            </w:pPr>
            <w:r>
              <w:rPr>
                <w:b/>
                <w:sz w:val="22"/>
              </w:rPr>
              <w:t>($/hr)</w:t>
            </w:r>
          </w:p>
        </w:tc>
        <w:tc>
          <w:tcPr>
            <w:tcW w:w="593" w:type="pct"/>
            <w:tcBorders>
              <w:top w:val="single" w:sz="4" w:space="0" w:color="auto"/>
              <w:left w:val="single" w:sz="4" w:space="0" w:color="auto"/>
              <w:bottom w:val="single" w:sz="4" w:space="0" w:color="auto"/>
              <w:right w:val="single" w:sz="4" w:space="0" w:color="auto"/>
            </w:tcBorders>
            <w:shd w:val="clear" w:color="auto" w:fill="EEECE1"/>
            <w:vAlign w:val="bottom"/>
          </w:tcPr>
          <w:p w14:paraId="0CD25FB0" w14:textId="3264490E" w:rsidR="00EB5188" w:rsidRPr="0006152B" w:rsidRDefault="005B0D48" w:rsidP="007D2270">
            <w:pPr>
              <w:pStyle w:val="BodyText"/>
              <w:jc w:val="center"/>
              <w:rPr>
                <w:b/>
                <w:sz w:val="22"/>
              </w:rPr>
            </w:pPr>
            <w:r w:rsidRPr="0006152B">
              <w:rPr>
                <w:b/>
                <w:sz w:val="22"/>
              </w:rPr>
              <w:t xml:space="preserve">Annual </w:t>
            </w:r>
            <w:r>
              <w:rPr>
                <w:b/>
                <w:sz w:val="22"/>
              </w:rPr>
              <w:t xml:space="preserve">Labor </w:t>
            </w:r>
            <w:r w:rsidRPr="0006152B">
              <w:rPr>
                <w:b/>
                <w:sz w:val="22"/>
              </w:rPr>
              <w:t>Cost (</w:t>
            </w:r>
            <w:r>
              <w:rPr>
                <w:b/>
                <w:sz w:val="22"/>
              </w:rPr>
              <w:t>$)</w:t>
            </w:r>
          </w:p>
        </w:tc>
      </w:tr>
      <w:tr w:rsidR="007D2270" w:rsidRPr="00353D05" w14:paraId="061F9C0E" w14:textId="77777777" w:rsidTr="0006152B">
        <w:trPr>
          <w:cantSplit/>
          <w:trHeight w:val="274"/>
          <w:tblHeader/>
        </w:trPr>
        <w:tc>
          <w:tcPr>
            <w:tcW w:w="843" w:type="pct"/>
            <w:tcBorders>
              <w:top w:val="single" w:sz="4" w:space="0" w:color="auto"/>
              <w:left w:val="single" w:sz="4" w:space="0" w:color="auto"/>
              <w:bottom w:val="single" w:sz="4" w:space="0" w:color="auto"/>
              <w:right w:val="single" w:sz="4" w:space="0" w:color="auto"/>
            </w:tcBorders>
            <w:vAlign w:val="center"/>
            <w:hideMark/>
          </w:tcPr>
          <w:p w14:paraId="0A80EEE1" w14:textId="77777777" w:rsidR="00EB5188" w:rsidRPr="0006152B" w:rsidRDefault="00EB5188" w:rsidP="007D2270">
            <w:pPr>
              <w:pStyle w:val="BodyText"/>
              <w:rPr>
                <w:b/>
                <w:sz w:val="22"/>
              </w:rPr>
            </w:pPr>
            <w:r w:rsidRPr="0006152B">
              <w:rPr>
                <w:b/>
                <w:sz w:val="22"/>
              </w:rPr>
              <w:t>Respondents (Beneficiaries: Enrollees)</w:t>
            </w:r>
          </w:p>
        </w:tc>
        <w:tc>
          <w:tcPr>
            <w:tcW w:w="833" w:type="pct"/>
            <w:tcBorders>
              <w:top w:val="single" w:sz="4" w:space="0" w:color="auto"/>
              <w:left w:val="single" w:sz="4" w:space="0" w:color="auto"/>
              <w:bottom w:val="single" w:sz="4" w:space="0" w:color="auto"/>
              <w:right w:val="single" w:sz="4" w:space="0" w:color="auto"/>
            </w:tcBorders>
            <w:vAlign w:val="center"/>
            <w:hideMark/>
          </w:tcPr>
          <w:p w14:paraId="386105DA" w14:textId="6AD88DC4" w:rsidR="00CE5BF3" w:rsidRPr="0006152B" w:rsidRDefault="00CE5BF3" w:rsidP="007D2270">
            <w:pPr>
              <w:pStyle w:val="BodyText"/>
              <w:jc w:val="center"/>
              <w:rPr>
                <w:sz w:val="22"/>
              </w:rPr>
            </w:pPr>
            <w:r w:rsidRPr="0006152B">
              <w:rPr>
                <w:sz w:val="22"/>
              </w:rPr>
              <w:t xml:space="preserve">Unemployed: </w:t>
            </w:r>
            <w:r w:rsidR="00C7671A">
              <w:rPr>
                <w:sz w:val="22"/>
              </w:rPr>
              <w:t>24</w:t>
            </w:r>
            <w:r w:rsidRPr="0006152B">
              <w:rPr>
                <w:sz w:val="22"/>
              </w:rPr>
              <w:t>/year</w:t>
            </w:r>
            <w:r w:rsidR="008744D6" w:rsidRPr="0006152B">
              <w:rPr>
                <w:sz w:val="22"/>
              </w:rPr>
              <w:t>;</w:t>
            </w:r>
          </w:p>
          <w:p w14:paraId="57805006" w14:textId="423942A3" w:rsidR="00CE5BF3" w:rsidRPr="0006152B" w:rsidRDefault="00740E7F" w:rsidP="007D2270">
            <w:pPr>
              <w:pStyle w:val="BodyText"/>
              <w:jc w:val="center"/>
              <w:rPr>
                <w:sz w:val="22"/>
              </w:rPr>
            </w:pPr>
            <w:r w:rsidRPr="0006152B">
              <w:rPr>
                <w:sz w:val="22"/>
              </w:rPr>
              <w:t>Employed</w:t>
            </w:r>
            <w:r w:rsidR="00CE5BF3" w:rsidRPr="0006152B">
              <w:rPr>
                <w:sz w:val="22"/>
              </w:rPr>
              <w:t>:</w:t>
            </w:r>
          </w:p>
          <w:p w14:paraId="0F58D454" w14:textId="37A702F7" w:rsidR="00EB5188" w:rsidRPr="0006152B" w:rsidRDefault="00C7671A">
            <w:pPr>
              <w:pStyle w:val="BodyText"/>
              <w:jc w:val="center"/>
              <w:rPr>
                <w:sz w:val="22"/>
              </w:rPr>
            </w:pPr>
            <w:r>
              <w:rPr>
                <w:sz w:val="22"/>
              </w:rPr>
              <w:t>36</w:t>
            </w:r>
            <w:r w:rsidR="00EB5188" w:rsidRPr="0006152B">
              <w:rPr>
                <w:sz w:val="22"/>
              </w:rPr>
              <w:t>/year</w:t>
            </w:r>
          </w:p>
        </w:tc>
        <w:tc>
          <w:tcPr>
            <w:tcW w:w="649" w:type="pct"/>
            <w:tcBorders>
              <w:top w:val="single" w:sz="4" w:space="0" w:color="auto"/>
              <w:left w:val="single" w:sz="4" w:space="0" w:color="auto"/>
              <w:bottom w:val="single" w:sz="4" w:space="0" w:color="auto"/>
              <w:right w:val="single" w:sz="4" w:space="0" w:color="auto"/>
            </w:tcBorders>
            <w:vAlign w:val="center"/>
          </w:tcPr>
          <w:p w14:paraId="5DD662E5" w14:textId="77777777" w:rsidR="00EB5188" w:rsidRPr="0006152B" w:rsidRDefault="00EB5188" w:rsidP="007D2270">
            <w:pPr>
              <w:pStyle w:val="BodyText"/>
              <w:jc w:val="center"/>
              <w:rPr>
                <w:sz w:val="22"/>
              </w:rPr>
            </w:pPr>
            <w:r w:rsidRPr="0006152B">
              <w:rPr>
                <w:sz w:val="22"/>
              </w:rPr>
              <w:t>1 time/year</w:t>
            </w:r>
          </w:p>
        </w:tc>
        <w:tc>
          <w:tcPr>
            <w:tcW w:w="787" w:type="pct"/>
            <w:tcBorders>
              <w:top w:val="single" w:sz="4" w:space="0" w:color="auto"/>
              <w:left w:val="single" w:sz="4" w:space="0" w:color="auto"/>
              <w:bottom w:val="single" w:sz="4" w:space="0" w:color="auto"/>
              <w:right w:val="single" w:sz="4" w:space="0" w:color="auto"/>
            </w:tcBorders>
            <w:vAlign w:val="center"/>
            <w:hideMark/>
          </w:tcPr>
          <w:p w14:paraId="049CD6DE" w14:textId="77777777" w:rsidR="00EB5188" w:rsidRPr="0006152B" w:rsidRDefault="00EB5188" w:rsidP="007D2270">
            <w:pPr>
              <w:pStyle w:val="BodyText"/>
              <w:jc w:val="center"/>
              <w:rPr>
                <w:sz w:val="22"/>
              </w:rPr>
            </w:pPr>
            <w:r w:rsidRPr="0006152B">
              <w:rPr>
                <w:sz w:val="22"/>
              </w:rPr>
              <w:t>3 hours</w:t>
            </w:r>
          </w:p>
        </w:tc>
        <w:tc>
          <w:tcPr>
            <w:tcW w:w="556" w:type="pct"/>
            <w:tcBorders>
              <w:top w:val="single" w:sz="4" w:space="0" w:color="auto"/>
              <w:left w:val="single" w:sz="4" w:space="0" w:color="auto"/>
              <w:bottom w:val="single" w:sz="4" w:space="0" w:color="auto"/>
              <w:right w:val="single" w:sz="4" w:space="0" w:color="auto"/>
            </w:tcBorders>
            <w:vAlign w:val="center"/>
            <w:hideMark/>
          </w:tcPr>
          <w:p w14:paraId="38F779C3" w14:textId="5D6107F6" w:rsidR="00EB5188" w:rsidRPr="0006152B" w:rsidRDefault="00C7671A">
            <w:pPr>
              <w:pStyle w:val="BodyText"/>
              <w:jc w:val="center"/>
              <w:rPr>
                <w:sz w:val="22"/>
              </w:rPr>
            </w:pPr>
            <w:r>
              <w:rPr>
                <w:sz w:val="22"/>
              </w:rPr>
              <w:t>72</w:t>
            </w:r>
            <w:r w:rsidR="00EB5188" w:rsidRPr="0006152B">
              <w:rPr>
                <w:sz w:val="22"/>
              </w:rPr>
              <w:t xml:space="preserve"> hours</w:t>
            </w:r>
            <w:r w:rsidR="0051293A" w:rsidRPr="0006152B">
              <w:rPr>
                <w:sz w:val="22"/>
              </w:rPr>
              <w:t>;</w:t>
            </w:r>
          </w:p>
          <w:p w14:paraId="0FEBB6CD" w14:textId="6E7B60B3" w:rsidR="0051293A" w:rsidRPr="0006152B" w:rsidRDefault="00C7671A">
            <w:pPr>
              <w:pStyle w:val="BodyText"/>
              <w:jc w:val="center"/>
              <w:rPr>
                <w:sz w:val="22"/>
              </w:rPr>
            </w:pPr>
            <w:r>
              <w:rPr>
                <w:sz w:val="22"/>
              </w:rPr>
              <w:t>108</w:t>
            </w:r>
            <w:r w:rsidR="00C02D63" w:rsidRPr="0006152B">
              <w:rPr>
                <w:sz w:val="22"/>
              </w:rPr>
              <w:t xml:space="preserve"> hours</w:t>
            </w:r>
          </w:p>
        </w:tc>
        <w:tc>
          <w:tcPr>
            <w:tcW w:w="740" w:type="pct"/>
            <w:tcBorders>
              <w:top w:val="single" w:sz="4" w:space="0" w:color="auto"/>
              <w:left w:val="single" w:sz="4" w:space="0" w:color="auto"/>
              <w:bottom w:val="single" w:sz="4" w:space="0" w:color="auto"/>
              <w:right w:val="single" w:sz="4" w:space="0" w:color="auto"/>
            </w:tcBorders>
            <w:vAlign w:val="center"/>
          </w:tcPr>
          <w:p w14:paraId="587F11EE" w14:textId="52659C69" w:rsidR="0059417A" w:rsidRPr="0006152B" w:rsidRDefault="0085174F" w:rsidP="006E5A37">
            <w:pPr>
              <w:pStyle w:val="BodyText"/>
              <w:jc w:val="center"/>
              <w:rPr>
                <w:sz w:val="22"/>
              </w:rPr>
            </w:pPr>
            <w:r>
              <w:rPr>
                <w:sz w:val="22"/>
              </w:rPr>
              <w:t>8.15</w:t>
            </w:r>
          </w:p>
          <w:p w14:paraId="60D09A22" w14:textId="1507C705" w:rsidR="00EB5188" w:rsidRPr="0006152B" w:rsidRDefault="0085174F" w:rsidP="008A741C">
            <w:pPr>
              <w:pStyle w:val="BodyText"/>
              <w:jc w:val="center"/>
              <w:rPr>
                <w:sz w:val="22"/>
              </w:rPr>
            </w:pPr>
            <w:r>
              <w:rPr>
                <w:sz w:val="22"/>
              </w:rPr>
              <w:t>39.84</w:t>
            </w:r>
          </w:p>
        </w:tc>
        <w:tc>
          <w:tcPr>
            <w:tcW w:w="593" w:type="pct"/>
            <w:tcBorders>
              <w:top w:val="single" w:sz="4" w:space="0" w:color="auto"/>
              <w:left w:val="single" w:sz="4" w:space="0" w:color="auto"/>
              <w:bottom w:val="single" w:sz="4" w:space="0" w:color="auto"/>
              <w:right w:val="single" w:sz="4" w:space="0" w:color="auto"/>
            </w:tcBorders>
            <w:vAlign w:val="center"/>
          </w:tcPr>
          <w:p w14:paraId="372E08A0" w14:textId="78A59DA5" w:rsidR="0059417A" w:rsidRPr="00C7671A" w:rsidRDefault="003408D1" w:rsidP="0059417A">
            <w:pPr>
              <w:pStyle w:val="BodyText"/>
              <w:jc w:val="center"/>
              <w:rPr>
                <w:sz w:val="22"/>
              </w:rPr>
            </w:pPr>
            <w:r>
              <w:rPr>
                <w:sz w:val="22"/>
              </w:rPr>
              <w:t>587</w:t>
            </w:r>
            <w:r w:rsidR="008744D6" w:rsidRPr="00C7671A">
              <w:rPr>
                <w:sz w:val="22"/>
              </w:rPr>
              <w:t>;</w:t>
            </w:r>
          </w:p>
          <w:p w14:paraId="3DB5E504" w14:textId="369BC51D" w:rsidR="00EB5188" w:rsidRPr="00C7671A" w:rsidRDefault="003408D1" w:rsidP="00C7671A">
            <w:pPr>
              <w:pStyle w:val="BodyText"/>
              <w:jc w:val="center"/>
              <w:rPr>
                <w:sz w:val="22"/>
              </w:rPr>
            </w:pPr>
            <w:r>
              <w:rPr>
                <w:sz w:val="22"/>
              </w:rPr>
              <w:t>4,303</w:t>
            </w:r>
          </w:p>
        </w:tc>
      </w:tr>
      <w:tr w:rsidR="0051293A" w:rsidRPr="00353D05" w14:paraId="35B8A1D5" w14:textId="77777777" w:rsidTr="0051293A">
        <w:trPr>
          <w:cantSplit/>
          <w:trHeight w:val="289"/>
          <w:tblHeader/>
        </w:trPr>
        <w:tc>
          <w:tcPr>
            <w:tcW w:w="8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B27126" w14:textId="09070F1A" w:rsidR="00EB5188" w:rsidRPr="0006152B" w:rsidRDefault="00EB5188" w:rsidP="007D2270">
            <w:pPr>
              <w:pStyle w:val="BodyText"/>
              <w:rPr>
                <w:b/>
                <w:sz w:val="22"/>
              </w:rPr>
            </w:pPr>
            <w:r w:rsidRPr="0006152B">
              <w:rPr>
                <w:b/>
                <w:sz w:val="22"/>
              </w:rPr>
              <w:t>Totals</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AB6ACA" w14:textId="3CFDDB32" w:rsidR="00EB5188" w:rsidRPr="0006152B" w:rsidRDefault="006E2FFB" w:rsidP="007D2270">
            <w:pPr>
              <w:pStyle w:val="BodyText"/>
              <w:jc w:val="center"/>
              <w:rPr>
                <w:sz w:val="22"/>
              </w:rPr>
            </w:pPr>
            <w:r>
              <w:rPr>
                <w:sz w:val="22"/>
              </w:rPr>
              <w:t>6</w:t>
            </w:r>
            <w:r w:rsidR="0055476B" w:rsidRPr="0006152B">
              <w:rPr>
                <w:sz w:val="22"/>
              </w:rPr>
              <w:t>0</w:t>
            </w:r>
            <w:r w:rsidR="00EB5188" w:rsidRPr="0006152B">
              <w:rPr>
                <w:sz w:val="22"/>
              </w:rPr>
              <w:t>/year</w:t>
            </w: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302C92C3" w14:textId="77777777" w:rsidR="00EB5188" w:rsidRPr="0006152B" w:rsidRDefault="00EB5188" w:rsidP="007D2270">
            <w:pPr>
              <w:pStyle w:val="BodyText"/>
              <w:jc w:val="center"/>
              <w:rPr>
                <w:sz w:val="22"/>
              </w:rPr>
            </w:pPr>
            <w:r w:rsidRPr="0006152B">
              <w:rPr>
                <w:sz w:val="22"/>
              </w:rPr>
              <w:t>1 time/year</w:t>
            </w: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39071257" w14:textId="77777777" w:rsidR="00EB5188" w:rsidRPr="0006152B" w:rsidRDefault="00EB5188" w:rsidP="007D2270">
            <w:pPr>
              <w:pStyle w:val="BodyText"/>
              <w:jc w:val="center"/>
              <w:rPr>
                <w:sz w:val="22"/>
              </w:rPr>
            </w:pPr>
            <w:r w:rsidRPr="0006152B">
              <w:rPr>
                <w:sz w:val="22"/>
              </w:rPr>
              <w:t>3 hours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5762BA" w14:textId="71CEE5A7" w:rsidR="00EB5188" w:rsidRPr="0006152B" w:rsidRDefault="00EB5188" w:rsidP="007D2270">
            <w:pPr>
              <w:pStyle w:val="BodyText"/>
              <w:jc w:val="center"/>
              <w:rPr>
                <w:sz w:val="22"/>
              </w:rPr>
            </w:pPr>
            <w:r w:rsidRPr="0006152B">
              <w:rPr>
                <w:sz w:val="22"/>
              </w:rPr>
              <w:t>1</w:t>
            </w:r>
            <w:r w:rsidR="006E2FFB">
              <w:rPr>
                <w:sz w:val="22"/>
              </w:rPr>
              <w:t>8</w:t>
            </w:r>
            <w:r w:rsidRPr="0006152B">
              <w:rPr>
                <w:sz w:val="22"/>
              </w:rPr>
              <w:t>0 hours</w:t>
            </w:r>
          </w:p>
        </w:tc>
        <w:tc>
          <w:tcPr>
            <w:tcW w:w="740" w:type="pct"/>
            <w:tcBorders>
              <w:top w:val="single" w:sz="4" w:space="0" w:color="auto"/>
              <w:left w:val="single" w:sz="4" w:space="0" w:color="auto"/>
              <w:bottom w:val="single" w:sz="4" w:space="0" w:color="auto"/>
              <w:right w:val="single" w:sz="4" w:space="0" w:color="auto"/>
            </w:tcBorders>
            <w:shd w:val="clear" w:color="auto" w:fill="FFFFFF"/>
            <w:vAlign w:val="center"/>
          </w:tcPr>
          <w:p w14:paraId="36737295" w14:textId="2359BA29" w:rsidR="00EB5188" w:rsidRPr="0006152B" w:rsidRDefault="0085174F" w:rsidP="008A741C">
            <w:pPr>
              <w:pStyle w:val="BodyText"/>
              <w:jc w:val="center"/>
              <w:rPr>
                <w:sz w:val="22"/>
              </w:rPr>
            </w:pPr>
            <w:r>
              <w:rPr>
                <w:sz w:val="22"/>
              </w:rPr>
              <w:t>8.15</w:t>
            </w:r>
            <w:r w:rsidR="006E5A37" w:rsidRPr="0006152B">
              <w:rPr>
                <w:sz w:val="22"/>
              </w:rPr>
              <w:t>-</w:t>
            </w:r>
            <w:r>
              <w:rPr>
                <w:sz w:val="22"/>
              </w:rPr>
              <w:t>39.84</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14:paraId="05FF7F05" w14:textId="21662E26" w:rsidR="00EB5188" w:rsidRPr="00C7671A" w:rsidRDefault="000E7799" w:rsidP="008B7119">
            <w:pPr>
              <w:pStyle w:val="BodyText"/>
              <w:jc w:val="center"/>
              <w:rPr>
                <w:sz w:val="22"/>
              </w:rPr>
            </w:pPr>
            <w:r>
              <w:rPr>
                <w:sz w:val="22"/>
              </w:rPr>
              <w:t>4,890</w:t>
            </w:r>
          </w:p>
        </w:tc>
      </w:tr>
    </w:tbl>
    <w:p w14:paraId="07253901" w14:textId="77777777" w:rsidR="00EB5188" w:rsidRPr="002453E2" w:rsidRDefault="00EB5188" w:rsidP="007D2270">
      <w:pPr>
        <w:pStyle w:val="BodyText"/>
      </w:pPr>
    </w:p>
    <w:p w14:paraId="3A089FEC" w14:textId="77777777" w:rsidR="002453E2" w:rsidRPr="00C12F39" w:rsidRDefault="002453E2" w:rsidP="007D2270">
      <w:pPr>
        <w:pStyle w:val="ListBullet"/>
        <w:rPr>
          <w:szCs w:val="24"/>
        </w:rPr>
      </w:pPr>
      <w:r w:rsidRPr="00C12F39">
        <w:rPr>
          <w:szCs w:val="24"/>
        </w:rPr>
        <w:t>Telephone Recruitment Script</w:t>
      </w:r>
    </w:p>
    <w:p w14:paraId="77EC024A" w14:textId="77777777" w:rsidR="002453E2" w:rsidRPr="00C12F39" w:rsidRDefault="002453E2" w:rsidP="007D2270">
      <w:pPr>
        <w:pStyle w:val="ListBullet"/>
        <w:rPr>
          <w:szCs w:val="24"/>
        </w:rPr>
      </w:pPr>
      <w:r w:rsidRPr="00C12F39">
        <w:rPr>
          <w:szCs w:val="24"/>
        </w:rPr>
        <w:t>Participant Informed Consent Form</w:t>
      </w:r>
    </w:p>
    <w:p w14:paraId="3420BDC1" w14:textId="77777777" w:rsidR="002453E2" w:rsidRPr="00C12F39" w:rsidRDefault="002453E2" w:rsidP="007D2270">
      <w:pPr>
        <w:pStyle w:val="ListBullet"/>
        <w:rPr>
          <w:rFonts w:ascii="Times New Roman" w:hAnsi="Times New Roman"/>
          <w:szCs w:val="24"/>
        </w:rPr>
      </w:pPr>
      <w:r w:rsidRPr="00C12F39">
        <w:rPr>
          <w:szCs w:val="24"/>
        </w:rPr>
        <w:t>C</w:t>
      </w:r>
      <w:r w:rsidR="00D46E02" w:rsidRPr="00C12F39">
        <w:rPr>
          <w:szCs w:val="24"/>
        </w:rPr>
        <w:t>ore</w:t>
      </w:r>
      <w:r w:rsidRPr="00C12F39">
        <w:rPr>
          <w:szCs w:val="24"/>
        </w:rPr>
        <w:t xml:space="preserve"> Focus Group Moderator’s Guide</w:t>
      </w:r>
    </w:p>
    <w:p w14:paraId="671C6C1A" w14:textId="77777777" w:rsidR="002453E2" w:rsidRPr="002453E2" w:rsidRDefault="002453E2" w:rsidP="002453E2">
      <w:pPr>
        <w:rPr>
          <w:rFonts w:ascii="Cambria" w:hAnsi="Cambria"/>
          <w:spacing w:val="5"/>
          <w:kern w:val="28"/>
        </w:rPr>
      </w:pPr>
    </w:p>
    <w:p w14:paraId="486C1D3A" w14:textId="58A77E1D" w:rsidR="002453E2" w:rsidRPr="00226393" w:rsidRDefault="002453E2" w:rsidP="00AA20A8">
      <w:pPr>
        <w:pStyle w:val="Heading5"/>
        <w:ind w:left="0"/>
      </w:pPr>
      <w:r w:rsidRPr="00226393">
        <w:t>12.2.</w:t>
      </w:r>
      <w:r w:rsidR="00AA20A8">
        <w:t>3</w:t>
      </w:r>
      <w:r w:rsidRPr="00226393">
        <w:t xml:space="preserve"> Burden Estimates: Informational Interviews</w:t>
      </w:r>
    </w:p>
    <w:p w14:paraId="6A425FA2" w14:textId="77777777" w:rsidR="00704B66" w:rsidRDefault="00704B66" w:rsidP="002453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6AA169B" w14:textId="71D4F43A" w:rsidR="002453E2" w:rsidRPr="0006152B" w:rsidRDefault="00F67665" w:rsidP="002453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96C25">
        <w:rPr>
          <w:b/>
        </w:rPr>
        <w:t>Informational Interviews (Stakeholders</w:t>
      </w:r>
      <w:r w:rsidR="007C50DD" w:rsidRPr="00796C25">
        <w:rPr>
          <w:b/>
        </w:rPr>
        <w:t>, etc.</w:t>
      </w:r>
      <w:r w:rsidRPr="00796C25">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443"/>
        <w:gridCol w:w="1170"/>
        <w:gridCol w:w="1440"/>
        <w:gridCol w:w="990"/>
        <w:gridCol w:w="1715"/>
        <w:gridCol w:w="1417"/>
      </w:tblGrid>
      <w:tr w:rsidR="0042083E" w:rsidRPr="007D2270" w14:paraId="6512AD22" w14:textId="77777777" w:rsidTr="0006152B">
        <w:trPr>
          <w:cantSplit/>
          <w:trHeight w:val="274"/>
          <w:tblHeader/>
        </w:trPr>
        <w:tc>
          <w:tcPr>
            <w:tcW w:w="1545" w:type="dxa"/>
            <w:tcBorders>
              <w:top w:val="single" w:sz="4" w:space="0" w:color="auto"/>
              <w:left w:val="single" w:sz="4" w:space="0" w:color="auto"/>
              <w:bottom w:val="single" w:sz="4" w:space="0" w:color="auto"/>
              <w:right w:val="single" w:sz="4" w:space="0" w:color="auto"/>
            </w:tcBorders>
            <w:shd w:val="clear" w:color="auto" w:fill="EEECE1"/>
            <w:vAlign w:val="bottom"/>
            <w:hideMark/>
          </w:tcPr>
          <w:p w14:paraId="76321EA8" w14:textId="77777777" w:rsidR="002453E2" w:rsidRPr="0006152B" w:rsidRDefault="002453E2" w:rsidP="007D2270">
            <w:pPr>
              <w:pStyle w:val="BodyText"/>
              <w:jc w:val="center"/>
              <w:rPr>
                <w:b/>
                <w:sz w:val="22"/>
              </w:rPr>
            </w:pPr>
            <w:r w:rsidRPr="0006152B">
              <w:rPr>
                <w:b/>
                <w:sz w:val="22"/>
              </w:rPr>
              <w:lastRenderedPageBreak/>
              <w:t>Respondent</w:t>
            </w:r>
          </w:p>
        </w:tc>
        <w:tc>
          <w:tcPr>
            <w:tcW w:w="1443" w:type="dxa"/>
            <w:tcBorders>
              <w:top w:val="single" w:sz="4" w:space="0" w:color="auto"/>
              <w:left w:val="single" w:sz="4" w:space="0" w:color="auto"/>
              <w:bottom w:val="single" w:sz="4" w:space="0" w:color="auto"/>
              <w:right w:val="single" w:sz="4" w:space="0" w:color="auto"/>
            </w:tcBorders>
            <w:shd w:val="clear" w:color="auto" w:fill="EEECE1"/>
            <w:vAlign w:val="bottom"/>
            <w:hideMark/>
          </w:tcPr>
          <w:p w14:paraId="7BCF1807" w14:textId="77777777" w:rsidR="002453E2" w:rsidRPr="0006152B" w:rsidRDefault="002453E2" w:rsidP="007D2270">
            <w:pPr>
              <w:pStyle w:val="BodyText"/>
              <w:jc w:val="center"/>
              <w:rPr>
                <w:b/>
                <w:sz w:val="22"/>
              </w:rPr>
            </w:pPr>
            <w:r w:rsidRPr="0006152B">
              <w:rPr>
                <w:b/>
                <w:sz w:val="22"/>
              </w:rPr>
              <w:t>No. of Respondents</w:t>
            </w:r>
          </w:p>
        </w:tc>
        <w:tc>
          <w:tcPr>
            <w:tcW w:w="1170" w:type="dxa"/>
            <w:tcBorders>
              <w:top w:val="single" w:sz="4" w:space="0" w:color="auto"/>
              <w:left w:val="single" w:sz="4" w:space="0" w:color="auto"/>
              <w:bottom w:val="single" w:sz="4" w:space="0" w:color="auto"/>
              <w:right w:val="single" w:sz="4" w:space="0" w:color="auto"/>
            </w:tcBorders>
            <w:shd w:val="clear" w:color="auto" w:fill="EEECE1"/>
            <w:vAlign w:val="bottom"/>
          </w:tcPr>
          <w:p w14:paraId="52D9AE44" w14:textId="77777777" w:rsidR="002453E2" w:rsidRPr="0006152B" w:rsidRDefault="002453E2" w:rsidP="007D2270">
            <w:pPr>
              <w:pStyle w:val="BodyText"/>
              <w:jc w:val="center"/>
              <w:rPr>
                <w:b/>
                <w:sz w:val="22"/>
              </w:rPr>
            </w:pPr>
            <w:r w:rsidRPr="0006152B">
              <w:rPr>
                <w:b/>
                <w:sz w:val="22"/>
              </w:rPr>
              <w:t>Frequency of Response</w:t>
            </w:r>
          </w:p>
        </w:tc>
        <w:tc>
          <w:tcPr>
            <w:tcW w:w="1440" w:type="dxa"/>
            <w:tcBorders>
              <w:top w:val="single" w:sz="4" w:space="0" w:color="auto"/>
              <w:left w:val="single" w:sz="4" w:space="0" w:color="auto"/>
              <w:bottom w:val="single" w:sz="4" w:space="0" w:color="auto"/>
              <w:right w:val="single" w:sz="4" w:space="0" w:color="auto"/>
            </w:tcBorders>
            <w:shd w:val="clear" w:color="auto" w:fill="EEECE1"/>
            <w:vAlign w:val="bottom"/>
            <w:hideMark/>
          </w:tcPr>
          <w:p w14:paraId="03FF4BEF" w14:textId="77777777" w:rsidR="002453E2" w:rsidRPr="0006152B" w:rsidRDefault="002453E2" w:rsidP="007D2270">
            <w:pPr>
              <w:pStyle w:val="BodyText"/>
              <w:jc w:val="center"/>
              <w:rPr>
                <w:b/>
                <w:sz w:val="22"/>
              </w:rPr>
            </w:pPr>
            <w:r w:rsidRPr="0006152B">
              <w:rPr>
                <w:b/>
                <w:sz w:val="22"/>
              </w:rPr>
              <w:t>Participation Time</w:t>
            </w:r>
          </w:p>
        </w:tc>
        <w:tc>
          <w:tcPr>
            <w:tcW w:w="990" w:type="dxa"/>
            <w:tcBorders>
              <w:top w:val="single" w:sz="4" w:space="0" w:color="auto"/>
              <w:left w:val="single" w:sz="4" w:space="0" w:color="auto"/>
              <w:bottom w:val="single" w:sz="4" w:space="0" w:color="auto"/>
              <w:right w:val="single" w:sz="4" w:space="0" w:color="auto"/>
            </w:tcBorders>
            <w:shd w:val="clear" w:color="auto" w:fill="EEECE1"/>
            <w:vAlign w:val="bottom"/>
            <w:hideMark/>
          </w:tcPr>
          <w:p w14:paraId="7410D282" w14:textId="77777777" w:rsidR="002453E2" w:rsidRPr="0006152B" w:rsidRDefault="002453E2" w:rsidP="007D2270">
            <w:pPr>
              <w:pStyle w:val="BodyText"/>
              <w:jc w:val="center"/>
              <w:rPr>
                <w:b/>
                <w:sz w:val="22"/>
              </w:rPr>
            </w:pPr>
            <w:r w:rsidRPr="0006152B">
              <w:rPr>
                <w:b/>
                <w:sz w:val="22"/>
              </w:rPr>
              <w:t>Annual Hour Burden</w:t>
            </w:r>
          </w:p>
        </w:tc>
        <w:tc>
          <w:tcPr>
            <w:tcW w:w="1715" w:type="dxa"/>
            <w:tcBorders>
              <w:top w:val="single" w:sz="4" w:space="0" w:color="auto"/>
              <w:left w:val="single" w:sz="4" w:space="0" w:color="auto"/>
              <w:bottom w:val="single" w:sz="4" w:space="0" w:color="auto"/>
              <w:right w:val="single" w:sz="4" w:space="0" w:color="auto"/>
            </w:tcBorders>
            <w:shd w:val="clear" w:color="auto" w:fill="EEECE1"/>
            <w:vAlign w:val="bottom"/>
          </w:tcPr>
          <w:p w14:paraId="605F02DF" w14:textId="77777777" w:rsidR="00091768" w:rsidRDefault="00091768" w:rsidP="00091768">
            <w:pPr>
              <w:pStyle w:val="BodyText"/>
              <w:jc w:val="center"/>
              <w:rPr>
                <w:b/>
                <w:sz w:val="22"/>
              </w:rPr>
            </w:pPr>
            <w:r w:rsidRPr="0006152B">
              <w:rPr>
                <w:b/>
                <w:sz w:val="22"/>
              </w:rPr>
              <w:t>Respondent</w:t>
            </w:r>
          </w:p>
          <w:p w14:paraId="37FE0BAA" w14:textId="77777777" w:rsidR="00091768" w:rsidRDefault="00091768" w:rsidP="00091768">
            <w:pPr>
              <w:pStyle w:val="BodyText"/>
              <w:jc w:val="center"/>
              <w:rPr>
                <w:b/>
                <w:sz w:val="22"/>
              </w:rPr>
            </w:pPr>
            <w:r>
              <w:rPr>
                <w:b/>
                <w:sz w:val="22"/>
              </w:rPr>
              <w:t>Wage</w:t>
            </w:r>
          </w:p>
          <w:p w14:paraId="4468B864" w14:textId="28124CC1" w:rsidR="002453E2" w:rsidRPr="0006152B" w:rsidRDefault="00091768" w:rsidP="00091768">
            <w:pPr>
              <w:pStyle w:val="BodyText"/>
              <w:jc w:val="center"/>
              <w:rPr>
                <w:b/>
                <w:sz w:val="22"/>
              </w:rPr>
            </w:pPr>
            <w:r>
              <w:rPr>
                <w:b/>
                <w:sz w:val="22"/>
              </w:rPr>
              <w:t>($/hr)</w:t>
            </w:r>
          </w:p>
        </w:tc>
        <w:tc>
          <w:tcPr>
            <w:tcW w:w="1417" w:type="dxa"/>
            <w:tcBorders>
              <w:top w:val="single" w:sz="4" w:space="0" w:color="auto"/>
              <w:left w:val="single" w:sz="4" w:space="0" w:color="auto"/>
              <w:bottom w:val="single" w:sz="4" w:space="0" w:color="auto"/>
              <w:right w:val="single" w:sz="4" w:space="0" w:color="auto"/>
            </w:tcBorders>
            <w:shd w:val="clear" w:color="auto" w:fill="EEECE1"/>
            <w:vAlign w:val="bottom"/>
          </w:tcPr>
          <w:p w14:paraId="0076B537" w14:textId="1FB269C9" w:rsidR="002453E2" w:rsidRPr="0006152B" w:rsidRDefault="00EA2923" w:rsidP="007D2270">
            <w:pPr>
              <w:pStyle w:val="BodyText"/>
              <w:jc w:val="center"/>
              <w:rPr>
                <w:b/>
                <w:sz w:val="22"/>
              </w:rPr>
            </w:pPr>
            <w:r w:rsidRPr="00EA2923">
              <w:rPr>
                <w:b/>
                <w:sz w:val="22"/>
              </w:rPr>
              <w:t>Annual Labor Cost ($)</w:t>
            </w:r>
          </w:p>
        </w:tc>
      </w:tr>
      <w:tr w:rsidR="0042083E" w:rsidRPr="0006152B" w14:paraId="48AFD3FF" w14:textId="77777777" w:rsidTr="0006152B">
        <w:trPr>
          <w:cantSplit/>
          <w:trHeight w:val="274"/>
          <w:tblHeader/>
        </w:trPr>
        <w:tc>
          <w:tcPr>
            <w:tcW w:w="1545" w:type="dxa"/>
            <w:tcBorders>
              <w:top w:val="single" w:sz="4" w:space="0" w:color="auto"/>
              <w:left w:val="single" w:sz="4" w:space="0" w:color="auto"/>
              <w:bottom w:val="single" w:sz="4" w:space="0" w:color="auto"/>
              <w:right w:val="single" w:sz="4" w:space="0" w:color="auto"/>
            </w:tcBorders>
            <w:vAlign w:val="center"/>
            <w:hideMark/>
          </w:tcPr>
          <w:p w14:paraId="1888ED5D" w14:textId="42C78ED8" w:rsidR="002453E2" w:rsidRPr="0006152B" w:rsidRDefault="002453E2">
            <w:pPr>
              <w:pStyle w:val="BodyText"/>
              <w:rPr>
                <w:b/>
                <w:sz w:val="22"/>
              </w:rPr>
            </w:pPr>
            <w:r w:rsidRPr="0006152B">
              <w:rPr>
                <w:b/>
                <w:sz w:val="22"/>
              </w:rPr>
              <w:t>Respondents (stakeholders</w:t>
            </w:r>
            <w:r w:rsidR="0042083E">
              <w:rPr>
                <w:b/>
                <w:sz w:val="22"/>
              </w:rPr>
              <w:t>,</w:t>
            </w:r>
            <w:r w:rsidRPr="0006152B">
              <w:rPr>
                <w:b/>
                <w:sz w:val="22"/>
              </w:rPr>
              <w:t xml:space="preserve"> etc.</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806B8F7" w14:textId="4A8128DF" w:rsidR="002453E2" w:rsidRPr="0006152B" w:rsidRDefault="00796C25" w:rsidP="007D2270">
            <w:pPr>
              <w:pStyle w:val="BodyText"/>
              <w:jc w:val="center"/>
              <w:rPr>
                <w:sz w:val="22"/>
              </w:rPr>
            </w:pPr>
            <w:r>
              <w:rPr>
                <w:sz w:val="22"/>
              </w:rPr>
              <w:t>25</w:t>
            </w:r>
            <w:r w:rsidR="002E3D3A" w:rsidRPr="0006152B">
              <w:rPr>
                <w:sz w:val="22"/>
              </w:rPr>
              <w:t>/year</w:t>
            </w:r>
          </w:p>
        </w:tc>
        <w:tc>
          <w:tcPr>
            <w:tcW w:w="1170" w:type="dxa"/>
            <w:tcBorders>
              <w:top w:val="single" w:sz="4" w:space="0" w:color="auto"/>
              <w:left w:val="single" w:sz="4" w:space="0" w:color="auto"/>
              <w:bottom w:val="single" w:sz="4" w:space="0" w:color="auto"/>
              <w:right w:val="single" w:sz="4" w:space="0" w:color="auto"/>
            </w:tcBorders>
            <w:vAlign w:val="center"/>
          </w:tcPr>
          <w:p w14:paraId="14F2ADB4" w14:textId="77777777" w:rsidR="002453E2" w:rsidRPr="0006152B" w:rsidRDefault="002453E2" w:rsidP="007D2270">
            <w:pPr>
              <w:pStyle w:val="BodyText"/>
              <w:jc w:val="center"/>
              <w:rPr>
                <w:sz w:val="22"/>
              </w:rPr>
            </w:pPr>
            <w:r w:rsidRPr="0006152B">
              <w:rPr>
                <w:sz w:val="22"/>
              </w:rPr>
              <w:t>1 time</w:t>
            </w:r>
            <w:r w:rsidR="002E3D3A" w:rsidRPr="0006152B">
              <w:rPr>
                <w:sz w:val="22"/>
              </w:rPr>
              <w:t>/year</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CFEA14A" w14:textId="77777777" w:rsidR="002453E2" w:rsidRPr="0006152B" w:rsidRDefault="002453E2" w:rsidP="007D2270">
            <w:pPr>
              <w:pStyle w:val="BodyText"/>
              <w:jc w:val="center"/>
              <w:rPr>
                <w:sz w:val="22"/>
              </w:rPr>
            </w:pPr>
            <w:r w:rsidRPr="0006152B">
              <w:rPr>
                <w:sz w:val="22"/>
              </w:rPr>
              <w:t>1.5 hours</w:t>
            </w:r>
          </w:p>
        </w:tc>
        <w:tc>
          <w:tcPr>
            <w:tcW w:w="990" w:type="dxa"/>
            <w:tcBorders>
              <w:top w:val="single" w:sz="4" w:space="0" w:color="auto"/>
              <w:left w:val="single" w:sz="4" w:space="0" w:color="auto"/>
              <w:bottom w:val="single" w:sz="4" w:space="0" w:color="auto"/>
              <w:right w:val="single" w:sz="4" w:space="0" w:color="auto"/>
            </w:tcBorders>
            <w:vAlign w:val="center"/>
            <w:hideMark/>
          </w:tcPr>
          <w:p w14:paraId="0F7E77FE" w14:textId="5809D89D" w:rsidR="002453E2" w:rsidRPr="0006152B" w:rsidRDefault="00796C25" w:rsidP="007D2270">
            <w:pPr>
              <w:pStyle w:val="BodyText"/>
              <w:jc w:val="center"/>
              <w:rPr>
                <w:sz w:val="22"/>
              </w:rPr>
            </w:pPr>
            <w:r>
              <w:rPr>
                <w:sz w:val="22"/>
              </w:rPr>
              <w:t>37.5</w:t>
            </w:r>
            <w:r w:rsidR="002453E2" w:rsidRPr="0006152B">
              <w:rPr>
                <w:sz w:val="22"/>
              </w:rPr>
              <w:t xml:space="preserve"> hours</w:t>
            </w:r>
          </w:p>
        </w:tc>
        <w:tc>
          <w:tcPr>
            <w:tcW w:w="1715" w:type="dxa"/>
            <w:tcBorders>
              <w:top w:val="single" w:sz="4" w:space="0" w:color="auto"/>
              <w:left w:val="single" w:sz="4" w:space="0" w:color="auto"/>
              <w:bottom w:val="single" w:sz="4" w:space="0" w:color="auto"/>
              <w:right w:val="single" w:sz="4" w:space="0" w:color="auto"/>
            </w:tcBorders>
            <w:vAlign w:val="center"/>
          </w:tcPr>
          <w:p w14:paraId="01CDF22A" w14:textId="6F54C444" w:rsidR="002453E2" w:rsidRPr="0006152B" w:rsidRDefault="0085174F" w:rsidP="00BB651F">
            <w:pPr>
              <w:pStyle w:val="BodyText"/>
              <w:jc w:val="center"/>
              <w:rPr>
                <w:sz w:val="22"/>
              </w:rPr>
            </w:pPr>
            <w:r>
              <w:rPr>
                <w:sz w:val="22"/>
              </w:rPr>
              <w:t>93.38</w:t>
            </w:r>
          </w:p>
        </w:tc>
        <w:tc>
          <w:tcPr>
            <w:tcW w:w="1417" w:type="dxa"/>
            <w:tcBorders>
              <w:top w:val="single" w:sz="4" w:space="0" w:color="auto"/>
              <w:left w:val="single" w:sz="4" w:space="0" w:color="auto"/>
              <w:bottom w:val="single" w:sz="4" w:space="0" w:color="auto"/>
              <w:right w:val="single" w:sz="4" w:space="0" w:color="auto"/>
            </w:tcBorders>
            <w:vAlign w:val="center"/>
          </w:tcPr>
          <w:p w14:paraId="54CFF326" w14:textId="3D66C552" w:rsidR="002453E2" w:rsidRPr="0006152B" w:rsidRDefault="00D077E9" w:rsidP="0059417A">
            <w:pPr>
              <w:pStyle w:val="BodyText"/>
              <w:jc w:val="center"/>
              <w:rPr>
                <w:sz w:val="22"/>
              </w:rPr>
            </w:pPr>
            <w:r>
              <w:rPr>
                <w:sz w:val="22"/>
              </w:rPr>
              <w:t>3,502</w:t>
            </w:r>
          </w:p>
        </w:tc>
      </w:tr>
      <w:tr w:rsidR="0042083E" w:rsidRPr="0006152B" w14:paraId="6F0AFDF2" w14:textId="77777777" w:rsidTr="0006152B">
        <w:trPr>
          <w:cantSplit/>
          <w:trHeight w:val="289"/>
          <w:tblHeader/>
        </w:trPr>
        <w:tc>
          <w:tcPr>
            <w:tcW w:w="1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4AA4A" w14:textId="77777777" w:rsidR="002453E2" w:rsidRPr="0006152B" w:rsidRDefault="002453E2" w:rsidP="007D2270">
            <w:pPr>
              <w:pStyle w:val="BodyText"/>
              <w:rPr>
                <w:b/>
                <w:sz w:val="22"/>
              </w:rPr>
            </w:pPr>
            <w:r w:rsidRPr="0006152B">
              <w:rPr>
                <w:b/>
                <w:sz w:val="22"/>
              </w:rPr>
              <w:t>Totals</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5ABC1" w14:textId="6B9846DF" w:rsidR="002453E2" w:rsidRPr="0006152B" w:rsidRDefault="00796C25" w:rsidP="007D2270">
            <w:pPr>
              <w:pStyle w:val="BodyText"/>
              <w:jc w:val="center"/>
              <w:rPr>
                <w:sz w:val="22"/>
              </w:rPr>
            </w:pPr>
            <w:r>
              <w:rPr>
                <w:sz w:val="22"/>
              </w:rPr>
              <w:t>25</w:t>
            </w:r>
            <w:r w:rsidR="002E3D3A" w:rsidRPr="0006152B">
              <w:rPr>
                <w:sz w:val="22"/>
              </w:rPr>
              <w:t>/year</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71FAE0E7" w14:textId="77777777" w:rsidR="002453E2" w:rsidRPr="0006152B" w:rsidRDefault="002453E2" w:rsidP="007D2270">
            <w:pPr>
              <w:pStyle w:val="BodyText"/>
              <w:jc w:val="center"/>
              <w:rPr>
                <w:sz w:val="22"/>
              </w:rPr>
            </w:pPr>
            <w:r w:rsidRPr="0006152B">
              <w:rPr>
                <w:sz w:val="22"/>
              </w:rPr>
              <w:t>1 time</w:t>
            </w:r>
            <w:r w:rsidR="002E3D3A" w:rsidRPr="0006152B">
              <w:rPr>
                <w:sz w:val="22"/>
              </w:rPr>
              <w:t>/year</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092FD4C" w14:textId="77777777" w:rsidR="002453E2" w:rsidRPr="0006152B" w:rsidRDefault="002453E2" w:rsidP="007D2270">
            <w:pPr>
              <w:pStyle w:val="BodyText"/>
              <w:jc w:val="center"/>
              <w:rPr>
                <w:sz w:val="22"/>
              </w:rPr>
            </w:pPr>
            <w:r w:rsidRPr="0006152B">
              <w:rPr>
                <w:sz w:val="22"/>
              </w:rPr>
              <w:t>1.5 hours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E0554D" w14:textId="77777777" w:rsidR="0061724B" w:rsidRDefault="00796C25" w:rsidP="007D2270">
            <w:pPr>
              <w:pStyle w:val="BodyText"/>
              <w:jc w:val="center"/>
              <w:rPr>
                <w:sz w:val="22"/>
              </w:rPr>
            </w:pPr>
            <w:r>
              <w:rPr>
                <w:sz w:val="22"/>
              </w:rPr>
              <w:t>37.5</w:t>
            </w:r>
          </w:p>
          <w:p w14:paraId="620C1E5B" w14:textId="4BE3BBB1" w:rsidR="002453E2" w:rsidRPr="0006152B" w:rsidRDefault="002453E2" w:rsidP="007D2270">
            <w:pPr>
              <w:pStyle w:val="BodyText"/>
              <w:jc w:val="center"/>
              <w:rPr>
                <w:sz w:val="22"/>
              </w:rPr>
            </w:pPr>
            <w:r w:rsidRPr="0006152B">
              <w:rPr>
                <w:sz w:val="22"/>
              </w:rPr>
              <w:t>hours</w:t>
            </w:r>
          </w:p>
        </w:tc>
        <w:tc>
          <w:tcPr>
            <w:tcW w:w="1715" w:type="dxa"/>
            <w:tcBorders>
              <w:top w:val="single" w:sz="4" w:space="0" w:color="auto"/>
              <w:left w:val="single" w:sz="4" w:space="0" w:color="auto"/>
              <w:bottom w:val="single" w:sz="4" w:space="0" w:color="auto"/>
              <w:right w:val="single" w:sz="4" w:space="0" w:color="auto"/>
            </w:tcBorders>
            <w:shd w:val="clear" w:color="auto" w:fill="FFFFFF"/>
            <w:vAlign w:val="center"/>
          </w:tcPr>
          <w:p w14:paraId="05F5696C" w14:textId="47E99F4C" w:rsidR="002453E2" w:rsidRPr="0006152B" w:rsidRDefault="0085174F" w:rsidP="00FB4BE8">
            <w:pPr>
              <w:pStyle w:val="BodyText"/>
              <w:jc w:val="center"/>
              <w:rPr>
                <w:sz w:val="22"/>
              </w:rPr>
            </w:pPr>
            <w:r>
              <w:rPr>
                <w:sz w:val="22"/>
              </w:rPr>
              <w:t>93.38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2D9F7FA" w14:textId="47185351" w:rsidR="002453E2" w:rsidRPr="0006152B" w:rsidRDefault="00D077E9" w:rsidP="0059417A">
            <w:pPr>
              <w:pStyle w:val="BodyText"/>
              <w:jc w:val="center"/>
              <w:rPr>
                <w:sz w:val="22"/>
              </w:rPr>
            </w:pPr>
            <w:r>
              <w:rPr>
                <w:sz w:val="22"/>
              </w:rPr>
              <w:t>3,502</w:t>
            </w:r>
          </w:p>
        </w:tc>
      </w:tr>
    </w:tbl>
    <w:p w14:paraId="13BD1BBC" w14:textId="77777777" w:rsidR="002453E2" w:rsidRPr="00226393" w:rsidRDefault="002453E2" w:rsidP="002453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DDC7A6" w14:textId="13957104" w:rsidR="002453E2" w:rsidRPr="00226393" w:rsidRDefault="002453E2" w:rsidP="005E2FEF">
      <w:pPr>
        <w:pStyle w:val="Heading4"/>
        <w:ind w:left="0"/>
      </w:pPr>
      <w:r w:rsidRPr="00226393">
        <w:t>Informational Interview Information Collection Instruments and Associated Materials</w:t>
      </w:r>
    </w:p>
    <w:p w14:paraId="4F4108AA" w14:textId="77777777" w:rsidR="002453E2" w:rsidRPr="00226393" w:rsidRDefault="002453E2" w:rsidP="002453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CF6480A" w14:textId="20BD48B9" w:rsidR="002453E2" w:rsidRPr="00C12F39" w:rsidRDefault="002453E2" w:rsidP="007D2270">
      <w:pPr>
        <w:pStyle w:val="ListBullet"/>
        <w:tabs>
          <w:tab w:val="clear" w:pos="720"/>
          <w:tab w:val="num" w:pos="1080"/>
        </w:tabs>
        <w:ind w:left="1080"/>
      </w:pPr>
      <w:r w:rsidRPr="00C12F39">
        <w:t>Interview Guide</w:t>
      </w:r>
    </w:p>
    <w:p w14:paraId="5F3658C9" w14:textId="25FCD6B3" w:rsidR="0098219D" w:rsidRDefault="0098219D">
      <w:pPr>
        <w:spacing w:line="240" w:lineRule="auto"/>
        <w:rPr>
          <w:rFonts w:eastAsia="Calibri" w:cs="Cambria"/>
        </w:rPr>
      </w:pPr>
    </w:p>
    <w:p w14:paraId="42F8F6DA" w14:textId="6C0171C7" w:rsidR="002453E2" w:rsidRPr="00C12F39" w:rsidRDefault="002453E2" w:rsidP="005E2FEF">
      <w:pPr>
        <w:pStyle w:val="Heading4"/>
        <w:ind w:left="0"/>
        <w:rPr>
          <w:i w:val="0"/>
        </w:rPr>
      </w:pPr>
      <w:r w:rsidRPr="00C12F39">
        <w:rPr>
          <w:i w:val="0"/>
        </w:rPr>
        <w:t>12.</w:t>
      </w:r>
      <w:r w:rsidR="005E2FEF" w:rsidRPr="00C12F39">
        <w:rPr>
          <w:i w:val="0"/>
        </w:rPr>
        <w:t>3</w:t>
      </w:r>
      <w:r w:rsidRPr="00C12F39">
        <w:rPr>
          <w:i w:val="0"/>
        </w:rPr>
        <w:t xml:space="preserve"> Burden Summary</w:t>
      </w:r>
    </w:p>
    <w:p w14:paraId="15478C63" w14:textId="77777777" w:rsidR="003A54D3" w:rsidRPr="003A54D3" w:rsidRDefault="003A54D3" w:rsidP="003A54D3"/>
    <w:p w14:paraId="6422EF3F" w14:textId="770499B4" w:rsidR="002453E2" w:rsidRPr="0006152B" w:rsidRDefault="00E46165" w:rsidP="002453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6152B">
        <w:rPr>
          <w:b/>
        </w:rPr>
        <w:t>All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1409"/>
        <w:gridCol w:w="1143"/>
        <w:gridCol w:w="1407"/>
        <w:gridCol w:w="879"/>
        <w:gridCol w:w="1758"/>
        <w:gridCol w:w="1388"/>
      </w:tblGrid>
      <w:tr w:rsidR="005E4284" w:rsidRPr="00081AFB" w14:paraId="66734D7F" w14:textId="77777777" w:rsidTr="0006152B">
        <w:trPr>
          <w:cantSplit/>
          <w:trHeight w:val="274"/>
          <w:tblHeader/>
        </w:trPr>
        <w:tc>
          <w:tcPr>
            <w:tcW w:w="795"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2B412CDD" w14:textId="77777777" w:rsidR="002453E2" w:rsidRPr="0006152B" w:rsidRDefault="002453E2" w:rsidP="00081AFB">
            <w:pPr>
              <w:pStyle w:val="BodyText"/>
              <w:jc w:val="center"/>
              <w:rPr>
                <w:b/>
                <w:sz w:val="22"/>
              </w:rPr>
            </w:pPr>
            <w:r w:rsidRPr="0006152B">
              <w:rPr>
                <w:b/>
                <w:sz w:val="22"/>
              </w:rPr>
              <w:t>Information Collection</w:t>
            </w:r>
          </w:p>
        </w:tc>
        <w:tc>
          <w:tcPr>
            <w:tcW w:w="742"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7E62E01D" w14:textId="77777777" w:rsidR="002453E2" w:rsidRPr="0006152B" w:rsidRDefault="002453E2" w:rsidP="00081AFB">
            <w:pPr>
              <w:pStyle w:val="BodyText"/>
              <w:jc w:val="center"/>
              <w:rPr>
                <w:b/>
                <w:sz w:val="22"/>
              </w:rPr>
            </w:pPr>
            <w:r w:rsidRPr="0006152B">
              <w:rPr>
                <w:b/>
                <w:sz w:val="22"/>
              </w:rPr>
              <w:t>No. of Respondents</w:t>
            </w:r>
          </w:p>
        </w:tc>
        <w:tc>
          <w:tcPr>
            <w:tcW w:w="602" w:type="pct"/>
            <w:tcBorders>
              <w:top w:val="single" w:sz="4" w:space="0" w:color="auto"/>
              <w:left w:val="single" w:sz="4" w:space="0" w:color="auto"/>
              <w:bottom w:val="single" w:sz="4" w:space="0" w:color="auto"/>
              <w:right w:val="single" w:sz="4" w:space="0" w:color="auto"/>
            </w:tcBorders>
            <w:shd w:val="clear" w:color="auto" w:fill="EEECE1"/>
            <w:vAlign w:val="bottom"/>
          </w:tcPr>
          <w:p w14:paraId="323CC3D4" w14:textId="77777777" w:rsidR="002453E2" w:rsidRPr="0006152B" w:rsidRDefault="002453E2" w:rsidP="00081AFB">
            <w:pPr>
              <w:pStyle w:val="BodyText"/>
              <w:jc w:val="center"/>
              <w:rPr>
                <w:b/>
                <w:sz w:val="22"/>
              </w:rPr>
            </w:pPr>
            <w:r w:rsidRPr="0006152B">
              <w:rPr>
                <w:b/>
                <w:sz w:val="22"/>
              </w:rPr>
              <w:t>Frequency of Response</w:t>
            </w:r>
          </w:p>
        </w:tc>
        <w:tc>
          <w:tcPr>
            <w:tcW w:w="741"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60316944" w14:textId="77777777" w:rsidR="002453E2" w:rsidRPr="0006152B" w:rsidRDefault="002453E2" w:rsidP="00081AFB">
            <w:pPr>
              <w:pStyle w:val="BodyText"/>
              <w:jc w:val="center"/>
              <w:rPr>
                <w:b/>
                <w:sz w:val="22"/>
              </w:rPr>
            </w:pPr>
            <w:r w:rsidRPr="0006152B">
              <w:rPr>
                <w:b/>
                <w:sz w:val="22"/>
              </w:rPr>
              <w:t>Participation Time</w:t>
            </w:r>
          </w:p>
        </w:tc>
        <w:tc>
          <w:tcPr>
            <w:tcW w:w="463" w:type="pct"/>
            <w:tcBorders>
              <w:top w:val="single" w:sz="4" w:space="0" w:color="auto"/>
              <w:left w:val="single" w:sz="4" w:space="0" w:color="auto"/>
              <w:bottom w:val="single" w:sz="4" w:space="0" w:color="auto"/>
              <w:right w:val="single" w:sz="4" w:space="0" w:color="auto"/>
            </w:tcBorders>
            <w:shd w:val="clear" w:color="auto" w:fill="EEECE1"/>
            <w:vAlign w:val="bottom"/>
            <w:hideMark/>
          </w:tcPr>
          <w:p w14:paraId="62A039F5" w14:textId="77777777" w:rsidR="002453E2" w:rsidRPr="0006152B" w:rsidRDefault="002453E2" w:rsidP="00081AFB">
            <w:pPr>
              <w:pStyle w:val="BodyText"/>
              <w:jc w:val="center"/>
              <w:rPr>
                <w:b/>
                <w:sz w:val="22"/>
              </w:rPr>
            </w:pPr>
            <w:r w:rsidRPr="0006152B">
              <w:rPr>
                <w:b/>
                <w:sz w:val="22"/>
              </w:rPr>
              <w:t>Annual Hour Burden</w:t>
            </w:r>
          </w:p>
        </w:tc>
        <w:tc>
          <w:tcPr>
            <w:tcW w:w="926" w:type="pct"/>
            <w:tcBorders>
              <w:top w:val="single" w:sz="4" w:space="0" w:color="auto"/>
              <w:left w:val="single" w:sz="4" w:space="0" w:color="auto"/>
              <w:bottom w:val="single" w:sz="4" w:space="0" w:color="auto"/>
              <w:right w:val="single" w:sz="4" w:space="0" w:color="auto"/>
            </w:tcBorders>
            <w:shd w:val="clear" w:color="auto" w:fill="EEECE1"/>
            <w:vAlign w:val="bottom"/>
          </w:tcPr>
          <w:p w14:paraId="37DC4731" w14:textId="77777777" w:rsidR="002453E2" w:rsidRPr="0006152B" w:rsidRDefault="002453E2" w:rsidP="00081AFB">
            <w:pPr>
              <w:pStyle w:val="BodyText"/>
              <w:jc w:val="center"/>
              <w:rPr>
                <w:b/>
                <w:sz w:val="22"/>
              </w:rPr>
            </w:pPr>
            <w:r w:rsidRPr="0006152B">
              <w:rPr>
                <w:b/>
                <w:sz w:val="22"/>
              </w:rPr>
              <w:t>Wage Cost per Respondent</w:t>
            </w:r>
          </w:p>
        </w:tc>
        <w:tc>
          <w:tcPr>
            <w:tcW w:w="731" w:type="pct"/>
            <w:tcBorders>
              <w:top w:val="single" w:sz="4" w:space="0" w:color="auto"/>
              <w:left w:val="single" w:sz="4" w:space="0" w:color="auto"/>
              <w:bottom w:val="single" w:sz="4" w:space="0" w:color="auto"/>
              <w:right w:val="single" w:sz="4" w:space="0" w:color="auto"/>
            </w:tcBorders>
            <w:shd w:val="clear" w:color="auto" w:fill="EEECE1"/>
            <w:vAlign w:val="bottom"/>
          </w:tcPr>
          <w:p w14:paraId="18A3FED1" w14:textId="77777777" w:rsidR="002453E2" w:rsidRPr="0006152B" w:rsidRDefault="002453E2" w:rsidP="00081AFB">
            <w:pPr>
              <w:pStyle w:val="BodyText"/>
              <w:jc w:val="center"/>
              <w:rPr>
                <w:b/>
                <w:sz w:val="22"/>
              </w:rPr>
            </w:pPr>
            <w:r w:rsidRPr="0006152B">
              <w:rPr>
                <w:b/>
                <w:sz w:val="22"/>
              </w:rPr>
              <w:t>Annual Cost (Labor)</w:t>
            </w:r>
          </w:p>
        </w:tc>
      </w:tr>
      <w:tr w:rsidR="005E4284" w:rsidRPr="0006152B" w14:paraId="468A7D72" w14:textId="77777777" w:rsidTr="0006152B">
        <w:trPr>
          <w:cantSplit/>
          <w:trHeight w:val="274"/>
          <w:tblHeader/>
        </w:trPr>
        <w:tc>
          <w:tcPr>
            <w:tcW w:w="795" w:type="pct"/>
            <w:tcBorders>
              <w:top w:val="single" w:sz="4" w:space="0" w:color="auto"/>
              <w:left w:val="single" w:sz="4" w:space="0" w:color="auto"/>
              <w:bottom w:val="single" w:sz="4" w:space="0" w:color="auto"/>
              <w:right w:val="single" w:sz="4" w:space="0" w:color="auto"/>
            </w:tcBorders>
            <w:vAlign w:val="center"/>
            <w:hideMark/>
          </w:tcPr>
          <w:p w14:paraId="7070FC77" w14:textId="77777777" w:rsidR="002453E2" w:rsidRPr="0006152B" w:rsidRDefault="002453E2" w:rsidP="00081AFB">
            <w:pPr>
              <w:pStyle w:val="BodyText"/>
              <w:rPr>
                <w:b/>
                <w:sz w:val="22"/>
              </w:rPr>
            </w:pPr>
            <w:r w:rsidRPr="0006152B">
              <w:rPr>
                <w:b/>
                <w:sz w:val="22"/>
              </w:rPr>
              <w:t>Beneficiaries Surveys</w:t>
            </w:r>
          </w:p>
        </w:tc>
        <w:tc>
          <w:tcPr>
            <w:tcW w:w="742" w:type="pct"/>
            <w:tcBorders>
              <w:top w:val="single" w:sz="4" w:space="0" w:color="auto"/>
              <w:left w:val="single" w:sz="4" w:space="0" w:color="auto"/>
              <w:bottom w:val="single" w:sz="4" w:space="0" w:color="auto"/>
              <w:right w:val="single" w:sz="4" w:space="0" w:color="auto"/>
            </w:tcBorders>
            <w:vAlign w:val="center"/>
            <w:hideMark/>
          </w:tcPr>
          <w:p w14:paraId="399260AF" w14:textId="77777777" w:rsidR="002453E2" w:rsidRPr="0006152B" w:rsidRDefault="00EB5188" w:rsidP="00081AFB">
            <w:pPr>
              <w:pStyle w:val="BodyText"/>
              <w:jc w:val="center"/>
              <w:rPr>
                <w:sz w:val="22"/>
              </w:rPr>
            </w:pPr>
            <w:r w:rsidRPr="0006152B">
              <w:rPr>
                <w:sz w:val="22"/>
              </w:rPr>
              <w:t>1,400</w:t>
            </w:r>
          </w:p>
        </w:tc>
        <w:tc>
          <w:tcPr>
            <w:tcW w:w="602" w:type="pct"/>
            <w:tcBorders>
              <w:top w:val="single" w:sz="4" w:space="0" w:color="auto"/>
              <w:left w:val="single" w:sz="4" w:space="0" w:color="auto"/>
              <w:bottom w:val="single" w:sz="4" w:space="0" w:color="auto"/>
              <w:right w:val="single" w:sz="4" w:space="0" w:color="auto"/>
            </w:tcBorders>
            <w:vAlign w:val="center"/>
          </w:tcPr>
          <w:p w14:paraId="3F93F25D" w14:textId="77777777" w:rsidR="002453E2" w:rsidRPr="0006152B" w:rsidRDefault="002453E2" w:rsidP="00081AFB">
            <w:pPr>
              <w:pStyle w:val="BodyText"/>
              <w:jc w:val="center"/>
              <w:rPr>
                <w:sz w:val="22"/>
              </w:rPr>
            </w:pPr>
            <w:r w:rsidRPr="0006152B">
              <w:rPr>
                <w:sz w:val="22"/>
              </w:rPr>
              <w:t>1 time</w:t>
            </w:r>
          </w:p>
        </w:tc>
        <w:tc>
          <w:tcPr>
            <w:tcW w:w="741" w:type="pct"/>
            <w:tcBorders>
              <w:top w:val="single" w:sz="4" w:space="0" w:color="auto"/>
              <w:left w:val="single" w:sz="4" w:space="0" w:color="auto"/>
              <w:bottom w:val="single" w:sz="4" w:space="0" w:color="auto"/>
              <w:right w:val="single" w:sz="4" w:space="0" w:color="auto"/>
            </w:tcBorders>
            <w:vAlign w:val="center"/>
            <w:hideMark/>
          </w:tcPr>
          <w:p w14:paraId="29C5BCFE" w14:textId="77777777" w:rsidR="002453E2" w:rsidRPr="0006152B" w:rsidRDefault="002453E2" w:rsidP="00081AFB">
            <w:pPr>
              <w:pStyle w:val="BodyText"/>
              <w:jc w:val="center"/>
              <w:rPr>
                <w:sz w:val="22"/>
              </w:rPr>
            </w:pPr>
            <w:r w:rsidRPr="0006152B">
              <w:rPr>
                <w:sz w:val="22"/>
              </w:rPr>
              <w:t>.25 hours</w:t>
            </w:r>
          </w:p>
        </w:tc>
        <w:tc>
          <w:tcPr>
            <w:tcW w:w="463" w:type="pct"/>
            <w:tcBorders>
              <w:top w:val="single" w:sz="4" w:space="0" w:color="auto"/>
              <w:left w:val="single" w:sz="4" w:space="0" w:color="auto"/>
              <w:bottom w:val="single" w:sz="4" w:space="0" w:color="auto"/>
              <w:right w:val="single" w:sz="4" w:space="0" w:color="auto"/>
            </w:tcBorders>
            <w:vAlign w:val="center"/>
            <w:hideMark/>
          </w:tcPr>
          <w:p w14:paraId="21F022A2" w14:textId="77777777" w:rsidR="002453E2" w:rsidRPr="0006152B" w:rsidRDefault="00224B70" w:rsidP="00081AFB">
            <w:pPr>
              <w:pStyle w:val="BodyText"/>
              <w:jc w:val="center"/>
              <w:rPr>
                <w:sz w:val="22"/>
              </w:rPr>
            </w:pPr>
            <w:r w:rsidRPr="0006152B">
              <w:rPr>
                <w:sz w:val="22"/>
              </w:rPr>
              <w:t>350</w:t>
            </w:r>
            <w:r w:rsidR="002453E2" w:rsidRPr="0006152B">
              <w:rPr>
                <w:sz w:val="22"/>
              </w:rPr>
              <w:t xml:space="preserve"> hours</w:t>
            </w:r>
          </w:p>
        </w:tc>
        <w:tc>
          <w:tcPr>
            <w:tcW w:w="926" w:type="pct"/>
            <w:tcBorders>
              <w:top w:val="single" w:sz="4" w:space="0" w:color="auto"/>
              <w:left w:val="single" w:sz="4" w:space="0" w:color="auto"/>
              <w:bottom w:val="single" w:sz="4" w:space="0" w:color="auto"/>
              <w:right w:val="single" w:sz="4" w:space="0" w:color="auto"/>
            </w:tcBorders>
            <w:vAlign w:val="center"/>
          </w:tcPr>
          <w:p w14:paraId="146D69D6" w14:textId="412EB0ED" w:rsidR="002453E2" w:rsidRPr="0006152B" w:rsidRDefault="002453E2" w:rsidP="006377B7">
            <w:pPr>
              <w:pStyle w:val="BodyText"/>
              <w:jc w:val="center"/>
              <w:rPr>
                <w:sz w:val="22"/>
              </w:rPr>
            </w:pPr>
            <w:r w:rsidRPr="0006152B">
              <w:rPr>
                <w:sz w:val="22"/>
              </w:rPr>
              <w:t>$</w:t>
            </w:r>
            <w:r w:rsidR="0085174F">
              <w:rPr>
                <w:sz w:val="22"/>
              </w:rPr>
              <w:t>8.15</w:t>
            </w:r>
            <w:r w:rsidR="006377B7" w:rsidRPr="0006152B">
              <w:rPr>
                <w:sz w:val="22"/>
              </w:rPr>
              <w:t>-$</w:t>
            </w:r>
            <w:r w:rsidR="0085174F">
              <w:rPr>
                <w:sz w:val="22"/>
              </w:rPr>
              <w:t>39.84</w:t>
            </w:r>
            <w:r w:rsidRPr="0006152B">
              <w:rPr>
                <w:sz w:val="22"/>
              </w:rPr>
              <w:t>/h</w:t>
            </w:r>
            <w:r w:rsidR="00425BE4" w:rsidRPr="0006152B">
              <w:rPr>
                <w:sz w:val="22"/>
              </w:rPr>
              <w:t>our</w:t>
            </w:r>
          </w:p>
        </w:tc>
        <w:tc>
          <w:tcPr>
            <w:tcW w:w="731" w:type="pct"/>
            <w:tcBorders>
              <w:top w:val="single" w:sz="4" w:space="0" w:color="auto"/>
              <w:left w:val="single" w:sz="4" w:space="0" w:color="auto"/>
              <w:bottom w:val="single" w:sz="4" w:space="0" w:color="auto"/>
              <w:right w:val="single" w:sz="4" w:space="0" w:color="auto"/>
            </w:tcBorders>
            <w:vAlign w:val="center"/>
          </w:tcPr>
          <w:p w14:paraId="4481E712" w14:textId="52BCC6C7" w:rsidR="002453E2" w:rsidRPr="0006152B" w:rsidRDefault="002453E2" w:rsidP="006377B7">
            <w:pPr>
              <w:pStyle w:val="BodyText"/>
              <w:jc w:val="center"/>
              <w:rPr>
                <w:sz w:val="22"/>
              </w:rPr>
            </w:pPr>
            <w:r w:rsidRPr="0006152B">
              <w:rPr>
                <w:sz w:val="22"/>
              </w:rPr>
              <w:t>$</w:t>
            </w:r>
            <w:r w:rsidR="000B24F7">
              <w:rPr>
                <w:sz w:val="22"/>
              </w:rPr>
              <w:t>10,284</w:t>
            </w:r>
          </w:p>
        </w:tc>
      </w:tr>
      <w:tr w:rsidR="005E4284" w:rsidRPr="0006152B" w14:paraId="14F7660E" w14:textId="77777777" w:rsidTr="0006152B">
        <w:trPr>
          <w:cantSplit/>
          <w:trHeight w:val="274"/>
          <w:tblHeader/>
        </w:trPr>
        <w:tc>
          <w:tcPr>
            <w:tcW w:w="795" w:type="pct"/>
            <w:tcBorders>
              <w:top w:val="single" w:sz="4" w:space="0" w:color="auto"/>
              <w:left w:val="single" w:sz="4" w:space="0" w:color="auto"/>
              <w:bottom w:val="single" w:sz="4" w:space="0" w:color="auto"/>
              <w:right w:val="single" w:sz="4" w:space="0" w:color="auto"/>
            </w:tcBorders>
            <w:vAlign w:val="center"/>
          </w:tcPr>
          <w:p w14:paraId="49FB6B6F" w14:textId="77777777" w:rsidR="002453E2" w:rsidRPr="0006152B" w:rsidRDefault="002453E2" w:rsidP="00081AFB">
            <w:pPr>
              <w:pStyle w:val="BodyText"/>
              <w:rPr>
                <w:b/>
                <w:sz w:val="22"/>
              </w:rPr>
            </w:pPr>
            <w:r w:rsidRPr="0006152B">
              <w:rPr>
                <w:b/>
                <w:sz w:val="22"/>
              </w:rPr>
              <w:t>Focus Groups</w:t>
            </w:r>
          </w:p>
        </w:tc>
        <w:tc>
          <w:tcPr>
            <w:tcW w:w="742" w:type="pct"/>
            <w:tcBorders>
              <w:top w:val="single" w:sz="4" w:space="0" w:color="auto"/>
              <w:left w:val="single" w:sz="4" w:space="0" w:color="auto"/>
              <w:bottom w:val="single" w:sz="4" w:space="0" w:color="auto"/>
              <w:right w:val="single" w:sz="4" w:space="0" w:color="auto"/>
            </w:tcBorders>
            <w:vAlign w:val="center"/>
          </w:tcPr>
          <w:p w14:paraId="4D55662D" w14:textId="0DC49B03" w:rsidR="002453E2" w:rsidRPr="0006152B" w:rsidRDefault="006E2FFB" w:rsidP="00081AFB">
            <w:pPr>
              <w:pStyle w:val="BodyText"/>
              <w:jc w:val="center"/>
              <w:rPr>
                <w:sz w:val="22"/>
              </w:rPr>
            </w:pPr>
            <w:r>
              <w:rPr>
                <w:sz w:val="22"/>
              </w:rPr>
              <w:t>6</w:t>
            </w:r>
            <w:r w:rsidR="002453E2" w:rsidRPr="0006152B">
              <w:rPr>
                <w:sz w:val="22"/>
              </w:rPr>
              <w:t>0</w:t>
            </w:r>
          </w:p>
        </w:tc>
        <w:tc>
          <w:tcPr>
            <w:tcW w:w="602" w:type="pct"/>
            <w:tcBorders>
              <w:top w:val="single" w:sz="4" w:space="0" w:color="auto"/>
              <w:left w:val="single" w:sz="4" w:space="0" w:color="auto"/>
              <w:bottom w:val="single" w:sz="4" w:space="0" w:color="auto"/>
              <w:right w:val="single" w:sz="4" w:space="0" w:color="auto"/>
            </w:tcBorders>
            <w:vAlign w:val="center"/>
          </w:tcPr>
          <w:p w14:paraId="603DB8EB" w14:textId="77777777" w:rsidR="002453E2" w:rsidRPr="0006152B" w:rsidRDefault="002453E2" w:rsidP="00081AFB">
            <w:pPr>
              <w:pStyle w:val="BodyText"/>
              <w:jc w:val="center"/>
              <w:rPr>
                <w:sz w:val="22"/>
              </w:rPr>
            </w:pPr>
            <w:r w:rsidRPr="0006152B">
              <w:rPr>
                <w:sz w:val="22"/>
              </w:rPr>
              <w:t>1 time</w:t>
            </w:r>
          </w:p>
        </w:tc>
        <w:tc>
          <w:tcPr>
            <w:tcW w:w="741" w:type="pct"/>
            <w:tcBorders>
              <w:top w:val="single" w:sz="4" w:space="0" w:color="auto"/>
              <w:left w:val="single" w:sz="4" w:space="0" w:color="auto"/>
              <w:bottom w:val="single" w:sz="4" w:space="0" w:color="auto"/>
              <w:right w:val="single" w:sz="4" w:space="0" w:color="auto"/>
            </w:tcBorders>
            <w:vAlign w:val="center"/>
          </w:tcPr>
          <w:p w14:paraId="3AEBF0C7" w14:textId="77777777" w:rsidR="002453E2" w:rsidRPr="0006152B" w:rsidRDefault="002453E2" w:rsidP="00081AFB">
            <w:pPr>
              <w:pStyle w:val="BodyText"/>
              <w:jc w:val="center"/>
              <w:rPr>
                <w:sz w:val="22"/>
              </w:rPr>
            </w:pPr>
            <w:r w:rsidRPr="0006152B">
              <w:rPr>
                <w:sz w:val="22"/>
              </w:rPr>
              <w:t>3 hours</w:t>
            </w:r>
          </w:p>
        </w:tc>
        <w:tc>
          <w:tcPr>
            <w:tcW w:w="463" w:type="pct"/>
            <w:tcBorders>
              <w:top w:val="single" w:sz="4" w:space="0" w:color="auto"/>
              <w:left w:val="single" w:sz="4" w:space="0" w:color="auto"/>
              <w:bottom w:val="single" w:sz="4" w:space="0" w:color="auto"/>
              <w:right w:val="single" w:sz="4" w:space="0" w:color="auto"/>
            </w:tcBorders>
            <w:vAlign w:val="center"/>
          </w:tcPr>
          <w:p w14:paraId="0880E13B" w14:textId="4A7B6BAD" w:rsidR="002453E2" w:rsidRPr="0006152B" w:rsidRDefault="002453E2" w:rsidP="00081AFB">
            <w:pPr>
              <w:pStyle w:val="BodyText"/>
              <w:jc w:val="center"/>
              <w:rPr>
                <w:sz w:val="22"/>
              </w:rPr>
            </w:pPr>
            <w:r w:rsidRPr="0006152B">
              <w:rPr>
                <w:sz w:val="22"/>
              </w:rPr>
              <w:t>1</w:t>
            </w:r>
            <w:r w:rsidR="006E2FFB">
              <w:rPr>
                <w:sz w:val="22"/>
              </w:rPr>
              <w:t>8</w:t>
            </w:r>
            <w:r w:rsidRPr="0006152B">
              <w:rPr>
                <w:sz w:val="22"/>
              </w:rPr>
              <w:t>0 hours</w:t>
            </w:r>
          </w:p>
        </w:tc>
        <w:tc>
          <w:tcPr>
            <w:tcW w:w="926" w:type="pct"/>
            <w:tcBorders>
              <w:top w:val="single" w:sz="4" w:space="0" w:color="auto"/>
              <w:left w:val="single" w:sz="4" w:space="0" w:color="auto"/>
              <w:bottom w:val="single" w:sz="4" w:space="0" w:color="auto"/>
              <w:right w:val="single" w:sz="4" w:space="0" w:color="auto"/>
            </w:tcBorders>
            <w:vAlign w:val="center"/>
          </w:tcPr>
          <w:p w14:paraId="534D4D3A" w14:textId="1C995F59" w:rsidR="002453E2" w:rsidRPr="0006152B" w:rsidRDefault="002453E2" w:rsidP="006377B7">
            <w:pPr>
              <w:pStyle w:val="BodyText"/>
              <w:jc w:val="center"/>
              <w:rPr>
                <w:sz w:val="22"/>
              </w:rPr>
            </w:pPr>
            <w:r w:rsidRPr="0006152B">
              <w:rPr>
                <w:sz w:val="22"/>
              </w:rPr>
              <w:t>$</w:t>
            </w:r>
            <w:r w:rsidR="0085174F">
              <w:rPr>
                <w:sz w:val="22"/>
              </w:rPr>
              <w:t>8.15</w:t>
            </w:r>
            <w:r w:rsidR="006377B7" w:rsidRPr="0006152B">
              <w:rPr>
                <w:sz w:val="22"/>
              </w:rPr>
              <w:t>-$</w:t>
            </w:r>
            <w:r w:rsidR="0085174F">
              <w:rPr>
                <w:sz w:val="22"/>
              </w:rPr>
              <w:t>39.84</w:t>
            </w:r>
            <w:r w:rsidRPr="0006152B">
              <w:rPr>
                <w:sz w:val="22"/>
              </w:rPr>
              <w:t>/h</w:t>
            </w:r>
            <w:r w:rsidR="00425BE4" w:rsidRPr="0006152B">
              <w:rPr>
                <w:sz w:val="22"/>
              </w:rPr>
              <w:t>our</w:t>
            </w:r>
          </w:p>
        </w:tc>
        <w:tc>
          <w:tcPr>
            <w:tcW w:w="731" w:type="pct"/>
            <w:tcBorders>
              <w:top w:val="single" w:sz="4" w:space="0" w:color="auto"/>
              <w:left w:val="single" w:sz="4" w:space="0" w:color="auto"/>
              <w:bottom w:val="single" w:sz="4" w:space="0" w:color="auto"/>
              <w:right w:val="single" w:sz="4" w:space="0" w:color="auto"/>
            </w:tcBorders>
            <w:vAlign w:val="center"/>
          </w:tcPr>
          <w:p w14:paraId="57989E22" w14:textId="1FF8528A" w:rsidR="002453E2" w:rsidRPr="0006152B" w:rsidRDefault="002453E2" w:rsidP="003D317A">
            <w:pPr>
              <w:pStyle w:val="BodyText"/>
              <w:jc w:val="center"/>
              <w:rPr>
                <w:sz w:val="22"/>
              </w:rPr>
            </w:pPr>
            <w:r w:rsidRPr="0006152B">
              <w:rPr>
                <w:sz w:val="22"/>
              </w:rPr>
              <w:t>$</w:t>
            </w:r>
            <w:r w:rsidR="000B24F7" w:rsidRPr="000B24F7">
              <w:rPr>
                <w:sz w:val="22"/>
              </w:rPr>
              <w:t>4,890</w:t>
            </w:r>
          </w:p>
        </w:tc>
      </w:tr>
      <w:tr w:rsidR="005E4284" w:rsidRPr="0006152B" w14:paraId="13FA29A8" w14:textId="77777777" w:rsidTr="0006152B">
        <w:trPr>
          <w:cantSplit/>
          <w:trHeight w:val="274"/>
          <w:tblHeader/>
        </w:trPr>
        <w:tc>
          <w:tcPr>
            <w:tcW w:w="795" w:type="pct"/>
            <w:tcBorders>
              <w:top w:val="single" w:sz="4" w:space="0" w:color="auto"/>
              <w:left w:val="single" w:sz="4" w:space="0" w:color="auto"/>
              <w:bottom w:val="single" w:sz="4" w:space="0" w:color="auto"/>
              <w:right w:val="single" w:sz="4" w:space="0" w:color="auto"/>
            </w:tcBorders>
            <w:vAlign w:val="center"/>
          </w:tcPr>
          <w:p w14:paraId="7212E98B" w14:textId="77777777" w:rsidR="002453E2" w:rsidRPr="0006152B" w:rsidRDefault="002453E2" w:rsidP="00081AFB">
            <w:pPr>
              <w:pStyle w:val="BodyText"/>
              <w:rPr>
                <w:b/>
                <w:sz w:val="22"/>
              </w:rPr>
            </w:pPr>
            <w:r w:rsidRPr="0006152B">
              <w:rPr>
                <w:b/>
                <w:sz w:val="22"/>
              </w:rPr>
              <w:t>Informational Interviews</w:t>
            </w:r>
          </w:p>
        </w:tc>
        <w:tc>
          <w:tcPr>
            <w:tcW w:w="742" w:type="pct"/>
            <w:tcBorders>
              <w:top w:val="single" w:sz="4" w:space="0" w:color="auto"/>
              <w:left w:val="single" w:sz="4" w:space="0" w:color="auto"/>
              <w:bottom w:val="single" w:sz="4" w:space="0" w:color="auto"/>
              <w:right w:val="single" w:sz="4" w:space="0" w:color="auto"/>
            </w:tcBorders>
            <w:vAlign w:val="center"/>
          </w:tcPr>
          <w:p w14:paraId="5A967E1E" w14:textId="4320743D" w:rsidR="002453E2" w:rsidRPr="0006152B" w:rsidRDefault="00796C25" w:rsidP="00081AFB">
            <w:pPr>
              <w:pStyle w:val="BodyText"/>
              <w:jc w:val="center"/>
              <w:rPr>
                <w:sz w:val="22"/>
              </w:rPr>
            </w:pPr>
            <w:r>
              <w:rPr>
                <w:sz w:val="22"/>
              </w:rPr>
              <w:t>25</w:t>
            </w:r>
          </w:p>
        </w:tc>
        <w:tc>
          <w:tcPr>
            <w:tcW w:w="602" w:type="pct"/>
            <w:tcBorders>
              <w:top w:val="single" w:sz="4" w:space="0" w:color="auto"/>
              <w:left w:val="single" w:sz="4" w:space="0" w:color="auto"/>
              <w:bottom w:val="single" w:sz="4" w:space="0" w:color="auto"/>
              <w:right w:val="single" w:sz="4" w:space="0" w:color="auto"/>
            </w:tcBorders>
            <w:vAlign w:val="center"/>
          </w:tcPr>
          <w:p w14:paraId="5A713238" w14:textId="77777777" w:rsidR="002453E2" w:rsidRPr="0006152B" w:rsidRDefault="002453E2" w:rsidP="00081AFB">
            <w:pPr>
              <w:pStyle w:val="BodyText"/>
              <w:jc w:val="center"/>
              <w:rPr>
                <w:sz w:val="22"/>
              </w:rPr>
            </w:pPr>
            <w:r w:rsidRPr="0006152B">
              <w:rPr>
                <w:sz w:val="22"/>
              </w:rPr>
              <w:t>1 time</w:t>
            </w:r>
          </w:p>
        </w:tc>
        <w:tc>
          <w:tcPr>
            <w:tcW w:w="741" w:type="pct"/>
            <w:tcBorders>
              <w:top w:val="single" w:sz="4" w:space="0" w:color="auto"/>
              <w:left w:val="single" w:sz="4" w:space="0" w:color="auto"/>
              <w:bottom w:val="single" w:sz="4" w:space="0" w:color="auto"/>
              <w:right w:val="single" w:sz="4" w:space="0" w:color="auto"/>
            </w:tcBorders>
            <w:vAlign w:val="center"/>
          </w:tcPr>
          <w:p w14:paraId="43A068B5" w14:textId="77777777" w:rsidR="002453E2" w:rsidRPr="0006152B" w:rsidRDefault="002453E2" w:rsidP="00081AFB">
            <w:pPr>
              <w:pStyle w:val="BodyText"/>
              <w:jc w:val="center"/>
              <w:rPr>
                <w:sz w:val="22"/>
              </w:rPr>
            </w:pPr>
            <w:r w:rsidRPr="0006152B">
              <w:rPr>
                <w:sz w:val="22"/>
              </w:rPr>
              <w:t>1.5 hours</w:t>
            </w:r>
          </w:p>
        </w:tc>
        <w:tc>
          <w:tcPr>
            <w:tcW w:w="463" w:type="pct"/>
            <w:tcBorders>
              <w:top w:val="single" w:sz="4" w:space="0" w:color="auto"/>
              <w:left w:val="single" w:sz="4" w:space="0" w:color="auto"/>
              <w:bottom w:val="single" w:sz="4" w:space="0" w:color="auto"/>
              <w:right w:val="single" w:sz="4" w:space="0" w:color="auto"/>
            </w:tcBorders>
            <w:vAlign w:val="center"/>
          </w:tcPr>
          <w:p w14:paraId="7BDDC3D6" w14:textId="4F18327C" w:rsidR="002453E2" w:rsidRPr="0006152B" w:rsidRDefault="00796C25" w:rsidP="00081AFB">
            <w:pPr>
              <w:pStyle w:val="BodyText"/>
              <w:jc w:val="center"/>
              <w:rPr>
                <w:sz w:val="22"/>
              </w:rPr>
            </w:pPr>
            <w:r>
              <w:rPr>
                <w:sz w:val="22"/>
              </w:rPr>
              <w:t>37.5</w:t>
            </w:r>
            <w:r w:rsidR="002453E2" w:rsidRPr="0006152B">
              <w:rPr>
                <w:sz w:val="22"/>
              </w:rPr>
              <w:t xml:space="preserve"> hours</w:t>
            </w:r>
          </w:p>
        </w:tc>
        <w:tc>
          <w:tcPr>
            <w:tcW w:w="926" w:type="pct"/>
            <w:tcBorders>
              <w:top w:val="single" w:sz="4" w:space="0" w:color="auto"/>
              <w:left w:val="single" w:sz="4" w:space="0" w:color="auto"/>
              <w:bottom w:val="single" w:sz="4" w:space="0" w:color="auto"/>
              <w:right w:val="single" w:sz="4" w:space="0" w:color="auto"/>
            </w:tcBorders>
            <w:vAlign w:val="center"/>
          </w:tcPr>
          <w:p w14:paraId="05AEF204" w14:textId="0901EDC6" w:rsidR="002453E2" w:rsidRPr="0006152B" w:rsidRDefault="002453E2" w:rsidP="006377B7">
            <w:pPr>
              <w:pStyle w:val="BodyText"/>
              <w:jc w:val="center"/>
              <w:rPr>
                <w:sz w:val="22"/>
              </w:rPr>
            </w:pPr>
            <w:r w:rsidRPr="0006152B">
              <w:rPr>
                <w:sz w:val="22"/>
              </w:rPr>
              <w:t>$</w:t>
            </w:r>
            <w:r w:rsidR="0085174F">
              <w:rPr>
                <w:sz w:val="22"/>
              </w:rPr>
              <w:t>93.38</w:t>
            </w:r>
            <w:r w:rsidRPr="0006152B">
              <w:rPr>
                <w:sz w:val="22"/>
              </w:rPr>
              <w:t>/h</w:t>
            </w:r>
            <w:r w:rsidR="00425BE4" w:rsidRPr="0006152B">
              <w:rPr>
                <w:sz w:val="22"/>
              </w:rPr>
              <w:t>our</w:t>
            </w:r>
          </w:p>
        </w:tc>
        <w:tc>
          <w:tcPr>
            <w:tcW w:w="731" w:type="pct"/>
            <w:tcBorders>
              <w:top w:val="single" w:sz="4" w:space="0" w:color="auto"/>
              <w:left w:val="single" w:sz="4" w:space="0" w:color="auto"/>
              <w:bottom w:val="single" w:sz="4" w:space="0" w:color="auto"/>
              <w:right w:val="single" w:sz="4" w:space="0" w:color="auto"/>
            </w:tcBorders>
            <w:vAlign w:val="center"/>
          </w:tcPr>
          <w:p w14:paraId="23872DF1" w14:textId="14833B59" w:rsidR="002453E2" w:rsidRPr="0006152B" w:rsidRDefault="000B24F7" w:rsidP="006377B7">
            <w:pPr>
              <w:pStyle w:val="BodyText"/>
              <w:jc w:val="center"/>
              <w:rPr>
                <w:sz w:val="22"/>
              </w:rPr>
            </w:pPr>
            <w:r>
              <w:rPr>
                <w:sz w:val="22"/>
              </w:rPr>
              <w:t>$3,502</w:t>
            </w:r>
          </w:p>
        </w:tc>
      </w:tr>
      <w:tr w:rsidR="005E4284" w:rsidRPr="0006152B" w14:paraId="0D73A94E" w14:textId="77777777" w:rsidTr="0006152B">
        <w:trPr>
          <w:cantSplit/>
          <w:trHeight w:val="289"/>
          <w:tblHeader/>
        </w:trPr>
        <w:tc>
          <w:tcPr>
            <w:tcW w:w="7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1CC0DC" w14:textId="77777777" w:rsidR="002453E2" w:rsidRPr="0006152B" w:rsidRDefault="002453E2" w:rsidP="00081AFB">
            <w:pPr>
              <w:pStyle w:val="BodyText"/>
              <w:rPr>
                <w:b/>
                <w:sz w:val="22"/>
              </w:rPr>
            </w:pPr>
            <w:r w:rsidRPr="0006152B">
              <w:rPr>
                <w:b/>
                <w:sz w:val="22"/>
              </w:rPr>
              <w:t>Totals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1FA5EC" w14:textId="63643ED1" w:rsidR="002453E2" w:rsidRPr="00C7671A" w:rsidRDefault="00224B70" w:rsidP="00081AFB">
            <w:pPr>
              <w:pStyle w:val="BodyText"/>
              <w:jc w:val="center"/>
              <w:rPr>
                <w:sz w:val="22"/>
              </w:rPr>
            </w:pPr>
            <w:r w:rsidRPr="00C7671A">
              <w:rPr>
                <w:sz w:val="22"/>
              </w:rPr>
              <w:t>1,4</w:t>
            </w:r>
            <w:r w:rsidR="00796C25">
              <w:rPr>
                <w:sz w:val="22"/>
              </w:rPr>
              <w:t>85</w:t>
            </w:r>
          </w:p>
        </w:tc>
        <w:tc>
          <w:tcPr>
            <w:tcW w:w="602" w:type="pct"/>
            <w:tcBorders>
              <w:top w:val="single" w:sz="4" w:space="0" w:color="auto"/>
              <w:left w:val="single" w:sz="4" w:space="0" w:color="auto"/>
              <w:bottom w:val="single" w:sz="4" w:space="0" w:color="auto"/>
              <w:right w:val="single" w:sz="4" w:space="0" w:color="auto"/>
            </w:tcBorders>
            <w:shd w:val="clear" w:color="auto" w:fill="FFFFFF"/>
            <w:vAlign w:val="center"/>
          </w:tcPr>
          <w:p w14:paraId="122CF4BA" w14:textId="77777777" w:rsidR="002453E2" w:rsidRPr="00C7671A" w:rsidRDefault="002453E2" w:rsidP="00081AFB">
            <w:pPr>
              <w:pStyle w:val="BodyText"/>
              <w:jc w:val="center"/>
              <w:rPr>
                <w:sz w:val="22"/>
              </w:rPr>
            </w:pPr>
            <w:r w:rsidRPr="00C7671A">
              <w:rPr>
                <w:sz w:val="22"/>
              </w:rPr>
              <w:t>1 time</w:t>
            </w:r>
          </w:p>
        </w:tc>
        <w:tc>
          <w:tcPr>
            <w:tcW w:w="741" w:type="pct"/>
            <w:tcBorders>
              <w:top w:val="single" w:sz="4" w:space="0" w:color="auto"/>
              <w:left w:val="single" w:sz="4" w:space="0" w:color="auto"/>
              <w:bottom w:val="single" w:sz="4" w:space="0" w:color="auto"/>
              <w:right w:val="single" w:sz="4" w:space="0" w:color="auto"/>
            </w:tcBorders>
            <w:shd w:val="clear" w:color="auto" w:fill="FFFFFF"/>
            <w:vAlign w:val="center"/>
          </w:tcPr>
          <w:p w14:paraId="61B53A91" w14:textId="77777777" w:rsidR="002453E2" w:rsidRPr="00C7671A" w:rsidRDefault="002453E2" w:rsidP="00081AFB">
            <w:pPr>
              <w:pStyle w:val="BodyText"/>
              <w:jc w:val="center"/>
              <w:rPr>
                <w:sz w:val="22"/>
              </w:rPr>
            </w:pPr>
            <w:r w:rsidRPr="00C7671A">
              <w:rPr>
                <w:sz w:val="22"/>
              </w:rPr>
              <w:t>4.75 hours</w:t>
            </w:r>
          </w:p>
        </w:tc>
        <w:tc>
          <w:tcPr>
            <w:tcW w:w="4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94B2F5" w14:textId="17CAD249" w:rsidR="002453E2" w:rsidRPr="00C7671A" w:rsidRDefault="00796C25" w:rsidP="00081AFB">
            <w:pPr>
              <w:pStyle w:val="BodyText"/>
              <w:jc w:val="center"/>
              <w:rPr>
                <w:sz w:val="22"/>
              </w:rPr>
            </w:pPr>
            <w:r>
              <w:rPr>
                <w:sz w:val="22"/>
              </w:rPr>
              <w:t>567.5</w:t>
            </w:r>
            <w:r w:rsidR="002453E2" w:rsidRPr="00C7671A">
              <w:rPr>
                <w:sz w:val="22"/>
              </w:rPr>
              <w:t xml:space="preserve"> hours</w:t>
            </w:r>
          </w:p>
        </w:tc>
        <w:tc>
          <w:tcPr>
            <w:tcW w:w="926" w:type="pct"/>
            <w:tcBorders>
              <w:top w:val="single" w:sz="4" w:space="0" w:color="auto"/>
              <w:left w:val="single" w:sz="4" w:space="0" w:color="auto"/>
              <w:bottom w:val="single" w:sz="4" w:space="0" w:color="auto"/>
              <w:right w:val="single" w:sz="4" w:space="0" w:color="auto"/>
            </w:tcBorders>
            <w:shd w:val="clear" w:color="auto" w:fill="FFFFFF"/>
            <w:vAlign w:val="center"/>
          </w:tcPr>
          <w:p w14:paraId="020324F8" w14:textId="0D9CB696" w:rsidR="003D317A" w:rsidRPr="00C7671A" w:rsidRDefault="002453E2" w:rsidP="00E64EF1">
            <w:pPr>
              <w:pStyle w:val="BodyText"/>
              <w:jc w:val="center"/>
              <w:rPr>
                <w:sz w:val="22"/>
              </w:rPr>
            </w:pPr>
            <w:r w:rsidRPr="00C7671A">
              <w:rPr>
                <w:sz w:val="22"/>
              </w:rPr>
              <w:t>$</w:t>
            </w:r>
            <w:r w:rsidR="0085174F">
              <w:rPr>
                <w:sz w:val="22"/>
              </w:rPr>
              <w:t>8.15</w:t>
            </w:r>
            <w:r w:rsidR="003D317A" w:rsidRPr="00C7671A">
              <w:rPr>
                <w:sz w:val="22"/>
              </w:rPr>
              <w:t>/hour</w:t>
            </w:r>
          </w:p>
          <w:p w14:paraId="388FDC30" w14:textId="6448D30E" w:rsidR="003D317A" w:rsidRPr="00C7671A" w:rsidRDefault="003D317A" w:rsidP="00E64EF1">
            <w:pPr>
              <w:pStyle w:val="BodyText"/>
              <w:jc w:val="center"/>
              <w:rPr>
                <w:sz w:val="22"/>
              </w:rPr>
            </w:pPr>
            <w:r w:rsidRPr="00C7671A">
              <w:rPr>
                <w:sz w:val="22"/>
              </w:rPr>
              <w:t>$</w:t>
            </w:r>
            <w:r w:rsidR="0085174F">
              <w:rPr>
                <w:sz w:val="22"/>
              </w:rPr>
              <w:t>39.84</w:t>
            </w:r>
            <w:r w:rsidRPr="00C7671A">
              <w:rPr>
                <w:sz w:val="22"/>
              </w:rPr>
              <w:t>/hour</w:t>
            </w:r>
          </w:p>
          <w:p w14:paraId="63A21228" w14:textId="148745EC" w:rsidR="002453E2" w:rsidRPr="00C7671A" w:rsidRDefault="00425BE4" w:rsidP="00E64EF1">
            <w:pPr>
              <w:pStyle w:val="BodyText"/>
              <w:jc w:val="center"/>
              <w:rPr>
                <w:sz w:val="22"/>
              </w:rPr>
            </w:pPr>
            <w:r w:rsidRPr="00C7671A">
              <w:rPr>
                <w:sz w:val="22"/>
              </w:rPr>
              <w:t>$</w:t>
            </w:r>
            <w:r w:rsidR="0085174F">
              <w:rPr>
                <w:sz w:val="22"/>
              </w:rPr>
              <w:t>93.38</w:t>
            </w:r>
            <w:r w:rsidR="002453E2" w:rsidRPr="00C7671A">
              <w:rPr>
                <w:sz w:val="22"/>
              </w:rPr>
              <w:t>/h</w:t>
            </w:r>
            <w:r w:rsidRPr="00C7671A">
              <w:rPr>
                <w:sz w:val="22"/>
              </w:rPr>
              <w:t>our</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14:paraId="5B9F685D" w14:textId="0DA5AA8A" w:rsidR="002453E2" w:rsidRPr="00C7671A" w:rsidRDefault="002453E2" w:rsidP="008B7119">
            <w:pPr>
              <w:pStyle w:val="BodyText"/>
              <w:jc w:val="center"/>
              <w:rPr>
                <w:sz w:val="22"/>
              </w:rPr>
            </w:pPr>
            <w:r w:rsidRPr="00C7671A">
              <w:rPr>
                <w:sz w:val="22"/>
              </w:rPr>
              <w:t>$</w:t>
            </w:r>
            <w:r w:rsidR="000B24F7">
              <w:rPr>
                <w:sz w:val="22"/>
              </w:rPr>
              <w:t>18,676</w:t>
            </w:r>
          </w:p>
        </w:tc>
      </w:tr>
    </w:tbl>
    <w:p w14:paraId="2932CFEE" w14:textId="77777777" w:rsidR="002453E2" w:rsidRDefault="002453E2" w:rsidP="002453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CF6AED" w14:textId="77777777" w:rsidR="008F1EB4" w:rsidRPr="00181F3C" w:rsidRDefault="008F1EB4" w:rsidP="00081AFB">
      <w:pPr>
        <w:pStyle w:val="Heading3"/>
      </w:pPr>
      <w:r w:rsidRPr="00181F3C">
        <w:t>13.</w:t>
      </w:r>
      <w:r w:rsidRPr="00181F3C">
        <w:tab/>
        <w:t>Capital Costs</w:t>
      </w:r>
    </w:p>
    <w:p w14:paraId="4AE42CB9" w14:textId="77777777" w:rsidR="00D11CA2" w:rsidRPr="00181F3C" w:rsidRDefault="00D11CA2" w:rsidP="00081AFB">
      <w:pPr>
        <w:pStyle w:val="BodyText"/>
      </w:pPr>
    </w:p>
    <w:p w14:paraId="006AAFD5" w14:textId="77777777" w:rsidR="00181F3C" w:rsidRPr="00181F3C" w:rsidRDefault="00181F3C" w:rsidP="00181F3C">
      <w:pPr>
        <w:pStyle w:val="BodyText"/>
      </w:pPr>
      <w:r w:rsidRPr="00181F3C">
        <w:t>There will be no capital, operating, or maintenance costs to the respondents.</w:t>
      </w:r>
    </w:p>
    <w:p w14:paraId="1D759B98" w14:textId="77777777" w:rsidR="00081AFB" w:rsidRPr="00081AFB" w:rsidRDefault="00081AFB" w:rsidP="00081AFB">
      <w:pPr>
        <w:pStyle w:val="BodyText"/>
      </w:pPr>
    </w:p>
    <w:p w14:paraId="26D3A7F9" w14:textId="77777777" w:rsidR="008F1EB4" w:rsidRPr="000A2A8F" w:rsidRDefault="008F1EB4" w:rsidP="00081AFB">
      <w:pPr>
        <w:pStyle w:val="Heading3"/>
      </w:pPr>
      <w:r w:rsidRPr="000A2A8F">
        <w:lastRenderedPageBreak/>
        <w:t>14.</w:t>
      </w:r>
      <w:r w:rsidRPr="000A2A8F">
        <w:tab/>
        <w:t>Cost to Federal Government</w:t>
      </w:r>
    </w:p>
    <w:p w14:paraId="6F4C5EBB" w14:textId="77777777" w:rsidR="00181F3C" w:rsidRPr="00281802" w:rsidRDefault="00181F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1F497D"/>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440"/>
        <w:gridCol w:w="2160"/>
        <w:gridCol w:w="1710"/>
      </w:tblGrid>
      <w:tr w:rsidR="00081AFB" w:rsidRPr="0006152B" w14:paraId="63276E54" w14:textId="77777777" w:rsidTr="0006152B">
        <w:trPr>
          <w:cantSplit/>
          <w:tblHeader/>
        </w:trPr>
        <w:tc>
          <w:tcPr>
            <w:tcW w:w="4320" w:type="dxa"/>
            <w:shd w:val="clear" w:color="auto" w:fill="EEECE1"/>
            <w:vAlign w:val="bottom"/>
          </w:tcPr>
          <w:p w14:paraId="4B3C0A59" w14:textId="77777777" w:rsidR="002453E2" w:rsidRPr="0006152B" w:rsidRDefault="002453E2" w:rsidP="00081AFB">
            <w:pPr>
              <w:pStyle w:val="BodyText"/>
              <w:rPr>
                <w:b/>
                <w:sz w:val="22"/>
              </w:rPr>
            </w:pPr>
            <w:r w:rsidRPr="0006152B">
              <w:rPr>
                <w:b/>
                <w:sz w:val="22"/>
              </w:rPr>
              <w:t>Items 12, 13, &amp; 14</w:t>
            </w:r>
          </w:p>
        </w:tc>
        <w:tc>
          <w:tcPr>
            <w:tcW w:w="1440" w:type="dxa"/>
            <w:shd w:val="clear" w:color="auto" w:fill="EEECE1"/>
            <w:vAlign w:val="bottom"/>
          </w:tcPr>
          <w:p w14:paraId="5965C941" w14:textId="77777777" w:rsidR="002453E2" w:rsidRPr="0006152B" w:rsidRDefault="002453E2" w:rsidP="00081AFB">
            <w:pPr>
              <w:pStyle w:val="BodyText"/>
              <w:jc w:val="center"/>
              <w:rPr>
                <w:b/>
                <w:sz w:val="22"/>
              </w:rPr>
            </w:pPr>
            <w:r w:rsidRPr="0006152B">
              <w:rPr>
                <w:b/>
                <w:sz w:val="22"/>
              </w:rPr>
              <w:t>Survey</w:t>
            </w:r>
          </w:p>
        </w:tc>
        <w:tc>
          <w:tcPr>
            <w:tcW w:w="2160" w:type="dxa"/>
            <w:shd w:val="clear" w:color="auto" w:fill="EEECE1"/>
            <w:vAlign w:val="bottom"/>
          </w:tcPr>
          <w:p w14:paraId="30E6A30C" w14:textId="77777777" w:rsidR="002453E2" w:rsidRPr="0006152B" w:rsidRDefault="002453E2" w:rsidP="00081AFB">
            <w:pPr>
              <w:pStyle w:val="BodyText"/>
              <w:jc w:val="center"/>
              <w:rPr>
                <w:b/>
                <w:sz w:val="22"/>
              </w:rPr>
            </w:pPr>
            <w:r w:rsidRPr="0006152B">
              <w:rPr>
                <w:b/>
                <w:sz w:val="22"/>
              </w:rPr>
              <w:t>Focus Groups and Informational Interviews/</w:t>
            </w:r>
            <w:r w:rsidR="00081AFB" w:rsidRPr="0006152B">
              <w:rPr>
                <w:b/>
                <w:sz w:val="22"/>
              </w:rPr>
              <w:br/>
            </w:r>
            <w:r w:rsidRPr="0006152B">
              <w:rPr>
                <w:b/>
                <w:sz w:val="22"/>
              </w:rPr>
              <w:t>Site Visit</w:t>
            </w:r>
          </w:p>
        </w:tc>
        <w:tc>
          <w:tcPr>
            <w:tcW w:w="1710" w:type="dxa"/>
            <w:shd w:val="clear" w:color="auto" w:fill="EEECE1"/>
            <w:vAlign w:val="bottom"/>
          </w:tcPr>
          <w:p w14:paraId="1B09D46F" w14:textId="77777777" w:rsidR="002453E2" w:rsidRPr="0006152B" w:rsidRDefault="002453E2" w:rsidP="00081AFB">
            <w:pPr>
              <w:pStyle w:val="BodyText"/>
              <w:jc w:val="center"/>
              <w:rPr>
                <w:b/>
                <w:sz w:val="22"/>
              </w:rPr>
            </w:pPr>
            <w:r w:rsidRPr="0006152B">
              <w:rPr>
                <w:b/>
                <w:sz w:val="22"/>
              </w:rPr>
              <w:t>Total by Type</w:t>
            </w:r>
          </w:p>
        </w:tc>
      </w:tr>
      <w:tr w:rsidR="00081AFB" w:rsidRPr="0006152B" w14:paraId="10CCAA0C" w14:textId="77777777" w:rsidTr="0006152B">
        <w:trPr>
          <w:cantSplit/>
          <w:tblHeader/>
        </w:trPr>
        <w:tc>
          <w:tcPr>
            <w:tcW w:w="4320" w:type="dxa"/>
            <w:shd w:val="clear" w:color="auto" w:fill="auto"/>
            <w:vAlign w:val="center"/>
          </w:tcPr>
          <w:p w14:paraId="7AC07BB5" w14:textId="77777777" w:rsidR="002453E2" w:rsidRPr="0006152B" w:rsidRDefault="002453E2" w:rsidP="00081AFB">
            <w:pPr>
              <w:pStyle w:val="BodyText"/>
              <w:rPr>
                <w:b/>
                <w:sz w:val="22"/>
              </w:rPr>
            </w:pPr>
            <w:r w:rsidRPr="0006152B">
              <w:rPr>
                <w:b/>
                <w:sz w:val="22"/>
              </w:rPr>
              <w:t>Annual Hours and Wage Cost Burden</w:t>
            </w:r>
          </w:p>
        </w:tc>
        <w:tc>
          <w:tcPr>
            <w:tcW w:w="1440" w:type="dxa"/>
            <w:shd w:val="clear" w:color="auto" w:fill="auto"/>
            <w:vAlign w:val="center"/>
          </w:tcPr>
          <w:p w14:paraId="4556BDDF" w14:textId="5A78DE51" w:rsidR="002453E2" w:rsidRPr="0006152B" w:rsidRDefault="002453E2" w:rsidP="001D3007">
            <w:pPr>
              <w:pStyle w:val="BodyText"/>
              <w:jc w:val="center"/>
              <w:rPr>
                <w:color w:val="0070C0"/>
                <w:sz w:val="22"/>
              </w:rPr>
            </w:pPr>
            <w:r w:rsidRPr="0006152B">
              <w:rPr>
                <w:sz w:val="22"/>
              </w:rPr>
              <w:t>$</w:t>
            </w:r>
            <w:r w:rsidR="00646E03" w:rsidRPr="0006152B">
              <w:rPr>
                <w:sz w:val="22"/>
              </w:rPr>
              <w:t>4,534.05</w:t>
            </w:r>
          </w:p>
        </w:tc>
        <w:tc>
          <w:tcPr>
            <w:tcW w:w="2160" w:type="dxa"/>
            <w:shd w:val="clear" w:color="auto" w:fill="auto"/>
            <w:vAlign w:val="center"/>
          </w:tcPr>
          <w:p w14:paraId="2BBEFC3D" w14:textId="1243BCBD" w:rsidR="002453E2" w:rsidRPr="0006152B" w:rsidRDefault="002453E2" w:rsidP="00796C25">
            <w:pPr>
              <w:pStyle w:val="BodyText"/>
              <w:jc w:val="center"/>
              <w:rPr>
                <w:color w:val="0070C0"/>
                <w:sz w:val="22"/>
              </w:rPr>
            </w:pPr>
            <w:r w:rsidRPr="008048B4">
              <w:rPr>
                <w:sz w:val="22"/>
              </w:rPr>
              <w:t>$</w:t>
            </w:r>
            <w:r w:rsidR="008B7119">
              <w:rPr>
                <w:sz w:val="22"/>
              </w:rPr>
              <w:t>3,663.06</w:t>
            </w:r>
          </w:p>
        </w:tc>
        <w:tc>
          <w:tcPr>
            <w:tcW w:w="1710" w:type="dxa"/>
            <w:shd w:val="clear" w:color="auto" w:fill="auto"/>
            <w:vAlign w:val="center"/>
          </w:tcPr>
          <w:p w14:paraId="58DF7D09" w14:textId="4BAC5941" w:rsidR="002453E2" w:rsidRPr="0006152B" w:rsidRDefault="002453E2" w:rsidP="008B7119">
            <w:pPr>
              <w:pStyle w:val="BodyText"/>
              <w:jc w:val="center"/>
              <w:rPr>
                <w:color w:val="0070C0"/>
                <w:sz w:val="22"/>
              </w:rPr>
            </w:pPr>
            <w:r w:rsidRPr="0006152B">
              <w:rPr>
                <w:sz w:val="22"/>
              </w:rPr>
              <w:t>$</w:t>
            </w:r>
            <w:r w:rsidR="008B7119">
              <w:rPr>
                <w:sz w:val="22"/>
              </w:rPr>
              <w:t>8,197.11</w:t>
            </w:r>
          </w:p>
        </w:tc>
      </w:tr>
      <w:tr w:rsidR="00081AFB" w:rsidRPr="0006152B" w14:paraId="7EC1A785" w14:textId="77777777" w:rsidTr="0006152B">
        <w:trPr>
          <w:cantSplit/>
          <w:tblHeader/>
        </w:trPr>
        <w:tc>
          <w:tcPr>
            <w:tcW w:w="4320" w:type="dxa"/>
            <w:shd w:val="clear" w:color="auto" w:fill="auto"/>
            <w:vAlign w:val="center"/>
          </w:tcPr>
          <w:p w14:paraId="16A457CB" w14:textId="7C07D01D" w:rsidR="002453E2" w:rsidRPr="008F5EB0" w:rsidRDefault="002453E2" w:rsidP="00081AFB">
            <w:pPr>
              <w:pStyle w:val="BodyText"/>
              <w:rPr>
                <w:b/>
                <w:sz w:val="22"/>
              </w:rPr>
            </w:pPr>
            <w:r w:rsidRPr="008F5EB0">
              <w:rPr>
                <w:b/>
                <w:sz w:val="22"/>
              </w:rPr>
              <w:t>Capital Costs</w:t>
            </w:r>
            <w:r w:rsidR="00EF29EC" w:rsidRPr="008F5EB0">
              <w:rPr>
                <w:b/>
                <w:sz w:val="22"/>
              </w:rPr>
              <w:t xml:space="preserve"> (Total)</w:t>
            </w:r>
          </w:p>
        </w:tc>
        <w:tc>
          <w:tcPr>
            <w:tcW w:w="1440" w:type="dxa"/>
            <w:shd w:val="clear" w:color="auto" w:fill="auto"/>
            <w:vAlign w:val="center"/>
          </w:tcPr>
          <w:p w14:paraId="39C8BA86" w14:textId="5C032CF7" w:rsidR="002453E2" w:rsidRPr="008F5EB0" w:rsidRDefault="00B81D2F" w:rsidP="00081AFB">
            <w:pPr>
              <w:pStyle w:val="BodyText"/>
              <w:jc w:val="center"/>
              <w:rPr>
                <w:sz w:val="22"/>
              </w:rPr>
            </w:pPr>
            <w:r w:rsidRPr="008F5EB0">
              <w:rPr>
                <w:sz w:val="22"/>
              </w:rPr>
              <w:t>$66,039.00</w:t>
            </w:r>
          </w:p>
        </w:tc>
        <w:tc>
          <w:tcPr>
            <w:tcW w:w="2160" w:type="dxa"/>
            <w:shd w:val="clear" w:color="auto" w:fill="auto"/>
            <w:vAlign w:val="center"/>
          </w:tcPr>
          <w:p w14:paraId="64A86DDC" w14:textId="56B9DEC9" w:rsidR="002453E2" w:rsidRPr="008F5EB0" w:rsidRDefault="002453E2" w:rsidP="00081AFB">
            <w:pPr>
              <w:pStyle w:val="BodyText"/>
              <w:jc w:val="center"/>
              <w:rPr>
                <w:color w:val="0070C0"/>
                <w:sz w:val="22"/>
              </w:rPr>
            </w:pPr>
            <w:r w:rsidRPr="008F5EB0">
              <w:rPr>
                <w:sz w:val="22"/>
              </w:rPr>
              <w:t>$0.00</w:t>
            </w:r>
          </w:p>
        </w:tc>
        <w:tc>
          <w:tcPr>
            <w:tcW w:w="1710" w:type="dxa"/>
            <w:shd w:val="clear" w:color="auto" w:fill="auto"/>
            <w:vAlign w:val="center"/>
          </w:tcPr>
          <w:p w14:paraId="2C8B8031" w14:textId="00E0F18D" w:rsidR="002453E2" w:rsidRPr="008F5EB0" w:rsidRDefault="002453E2" w:rsidP="00081AFB">
            <w:pPr>
              <w:pStyle w:val="BodyText"/>
              <w:jc w:val="center"/>
              <w:rPr>
                <w:color w:val="0070C0"/>
                <w:sz w:val="22"/>
              </w:rPr>
            </w:pPr>
            <w:r w:rsidRPr="008F5EB0">
              <w:rPr>
                <w:sz w:val="22"/>
              </w:rPr>
              <w:t>$</w:t>
            </w:r>
            <w:r w:rsidR="00EE2696" w:rsidRPr="008F5EB0">
              <w:rPr>
                <w:sz w:val="22"/>
              </w:rPr>
              <w:t>66,039.00</w:t>
            </w:r>
          </w:p>
        </w:tc>
      </w:tr>
      <w:tr w:rsidR="00081AFB" w:rsidRPr="0006152B" w14:paraId="2BFEA17C" w14:textId="77777777" w:rsidTr="0006152B">
        <w:trPr>
          <w:cantSplit/>
          <w:tblHeader/>
        </w:trPr>
        <w:tc>
          <w:tcPr>
            <w:tcW w:w="4320" w:type="dxa"/>
            <w:tcBorders>
              <w:bottom w:val="single" w:sz="4" w:space="0" w:color="auto"/>
            </w:tcBorders>
            <w:shd w:val="clear" w:color="auto" w:fill="auto"/>
            <w:vAlign w:val="center"/>
          </w:tcPr>
          <w:p w14:paraId="6644A3B5" w14:textId="77777777" w:rsidR="002453E2" w:rsidRPr="00F02927" w:rsidRDefault="002453E2" w:rsidP="00081AFB">
            <w:pPr>
              <w:pStyle w:val="BodyText"/>
              <w:rPr>
                <w:b/>
                <w:sz w:val="22"/>
              </w:rPr>
            </w:pPr>
            <w:r w:rsidRPr="00F02927">
              <w:rPr>
                <w:b/>
                <w:sz w:val="22"/>
              </w:rPr>
              <w:t>Additional costs (contractor hours, operational expenses such as equipment, overhead, printing, and support staff, etc.)</w:t>
            </w:r>
          </w:p>
        </w:tc>
        <w:tc>
          <w:tcPr>
            <w:tcW w:w="1440" w:type="dxa"/>
            <w:tcBorders>
              <w:bottom w:val="single" w:sz="4" w:space="0" w:color="auto"/>
            </w:tcBorders>
            <w:shd w:val="clear" w:color="auto" w:fill="auto"/>
            <w:vAlign w:val="center"/>
          </w:tcPr>
          <w:p w14:paraId="72494379" w14:textId="0CF28786" w:rsidR="002453E2" w:rsidRPr="00F02927" w:rsidRDefault="002453E2" w:rsidP="00081AFB">
            <w:pPr>
              <w:pStyle w:val="BodyText"/>
              <w:jc w:val="center"/>
              <w:rPr>
                <w:sz w:val="22"/>
              </w:rPr>
            </w:pPr>
            <w:r w:rsidRPr="00F02927">
              <w:rPr>
                <w:sz w:val="22"/>
              </w:rPr>
              <w:t>$</w:t>
            </w:r>
            <w:r w:rsidR="00C634D9" w:rsidRPr="00F02927">
              <w:rPr>
                <w:sz w:val="22"/>
              </w:rPr>
              <w:t>205,305</w:t>
            </w:r>
            <w:r w:rsidR="00A1347B" w:rsidRPr="00F02927">
              <w:rPr>
                <w:sz w:val="22"/>
              </w:rPr>
              <w:t>.00</w:t>
            </w:r>
          </w:p>
        </w:tc>
        <w:tc>
          <w:tcPr>
            <w:tcW w:w="2160" w:type="dxa"/>
            <w:tcBorders>
              <w:bottom w:val="single" w:sz="4" w:space="0" w:color="auto"/>
            </w:tcBorders>
            <w:shd w:val="clear" w:color="auto" w:fill="auto"/>
            <w:vAlign w:val="center"/>
          </w:tcPr>
          <w:p w14:paraId="7FAE684C" w14:textId="3E06053C" w:rsidR="002453E2" w:rsidRPr="00F02927" w:rsidRDefault="002453E2">
            <w:pPr>
              <w:pStyle w:val="BodyText"/>
              <w:jc w:val="center"/>
              <w:rPr>
                <w:sz w:val="22"/>
              </w:rPr>
            </w:pPr>
            <w:r w:rsidRPr="00F02927">
              <w:rPr>
                <w:sz w:val="22"/>
              </w:rPr>
              <w:t>$</w:t>
            </w:r>
            <w:r w:rsidR="00675EF2">
              <w:rPr>
                <w:sz w:val="22"/>
              </w:rPr>
              <w:t>220,000</w:t>
            </w:r>
            <w:r w:rsidR="00E00D98">
              <w:rPr>
                <w:sz w:val="22"/>
              </w:rPr>
              <w:t>.00</w:t>
            </w:r>
          </w:p>
        </w:tc>
        <w:tc>
          <w:tcPr>
            <w:tcW w:w="1710" w:type="dxa"/>
            <w:tcBorders>
              <w:bottom w:val="single" w:sz="4" w:space="0" w:color="auto"/>
            </w:tcBorders>
            <w:shd w:val="clear" w:color="auto" w:fill="auto"/>
            <w:vAlign w:val="center"/>
          </w:tcPr>
          <w:p w14:paraId="60E428D0" w14:textId="5A85F80B" w:rsidR="002453E2" w:rsidRPr="00F02927" w:rsidRDefault="002453E2">
            <w:pPr>
              <w:pStyle w:val="BodyText"/>
              <w:jc w:val="center"/>
              <w:rPr>
                <w:sz w:val="22"/>
              </w:rPr>
            </w:pPr>
            <w:r w:rsidRPr="00F02927">
              <w:rPr>
                <w:sz w:val="22"/>
              </w:rPr>
              <w:t>$</w:t>
            </w:r>
            <w:r w:rsidR="00675EF2">
              <w:rPr>
                <w:sz w:val="22"/>
              </w:rPr>
              <w:t>425,305</w:t>
            </w:r>
            <w:r w:rsidR="00E00D98">
              <w:rPr>
                <w:sz w:val="22"/>
              </w:rPr>
              <w:t>.00</w:t>
            </w:r>
          </w:p>
        </w:tc>
      </w:tr>
      <w:tr w:rsidR="00081AFB" w:rsidRPr="0006152B" w14:paraId="15EC8C4A" w14:textId="77777777" w:rsidTr="0006152B">
        <w:trPr>
          <w:cantSplit/>
          <w:tblHeader/>
        </w:trPr>
        <w:tc>
          <w:tcPr>
            <w:tcW w:w="4320" w:type="dxa"/>
            <w:shd w:val="clear" w:color="auto" w:fill="FFFFFF"/>
            <w:vAlign w:val="center"/>
          </w:tcPr>
          <w:p w14:paraId="6285D76E" w14:textId="77777777" w:rsidR="002453E2" w:rsidRPr="00F02927" w:rsidRDefault="002453E2" w:rsidP="00081AFB">
            <w:pPr>
              <w:pStyle w:val="BodyText"/>
              <w:rPr>
                <w:b/>
                <w:sz w:val="22"/>
              </w:rPr>
            </w:pPr>
            <w:r w:rsidRPr="00F02927">
              <w:rPr>
                <w:b/>
                <w:sz w:val="22"/>
              </w:rPr>
              <w:t>Annualized Cost to the Government</w:t>
            </w:r>
          </w:p>
        </w:tc>
        <w:tc>
          <w:tcPr>
            <w:tcW w:w="1440" w:type="dxa"/>
            <w:shd w:val="clear" w:color="auto" w:fill="FFFFFF"/>
            <w:vAlign w:val="center"/>
          </w:tcPr>
          <w:p w14:paraId="43A67871" w14:textId="5F3DB62A" w:rsidR="00363EBA" w:rsidRPr="00F02927" w:rsidRDefault="002453E2" w:rsidP="00A1347B">
            <w:pPr>
              <w:pStyle w:val="BodyText"/>
              <w:jc w:val="center"/>
              <w:rPr>
                <w:sz w:val="22"/>
              </w:rPr>
            </w:pPr>
            <w:r w:rsidRPr="00F02927">
              <w:rPr>
                <w:sz w:val="22"/>
              </w:rPr>
              <w:t>$</w:t>
            </w:r>
            <w:r w:rsidR="00A1347B" w:rsidRPr="00F02927">
              <w:rPr>
                <w:sz w:val="22"/>
              </w:rPr>
              <w:t>2</w:t>
            </w:r>
            <w:r w:rsidR="006066C7" w:rsidRPr="00F02927">
              <w:rPr>
                <w:sz w:val="22"/>
              </w:rPr>
              <w:t>75,87</w:t>
            </w:r>
            <w:r w:rsidR="0085174F">
              <w:rPr>
                <w:sz w:val="22"/>
              </w:rPr>
              <w:t>8.15</w:t>
            </w:r>
          </w:p>
        </w:tc>
        <w:tc>
          <w:tcPr>
            <w:tcW w:w="2160" w:type="dxa"/>
            <w:shd w:val="clear" w:color="auto" w:fill="FFFFFF"/>
            <w:vAlign w:val="center"/>
          </w:tcPr>
          <w:p w14:paraId="64676CF4" w14:textId="6903B79C" w:rsidR="00363EBA" w:rsidRPr="00F02927" w:rsidRDefault="002453E2">
            <w:pPr>
              <w:pStyle w:val="BodyText"/>
              <w:jc w:val="center"/>
              <w:rPr>
                <w:sz w:val="22"/>
              </w:rPr>
            </w:pPr>
            <w:r w:rsidRPr="00F02927">
              <w:rPr>
                <w:sz w:val="22"/>
              </w:rPr>
              <w:t>$</w:t>
            </w:r>
            <w:r w:rsidR="00675EF2">
              <w:rPr>
                <w:sz w:val="22"/>
              </w:rPr>
              <w:t>22</w:t>
            </w:r>
            <w:r w:rsidR="00A1347B" w:rsidRPr="00F02927">
              <w:rPr>
                <w:sz w:val="22"/>
              </w:rPr>
              <w:t>3,</w:t>
            </w:r>
            <w:r w:rsidR="00675EF2">
              <w:rPr>
                <w:sz w:val="22"/>
              </w:rPr>
              <w:t>6</w:t>
            </w:r>
            <w:r w:rsidR="00A1347B" w:rsidRPr="00F02927">
              <w:rPr>
                <w:sz w:val="22"/>
              </w:rPr>
              <w:t>63.06</w:t>
            </w:r>
          </w:p>
        </w:tc>
        <w:tc>
          <w:tcPr>
            <w:tcW w:w="1710" w:type="dxa"/>
            <w:shd w:val="clear" w:color="auto" w:fill="FFFFFF"/>
            <w:vAlign w:val="center"/>
          </w:tcPr>
          <w:p w14:paraId="6ECBA7AD" w14:textId="257B8EFA" w:rsidR="002453E2" w:rsidRPr="00F02927" w:rsidRDefault="002453E2">
            <w:pPr>
              <w:pStyle w:val="BodyText"/>
              <w:jc w:val="center"/>
              <w:rPr>
                <w:sz w:val="22"/>
              </w:rPr>
            </w:pPr>
            <w:r w:rsidRPr="00F02927">
              <w:rPr>
                <w:sz w:val="22"/>
              </w:rPr>
              <w:t>Grand Total (approximate):</w:t>
            </w:r>
            <w:r w:rsidR="00081AFB" w:rsidRPr="00F02927">
              <w:rPr>
                <w:sz w:val="22"/>
              </w:rPr>
              <w:br/>
            </w:r>
            <w:r w:rsidRPr="00F02927">
              <w:rPr>
                <w:sz w:val="22"/>
              </w:rPr>
              <w:t>$</w:t>
            </w:r>
            <w:r w:rsidR="00675EF2">
              <w:rPr>
                <w:sz w:val="22"/>
              </w:rPr>
              <w:t>49</w:t>
            </w:r>
            <w:r w:rsidR="00330876" w:rsidRPr="00F02927">
              <w:rPr>
                <w:sz w:val="22"/>
              </w:rPr>
              <w:t>9,</w:t>
            </w:r>
            <w:r w:rsidR="00675EF2">
              <w:rPr>
                <w:sz w:val="22"/>
              </w:rPr>
              <w:t>5</w:t>
            </w:r>
            <w:r w:rsidR="00330876" w:rsidRPr="00F02927">
              <w:rPr>
                <w:sz w:val="22"/>
              </w:rPr>
              <w:t>41.1</w:t>
            </w:r>
            <w:r w:rsidR="006066C7" w:rsidRPr="00F02927">
              <w:rPr>
                <w:sz w:val="22"/>
              </w:rPr>
              <w:t>1</w:t>
            </w:r>
          </w:p>
        </w:tc>
      </w:tr>
    </w:tbl>
    <w:p w14:paraId="74E16417" w14:textId="77777777" w:rsidR="003A54D3" w:rsidRDefault="003A54D3" w:rsidP="00081AFB">
      <w:pPr>
        <w:pStyle w:val="BodyText"/>
      </w:pPr>
    </w:p>
    <w:p w14:paraId="2ECEB0DA" w14:textId="7B43A95B" w:rsidR="002453E2" w:rsidRDefault="002453E2" w:rsidP="00081AFB">
      <w:pPr>
        <w:pStyle w:val="BodyText"/>
      </w:pPr>
      <w:r w:rsidRPr="0006152B">
        <w:t>The annualized cost to the federal government is approximately</w:t>
      </w:r>
      <w:r w:rsidR="00675EF2">
        <w:t xml:space="preserve"> </w:t>
      </w:r>
      <w:r w:rsidR="00675EF2" w:rsidRPr="009301CF">
        <w:rPr>
          <w:rFonts w:asciiTheme="minorHAnsi" w:hAnsiTheme="minorHAnsi"/>
          <w:szCs w:val="24"/>
        </w:rPr>
        <w:t>$499,541</w:t>
      </w:r>
      <w:r w:rsidR="00ED45E1" w:rsidRPr="009301CF">
        <w:rPr>
          <w:rFonts w:asciiTheme="minorHAnsi" w:hAnsiTheme="minorHAnsi"/>
          <w:szCs w:val="24"/>
        </w:rPr>
        <w:t>.</w:t>
      </w:r>
      <w:r w:rsidR="00ED45E1" w:rsidRPr="009301CF">
        <w:rPr>
          <w:sz w:val="28"/>
        </w:rPr>
        <w:t xml:space="preserve"> </w:t>
      </w:r>
      <w:r w:rsidR="00ED45E1">
        <w:t xml:space="preserve">This figure </w:t>
      </w:r>
      <w:r w:rsidRPr="0006152B">
        <w:t xml:space="preserve">includes </w:t>
      </w:r>
      <w:r w:rsidR="00ED45E1">
        <w:t xml:space="preserve">costs of </w:t>
      </w:r>
      <w:r w:rsidRPr="0006152B">
        <w:t>survey,</w:t>
      </w:r>
      <w:r w:rsidR="003808DE" w:rsidRPr="0006152B">
        <w:t xml:space="preserve"> </w:t>
      </w:r>
      <w:r w:rsidRPr="0006152B">
        <w:t>focus groups and informational interview</w:t>
      </w:r>
      <w:r w:rsidR="00ED45E1">
        <w:t xml:space="preserve"> data collection, as well as </w:t>
      </w:r>
      <w:r w:rsidR="00F7028D">
        <w:t>capital costs,</w:t>
      </w:r>
      <w:r w:rsidRPr="0006152B">
        <w:t xml:space="preserve"> </w:t>
      </w:r>
      <w:r w:rsidR="00ED45E1">
        <w:t>additional costs associated with data collection activities, and annual hours and wage cost burden estimates</w:t>
      </w:r>
      <w:r w:rsidRPr="00226393">
        <w:t>.</w:t>
      </w:r>
    </w:p>
    <w:p w14:paraId="4CE0BB1D" w14:textId="77777777" w:rsidR="00181F3C" w:rsidRDefault="00181F3C" w:rsidP="00181F3C">
      <w:pPr>
        <w:pStyle w:val="BodyText"/>
      </w:pPr>
    </w:p>
    <w:tbl>
      <w:tblPr>
        <w:tblW w:w="5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3240"/>
      </w:tblGrid>
      <w:tr w:rsidR="00181F3C" w:rsidRPr="00181F3C" w14:paraId="47E3C195" w14:textId="77777777" w:rsidTr="003E121D">
        <w:trPr>
          <w:cantSplit/>
          <w:tblHeader/>
        </w:trPr>
        <w:tc>
          <w:tcPr>
            <w:tcW w:w="5760" w:type="dxa"/>
            <w:gridSpan w:val="2"/>
            <w:shd w:val="clear" w:color="auto" w:fill="EEECE1"/>
            <w:vAlign w:val="bottom"/>
          </w:tcPr>
          <w:p w14:paraId="64771815" w14:textId="77777777" w:rsidR="00181F3C" w:rsidRPr="00181F3C" w:rsidRDefault="00181F3C" w:rsidP="003E121D">
            <w:pPr>
              <w:pStyle w:val="BodyText"/>
              <w:rPr>
                <w:b/>
                <w:sz w:val="22"/>
              </w:rPr>
            </w:pPr>
            <w:r w:rsidRPr="00181F3C">
              <w:rPr>
                <w:b/>
                <w:sz w:val="22"/>
              </w:rPr>
              <w:t>Capital Costs</w:t>
            </w:r>
          </w:p>
        </w:tc>
      </w:tr>
      <w:tr w:rsidR="00181F3C" w:rsidRPr="00181F3C" w14:paraId="3A1BDC51" w14:textId="77777777" w:rsidTr="003E121D">
        <w:trPr>
          <w:cantSplit/>
          <w:tblHeader/>
        </w:trPr>
        <w:tc>
          <w:tcPr>
            <w:tcW w:w="2520" w:type="dxa"/>
            <w:shd w:val="clear" w:color="auto" w:fill="auto"/>
            <w:vAlign w:val="center"/>
          </w:tcPr>
          <w:p w14:paraId="078656CF" w14:textId="77777777" w:rsidR="00181F3C" w:rsidRPr="00181F3C" w:rsidRDefault="00181F3C" w:rsidP="003E121D">
            <w:pPr>
              <w:pStyle w:val="BodyText"/>
              <w:rPr>
                <w:b/>
                <w:sz w:val="22"/>
              </w:rPr>
            </w:pPr>
            <w:r w:rsidRPr="00181F3C">
              <w:rPr>
                <w:b/>
                <w:sz w:val="22"/>
              </w:rPr>
              <w:t>Record storage</w:t>
            </w:r>
          </w:p>
        </w:tc>
        <w:tc>
          <w:tcPr>
            <w:tcW w:w="3240" w:type="dxa"/>
            <w:shd w:val="clear" w:color="auto" w:fill="auto"/>
            <w:vAlign w:val="center"/>
          </w:tcPr>
          <w:p w14:paraId="47BD0955" w14:textId="77777777" w:rsidR="00181F3C" w:rsidRPr="00181F3C" w:rsidRDefault="00181F3C" w:rsidP="003E121D">
            <w:pPr>
              <w:pStyle w:val="BodyText"/>
              <w:jc w:val="center"/>
              <w:rPr>
                <w:color w:val="0070C0"/>
                <w:sz w:val="22"/>
              </w:rPr>
            </w:pPr>
            <w:r w:rsidRPr="00181F3C">
              <w:rPr>
                <w:sz w:val="22"/>
              </w:rPr>
              <w:t>$19,400</w:t>
            </w:r>
          </w:p>
        </w:tc>
      </w:tr>
      <w:tr w:rsidR="00181F3C" w:rsidRPr="00181F3C" w14:paraId="0F6AC7D2" w14:textId="77777777" w:rsidTr="003E121D">
        <w:trPr>
          <w:cantSplit/>
          <w:tblHeader/>
        </w:trPr>
        <w:tc>
          <w:tcPr>
            <w:tcW w:w="2520" w:type="dxa"/>
            <w:shd w:val="clear" w:color="auto" w:fill="auto"/>
            <w:vAlign w:val="center"/>
          </w:tcPr>
          <w:p w14:paraId="59DFF27B" w14:textId="77777777" w:rsidR="00181F3C" w:rsidRPr="00181F3C" w:rsidRDefault="00181F3C" w:rsidP="003E121D">
            <w:pPr>
              <w:pStyle w:val="BodyText"/>
              <w:rPr>
                <w:b/>
                <w:sz w:val="22"/>
              </w:rPr>
            </w:pPr>
            <w:r w:rsidRPr="00181F3C">
              <w:rPr>
                <w:b/>
                <w:sz w:val="22"/>
              </w:rPr>
              <w:t>Software</w:t>
            </w:r>
          </w:p>
        </w:tc>
        <w:tc>
          <w:tcPr>
            <w:tcW w:w="3240" w:type="dxa"/>
            <w:shd w:val="clear" w:color="auto" w:fill="auto"/>
            <w:vAlign w:val="center"/>
          </w:tcPr>
          <w:p w14:paraId="7F663777" w14:textId="77777777" w:rsidR="00181F3C" w:rsidRPr="00181F3C" w:rsidRDefault="00181F3C" w:rsidP="003E121D">
            <w:pPr>
              <w:pStyle w:val="BodyText"/>
              <w:jc w:val="center"/>
              <w:rPr>
                <w:sz w:val="22"/>
              </w:rPr>
            </w:pPr>
            <w:r w:rsidRPr="00181F3C">
              <w:rPr>
                <w:sz w:val="22"/>
              </w:rPr>
              <w:t>$46,639</w:t>
            </w:r>
          </w:p>
        </w:tc>
      </w:tr>
      <w:tr w:rsidR="00181F3C" w:rsidRPr="00181F3C" w14:paraId="1A4EFE74" w14:textId="77777777" w:rsidTr="003E121D">
        <w:trPr>
          <w:cantSplit/>
          <w:tblHeader/>
        </w:trPr>
        <w:tc>
          <w:tcPr>
            <w:tcW w:w="2520" w:type="dxa"/>
            <w:shd w:val="clear" w:color="auto" w:fill="auto"/>
            <w:vAlign w:val="center"/>
          </w:tcPr>
          <w:p w14:paraId="0E8072DF" w14:textId="77777777" w:rsidR="00181F3C" w:rsidRPr="00181F3C" w:rsidRDefault="00181F3C" w:rsidP="003E121D">
            <w:pPr>
              <w:pStyle w:val="BodyText"/>
              <w:rPr>
                <w:b/>
                <w:sz w:val="22"/>
              </w:rPr>
            </w:pPr>
            <w:r w:rsidRPr="00181F3C">
              <w:rPr>
                <w:b/>
                <w:sz w:val="22"/>
              </w:rPr>
              <w:t>Total Capital Costs</w:t>
            </w:r>
          </w:p>
        </w:tc>
        <w:tc>
          <w:tcPr>
            <w:tcW w:w="3240" w:type="dxa"/>
            <w:shd w:val="clear" w:color="auto" w:fill="auto"/>
            <w:vAlign w:val="center"/>
          </w:tcPr>
          <w:p w14:paraId="70C39599" w14:textId="77777777" w:rsidR="00181F3C" w:rsidRPr="00181F3C" w:rsidRDefault="00181F3C" w:rsidP="003E121D">
            <w:pPr>
              <w:pStyle w:val="BodyText"/>
              <w:jc w:val="center"/>
              <w:rPr>
                <w:sz w:val="22"/>
              </w:rPr>
            </w:pPr>
            <w:r w:rsidRPr="00181F3C">
              <w:rPr>
                <w:sz w:val="22"/>
              </w:rPr>
              <w:t>$66,039</w:t>
            </w:r>
          </w:p>
        </w:tc>
      </w:tr>
    </w:tbl>
    <w:p w14:paraId="638462F5" w14:textId="77777777" w:rsidR="00181F3C" w:rsidRPr="00181F3C" w:rsidRDefault="00181F3C" w:rsidP="00181F3C">
      <w:pPr>
        <w:pStyle w:val="BodyText"/>
      </w:pPr>
    </w:p>
    <w:p w14:paraId="68D54165" w14:textId="77777777" w:rsidR="00181F3C" w:rsidRDefault="00181F3C" w:rsidP="00181F3C">
      <w:pPr>
        <w:pStyle w:val="BodyText"/>
      </w:pPr>
      <w:r w:rsidRPr="00181F3C">
        <w:t>The record storage capital costs include routine maintenance and storage costs for FISMA-moderate data backup/archival storage in the SSS Secure Data Center. The software capital costs include SAS and STATA licenses needed for analyses of data</w:t>
      </w:r>
      <w:r>
        <w:t xml:space="preserve"> from all data collection activities.</w:t>
      </w:r>
    </w:p>
    <w:p w14:paraId="73FD061F" w14:textId="77777777" w:rsidR="00181F3C" w:rsidRPr="0055609B" w:rsidRDefault="00181F3C" w:rsidP="00081AFB">
      <w:pPr>
        <w:pStyle w:val="BodyText"/>
      </w:pPr>
    </w:p>
    <w:p w14:paraId="600CFFCD" w14:textId="77777777" w:rsidR="008F1EB4" w:rsidRPr="000A2A8F" w:rsidRDefault="008F1EB4" w:rsidP="00081AFB">
      <w:pPr>
        <w:pStyle w:val="Heading3"/>
      </w:pPr>
      <w:r w:rsidRPr="000A2A8F">
        <w:t>15.</w:t>
      </w:r>
      <w:r w:rsidRPr="000A2A8F">
        <w:tab/>
        <w:t>Changes to Burden</w:t>
      </w:r>
    </w:p>
    <w:p w14:paraId="7B4C1F26" w14:textId="77777777" w:rsidR="002243AB" w:rsidRDefault="002243AB" w:rsidP="00081AFB">
      <w:pPr>
        <w:pStyle w:val="BodyText"/>
      </w:pPr>
    </w:p>
    <w:p w14:paraId="099A0AC1" w14:textId="36D5EADF" w:rsidR="00842C99" w:rsidRDefault="00117468" w:rsidP="00081AFB">
      <w:pPr>
        <w:pStyle w:val="BodyText"/>
      </w:pPr>
      <w:r>
        <w:t xml:space="preserve">Changes are not applicable. This is </w:t>
      </w:r>
      <w:r w:rsidR="00CA1B14">
        <w:t xml:space="preserve">a </w:t>
      </w:r>
      <w:r>
        <w:t>new ICR.</w:t>
      </w:r>
    </w:p>
    <w:p w14:paraId="5B13323A" w14:textId="77777777" w:rsidR="008F1EB4" w:rsidRPr="0055609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0A7ABFED" w14:textId="77777777" w:rsidR="008F1EB4" w:rsidRPr="000A2A8F" w:rsidRDefault="008F1EB4" w:rsidP="00081AFB">
      <w:pPr>
        <w:pStyle w:val="Heading3"/>
      </w:pPr>
      <w:r w:rsidRPr="000A2A8F">
        <w:lastRenderedPageBreak/>
        <w:t>16.</w:t>
      </w:r>
      <w:r w:rsidRPr="000A2A8F">
        <w:tab/>
        <w:t>Publication/Tabulation Dates</w:t>
      </w:r>
    </w:p>
    <w:p w14:paraId="2221AD4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476B2A" w14:textId="77777777" w:rsidR="00F70874" w:rsidRDefault="00F70874" w:rsidP="00081AFB">
      <w:pPr>
        <w:pStyle w:val="BodyText"/>
      </w:pPr>
      <w:r>
        <w:t xml:space="preserve">The survey descriptive analyses will provide an in-depth profile of HELP, and will focus on the overall </w:t>
      </w:r>
      <w:r w:rsidR="00807883">
        <w:t>HELP</w:t>
      </w:r>
      <w:r>
        <w:t xml:space="preserve"> population and key subgroup</w:t>
      </w:r>
      <w:r w:rsidRPr="003B21FA">
        <w:t>s.</w:t>
      </w:r>
      <w:r>
        <w:t xml:space="preserve"> Montana Medicaid administrative data, the beneficiary survey, and federal surveys will be used in these descriptive analyses. </w:t>
      </w:r>
    </w:p>
    <w:p w14:paraId="5FE7036C" w14:textId="77777777" w:rsidR="00F70874" w:rsidRDefault="00F70874" w:rsidP="00081AFB">
      <w:pPr>
        <w:pStyle w:val="BodyText"/>
      </w:pPr>
    </w:p>
    <w:p w14:paraId="3C7B25EB" w14:textId="5A353721" w:rsidR="00F70874" w:rsidRPr="00281802" w:rsidRDefault="00F70874" w:rsidP="00081AFB">
      <w:pPr>
        <w:pStyle w:val="BodyText"/>
        <w:rPr>
          <w:i/>
          <w:color w:val="1F497D"/>
        </w:rPr>
      </w:pPr>
      <w:r>
        <w:t>Findings from the qualitative (focus groups and information</w:t>
      </w:r>
      <w:r w:rsidR="008B7119">
        <w:t>al</w:t>
      </w:r>
      <w:r>
        <w:t xml:space="preserve"> interviews) and quantitative components will </w:t>
      </w:r>
      <w:r w:rsidR="00542659">
        <w:t>be incorporated into</w:t>
      </w:r>
      <w:r>
        <w:t xml:space="preserve"> the evaluation’s Interim and Summative Evaluation Reports and Memos to be completed over the course of the project. Evaluation results also </w:t>
      </w:r>
      <w:r w:rsidR="00542659">
        <w:t xml:space="preserve">will </w:t>
      </w:r>
      <w:r>
        <w:t xml:space="preserve">be presented through a series of </w:t>
      </w:r>
      <w:r w:rsidRPr="003B21FA">
        <w:t>Webinars (up to 7) conducted in</w:t>
      </w:r>
      <w:r>
        <w:t xml:space="preserve"> conjunction with the reports.</w:t>
      </w:r>
    </w:p>
    <w:p w14:paraId="5B6A807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D00644" w14:textId="77777777" w:rsidR="008F1EB4" w:rsidRPr="000A2A8F" w:rsidRDefault="008F1EB4" w:rsidP="00081AFB">
      <w:pPr>
        <w:pStyle w:val="Heading3"/>
      </w:pPr>
      <w:r w:rsidRPr="000A2A8F">
        <w:t>17.</w:t>
      </w:r>
      <w:r w:rsidRPr="000A2A8F">
        <w:tab/>
        <w:t>Expiration Date</w:t>
      </w:r>
    </w:p>
    <w:p w14:paraId="75F8FD4B" w14:textId="77777777" w:rsidR="0055609B" w:rsidRDefault="0055609B" w:rsidP="00081AFB">
      <w:pPr>
        <w:pStyle w:val="BodyText"/>
      </w:pPr>
    </w:p>
    <w:p w14:paraId="6C1A2625" w14:textId="08EF07F0" w:rsidR="0055609B" w:rsidRPr="006653C5" w:rsidRDefault="0055609B" w:rsidP="00081AFB">
      <w:pPr>
        <w:pStyle w:val="BodyText"/>
      </w:pPr>
      <w:r w:rsidRPr="000B30F6">
        <w:t xml:space="preserve">CMS </w:t>
      </w:r>
      <w:r w:rsidR="000B30F6">
        <w:t>will di</w:t>
      </w:r>
      <w:r w:rsidR="006653C5" w:rsidRPr="000B30F6">
        <w:t>splay the expiration date</w:t>
      </w:r>
      <w:r w:rsidR="000B30F6" w:rsidRPr="000B30F6">
        <w:t>.</w:t>
      </w:r>
    </w:p>
    <w:p w14:paraId="42365C0B" w14:textId="77777777" w:rsidR="008F1EB4" w:rsidRDefault="008F1EB4" w:rsidP="00081AFB">
      <w:pPr>
        <w:pStyle w:val="BodyText"/>
      </w:pPr>
    </w:p>
    <w:p w14:paraId="3A75DC8D" w14:textId="77777777" w:rsidR="008F1EB4" w:rsidRPr="000A2A8F" w:rsidRDefault="008F1EB4" w:rsidP="00081AFB">
      <w:pPr>
        <w:pStyle w:val="Heading3"/>
      </w:pPr>
      <w:r w:rsidRPr="000A2A8F">
        <w:t>18.</w:t>
      </w:r>
      <w:r w:rsidRPr="000A2A8F">
        <w:tab/>
        <w:t>Certification Statement</w:t>
      </w:r>
    </w:p>
    <w:p w14:paraId="569ADCC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A115321" w14:textId="77777777" w:rsidR="00D65118" w:rsidRDefault="00D65118" w:rsidP="00081AFB">
      <w:pPr>
        <w:pStyle w:val="BodyText"/>
      </w:pPr>
      <w:r>
        <w:t>There are no exceptions to “Certification for Paperwork Reduction Act Submissions.”</w:t>
      </w:r>
    </w:p>
    <w:p w14:paraId="130567A4" w14:textId="77777777" w:rsidR="00E62058" w:rsidRDefault="00E62058" w:rsidP="00081AFB">
      <w:pPr>
        <w:pStyle w:val="BodyText"/>
      </w:pPr>
    </w:p>
    <w:sectPr w:rsidR="00E62058" w:rsidSect="00081AFB">
      <w:footerReference w:type="default" r:id="rId14"/>
      <w:endnotePr>
        <w:numFmt w:val="decimal"/>
      </w:endnotePr>
      <w:type w:val="continuous"/>
      <w:pgSz w:w="12240" w:h="15840"/>
      <w:pgMar w:top="1440" w:right="1296" w:bottom="1440" w:left="1440" w:header="1440" w:footer="14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359F3" w14:textId="77777777" w:rsidR="00ED45E1" w:rsidRDefault="00ED45E1">
      <w:r>
        <w:separator/>
      </w:r>
    </w:p>
  </w:endnote>
  <w:endnote w:type="continuationSeparator" w:id="0">
    <w:p w14:paraId="6ECF25D4" w14:textId="77777777" w:rsidR="00ED45E1" w:rsidRDefault="00ED45E1">
      <w:r>
        <w:continuationSeparator/>
      </w:r>
    </w:p>
  </w:endnote>
  <w:endnote w:type="continuationNotice" w:id="1">
    <w:p w14:paraId="24F708DC" w14:textId="77777777" w:rsidR="00ED45E1" w:rsidRDefault="00ED45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31375" w14:textId="77777777" w:rsidR="00ED45E1" w:rsidRDefault="00ED45E1">
    <w:pPr>
      <w:spacing w:line="240" w:lineRule="exact"/>
    </w:pPr>
  </w:p>
  <w:p w14:paraId="106E508A" w14:textId="7EFC5494" w:rsidR="00ED45E1" w:rsidRDefault="00ED45E1">
    <w:pPr>
      <w:framePr w:w="9505" w:wrap="notBeside" w:vAnchor="text" w:hAnchor="text" w:x="1" w:y="1"/>
      <w:jc w:val="center"/>
    </w:pPr>
    <w:r>
      <w:fldChar w:fldCharType="begin"/>
    </w:r>
    <w:r>
      <w:instrText xml:space="preserve">PAGE </w:instrText>
    </w:r>
    <w:r>
      <w:fldChar w:fldCharType="separate"/>
    </w:r>
    <w:r w:rsidR="00E6692E">
      <w:rPr>
        <w:noProof/>
      </w:rPr>
      <w:t>13</w:t>
    </w:r>
    <w:r>
      <w:fldChar w:fldCharType="end"/>
    </w:r>
  </w:p>
  <w:p w14:paraId="73147A39" w14:textId="77777777" w:rsidR="00ED45E1" w:rsidRDefault="00ED45E1">
    <w:pPr>
      <w:ind w:right="14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01F0" w14:textId="77777777" w:rsidR="00ED45E1" w:rsidRDefault="00ED45E1">
      <w:r>
        <w:separator/>
      </w:r>
    </w:p>
  </w:footnote>
  <w:footnote w:type="continuationSeparator" w:id="0">
    <w:p w14:paraId="05D5FBD9" w14:textId="77777777" w:rsidR="00ED45E1" w:rsidRDefault="00ED45E1">
      <w:r>
        <w:continuationSeparator/>
      </w:r>
    </w:p>
  </w:footnote>
  <w:footnote w:type="continuationNotice" w:id="1">
    <w:p w14:paraId="0709FDA6" w14:textId="77777777" w:rsidR="00ED45E1" w:rsidRDefault="00ED45E1">
      <w:pPr>
        <w:spacing w:line="240" w:lineRule="auto"/>
      </w:pPr>
    </w:p>
  </w:footnote>
  <w:footnote w:id="2">
    <w:p w14:paraId="13E7B34B" w14:textId="04344AE2" w:rsidR="00ED45E1" w:rsidRDefault="00ED45E1">
      <w:pPr>
        <w:pStyle w:val="FootnoteText"/>
      </w:pPr>
      <w:r w:rsidRPr="007A0A83">
        <w:rPr>
          <w:rStyle w:val="FootnoteReference"/>
          <w:sz w:val="20"/>
        </w:rPr>
        <w:footnoteRef/>
      </w:r>
      <w:r>
        <w:rPr>
          <w:sz w:val="20"/>
        </w:rPr>
        <w:t xml:space="preserve"> The federal evaluation team received the Montana comments from CMS on January 25, 2017.</w:t>
      </w:r>
    </w:p>
  </w:footnote>
  <w:footnote w:id="3">
    <w:p w14:paraId="396270CD" w14:textId="62B44011" w:rsidR="00134182" w:rsidRPr="008A62A9" w:rsidRDefault="00134182" w:rsidP="00134182">
      <w:pPr>
        <w:pStyle w:val="FootnoteText"/>
        <w:spacing w:line="240" w:lineRule="auto"/>
        <w:rPr>
          <w:rFonts w:asciiTheme="minorHAnsi" w:hAnsiTheme="minorHAnsi"/>
          <w:sz w:val="20"/>
        </w:rPr>
      </w:pPr>
      <w:r w:rsidRPr="008A62A9">
        <w:rPr>
          <w:rStyle w:val="FootnoteReference"/>
          <w:rFonts w:asciiTheme="minorHAnsi" w:hAnsiTheme="minorHAnsi"/>
          <w:sz w:val="20"/>
        </w:rPr>
        <w:footnoteRef/>
      </w:r>
      <w:r w:rsidRPr="008A62A9">
        <w:rPr>
          <w:rFonts w:asciiTheme="minorHAnsi" w:hAnsiTheme="minorHAnsi"/>
          <w:sz w:val="20"/>
        </w:rPr>
        <w:t xml:space="preserve"> Fredrickson, D. D., Jones, T. L., Molgaard, C. A., Carman, C. G., Schukman, J., Dismuke, S. E., &amp; Ablah, E. (2005). Optimal design features for surveying low-income populations. </w:t>
      </w:r>
      <w:r w:rsidRPr="008A62A9">
        <w:rPr>
          <w:rFonts w:asciiTheme="minorHAnsi" w:hAnsiTheme="minorHAnsi"/>
          <w:i/>
          <w:iCs/>
          <w:sz w:val="20"/>
        </w:rPr>
        <w:t>Journal of Health Care for the Poor and Underserved</w:t>
      </w:r>
      <w:r w:rsidRPr="008A62A9">
        <w:rPr>
          <w:rFonts w:asciiTheme="minorHAnsi" w:hAnsiTheme="minorHAnsi"/>
          <w:sz w:val="20"/>
        </w:rPr>
        <w:t xml:space="preserve">, </w:t>
      </w:r>
      <w:r w:rsidRPr="008A62A9">
        <w:rPr>
          <w:rFonts w:asciiTheme="minorHAnsi" w:hAnsiTheme="minorHAnsi"/>
          <w:i/>
          <w:iCs/>
          <w:sz w:val="20"/>
        </w:rPr>
        <w:t>16</w:t>
      </w:r>
      <w:r w:rsidRPr="008A62A9">
        <w:rPr>
          <w:rFonts w:asciiTheme="minorHAnsi" w:hAnsiTheme="minorHAnsi"/>
          <w:sz w:val="20"/>
        </w:rPr>
        <w:t>(4), 677–690</w:t>
      </w:r>
    </w:p>
    <w:p w14:paraId="380AB048" w14:textId="77777777" w:rsidR="00134182" w:rsidRPr="008A62A9" w:rsidRDefault="00134182" w:rsidP="00134182">
      <w:pPr>
        <w:pStyle w:val="FootnoteText"/>
        <w:spacing w:line="240" w:lineRule="auto"/>
        <w:rPr>
          <w:rFonts w:asciiTheme="minorHAnsi" w:hAnsiTheme="minorHAnsi"/>
          <w:sz w:val="20"/>
        </w:rPr>
      </w:pPr>
    </w:p>
  </w:footnote>
  <w:footnote w:id="4">
    <w:p w14:paraId="1E96C8C0" w14:textId="77777777" w:rsidR="00134182" w:rsidRPr="008A62A9" w:rsidRDefault="00134182" w:rsidP="00134182">
      <w:pPr>
        <w:widowControl w:val="0"/>
        <w:autoSpaceDE w:val="0"/>
        <w:autoSpaceDN w:val="0"/>
        <w:adjustRightInd w:val="0"/>
        <w:spacing w:line="240" w:lineRule="auto"/>
        <w:ind w:left="720" w:hanging="720"/>
        <w:rPr>
          <w:rFonts w:asciiTheme="minorHAnsi" w:hAnsiTheme="minorHAnsi"/>
          <w:sz w:val="20"/>
          <w:szCs w:val="20"/>
        </w:rPr>
      </w:pPr>
      <w:r w:rsidRPr="008A62A9">
        <w:rPr>
          <w:rStyle w:val="FootnoteReference"/>
          <w:rFonts w:asciiTheme="minorHAnsi" w:hAnsiTheme="minorHAnsi"/>
          <w:sz w:val="20"/>
          <w:szCs w:val="20"/>
        </w:rPr>
        <w:footnoteRef/>
      </w:r>
      <w:r w:rsidRPr="008A62A9">
        <w:rPr>
          <w:rFonts w:asciiTheme="minorHAnsi" w:hAnsiTheme="minorHAnsi"/>
          <w:sz w:val="20"/>
          <w:szCs w:val="20"/>
        </w:rPr>
        <w:t xml:space="preserve"> Beebe, T. J., </w:t>
      </w:r>
      <w:bookmarkStart w:id="0" w:name="_GoBack"/>
      <w:r w:rsidRPr="008A62A9">
        <w:rPr>
          <w:rFonts w:asciiTheme="minorHAnsi" w:hAnsiTheme="minorHAnsi"/>
          <w:sz w:val="20"/>
          <w:szCs w:val="20"/>
        </w:rPr>
        <w:t>Davern</w:t>
      </w:r>
      <w:bookmarkEnd w:id="0"/>
      <w:r w:rsidRPr="008A62A9">
        <w:rPr>
          <w:rFonts w:asciiTheme="minorHAnsi" w:hAnsiTheme="minorHAnsi"/>
          <w:sz w:val="20"/>
          <w:szCs w:val="20"/>
        </w:rPr>
        <w:t>, M. E., McAlpine, D. D., Call, K. T., &amp; Rockwood, T. H. (2005).</w:t>
      </w:r>
    </w:p>
    <w:p w14:paraId="6CFA5EA5" w14:textId="4DD2B6BA" w:rsidR="00134182" w:rsidRPr="008A62A9" w:rsidRDefault="00134182" w:rsidP="00134182">
      <w:pPr>
        <w:widowControl w:val="0"/>
        <w:autoSpaceDE w:val="0"/>
        <w:autoSpaceDN w:val="0"/>
        <w:adjustRightInd w:val="0"/>
        <w:spacing w:line="240" w:lineRule="auto"/>
        <w:rPr>
          <w:rFonts w:asciiTheme="minorHAnsi" w:hAnsiTheme="minorHAnsi"/>
          <w:sz w:val="20"/>
          <w:szCs w:val="20"/>
        </w:rPr>
      </w:pPr>
      <w:r w:rsidRPr="008A62A9">
        <w:rPr>
          <w:rFonts w:asciiTheme="minorHAnsi" w:hAnsiTheme="minorHAnsi"/>
          <w:sz w:val="20"/>
          <w:szCs w:val="20"/>
        </w:rPr>
        <w:t xml:space="preserve">Increasing response rates in a survey of Medicaid enrollees: the effect of a prepaid monetary incentive and mixed modes (mail and telephone). </w:t>
      </w:r>
      <w:r w:rsidRPr="008A62A9">
        <w:rPr>
          <w:rFonts w:asciiTheme="minorHAnsi" w:hAnsiTheme="minorHAnsi"/>
          <w:i/>
          <w:iCs/>
          <w:sz w:val="20"/>
          <w:szCs w:val="20"/>
        </w:rPr>
        <w:t>Medical Care</w:t>
      </w:r>
      <w:r w:rsidRPr="008A62A9">
        <w:rPr>
          <w:rFonts w:asciiTheme="minorHAnsi" w:hAnsiTheme="minorHAnsi"/>
          <w:sz w:val="20"/>
          <w:szCs w:val="20"/>
        </w:rPr>
        <w:t xml:space="preserve">, </w:t>
      </w:r>
      <w:r w:rsidRPr="008A62A9">
        <w:rPr>
          <w:rFonts w:asciiTheme="minorHAnsi" w:hAnsiTheme="minorHAnsi"/>
          <w:i/>
          <w:iCs/>
          <w:sz w:val="20"/>
          <w:szCs w:val="20"/>
        </w:rPr>
        <w:t>43</w:t>
      </w:r>
      <w:r w:rsidRPr="008A62A9">
        <w:rPr>
          <w:rFonts w:asciiTheme="minorHAnsi" w:hAnsiTheme="minorHAnsi"/>
          <w:sz w:val="20"/>
          <w:szCs w:val="20"/>
        </w:rPr>
        <w:t>(4), 411–414.</w:t>
      </w:r>
    </w:p>
    <w:p w14:paraId="78FAB748" w14:textId="173A286B" w:rsidR="00134182" w:rsidRPr="008A62A9" w:rsidRDefault="00134182" w:rsidP="00134182">
      <w:pPr>
        <w:pStyle w:val="FootnoteText"/>
        <w:spacing w:line="240" w:lineRule="auto"/>
        <w:rPr>
          <w:rFonts w:asciiTheme="minorHAnsi" w:hAnsiTheme="minorHAnsi"/>
          <w:sz w:val="20"/>
        </w:rPr>
      </w:pPr>
    </w:p>
  </w:footnote>
  <w:footnote w:id="5">
    <w:p w14:paraId="462E5AAE" w14:textId="27EDB6D0" w:rsidR="00134182" w:rsidRPr="008A62A9" w:rsidRDefault="00134182" w:rsidP="00134182">
      <w:pPr>
        <w:autoSpaceDE w:val="0"/>
        <w:autoSpaceDN w:val="0"/>
        <w:spacing w:line="240" w:lineRule="auto"/>
        <w:rPr>
          <w:rFonts w:asciiTheme="minorHAnsi" w:hAnsiTheme="minorHAnsi"/>
          <w:sz w:val="20"/>
          <w:szCs w:val="20"/>
        </w:rPr>
      </w:pPr>
      <w:r w:rsidRPr="008A62A9">
        <w:rPr>
          <w:rStyle w:val="FootnoteReference"/>
          <w:rFonts w:asciiTheme="minorHAnsi" w:hAnsiTheme="minorHAnsi"/>
          <w:sz w:val="20"/>
          <w:szCs w:val="20"/>
        </w:rPr>
        <w:footnoteRef/>
      </w:r>
      <w:r w:rsidRPr="008A62A9">
        <w:rPr>
          <w:rFonts w:asciiTheme="minorHAnsi" w:hAnsiTheme="minorHAnsi"/>
          <w:sz w:val="20"/>
          <w:szCs w:val="20"/>
        </w:rPr>
        <w:t xml:space="preserve"> Singer E. “The Use and Effects of Incentives in Surveys,” prepared for presentation to the National Science Foundation, Washington DC, October 3-4, 2012.</w:t>
      </w:r>
    </w:p>
    <w:p w14:paraId="1899C20D" w14:textId="301D8945" w:rsidR="00134182" w:rsidRPr="008A62A9" w:rsidRDefault="00134182">
      <w:pPr>
        <w:pStyle w:val="FootnoteText"/>
        <w:rPr>
          <w:rFonts w:asciiTheme="minorHAnsi" w:hAnsiTheme="minorHAnsi"/>
          <w:sz w:val="20"/>
        </w:rPr>
      </w:pPr>
    </w:p>
  </w:footnote>
  <w:footnote w:id="6">
    <w:p w14:paraId="72112086" w14:textId="3FD2EC2C" w:rsidR="00ED45E1" w:rsidRPr="006E2FFB" w:rsidRDefault="00ED45E1">
      <w:pPr>
        <w:pStyle w:val="FootnoteText"/>
        <w:rPr>
          <w:sz w:val="20"/>
        </w:rPr>
      </w:pPr>
      <w:r w:rsidRPr="006E2FFB">
        <w:rPr>
          <w:rStyle w:val="FootnoteReference"/>
          <w:sz w:val="20"/>
          <w:vertAlign w:val="superscript"/>
        </w:rPr>
        <w:footnoteRef/>
      </w:r>
      <w:r w:rsidRPr="006E2FFB">
        <w:rPr>
          <w:sz w:val="20"/>
          <w:vertAlign w:val="superscript"/>
        </w:rPr>
        <w:t xml:space="preserve"> </w:t>
      </w:r>
      <w:r w:rsidRPr="006E2FFB">
        <w:rPr>
          <w:sz w:val="20"/>
        </w:rPr>
        <w:t>Beneficiary survey screenshots are representative of all survey questions in the survey. The skip logic will be solely represented in the programming based on individual responses.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88A7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3287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4CC7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1C44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0C16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D809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7221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0AD6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9286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D226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047F88"/>
    <w:multiLevelType w:val="hybridMultilevel"/>
    <w:tmpl w:val="94E24A62"/>
    <w:lvl w:ilvl="0" w:tplc="7D8AA244">
      <w:start w:val="8"/>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34B06A9"/>
    <w:multiLevelType w:val="hybridMultilevel"/>
    <w:tmpl w:val="42566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9024A5"/>
    <w:multiLevelType w:val="hybridMultilevel"/>
    <w:tmpl w:val="EC3076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4193A4A"/>
    <w:multiLevelType w:val="hybridMultilevel"/>
    <w:tmpl w:val="E7846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362D39"/>
    <w:multiLevelType w:val="hybridMultilevel"/>
    <w:tmpl w:val="312005C8"/>
    <w:lvl w:ilvl="0" w:tplc="1FBAA3BC">
      <w:numFmt w:val="bullet"/>
      <w:lvlText w:val="-"/>
      <w:lvlJc w:val="left"/>
      <w:pPr>
        <w:ind w:left="405"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7711898"/>
    <w:multiLevelType w:val="hybridMultilevel"/>
    <w:tmpl w:val="587AA3C6"/>
    <w:lvl w:ilvl="0" w:tplc="1FBAA3BC">
      <w:numFmt w:val="bullet"/>
      <w:lvlText w:val="-"/>
      <w:lvlJc w:val="left"/>
      <w:pPr>
        <w:ind w:left="450" w:hanging="360"/>
      </w:pPr>
      <w:rPr>
        <w:rFonts w:ascii="Calibri" w:eastAsia="Calibri" w:hAnsi="Calibri"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6" w15:restartNumberingAfterBreak="0">
    <w:nsid w:val="6F724A85"/>
    <w:multiLevelType w:val="hybridMultilevel"/>
    <w:tmpl w:val="D5E417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CD2C1A"/>
    <w:multiLevelType w:val="hybridMultilevel"/>
    <w:tmpl w:val="24702D5A"/>
    <w:lvl w:ilvl="0" w:tplc="98765A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792" w:hanging="360"/>
      </w:pPr>
      <w:rPr>
        <w:rFonts w:ascii="Courier New" w:hAnsi="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hint="default"/>
      </w:rPr>
    </w:lvl>
    <w:lvl w:ilvl="8" w:tplc="04090005" w:tentative="1">
      <w:start w:val="1"/>
      <w:numFmt w:val="bullet"/>
      <w:lvlText w:val=""/>
      <w:lvlJc w:val="left"/>
      <w:pPr>
        <w:ind w:left="5832" w:hanging="360"/>
      </w:pPr>
      <w:rPr>
        <w:rFonts w:ascii="Wingdings" w:hAnsi="Wingdings" w:hint="default"/>
      </w:rPr>
    </w:lvl>
  </w:abstractNum>
  <w:num w:numId="1">
    <w:abstractNumId w:val="13"/>
  </w:num>
  <w:num w:numId="2">
    <w:abstractNumId w:val="17"/>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6"/>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103CB"/>
    <w:rsid w:val="000114B2"/>
    <w:rsid w:val="00040A87"/>
    <w:rsid w:val="00046E61"/>
    <w:rsid w:val="0006152B"/>
    <w:rsid w:val="000650E1"/>
    <w:rsid w:val="00070BA0"/>
    <w:rsid w:val="00071491"/>
    <w:rsid w:val="00081AFB"/>
    <w:rsid w:val="000846A6"/>
    <w:rsid w:val="00091768"/>
    <w:rsid w:val="00094213"/>
    <w:rsid w:val="00095550"/>
    <w:rsid w:val="000A2A8F"/>
    <w:rsid w:val="000B24F7"/>
    <w:rsid w:val="000B30F6"/>
    <w:rsid w:val="000C56EA"/>
    <w:rsid w:val="000D5196"/>
    <w:rsid w:val="000E30F1"/>
    <w:rsid w:val="000E7799"/>
    <w:rsid w:val="000F3AF4"/>
    <w:rsid w:val="000F79D5"/>
    <w:rsid w:val="0010252F"/>
    <w:rsid w:val="00112649"/>
    <w:rsid w:val="00114BD8"/>
    <w:rsid w:val="00116BAF"/>
    <w:rsid w:val="00117468"/>
    <w:rsid w:val="00120AC2"/>
    <w:rsid w:val="001268CE"/>
    <w:rsid w:val="00134182"/>
    <w:rsid w:val="0013746D"/>
    <w:rsid w:val="00144022"/>
    <w:rsid w:val="00145019"/>
    <w:rsid w:val="00145B0C"/>
    <w:rsid w:val="00150557"/>
    <w:rsid w:val="001616A7"/>
    <w:rsid w:val="00166929"/>
    <w:rsid w:val="00181F3C"/>
    <w:rsid w:val="001846E9"/>
    <w:rsid w:val="00196EF0"/>
    <w:rsid w:val="001B4B92"/>
    <w:rsid w:val="001D1A14"/>
    <w:rsid w:val="001D3007"/>
    <w:rsid w:val="001D31FE"/>
    <w:rsid w:val="001D4709"/>
    <w:rsid w:val="001D4A88"/>
    <w:rsid w:val="001E33EC"/>
    <w:rsid w:val="00203877"/>
    <w:rsid w:val="00214039"/>
    <w:rsid w:val="00222B2B"/>
    <w:rsid w:val="002243AB"/>
    <w:rsid w:val="00224B70"/>
    <w:rsid w:val="00226073"/>
    <w:rsid w:val="002342AD"/>
    <w:rsid w:val="0023784A"/>
    <w:rsid w:val="00240550"/>
    <w:rsid w:val="0024201F"/>
    <w:rsid w:val="002453E2"/>
    <w:rsid w:val="00250DC3"/>
    <w:rsid w:val="00263657"/>
    <w:rsid w:val="00267FE6"/>
    <w:rsid w:val="00270742"/>
    <w:rsid w:val="00273B1F"/>
    <w:rsid w:val="00280C5E"/>
    <w:rsid w:val="00281802"/>
    <w:rsid w:val="00284FC4"/>
    <w:rsid w:val="0029772E"/>
    <w:rsid w:val="002A2B0B"/>
    <w:rsid w:val="002B4227"/>
    <w:rsid w:val="002C65D2"/>
    <w:rsid w:val="002D355D"/>
    <w:rsid w:val="002D3EC8"/>
    <w:rsid w:val="002E035C"/>
    <w:rsid w:val="002E3120"/>
    <w:rsid w:val="002E3D3A"/>
    <w:rsid w:val="0030367F"/>
    <w:rsid w:val="003060A2"/>
    <w:rsid w:val="003127DB"/>
    <w:rsid w:val="00316BF5"/>
    <w:rsid w:val="00321033"/>
    <w:rsid w:val="00330876"/>
    <w:rsid w:val="00340826"/>
    <w:rsid w:val="003408D1"/>
    <w:rsid w:val="003436B0"/>
    <w:rsid w:val="00343E07"/>
    <w:rsid w:val="00345D8F"/>
    <w:rsid w:val="00363900"/>
    <w:rsid w:val="00363EBA"/>
    <w:rsid w:val="003722CB"/>
    <w:rsid w:val="0037586F"/>
    <w:rsid w:val="003779AD"/>
    <w:rsid w:val="003808DE"/>
    <w:rsid w:val="003809EC"/>
    <w:rsid w:val="00381CA0"/>
    <w:rsid w:val="0038350F"/>
    <w:rsid w:val="00386AF0"/>
    <w:rsid w:val="00386B1D"/>
    <w:rsid w:val="00396A46"/>
    <w:rsid w:val="003A54D3"/>
    <w:rsid w:val="003A6F9D"/>
    <w:rsid w:val="003B07DE"/>
    <w:rsid w:val="003B21FA"/>
    <w:rsid w:val="003C2312"/>
    <w:rsid w:val="003C3D74"/>
    <w:rsid w:val="003C7F2B"/>
    <w:rsid w:val="003D317A"/>
    <w:rsid w:val="003D554F"/>
    <w:rsid w:val="003E3F1A"/>
    <w:rsid w:val="003F31AC"/>
    <w:rsid w:val="00402FE6"/>
    <w:rsid w:val="00403A97"/>
    <w:rsid w:val="004068E1"/>
    <w:rsid w:val="00410B92"/>
    <w:rsid w:val="00413495"/>
    <w:rsid w:val="00413C4A"/>
    <w:rsid w:val="0041750F"/>
    <w:rsid w:val="0042083E"/>
    <w:rsid w:val="004212D5"/>
    <w:rsid w:val="00421FE2"/>
    <w:rsid w:val="00425BE4"/>
    <w:rsid w:val="00431DD7"/>
    <w:rsid w:val="00433E52"/>
    <w:rsid w:val="00442237"/>
    <w:rsid w:val="0044250F"/>
    <w:rsid w:val="004507B3"/>
    <w:rsid w:val="0045680B"/>
    <w:rsid w:val="00457B12"/>
    <w:rsid w:val="004603B1"/>
    <w:rsid w:val="00463B8F"/>
    <w:rsid w:val="004707FC"/>
    <w:rsid w:val="0047424D"/>
    <w:rsid w:val="00481499"/>
    <w:rsid w:val="00496414"/>
    <w:rsid w:val="00496B86"/>
    <w:rsid w:val="004C3AC6"/>
    <w:rsid w:val="004D44C3"/>
    <w:rsid w:val="004E785E"/>
    <w:rsid w:val="004F168B"/>
    <w:rsid w:val="004F6B35"/>
    <w:rsid w:val="00510813"/>
    <w:rsid w:val="0051293A"/>
    <w:rsid w:val="00513491"/>
    <w:rsid w:val="00542659"/>
    <w:rsid w:val="00554725"/>
    <w:rsid w:val="0055476B"/>
    <w:rsid w:val="0055609B"/>
    <w:rsid w:val="00560558"/>
    <w:rsid w:val="00563816"/>
    <w:rsid w:val="00580EBC"/>
    <w:rsid w:val="00582DDD"/>
    <w:rsid w:val="005857BF"/>
    <w:rsid w:val="005864FB"/>
    <w:rsid w:val="0059417A"/>
    <w:rsid w:val="005A0B8A"/>
    <w:rsid w:val="005A5E78"/>
    <w:rsid w:val="005B00CE"/>
    <w:rsid w:val="005B07DD"/>
    <w:rsid w:val="005B0D48"/>
    <w:rsid w:val="005B5697"/>
    <w:rsid w:val="005C2826"/>
    <w:rsid w:val="005E1EB4"/>
    <w:rsid w:val="005E2F95"/>
    <w:rsid w:val="005E2FEF"/>
    <w:rsid w:val="005E3725"/>
    <w:rsid w:val="005E4284"/>
    <w:rsid w:val="005F34D8"/>
    <w:rsid w:val="00606265"/>
    <w:rsid w:val="006066C7"/>
    <w:rsid w:val="00610453"/>
    <w:rsid w:val="00616919"/>
    <w:rsid w:val="0061724B"/>
    <w:rsid w:val="00630879"/>
    <w:rsid w:val="006348AF"/>
    <w:rsid w:val="00634B41"/>
    <w:rsid w:val="006377B7"/>
    <w:rsid w:val="00646E03"/>
    <w:rsid w:val="006653C5"/>
    <w:rsid w:val="006669FE"/>
    <w:rsid w:val="00674BBF"/>
    <w:rsid w:val="00675EF2"/>
    <w:rsid w:val="00675FF4"/>
    <w:rsid w:val="0068403E"/>
    <w:rsid w:val="006953B6"/>
    <w:rsid w:val="00695527"/>
    <w:rsid w:val="006959A4"/>
    <w:rsid w:val="006A0FF7"/>
    <w:rsid w:val="006A22B9"/>
    <w:rsid w:val="006A6965"/>
    <w:rsid w:val="006B4A33"/>
    <w:rsid w:val="006B4ACE"/>
    <w:rsid w:val="006B5EAB"/>
    <w:rsid w:val="006C05CF"/>
    <w:rsid w:val="006C516F"/>
    <w:rsid w:val="006C5908"/>
    <w:rsid w:val="006D6D75"/>
    <w:rsid w:val="006E2FFB"/>
    <w:rsid w:val="006E3AB1"/>
    <w:rsid w:val="006E5A37"/>
    <w:rsid w:val="006F6CF8"/>
    <w:rsid w:val="006F764B"/>
    <w:rsid w:val="00704B66"/>
    <w:rsid w:val="00721E48"/>
    <w:rsid w:val="00732657"/>
    <w:rsid w:val="00740E7F"/>
    <w:rsid w:val="007535BF"/>
    <w:rsid w:val="00762D03"/>
    <w:rsid w:val="0076399D"/>
    <w:rsid w:val="00767ED1"/>
    <w:rsid w:val="00772C3A"/>
    <w:rsid w:val="007733AC"/>
    <w:rsid w:val="00773A5D"/>
    <w:rsid w:val="007779FD"/>
    <w:rsid w:val="00795842"/>
    <w:rsid w:val="00796C25"/>
    <w:rsid w:val="007A0A83"/>
    <w:rsid w:val="007B40A6"/>
    <w:rsid w:val="007C2F5B"/>
    <w:rsid w:val="007C50DD"/>
    <w:rsid w:val="007C718A"/>
    <w:rsid w:val="007C7567"/>
    <w:rsid w:val="007D2270"/>
    <w:rsid w:val="007D7187"/>
    <w:rsid w:val="007E47C0"/>
    <w:rsid w:val="00802F69"/>
    <w:rsid w:val="008048B4"/>
    <w:rsid w:val="00807883"/>
    <w:rsid w:val="00823962"/>
    <w:rsid w:val="00826DE9"/>
    <w:rsid w:val="00830E98"/>
    <w:rsid w:val="0083466C"/>
    <w:rsid w:val="00841F0C"/>
    <w:rsid w:val="00842C99"/>
    <w:rsid w:val="00844401"/>
    <w:rsid w:val="0085174F"/>
    <w:rsid w:val="00852DA4"/>
    <w:rsid w:val="008535DC"/>
    <w:rsid w:val="00855541"/>
    <w:rsid w:val="00857FDF"/>
    <w:rsid w:val="00870D59"/>
    <w:rsid w:val="00871D97"/>
    <w:rsid w:val="008744D6"/>
    <w:rsid w:val="008A1E2E"/>
    <w:rsid w:val="008A62A9"/>
    <w:rsid w:val="008A741C"/>
    <w:rsid w:val="008B7119"/>
    <w:rsid w:val="008C244E"/>
    <w:rsid w:val="008C2905"/>
    <w:rsid w:val="008C31E4"/>
    <w:rsid w:val="008C7AB8"/>
    <w:rsid w:val="008E298A"/>
    <w:rsid w:val="008F1EB4"/>
    <w:rsid w:val="008F5280"/>
    <w:rsid w:val="008F5EB0"/>
    <w:rsid w:val="00913045"/>
    <w:rsid w:val="00916CBC"/>
    <w:rsid w:val="00927DB1"/>
    <w:rsid w:val="009301CF"/>
    <w:rsid w:val="00931586"/>
    <w:rsid w:val="00933E3D"/>
    <w:rsid w:val="00954921"/>
    <w:rsid w:val="0096017B"/>
    <w:rsid w:val="00965AEA"/>
    <w:rsid w:val="00972C7D"/>
    <w:rsid w:val="009756BE"/>
    <w:rsid w:val="00980BDF"/>
    <w:rsid w:val="0098219D"/>
    <w:rsid w:val="0098678F"/>
    <w:rsid w:val="009900A6"/>
    <w:rsid w:val="0099214D"/>
    <w:rsid w:val="009B384B"/>
    <w:rsid w:val="009B5E54"/>
    <w:rsid w:val="009B68D5"/>
    <w:rsid w:val="009B75EE"/>
    <w:rsid w:val="009C009A"/>
    <w:rsid w:val="009C0B4E"/>
    <w:rsid w:val="009C468E"/>
    <w:rsid w:val="009E4060"/>
    <w:rsid w:val="00A1347B"/>
    <w:rsid w:val="00A1453F"/>
    <w:rsid w:val="00A16366"/>
    <w:rsid w:val="00A23AA7"/>
    <w:rsid w:val="00A435EA"/>
    <w:rsid w:val="00A438AE"/>
    <w:rsid w:val="00A62FC4"/>
    <w:rsid w:val="00A63596"/>
    <w:rsid w:val="00A66C5B"/>
    <w:rsid w:val="00A759FA"/>
    <w:rsid w:val="00A96268"/>
    <w:rsid w:val="00AA20A8"/>
    <w:rsid w:val="00AB023C"/>
    <w:rsid w:val="00AC12F6"/>
    <w:rsid w:val="00AC1EA8"/>
    <w:rsid w:val="00AC775A"/>
    <w:rsid w:val="00AC7967"/>
    <w:rsid w:val="00AD49AE"/>
    <w:rsid w:val="00AE3C80"/>
    <w:rsid w:val="00AE58CD"/>
    <w:rsid w:val="00AE644E"/>
    <w:rsid w:val="00AE77D1"/>
    <w:rsid w:val="00B04C8E"/>
    <w:rsid w:val="00B15ECB"/>
    <w:rsid w:val="00B257E5"/>
    <w:rsid w:val="00B3209A"/>
    <w:rsid w:val="00B3683B"/>
    <w:rsid w:val="00B43AD7"/>
    <w:rsid w:val="00B44C71"/>
    <w:rsid w:val="00B555E3"/>
    <w:rsid w:val="00B60482"/>
    <w:rsid w:val="00B6410F"/>
    <w:rsid w:val="00B66B3D"/>
    <w:rsid w:val="00B7210C"/>
    <w:rsid w:val="00B7275B"/>
    <w:rsid w:val="00B73C3B"/>
    <w:rsid w:val="00B81D2F"/>
    <w:rsid w:val="00B82815"/>
    <w:rsid w:val="00B82F31"/>
    <w:rsid w:val="00B94D0C"/>
    <w:rsid w:val="00B97906"/>
    <w:rsid w:val="00BA68B1"/>
    <w:rsid w:val="00BB1646"/>
    <w:rsid w:val="00BB3C0F"/>
    <w:rsid w:val="00BB651F"/>
    <w:rsid w:val="00BC30B1"/>
    <w:rsid w:val="00BD75FB"/>
    <w:rsid w:val="00BD7B1D"/>
    <w:rsid w:val="00BE7B73"/>
    <w:rsid w:val="00BF04F1"/>
    <w:rsid w:val="00C00E90"/>
    <w:rsid w:val="00C01770"/>
    <w:rsid w:val="00C02D63"/>
    <w:rsid w:val="00C059D3"/>
    <w:rsid w:val="00C05B17"/>
    <w:rsid w:val="00C05DA7"/>
    <w:rsid w:val="00C1165E"/>
    <w:rsid w:val="00C12F39"/>
    <w:rsid w:val="00C2109F"/>
    <w:rsid w:val="00C27F08"/>
    <w:rsid w:val="00C32286"/>
    <w:rsid w:val="00C355C2"/>
    <w:rsid w:val="00C37ACA"/>
    <w:rsid w:val="00C53DC2"/>
    <w:rsid w:val="00C634D9"/>
    <w:rsid w:val="00C63F2C"/>
    <w:rsid w:val="00C6429A"/>
    <w:rsid w:val="00C74504"/>
    <w:rsid w:val="00C7671A"/>
    <w:rsid w:val="00C767A5"/>
    <w:rsid w:val="00C81E26"/>
    <w:rsid w:val="00C845ED"/>
    <w:rsid w:val="00C85130"/>
    <w:rsid w:val="00C90F5B"/>
    <w:rsid w:val="00CA1376"/>
    <w:rsid w:val="00CA1B14"/>
    <w:rsid w:val="00CB0DE2"/>
    <w:rsid w:val="00CB2114"/>
    <w:rsid w:val="00CB4C94"/>
    <w:rsid w:val="00CB622D"/>
    <w:rsid w:val="00CE08D9"/>
    <w:rsid w:val="00CE5BF3"/>
    <w:rsid w:val="00CF3749"/>
    <w:rsid w:val="00CF5391"/>
    <w:rsid w:val="00CF5652"/>
    <w:rsid w:val="00D077E9"/>
    <w:rsid w:val="00D11CA2"/>
    <w:rsid w:val="00D20BD0"/>
    <w:rsid w:val="00D22AE8"/>
    <w:rsid w:val="00D22B6A"/>
    <w:rsid w:val="00D26B92"/>
    <w:rsid w:val="00D2732B"/>
    <w:rsid w:val="00D433D2"/>
    <w:rsid w:val="00D46E02"/>
    <w:rsid w:val="00D46F31"/>
    <w:rsid w:val="00D500A9"/>
    <w:rsid w:val="00D55FEE"/>
    <w:rsid w:val="00D5740E"/>
    <w:rsid w:val="00D65118"/>
    <w:rsid w:val="00D7010F"/>
    <w:rsid w:val="00D7026A"/>
    <w:rsid w:val="00D81993"/>
    <w:rsid w:val="00D85A61"/>
    <w:rsid w:val="00DB0397"/>
    <w:rsid w:val="00DC4664"/>
    <w:rsid w:val="00DE1709"/>
    <w:rsid w:val="00DE5D53"/>
    <w:rsid w:val="00DF2E88"/>
    <w:rsid w:val="00DF42AD"/>
    <w:rsid w:val="00E00D98"/>
    <w:rsid w:val="00E04B50"/>
    <w:rsid w:val="00E07FB4"/>
    <w:rsid w:val="00E14431"/>
    <w:rsid w:val="00E258E3"/>
    <w:rsid w:val="00E25E73"/>
    <w:rsid w:val="00E33A26"/>
    <w:rsid w:val="00E37EE3"/>
    <w:rsid w:val="00E46165"/>
    <w:rsid w:val="00E57DFD"/>
    <w:rsid w:val="00E62058"/>
    <w:rsid w:val="00E63CD0"/>
    <w:rsid w:val="00E64EF1"/>
    <w:rsid w:val="00E667AB"/>
    <w:rsid w:val="00E6692E"/>
    <w:rsid w:val="00E807E4"/>
    <w:rsid w:val="00E82BE3"/>
    <w:rsid w:val="00E93CB2"/>
    <w:rsid w:val="00E973D2"/>
    <w:rsid w:val="00EA2923"/>
    <w:rsid w:val="00EB5188"/>
    <w:rsid w:val="00EB554B"/>
    <w:rsid w:val="00EB66CB"/>
    <w:rsid w:val="00ED2AB8"/>
    <w:rsid w:val="00ED45E1"/>
    <w:rsid w:val="00ED7C17"/>
    <w:rsid w:val="00EE2696"/>
    <w:rsid w:val="00EF1284"/>
    <w:rsid w:val="00EF29EC"/>
    <w:rsid w:val="00EF2DBB"/>
    <w:rsid w:val="00EF36E3"/>
    <w:rsid w:val="00EF4500"/>
    <w:rsid w:val="00F00FA1"/>
    <w:rsid w:val="00F02927"/>
    <w:rsid w:val="00F04F95"/>
    <w:rsid w:val="00F0740F"/>
    <w:rsid w:val="00F111F5"/>
    <w:rsid w:val="00F146E9"/>
    <w:rsid w:val="00F301C1"/>
    <w:rsid w:val="00F31778"/>
    <w:rsid w:val="00F51A23"/>
    <w:rsid w:val="00F56181"/>
    <w:rsid w:val="00F65253"/>
    <w:rsid w:val="00F67665"/>
    <w:rsid w:val="00F7028D"/>
    <w:rsid w:val="00F70874"/>
    <w:rsid w:val="00F74D68"/>
    <w:rsid w:val="00F80503"/>
    <w:rsid w:val="00F82C86"/>
    <w:rsid w:val="00FA5ADA"/>
    <w:rsid w:val="00FA797A"/>
    <w:rsid w:val="00FB1792"/>
    <w:rsid w:val="00FB2909"/>
    <w:rsid w:val="00FB4BE8"/>
    <w:rsid w:val="00FD1135"/>
    <w:rsid w:val="00FE0B98"/>
    <w:rsid w:val="00FE14D1"/>
    <w:rsid w:val="00FE4097"/>
    <w:rsid w:val="00FE504B"/>
    <w:rsid w:val="00FF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4DC40"/>
  <w15:docId w15:val="{CC8070CF-A896-4661-A52E-A887BF17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B1D"/>
    <w:pPr>
      <w:spacing w:line="276" w:lineRule="auto"/>
    </w:pPr>
    <w:rPr>
      <w:sz w:val="24"/>
      <w:szCs w:val="22"/>
    </w:rPr>
  </w:style>
  <w:style w:type="paragraph" w:styleId="Heading1">
    <w:name w:val="heading 1"/>
    <w:basedOn w:val="Normal"/>
    <w:next w:val="Normal"/>
    <w:link w:val="Heading1Char"/>
    <w:autoRedefine/>
    <w:uiPriority w:val="9"/>
    <w:qFormat/>
    <w:rsid w:val="00C90F5B"/>
    <w:pPr>
      <w:widowControl w:val="0"/>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CF5391"/>
    <w:pPr>
      <w:keepNext/>
      <w:keepLines/>
      <w:spacing w:before="20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C90F5B"/>
    <w:pPr>
      <w:keepNext/>
      <w:keepLines/>
      <w:spacing w:before="200"/>
      <w:outlineLvl w:val="2"/>
    </w:pPr>
    <w:rPr>
      <w:rFonts w:ascii="Cambria" w:hAnsi="Cambria"/>
      <w:b/>
      <w:bCs/>
      <w:sz w:val="22"/>
    </w:rPr>
  </w:style>
  <w:style w:type="paragraph" w:styleId="Heading4">
    <w:name w:val="heading 4"/>
    <w:basedOn w:val="Normal"/>
    <w:next w:val="Normal"/>
    <w:link w:val="Heading4Char"/>
    <w:uiPriority w:val="9"/>
    <w:unhideWhenUsed/>
    <w:qFormat/>
    <w:rsid w:val="005B0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outlineLvl w:val="3"/>
    </w:pPr>
    <w:rPr>
      <w:i/>
    </w:rPr>
  </w:style>
  <w:style w:type="paragraph" w:styleId="Heading5">
    <w:name w:val="heading 5"/>
    <w:basedOn w:val="Normal"/>
    <w:next w:val="Normal"/>
    <w:link w:val="Heading5Char"/>
    <w:uiPriority w:val="9"/>
    <w:unhideWhenUsed/>
    <w:qFormat/>
    <w:rsid w:val="005B00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4"/>
    </w:pPr>
    <w:rPr>
      <w:i/>
    </w:rPr>
  </w:style>
  <w:style w:type="paragraph" w:styleId="Heading6">
    <w:name w:val="heading 6"/>
    <w:basedOn w:val="Normal"/>
    <w:next w:val="Normal"/>
    <w:link w:val="Heading6Char"/>
    <w:uiPriority w:val="9"/>
    <w:semiHidden/>
    <w:unhideWhenUsed/>
    <w:qFormat/>
    <w:rsid w:val="00D22B6A"/>
    <w:pPr>
      <w:keepNext/>
      <w:keepLines/>
      <w:spacing w:before="20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D22B6A"/>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D22B6A"/>
    <w:pPr>
      <w:keepNext/>
      <w:keepLines/>
      <w:spacing w:before="20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D22B6A"/>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nhideWhenUsed/>
    <w:rsid w:val="000A2A8F"/>
    <w:rPr>
      <w:color w:val="0000FF"/>
      <w:u w:val="single"/>
    </w:rPr>
  </w:style>
  <w:style w:type="character" w:styleId="CommentReference">
    <w:name w:val="annotation reference"/>
    <w:uiPriority w:val="99"/>
    <w:rsid w:val="000A2A8F"/>
    <w:rPr>
      <w:sz w:val="16"/>
      <w:szCs w:val="16"/>
    </w:rPr>
  </w:style>
  <w:style w:type="paragraph" w:styleId="CommentText">
    <w:name w:val="annotation text"/>
    <w:basedOn w:val="Normal"/>
    <w:link w:val="CommentTextChar"/>
    <w:uiPriority w:val="99"/>
    <w:rsid w:val="000A2A8F"/>
    <w:rPr>
      <w:szCs w:val="20"/>
    </w:rPr>
  </w:style>
  <w:style w:type="character" w:customStyle="1" w:styleId="CommentTextChar">
    <w:name w:val="Comment Text Char"/>
    <w:basedOn w:val="DefaultParagraphFont"/>
    <w:link w:val="CommentText"/>
    <w:uiPriority w:val="99"/>
    <w:rsid w:val="000A2A8F"/>
  </w:style>
  <w:style w:type="paragraph" w:styleId="CommentSubject">
    <w:name w:val="annotation subject"/>
    <w:basedOn w:val="CommentText"/>
    <w:next w:val="CommentText"/>
    <w:link w:val="CommentSubjectChar"/>
    <w:rsid w:val="000A2A8F"/>
    <w:rPr>
      <w:b/>
      <w:bCs/>
    </w:rPr>
  </w:style>
  <w:style w:type="character" w:customStyle="1" w:styleId="CommentSubjectChar">
    <w:name w:val="Comment Subject Char"/>
    <w:link w:val="CommentSubject"/>
    <w:rsid w:val="000A2A8F"/>
    <w:rPr>
      <w:b/>
      <w:bCs/>
    </w:rPr>
  </w:style>
  <w:style w:type="paragraph" w:styleId="BalloonText">
    <w:name w:val="Balloon Text"/>
    <w:basedOn w:val="Normal"/>
    <w:link w:val="BalloonTextChar"/>
    <w:rsid w:val="000A2A8F"/>
    <w:rPr>
      <w:rFonts w:ascii="Tahoma" w:hAnsi="Tahoma" w:cs="Tahoma"/>
      <w:sz w:val="16"/>
      <w:szCs w:val="16"/>
    </w:rPr>
  </w:style>
  <w:style w:type="character" w:customStyle="1" w:styleId="BalloonTextChar">
    <w:name w:val="Balloon Text Char"/>
    <w:link w:val="BalloonText"/>
    <w:rsid w:val="000A2A8F"/>
    <w:rPr>
      <w:rFonts w:ascii="Tahoma" w:hAnsi="Tahoma" w:cs="Tahoma"/>
      <w:sz w:val="16"/>
      <w:szCs w:val="16"/>
    </w:rPr>
  </w:style>
  <w:style w:type="paragraph" w:styleId="ListParagraph">
    <w:name w:val="List Paragraph"/>
    <w:basedOn w:val="Normal"/>
    <w:uiPriority w:val="34"/>
    <w:qFormat/>
    <w:rsid w:val="00D22B6A"/>
    <w:pPr>
      <w:ind w:left="720"/>
      <w:contextualSpacing/>
    </w:pPr>
  </w:style>
  <w:style w:type="paragraph" w:styleId="BodyText">
    <w:name w:val="Body Text"/>
    <w:link w:val="BodyTextChar"/>
    <w:uiPriority w:val="99"/>
    <w:unhideWhenUsed/>
    <w:rsid w:val="00C059D3"/>
    <w:pPr>
      <w:spacing w:before="40" w:after="40" w:line="276" w:lineRule="auto"/>
    </w:pPr>
    <w:rPr>
      <w:rFonts w:eastAsia="Calibri" w:cs="Cambria"/>
      <w:sz w:val="24"/>
      <w:szCs w:val="22"/>
    </w:rPr>
  </w:style>
  <w:style w:type="character" w:customStyle="1" w:styleId="BodyTextChar">
    <w:name w:val="Body Text Char"/>
    <w:link w:val="BodyText"/>
    <w:uiPriority w:val="99"/>
    <w:rsid w:val="00C059D3"/>
    <w:rPr>
      <w:rFonts w:ascii="Calibri" w:eastAsia="Calibri" w:hAnsi="Calibri" w:cs="Cambria"/>
      <w:sz w:val="24"/>
    </w:rPr>
  </w:style>
  <w:style w:type="character" w:customStyle="1" w:styleId="Heading1Char">
    <w:name w:val="Heading 1 Char"/>
    <w:link w:val="Heading1"/>
    <w:uiPriority w:val="9"/>
    <w:rsid w:val="00C90F5B"/>
    <w:rPr>
      <w:rFonts w:ascii="Cambria" w:eastAsia="Times New Roman" w:hAnsi="Cambria" w:cs="Times New Roman"/>
      <w:b/>
      <w:bCs/>
      <w:sz w:val="32"/>
      <w:szCs w:val="28"/>
    </w:rPr>
  </w:style>
  <w:style w:type="character" w:styleId="FollowedHyperlink">
    <w:name w:val="FollowedHyperlink"/>
    <w:rsid w:val="000F79D5"/>
    <w:rPr>
      <w:color w:val="800080"/>
      <w:u w:val="single"/>
    </w:rPr>
  </w:style>
  <w:style w:type="paragraph" w:styleId="FootnoteText">
    <w:name w:val="footnote text"/>
    <w:basedOn w:val="Normal"/>
    <w:link w:val="FootnoteTextChar"/>
    <w:rsid w:val="00E37EE3"/>
    <w:rPr>
      <w:szCs w:val="20"/>
    </w:rPr>
  </w:style>
  <w:style w:type="character" w:customStyle="1" w:styleId="FootnoteTextChar">
    <w:name w:val="Footnote Text Char"/>
    <w:basedOn w:val="DefaultParagraphFont"/>
    <w:link w:val="FootnoteText"/>
    <w:rsid w:val="00E37EE3"/>
  </w:style>
  <w:style w:type="paragraph" w:styleId="Title">
    <w:name w:val="Title"/>
    <w:basedOn w:val="Normal"/>
    <w:next w:val="Normal"/>
    <w:link w:val="TitleChar"/>
    <w:autoRedefine/>
    <w:uiPriority w:val="10"/>
    <w:qFormat/>
    <w:rsid w:val="008C2905"/>
    <w:pPr>
      <w:pBdr>
        <w:bottom w:val="single" w:sz="8" w:space="4" w:color="1F497D"/>
      </w:pBdr>
      <w:spacing w:after="300" w:line="240" w:lineRule="auto"/>
      <w:contextualSpacing/>
      <w:jc w:val="center"/>
    </w:pPr>
    <w:rPr>
      <w:rFonts w:ascii="Cambria" w:hAnsi="Cambria"/>
      <w:color w:val="1F497D"/>
      <w:spacing w:val="5"/>
      <w:kern w:val="28"/>
      <w:sz w:val="36"/>
      <w:szCs w:val="52"/>
    </w:rPr>
  </w:style>
  <w:style w:type="character" w:customStyle="1" w:styleId="TitleChar">
    <w:name w:val="Title Char"/>
    <w:link w:val="Title"/>
    <w:uiPriority w:val="10"/>
    <w:rsid w:val="008C2905"/>
    <w:rPr>
      <w:rFonts w:ascii="Cambria" w:hAnsi="Cambria"/>
      <w:color w:val="1F497D"/>
      <w:spacing w:val="5"/>
      <w:kern w:val="28"/>
      <w:sz w:val="36"/>
      <w:szCs w:val="52"/>
    </w:rPr>
  </w:style>
  <w:style w:type="character" w:customStyle="1" w:styleId="Heading2Char">
    <w:name w:val="Heading 2 Char"/>
    <w:link w:val="Heading2"/>
    <w:uiPriority w:val="9"/>
    <w:rsid w:val="00CF5391"/>
    <w:rPr>
      <w:rFonts w:ascii="Cambria" w:eastAsia="Times New Roman" w:hAnsi="Cambria" w:cs="Times New Roman"/>
      <w:b/>
      <w:bCs/>
      <w:sz w:val="26"/>
      <w:szCs w:val="26"/>
    </w:rPr>
  </w:style>
  <w:style w:type="character" w:customStyle="1" w:styleId="Heading3Char">
    <w:name w:val="Heading 3 Char"/>
    <w:link w:val="Heading3"/>
    <w:uiPriority w:val="9"/>
    <w:rsid w:val="00C90F5B"/>
    <w:rPr>
      <w:rFonts w:ascii="Cambria" w:eastAsia="Times New Roman" w:hAnsi="Cambria" w:cs="Times New Roman"/>
      <w:b/>
      <w:bCs/>
    </w:rPr>
  </w:style>
  <w:style w:type="character" w:customStyle="1" w:styleId="Heading4Char">
    <w:name w:val="Heading 4 Char"/>
    <w:link w:val="Heading4"/>
    <w:uiPriority w:val="9"/>
    <w:rsid w:val="005B00CE"/>
    <w:rPr>
      <w:i/>
      <w:sz w:val="24"/>
    </w:rPr>
  </w:style>
  <w:style w:type="character" w:customStyle="1" w:styleId="Heading5Char">
    <w:name w:val="Heading 5 Char"/>
    <w:link w:val="Heading5"/>
    <w:uiPriority w:val="9"/>
    <w:rsid w:val="005B00CE"/>
    <w:rPr>
      <w:i/>
      <w:sz w:val="24"/>
    </w:rPr>
  </w:style>
  <w:style w:type="character" w:customStyle="1" w:styleId="Heading6Char">
    <w:name w:val="Heading 6 Char"/>
    <w:link w:val="Heading6"/>
    <w:uiPriority w:val="9"/>
    <w:semiHidden/>
    <w:rsid w:val="00D22B6A"/>
    <w:rPr>
      <w:rFonts w:ascii="Cambria" w:eastAsia="Times New Roman" w:hAnsi="Cambria" w:cs="Times New Roman"/>
      <w:i/>
      <w:iCs/>
      <w:color w:val="16505E"/>
    </w:rPr>
  </w:style>
  <w:style w:type="character" w:customStyle="1" w:styleId="Heading7Char">
    <w:name w:val="Heading 7 Char"/>
    <w:link w:val="Heading7"/>
    <w:uiPriority w:val="9"/>
    <w:semiHidden/>
    <w:rsid w:val="00D22B6A"/>
    <w:rPr>
      <w:rFonts w:ascii="Cambria" w:eastAsia="Times New Roman" w:hAnsi="Cambria" w:cs="Times New Roman"/>
      <w:i/>
      <w:iCs/>
      <w:color w:val="404040"/>
    </w:rPr>
  </w:style>
  <w:style w:type="character" w:customStyle="1" w:styleId="Heading8Char">
    <w:name w:val="Heading 8 Char"/>
    <w:link w:val="Heading8"/>
    <w:uiPriority w:val="9"/>
    <w:semiHidden/>
    <w:rsid w:val="00D22B6A"/>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D22B6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D22B6A"/>
    <w:pPr>
      <w:spacing w:line="240" w:lineRule="auto"/>
    </w:pPr>
    <w:rPr>
      <w:b/>
      <w:bCs/>
      <w:color w:val="2DA2BF"/>
      <w:sz w:val="18"/>
      <w:szCs w:val="18"/>
    </w:rPr>
  </w:style>
  <w:style w:type="paragraph" w:styleId="Subtitle">
    <w:name w:val="Subtitle"/>
    <w:basedOn w:val="Normal"/>
    <w:next w:val="Normal"/>
    <w:link w:val="SubtitleChar"/>
    <w:uiPriority w:val="11"/>
    <w:qFormat/>
    <w:rsid w:val="00D22B6A"/>
    <w:pPr>
      <w:numPr>
        <w:ilvl w:val="1"/>
      </w:numPr>
    </w:pPr>
    <w:rPr>
      <w:rFonts w:ascii="Cambria" w:hAnsi="Cambria"/>
      <w:i/>
      <w:iCs/>
      <w:color w:val="2DA2BF"/>
      <w:spacing w:val="15"/>
      <w:szCs w:val="24"/>
    </w:rPr>
  </w:style>
  <w:style w:type="character" w:customStyle="1" w:styleId="SubtitleChar">
    <w:name w:val="Subtitle Char"/>
    <w:link w:val="Subtitle"/>
    <w:uiPriority w:val="11"/>
    <w:rsid w:val="00D22B6A"/>
    <w:rPr>
      <w:rFonts w:ascii="Cambria" w:eastAsia="Times New Roman" w:hAnsi="Cambria" w:cs="Times New Roman"/>
      <w:i/>
      <w:iCs/>
      <w:color w:val="2DA2BF"/>
      <w:spacing w:val="15"/>
      <w:sz w:val="24"/>
      <w:szCs w:val="24"/>
    </w:rPr>
  </w:style>
  <w:style w:type="character" w:styleId="Strong">
    <w:name w:val="Strong"/>
    <w:uiPriority w:val="22"/>
    <w:qFormat/>
    <w:rsid w:val="00D22B6A"/>
    <w:rPr>
      <w:b/>
      <w:bCs/>
    </w:rPr>
  </w:style>
  <w:style w:type="character" w:styleId="Emphasis">
    <w:name w:val="Emphasis"/>
    <w:uiPriority w:val="20"/>
    <w:qFormat/>
    <w:rsid w:val="00D22B6A"/>
    <w:rPr>
      <w:i/>
      <w:iCs/>
    </w:rPr>
  </w:style>
  <w:style w:type="paragraph" w:styleId="NoSpacing">
    <w:name w:val="No Spacing"/>
    <w:uiPriority w:val="1"/>
    <w:qFormat/>
    <w:rsid w:val="00D22B6A"/>
    <w:rPr>
      <w:sz w:val="22"/>
      <w:szCs w:val="22"/>
    </w:rPr>
  </w:style>
  <w:style w:type="paragraph" w:styleId="Quote">
    <w:name w:val="Quote"/>
    <w:basedOn w:val="Normal"/>
    <w:next w:val="Normal"/>
    <w:link w:val="QuoteChar"/>
    <w:uiPriority w:val="29"/>
    <w:qFormat/>
    <w:rsid w:val="00D22B6A"/>
    <w:rPr>
      <w:i/>
      <w:iCs/>
      <w:color w:val="000000"/>
    </w:rPr>
  </w:style>
  <w:style w:type="character" w:customStyle="1" w:styleId="QuoteChar">
    <w:name w:val="Quote Char"/>
    <w:link w:val="Quote"/>
    <w:uiPriority w:val="29"/>
    <w:rsid w:val="00D22B6A"/>
    <w:rPr>
      <w:i/>
      <w:iCs/>
      <w:color w:val="000000"/>
    </w:rPr>
  </w:style>
  <w:style w:type="paragraph" w:styleId="IntenseQuote">
    <w:name w:val="Intense Quote"/>
    <w:basedOn w:val="Normal"/>
    <w:next w:val="Normal"/>
    <w:link w:val="IntenseQuoteChar"/>
    <w:uiPriority w:val="30"/>
    <w:qFormat/>
    <w:rsid w:val="00D22B6A"/>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D22B6A"/>
    <w:rPr>
      <w:b/>
      <w:bCs/>
      <w:i/>
      <w:iCs/>
      <w:color w:val="2DA2BF"/>
    </w:rPr>
  </w:style>
  <w:style w:type="character" w:styleId="SubtleEmphasis">
    <w:name w:val="Subtle Emphasis"/>
    <w:uiPriority w:val="19"/>
    <w:qFormat/>
    <w:rsid w:val="00D22B6A"/>
    <w:rPr>
      <w:i/>
      <w:iCs/>
      <w:color w:val="808080"/>
    </w:rPr>
  </w:style>
  <w:style w:type="character" w:styleId="IntenseEmphasis">
    <w:name w:val="Intense Emphasis"/>
    <w:uiPriority w:val="21"/>
    <w:qFormat/>
    <w:rsid w:val="00D22B6A"/>
    <w:rPr>
      <w:b/>
      <w:bCs/>
      <w:i/>
      <w:iCs/>
      <w:color w:val="2DA2BF"/>
    </w:rPr>
  </w:style>
  <w:style w:type="character" w:styleId="SubtleReference">
    <w:name w:val="Subtle Reference"/>
    <w:uiPriority w:val="31"/>
    <w:qFormat/>
    <w:rsid w:val="00D22B6A"/>
    <w:rPr>
      <w:smallCaps/>
      <w:color w:val="DA1F28"/>
      <w:u w:val="single"/>
    </w:rPr>
  </w:style>
  <w:style w:type="character" w:styleId="IntenseReference">
    <w:name w:val="Intense Reference"/>
    <w:uiPriority w:val="32"/>
    <w:qFormat/>
    <w:rsid w:val="00D22B6A"/>
    <w:rPr>
      <w:b/>
      <w:bCs/>
      <w:smallCaps/>
      <w:color w:val="DA1F28"/>
      <w:spacing w:val="5"/>
      <w:u w:val="single"/>
    </w:rPr>
  </w:style>
  <w:style w:type="character" w:styleId="BookTitle">
    <w:name w:val="Book Title"/>
    <w:uiPriority w:val="33"/>
    <w:qFormat/>
    <w:rsid w:val="00D22B6A"/>
    <w:rPr>
      <w:b/>
      <w:bCs/>
      <w:smallCaps/>
      <w:spacing w:val="5"/>
    </w:rPr>
  </w:style>
  <w:style w:type="paragraph" w:styleId="TOCHeading">
    <w:name w:val="TOC Heading"/>
    <w:basedOn w:val="Heading1"/>
    <w:next w:val="Normal"/>
    <w:uiPriority w:val="39"/>
    <w:semiHidden/>
    <w:unhideWhenUsed/>
    <w:qFormat/>
    <w:rsid w:val="00D22B6A"/>
    <w:pPr>
      <w:outlineLvl w:val="9"/>
    </w:pPr>
    <w:rPr>
      <w:color w:val="21798E"/>
    </w:rPr>
  </w:style>
  <w:style w:type="paragraph" w:customStyle="1" w:styleId="StyleHeading2Justified">
    <w:name w:val="Style Heading 2 + Justified"/>
    <w:basedOn w:val="Heading2"/>
    <w:rsid w:val="00CF5391"/>
    <w:rPr>
      <w:szCs w:val="20"/>
    </w:rPr>
  </w:style>
  <w:style w:type="paragraph" w:styleId="List">
    <w:name w:val="List"/>
    <w:basedOn w:val="Normal"/>
    <w:rsid w:val="00C059D3"/>
    <w:pPr>
      <w:ind w:left="360" w:hanging="360"/>
      <w:contextualSpacing/>
    </w:pPr>
  </w:style>
  <w:style w:type="paragraph" w:styleId="ListBullet">
    <w:name w:val="List Bullet"/>
    <w:basedOn w:val="Normal"/>
    <w:rsid w:val="00C059D3"/>
    <w:pPr>
      <w:numPr>
        <w:numId w:val="5"/>
      </w:numPr>
      <w:tabs>
        <w:tab w:val="clear" w:pos="360"/>
        <w:tab w:val="num" w:pos="720"/>
      </w:tabs>
      <w:ind w:left="720"/>
      <w:contextualSpacing/>
    </w:pPr>
  </w:style>
  <w:style w:type="paragraph" w:styleId="Header">
    <w:name w:val="header"/>
    <w:basedOn w:val="Normal"/>
    <w:link w:val="HeaderChar"/>
    <w:rsid w:val="00C059D3"/>
    <w:pPr>
      <w:tabs>
        <w:tab w:val="center" w:pos="4680"/>
        <w:tab w:val="right" w:pos="9360"/>
      </w:tabs>
    </w:pPr>
  </w:style>
  <w:style w:type="character" w:customStyle="1" w:styleId="HeaderChar">
    <w:name w:val="Header Char"/>
    <w:link w:val="Header"/>
    <w:rsid w:val="00C059D3"/>
    <w:rPr>
      <w:sz w:val="24"/>
    </w:rPr>
  </w:style>
  <w:style w:type="paragraph" w:styleId="Footer">
    <w:name w:val="footer"/>
    <w:basedOn w:val="Normal"/>
    <w:link w:val="FooterChar"/>
    <w:rsid w:val="00C059D3"/>
    <w:pPr>
      <w:tabs>
        <w:tab w:val="center" w:pos="4680"/>
        <w:tab w:val="right" w:pos="9360"/>
      </w:tabs>
    </w:pPr>
  </w:style>
  <w:style w:type="character" w:customStyle="1" w:styleId="FooterChar">
    <w:name w:val="Footer Char"/>
    <w:link w:val="Footer"/>
    <w:rsid w:val="00C059D3"/>
    <w:rPr>
      <w:sz w:val="24"/>
    </w:rPr>
  </w:style>
  <w:style w:type="paragraph" w:styleId="Revision">
    <w:name w:val="Revision"/>
    <w:hidden/>
    <w:uiPriority w:val="99"/>
    <w:semiHidden/>
    <w:rsid w:val="008C290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5736">
      <w:bodyDiv w:val="1"/>
      <w:marLeft w:val="0"/>
      <w:marRight w:val="0"/>
      <w:marTop w:val="0"/>
      <w:marBottom w:val="0"/>
      <w:divBdr>
        <w:top w:val="none" w:sz="0" w:space="0" w:color="auto"/>
        <w:left w:val="none" w:sz="0" w:space="0" w:color="auto"/>
        <w:bottom w:val="none" w:sz="0" w:space="0" w:color="auto"/>
        <w:right w:val="none" w:sz="0" w:space="0" w:color="auto"/>
      </w:divBdr>
    </w:div>
    <w:div w:id="1253470445">
      <w:bodyDiv w:val="1"/>
      <w:marLeft w:val="0"/>
      <w:marRight w:val="0"/>
      <w:marTop w:val="0"/>
      <w:marBottom w:val="0"/>
      <w:divBdr>
        <w:top w:val="none" w:sz="0" w:space="0" w:color="auto"/>
        <w:left w:val="none" w:sz="0" w:space="0" w:color="auto"/>
        <w:bottom w:val="none" w:sz="0" w:space="0" w:color="auto"/>
        <w:right w:val="none" w:sz="0" w:space="0" w:color="auto"/>
      </w:divBdr>
    </w:div>
    <w:div w:id="1563907200">
      <w:bodyDiv w:val="1"/>
      <w:marLeft w:val="0"/>
      <w:marRight w:val="0"/>
      <w:marTop w:val="0"/>
      <w:marBottom w:val="0"/>
      <w:divBdr>
        <w:top w:val="none" w:sz="0" w:space="0" w:color="auto"/>
        <w:left w:val="none" w:sz="0" w:space="0" w:color="auto"/>
        <w:bottom w:val="none" w:sz="0" w:space="0" w:color="auto"/>
        <w:right w:val="none" w:sz="0" w:space="0" w:color="auto"/>
      </w:divBdr>
    </w:div>
    <w:div w:id="18475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m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phhs.mt.gov/Portals/85/Documents/MedicaidExpansion/DPHHS%20HELP%20Act%20Progress%20Report%20LFC9_29_2016.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imum-wage.org/states.asp?state=Montan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9793E9EC0C94C80CB7CA7A54D8959" ma:contentTypeVersion="0" ma:contentTypeDescription="Create a new document." ma:contentTypeScope="" ma:versionID="9980f5f5e9f86c42c901e15dce400c9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7776C-3286-47D7-A097-98FB747E9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DE9F31-7208-4969-BD64-432B378AFE5D}">
  <ds:schemaRefs>
    <ds:schemaRef ds:uri="http://schemas.microsoft.com/sharepoint/v3/contenttype/forms"/>
  </ds:schemaRefs>
</ds:datastoreItem>
</file>

<file path=customXml/itemProps3.xml><?xml version="1.0" encoding="utf-8"?>
<ds:datastoreItem xmlns:ds="http://schemas.openxmlformats.org/officeDocument/2006/customXml" ds:itemID="{0ABB6DB7-339B-44D8-9C61-FFF65A920FC0}">
  <ds:schemaRef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CB3262F-A70C-4FF9-A8B6-275D9EEA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3259</Words>
  <Characters>19270</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22485</CharactersWithSpaces>
  <SharedDoc>false</SharedDoc>
  <HLinks>
    <vt:vector size="6" baseType="variant">
      <vt:variant>
        <vt:i4>1572962</vt:i4>
      </vt:variant>
      <vt:variant>
        <vt:i4>0</vt:i4>
      </vt:variant>
      <vt:variant>
        <vt:i4>0</vt:i4>
      </vt:variant>
      <vt:variant>
        <vt:i4>5</vt:i4>
      </vt:variant>
      <vt:variant>
        <vt:lpwstr>http://www.bls.gov/oes/current/oes_in.htm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Supporting Statement – Part A</dc:subject>
  <dc:creator>Centers for Medicare and Medicaid Services</dc:creator>
  <cp:keywords>Supporting, Statement, Part A, Montana, Health, Economic, Livlihood, partnership, HELP, Federal, Evaluation</cp:keywords>
  <cp:lastModifiedBy>Piccinino, Linda</cp:lastModifiedBy>
  <cp:revision>18</cp:revision>
  <cp:lastPrinted>2017-02-27T19:08:00Z</cp:lastPrinted>
  <dcterms:created xsi:type="dcterms:W3CDTF">2017-06-20T17:09:00Z</dcterms:created>
  <dcterms:modified xsi:type="dcterms:W3CDTF">2017-06-22T16:03:00Z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316659522</vt:i4>
  </property>
  <property fmtid="{D5CDD505-2E9C-101B-9397-08002B2CF9AE}" pid="3" name="_NewReviewCycle">
    <vt:lpwstr/>
  </property>
  <property fmtid="{D5CDD505-2E9C-101B-9397-08002B2CF9AE}" pid="4" name="_EmailSubject">
    <vt:lpwstr>OMB Passback #1 &gt; RE: SDG - MT PRA Approval?</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-1264018840</vt:i4>
  </property>
  <property fmtid="{D5CDD505-2E9C-101B-9397-08002B2CF9AE}" pid="8" name="ContentTypeId">
    <vt:lpwstr>0x0101006719793E9EC0C94C80CB7CA7A54D8959</vt:lpwstr>
  </property>
  <property fmtid="{D5CDD505-2E9C-101B-9397-08002B2CF9AE}" pid="9" name="_ReviewingToolsShownOnce">
    <vt:lpwstr/>
  </property>
</Properties>
</file>