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E72CC" w14:textId="77777777" w:rsidR="007C7D31" w:rsidRDefault="007C7D31" w:rsidP="007C7D31">
      <w:pPr>
        <w:spacing w:before="177"/>
        <w:ind w:left="3132" w:right="3109"/>
        <w:jc w:val="center"/>
        <w:rPr>
          <w:sz w:val="28"/>
        </w:rPr>
      </w:pPr>
      <w:bookmarkStart w:id="0" w:name="Supporting_Statement_–_Part_A"/>
      <w:bookmarkEnd w:id="0"/>
      <w:r>
        <w:rPr>
          <w:sz w:val="28"/>
        </w:rPr>
        <w:t>Supporting Statement – Part A</w:t>
      </w:r>
    </w:p>
    <w:p w14:paraId="2E46C012" w14:textId="77777777" w:rsidR="007C7D31" w:rsidRDefault="007C7D31" w:rsidP="007C7D31">
      <w:pPr>
        <w:pStyle w:val="BodyText"/>
        <w:rPr>
          <w:sz w:val="30"/>
        </w:rPr>
      </w:pPr>
    </w:p>
    <w:p w14:paraId="6B4342B6" w14:textId="77777777" w:rsidR="007C7D31" w:rsidRDefault="007C7D31" w:rsidP="007C7D31">
      <w:pPr>
        <w:pStyle w:val="BodyText"/>
        <w:rPr>
          <w:sz w:val="30"/>
        </w:rPr>
      </w:pPr>
    </w:p>
    <w:p w14:paraId="0E632799" w14:textId="77777777" w:rsidR="007C7D31" w:rsidRDefault="007C7D31" w:rsidP="007C7D31">
      <w:pPr>
        <w:pStyle w:val="BodyText"/>
        <w:spacing w:before="4"/>
        <w:rPr>
          <w:sz w:val="32"/>
        </w:rPr>
      </w:pPr>
    </w:p>
    <w:p w14:paraId="0CF2C638" w14:textId="7FF79B59" w:rsidR="007C7D31" w:rsidRPr="007C7D31" w:rsidRDefault="007C7D31" w:rsidP="007C7D31">
      <w:pPr>
        <w:pStyle w:val="Heading1"/>
        <w:jc w:val="center"/>
      </w:pPr>
      <w:bookmarkStart w:id="1" w:name="Supporting_Statement_for_Paperwork_Reduc"/>
      <w:bookmarkEnd w:id="1"/>
      <w:r w:rsidRPr="009C4607">
        <w:t xml:space="preserve">Data Collection for Medicare Beneficiaries Receiving Implantable </w:t>
      </w:r>
      <w:proofErr w:type="spellStart"/>
      <w:r w:rsidRPr="009C4607">
        <w:t>Cardioverter</w:t>
      </w:r>
      <w:proofErr w:type="spellEnd"/>
      <w:r w:rsidRPr="009C4607">
        <w:t>-defibrillators for Primary Prevention of Sudden Cardiac Death</w:t>
      </w:r>
      <w:r w:rsidR="00D23D56">
        <w:t xml:space="preserve"> (CMS-10151)</w:t>
      </w:r>
    </w:p>
    <w:p w14:paraId="58AAF735" w14:textId="77777777" w:rsidR="007C7D31" w:rsidRDefault="007C7D31" w:rsidP="007C7D31">
      <w:pPr>
        <w:pStyle w:val="ListParagraph"/>
        <w:numPr>
          <w:ilvl w:val="0"/>
          <w:numId w:val="2"/>
        </w:numPr>
        <w:tabs>
          <w:tab w:val="left" w:pos="839"/>
          <w:tab w:val="left" w:pos="840"/>
        </w:tabs>
        <w:spacing w:before="240"/>
        <w:ind w:hanging="719"/>
        <w:rPr>
          <w:b/>
          <w:sz w:val="28"/>
        </w:rPr>
      </w:pPr>
      <w:bookmarkStart w:id="2" w:name="A._Background"/>
      <w:bookmarkEnd w:id="2"/>
      <w:r>
        <w:rPr>
          <w:b/>
          <w:sz w:val="28"/>
        </w:rPr>
        <w:t>Background</w:t>
      </w:r>
    </w:p>
    <w:p w14:paraId="0EF292CD" w14:textId="77777777" w:rsidR="0074474C" w:rsidRDefault="0074474C" w:rsidP="007C7D31">
      <w:pPr>
        <w:pStyle w:val="BodyText"/>
        <w:spacing w:before="158" w:line="244" w:lineRule="auto"/>
        <w:ind w:left="119" w:right="151"/>
      </w:pPr>
    </w:p>
    <w:p w14:paraId="0AF6872F" w14:textId="75FD4AE6" w:rsidR="0074474C" w:rsidRDefault="0074474C" w:rsidP="007C7D31">
      <w:pPr>
        <w:pStyle w:val="BodyText"/>
        <w:spacing w:before="158" w:line="244" w:lineRule="auto"/>
        <w:ind w:left="119" w:right="151"/>
      </w:pPr>
      <w:r>
        <w:t>This is a request to reinstate this information collection.</w:t>
      </w:r>
      <w:r w:rsidR="006569D0">
        <w:t xml:space="preserve">  The original information collection was discontinued in 2016 as a result of ongoing internal </w:t>
      </w:r>
      <w:r w:rsidR="00D61A33">
        <w:t xml:space="preserve">policy deliberations.  At the </w:t>
      </w:r>
      <w:r w:rsidR="00D61A33">
        <w:lastRenderedPageBreak/>
        <w:t xml:space="preserve">conclusion of those deliberations a determination was made to reinstate this information collection.  </w:t>
      </w:r>
    </w:p>
    <w:p w14:paraId="31DA942E" w14:textId="77777777" w:rsidR="007C7D31" w:rsidRDefault="007C7D31" w:rsidP="007C7D31">
      <w:pPr>
        <w:pStyle w:val="BodyText"/>
        <w:spacing w:before="158" w:line="244" w:lineRule="auto"/>
        <w:ind w:left="119" w:right="151"/>
      </w:pPr>
      <w:r>
        <w:t xml:space="preserve">CMS provides coverage for implantable </w:t>
      </w:r>
      <w:proofErr w:type="spellStart"/>
      <w:r>
        <w:t>cardioverter</w:t>
      </w:r>
      <w:proofErr w:type="spellEnd"/>
      <w:r>
        <w:t>-defibrillators (ICDs) for secondary prevention of sudden cardiac death based on extensive evidence showing that use of ICDs among patients with a certain set</w:t>
      </w:r>
      <w:r>
        <w:rPr>
          <w:spacing w:val="-11"/>
        </w:rPr>
        <w:t xml:space="preserve"> </w:t>
      </w:r>
      <w:r>
        <w:t>of</w:t>
      </w:r>
      <w:r>
        <w:rPr>
          <w:spacing w:val="-11"/>
        </w:rPr>
        <w:t xml:space="preserve"> </w:t>
      </w:r>
      <w:r>
        <w:t>physiologic</w:t>
      </w:r>
      <w:r>
        <w:rPr>
          <w:spacing w:val="-11"/>
        </w:rPr>
        <w:t xml:space="preserve"> </w:t>
      </w:r>
      <w:r>
        <w:t>conditions</w:t>
      </w:r>
      <w:r>
        <w:rPr>
          <w:spacing w:val="-11"/>
        </w:rPr>
        <w:t xml:space="preserve"> </w:t>
      </w:r>
      <w:r>
        <w:t>are</w:t>
      </w:r>
      <w:r>
        <w:rPr>
          <w:spacing w:val="-11"/>
        </w:rPr>
        <w:t xml:space="preserve"> </w:t>
      </w:r>
      <w:r>
        <w:t>effective.</w:t>
      </w:r>
      <w:r>
        <w:rPr>
          <w:spacing w:val="36"/>
        </w:rPr>
        <w:t xml:space="preserve"> </w:t>
      </w:r>
      <w:r>
        <w:t>Accordingly,</w:t>
      </w:r>
      <w:r>
        <w:rPr>
          <w:spacing w:val="-10"/>
        </w:rPr>
        <w:t xml:space="preserve"> </w:t>
      </w:r>
      <w:r>
        <w:t>CMS</w:t>
      </w:r>
      <w:r>
        <w:rPr>
          <w:spacing w:val="-10"/>
        </w:rPr>
        <w:t xml:space="preserve"> </w:t>
      </w:r>
      <w:r>
        <w:t>considers</w:t>
      </w:r>
      <w:r>
        <w:rPr>
          <w:spacing w:val="-11"/>
        </w:rPr>
        <w:t xml:space="preserve"> </w:t>
      </w:r>
      <w:r>
        <w:t>coverage</w:t>
      </w:r>
      <w:r>
        <w:rPr>
          <w:spacing w:val="-11"/>
        </w:rPr>
        <w:t xml:space="preserve"> </w:t>
      </w:r>
      <w:r>
        <w:t>for</w:t>
      </w:r>
      <w:r>
        <w:rPr>
          <w:spacing w:val="-11"/>
        </w:rPr>
        <w:t xml:space="preserve"> </w:t>
      </w:r>
      <w:r>
        <w:t>ICDs</w:t>
      </w:r>
      <w:r>
        <w:rPr>
          <w:spacing w:val="-11"/>
        </w:rPr>
        <w:t xml:space="preserve"> </w:t>
      </w:r>
      <w:r>
        <w:t>reasonable</w:t>
      </w:r>
      <w:r>
        <w:rPr>
          <w:spacing w:val="-11"/>
        </w:rPr>
        <w:t xml:space="preserve"> </w:t>
      </w:r>
      <w:r>
        <w:t>and necessary</w:t>
      </w:r>
      <w:r>
        <w:rPr>
          <w:spacing w:val="-12"/>
        </w:rPr>
        <w:t xml:space="preserve"> </w:t>
      </w:r>
      <w:r>
        <w:t>under</w:t>
      </w:r>
      <w:r>
        <w:rPr>
          <w:spacing w:val="-8"/>
        </w:rPr>
        <w:t xml:space="preserve"> </w:t>
      </w:r>
      <w:r>
        <w:t>Section</w:t>
      </w:r>
      <w:r>
        <w:rPr>
          <w:spacing w:val="-6"/>
        </w:rPr>
        <w:t xml:space="preserve"> </w:t>
      </w:r>
      <w:r>
        <w:t>1862</w:t>
      </w:r>
      <w:r>
        <w:rPr>
          <w:spacing w:val="-6"/>
        </w:rPr>
        <w:t xml:space="preserve"> </w:t>
      </w:r>
      <w:r>
        <w:t>(a)</w:t>
      </w:r>
      <w:r>
        <w:rPr>
          <w:spacing w:val="-8"/>
        </w:rPr>
        <w:t xml:space="preserve"> </w:t>
      </w:r>
      <w:r>
        <w:t>(1)</w:t>
      </w:r>
      <w:r>
        <w:rPr>
          <w:spacing w:val="-8"/>
        </w:rPr>
        <w:t xml:space="preserve"> </w:t>
      </w:r>
      <w:r>
        <w:t>(A)</w:t>
      </w:r>
      <w:r>
        <w:rPr>
          <w:spacing w:val="-8"/>
        </w:rPr>
        <w:t xml:space="preserve"> </w:t>
      </w:r>
      <w:r>
        <w:t>of</w:t>
      </w:r>
      <w:r>
        <w:rPr>
          <w:spacing w:val="-8"/>
        </w:rPr>
        <w:t xml:space="preserve"> </w:t>
      </w:r>
      <w:r>
        <w:t>the</w:t>
      </w:r>
      <w:r>
        <w:rPr>
          <w:spacing w:val="-9"/>
        </w:rPr>
        <w:t xml:space="preserve"> </w:t>
      </w:r>
      <w:r>
        <w:t>Social</w:t>
      </w:r>
      <w:r>
        <w:rPr>
          <w:spacing w:val="-8"/>
        </w:rPr>
        <w:t xml:space="preserve"> </w:t>
      </w:r>
      <w:r>
        <w:t>Security</w:t>
      </w:r>
      <w:r>
        <w:rPr>
          <w:spacing w:val="-12"/>
        </w:rPr>
        <w:t xml:space="preserve"> </w:t>
      </w:r>
      <w:r>
        <w:t>Act.</w:t>
      </w:r>
      <w:r>
        <w:rPr>
          <w:spacing w:val="-7"/>
        </w:rPr>
        <w:t xml:space="preserve"> </w:t>
      </w:r>
      <w:r>
        <w:t>However,</w:t>
      </w:r>
      <w:r>
        <w:rPr>
          <w:spacing w:val="-7"/>
        </w:rPr>
        <w:t xml:space="preserve"> </w:t>
      </w:r>
      <w:r>
        <w:t>evidence</w:t>
      </w:r>
      <w:r>
        <w:rPr>
          <w:spacing w:val="-8"/>
        </w:rPr>
        <w:t xml:space="preserve"> </w:t>
      </w:r>
      <w:r>
        <w:t>for</w:t>
      </w:r>
      <w:r>
        <w:rPr>
          <w:spacing w:val="-8"/>
        </w:rPr>
        <w:t xml:space="preserve"> </w:t>
      </w:r>
      <w:r>
        <w:t>use</w:t>
      </w:r>
      <w:r>
        <w:rPr>
          <w:spacing w:val="-8"/>
        </w:rPr>
        <w:t xml:space="preserve"> </w:t>
      </w:r>
      <w:r>
        <w:t>of</w:t>
      </w:r>
      <w:r>
        <w:rPr>
          <w:spacing w:val="-8"/>
        </w:rPr>
        <w:t xml:space="preserve"> </w:t>
      </w:r>
      <w:r>
        <w:t>ICDs</w:t>
      </w:r>
      <w:r>
        <w:rPr>
          <w:spacing w:val="-8"/>
        </w:rPr>
        <w:t xml:space="preserve"> </w:t>
      </w:r>
      <w:r>
        <w:t>for primary</w:t>
      </w:r>
      <w:r>
        <w:rPr>
          <w:spacing w:val="-14"/>
        </w:rPr>
        <w:t xml:space="preserve"> </w:t>
      </w:r>
      <w:r>
        <w:t>prevention</w:t>
      </w:r>
      <w:r>
        <w:rPr>
          <w:spacing w:val="-9"/>
        </w:rPr>
        <w:t xml:space="preserve"> </w:t>
      </w:r>
      <w:r>
        <w:t>of</w:t>
      </w:r>
      <w:r>
        <w:rPr>
          <w:spacing w:val="-10"/>
        </w:rPr>
        <w:t xml:space="preserve"> </w:t>
      </w:r>
      <w:r>
        <w:t>sudden</w:t>
      </w:r>
      <w:r>
        <w:rPr>
          <w:spacing w:val="-9"/>
        </w:rPr>
        <w:t xml:space="preserve"> </w:t>
      </w:r>
      <w:r>
        <w:t>cardiac</w:t>
      </w:r>
      <w:r>
        <w:rPr>
          <w:spacing w:val="-10"/>
        </w:rPr>
        <w:t xml:space="preserve"> </w:t>
      </w:r>
      <w:r>
        <w:t>death</w:t>
      </w:r>
      <w:r>
        <w:rPr>
          <w:spacing w:val="-9"/>
        </w:rPr>
        <w:t xml:space="preserve"> </w:t>
      </w:r>
      <w:r>
        <w:t>is</w:t>
      </w:r>
      <w:r>
        <w:rPr>
          <w:spacing w:val="-10"/>
        </w:rPr>
        <w:t xml:space="preserve"> </w:t>
      </w:r>
      <w:r>
        <w:t>less</w:t>
      </w:r>
      <w:r>
        <w:rPr>
          <w:spacing w:val="-10"/>
        </w:rPr>
        <w:t xml:space="preserve"> </w:t>
      </w:r>
      <w:r>
        <w:t>compelling</w:t>
      </w:r>
      <w:r>
        <w:rPr>
          <w:spacing w:val="-11"/>
        </w:rPr>
        <w:t xml:space="preserve"> </w:t>
      </w:r>
      <w:r>
        <w:t>for</w:t>
      </w:r>
      <w:r>
        <w:rPr>
          <w:spacing w:val="-10"/>
        </w:rPr>
        <w:t xml:space="preserve"> </w:t>
      </w:r>
      <w:r>
        <w:t>certain</w:t>
      </w:r>
      <w:r>
        <w:rPr>
          <w:spacing w:val="-9"/>
        </w:rPr>
        <w:t xml:space="preserve"> </w:t>
      </w:r>
      <w:r>
        <w:t>patients.</w:t>
      </w:r>
    </w:p>
    <w:p w14:paraId="4F055129" w14:textId="30840A5E" w:rsidR="007C7D31" w:rsidRDefault="007C7D31" w:rsidP="006569D0">
      <w:pPr>
        <w:pStyle w:val="BodyText"/>
        <w:spacing w:before="168" w:line="244" w:lineRule="auto"/>
        <w:ind w:left="120"/>
      </w:pPr>
      <w:r>
        <w:t xml:space="preserve">To encourage responsible and appropriate use of ICDs, CMS issued a </w:t>
      </w:r>
      <w:r>
        <w:rPr>
          <w:i/>
        </w:rPr>
        <w:t xml:space="preserve">Decision Memo for Implantable Defibrillators </w:t>
      </w:r>
      <w:r>
        <w:t>on January 27, 2005, indicating that ICDs will be covered for primary prevention of sudden cardiac</w:t>
      </w:r>
      <w:r>
        <w:rPr>
          <w:spacing w:val="-9"/>
        </w:rPr>
        <w:t xml:space="preserve"> </w:t>
      </w:r>
      <w:r>
        <w:t>death</w:t>
      </w:r>
      <w:r>
        <w:rPr>
          <w:spacing w:val="-7"/>
        </w:rPr>
        <w:t xml:space="preserve"> </w:t>
      </w:r>
      <w:r>
        <w:t>if</w:t>
      </w:r>
      <w:r>
        <w:rPr>
          <w:spacing w:val="-9"/>
        </w:rPr>
        <w:t xml:space="preserve"> </w:t>
      </w:r>
      <w:r>
        <w:t>the</w:t>
      </w:r>
      <w:r>
        <w:rPr>
          <w:spacing w:val="-9"/>
        </w:rPr>
        <w:t xml:space="preserve"> </w:t>
      </w:r>
      <w:r>
        <w:t>beneficiary</w:t>
      </w:r>
      <w:r>
        <w:rPr>
          <w:spacing w:val="-13"/>
        </w:rPr>
        <w:t xml:space="preserve"> </w:t>
      </w:r>
      <w:r>
        <w:t>is</w:t>
      </w:r>
      <w:r>
        <w:rPr>
          <w:spacing w:val="-9"/>
        </w:rPr>
        <w:t xml:space="preserve"> </w:t>
      </w:r>
      <w:r>
        <w:t>enrolled</w:t>
      </w:r>
      <w:r>
        <w:rPr>
          <w:spacing w:val="-7"/>
        </w:rPr>
        <w:t xml:space="preserve"> </w:t>
      </w:r>
      <w:r>
        <w:t>in</w:t>
      </w:r>
      <w:r>
        <w:rPr>
          <w:spacing w:val="-7"/>
        </w:rPr>
        <w:t xml:space="preserve"> </w:t>
      </w:r>
      <w:r>
        <w:t>either</w:t>
      </w:r>
      <w:r>
        <w:rPr>
          <w:spacing w:val="-9"/>
        </w:rPr>
        <w:t xml:space="preserve"> </w:t>
      </w:r>
      <w:r>
        <w:t>an</w:t>
      </w:r>
      <w:r>
        <w:rPr>
          <w:spacing w:val="-7"/>
        </w:rPr>
        <w:t xml:space="preserve"> </w:t>
      </w:r>
      <w:r>
        <w:t>FDA-approved</w:t>
      </w:r>
      <w:r>
        <w:rPr>
          <w:spacing w:val="-7"/>
        </w:rPr>
        <w:t xml:space="preserve"> </w:t>
      </w:r>
      <w:r>
        <w:t>category</w:t>
      </w:r>
      <w:r>
        <w:rPr>
          <w:spacing w:val="-13"/>
        </w:rPr>
        <w:t xml:space="preserve"> </w:t>
      </w:r>
      <w:r>
        <w:t>B</w:t>
      </w:r>
      <w:r>
        <w:rPr>
          <w:spacing w:val="-8"/>
        </w:rPr>
        <w:t xml:space="preserve"> </w:t>
      </w:r>
      <w:r>
        <w:t>IDE</w:t>
      </w:r>
      <w:r>
        <w:rPr>
          <w:spacing w:val="-7"/>
        </w:rPr>
        <w:t xml:space="preserve"> </w:t>
      </w:r>
      <w:r>
        <w:t>clinical</w:t>
      </w:r>
      <w:r>
        <w:rPr>
          <w:spacing w:val="-9"/>
        </w:rPr>
        <w:t xml:space="preserve"> </w:t>
      </w:r>
      <w:r>
        <w:t>trial</w:t>
      </w:r>
      <w:r>
        <w:rPr>
          <w:spacing w:val="-9"/>
        </w:rPr>
        <w:t xml:space="preserve"> </w:t>
      </w:r>
      <w:r>
        <w:t>(42</w:t>
      </w:r>
      <w:r>
        <w:rPr>
          <w:spacing w:val="-7"/>
        </w:rPr>
        <w:t xml:space="preserve"> </w:t>
      </w:r>
      <w:r>
        <w:t>CFR</w:t>
      </w:r>
      <w:r w:rsidR="006569D0">
        <w:t xml:space="preserve"> </w:t>
      </w:r>
      <w:r>
        <w:t>§405.201), a trial under the CMS Clinical Trial Policy (NCD Manual §310.1) or a qualifying prospective data collection system (either a practical clinical trial or prospective systematic data collection, which is sometimes referred to as a registry).</w:t>
      </w:r>
    </w:p>
    <w:p w14:paraId="273398E8" w14:textId="77777777" w:rsidR="000C660C" w:rsidRDefault="000C660C" w:rsidP="007C7D31">
      <w:pPr>
        <w:pStyle w:val="BodyText"/>
        <w:spacing w:line="244" w:lineRule="auto"/>
        <w:ind w:left="120" w:right="341"/>
      </w:pPr>
    </w:p>
    <w:p w14:paraId="1A078031" w14:textId="77777777" w:rsidR="007C7D31" w:rsidRDefault="007C7D31" w:rsidP="007C7D31">
      <w:pPr>
        <w:pStyle w:val="BodyText"/>
        <w:spacing w:before="3"/>
        <w:rPr>
          <w:sz w:val="27"/>
        </w:rPr>
      </w:pPr>
    </w:p>
    <w:p w14:paraId="2CCD99AA" w14:textId="77777777" w:rsidR="007C7D31" w:rsidRDefault="007C7D31" w:rsidP="007C7D31">
      <w:pPr>
        <w:pStyle w:val="Heading1"/>
        <w:numPr>
          <w:ilvl w:val="0"/>
          <w:numId w:val="2"/>
        </w:numPr>
        <w:tabs>
          <w:tab w:val="left" w:pos="839"/>
          <w:tab w:val="left" w:pos="840"/>
        </w:tabs>
        <w:ind w:hanging="719"/>
      </w:pPr>
      <w:bookmarkStart w:id="3" w:name="B._Justification"/>
      <w:bookmarkEnd w:id="3"/>
      <w:r>
        <w:t>Justification</w:t>
      </w:r>
    </w:p>
    <w:p w14:paraId="668CDBA2" w14:textId="77777777" w:rsidR="007C7D31" w:rsidRDefault="007C7D31" w:rsidP="007C7D31">
      <w:pPr>
        <w:pStyle w:val="BodyText"/>
        <w:spacing w:before="10"/>
        <w:rPr>
          <w:b/>
          <w:sz w:val="29"/>
        </w:rPr>
      </w:pPr>
    </w:p>
    <w:p w14:paraId="44D2BDA1" w14:textId="77777777" w:rsidR="007C7D31" w:rsidRDefault="007C7D31" w:rsidP="007C7D31">
      <w:pPr>
        <w:pStyle w:val="Heading2"/>
        <w:numPr>
          <w:ilvl w:val="0"/>
          <w:numId w:val="1"/>
        </w:numPr>
        <w:tabs>
          <w:tab w:val="left" w:pos="551"/>
          <w:tab w:val="left" w:pos="552"/>
        </w:tabs>
      </w:pPr>
      <w:r>
        <w:rPr>
          <w:u w:val="single"/>
        </w:rPr>
        <w:t>Need and Legal</w:t>
      </w:r>
      <w:r>
        <w:rPr>
          <w:spacing w:val="-15"/>
          <w:u w:val="single"/>
        </w:rPr>
        <w:t xml:space="preserve"> </w:t>
      </w:r>
      <w:r>
        <w:rPr>
          <w:u w:val="single"/>
        </w:rPr>
        <w:t>Basis</w:t>
      </w:r>
    </w:p>
    <w:p w14:paraId="63C192EB" w14:textId="77777777" w:rsidR="007C7D31" w:rsidRDefault="007C7D31" w:rsidP="007C7D31">
      <w:pPr>
        <w:pStyle w:val="BodyText"/>
        <w:spacing w:before="10"/>
        <w:rPr>
          <w:sz w:val="25"/>
        </w:rPr>
      </w:pPr>
    </w:p>
    <w:p w14:paraId="142E1B83" w14:textId="77777777" w:rsidR="007C7D31" w:rsidRDefault="007C7D31" w:rsidP="007C7D31">
      <w:pPr>
        <w:pStyle w:val="BodyText"/>
        <w:spacing w:line="247" w:lineRule="auto"/>
        <w:ind w:left="551" w:right="151"/>
      </w:pPr>
      <w:r>
        <w:t>CMS</w:t>
      </w:r>
      <w:r>
        <w:rPr>
          <w:spacing w:val="-6"/>
        </w:rPr>
        <w:t xml:space="preserve"> </w:t>
      </w:r>
      <w:r>
        <w:t>considers</w:t>
      </w:r>
      <w:r>
        <w:rPr>
          <w:spacing w:val="-8"/>
        </w:rPr>
        <w:t xml:space="preserve"> </w:t>
      </w:r>
      <w:r>
        <w:t>coverage</w:t>
      </w:r>
      <w:r>
        <w:rPr>
          <w:spacing w:val="-8"/>
        </w:rPr>
        <w:t xml:space="preserve"> </w:t>
      </w:r>
      <w:r>
        <w:t>for</w:t>
      </w:r>
      <w:r>
        <w:rPr>
          <w:spacing w:val="-8"/>
        </w:rPr>
        <w:t xml:space="preserve"> </w:t>
      </w:r>
      <w:r>
        <w:t>ICDs</w:t>
      </w:r>
      <w:r>
        <w:rPr>
          <w:spacing w:val="-8"/>
        </w:rPr>
        <w:t xml:space="preserve"> </w:t>
      </w:r>
      <w:r>
        <w:t>reasonable</w:t>
      </w:r>
      <w:r>
        <w:rPr>
          <w:spacing w:val="-8"/>
        </w:rPr>
        <w:t xml:space="preserve"> </w:t>
      </w:r>
      <w:r>
        <w:t>and</w:t>
      </w:r>
      <w:r>
        <w:rPr>
          <w:spacing w:val="-6"/>
        </w:rPr>
        <w:t xml:space="preserve"> </w:t>
      </w:r>
      <w:r>
        <w:t>necessary</w:t>
      </w:r>
      <w:r>
        <w:rPr>
          <w:spacing w:val="-13"/>
        </w:rPr>
        <w:t xml:space="preserve"> </w:t>
      </w:r>
      <w:r>
        <w:t>under</w:t>
      </w:r>
      <w:r>
        <w:rPr>
          <w:spacing w:val="-8"/>
        </w:rPr>
        <w:t xml:space="preserve"> </w:t>
      </w:r>
      <w:r>
        <w:t>Section</w:t>
      </w:r>
      <w:r>
        <w:rPr>
          <w:spacing w:val="-6"/>
        </w:rPr>
        <w:t xml:space="preserve"> </w:t>
      </w:r>
      <w:r>
        <w:t>1862</w:t>
      </w:r>
      <w:r>
        <w:rPr>
          <w:spacing w:val="-6"/>
        </w:rPr>
        <w:t xml:space="preserve"> </w:t>
      </w:r>
      <w:r>
        <w:t>(a)(1)(A)</w:t>
      </w:r>
      <w:r>
        <w:rPr>
          <w:spacing w:val="-8"/>
        </w:rPr>
        <w:t xml:space="preserve"> </w:t>
      </w:r>
      <w:r>
        <w:t>of</w:t>
      </w:r>
      <w:r>
        <w:rPr>
          <w:spacing w:val="-8"/>
        </w:rPr>
        <w:t xml:space="preserve"> </w:t>
      </w:r>
      <w:r>
        <w:t>the</w:t>
      </w:r>
      <w:r>
        <w:rPr>
          <w:spacing w:val="-8"/>
        </w:rPr>
        <w:t xml:space="preserve"> </w:t>
      </w:r>
      <w:r>
        <w:t>Social Security Act for primary prevention of sudden cardiac death if the beneficiary is enrolled in either an FDA-approved category B IDE clinical trial (42 CFR §405.201), a trial under the CMS Clinical Trial Policy (NCD Manual §310.1) or a qualifying prospective data collection system (either a practical clinical</w:t>
      </w:r>
      <w:r>
        <w:rPr>
          <w:spacing w:val="-11"/>
        </w:rPr>
        <w:t xml:space="preserve"> </w:t>
      </w:r>
      <w:r>
        <w:t>trial</w:t>
      </w:r>
      <w:r>
        <w:rPr>
          <w:spacing w:val="-11"/>
        </w:rPr>
        <w:t xml:space="preserve"> </w:t>
      </w:r>
      <w:r>
        <w:t>or</w:t>
      </w:r>
      <w:r>
        <w:rPr>
          <w:spacing w:val="-11"/>
        </w:rPr>
        <w:t xml:space="preserve"> </w:t>
      </w:r>
      <w:r>
        <w:t>prospective</w:t>
      </w:r>
      <w:r>
        <w:rPr>
          <w:spacing w:val="-11"/>
        </w:rPr>
        <w:t xml:space="preserve"> </w:t>
      </w:r>
      <w:r>
        <w:t>systematic</w:t>
      </w:r>
      <w:r>
        <w:rPr>
          <w:spacing w:val="-11"/>
        </w:rPr>
        <w:t xml:space="preserve"> </w:t>
      </w:r>
      <w:r>
        <w:t>data</w:t>
      </w:r>
      <w:r>
        <w:rPr>
          <w:spacing w:val="-11"/>
        </w:rPr>
        <w:t xml:space="preserve"> </w:t>
      </w:r>
      <w:r>
        <w:t>collection,</w:t>
      </w:r>
      <w:r>
        <w:rPr>
          <w:spacing w:val="-9"/>
        </w:rPr>
        <w:t xml:space="preserve"> </w:t>
      </w:r>
      <w:r>
        <w:t>which</w:t>
      </w:r>
      <w:r>
        <w:rPr>
          <w:spacing w:val="-9"/>
        </w:rPr>
        <w:t xml:space="preserve"> </w:t>
      </w:r>
      <w:r>
        <w:t>is</w:t>
      </w:r>
      <w:r>
        <w:rPr>
          <w:spacing w:val="-11"/>
        </w:rPr>
        <w:t xml:space="preserve"> </w:t>
      </w:r>
      <w:r>
        <w:t>sometimes</w:t>
      </w:r>
      <w:r>
        <w:rPr>
          <w:spacing w:val="-11"/>
        </w:rPr>
        <w:t xml:space="preserve"> </w:t>
      </w:r>
      <w:r>
        <w:t>referred</w:t>
      </w:r>
      <w:r>
        <w:rPr>
          <w:spacing w:val="-9"/>
        </w:rPr>
        <w:t xml:space="preserve"> </w:t>
      </w:r>
      <w:r>
        <w:t>to</w:t>
      </w:r>
      <w:r>
        <w:rPr>
          <w:spacing w:val="-12"/>
        </w:rPr>
        <w:t xml:space="preserve"> </w:t>
      </w:r>
      <w:r>
        <w:t>as</w:t>
      </w:r>
      <w:r>
        <w:rPr>
          <w:spacing w:val="-11"/>
        </w:rPr>
        <w:t xml:space="preserve"> </w:t>
      </w:r>
      <w:r>
        <w:t>a</w:t>
      </w:r>
      <w:r>
        <w:rPr>
          <w:spacing w:val="-11"/>
        </w:rPr>
        <w:t xml:space="preserve"> </w:t>
      </w:r>
      <w:r>
        <w:t>registry).</w:t>
      </w:r>
    </w:p>
    <w:p w14:paraId="47E237C6" w14:textId="77777777" w:rsidR="007C7D31" w:rsidRDefault="007C7D31" w:rsidP="007C7D31">
      <w:pPr>
        <w:pStyle w:val="BodyText"/>
        <w:spacing w:before="5"/>
        <w:rPr>
          <w:sz w:val="24"/>
        </w:rPr>
      </w:pPr>
    </w:p>
    <w:p w14:paraId="4C826FD6" w14:textId="77777777" w:rsidR="007C7D31" w:rsidRDefault="007C7D31" w:rsidP="007C7D31">
      <w:pPr>
        <w:pStyle w:val="Heading2"/>
        <w:numPr>
          <w:ilvl w:val="0"/>
          <w:numId w:val="1"/>
        </w:numPr>
        <w:tabs>
          <w:tab w:val="left" w:pos="551"/>
          <w:tab w:val="left" w:pos="552"/>
        </w:tabs>
        <w:spacing w:before="1"/>
      </w:pPr>
      <w:r>
        <w:rPr>
          <w:u w:val="single"/>
        </w:rPr>
        <w:t>Information</w:t>
      </w:r>
      <w:r>
        <w:rPr>
          <w:spacing w:val="-1"/>
          <w:u w:val="single"/>
        </w:rPr>
        <w:t xml:space="preserve"> </w:t>
      </w:r>
      <w:r>
        <w:rPr>
          <w:u w:val="single"/>
        </w:rPr>
        <w:t>Users</w:t>
      </w:r>
    </w:p>
    <w:p w14:paraId="43093477" w14:textId="77777777" w:rsidR="007C7D31" w:rsidRDefault="007C7D31" w:rsidP="007C7D31">
      <w:pPr>
        <w:pStyle w:val="BodyText"/>
        <w:spacing w:before="5"/>
        <w:rPr>
          <w:sz w:val="28"/>
        </w:rPr>
      </w:pPr>
    </w:p>
    <w:p w14:paraId="532E9D42" w14:textId="3969B372" w:rsidR="007C7D31" w:rsidRDefault="007C7D31" w:rsidP="007C7D31">
      <w:pPr>
        <w:pStyle w:val="BodyText"/>
        <w:spacing w:line="259" w:lineRule="auto"/>
        <w:ind w:left="551"/>
      </w:pPr>
      <w:r>
        <w:t>Data</w:t>
      </w:r>
      <w:r>
        <w:rPr>
          <w:spacing w:val="-11"/>
        </w:rPr>
        <w:t xml:space="preserve"> </w:t>
      </w:r>
      <w:r>
        <w:t>elements</w:t>
      </w:r>
      <w:r>
        <w:rPr>
          <w:spacing w:val="-11"/>
        </w:rPr>
        <w:t xml:space="preserve"> </w:t>
      </w:r>
      <w:r>
        <w:t>will</w:t>
      </w:r>
      <w:r>
        <w:rPr>
          <w:spacing w:val="-11"/>
        </w:rPr>
        <w:t xml:space="preserve"> </w:t>
      </w:r>
      <w:r>
        <w:t>be</w:t>
      </w:r>
      <w:r>
        <w:rPr>
          <w:spacing w:val="-11"/>
        </w:rPr>
        <w:t xml:space="preserve"> </w:t>
      </w:r>
      <w:r>
        <w:t>used</w:t>
      </w:r>
      <w:r>
        <w:rPr>
          <w:spacing w:val="-11"/>
        </w:rPr>
        <w:t xml:space="preserve"> </w:t>
      </w:r>
      <w:r>
        <w:t>for</w:t>
      </w:r>
      <w:r>
        <w:rPr>
          <w:spacing w:val="-11"/>
        </w:rPr>
        <w:t xml:space="preserve"> </w:t>
      </w:r>
      <w:r>
        <w:t>evaluation</w:t>
      </w:r>
      <w:r>
        <w:rPr>
          <w:spacing w:val="-9"/>
        </w:rPr>
        <w:t xml:space="preserve"> </w:t>
      </w:r>
      <w:r>
        <w:t>of safety</w:t>
      </w:r>
      <w:r>
        <w:rPr>
          <w:spacing w:val="-15"/>
        </w:rPr>
        <w:t xml:space="preserve"> </w:t>
      </w:r>
      <w:r>
        <w:t>and</w:t>
      </w:r>
      <w:r>
        <w:rPr>
          <w:spacing w:val="-9"/>
        </w:rPr>
        <w:t xml:space="preserve"> </w:t>
      </w:r>
      <w:r>
        <w:t>benefit</w:t>
      </w:r>
      <w:r>
        <w:rPr>
          <w:spacing w:val="-11"/>
        </w:rPr>
        <w:t xml:space="preserve"> </w:t>
      </w:r>
      <w:r>
        <w:t>of</w:t>
      </w:r>
      <w:r>
        <w:rPr>
          <w:spacing w:val="-11"/>
        </w:rPr>
        <w:t xml:space="preserve"> </w:t>
      </w:r>
      <w:r>
        <w:t>ICDs</w:t>
      </w:r>
      <w:r>
        <w:rPr>
          <w:spacing w:val="-11"/>
        </w:rPr>
        <w:t xml:space="preserve"> </w:t>
      </w:r>
      <w:r>
        <w:t>for</w:t>
      </w:r>
      <w:r>
        <w:rPr>
          <w:spacing w:val="-11"/>
        </w:rPr>
        <w:t xml:space="preserve"> </w:t>
      </w:r>
      <w:r>
        <w:t>beneficiaries</w:t>
      </w:r>
      <w:r>
        <w:rPr>
          <w:spacing w:val="-11"/>
        </w:rPr>
        <w:t xml:space="preserve"> </w:t>
      </w:r>
      <w:r>
        <w:t>and</w:t>
      </w:r>
      <w:r>
        <w:rPr>
          <w:spacing w:val="-9"/>
        </w:rPr>
        <w:t xml:space="preserve"> </w:t>
      </w:r>
      <w:r>
        <w:t>inform</w:t>
      </w:r>
      <w:r>
        <w:rPr>
          <w:spacing w:val="-12"/>
        </w:rPr>
        <w:t xml:space="preserve"> </w:t>
      </w:r>
      <w:r>
        <w:t>future</w:t>
      </w:r>
      <w:r>
        <w:rPr>
          <w:spacing w:val="-11"/>
        </w:rPr>
        <w:t xml:space="preserve"> </w:t>
      </w:r>
      <w:r>
        <w:t>clinical</w:t>
      </w:r>
      <w:r>
        <w:rPr>
          <w:spacing w:val="-11"/>
        </w:rPr>
        <w:t xml:space="preserve"> </w:t>
      </w:r>
      <w:r>
        <w:t>decision</w:t>
      </w:r>
      <w:r>
        <w:rPr>
          <w:spacing w:val="-9"/>
        </w:rPr>
        <w:t xml:space="preserve"> </w:t>
      </w:r>
      <w:r>
        <w:t>making.</w:t>
      </w:r>
    </w:p>
    <w:p w14:paraId="3E53D99F" w14:textId="77777777" w:rsidR="007C7D31" w:rsidRDefault="007C7D31" w:rsidP="007C7D31">
      <w:pPr>
        <w:pStyle w:val="BodyText"/>
        <w:rPr>
          <w:sz w:val="25"/>
        </w:rPr>
      </w:pPr>
    </w:p>
    <w:p w14:paraId="31D09123" w14:textId="77777777" w:rsidR="007C7D31" w:rsidRPr="00F00C03" w:rsidRDefault="007C7D31" w:rsidP="007C7D31">
      <w:pPr>
        <w:pStyle w:val="Heading2"/>
        <w:numPr>
          <w:ilvl w:val="0"/>
          <w:numId w:val="1"/>
        </w:numPr>
        <w:tabs>
          <w:tab w:val="left" w:pos="551"/>
          <w:tab w:val="left" w:pos="552"/>
        </w:tabs>
      </w:pPr>
      <w:r>
        <w:rPr>
          <w:u w:val="single"/>
        </w:rPr>
        <w:t>Use of Information</w:t>
      </w:r>
      <w:r>
        <w:rPr>
          <w:spacing w:val="-4"/>
          <w:u w:val="single"/>
        </w:rPr>
        <w:t xml:space="preserve"> </w:t>
      </w:r>
      <w:r>
        <w:rPr>
          <w:u w:val="single"/>
        </w:rPr>
        <w:t>Technology</w:t>
      </w:r>
    </w:p>
    <w:p w14:paraId="295CC688" w14:textId="77777777" w:rsidR="007C7D31" w:rsidRDefault="007C7D31" w:rsidP="007C7D31">
      <w:pPr>
        <w:pStyle w:val="BodyText"/>
        <w:spacing w:before="78" w:line="244" w:lineRule="auto"/>
        <w:ind w:left="532" w:right="304"/>
      </w:pPr>
      <w:r>
        <w:t>The collection of this information is through electronic means. The usual CMS forms and means of</w:t>
      </w:r>
      <w:r w:rsidRPr="00F00C03">
        <w:t xml:space="preserve"> </w:t>
      </w:r>
      <w:r>
        <w:t>submission for claims by providers for payment will be utilized. In addition, to qualify for payment, providers must implant cardiac defibrillators only in patients with pre-specified clinical conditions. Therefore, CMS is requiring stakeholders including specialty societies, industry, health plans and hospital associations to create systematic clinical data bases or registries to be reimbursed for ICDs implanted for primary prevention. The entity responsible for the registry will be required to establish an electronic means of data collection for additional information needed to justify payment.</w:t>
      </w:r>
    </w:p>
    <w:p w14:paraId="67390893" w14:textId="77777777" w:rsidR="007C7D31" w:rsidRDefault="007C7D31" w:rsidP="007C7D31">
      <w:pPr>
        <w:pStyle w:val="BodyText"/>
        <w:spacing w:before="8"/>
        <w:rPr>
          <w:sz w:val="24"/>
        </w:rPr>
      </w:pPr>
    </w:p>
    <w:p w14:paraId="120ADFF3" w14:textId="77777777" w:rsidR="007C7D31" w:rsidRDefault="007C7D31" w:rsidP="007C7D31">
      <w:pPr>
        <w:pStyle w:val="Heading2"/>
        <w:numPr>
          <w:ilvl w:val="0"/>
          <w:numId w:val="1"/>
        </w:numPr>
        <w:tabs>
          <w:tab w:val="left" w:pos="531"/>
          <w:tab w:val="left" w:pos="532"/>
        </w:tabs>
        <w:ind w:left="532"/>
      </w:pPr>
      <w:r>
        <w:rPr>
          <w:u w:val="single"/>
        </w:rPr>
        <w:t>Duplication of</w:t>
      </w:r>
      <w:r>
        <w:rPr>
          <w:spacing w:val="-9"/>
          <w:u w:val="single"/>
        </w:rPr>
        <w:t xml:space="preserve"> </w:t>
      </w:r>
      <w:r>
        <w:rPr>
          <w:u w:val="single"/>
        </w:rPr>
        <w:t>Efforts</w:t>
      </w:r>
    </w:p>
    <w:p w14:paraId="463E1A02" w14:textId="77777777" w:rsidR="007C7D31" w:rsidRDefault="007C7D31" w:rsidP="007C7D31">
      <w:pPr>
        <w:pStyle w:val="BodyText"/>
        <w:spacing w:before="4"/>
        <w:rPr>
          <w:sz w:val="17"/>
        </w:rPr>
      </w:pPr>
    </w:p>
    <w:p w14:paraId="5778A96C" w14:textId="77777777" w:rsidR="007C7D31" w:rsidRDefault="007C7D31" w:rsidP="007C7D31">
      <w:pPr>
        <w:pStyle w:val="BodyText"/>
        <w:spacing w:before="90" w:line="244" w:lineRule="auto"/>
        <w:ind w:left="532"/>
      </w:pPr>
      <w:r>
        <w:t>This</w:t>
      </w:r>
      <w:r>
        <w:rPr>
          <w:spacing w:val="-10"/>
        </w:rPr>
        <w:t xml:space="preserve"> </w:t>
      </w:r>
      <w:r>
        <w:t>information</w:t>
      </w:r>
      <w:r>
        <w:rPr>
          <w:spacing w:val="-8"/>
        </w:rPr>
        <w:t xml:space="preserve"> </w:t>
      </w:r>
      <w:r>
        <w:t>collection</w:t>
      </w:r>
      <w:r>
        <w:rPr>
          <w:spacing w:val="-8"/>
        </w:rPr>
        <w:t xml:space="preserve"> </w:t>
      </w:r>
      <w:r>
        <w:t>does</w:t>
      </w:r>
      <w:r>
        <w:rPr>
          <w:spacing w:val="-10"/>
        </w:rPr>
        <w:t xml:space="preserve"> </w:t>
      </w:r>
      <w:r>
        <w:t>not</w:t>
      </w:r>
      <w:r>
        <w:rPr>
          <w:spacing w:val="-10"/>
        </w:rPr>
        <w:t xml:space="preserve"> </w:t>
      </w:r>
      <w:r>
        <w:t>duplicate</w:t>
      </w:r>
      <w:r>
        <w:rPr>
          <w:spacing w:val="-10"/>
        </w:rPr>
        <w:t xml:space="preserve"> </w:t>
      </w:r>
      <w:r>
        <w:t>any</w:t>
      </w:r>
      <w:r>
        <w:rPr>
          <w:spacing w:val="-14"/>
        </w:rPr>
        <w:t xml:space="preserve"> </w:t>
      </w:r>
      <w:r>
        <w:t>other</w:t>
      </w:r>
      <w:r>
        <w:rPr>
          <w:spacing w:val="-10"/>
        </w:rPr>
        <w:t xml:space="preserve"> </w:t>
      </w:r>
      <w:r>
        <w:t>effort</w:t>
      </w:r>
      <w:r>
        <w:rPr>
          <w:spacing w:val="-10"/>
        </w:rPr>
        <w:t xml:space="preserve"> </w:t>
      </w:r>
      <w:r>
        <w:t>and</w:t>
      </w:r>
      <w:r>
        <w:rPr>
          <w:spacing w:val="-8"/>
        </w:rPr>
        <w:t xml:space="preserve"> </w:t>
      </w:r>
      <w:r>
        <w:t>the</w:t>
      </w:r>
      <w:r>
        <w:rPr>
          <w:spacing w:val="-10"/>
        </w:rPr>
        <w:t xml:space="preserve"> </w:t>
      </w:r>
      <w:r>
        <w:t>information</w:t>
      </w:r>
      <w:r>
        <w:rPr>
          <w:spacing w:val="-8"/>
        </w:rPr>
        <w:t xml:space="preserve"> </w:t>
      </w:r>
      <w:r>
        <w:t>cannot</w:t>
      </w:r>
      <w:r>
        <w:rPr>
          <w:spacing w:val="-10"/>
        </w:rPr>
        <w:t xml:space="preserve"> </w:t>
      </w:r>
      <w:r>
        <w:t>be</w:t>
      </w:r>
      <w:r>
        <w:rPr>
          <w:spacing w:val="-10"/>
        </w:rPr>
        <w:t xml:space="preserve"> </w:t>
      </w:r>
      <w:r>
        <w:t>obtained from any other</w:t>
      </w:r>
      <w:r>
        <w:rPr>
          <w:spacing w:val="-37"/>
        </w:rPr>
        <w:t xml:space="preserve"> </w:t>
      </w:r>
      <w:r>
        <w:t>source.</w:t>
      </w:r>
    </w:p>
    <w:p w14:paraId="4B088740" w14:textId="77777777" w:rsidR="007C7D31" w:rsidRDefault="007C7D31" w:rsidP="007C7D31">
      <w:pPr>
        <w:pStyle w:val="Heading2"/>
        <w:tabs>
          <w:tab w:val="left" w:pos="551"/>
          <w:tab w:val="left" w:pos="552"/>
        </w:tabs>
      </w:pPr>
    </w:p>
    <w:p w14:paraId="2139751F" w14:textId="77777777" w:rsidR="007C7D31" w:rsidRDefault="007C7D31" w:rsidP="007C7D31">
      <w:pPr>
        <w:pStyle w:val="ListParagraph"/>
        <w:numPr>
          <w:ilvl w:val="0"/>
          <w:numId w:val="1"/>
        </w:numPr>
        <w:tabs>
          <w:tab w:val="left" w:pos="531"/>
          <w:tab w:val="left" w:pos="532"/>
        </w:tabs>
        <w:spacing w:before="1"/>
        <w:ind w:left="532"/>
        <w:rPr>
          <w:sz w:val="24"/>
        </w:rPr>
      </w:pPr>
      <w:r>
        <w:rPr>
          <w:sz w:val="24"/>
          <w:u w:val="single"/>
        </w:rPr>
        <w:t>Small</w:t>
      </w:r>
      <w:r>
        <w:rPr>
          <w:spacing w:val="-6"/>
          <w:sz w:val="24"/>
          <w:u w:val="single"/>
        </w:rPr>
        <w:t xml:space="preserve"> </w:t>
      </w:r>
      <w:r>
        <w:rPr>
          <w:sz w:val="24"/>
          <w:u w:val="single"/>
        </w:rPr>
        <w:t>Businesses</w:t>
      </w:r>
    </w:p>
    <w:p w14:paraId="344EFC0E" w14:textId="77777777" w:rsidR="007C7D31" w:rsidRDefault="007C7D31" w:rsidP="007C7D31">
      <w:pPr>
        <w:pStyle w:val="BodyText"/>
        <w:spacing w:before="2"/>
        <w:rPr>
          <w:sz w:val="17"/>
        </w:rPr>
      </w:pPr>
    </w:p>
    <w:p w14:paraId="0D7A7D32" w14:textId="11FA95F5" w:rsidR="007C7D31" w:rsidRDefault="007C7D31" w:rsidP="00012CBA">
      <w:pPr>
        <w:pStyle w:val="BodyText"/>
        <w:spacing w:before="8"/>
        <w:ind w:left="532"/>
      </w:pPr>
      <w:r>
        <w:t xml:space="preserve">We do not anticipate that small businesses would be affected by this collection.  This information is submitted by hospitals.   </w:t>
      </w:r>
    </w:p>
    <w:p w14:paraId="55578E67" w14:textId="77777777" w:rsidR="00012CBA" w:rsidRDefault="00012CBA" w:rsidP="00012CBA">
      <w:pPr>
        <w:pStyle w:val="BodyText"/>
        <w:spacing w:before="8"/>
        <w:ind w:left="532"/>
        <w:rPr>
          <w:sz w:val="24"/>
        </w:rPr>
      </w:pPr>
    </w:p>
    <w:p w14:paraId="2F21A129" w14:textId="77777777" w:rsidR="007C7D31" w:rsidRDefault="007C7D31" w:rsidP="007C7D31">
      <w:pPr>
        <w:pStyle w:val="Heading2"/>
        <w:numPr>
          <w:ilvl w:val="0"/>
          <w:numId w:val="1"/>
        </w:numPr>
        <w:tabs>
          <w:tab w:val="left" w:pos="531"/>
          <w:tab w:val="left" w:pos="532"/>
        </w:tabs>
        <w:spacing w:before="1"/>
        <w:ind w:left="532"/>
      </w:pPr>
      <w:r>
        <w:rPr>
          <w:u w:val="single"/>
        </w:rPr>
        <w:t>Less Frequent</w:t>
      </w:r>
      <w:r>
        <w:rPr>
          <w:spacing w:val="-14"/>
          <w:u w:val="single"/>
        </w:rPr>
        <w:t xml:space="preserve"> </w:t>
      </w:r>
      <w:r>
        <w:rPr>
          <w:u w:val="single"/>
        </w:rPr>
        <w:t>Collection</w:t>
      </w:r>
    </w:p>
    <w:p w14:paraId="38306C00" w14:textId="77777777" w:rsidR="007C7D31" w:rsidRDefault="007C7D31" w:rsidP="007C7D31">
      <w:pPr>
        <w:pStyle w:val="BodyText"/>
        <w:spacing w:before="2"/>
        <w:rPr>
          <w:sz w:val="17"/>
        </w:rPr>
      </w:pPr>
    </w:p>
    <w:p w14:paraId="34AC0821" w14:textId="77777777" w:rsidR="007C7D31" w:rsidRDefault="007C7D31" w:rsidP="007C7D31">
      <w:pPr>
        <w:pStyle w:val="BodyText"/>
        <w:spacing w:before="90" w:line="244" w:lineRule="auto"/>
        <w:ind w:left="531"/>
      </w:pPr>
      <w:r>
        <w:t>The collection of this data occurs one time only for each patient undergoing the procedure. The physician performing the procedure will need to submit this information one time only for each patient receiving</w:t>
      </w:r>
      <w:r>
        <w:rPr>
          <w:spacing w:val="-10"/>
        </w:rPr>
        <w:t xml:space="preserve"> </w:t>
      </w:r>
      <w:r>
        <w:t>the</w:t>
      </w:r>
      <w:r>
        <w:rPr>
          <w:spacing w:val="-10"/>
        </w:rPr>
        <w:t xml:space="preserve"> </w:t>
      </w:r>
      <w:r>
        <w:t>device.</w:t>
      </w:r>
      <w:r>
        <w:rPr>
          <w:spacing w:val="-9"/>
        </w:rPr>
        <w:t xml:space="preserve"> </w:t>
      </w:r>
      <w:r>
        <w:t>If</w:t>
      </w:r>
      <w:r>
        <w:rPr>
          <w:spacing w:val="-10"/>
        </w:rPr>
        <w:t xml:space="preserve"> </w:t>
      </w:r>
      <w:r>
        <w:t>the</w:t>
      </w:r>
      <w:r>
        <w:rPr>
          <w:spacing w:val="-10"/>
        </w:rPr>
        <w:t xml:space="preserve"> </w:t>
      </w:r>
      <w:r>
        <w:t>information</w:t>
      </w:r>
      <w:r>
        <w:rPr>
          <w:spacing w:val="-8"/>
        </w:rPr>
        <w:t xml:space="preserve"> </w:t>
      </w:r>
      <w:r>
        <w:t>is</w:t>
      </w:r>
      <w:r>
        <w:rPr>
          <w:spacing w:val="-10"/>
        </w:rPr>
        <w:t xml:space="preserve"> </w:t>
      </w:r>
      <w:r>
        <w:t>not</w:t>
      </w:r>
      <w:r>
        <w:rPr>
          <w:spacing w:val="-10"/>
        </w:rPr>
        <w:t xml:space="preserve"> </w:t>
      </w:r>
      <w:r>
        <w:t>collected</w:t>
      </w:r>
      <w:r>
        <w:rPr>
          <w:spacing w:val="-8"/>
        </w:rPr>
        <w:t xml:space="preserve"> </w:t>
      </w:r>
      <w:r>
        <w:t>CMS</w:t>
      </w:r>
      <w:r>
        <w:rPr>
          <w:spacing w:val="-8"/>
        </w:rPr>
        <w:t xml:space="preserve"> </w:t>
      </w:r>
      <w:r>
        <w:t>cannot</w:t>
      </w:r>
      <w:r>
        <w:rPr>
          <w:spacing w:val="-10"/>
        </w:rPr>
        <w:t xml:space="preserve"> </w:t>
      </w:r>
      <w:r>
        <w:t>meet</w:t>
      </w:r>
      <w:r>
        <w:rPr>
          <w:spacing w:val="-10"/>
        </w:rPr>
        <w:t xml:space="preserve"> </w:t>
      </w:r>
      <w:r>
        <w:t>its</w:t>
      </w:r>
      <w:r>
        <w:rPr>
          <w:spacing w:val="-10"/>
        </w:rPr>
        <w:t xml:space="preserve"> </w:t>
      </w:r>
      <w:r>
        <w:t>responsibility</w:t>
      </w:r>
      <w:r>
        <w:rPr>
          <w:spacing w:val="-14"/>
        </w:rPr>
        <w:t xml:space="preserve"> </w:t>
      </w:r>
      <w:r>
        <w:t>to</w:t>
      </w:r>
      <w:r>
        <w:rPr>
          <w:spacing w:val="-10"/>
        </w:rPr>
        <w:t xml:space="preserve"> </w:t>
      </w:r>
      <w:r>
        <w:t>encourage responsible</w:t>
      </w:r>
      <w:r>
        <w:rPr>
          <w:spacing w:val="-11"/>
        </w:rPr>
        <w:t xml:space="preserve"> </w:t>
      </w:r>
      <w:r>
        <w:t>and</w:t>
      </w:r>
      <w:r>
        <w:rPr>
          <w:spacing w:val="-9"/>
        </w:rPr>
        <w:t xml:space="preserve"> </w:t>
      </w:r>
      <w:r>
        <w:t>appropriate</w:t>
      </w:r>
      <w:r>
        <w:rPr>
          <w:spacing w:val="-11"/>
        </w:rPr>
        <w:t xml:space="preserve"> </w:t>
      </w:r>
      <w:r>
        <w:t>use</w:t>
      </w:r>
      <w:r>
        <w:rPr>
          <w:spacing w:val="-11"/>
        </w:rPr>
        <w:t xml:space="preserve"> </w:t>
      </w:r>
      <w:r>
        <w:t>of</w:t>
      </w:r>
      <w:r>
        <w:rPr>
          <w:spacing w:val="-11"/>
        </w:rPr>
        <w:t xml:space="preserve"> </w:t>
      </w:r>
      <w:r>
        <w:t>ICDs.</w:t>
      </w:r>
    </w:p>
    <w:p w14:paraId="46C0A272" w14:textId="77777777" w:rsidR="007C7D31" w:rsidRDefault="007C7D31" w:rsidP="007C7D31">
      <w:pPr>
        <w:pStyle w:val="Heading2"/>
        <w:tabs>
          <w:tab w:val="left" w:pos="551"/>
          <w:tab w:val="left" w:pos="552"/>
        </w:tabs>
      </w:pPr>
    </w:p>
    <w:p w14:paraId="6724BBB0" w14:textId="77777777" w:rsidR="007C7D31" w:rsidRDefault="007C7D31" w:rsidP="007C7D31">
      <w:pPr>
        <w:pStyle w:val="Heading2"/>
        <w:numPr>
          <w:ilvl w:val="0"/>
          <w:numId w:val="1"/>
        </w:numPr>
        <w:tabs>
          <w:tab w:val="left" w:pos="531"/>
          <w:tab w:val="left" w:pos="532"/>
        </w:tabs>
        <w:spacing w:before="1"/>
        <w:ind w:left="532"/>
      </w:pPr>
      <w:r>
        <w:rPr>
          <w:u w:val="single"/>
        </w:rPr>
        <w:t>Special</w:t>
      </w:r>
      <w:r>
        <w:rPr>
          <w:spacing w:val="-10"/>
          <w:u w:val="single"/>
        </w:rPr>
        <w:t xml:space="preserve"> </w:t>
      </w:r>
      <w:r>
        <w:rPr>
          <w:u w:val="single"/>
        </w:rPr>
        <w:t>Circumstances</w:t>
      </w:r>
    </w:p>
    <w:p w14:paraId="07414BB2" w14:textId="77777777" w:rsidR="007C7D31" w:rsidRDefault="007C7D31" w:rsidP="007C7D31">
      <w:pPr>
        <w:pStyle w:val="BodyText"/>
        <w:spacing w:before="2"/>
        <w:rPr>
          <w:sz w:val="17"/>
        </w:rPr>
      </w:pPr>
    </w:p>
    <w:p w14:paraId="6F01AFB2" w14:textId="77777777" w:rsidR="007C7D31" w:rsidRDefault="007C7D31" w:rsidP="007C7D31">
      <w:pPr>
        <w:pStyle w:val="BodyText"/>
        <w:spacing w:before="90" w:line="244" w:lineRule="auto"/>
        <w:ind w:left="531" w:right="185"/>
        <w:jc w:val="both"/>
      </w:pPr>
      <w:r>
        <w:t>The</w:t>
      </w:r>
      <w:r>
        <w:rPr>
          <w:spacing w:val="-8"/>
        </w:rPr>
        <w:t xml:space="preserve"> </w:t>
      </w:r>
      <w:r>
        <w:t>respondent</w:t>
      </w:r>
      <w:r>
        <w:rPr>
          <w:spacing w:val="-8"/>
        </w:rPr>
        <w:t xml:space="preserve"> </w:t>
      </w:r>
      <w:r>
        <w:t>(i.e.,</w:t>
      </w:r>
      <w:r>
        <w:rPr>
          <w:spacing w:val="-7"/>
        </w:rPr>
        <w:t xml:space="preserve"> </w:t>
      </w:r>
      <w:r>
        <w:t>the</w:t>
      </w:r>
      <w:r>
        <w:rPr>
          <w:spacing w:val="-8"/>
        </w:rPr>
        <w:t xml:space="preserve"> </w:t>
      </w:r>
      <w:r>
        <w:t>provider)</w:t>
      </w:r>
      <w:r>
        <w:rPr>
          <w:spacing w:val="-8"/>
        </w:rPr>
        <w:t xml:space="preserve"> </w:t>
      </w:r>
      <w:r>
        <w:t>is</w:t>
      </w:r>
      <w:r>
        <w:rPr>
          <w:spacing w:val="-8"/>
        </w:rPr>
        <w:t xml:space="preserve"> </w:t>
      </w:r>
      <w:r>
        <w:t>required</w:t>
      </w:r>
      <w:r>
        <w:rPr>
          <w:spacing w:val="-6"/>
        </w:rPr>
        <w:t xml:space="preserve"> </w:t>
      </w:r>
      <w:r>
        <w:t>to</w:t>
      </w:r>
      <w:r>
        <w:rPr>
          <w:spacing w:val="-9"/>
        </w:rPr>
        <w:t xml:space="preserve"> </w:t>
      </w:r>
      <w:r>
        <w:t>report</w:t>
      </w:r>
      <w:r>
        <w:rPr>
          <w:spacing w:val="-8"/>
        </w:rPr>
        <w:t xml:space="preserve"> </w:t>
      </w:r>
      <w:r>
        <w:t>the</w:t>
      </w:r>
      <w:r>
        <w:rPr>
          <w:spacing w:val="-8"/>
        </w:rPr>
        <w:t xml:space="preserve"> </w:t>
      </w:r>
      <w:r>
        <w:t>information</w:t>
      </w:r>
      <w:r>
        <w:rPr>
          <w:spacing w:val="-6"/>
        </w:rPr>
        <w:t xml:space="preserve"> </w:t>
      </w:r>
      <w:r>
        <w:t>to</w:t>
      </w:r>
      <w:r>
        <w:rPr>
          <w:spacing w:val="-9"/>
        </w:rPr>
        <w:t xml:space="preserve"> </w:t>
      </w:r>
      <w:r>
        <w:t>the</w:t>
      </w:r>
      <w:r>
        <w:rPr>
          <w:spacing w:val="-8"/>
        </w:rPr>
        <w:t xml:space="preserve"> </w:t>
      </w:r>
      <w:r>
        <w:t>agency</w:t>
      </w:r>
      <w:r>
        <w:rPr>
          <w:spacing w:val="-12"/>
        </w:rPr>
        <w:t xml:space="preserve"> </w:t>
      </w:r>
      <w:r>
        <w:t>for</w:t>
      </w:r>
      <w:r>
        <w:rPr>
          <w:spacing w:val="-8"/>
        </w:rPr>
        <w:t xml:space="preserve"> </w:t>
      </w:r>
      <w:r>
        <w:t>payment.</w:t>
      </w:r>
      <w:r>
        <w:rPr>
          <w:spacing w:val="43"/>
        </w:rPr>
        <w:t xml:space="preserve"> </w:t>
      </w:r>
      <w:r>
        <w:t>The provider</w:t>
      </w:r>
      <w:r>
        <w:rPr>
          <w:spacing w:val="-10"/>
        </w:rPr>
        <w:t xml:space="preserve"> </w:t>
      </w:r>
      <w:r>
        <w:t>may</w:t>
      </w:r>
      <w:r>
        <w:rPr>
          <w:spacing w:val="-14"/>
        </w:rPr>
        <w:t xml:space="preserve"> </w:t>
      </w:r>
      <w:r>
        <w:t>perform</w:t>
      </w:r>
      <w:r>
        <w:rPr>
          <w:spacing w:val="-10"/>
        </w:rPr>
        <w:t xml:space="preserve"> </w:t>
      </w:r>
      <w:r>
        <w:t>more</w:t>
      </w:r>
      <w:r>
        <w:rPr>
          <w:spacing w:val="-10"/>
        </w:rPr>
        <w:t xml:space="preserve"> </w:t>
      </w:r>
      <w:r>
        <w:t>than</w:t>
      </w:r>
      <w:r>
        <w:rPr>
          <w:spacing w:val="-8"/>
        </w:rPr>
        <w:t xml:space="preserve"> </w:t>
      </w:r>
      <w:r>
        <w:t>one</w:t>
      </w:r>
      <w:r>
        <w:rPr>
          <w:spacing w:val="-10"/>
        </w:rPr>
        <w:t xml:space="preserve"> </w:t>
      </w:r>
      <w:r>
        <w:t>procedure</w:t>
      </w:r>
      <w:r>
        <w:rPr>
          <w:spacing w:val="-10"/>
        </w:rPr>
        <w:t xml:space="preserve"> </w:t>
      </w:r>
      <w:r>
        <w:t>a</w:t>
      </w:r>
      <w:r>
        <w:rPr>
          <w:spacing w:val="-10"/>
        </w:rPr>
        <w:t xml:space="preserve"> </w:t>
      </w:r>
      <w:r>
        <w:t>quarter</w:t>
      </w:r>
      <w:r>
        <w:rPr>
          <w:spacing w:val="-10"/>
        </w:rPr>
        <w:t xml:space="preserve"> </w:t>
      </w:r>
      <w:r>
        <w:t>and</w:t>
      </w:r>
      <w:r>
        <w:rPr>
          <w:spacing w:val="-8"/>
        </w:rPr>
        <w:t xml:space="preserve"> </w:t>
      </w:r>
      <w:r>
        <w:t>therefore</w:t>
      </w:r>
      <w:r>
        <w:rPr>
          <w:spacing w:val="-10"/>
        </w:rPr>
        <w:t xml:space="preserve"> </w:t>
      </w:r>
      <w:r>
        <w:t>would</w:t>
      </w:r>
      <w:r>
        <w:rPr>
          <w:spacing w:val="-8"/>
        </w:rPr>
        <w:t xml:space="preserve"> </w:t>
      </w:r>
      <w:r>
        <w:t>submit</w:t>
      </w:r>
      <w:r>
        <w:rPr>
          <w:spacing w:val="-10"/>
        </w:rPr>
        <w:t xml:space="preserve"> </w:t>
      </w:r>
      <w:r>
        <w:t>information</w:t>
      </w:r>
      <w:r>
        <w:rPr>
          <w:spacing w:val="-8"/>
        </w:rPr>
        <w:t xml:space="preserve"> </w:t>
      </w:r>
      <w:r>
        <w:t>more often than</w:t>
      </w:r>
      <w:r>
        <w:rPr>
          <w:spacing w:val="-30"/>
        </w:rPr>
        <w:t xml:space="preserve"> </w:t>
      </w:r>
      <w:r>
        <w:t>quarterly.</w:t>
      </w:r>
    </w:p>
    <w:p w14:paraId="2EBE3D2C" w14:textId="77777777" w:rsidR="007C7D31" w:rsidRDefault="007C7D31" w:rsidP="007C7D31">
      <w:pPr>
        <w:pStyle w:val="BodyText"/>
        <w:spacing w:before="8"/>
        <w:rPr>
          <w:sz w:val="24"/>
        </w:rPr>
      </w:pPr>
    </w:p>
    <w:p w14:paraId="533D7E0D" w14:textId="77777777" w:rsidR="007C7D31" w:rsidRDefault="007C7D31" w:rsidP="007C7D31">
      <w:pPr>
        <w:pStyle w:val="Heading2"/>
        <w:numPr>
          <w:ilvl w:val="0"/>
          <w:numId w:val="1"/>
        </w:numPr>
        <w:tabs>
          <w:tab w:val="left" w:pos="531"/>
          <w:tab w:val="left" w:pos="532"/>
        </w:tabs>
        <w:spacing w:before="1"/>
        <w:ind w:left="532"/>
      </w:pPr>
      <w:r>
        <w:rPr>
          <w:u w:val="single"/>
        </w:rPr>
        <w:t>Federal Register/Outside</w:t>
      </w:r>
      <w:r>
        <w:rPr>
          <w:spacing w:val="-16"/>
          <w:u w:val="single"/>
        </w:rPr>
        <w:t xml:space="preserve"> </w:t>
      </w:r>
      <w:r>
        <w:rPr>
          <w:u w:val="single"/>
        </w:rPr>
        <w:t>Consultation</w:t>
      </w:r>
    </w:p>
    <w:p w14:paraId="791993FB" w14:textId="77777777" w:rsidR="007C7D31" w:rsidRDefault="007C7D31" w:rsidP="007C7D31">
      <w:pPr>
        <w:pStyle w:val="BodyText"/>
        <w:rPr>
          <w:sz w:val="26"/>
        </w:rPr>
      </w:pPr>
    </w:p>
    <w:p w14:paraId="654F0D86" w14:textId="27B751D8" w:rsidR="007C7D31" w:rsidRDefault="007C7D31" w:rsidP="007C7D31">
      <w:pPr>
        <w:pStyle w:val="BodyText"/>
        <w:spacing w:before="89" w:line="244" w:lineRule="auto"/>
        <w:ind w:left="531"/>
      </w:pPr>
      <w:r>
        <w:t xml:space="preserve">The 60-day Federal Register notice published on </w:t>
      </w:r>
      <w:r w:rsidR="00A61A6A">
        <w:t>February 17, 2017 (82 FR 11040).  There were no public comments received.</w:t>
      </w:r>
    </w:p>
    <w:p w14:paraId="0D034714" w14:textId="77777777" w:rsidR="00A61A6A" w:rsidRDefault="00A61A6A" w:rsidP="007C7D31">
      <w:pPr>
        <w:pStyle w:val="BodyText"/>
        <w:spacing w:before="89" w:line="244" w:lineRule="auto"/>
        <w:ind w:left="531"/>
      </w:pPr>
    </w:p>
    <w:p w14:paraId="51CA938B" w14:textId="638B2E0F" w:rsidR="00A61A6A" w:rsidRDefault="00A61A6A" w:rsidP="007C7D31">
      <w:pPr>
        <w:pStyle w:val="BodyText"/>
        <w:spacing w:before="89" w:line="244" w:lineRule="auto"/>
        <w:ind w:left="531"/>
      </w:pPr>
      <w:r>
        <w:t xml:space="preserve">The 30-day Federal Register notice published on April 28, 2017 (82 FR 19734).  </w:t>
      </w:r>
    </w:p>
    <w:p w14:paraId="24C6CBF0" w14:textId="77777777" w:rsidR="007C7D31" w:rsidRDefault="007C7D31" w:rsidP="007C7D31">
      <w:pPr>
        <w:pStyle w:val="BodyText"/>
        <w:spacing w:before="89" w:line="244" w:lineRule="auto"/>
        <w:ind w:left="531"/>
      </w:pPr>
    </w:p>
    <w:p w14:paraId="798A6C22" w14:textId="4CFB1950" w:rsidR="007C7D31" w:rsidRDefault="00DC3D4B" w:rsidP="007C7D31">
      <w:pPr>
        <w:pStyle w:val="BodyText"/>
        <w:spacing w:before="89" w:line="244" w:lineRule="auto"/>
        <w:ind w:left="531"/>
      </w:pPr>
      <w:r>
        <w:t xml:space="preserve">Prior to issuing this long standing policy, </w:t>
      </w:r>
      <w:r w:rsidR="007C7D31">
        <w:t>CMS</w:t>
      </w:r>
      <w:r w:rsidR="007C7D31">
        <w:rPr>
          <w:spacing w:val="-7"/>
        </w:rPr>
        <w:t xml:space="preserve"> </w:t>
      </w:r>
      <w:r w:rsidR="007C7D31">
        <w:t>consulted</w:t>
      </w:r>
      <w:r w:rsidR="007C7D31">
        <w:rPr>
          <w:spacing w:val="-7"/>
        </w:rPr>
        <w:t xml:space="preserve"> </w:t>
      </w:r>
      <w:r w:rsidR="007C7D31">
        <w:t>with</w:t>
      </w:r>
      <w:r w:rsidR="007C7D31">
        <w:rPr>
          <w:spacing w:val="-7"/>
        </w:rPr>
        <w:t xml:space="preserve"> </w:t>
      </w:r>
      <w:r w:rsidR="007C7D31">
        <w:t>the</w:t>
      </w:r>
      <w:r w:rsidR="007C7D31">
        <w:rPr>
          <w:spacing w:val="-8"/>
        </w:rPr>
        <w:t xml:space="preserve"> </w:t>
      </w:r>
      <w:r w:rsidR="007C7D31">
        <w:t>National</w:t>
      </w:r>
      <w:r w:rsidR="007C7D31">
        <w:rPr>
          <w:spacing w:val="-8"/>
        </w:rPr>
        <w:t xml:space="preserve"> </w:t>
      </w:r>
      <w:r w:rsidR="007C7D31">
        <w:t>ICD</w:t>
      </w:r>
      <w:r w:rsidR="007C7D31">
        <w:rPr>
          <w:spacing w:val="-7"/>
        </w:rPr>
        <w:t xml:space="preserve"> </w:t>
      </w:r>
      <w:r w:rsidR="007C7D31">
        <w:t>Registry</w:t>
      </w:r>
      <w:r w:rsidR="007C7D31">
        <w:rPr>
          <w:spacing w:val="-13"/>
        </w:rPr>
        <w:t xml:space="preserve"> </w:t>
      </w:r>
      <w:r w:rsidR="007C7D31">
        <w:t>Working</w:t>
      </w:r>
      <w:r w:rsidR="007C7D31">
        <w:rPr>
          <w:spacing w:val="-8"/>
        </w:rPr>
        <w:t xml:space="preserve"> </w:t>
      </w:r>
      <w:r w:rsidR="007C7D31">
        <w:t>Group</w:t>
      </w:r>
      <w:r w:rsidR="007C7D31">
        <w:rPr>
          <w:spacing w:val="-7"/>
        </w:rPr>
        <w:t xml:space="preserve"> </w:t>
      </w:r>
      <w:r w:rsidR="007C7D31">
        <w:t>on January 27, 2005, indicating that ICDs will be covered for primary prevention</w:t>
      </w:r>
      <w:r w:rsidR="007C7D31">
        <w:rPr>
          <w:spacing w:val="-7"/>
        </w:rPr>
        <w:t xml:space="preserve"> </w:t>
      </w:r>
      <w:r w:rsidR="007C7D31">
        <w:t>of</w:t>
      </w:r>
      <w:r w:rsidR="007C7D31">
        <w:rPr>
          <w:spacing w:val="-9"/>
        </w:rPr>
        <w:t xml:space="preserve"> </w:t>
      </w:r>
      <w:r w:rsidR="007C7D31">
        <w:t>sudden</w:t>
      </w:r>
      <w:r w:rsidR="007C7D31">
        <w:rPr>
          <w:spacing w:val="-7"/>
        </w:rPr>
        <w:t xml:space="preserve"> </w:t>
      </w:r>
      <w:r w:rsidR="007C7D31">
        <w:t>cardiac</w:t>
      </w:r>
      <w:r w:rsidR="007C7D31">
        <w:rPr>
          <w:spacing w:val="-9"/>
        </w:rPr>
        <w:t xml:space="preserve"> </w:t>
      </w:r>
      <w:r w:rsidR="007C7D31">
        <w:t>death</w:t>
      </w:r>
      <w:r w:rsidR="007C7D31">
        <w:rPr>
          <w:spacing w:val="-7"/>
        </w:rPr>
        <w:t xml:space="preserve"> </w:t>
      </w:r>
      <w:r w:rsidR="007C7D31">
        <w:t>if</w:t>
      </w:r>
      <w:r w:rsidR="007C7D31">
        <w:rPr>
          <w:spacing w:val="-9"/>
        </w:rPr>
        <w:t xml:space="preserve"> </w:t>
      </w:r>
      <w:r w:rsidR="007C7D31">
        <w:t>the</w:t>
      </w:r>
      <w:r w:rsidR="007C7D31">
        <w:rPr>
          <w:spacing w:val="-9"/>
        </w:rPr>
        <w:t xml:space="preserve"> </w:t>
      </w:r>
      <w:r w:rsidR="007C7D31">
        <w:t>beneficiary</w:t>
      </w:r>
      <w:r w:rsidR="007C7D31">
        <w:rPr>
          <w:spacing w:val="-13"/>
        </w:rPr>
        <w:t xml:space="preserve"> </w:t>
      </w:r>
      <w:r w:rsidR="007C7D31">
        <w:t>is</w:t>
      </w:r>
      <w:r w:rsidR="007C7D31">
        <w:rPr>
          <w:spacing w:val="-9"/>
        </w:rPr>
        <w:t xml:space="preserve"> </w:t>
      </w:r>
      <w:r w:rsidR="007C7D31">
        <w:t>enrolled</w:t>
      </w:r>
      <w:r w:rsidR="007C7D31">
        <w:rPr>
          <w:spacing w:val="-7"/>
        </w:rPr>
        <w:t xml:space="preserve"> </w:t>
      </w:r>
      <w:r w:rsidR="007C7D31">
        <w:t>in</w:t>
      </w:r>
      <w:r w:rsidR="007C7D31">
        <w:rPr>
          <w:spacing w:val="-7"/>
        </w:rPr>
        <w:t xml:space="preserve"> </w:t>
      </w:r>
      <w:r w:rsidR="007C7D31">
        <w:t>either</w:t>
      </w:r>
      <w:r w:rsidR="007C7D31">
        <w:rPr>
          <w:spacing w:val="-9"/>
        </w:rPr>
        <w:t xml:space="preserve"> </w:t>
      </w:r>
      <w:r w:rsidR="007C7D31">
        <w:t>an</w:t>
      </w:r>
      <w:r w:rsidR="007C7D31">
        <w:rPr>
          <w:spacing w:val="-7"/>
        </w:rPr>
        <w:t xml:space="preserve"> </w:t>
      </w:r>
      <w:r w:rsidR="007C7D31">
        <w:t>FDA-approved</w:t>
      </w:r>
      <w:r w:rsidR="007C7D31">
        <w:rPr>
          <w:spacing w:val="-7"/>
        </w:rPr>
        <w:t xml:space="preserve"> </w:t>
      </w:r>
      <w:r w:rsidR="007C7D31">
        <w:t>category</w:t>
      </w:r>
      <w:r w:rsidR="007C7D31">
        <w:rPr>
          <w:spacing w:val="-13"/>
        </w:rPr>
        <w:t xml:space="preserve"> </w:t>
      </w:r>
      <w:r w:rsidR="007C7D31">
        <w:t>B IDE</w:t>
      </w:r>
      <w:r w:rsidR="007C7D31">
        <w:rPr>
          <w:spacing w:val="-5"/>
        </w:rPr>
        <w:t xml:space="preserve"> </w:t>
      </w:r>
      <w:r w:rsidR="007C7D31">
        <w:t>clinical</w:t>
      </w:r>
      <w:r w:rsidR="007C7D31">
        <w:rPr>
          <w:spacing w:val="-7"/>
        </w:rPr>
        <w:t xml:space="preserve"> </w:t>
      </w:r>
      <w:r w:rsidR="007C7D31">
        <w:t>trial</w:t>
      </w:r>
      <w:r w:rsidR="007C7D31">
        <w:rPr>
          <w:spacing w:val="-7"/>
        </w:rPr>
        <w:t xml:space="preserve"> </w:t>
      </w:r>
      <w:r w:rsidR="007C7D31">
        <w:t>(42</w:t>
      </w:r>
      <w:r w:rsidR="007C7D31">
        <w:rPr>
          <w:spacing w:val="-5"/>
        </w:rPr>
        <w:t xml:space="preserve"> </w:t>
      </w:r>
      <w:r w:rsidR="007C7D31">
        <w:t>CFR</w:t>
      </w:r>
      <w:r w:rsidR="007C7D31">
        <w:rPr>
          <w:spacing w:val="-6"/>
        </w:rPr>
        <w:t xml:space="preserve"> </w:t>
      </w:r>
      <w:r w:rsidR="007C7D31">
        <w:t>§405.201),</w:t>
      </w:r>
      <w:r w:rsidR="007C7D31">
        <w:rPr>
          <w:spacing w:val="-6"/>
        </w:rPr>
        <w:t xml:space="preserve"> </w:t>
      </w:r>
      <w:r w:rsidR="007C7D31">
        <w:t>a</w:t>
      </w:r>
      <w:r w:rsidR="007C7D31">
        <w:rPr>
          <w:spacing w:val="-7"/>
        </w:rPr>
        <w:t xml:space="preserve"> </w:t>
      </w:r>
      <w:r w:rsidR="007C7D31">
        <w:t>trial</w:t>
      </w:r>
      <w:r w:rsidR="007C7D31">
        <w:rPr>
          <w:spacing w:val="-7"/>
        </w:rPr>
        <w:t xml:space="preserve"> </w:t>
      </w:r>
      <w:r w:rsidR="007C7D31">
        <w:t>under</w:t>
      </w:r>
      <w:r w:rsidR="007C7D31">
        <w:rPr>
          <w:spacing w:val="-7"/>
        </w:rPr>
        <w:t xml:space="preserve"> </w:t>
      </w:r>
      <w:r w:rsidR="007C7D31">
        <w:t>the</w:t>
      </w:r>
      <w:r w:rsidR="007C7D31">
        <w:rPr>
          <w:spacing w:val="-7"/>
        </w:rPr>
        <w:t xml:space="preserve"> </w:t>
      </w:r>
      <w:r w:rsidR="007C7D31">
        <w:t>CMS</w:t>
      </w:r>
      <w:r w:rsidR="007C7D31">
        <w:rPr>
          <w:spacing w:val="-5"/>
        </w:rPr>
        <w:t xml:space="preserve"> </w:t>
      </w:r>
      <w:r w:rsidR="007C7D31">
        <w:t>Clinical</w:t>
      </w:r>
      <w:r w:rsidR="007C7D31">
        <w:rPr>
          <w:spacing w:val="-7"/>
        </w:rPr>
        <w:t xml:space="preserve"> </w:t>
      </w:r>
      <w:r w:rsidR="007C7D31">
        <w:t>Trial</w:t>
      </w:r>
      <w:r w:rsidR="007C7D31">
        <w:rPr>
          <w:spacing w:val="-7"/>
        </w:rPr>
        <w:t xml:space="preserve"> </w:t>
      </w:r>
      <w:r w:rsidR="007C7D31">
        <w:t>Policy</w:t>
      </w:r>
      <w:r w:rsidR="007C7D31">
        <w:rPr>
          <w:spacing w:val="-11"/>
        </w:rPr>
        <w:t xml:space="preserve"> </w:t>
      </w:r>
      <w:r w:rsidR="007C7D31">
        <w:t>(NCD</w:t>
      </w:r>
      <w:r w:rsidR="007C7D31">
        <w:rPr>
          <w:spacing w:val="-6"/>
        </w:rPr>
        <w:t xml:space="preserve"> </w:t>
      </w:r>
      <w:r w:rsidR="007C7D31">
        <w:t>Manual§310.1)</w:t>
      </w:r>
      <w:r w:rsidR="007C7D31">
        <w:rPr>
          <w:spacing w:val="-11"/>
        </w:rPr>
        <w:t xml:space="preserve"> </w:t>
      </w:r>
      <w:r w:rsidR="007C7D31">
        <w:t>or</w:t>
      </w:r>
      <w:r w:rsidR="007C7D31">
        <w:rPr>
          <w:spacing w:val="-11"/>
        </w:rPr>
        <w:t xml:space="preserve"> </w:t>
      </w:r>
      <w:r w:rsidR="007C7D31">
        <w:t>a</w:t>
      </w:r>
      <w:r w:rsidR="007C7D31">
        <w:rPr>
          <w:spacing w:val="-11"/>
        </w:rPr>
        <w:t xml:space="preserve"> </w:t>
      </w:r>
      <w:r w:rsidR="007C7D31">
        <w:t>qualifying</w:t>
      </w:r>
      <w:r w:rsidR="007C7D31">
        <w:rPr>
          <w:spacing w:val="-11"/>
        </w:rPr>
        <w:t xml:space="preserve"> </w:t>
      </w:r>
      <w:r w:rsidR="007C7D31">
        <w:t>prospective</w:t>
      </w:r>
      <w:r w:rsidR="007C7D31">
        <w:rPr>
          <w:spacing w:val="-11"/>
        </w:rPr>
        <w:t xml:space="preserve"> </w:t>
      </w:r>
      <w:r w:rsidR="007C7D31">
        <w:t>data</w:t>
      </w:r>
      <w:r w:rsidR="007C7D31">
        <w:rPr>
          <w:spacing w:val="-11"/>
        </w:rPr>
        <w:t xml:space="preserve"> </w:t>
      </w:r>
      <w:r w:rsidR="007C7D31">
        <w:t>collection</w:t>
      </w:r>
      <w:r w:rsidR="007C7D31">
        <w:rPr>
          <w:spacing w:val="-9"/>
        </w:rPr>
        <w:t xml:space="preserve"> </w:t>
      </w:r>
      <w:r w:rsidR="007C7D31">
        <w:t>system</w:t>
      </w:r>
      <w:r w:rsidR="007C7D31">
        <w:rPr>
          <w:spacing w:val="-11"/>
        </w:rPr>
        <w:t xml:space="preserve"> </w:t>
      </w:r>
      <w:r w:rsidR="007C7D31">
        <w:t>(either</w:t>
      </w:r>
      <w:r w:rsidR="007C7D31">
        <w:rPr>
          <w:spacing w:val="-11"/>
        </w:rPr>
        <w:t xml:space="preserve"> </w:t>
      </w:r>
      <w:r w:rsidR="007C7D31">
        <w:t>a</w:t>
      </w:r>
      <w:r w:rsidR="007C7D31">
        <w:rPr>
          <w:spacing w:val="-11"/>
        </w:rPr>
        <w:t xml:space="preserve"> </w:t>
      </w:r>
      <w:r w:rsidR="007C7D31">
        <w:t>practical</w:t>
      </w:r>
      <w:r w:rsidR="007C7D31">
        <w:rPr>
          <w:spacing w:val="-11"/>
        </w:rPr>
        <w:t xml:space="preserve"> </w:t>
      </w:r>
      <w:r w:rsidR="007C7D31">
        <w:t>clinical</w:t>
      </w:r>
      <w:r w:rsidR="007C7D31">
        <w:rPr>
          <w:spacing w:val="-11"/>
        </w:rPr>
        <w:t xml:space="preserve"> </w:t>
      </w:r>
      <w:r w:rsidR="007C7D31">
        <w:t>trial</w:t>
      </w:r>
      <w:r w:rsidR="007C7D31">
        <w:rPr>
          <w:spacing w:val="-11"/>
        </w:rPr>
        <w:t xml:space="preserve"> </w:t>
      </w:r>
      <w:r w:rsidR="007C7D31">
        <w:t>or</w:t>
      </w:r>
      <w:r w:rsidR="007C7D31">
        <w:rPr>
          <w:spacing w:val="-11"/>
        </w:rPr>
        <w:t xml:space="preserve"> </w:t>
      </w:r>
      <w:r w:rsidR="007C7D31">
        <w:t>prospective systematic data collection, which is sometimes referred to as a registry). The National ICD Registry Working Group was formed by the Heart Rhythm Society and comprised of representatives of the stakeholders including specialty societies, industry, clinical researchers, health plans and hospital associations. The Group reviewed the following topics to provide comments and recommendations to CMS</w:t>
      </w:r>
      <w:r w:rsidR="007C7D31">
        <w:rPr>
          <w:spacing w:val="-7"/>
        </w:rPr>
        <w:t xml:space="preserve"> </w:t>
      </w:r>
      <w:r w:rsidR="007C7D31">
        <w:t>on</w:t>
      </w:r>
      <w:r w:rsidR="007C7D31">
        <w:rPr>
          <w:spacing w:val="-7"/>
        </w:rPr>
        <w:t xml:space="preserve"> </w:t>
      </w:r>
      <w:r w:rsidR="007C7D31">
        <w:t>a</w:t>
      </w:r>
      <w:r w:rsidR="007C7D31">
        <w:rPr>
          <w:spacing w:val="-9"/>
        </w:rPr>
        <w:t xml:space="preserve"> </w:t>
      </w:r>
      <w:r w:rsidR="007C7D31">
        <w:t>plan</w:t>
      </w:r>
      <w:r w:rsidR="007C7D31">
        <w:rPr>
          <w:spacing w:val="-7"/>
        </w:rPr>
        <w:t xml:space="preserve"> </w:t>
      </w:r>
      <w:r w:rsidR="007C7D31">
        <w:t>to</w:t>
      </w:r>
      <w:r w:rsidR="007C7D31">
        <w:rPr>
          <w:spacing w:val="-9"/>
        </w:rPr>
        <w:t xml:space="preserve"> </w:t>
      </w:r>
      <w:r w:rsidR="007C7D31">
        <w:t>establish</w:t>
      </w:r>
      <w:r w:rsidR="007C7D31">
        <w:rPr>
          <w:spacing w:val="-7"/>
        </w:rPr>
        <w:t xml:space="preserve"> </w:t>
      </w:r>
      <w:r w:rsidR="007C7D31">
        <w:t>a</w:t>
      </w:r>
      <w:r w:rsidR="007C7D31">
        <w:rPr>
          <w:spacing w:val="-9"/>
        </w:rPr>
        <w:t xml:space="preserve"> </w:t>
      </w:r>
      <w:r w:rsidR="007C7D31">
        <w:t>national</w:t>
      </w:r>
      <w:r w:rsidR="007C7D31">
        <w:rPr>
          <w:spacing w:val="-9"/>
        </w:rPr>
        <w:t xml:space="preserve"> </w:t>
      </w:r>
      <w:r w:rsidR="007C7D31">
        <w:t>registry</w:t>
      </w:r>
      <w:r w:rsidR="007C7D31">
        <w:rPr>
          <w:spacing w:val="-13"/>
        </w:rPr>
        <w:t xml:space="preserve"> </w:t>
      </w:r>
      <w:r w:rsidR="007C7D31">
        <w:t>for</w:t>
      </w:r>
      <w:r w:rsidR="007C7D31">
        <w:rPr>
          <w:spacing w:val="-9"/>
        </w:rPr>
        <w:t xml:space="preserve"> </w:t>
      </w:r>
      <w:r w:rsidR="007C7D31">
        <w:t>Medicare</w:t>
      </w:r>
      <w:r w:rsidR="007C7D31">
        <w:rPr>
          <w:spacing w:val="-9"/>
        </w:rPr>
        <w:t xml:space="preserve"> </w:t>
      </w:r>
      <w:r w:rsidR="007C7D31">
        <w:t>beneficiaries</w:t>
      </w:r>
      <w:r w:rsidR="007C7D31">
        <w:rPr>
          <w:spacing w:val="-9"/>
        </w:rPr>
        <w:t xml:space="preserve"> </w:t>
      </w:r>
      <w:r w:rsidR="007C7D31">
        <w:t>receiving</w:t>
      </w:r>
      <w:r w:rsidR="007C7D31">
        <w:rPr>
          <w:spacing w:val="-10"/>
        </w:rPr>
        <w:t xml:space="preserve"> </w:t>
      </w:r>
      <w:r w:rsidR="007C7D31">
        <w:t>an</w:t>
      </w:r>
      <w:r w:rsidR="007C7D31">
        <w:rPr>
          <w:spacing w:val="-7"/>
        </w:rPr>
        <w:t xml:space="preserve"> </w:t>
      </w:r>
      <w:r w:rsidR="007C7D31">
        <w:t>ICD</w:t>
      </w:r>
      <w:r w:rsidR="007C7D31">
        <w:rPr>
          <w:spacing w:val="-8"/>
        </w:rPr>
        <w:t xml:space="preserve"> </w:t>
      </w:r>
      <w:r w:rsidR="007C7D31">
        <w:t>for primary</w:t>
      </w:r>
      <w:r w:rsidR="007C7D31" w:rsidRPr="00F00C03">
        <w:t xml:space="preserve"> </w:t>
      </w:r>
      <w:r w:rsidR="007C7D31">
        <w:t>prevention</w:t>
      </w:r>
      <w:r w:rsidR="007C7D31">
        <w:rPr>
          <w:spacing w:val="-9"/>
        </w:rPr>
        <w:t xml:space="preserve"> </w:t>
      </w:r>
      <w:r w:rsidR="007C7D31">
        <w:t>therapy:</w:t>
      </w:r>
      <w:r w:rsidR="007C7D31">
        <w:rPr>
          <w:spacing w:val="-10"/>
        </w:rPr>
        <w:t xml:space="preserve"> </w:t>
      </w:r>
      <w:r w:rsidR="007C7D31">
        <w:t>purpose</w:t>
      </w:r>
      <w:r w:rsidR="007C7D31">
        <w:rPr>
          <w:spacing w:val="-10"/>
        </w:rPr>
        <w:t xml:space="preserve"> </w:t>
      </w:r>
      <w:r w:rsidR="007C7D31">
        <w:t>of</w:t>
      </w:r>
      <w:r w:rsidR="007C7D31">
        <w:rPr>
          <w:spacing w:val="-10"/>
        </w:rPr>
        <w:t xml:space="preserve"> </w:t>
      </w:r>
      <w:r w:rsidR="007C7D31">
        <w:t>the</w:t>
      </w:r>
      <w:r w:rsidR="007C7D31">
        <w:rPr>
          <w:spacing w:val="-10"/>
        </w:rPr>
        <w:t xml:space="preserve"> </w:t>
      </w:r>
      <w:r w:rsidR="007C7D31">
        <w:t>registry</w:t>
      </w:r>
      <w:r w:rsidR="007C7D31">
        <w:rPr>
          <w:spacing w:val="-14"/>
        </w:rPr>
        <w:t xml:space="preserve"> </w:t>
      </w:r>
      <w:r w:rsidR="007C7D31">
        <w:t>and</w:t>
      </w:r>
      <w:r w:rsidR="007C7D31">
        <w:rPr>
          <w:spacing w:val="-9"/>
        </w:rPr>
        <w:t xml:space="preserve"> </w:t>
      </w:r>
      <w:r w:rsidR="007C7D31">
        <w:t>main</w:t>
      </w:r>
      <w:r w:rsidR="007C7D31">
        <w:rPr>
          <w:spacing w:val="-9"/>
        </w:rPr>
        <w:t xml:space="preserve"> </w:t>
      </w:r>
      <w:r w:rsidR="007C7D31">
        <w:t>question</w:t>
      </w:r>
      <w:r w:rsidR="007C7D31">
        <w:rPr>
          <w:spacing w:val="-9"/>
        </w:rPr>
        <w:t xml:space="preserve"> </w:t>
      </w:r>
      <w:r w:rsidR="007C7D31">
        <w:t>(s)</w:t>
      </w:r>
      <w:r w:rsidR="007C7D31">
        <w:rPr>
          <w:spacing w:val="-10"/>
        </w:rPr>
        <w:t xml:space="preserve"> </w:t>
      </w:r>
      <w:r w:rsidR="007C7D31">
        <w:t>to</w:t>
      </w:r>
      <w:r w:rsidR="007C7D31">
        <w:rPr>
          <w:spacing w:val="-11"/>
        </w:rPr>
        <w:t xml:space="preserve"> </w:t>
      </w:r>
      <w:r w:rsidR="007C7D31">
        <w:t>be</w:t>
      </w:r>
      <w:r w:rsidR="007C7D31">
        <w:rPr>
          <w:spacing w:val="-10"/>
        </w:rPr>
        <w:t xml:space="preserve"> </w:t>
      </w:r>
      <w:r w:rsidR="007C7D31">
        <w:t>answered,</w:t>
      </w:r>
      <w:r w:rsidR="007C7D31">
        <w:rPr>
          <w:spacing w:val="-9"/>
        </w:rPr>
        <w:t xml:space="preserve"> </w:t>
      </w:r>
      <w:r w:rsidR="007C7D31">
        <w:t>clinical</w:t>
      </w:r>
      <w:r w:rsidR="007C7D31">
        <w:rPr>
          <w:spacing w:val="-10"/>
        </w:rPr>
        <w:t xml:space="preserve"> </w:t>
      </w:r>
      <w:r w:rsidR="007C7D31">
        <w:t>characteristics of</w:t>
      </w:r>
      <w:r w:rsidR="007C7D31">
        <w:rPr>
          <w:spacing w:val="-9"/>
        </w:rPr>
        <w:t xml:space="preserve"> </w:t>
      </w:r>
      <w:r w:rsidR="007C7D31">
        <w:t>patients</w:t>
      </w:r>
      <w:r w:rsidR="007C7D31">
        <w:rPr>
          <w:spacing w:val="-9"/>
        </w:rPr>
        <w:t xml:space="preserve"> </w:t>
      </w:r>
      <w:r w:rsidR="007C7D31">
        <w:t>to</w:t>
      </w:r>
      <w:r w:rsidR="007C7D31">
        <w:rPr>
          <w:spacing w:val="-10"/>
        </w:rPr>
        <w:t xml:space="preserve"> </w:t>
      </w:r>
      <w:r w:rsidR="007C7D31">
        <w:t>receive</w:t>
      </w:r>
      <w:r w:rsidR="007C7D31">
        <w:rPr>
          <w:spacing w:val="-9"/>
        </w:rPr>
        <w:t xml:space="preserve"> </w:t>
      </w:r>
      <w:r w:rsidR="007C7D31">
        <w:t>the</w:t>
      </w:r>
      <w:r w:rsidR="007C7D31">
        <w:rPr>
          <w:spacing w:val="-9"/>
        </w:rPr>
        <w:t xml:space="preserve"> </w:t>
      </w:r>
      <w:r w:rsidR="007C7D31">
        <w:t>device,</w:t>
      </w:r>
      <w:r w:rsidR="007C7D31">
        <w:rPr>
          <w:spacing w:val="-8"/>
        </w:rPr>
        <w:t xml:space="preserve"> </w:t>
      </w:r>
      <w:r w:rsidR="007C7D31">
        <w:t>device</w:t>
      </w:r>
      <w:r w:rsidR="007C7D31">
        <w:rPr>
          <w:spacing w:val="-9"/>
        </w:rPr>
        <w:t xml:space="preserve"> </w:t>
      </w:r>
      <w:r w:rsidR="007C7D31">
        <w:t>data</w:t>
      </w:r>
      <w:r w:rsidR="007C7D31">
        <w:rPr>
          <w:spacing w:val="-9"/>
        </w:rPr>
        <w:t xml:space="preserve"> </w:t>
      </w:r>
      <w:r w:rsidR="007C7D31">
        <w:t>elements,</w:t>
      </w:r>
      <w:r w:rsidR="007C7D31">
        <w:rPr>
          <w:spacing w:val="-8"/>
        </w:rPr>
        <w:t xml:space="preserve"> </w:t>
      </w:r>
      <w:r w:rsidR="007C7D31">
        <w:t>defining</w:t>
      </w:r>
      <w:r w:rsidR="007C7D31">
        <w:rPr>
          <w:spacing w:val="-10"/>
        </w:rPr>
        <w:t xml:space="preserve"> </w:t>
      </w:r>
      <w:r w:rsidR="007C7D31">
        <w:t>providers</w:t>
      </w:r>
      <w:r w:rsidR="007C7D31">
        <w:rPr>
          <w:spacing w:val="-9"/>
        </w:rPr>
        <w:t xml:space="preserve"> </w:t>
      </w:r>
      <w:r w:rsidR="007C7D31">
        <w:t>as</w:t>
      </w:r>
      <w:r w:rsidR="007C7D31">
        <w:rPr>
          <w:spacing w:val="-9"/>
        </w:rPr>
        <w:t xml:space="preserve"> </w:t>
      </w:r>
      <w:r w:rsidR="007C7D31">
        <w:t>competent</w:t>
      </w:r>
      <w:r w:rsidR="007C7D31">
        <w:rPr>
          <w:spacing w:val="-9"/>
        </w:rPr>
        <w:t xml:space="preserve"> </w:t>
      </w:r>
      <w:r w:rsidR="007C7D31">
        <w:t>and</w:t>
      </w:r>
      <w:r w:rsidR="007C7D31">
        <w:rPr>
          <w:spacing w:val="-7"/>
        </w:rPr>
        <w:t xml:space="preserve"> </w:t>
      </w:r>
      <w:r w:rsidR="007C7D31">
        <w:t>qualified</w:t>
      </w:r>
      <w:r w:rsidR="007C7D31">
        <w:rPr>
          <w:spacing w:val="-7"/>
        </w:rPr>
        <w:t xml:space="preserve"> </w:t>
      </w:r>
      <w:r w:rsidR="007C7D31">
        <w:t>to implant</w:t>
      </w:r>
      <w:r w:rsidR="007C7D31">
        <w:rPr>
          <w:spacing w:val="-13"/>
        </w:rPr>
        <w:t xml:space="preserve"> </w:t>
      </w:r>
      <w:r w:rsidR="007C7D31">
        <w:t>ICDs,</w:t>
      </w:r>
      <w:r w:rsidR="007C7D31">
        <w:rPr>
          <w:spacing w:val="-13"/>
        </w:rPr>
        <w:t xml:space="preserve"> </w:t>
      </w:r>
      <w:r w:rsidR="007C7D31">
        <w:t>registry</w:t>
      </w:r>
      <w:r w:rsidR="007C7D31">
        <w:rPr>
          <w:spacing w:val="-17"/>
        </w:rPr>
        <w:t xml:space="preserve"> </w:t>
      </w:r>
      <w:r w:rsidR="007C7D31">
        <w:t>management,</w:t>
      </w:r>
      <w:r w:rsidR="007C7D31">
        <w:rPr>
          <w:spacing w:val="-13"/>
        </w:rPr>
        <w:t xml:space="preserve"> </w:t>
      </w:r>
      <w:r w:rsidR="007C7D31">
        <w:t>and</w:t>
      </w:r>
      <w:r w:rsidR="007C7D31">
        <w:rPr>
          <w:spacing w:val="-12"/>
        </w:rPr>
        <w:t xml:space="preserve"> </w:t>
      </w:r>
      <w:r w:rsidR="007C7D31">
        <w:t>registry</w:t>
      </w:r>
      <w:r w:rsidR="007C7D31">
        <w:rPr>
          <w:spacing w:val="-17"/>
        </w:rPr>
        <w:t xml:space="preserve"> </w:t>
      </w:r>
      <w:r w:rsidR="007C7D31">
        <w:t>funding.</w:t>
      </w:r>
    </w:p>
    <w:p w14:paraId="4E634C29" w14:textId="77777777" w:rsidR="007C7D31" w:rsidRDefault="007C7D31" w:rsidP="007C7D31">
      <w:pPr>
        <w:pStyle w:val="BodyText"/>
        <w:spacing w:before="89" w:line="244" w:lineRule="auto"/>
      </w:pPr>
    </w:p>
    <w:p w14:paraId="526DABD1" w14:textId="77777777" w:rsidR="007C7D31" w:rsidRDefault="007C7D31" w:rsidP="007C7D31">
      <w:pPr>
        <w:pStyle w:val="Heading2"/>
        <w:numPr>
          <w:ilvl w:val="0"/>
          <w:numId w:val="1"/>
        </w:numPr>
        <w:tabs>
          <w:tab w:val="left" w:pos="531"/>
          <w:tab w:val="left" w:pos="532"/>
        </w:tabs>
        <w:ind w:left="532"/>
      </w:pPr>
      <w:r>
        <w:rPr>
          <w:u w:val="single"/>
        </w:rPr>
        <w:t>Payments/Gifts to</w:t>
      </w:r>
      <w:r>
        <w:rPr>
          <w:spacing w:val="-1"/>
          <w:u w:val="single"/>
        </w:rPr>
        <w:t xml:space="preserve"> </w:t>
      </w:r>
      <w:r>
        <w:rPr>
          <w:u w:val="single"/>
        </w:rPr>
        <w:t>Respondents</w:t>
      </w:r>
    </w:p>
    <w:p w14:paraId="5465527B" w14:textId="77777777" w:rsidR="007C7D31" w:rsidRDefault="007C7D31" w:rsidP="007C7D31">
      <w:pPr>
        <w:pStyle w:val="BodyText"/>
        <w:spacing w:before="9"/>
        <w:rPr>
          <w:sz w:val="29"/>
        </w:rPr>
      </w:pPr>
    </w:p>
    <w:p w14:paraId="4E1A258E" w14:textId="77777777" w:rsidR="007C7D31" w:rsidRDefault="007C7D31" w:rsidP="007C7D31">
      <w:pPr>
        <w:pStyle w:val="BodyText"/>
        <w:spacing w:line="266" w:lineRule="auto"/>
        <w:ind w:left="531" w:right="90"/>
      </w:pPr>
      <w:r>
        <w:t>No</w:t>
      </w:r>
      <w:r>
        <w:rPr>
          <w:spacing w:val="-11"/>
        </w:rPr>
        <w:t xml:space="preserve"> </w:t>
      </w:r>
      <w:r>
        <w:t>payment</w:t>
      </w:r>
      <w:r>
        <w:rPr>
          <w:spacing w:val="-10"/>
        </w:rPr>
        <w:t xml:space="preserve"> </w:t>
      </w:r>
      <w:r>
        <w:t>or</w:t>
      </w:r>
      <w:r>
        <w:rPr>
          <w:spacing w:val="-10"/>
        </w:rPr>
        <w:t xml:space="preserve"> </w:t>
      </w:r>
      <w:r>
        <w:t>gift</w:t>
      </w:r>
      <w:r>
        <w:rPr>
          <w:spacing w:val="-10"/>
        </w:rPr>
        <w:t xml:space="preserve"> </w:t>
      </w:r>
      <w:r>
        <w:t>will</w:t>
      </w:r>
      <w:r>
        <w:rPr>
          <w:spacing w:val="-10"/>
        </w:rPr>
        <w:t xml:space="preserve"> </w:t>
      </w:r>
      <w:r>
        <w:t>be</w:t>
      </w:r>
      <w:r>
        <w:rPr>
          <w:spacing w:val="-10"/>
        </w:rPr>
        <w:t xml:space="preserve"> </w:t>
      </w:r>
      <w:r>
        <w:t>provided</w:t>
      </w:r>
      <w:r>
        <w:rPr>
          <w:spacing w:val="-8"/>
        </w:rPr>
        <w:t xml:space="preserve"> </w:t>
      </w:r>
      <w:r>
        <w:t>to</w:t>
      </w:r>
      <w:r>
        <w:rPr>
          <w:spacing w:val="-10"/>
        </w:rPr>
        <w:t xml:space="preserve"> </w:t>
      </w:r>
      <w:r>
        <w:t>respondents,</w:t>
      </w:r>
      <w:r>
        <w:rPr>
          <w:spacing w:val="-9"/>
        </w:rPr>
        <w:t xml:space="preserve"> </w:t>
      </w:r>
      <w:r>
        <w:t>other</w:t>
      </w:r>
      <w:r>
        <w:rPr>
          <w:spacing w:val="-10"/>
        </w:rPr>
        <w:t xml:space="preserve"> </w:t>
      </w:r>
      <w:r>
        <w:t>than</w:t>
      </w:r>
      <w:r>
        <w:rPr>
          <w:spacing w:val="-8"/>
        </w:rPr>
        <w:t xml:space="preserve"> </w:t>
      </w:r>
      <w:r>
        <w:t>remuneration</w:t>
      </w:r>
      <w:r>
        <w:rPr>
          <w:spacing w:val="-8"/>
        </w:rPr>
        <w:t xml:space="preserve"> </w:t>
      </w:r>
      <w:r>
        <w:t>for</w:t>
      </w:r>
      <w:r>
        <w:rPr>
          <w:spacing w:val="-10"/>
        </w:rPr>
        <w:t xml:space="preserve"> </w:t>
      </w:r>
      <w:r>
        <w:t>performing</w:t>
      </w:r>
      <w:r>
        <w:rPr>
          <w:spacing w:val="-10"/>
        </w:rPr>
        <w:t xml:space="preserve"> </w:t>
      </w:r>
      <w:r>
        <w:t>the procedure</w:t>
      </w:r>
      <w:r>
        <w:rPr>
          <w:spacing w:val="-12"/>
        </w:rPr>
        <w:t xml:space="preserve"> </w:t>
      </w:r>
      <w:r>
        <w:t>to</w:t>
      </w:r>
      <w:r>
        <w:rPr>
          <w:spacing w:val="-13"/>
        </w:rPr>
        <w:t xml:space="preserve"> </w:t>
      </w:r>
      <w:r>
        <w:t>implant</w:t>
      </w:r>
      <w:r>
        <w:rPr>
          <w:spacing w:val="-12"/>
        </w:rPr>
        <w:t xml:space="preserve"> </w:t>
      </w:r>
      <w:r>
        <w:t>the</w:t>
      </w:r>
      <w:r>
        <w:rPr>
          <w:spacing w:val="-12"/>
        </w:rPr>
        <w:t xml:space="preserve"> </w:t>
      </w:r>
      <w:r>
        <w:t>device.</w:t>
      </w:r>
    </w:p>
    <w:p w14:paraId="5C1F8F80" w14:textId="77777777" w:rsidR="007C7D31" w:rsidRDefault="007C7D31" w:rsidP="007C7D31">
      <w:pPr>
        <w:pStyle w:val="BodyText"/>
        <w:spacing w:before="9"/>
      </w:pPr>
    </w:p>
    <w:p w14:paraId="41D11650" w14:textId="77777777" w:rsidR="007C7D31" w:rsidRDefault="007C7D31" w:rsidP="007C7D31">
      <w:pPr>
        <w:pStyle w:val="Heading2"/>
        <w:numPr>
          <w:ilvl w:val="0"/>
          <w:numId w:val="1"/>
        </w:numPr>
        <w:tabs>
          <w:tab w:val="left" w:pos="532"/>
        </w:tabs>
        <w:ind w:left="532"/>
      </w:pPr>
      <w:r>
        <w:rPr>
          <w:u w:val="single"/>
        </w:rPr>
        <w:t>Confidentiality</w:t>
      </w:r>
    </w:p>
    <w:p w14:paraId="0D51DBB9" w14:textId="77777777" w:rsidR="007C7D31" w:rsidRDefault="007C7D31" w:rsidP="007C7D31">
      <w:pPr>
        <w:pStyle w:val="BodyText"/>
        <w:spacing w:before="5"/>
        <w:rPr>
          <w:sz w:val="33"/>
        </w:rPr>
      </w:pPr>
    </w:p>
    <w:p w14:paraId="186707D3" w14:textId="77777777" w:rsidR="007C7D31" w:rsidRDefault="007C7D31" w:rsidP="007C7D31">
      <w:pPr>
        <w:pStyle w:val="BodyText"/>
        <w:spacing w:line="285" w:lineRule="auto"/>
        <w:ind w:left="531" w:right="90"/>
      </w:pPr>
      <w:r>
        <w:t>CMS</w:t>
      </w:r>
      <w:r>
        <w:rPr>
          <w:spacing w:val="-9"/>
        </w:rPr>
        <w:t xml:space="preserve"> </w:t>
      </w:r>
      <w:r>
        <w:t>shall</w:t>
      </w:r>
      <w:r>
        <w:rPr>
          <w:spacing w:val="-10"/>
        </w:rPr>
        <w:t xml:space="preserve"> </w:t>
      </w:r>
      <w:r>
        <w:t>be</w:t>
      </w:r>
      <w:r>
        <w:rPr>
          <w:spacing w:val="-10"/>
        </w:rPr>
        <w:t xml:space="preserve"> </w:t>
      </w:r>
      <w:r>
        <w:t>assured</w:t>
      </w:r>
      <w:r>
        <w:rPr>
          <w:spacing w:val="-9"/>
        </w:rPr>
        <w:t xml:space="preserve"> </w:t>
      </w:r>
      <w:r>
        <w:t>that</w:t>
      </w:r>
      <w:r>
        <w:rPr>
          <w:spacing w:val="-10"/>
        </w:rPr>
        <w:t xml:space="preserve"> </w:t>
      </w:r>
      <w:r>
        <w:t>all</w:t>
      </w:r>
      <w:r>
        <w:rPr>
          <w:spacing w:val="-10"/>
        </w:rPr>
        <w:t xml:space="preserve"> </w:t>
      </w:r>
      <w:r>
        <w:t>applicable</w:t>
      </w:r>
      <w:r>
        <w:rPr>
          <w:spacing w:val="-10"/>
        </w:rPr>
        <w:t xml:space="preserve"> </w:t>
      </w:r>
      <w:r>
        <w:t>patient</w:t>
      </w:r>
      <w:r>
        <w:rPr>
          <w:spacing w:val="-10"/>
        </w:rPr>
        <w:t xml:space="preserve"> </w:t>
      </w:r>
      <w:r>
        <w:t>confidentiality,</w:t>
      </w:r>
      <w:r>
        <w:rPr>
          <w:spacing w:val="-9"/>
        </w:rPr>
        <w:t xml:space="preserve"> </w:t>
      </w:r>
      <w:r>
        <w:t>privacy,</w:t>
      </w:r>
      <w:r>
        <w:rPr>
          <w:spacing w:val="-9"/>
        </w:rPr>
        <w:t xml:space="preserve"> </w:t>
      </w:r>
      <w:r>
        <w:t>and</w:t>
      </w:r>
      <w:r>
        <w:rPr>
          <w:spacing w:val="-9"/>
        </w:rPr>
        <w:t xml:space="preserve"> </w:t>
      </w:r>
      <w:r>
        <w:t>other</w:t>
      </w:r>
      <w:r>
        <w:rPr>
          <w:spacing w:val="-10"/>
        </w:rPr>
        <w:t xml:space="preserve"> </w:t>
      </w:r>
      <w:r>
        <w:t>Federal</w:t>
      </w:r>
      <w:r>
        <w:rPr>
          <w:spacing w:val="-10"/>
        </w:rPr>
        <w:t xml:space="preserve"> </w:t>
      </w:r>
      <w:r>
        <w:t>laws</w:t>
      </w:r>
      <w:r>
        <w:rPr>
          <w:spacing w:val="-10"/>
        </w:rPr>
        <w:t xml:space="preserve"> </w:t>
      </w:r>
      <w:r>
        <w:t>must</w:t>
      </w:r>
      <w:r>
        <w:rPr>
          <w:spacing w:val="-10"/>
        </w:rPr>
        <w:t xml:space="preserve"> </w:t>
      </w:r>
      <w:r>
        <w:t>be complied with, including the Standards for Privacy of Individually Identifiable Health Information (Privacy</w:t>
      </w:r>
      <w:r>
        <w:rPr>
          <w:spacing w:val="-29"/>
        </w:rPr>
        <w:t xml:space="preserve"> </w:t>
      </w:r>
      <w:r>
        <w:t>Rule).</w:t>
      </w:r>
    </w:p>
    <w:p w14:paraId="43A3E54C" w14:textId="77777777" w:rsidR="007C7D31" w:rsidRDefault="007C7D31" w:rsidP="007C7D31">
      <w:pPr>
        <w:pStyle w:val="BodyText"/>
        <w:spacing w:before="2"/>
        <w:rPr>
          <w:sz w:val="27"/>
        </w:rPr>
      </w:pPr>
    </w:p>
    <w:p w14:paraId="01A05E91" w14:textId="77777777" w:rsidR="007C7D31" w:rsidRDefault="007C7D31" w:rsidP="007C7D31">
      <w:pPr>
        <w:pStyle w:val="Heading2"/>
        <w:numPr>
          <w:ilvl w:val="0"/>
          <w:numId w:val="1"/>
        </w:numPr>
        <w:tabs>
          <w:tab w:val="left" w:pos="532"/>
        </w:tabs>
        <w:ind w:left="532"/>
      </w:pPr>
      <w:r>
        <w:rPr>
          <w:u w:val="single"/>
        </w:rPr>
        <w:t>Sensitive</w:t>
      </w:r>
      <w:r>
        <w:rPr>
          <w:spacing w:val="-3"/>
          <w:u w:val="single"/>
        </w:rPr>
        <w:t xml:space="preserve"> </w:t>
      </w:r>
      <w:r>
        <w:rPr>
          <w:u w:val="single"/>
        </w:rPr>
        <w:t>Questions</w:t>
      </w:r>
    </w:p>
    <w:p w14:paraId="00589EDF" w14:textId="77777777" w:rsidR="007C7D31" w:rsidRDefault="007C7D31" w:rsidP="007C7D31">
      <w:pPr>
        <w:pStyle w:val="BodyText"/>
        <w:spacing w:before="11"/>
        <w:rPr>
          <w:sz w:val="24"/>
        </w:rPr>
      </w:pPr>
    </w:p>
    <w:p w14:paraId="62D37B58" w14:textId="77777777" w:rsidR="007C7D31" w:rsidRDefault="007C7D31" w:rsidP="007C7D31">
      <w:pPr>
        <w:pStyle w:val="BodyText"/>
        <w:ind w:left="531"/>
      </w:pPr>
      <w:r>
        <w:t>No questions of a sensitive nature are included in this data collection.</w:t>
      </w:r>
    </w:p>
    <w:p w14:paraId="662FDC5B" w14:textId="77777777" w:rsidR="007C7D31" w:rsidRDefault="007C7D31" w:rsidP="007C7D31">
      <w:pPr>
        <w:pStyle w:val="BodyText"/>
        <w:ind w:left="531"/>
      </w:pPr>
    </w:p>
    <w:p w14:paraId="55258D63" w14:textId="77777777" w:rsidR="007C7D31" w:rsidRDefault="007C7D31" w:rsidP="007C7D31">
      <w:pPr>
        <w:pStyle w:val="Heading2"/>
        <w:numPr>
          <w:ilvl w:val="0"/>
          <w:numId w:val="1"/>
        </w:numPr>
        <w:tabs>
          <w:tab w:val="left" w:pos="532"/>
        </w:tabs>
        <w:ind w:left="532"/>
      </w:pPr>
      <w:r>
        <w:rPr>
          <w:u w:val="single"/>
        </w:rPr>
        <w:t>Burden Estimates (Hours &amp;</w:t>
      </w:r>
      <w:r>
        <w:rPr>
          <w:spacing w:val="-3"/>
          <w:u w:val="single"/>
        </w:rPr>
        <w:t xml:space="preserve"> </w:t>
      </w:r>
      <w:r>
        <w:rPr>
          <w:u w:val="single"/>
        </w:rPr>
        <w:t>Wages)</w:t>
      </w:r>
    </w:p>
    <w:p w14:paraId="1CADF23F" w14:textId="77777777" w:rsidR="007C7D31" w:rsidRDefault="007C7D31" w:rsidP="007C7D31">
      <w:pPr>
        <w:pStyle w:val="BodyText"/>
        <w:spacing w:before="7"/>
        <w:rPr>
          <w:sz w:val="27"/>
        </w:rPr>
      </w:pPr>
    </w:p>
    <w:p w14:paraId="58332836" w14:textId="14A779F1" w:rsidR="007C7D31" w:rsidRDefault="007C7D31" w:rsidP="00BC34B4">
      <w:pPr>
        <w:pStyle w:val="BodyText"/>
        <w:spacing w:line="256" w:lineRule="auto"/>
        <w:ind w:left="531" w:right="107"/>
      </w:pPr>
      <w:r>
        <w:t>The</w:t>
      </w:r>
      <w:r>
        <w:rPr>
          <w:spacing w:val="-9"/>
        </w:rPr>
        <w:t xml:space="preserve"> </w:t>
      </w:r>
      <w:r>
        <w:t>burden</w:t>
      </w:r>
      <w:r>
        <w:rPr>
          <w:spacing w:val="-8"/>
        </w:rPr>
        <w:t xml:space="preserve"> </w:t>
      </w:r>
      <w:r>
        <w:t>associated</w:t>
      </w:r>
      <w:r>
        <w:rPr>
          <w:spacing w:val="-8"/>
        </w:rPr>
        <w:t xml:space="preserve"> </w:t>
      </w:r>
      <w:r>
        <w:t>with</w:t>
      </w:r>
      <w:r>
        <w:rPr>
          <w:spacing w:val="-8"/>
        </w:rPr>
        <w:t xml:space="preserve"> </w:t>
      </w:r>
      <w:r>
        <w:t>this</w:t>
      </w:r>
      <w:r>
        <w:rPr>
          <w:spacing w:val="-9"/>
        </w:rPr>
        <w:t xml:space="preserve"> </w:t>
      </w:r>
      <w:r>
        <w:t>requirement</w:t>
      </w:r>
      <w:r>
        <w:rPr>
          <w:spacing w:val="-9"/>
        </w:rPr>
        <w:t xml:space="preserve"> </w:t>
      </w:r>
      <w:r>
        <w:t>is</w:t>
      </w:r>
      <w:r>
        <w:rPr>
          <w:spacing w:val="-9"/>
        </w:rPr>
        <w:t xml:space="preserve"> </w:t>
      </w:r>
      <w:r>
        <w:t>the</w:t>
      </w:r>
      <w:r>
        <w:rPr>
          <w:spacing w:val="-9"/>
        </w:rPr>
        <w:t xml:space="preserve"> </w:t>
      </w:r>
      <w:r>
        <w:t>time</w:t>
      </w:r>
      <w:r>
        <w:rPr>
          <w:spacing w:val="-10"/>
        </w:rPr>
        <w:t xml:space="preserve"> </w:t>
      </w:r>
      <w:r>
        <w:t>and</w:t>
      </w:r>
      <w:r>
        <w:rPr>
          <w:spacing w:val="-8"/>
        </w:rPr>
        <w:t xml:space="preserve"> </w:t>
      </w:r>
      <w:r>
        <w:t>effort</w:t>
      </w:r>
      <w:r>
        <w:rPr>
          <w:spacing w:val="-9"/>
        </w:rPr>
        <w:t xml:space="preserve"> </w:t>
      </w:r>
      <w:r>
        <w:t>necessary</w:t>
      </w:r>
      <w:r>
        <w:rPr>
          <w:spacing w:val="-14"/>
        </w:rPr>
        <w:t xml:space="preserve"> </w:t>
      </w:r>
      <w:r>
        <w:t>for</w:t>
      </w:r>
      <w:r>
        <w:rPr>
          <w:spacing w:val="-9"/>
        </w:rPr>
        <w:t xml:space="preserve"> </w:t>
      </w:r>
      <w:r>
        <w:t>the</w:t>
      </w:r>
      <w:r>
        <w:rPr>
          <w:spacing w:val="-9"/>
        </w:rPr>
        <w:t xml:space="preserve"> </w:t>
      </w:r>
      <w:r>
        <w:t>provider</w:t>
      </w:r>
      <w:r>
        <w:rPr>
          <w:spacing w:val="-9"/>
        </w:rPr>
        <w:t xml:space="preserve"> </w:t>
      </w:r>
      <w:r>
        <w:t>to</w:t>
      </w:r>
      <w:r>
        <w:rPr>
          <w:spacing w:val="-9"/>
        </w:rPr>
        <w:t xml:space="preserve"> </w:t>
      </w:r>
      <w:r>
        <w:t>complete a brief electronic data collection form. We estimate there will be approximately 1,600 respondents. We further</w:t>
      </w:r>
      <w:r>
        <w:rPr>
          <w:spacing w:val="-8"/>
        </w:rPr>
        <w:t xml:space="preserve"> </w:t>
      </w:r>
      <w:r>
        <w:t>estimate</w:t>
      </w:r>
      <w:r>
        <w:rPr>
          <w:spacing w:val="-8"/>
        </w:rPr>
        <w:t xml:space="preserve"> </w:t>
      </w:r>
      <w:r>
        <w:t>that</w:t>
      </w:r>
      <w:r>
        <w:rPr>
          <w:spacing w:val="-8"/>
        </w:rPr>
        <w:t xml:space="preserve"> </w:t>
      </w:r>
      <w:r>
        <w:t>on</w:t>
      </w:r>
      <w:r>
        <w:rPr>
          <w:spacing w:val="-6"/>
        </w:rPr>
        <w:t xml:space="preserve"> </w:t>
      </w:r>
      <w:r>
        <w:t>average</w:t>
      </w:r>
      <w:r>
        <w:rPr>
          <w:spacing w:val="-8"/>
        </w:rPr>
        <w:t xml:space="preserve"> </w:t>
      </w:r>
      <w:r>
        <w:t>it</w:t>
      </w:r>
      <w:r>
        <w:rPr>
          <w:spacing w:val="-8"/>
        </w:rPr>
        <w:t xml:space="preserve"> </w:t>
      </w:r>
      <w:r>
        <w:t>will</w:t>
      </w:r>
      <w:r>
        <w:rPr>
          <w:spacing w:val="-8"/>
        </w:rPr>
        <w:t xml:space="preserve"> </w:t>
      </w:r>
      <w:r>
        <w:t>take</w:t>
      </w:r>
      <w:r>
        <w:rPr>
          <w:spacing w:val="-8"/>
        </w:rPr>
        <w:t xml:space="preserve"> </w:t>
      </w:r>
      <w:r>
        <w:t>each</w:t>
      </w:r>
      <w:r>
        <w:rPr>
          <w:spacing w:val="-7"/>
        </w:rPr>
        <w:t xml:space="preserve"> </w:t>
      </w:r>
      <w:r>
        <w:t>respondent</w:t>
      </w:r>
      <w:r>
        <w:rPr>
          <w:spacing w:val="-8"/>
        </w:rPr>
        <w:t xml:space="preserve"> </w:t>
      </w:r>
      <w:r>
        <w:t>15</w:t>
      </w:r>
      <w:r>
        <w:rPr>
          <w:spacing w:val="-7"/>
        </w:rPr>
        <w:t xml:space="preserve"> </w:t>
      </w:r>
      <w:r>
        <w:t>minutes</w:t>
      </w:r>
      <w:r>
        <w:rPr>
          <w:spacing w:val="-8"/>
        </w:rPr>
        <w:t xml:space="preserve"> </w:t>
      </w:r>
      <w:r>
        <w:t>to</w:t>
      </w:r>
      <w:r>
        <w:rPr>
          <w:spacing w:val="-9"/>
        </w:rPr>
        <w:t xml:space="preserve"> </w:t>
      </w:r>
      <w:r>
        <w:t>complete</w:t>
      </w:r>
      <w:r>
        <w:rPr>
          <w:spacing w:val="-9"/>
        </w:rPr>
        <w:t xml:space="preserve"> </w:t>
      </w:r>
      <w:r>
        <w:t>and</w:t>
      </w:r>
      <w:r>
        <w:rPr>
          <w:spacing w:val="-6"/>
        </w:rPr>
        <w:t xml:space="preserve"> </w:t>
      </w:r>
      <w:r>
        <w:t>transmit</w:t>
      </w:r>
      <w:r>
        <w:rPr>
          <w:spacing w:val="-8"/>
        </w:rPr>
        <w:t xml:space="preserve"> </w:t>
      </w:r>
      <w:r>
        <w:t>a</w:t>
      </w:r>
      <w:r>
        <w:rPr>
          <w:spacing w:val="-8"/>
        </w:rPr>
        <w:t xml:space="preserve"> </w:t>
      </w:r>
      <w:r>
        <w:t xml:space="preserve">given form and we estimate a total of 80,000 forms will be transmitted per year. We estimate the total annual burden associated with this requirement is 20,000 hours. According to the </w:t>
      </w:r>
      <w:r w:rsidR="00BC34B4">
        <w:t xml:space="preserve">Bureau of Labor Statistics </w:t>
      </w:r>
      <w:hyperlink r:id="rId5" w:history="1">
        <w:r w:rsidR="00BC34B4" w:rsidRPr="00996580">
          <w:rPr>
            <w:rStyle w:val="Hyperlink"/>
          </w:rPr>
          <w:t>www.b</w:t>
        </w:r>
        <w:r w:rsidR="00BC34B4" w:rsidRPr="00996580">
          <w:rPr>
            <w:rStyle w:val="Hyperlink"/>
          </w:rPr>
          <w:t>l</w:t>
        </w:r>
        <w:r w:rsidR="00BC34B4" w:rsidRPr="00996580">
          <w:rPr>
            <w:rStyle w:val="Hyperlink"/>
          </w:rPr>
          <w:t>s.gov</w:t>
        </w:r>
      </w:hyperlink>
      <w:r w:rsidR="00426A3A">
        <w:t xml:space="preserve"> </w:t>
      </w:r>
      <w:r>
        <w:t xml:space="preserve">, the median hourly wage for a nurse </w:t>
      </w:r>
      <w:bookmarkStart w:id="4" w:name="_GoBack"/>
      <w:bookmarkEnd w:id="4"/>
      <w:r>
        <w:t>(the type of professional that typica</w:t>
      </w:r>
      <w:r w:rsidR="00CF39EF">
        <w:t>lly completes the forms) in 2016</w:t>
      </w:r>
      <w:r>
        <w:t xml:space="preserve"> was $</w:t>
      </w:r>
      <w:r w:rsidR="00CF39EF">
        <w:t>69.40</w:t>
      </w:r>
      <w:r w:rsidR="003D0E8C">
        <w:t xml:space="preserve"> (including 100%</w:t>
      </w:r>
      <w:r w:rsidR="00426A3A">
        <w:t xml:space="preserve"> fringe benefits)</w:t>
      </w:r>
      <w:r>
        <w:t>. The annual cost burden is thus calculated at</w:t>
      </w:r>
      <w:r>
        <w:rPr>
          <w:spacing w:val="17"/>
        </w:rPr>
        <w:t xml:space="preserve"> </w:t>
      </w:r>
      <w:r>
        <w:t>$1,</w:t>
      </w:r>
      <w:r w:rsidR="00CF39EF">
        <w:t>388</w:t>
      </w:r>
      <w:r>
        <w:t>,</w:t>
      </w:r>
      <w:r w:rsidR="00CF39EF">
        <w:t>0</w:t>
      </w:r>
      <w:r>
        <w:t>00.</w:t>
      </w:r>
    </w:p>
    <w:p w14:paraId="3D9A8AD7" w14:textId="77777777" w:rsidR="007C7D31" w:rsidRDefault="007C7D31" w:rsidP="007C7D31">
      <w:pPr>
        <w:pStyle w:val="BodyText"/>
        <w:spacing w:before="3"/>
        <w:rPr>
          <w:sz w:val="25"/>
        </w:rPr>
      </w:pPr>
    </w:p>
    <w:p w14:paraId="6CCD312B" w14:textId="77777777" w:rsidR="007C7D31" w:rsidRDefault="007C7D31" w:rsidP="007C7D31">
      <w:pPr>
        <w:pStyle w:val="Heading2"/>
        <w:numPr>
          <w:ilvl w:val="0"/>
          <w:numId w:val="1"/>
        </w:numPr>
        <w:tabs>
          <w:tab w:val="left" w:pos="532"/>
        </w:tabs>
        <w:ind w:left="532"/>
      </w:pPr>
      <w:r>
        <w:rPr>
          <w:u w:val="single"/>
        </w:rPr>
        <w:t>Capital</w:t>
      </w:r>
      <w:r>
        <w:rPr>
          <w:spacing w:val="-1"/>
          <w:u w:val="single"/>
        </w:rPr>
        <w:t xml:space="preserve"> </w:t>
      </w:r>
      <w:r>
        <w:rPr>
          <w:u w:val="single"/>
        </w:rPr>
        <w:t>Costs</w:t>
      </w:r>
    </w:p>
    <w:p w14:paraId="16E44160" w14:textId="77777777" w:rsidR="007C7D31" w:rsidRDefault="007C7D31" w:rsidP="007C7D31">
      <w:pPr>
        <w:pStyle w:val="BodyText"/>
        <w:rPr>
          <w:sz w:val="25"/>
        </w:rPr>
      </w:pPr>
    </w:p>
    <w:p w14:paraId="4DACB200" w14:textId="77777777" w:rsidR="007C7D31" w:rsidRDefault="007C7D31" w:rsidP="007C7D31">
      <w:pPr>
        <w:pStyle w:val="BodyText"/>
        <w:ind w:left="531"/>
      </w:pPr>
      <w:r>
        <w:t>There is no capital costs associated with this collection.</w:t>
      </w:r>
    </w:p>
    <w:p w14:paraId="753597B1" w14:textId="77777777" w:rsidR="007C7D31" w:rsidRDefault="007C7D31" w:rsidP="007C7D31">
      <w:pPr>
        <w:pStyle w:val="BodyText"/>
        <w:spacing w:before="9"/>
        <w:rPr>
          <w:sz w:val="26"/>
        </w:rPr>
      </w:pPr>
    </w:p>
    <w:p w14:paraId="24095E82" w14:textId="77777777" w:rsidR="007C7D31" w:rsidRDefault="007C7D31" w:rsidP="007C7D31">
      <w:pPr>
        <w:pStyle w:val="Heading2"/>
        <w:numPr>
          <w:ilvl w:val="0"/>
          <w:numId w:val="1"/>
        </w:numPr>
        <w:tabs>
          <w:tab w:val="left" w:pos="532"/>
        </w:tabs>
        <w:ind w:left="532"/>
      </w:pPr>
      <w:r>
        <w:rPr>
          <w:u w:val="single"/>
        </w:rPr>
        <w:t>Cost to Federal</w:t>
      </w:r>
      <w:r>
        <w:rPr>
          <w:spacing w:val="-2"/>
          <w:u w:val="single"/>
        </w:rPr>
        <w:t xml:space="preserve"> </w:t>
      </w:r>
      <w:r>
        <w:rPr>
          <w:u w:val="single"/>
        </w:rPr>
        <w:t>Government</w:t>
      </w:r>
    </w:p>
    <w:p w14:paraId="167B68C9" w14:textId="77777777" w:rsidR="007C7D31" w:rsidRDefault="007C7D31" w:rsidP="007C7D31">
      <w:pPr>
        <w:pStyle w:val="BodyText"/>
        <w:spacing w:before="11"/>
        <w:rPr>
          <w:sz w:val="24"/>
        </w:rPr>
      </w:pPr>
    </w:p>
    <w:p w14:paraId="176FAC68" w14:textId="77777777" w:rsidR="007C7D31" w:rsidRDefault="007C7D31" w:rsidP="007C7D31">
      <w:pPr>
        <w:pStyle w:val="BodyText"/>
        <w:ind w:left="531"/>
      </w:pPr>
      <w:r>
        <w:t>No annualized cost to the Federal government will be incurred.</w:t>
      </w:r>
    </w:p>
    <w:p w14:paraId="3235CCE7" w14:textId="77777777" w:rsidR="007C7D31" w:rsidRDefault="007C7D31" w:rsidP="007C7D31">
      <w:pPr>
        <w:pStyle w:val="BodyText"/>
        <w:spacing w:before="2"/>
        <w:rPr>
          <w:sz w:val="25"/>
        </w:rPr>
      </w:pPr>
    </w:p>
    <w:p w14:paraId="55027975" w14:textId="77777777" w:rsidR="007C7D31" w:rsidRDefault="007C7D31" w:rsidP="007C7D31">
      <w:pPr>
        <w:pStyle w:val="Heading2"/>
        <w:numPr>
          <w:ilvl w:val="0"/>
          <w:numId w:val="1"/>
        </w:numPr>
        <w:tabs>
          <w:tab w:val="left" w:pos="532"/>
        </w:tabs>
        <w:ind w:left="532"/>
      </w:pPr>
      <w:r>
        <w:rPr>
          <w:u w:val="single"/>
        </w:rPr>
        <w:t>Changes to</w:t>
      </w:r>
      <w:r>
        <w:rPr>
          <w:spacing w:val="-1"/>
          <w:u w:val="single"/>
        </w:rPr>
        <w:t xml:space="preserve"> </w:t>
      </w:r>
      <w:r>
        <w:rPr>
          <w:u w:val="single"/>
        </w:rPr>
        <w:t>Burden</w:t>
      </w:r>
    </w:p>
    <w:p w14:paraId="5AFA588A" w14:textId="77777777" w:rsidR="007C7D31" w:rsidRDefault="007C7D31" w:rsidP="007C7D31">
      <w:pPr>
        <w:pStyle w:val="BodyText"/>
        <w:spacing w:before="11"/>
        <w:rPr>
          <w:sz w:val="27"/>
        </w:rPr>
      </w:pPr>
    </w:p>
    <w:p w14:paraId="51239A92" w14:textId="5B188F71" w:rsidR="007C7D31" w:rsidRDefault="007C7D31" w:rsidP="007C7D31">
      <w:pPr>
        <w:pStyle w:val="BodyText"/>
        <w:ind w:left="531"/>
      </w:pPr>
      <w:r>
        <w:t>There are changes to the burden. The changes to burden are due to calculations based on averages of the actual number of primary prevention ICD procedures performed in 2012 and 2013 and changes to the estimated time it takes to complete and transmit each form. The original numbers were estimates that were not based on experience as these were new processes at the time.</w:t>
      </w:r>
      <w:r w:rsidR="00D54413">
        <w:t xml:space="preserve">  </w:t>
      </w:r>
      <w:r w:rsidR="004F568C">
        <w:t>The burden hours were 139,656 in the previously approved ICR</w:t>
      </w:r>
      <w:r w:rsidR="00915692">
        <w:t xml:space="preserve"> which was discontinued</w:t>
      </w:r>
      <w:r w:rsidR="004F568C">
        <w:t>.  The current burden hours are 20,000.</w:t>
      </w:r>
    </w:p>
    <w:p w14:paraId="5DEDB737" w14:textId="77777777" w:rsidR="007C7D31" w:rsidRDefault="007C7D31" w:rsidP="007C7D31">
      <w:pPr>
        <w:pStyle w:val="BodyText"/>
        <w:spacing w:before="89" w:line="244" w:lineRule="auto"/>
      </w:pPr>
    </w:p>
    <w:p w14:paraId="039AB391" w14:textId="77777777" w:rsidR="007C7D31" w:rsidRDefault="007C7D31" w:rsidP="007C7D31">
      <w:pPr>
        <w:pStyle w:val="Heading2"/>
        <w:numPr>
          <w:ilvl w:val="0"/>
          <w:numId w:val="1"/>
        </w:numPr>
        <w:tabs>
          <w:tab w:val="left" w:pos="552"/>
        </w:tabs>
        <w:spacing w:before="61"/>
      </w:pPr>
      <w:r>
        <w:rPr>
          <w:u w:val="single"/>
        </w:rPr>
        <w:t>Publication/Tabulation Dates</w:t>
      </w:r>
    </w:p>
    <w:p w14:paraId="60E77B72" w14:textId="77777777" w:rsidR="007C7D31" w:rsidRDefault="007C7D31" w:rsidP="007C7D31">
      <w:pPr>
        <w:pStyle w:val="BodyText"/>
        <w:spacing w:before="11"/>
        <w:rPr>
          <w:sz w:val="24"/>
        </w:rPr>
      </w:pPr>
    </w:p>
    <w:p w14:paraId="2B779FFA" w14:textId="77777777" w:rsidR="007C7D31" w:rsidRDefault="007C7D31" w:rsidP="007C7D31">
      <w:pPr>
        <w:pStyle w:val="BodyText"/>
        <w:ind w:left="551"/>
      </w:pPr>
      <w:r>
        <w:t>There are no publication or tabulation dates.</w:t>
      </w:r>
    </w:p>
    <w:p w14:paraId="27411250" w14:textId="77777777" w:rsidR="007C7D31" w:rsidRDefault="007C7D31" w:rsidP="007C7D31">
      <w:pPr>
        <w:pStyle w:val="BodyText"/>
        <w:spacing w:before="2"/>
        <w:rPr>
          <w:sz w:val="25"/>
        </w:rPr>
      </w:pPr>
    </w:p>
    <w:p w14:paraId="06684E66" w14:textId="77777777" w:rsidR="007C7D31" w:rsidRDefault="007C7D31" w:rsidP="007C7D31">
      <w:pPr>
        <w:pStyle w:val="Heading2"/>
        <w:numPr>
          <w:ilvl w:val="0"/>
          <w:numId w:val="1"/>
        </w:numPr>
        <w:tabs>
          <w:tab w:val="left" w:pos="552"/>
        </w:tabs>
      </w:pPr>
      <w:r>
        <w:rPr>
          <w:u w:val="single"/>
        </w:rPr>
        <w:t>Expiration</w:t>
      </w:r>
      <w:r>
        <w:rPr>
          <w:spacing w:val="-1"/>
          <w:u w:val="single"/>
        </w:rPr>
        <w:t xml:space="preserve"> </w:t>
      </w:r>
      <w:r>
        <w:rPr>
          <w:u w:val="single"/>
        </w:rPr>
        <w:t>Date</w:t>
      </w:r>
    </w:p>
    <w:p w14:paraId="6A944F88" w14:textId="77777777" w:rsidR="007C7D31" w:rsidRDefault="007C7D31" w:rsidP="007C7D31">
      <w:pPr>
        <w:pStyle w:val="BodyText"/>
        <w:spacing w:before="2"/>
        <w:rPr>
          <w:sz w:val="26"/>
        </w:rPr>
      </w:pPr>
    </w:p>
    <w:p w14:paraId="56BC0240" w14:textId="77777777" w:rsidR="007C7D31" w:rsidRDefault="007C7D31" w:rsidP="007C7D31">
      <w:pPr>
        <w:pStyle w:val="BodyText"/>
        <w:spacing w:before="1" w:line="249" w:lineRule="auto"/>
        <w:ind w:left="551"/>
      </w:pPr>
      <w:r>
        <w:t>The</w:t>
      </w:r>
      <w:r>
        <w:rPr>
          <w:spacing w:val="-10"/>
        </w:rPr>
        <w:t xml:space="preserve"> </w:t>
      </w:r>
      <w:r>
        <w:t>OMB</w:t>
      </w:r>
      <w:r>
        <w:rPr>
          <w:spacing w:val="-10"/>
        </w:rPr>
        <w:t xml:space="preserve"> </w:t>
      </w:r>
      <w:r>
        <w:t>control</w:t>
      </w:r>
      <w:r>
        <w:rPr>
          <w:spacing w:val="-10"/>
        </w:rPr>
        <w:t xml:space="preserve"> </w:t>
      </w:r>
      <w:r>
        <w:t>number</w:t>
      </w:r>
      <w:r>
        <w:rPr>
          <w:spacing w:val="-10"/>
        </w:rPr>
        <w:t xml:space="preserve"> </w:t>
      </w:r>
      <w:r>
        <w:t>and</w:t>
      </w:r>
      <w:r>
        <w:rPr>
          <w:spacing w:val="-10"/>
        </w:rPr>
        <w:t xml:space="preserve"> </w:t>
      </w:r>
      <w:r>
        <w:t>corresponding</w:t>
      </w:r>
      <w:r>
        <w:rPr>
          <w:spacing w:val="-10"/>
        </w:rPr>
        <w:t xml:space="preserve"> </w:t>
      </w:r>
      <w:r>
        <w:t>expiration</w:t>
      </w:r>
      <w:r>
        <w:rPr>
          <w:spacing w:val="-10"/>
        </w:rPr>
        <w:t xml:space="preserve"> </w:t>
      </w:r>
      <w:r>
        <w:t>date</w:t>
      </w:r>
      <w:r>
        <w:rPr>
          <w:spacing w:val="-10"/>
        </w:rPr>
        <w:t xml:space="preserve"> </w:t>
      </w:r>
      <w:r>
        <w:t>will</w:t>
      </w:r>
      <w:r>
        <w:rPr>
          <w:spacing w:val="-10"/>
        </w:rPr>
        <w:t xml:space="preserve"> </w:t>
      </w:r>
      <w:r>
        <w:t>be</w:t>
      </w:r>
      <w:r>
        <w:rPr>
          <w:spacing w:val="-10"/>
        </w:rPr>
        <w:t xml:space="preserve"> </w:t>
      </w:r>
      <w:r>
        <w:t>displayed</w:t>
      </w:r>
      <w:r>
        <w:rPr>
          <w:spacing w:val="-10"/>
        </w:rPr>
        <w:t xml:space="preserve"> </w:t>
      </w:r>
      <w:r>
        <w:t>on</w:t>
      </w:r>
      <w:r>
        <w:rPr>
          <w:spacing w:val="-10"/>
        </w:rPr>
        <w:t xml:space="preserve"> </w:t>
      </w:r>
      <w:r>
        <w:t>the</w:t>
      </w:r>
      <w:r>
        <w:rPr>
          <w:spacing w:val="-10"/>
        </w:rPr>
        <w:t xml:space="preserve"> </w:t>
      </w:r>
      <w:r>
        <w:t>data collection</w:t>
      </w:r>
      <w:r>
        <w:rPr>
          <w:spacing w:val="-25"/>
        </w:rPr>
        <w:t xml:space="preserve"> </w:t>
      </w:r>
      <w:r>
        <w:t>form.</w:t>
      </w:r>
    </w:p>
    <w:p w14:paraId="05AF3608" w14:textId="77777777" w:rsidR="007C7D31" w:rsidRDefault="007C7D31" w:rsidP="007C7D31">
      <w:pPr>
        <w:pStyle w:val="BodyText"/>
        <w:spacing w:before="11"/>
        <w:rPr>
          <w:sz w:val="25"/>
        </w:rPr>
      </w:pPr>
    </w:p>
    <w:p w14:paraId="2DB89026" w14:textId="77777777" w:rsidR="007C7D31" w:rsidRDefault="007C7D31" w:rsidP="007C7D31">
      <w:pPr>
        <w:pStyle w:val="Heading2"/>
        <w:numPr>
          <w:ilvl w:val="0"/>
          <w:numId w:val="1"/>
        </w:numPr>
        <w:tabs>
          <w:tab w:val="left" w:pos="552"/>
        </w:tabs>
      </w:pPr>
      <w:r>
        <w:rPr>
          <w:u w:val="single"/>
        </w:rPr>
        <w:t>Certification</w:t>
      </w:r>
      <w:r>
        <w:rPr>
          <w:spacing w:val="-1"/>
          <w:u w:val="single"/>
        </w:rPr>
        <w:t xml:space="preserve"> </w:t>
      </w:r>
      <w:r>
        <w:rPr>
          <w:u w:val="single"/>
        </w:rPr>
        <w:t>Statement</w:t>
      </w:r>
    </w:p>
    <w:p w14:paraId="1C7EC0F9" w14:textId="77777777" w:rsidR="007C7D31" w:rsidRDefault="007C7D31" w:rsidP="007C7D31">
      <w:pPr>
        <w:pStyle w:val="BodyText"/>
        <w:spacing w:before="11"/>
        <w:rPr>
          <w:sz w:val="24"/>
        </w:rPr>
      </w:pPr>
    </w:p>
    <w:p w14:paraId="45BDC8A7" w14:textId="77777777" w:rsidR="007C7D31" w:rsidRDefault="007C7D31" w:rsidP="007C7D31">
      <w:pPr>
        <w:pStyle w:val="BodyText"/>
        <w:ind w:left="551"/>
      </w:pPr>
      <w:r>
        <w:t>There are no exemptions to the certification statement.</w:t>
      </w:r>
    </w:p>
    <w:p w14:paraId="1CC7915A" w14:textId="77777777" w:rsidR="002058CB" w:rsidRDefault="002058CB"/>
    <w:sectPr w:rsidR="0020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173C0"/>
    <w:multiLevelType w:val="hybridMultilevel"/>
    <w:tmpl w:val="BB2280FC"/>
    <w:lvl w:ilvl="0" w:tplc="C5EEDC72">
      <w:start w:val="1"/>
      <w:numFmt w:val="decimal"/>
      <w:lvlText w:val="%1."/>
      <w:lvlJc w:val="left"/>
      <w:pPr>
        <w:ind w:left="552" w:hanging="432"/>
      </w:pPr>
      <w:rPr>
        <w:rFonts w:ascii="Times New Roman" w:eastAsia="Times New Roman" w:hAnsi="Times New Roman" w:cs="Times New Roman" w:hint="default"/>
        <w:spacing w:val="-1"/>
        <w:w w:val="99"/>
        <w:sz w:val="24"/>
        <w:szCs w:val="24"/>
      </w:rPr>
    </w:lvl>
    <w:lvl w:ilvl="1" w:tplc="94BC6D46">
      <w:numFmt w:val="bullet"/>
      <w:lvlText w:val="•"/>
      <w:lvlJc w:val="left"/>
      <w:pPr>
        <w:ind w:left="1476" w:hanging="432"/>
      </w:pPr>
      <w:rPr>
        <w:rFonts w:hint="default"/>
      </w:rPr>
    </w:lvl>
    <w:lvl w:ilvl="2" w:tplc="8B3AD72A">
      <w:numFmt w:val="bullet"/>
      <w:lvlText w:val="•"/>
      <w:lvlJc w:val="left"/>
      <w:pPr>
        <w:ind w:left="2392" w:hanging="432"/>
      </w:pPr>
      <w:rPr>
        <w:rFonts w:hint="default"/>
      </w:rPr>
    </w:lvl>
    <w:lvl w:ilvl="3" w:tplc="EF7AE4EC">
      <w:numFmt w:val="bullet"/>
      <w:lvlText w:val="•"/>
      <w:lvlJc w:val="left"/>
      <w:pPr>
        <w:ind w:left="3308" w:hanging="432"/>
      </w:pPr>
      <w:rPr>
        <w:rFonts w:hint="default"/>
      </w:rPr>
    </w:lvl>
    <w:lvl w:ilvl="4" w:tplc="CBFC30FC">
      <w:numFmt w:val="bullet"/>
      <w:lvlText w:val="•"/>
      <w:lvlJc w:val="left"/>
      <w:pPr>
        <w:ind w:left="4224" w:hanging="432"/>
      </w:pPr>
      <w:rPr>
        <w:rFonts w:hint="default"/>
      </w:rPr>
    </w:lvl>
    <w:lvl w:ilvl="5" w:tplc="AC8C27DC">
      <w:numFmt w:val="bullet"/>
      <w:lvlText w:val="•"/>
      <w:lvlJc w:val="left"/>
      <w:pPr>
        <w:ind w:left="5140" w:hanging="432"/>
      </w:pPr>
      <w:rPr>
        <w:rFonts w:hint="default"/>
      </w:rPr>
    </w:lvl>
    <w:lvl w:ilvl="6" w:tplc="947E46B8">
      <w:numFmt w:val="bullet"/>
      <w:lvlText w:val="•"/>
      <w:lvlJc w:val="left"/>
      <w:pPr>
        <w:ind w:left="6056" w:hanging="432"/>
      </w:pPr>
      <w:rPr>
        <w:rFonts w:hint="default"/>
      </w:rPr>
    </w:lvl>
    <w:lvl w:ilvl="7" w:tplc="4E92AFD6">
      <w:numFmt w:val="bullet"/>
      <w:lvlText w:val="•"/>
      <w:lvlJc w:val="left"/>
      <w:pPr>
        <w:ind w:left="6972" w:hanging="432"/>
      </w:pPr>
      <w:rPr>
        <w:rFonts w:hint="default"/>
      </w:rPr>
    </w:lvl>
    <w:lvl w:ilvl="8" w:tplc="1A56BA54">
      <w:numFmt w:val="bullet"/>
      <w:lvlText w:val="•"/>
      <w:lvlJc w:val="left"/>
      <w:pPr>
        <w:ind w:left="7888" w:hanging="432"/>
      </w:pPr>
      <w:rPr>
        <w:rFonts w:hint="default"/>
      </w:rPr>
    </w:lvl>
  </w:abstractNum>
  <w:abstractNum w:abstractNumId="1" w15:restartNumberingAfterBreak="0">
    <w:nsid w:val="5FE76D79"/>
    <w:multiLevelType w:val="hybridMultilevel"/>
    <w:tmpl w:val="28F835EE"/>
    <w:lvl w:ilvl="0" w:tplc="54F6FB70">
      <w:start w:val="1"/>
      <w:numFmt w:val="upperLetter"/>
      <w:lvlText w:val="%1."/>
      <w:lvlJc w:val="left"/>
      <w:pPr>
        <w:ind w:left="839" w:hanging="720"/>
      </w:pPr>
      <w:rPr>
        <w:rFonts w:ascii="Times New Roman" w:eastAsia="Times New Roman" w:hAnsi="Times New Roman" w:cs="Times New Roman" w:hint="default"/>
        <w:b/>
        <w:bCs/>
        <w:w w:val="99"/>
        <w:sz w:val="28"/>
        <w:szCs w:val="28"/>
      </w:rPr>
    </w:lvl>
    <w:lvl w:ilvl="1" w:tplc="8738F34E">
      <w:numFmt w:val="bullet"/>
      <w:lvlText w:val="•"/>
      <w:lvlJc w:val="left"/>
      <w:pPr>
        <w:ind w:left="1728" w:hanging="720"/>
      </w:pPr>
      <w:rPr>
        <w:rFonts w:hint="default"/>
      </w:rPr>
    </w:lvl>
    <w:lvl w:ilvl="2" w:tplc="8EB41E22">
      <w:numFmt w:val="bullet"/>
      <w:lvlText w:val="•"/>
      <w:lvlJc w:val="left"/>
      <w:pPr>
        <w:ind w:left="2616" w:hanging="720"/>
      </w:pPr>
      <w:rPr>
        <w:rFonts w:hint="default"/>
      </w:rPr>
    </w:lvl>
    <w:lvl w:ilvl="3" w:tplc="62B07760">
      <w:numFmt w:val="bullet"/>
      <w:lvlText w:val="•"/>
      <w:lvlJc w:val="left"/>
      <w:pPr>
        <w:ind w:left="3504" w:hanging="720"/>
      </w:pPr>
      <w:rPr>
        <w:rFonts w:hint="default"/>
      </w:rPr>
    </w:lvl>
    <w:lvl w:ilvl="4" w:tplc="09207510">
      <w:numFmt w:val="bullet"/>
      <w:lvlText w:val="•"/>
      <w:lvlJc w:val="left"/>
      <w:pPr>
        <w:ind w:left="4392" w:hanging="720"/>
      </w:pPr>
      <w:rPr>
        <w:rFonts w:hint="default"/>
      </w:rPr>
    </w:lvl>
    <w:lvl w:ilvl="5" w:tplc="43383468">
      <w:numFmt w:val="bullet"/>
      <w:lvlText w:val="•"/>
      <w:lvlJc w:val="left"/>
      <w:pPr>
        <w:ind w:left="5280" w:hanging="720"/>
      </w:pPr>
      <w:rPr>
        <w:rFonts w:hint="default"/>
      </w:rPr>
    </w:lvl>
    <w:lvl w:ilvl="6" w:tplc="0A222FE0">
      <w:numFmt w:val="bullet"/>
      <w:lvlText w:val="•"/>
      <w:lvlJc w:val="left"/>
      <w:pPr>
        <w:ind w:left="6168" w:hanging="720"/>
      </w:pPr>
      <w:rPr>
        <w:rFonts w:hint="default"/>
      </w:rPr>
    </w:lvl>
    <w:lvl w:ilvl="7" w:tplc="1CB25AF6">
      <w:numFmt w:val="bullet"/>
      <w:lvlText w:val="•"/>
      <w:lvlJc w:val="left"/>
      <w:pPr>
        <w:ind w:left="7056" w:hanging="720"/>
      </w:pPr>
      <w:rPr>
        <w:rFonts w:hint="default"/>
      </w:rPr>
    </w:lvl>
    <w:lvl w:ilvl="8" w:tplc="EADC9A9A">
      <w:numFmt w:val="bullet"/>
      <w:lvlText w:val="•"/>
      <w:lvlJc w:val="left"/>
      <w:pPr>
        <w:ind w:left="7944"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31"/>
    <w:rsid w:val="00012CBA"/>
    <w:rsid w:val="000C660C"/>
    <w:rsid w:val="002058CB"/>
    <w:rsid w:val="00275959"/>
    <w:rsid w:val="003D0E8C"/>
    <w:rsid w:val="00426A3A"/>
    <w:rsid w:val="004F568C"/>
    <w:rsid w:val="006569D0"/>
    <w:rsid w:val="0074474C"/>
    <w:rsid w:val="007C7D31"/>
    <w:rsid w:val="00915692"/>
    <w:rsid w:val="0093782F"/>
    <w:rsid w:val="00A61A6A"/>
    <w:rsid w:val="00BC34B4"/>
    <w:rsid w:val="00C51622"/>
    <w:rsid w:val="00CF39EF"/>
    <w:rsid w:val="00D23D56"/>
    <w:rsid w:val="00D54413"/>
    <w:rsid w:val="00D61A33"/>
    <w:rsid w:val="00DC3D4B"/>
    <w:rsid w:val="00F74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9B2F"/>
  <w15:chartTrackingRefBased/>
  <w15:docId w15:val="{BEEDEF11-37B8-42EE-B819-86A617F3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7D31"/>
    <w:pPr>
      <w:widowControl w:val="0"/>
      <w:autoSpaceDE w:val="0"/>
      <w:autoSpaceDN w:val="0"/>
      <w:spacing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C7D31"/>
    <w:pPr>
      <w:ind w:left="839" w:hanging="719"/>
      <w:outlineLvl w:val="0"/>
    </w:pPr>
    <w:rPr>
      <w:b/>
      <w:bCs/>
      <w:sz w:val="28"/>
      <w:szCs w:val="28"/>
    </w:rPr>
  </w:style>
  <w:style w:type="paragraph" w:styleId="Heading2">
    <w:name w:val="heading 2"/>
    <w:basedOn w:val="Normal"/>
    <w:link w:val="Heading2Char"/>
    <w:uiPriority w:val="1"/>
    <w:qFormat/>
    <w:rsid w:val="007C7D31"/>
    <w:pPr>
      <w:ind w:left="532" w:hanging="432"/>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7D3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7C7D3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C7D31"/>
  </w:style>
  <w:style w:type="character" w:customStyle="1" w:styleId="BodyTextChar">
    <w:name w:val="Body Text Char"/>
    <w:basedOn w:val="DefaultParagraphFont"/>
    <w:link w:val="BodyText"/>
    <w:uiPriority w:val="1"/>
    <w:rsid w:val="007C7D31"/>
    <w:rPr>
      <w:rFonts w:ascii="Times New Roman" w:eastAsia="Times New Roman" w:hAnsi="Times New Roman" w:cs="Times New Roman"/>
    </w:rPr>
  </w:style>
  <w:style w:type="paragraph" w:styleId="ListParagraph">
    <w:name w:val="List Paragraph"/>
    <w:basedOn w:val="Normal"/>
    <w:uiPriority w:val="1"/>
    <w:qFormat/>
    <w:rsid w:val="007C7D31"/>
    <w:pPr>
      <w:ind w:left="532" w:hanging="432"/>
    </w:pPr>
  </w:style>
  <w:style w:type="character" w:styleId="CommentReference">
    <w:name w:val="annotation reference"/>
    <w:basedOn w:val="DefaultParagraphFont"/>
    <w:uiPriority w:val="99"/>
    <w:semiHidden/>
    <w:unhideWhenUsed/>
    <w:rsid w:val="007C7D31"/>
    <w:rPr>
      <w:sz w:val="16"/>
      <w:szCs w:val="16"/>
    </w:rPr>
  </w:style>
  <w:style w:type="paragraph" w:styleId="CommentText">
    <w:name w:val="annotation text"/>
    <w:basedOn w:val="Normal"/>
    <w:link w:val="CommentTextChar"/>
    <w:uiPriority w:val="99"/>
    <w:semiHidden/>
    <w:unhideWhenUsed/>
    <w:rsid w:val="007C7D31"/>
    <w:rPr>
      <w:sz w:val="20"/>
      <w:szCs w:val="20"/>
    </w:rPr>
  </w:style>
  <w:style w:type="character" w:customStyle="1" w:styleId="CommentTextChar">
    <w:name w:val="Comment Text Char"/>
    <w:basedOn w:val="DefaultParagraphFont"/>
    <w:link w:val="CommentText"/>
    <w:uiPriority w:val="99"/>
    <w:semiHidden/>
    <w:rsid w:val="007C7D3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7D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D3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C7D31"/>
    <w:rPr>
      <w:b/>
      <w:bCs/>
    </w:rPr>
  </w:style>
  <w:style w:type="character" w:customStyle="1" w:styleId="CommentSubjectChar">
    <w:name w:val="Comment Subject Char"/>
    <w:basedOn w:val="CommentTextChar"/>
    <w:link w:val="CommentSubject"/>
    <w:uiPriority w:val="99"/>
    <w:semiHidden/>
    <w:rsid w:val="007C7D3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C34B4"/>
    <w:rPr>
      <w:color w:val="0563C1" w:themeColor="hyperlink"/>
      <w:u w:val="single"/>
    </w:rPr>
  </w:style>
  <w:style w:type="character" w:styleId="FollowedHyperlink">
    <w:name w:val="FollowedHyperlink"/>
    <w:basedOn w:val="DefaultParagraphFont"/>
    <w:uiPriority w:val="99"/>
    <w:semiHidden/>
    <w:unhideWhenUsed/>
    <w:rsid w:val="00BC34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Baldwin</dc:creator>
  <cp:keywords/>
  <dc:description/>
  <cp:lastModifiedBy>Denise King</cp:lastModifiedBy>
  <cp:revision>3</cp:revision>
  <dcterms:created xsi:type="dcterms:W3CDTF">2017-05-04T12:32:00Z</dcterms:created>
  <dcterms:modified xsi:type="dcterms:W3CDTF">2017-05-04T12:33:00Z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2087717186</vt:i4>
  </property>
  <property fmtid="{D5CDD505-2E9C-101B-9397-08002B2CF9AE}" pid="3" name="_NewReviewCycle">
    <vt:lpwstr/>
  </property>
  <property fmtid="{D5CDD505-2E9C-101B-9397-08002B2CF9AE}" pid="4" name="_EmailSubject">
    <vt:lpwstr>PRA reinstatement 0938-0967 (CMS-10151)</vt:lpwstr>
  </property>
  <property fmtid="{D5CDD505-2E9C-101B-9397-08002B2CF9AE}" pid="5" name="_AuthorEmail">
    <vt:lpwstr>JoAnna.Baldwin@cms.hhs.gov</vt:lpwstr>
  </property>
  <property fmtid="{D5CDD505-2E9C-101B-9397-08002B2CF9AE}" pid="6" name="_AuthorEmailDisplayName">
    <vt:lpwstr>Baldwin, JoAnna F. (CMS/CCSQ)</vt:lpwstr>
  </property>
  <property fmtid="{D5CDD505-2E9C-101B-9397-08002B2CF9AE}" pid="7" name="_PreviousAdHocReviewCycleID">
    <vt:i4>-761463989</vt:i4>
  </property>
</Properties>
</file>