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3C71C7" w:rsidRDefault="00762D0D" w:rsidP="003C71C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310EF6">
        <w:t>t</w:t>
      </w:r>
      <w:r w:rsidR="003C71C7">
        <w:t>he Centers for Disease Control and</w:t>
      </w:r>
    </w:p>
    <w:p w:rsidR="00762D0D" w:rsidRDefault="003C71C7" w:rsidP="003C71C7">
      <w:pPr>
        <w:spacing w:after="0" w:line="240" w:lineRule="auto"/>
      </w:pPr>
      <w:r>
        <w:t xml:space="preserve">Prevention (CDC), </w:t>
      </w:r>
      <w:r w:rsidR="00310EF6" w:rsidRPr="00310EF6">
        <w:t>National Center for HIV/AIDS, Viral Hepatitis, STD, and TB Prevention (NCHHSTP</w:t>
      </w:r>
      <w:r w:rsidR="00310EF6">
        <w:t>)</w:t>
      </w:r>
      <w:r>
        <w:t>,</w:t>
      </w:r>
      <w:r w:rsidR="00762D0D">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Pr="00FD7312" w:rsidRDefault="00762D0D" w:rsidP="00FD7312">
      <w:pPr>
        <w:pStyle w:val="ListParagraph"/>
        <w:numPr>
          <w:ilvl w:val="0"/>
          <w:numId w:val="16"/>
        </w:numPr>
        <w:spacing w:after="0" w:line="240" w:lineRule="auto"/>
      </w:pPr>
      <w:r w:rsidRPr="00FD7312">
        <w:lastRenderedPageBreak/>
        <w:t xml:space="preserve">Information gathered will be used only internally  for general service improvement and program management purposes and is not intended for release outside of the agency (if released, procedures outlined in Question 16 </w:t>
      </w:r>
      <w:r w:rsidR="00F242F7" w:rsidRPr="00FD7312">
        <w:t>will</w:t>
      </w:r>
      <w:r w:rsidRPr="00FD7312">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r w:rsidR="006C1832">
        <w:t xml:space="preserve">token of appreciations </w:t>
      </w:r>
      <w:r>
        <w:t xml:space="preserve">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pStyle w:val="ListParagraph"/>
        <w:numPr>
          <w:ilvl w:val="0"/>
          <w:numId w:val="2"/>
        </w:numPr>
        <w:spacing w:after="0" w:line="240" w:lineRule="auto"/>
        <w:ind w:left="0"/>
        <w:rPr>
          <w:b/>
        </w:rPr>
      </w:pPr>
      <w:r>
        <w:rPr>
          <w:b/>
        </w:rPr>
        <w:t>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a 60-day notice for public comment was published in the</w:t>
      </w:r>
      <w:r w:rsidRPr="00FD7312">
        <w:t xml:space="preserve"> Federal </w:t>
      </w:r>
      <w:r w:rsidR="00D53051">
        <w:t>Register Vol. 82, No. 44</w:t>
      </w:r>
      <w:r w:rsidR="00833C88" w:rsidRPr="00FD7312">
        <w:t xml:space="preserve">, Wednesday, </w:t>
      </w:r>
      <w:r w:rsidR="00D53051">
        <w:t>March 8,</w:t>
      </w:r>
      <w:r w:rsidR="0010626E">
        <w:t xml:space="preserve"> </w:t>
      </w:r>
      <w:r w:rsidR="00D53051">
        <w:t xml:space="preserve">2017 </w:t>
      </w:r>
      <w:r w:rsidR="00FD7312">
        <w:t xml:space="preserve">pages </w:t>
      </w:r>
      <w:r w:rsidR="00D53051">
        <w:t>12966</w:t>
      </w:r>
      <w:r w:rsidR="00FD7312">
        <w:t>-</w:t>
      </w:r>
      <w:r w:rsidR="00EF670E">
        <w:t>12968</w:t>
      </w:r>
      <w:bookmarkStart w:id="0" w:name="_GoBack"/>
      <w:bookmarkEnd w:id="0"/>
      <w:r w:rsidR="00FD7312">
        <w:t xml:space="preserve">. No public comments were received.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 xml:space="preserve">In the case of in-person cognitive laboratory and usability studies, the Agency may </w:t>
      </w:r>
      <w:r w:rsidR="00833C88">
        <w:t xml:space="preserve">provide stipends of up to $40. </w:t>
      </w:r>
      <w:r>
        <w:t xml:space="preserve">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t xml:space="preserve"> Confidentiality </w:t>
      </w: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w:t>
      </w:r>
      <w:r>
        <w:lastRenderedPageBreak/>
        <w:t>impede sharing of data with other agencies for compatible confidential use.  If the agency includes a pledge of confidentiality, it will include a citation for the statute or regulation supporting the pledge.</w:t>
      </w:r>
    </w:p>
    <w:p w:rsidR="00FD7312" w:rsidRDefault="00FD7312">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w:t>
      </w:r>
      <w:r w:rsidR="00410886">
        <w:t>requested 9,690</w:t>
      </w:r>
      <w:r>
        <w:t xml:space="preserve"> are based on the number of collections we expect to conduct over the requested period for this </w:t>
      </w:r>
      <w:r w:rsidR="00FD7312">
        <w:t>clearance</w:t>
      </w:r>
      <w:r w:rsidR="00B07E4E">
        <w:t xml:space="preserve"> as use of this Generic ICR is increasing. In the previous 3 year approval period, the Center used only 2,220 burden hours. However, we anticipate an increased usage over the next three years. </w:t>
      </w:r>
    </w:p>
    <w:p w:rsidR="00DB5174" w:rsidRDefault="00DB5174">
      <w:pPr>
        <w:spacing w:after="0" w:line="240" w:lineRule="auto"/>
        <w:rPr>
          <w:sz w:val="20"/>
        </w:rPr>
      </w:pPr>
    </w:p>
    <w:p w:rsidR="00B07E4E" w:rsidRPr="00B07E4E" w:rsidRDefault="00B07E4E">
      <w:pPr>
        <w:spacing w:after="0" w:line="240" w:lineRule="auto"/>
      </w:pPr>
      <w:r w:rsidRPr="00B07E4E">
        <w:t>Estimated Annual Reporting Burden</w:t>
      </w:r>
    </w:p>
    <w:p w:rsidR="00DB5174" w:rsidRDefault="00DB5174">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02"/>
        <w:gridCol w:w="1440"/>
        <w:gridCol w:w="1890"/>
        <w:gridCol w:w="1530"/>
        <w:gridCol w:w="1350"/>
      </w:tblGrid>
      <w:tr w:rsidR="00144692" w:rsidRPr="0070317F" w:rsidTr="0010237C">
        <w:trPr>
          <w:trHeight w:val="777"/>
        </w:trPr>
        <w:tc>
          <w:tcPr>
            <w:tcW w:w="2802" w:type="dxa"/>
            <w:tcBorders>
              <w:top w:val="single" w:sz="6" w:space="0" w:color="000000"/>
              <w:left w:val="single" w:sz="6" w:space="0" w:color="000000"/>
              <w:bottom w:val="single" w:sz="6" w:space="0" w:color="FFFFFF"/>
              <w:right w:val="single" w:sz="6" w:space="0" w:color="FFFFFF"/>
            </w:tcBorders>
            <w:vAlign w:val="center"/>
          </w:tcPr>
          <w:p w:rsidR="00144692" w:rsidRPr="0070317F" w:rsidRDefault="00144692" w:rsidP="00144692">
            <w:pPr>
              <w:spacing w:after="0" w:line="240" w:lineRule="auto"/>
              <w:jc w:val="center"/>
              <w:rPr>
                <w:rFonts w:asciiTheme="minorHAnsi" w:hAnsiTheme="minorHAnsi"/>
              </w:rPr>
            </w:pPr>
          </w:p>
          <w:p w:rsidR="00144692" w:rsidRPr="0070317F" w:rsidRDefault="00144692" w:rsidP="00144692">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70317F">
              <w:rPr>
                <w:rFonts w:asciiTheme="minorHAnsi" w:hAnsiTheme="minorHAnsi"/>
              </w:rPr>
              <w:t>Type of Collection</w:t>
            </w:r>
          </w:p>
        </w:tc>
        <w:tc>
          <w:tcPr>
            <w:tcW w:w="1440" w:type="dxa"/>
            <w:tcBorders>
              <w:top w:val="single" w:sz="6" w:space="0" w:color="000000"/>
              <w:left w:val="single" w:sz="6" w:space="0" w:color="000000"/>
              <w:bottom w:val="single" w:sz="6" w:space="0" w:color="FFFFFF"/>
              <w:right w:val="single" w:sz="6" w:space="0" w:color="FFFFFF"/>
            </w:tcBorders>
            <w:vAlign w:val="center"/>
          </w:tcPr>
          <w:p w:rsidR="00144692" w:rsidRPr="0070317F" w:rsidRDefault="00144692" w:rsidP="00144692">
            <w:pPr>
              <w:spacing w:after="0" w:line="240" w:lineRule="auto"/>
              <w:jc w:val="center"/>
              <w:rPr>
                <w:rFonts w:asciiTheme="minorHAnsi" w:hAnsiTheme="minorHAnsi"/>
              </w:rPr>
            </w:pPr>
          </w:p>
          <w:p w:rsidR="00144692" w:rsidRPr="0070317F" w:rsidRDefault="00144692" w:rsidP="00144692">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70317F">
              <w:rPr>
                <w:rFonts w:asciiTheme="minorHAnsi" w:hAnsiTheme="minorHAnsi"/>
              </w:rPr>
              <w:t>No. of Respondents</w:t>
            </w:r>
          </w:p>
        </w:tc>
        <w:tc>
          <w:tcPr>
            <w:tcW w:w="1890" w:type="dxa"/>
            <w:tcBorders>
              <w:top w:val="single" w:sz="6" w:space="0" w:color="000000"/>
              <w:left w:val="single" w:sz="6" w:space="0" w:color="000000"/>
              <w:bottom w:val="single" w:sz="6" w:space="0" w:color="FFFFFF"/>
              <w:right w:val="single" w:sz="6" w:space="0" w:color="FFFFFF"/>
            </w:tcBorders>
            <w:vAlign w:val="center"/>
          </w:tcPr>
          <w:p w:rsidR="00144692" w:rsidRPr="0070317F" w:rsidRDefault="00144692" w:rsidP="00144692">
            <w:pPr>
              <w:spacing w:after="0" w:line="240" w:lineRule="auto"/>
              <w:jc w:val="center"/>
              <w:rPr>
                <w:rFonts w:asciiTheme="minorHAnsi" w:hAnsiTheme="minorHAnsi"/>
              </w:rPr>
            </w:pPr>
          </w:p>
          <w:p w:rsidR="00144692" w:rsidRPr="0070317F" w:rsidRDefault="00144692" w:rsidP="00144692">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70317F">
              <w:rPr>
                <w:rFonts w:asciiTheme="minorHAnsi" w:hAnsiTheme="minorHAnsi"/>
              </w:rPr>
              <w:t>Annual Frequency per Response</w:t>
            </w:r>
          </w:p>
        </w:tc>
        <w:tc>
          <w:tcPr>
            <w:tcW w:w="1530" w:type="dxa"/>
            <w:tcBorders>
              <w:top w:val="single" w:sz="6" w:space="0" w:color="000000"/>
              <w:left w:val="single" w:sz="6" w:space="0" w:color="000000"/>
              <w:bottom w:val="single" w:sz="6" w:space="0" w:color="FFFFFF"/>
              <w:right w:val="single" w:sz="6" w:space="0" w:color="FFFFFF"/>
            </w:tcBorders>
            <w:vAlign w:val="center"/>
          </w:tcPr>
          <w:p w:rsidR="00144692" w:rsidRPr="0070317F" w:rsidRDefault="00144692" w:rsidP="00144692">
            <w:pPr>
              <w:spacing w:after="0" w:line="240" w:lineRule="auto"/>
              <w:jc w:val="center"/>
              <w:rPr>
                <w:rFonts w:asciiTheme="minorHAnsi" w:hAnsiTheme="minorHAnsi"/>
              </w:rPr>
            </w:pPr>
          </w:p>
          <w:p w:rsidR="00144692" w:rsidRPr="0070317F" w:rsidRDefault="00144692" w:rsidP="00144692">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70317F">
              <w:rPr>
                <w:rFonts w:asciiTheme="minorHAnsi" w:hAnsiTheme="minorHAnsi"/>
              </w:rPr>
              <w:t>Hours per Response</w:t>
            </w:r>
          </w:p>
        </w:tc>
        <w:tc>
          <w:tcPr>
            <w:tcW w:w="1350" w:type="dxa"/>
            <w:tcBorders>
              <w:top w:val="single" w:sz="6" w:space="0" w:color="000000"/>
              <w:left w:val="single" w:sz="6" w:space="0" w:color="000000"/>
              <w:bottom w:val="single" w:sz="6" w:space="0" w:color="FFFFFF"/>
              <w:right w:val="single" w:sz="6" w:space="0" w:color="000000"/>
            </w:tcBorders>
            <w:vAlign w:val="center"/>
          </w:tcPr>
          <w:p w:rsidR="00144692" w:rsidRPr="0070317F" w:rsidRDefault="00144692" w:rsidP="00144692">
            <w:pPr>
              <w:spacing w:after="0" w:line="240" w:lineRule="auto"/>
              <w:jc w:val="center"/>
              <w:rPr>
                <w:rFonts w:asciiTheme="minorHAnsi" w:hAnsiTheme="minorHAnsi"/>
              </w:rPr>
            </w:pPr>
            <w:r w:rsidRPr="0070317F">
              <w:rPr>
                <w:rFonts w:asciiTheme="minorHAnsi" w:hAnsiTheme="minorHAnsi"/>
              </w:rPr>
              <w:t>Total Hours</w:t>
            </w:r>
          </w:p>
        </w:tc>
      </w:tr>
      <w:tr w:rsidR="00FA7688" w:rsidRPr="0070317F" w:rsidTr="0010237C">
        <w:trPr>
          <w:trHeight w:val="759"/>
        </w:trPr>
        <w:tc>
          <w:tcPr>
            <w:tcW w:w="2802" w:type="dxa"/>
            <w:tcBorders>
              <w:top w:val="single" w:sz="6" w:space="0" w:color="000000"/>
              <w:left w:val="single" w:sz="6" w:space="0" w:color="000000"/>
              <w:bottom w:val="single" w:sz="6" w:space="0" w:color="000000"/>
              <w:right w:val="single" w:sz="6" w:space="0" w:color="FFFFFF"/>
            </w:tcBorders>
            <w:vAlign w:val="bottom"/>
          </w:tcPr>
          <w:p w:rsidR="00FA7688" w:rsidRPr="0070317F" w:rsidRDefault="00FA7688" w:rsidP="00144692">
            <w:pPr>
              <w:tabs>
                <w:tab w:val="left" w:pos="-1080"/>
                <w:tab w:val="left" w:pos="-720"/>
                <w:tab w:val="left" w:pos="0"/>
                <w:tab w:val="left" w:pos="450"/>
                <w:tab w:val="left" w:pos="720"/>
                <w:tab w:val="left" w:pos="2160"/>
              </w:tabs>
              <w:rPr>
                <w:rFonts w:asciiTheme="minorHAnsi" w:hAnsiTheme="minorHAnsi"/>
              </w:rPr>
            </w:pPr>
            <w:r w:rsidRPr="0070317F">
              <w:rPr>
                <w:rFonts w:asciiTheme="minorHAnsi" w:hAnsiTheme="minorHAnsi"/>
              </w:rPr>
              <w:t>Online surveys</w:t>
            </w:r>
          </w:p>
        </w:tc>
        <w:tc>
          <w:tcPr>
            <w:tcW w:w="1440" w:type="dxa"/>
            <w:tcBorders>
              <w:top w:val="single" w:sz="6" w:space="0" w:color="000000"/>
              <w:left w:val="single" w:sz="6" w:space="0" w:color="000000"/>
              <w:bottom w:val="single" w:sz="6" w:space="0" w:color="000000"/>
              <w:right w:val="single" w:sz="6" w:space="0" w:color="FFFFFF"/>
            </w:tcBorders>
            <w:vAlign w:val="center"/>
          </w:tcPr>
          <w:p w:rsidR="00FA7688" w:rsidRPr="004861E8" w:rsidRDefault="00733ADE" w:rsidP="00733ADE">
            <w:pPr>
              <w:tabs>
                <w:tab w:val="left" w:pos="-1080"/>
                <w:tab w:val="left" w:pos="-720"/>
                <w:tab w:val="left" w:pos="0"/>
                <w:tab w:val="left" w:pos="450"/>
                <w:tab w:val="left" w:pos="720"/>
                <w:tab w:val="left" w:pos="2160"/>
              </w:tabs>
              <w:spacing w:after="0" w:line="240" w:lineRule="auto"/>
              <w:jc w:val="center"/>
              <w:rPr>
                <w:sz w:val="20"/>
              </w:rPr>
            </w:pPr>
            <w:r>
              <w:rPr>
                <w:sz w:val="20"/>
              </w:rPr>
              <w:t>10500</w:t>
            </w:r>
          </w:p>
        </w:tc>
        <w:tc>
          <w:tcPr>
            <w:tcW w:w="1890" w:type="dxa"/>
            <w:tcBorders>
              <w:top w:val="single" w:sz="6" w:space="0" w:color="000000"/>
              <w:left w:val="single" w:sz="6" w:space="0" w:color="000000"/>
              <w:bottom w:val="single" w:sz="6" w:space="0" w:color="000000"/>
              <w:right w:val="single" w:sz="6" w:space="0" w:color="FFFFFF"/>
            </w:tcBorders>
            <w:vAlign w:val="center"/>
          </w:tcPr>
          <w:p w:rsidR="00FA7688" w:rsidRPr="004861E8" w:rsidRDefault="00FA7688" w:rsidP="00FA7688">
            <w:pPr>
              <w:tabs>
                <w:tab w:val="left" w:pos="-1080"/>
                <w:tab w:val="left" w:pos="-720"/>
                <w:tab w:val="left" w:pos="0"/>
                <w:tab w:val="left" w:pos="450"/>
                <w:tab w:val="left" w:pos="720"/>
                <w:tab w:val="left" w:pos="2160"/>
              </w:tabs>
              <w:spacing w:after="0" w:line="240" w:lineRule="auto"/>
              <w:jc w:val="center"/>
              <w:rPr>
                <w:sz w:val="20"/>
              </w:rPr>
            </w:pPr>
            <w:r w:rsidRPr="004861E8">
              <w:rPr>
                <w:sz w:val="20"/>
              </w:rPr>
              <w:t>1</w:t>
            </w:r>
          </w:p>
        </w:tc>
        <w:tc>
          <w:tcPr>
            <w:tcW w:w="1530" w:type="dxa"/>
            <w:tcBorders>
              <w:top w:val="single" w:sz="6" w:space="0" w:color="000000"/>
              <w:left w:val="single" w:sz="6" w:space="0" w:color="000000"/>
              <w:bottom w:val="single" w:sz="6" w:space="0" w:color="000000"/>
              <w:right w:val="single" w:sz="6" w:space="0" w:color="FFFFFF"/>
            </w:tcBorders>
            <w:vAlign w:val="center"/>
          </w:tcPr>
          <w:p w:rsidR="00FA7688" w:rsidRPr="004861E8" w:rsidRDefault="00FA7688" w:rsidP="00FA7688">
            <w:pPr>
              <w:tabs>
                <w:tab w:val="left" w:pos="-1080"/>
                <w:tab w:val="left" w:pos="-720"/>
                <w:tab w:val="left" w:pos="0"/>
                <w:tab w:val="left" w:pos="450"/>
                <w:tab w:val="left" w:pos="720"/>
                <w:tab w:val="left" w:pos="2160"/>
              </w:tabs>
              <w:spacing w:after="0" w:line="240" w:lineRule="auto"/>
              <w:jc w:val="center"/>
              <w:rPr>
                <w:sz w:val="20"/>
              </w:rPr>
            </w:pPr>
            <w:r w:rsidRPr="004861E8">
              <w:rPr>
                <w:sz w:val="20"/>
              </w:rPr>
              <w:t>30/60</w:t>
            </w:r>
          </w:p>
        </w:tc>
        <w:tc>
          <w:tcPr>
            <w:tcW w:w="1350" w:type="dxa"/>
            <w:tcBorders>
              <w:top w:val="single" w:sz="6" w:space="0" w:color="000000"/>
              <w:left w:val="single" w:sz="6" w:space="0" w:color="000000"/>
              <w:bottom w:val="single" w:sz="6" w:space="0" w:color="000000"/>
              <w:right w:val="single" w:sz="6" w:space="0" w:color="000000"/>
            </w:tcBorders>
            <w:vAlign w:val="center"/>
          </w:tcPr>
          <w:p w:rsidR="00FA7688" w:rsidRPr="004861E8" w:rsidRDefault="00733ADE" w:rsidP="00FA7688">
            <w:pPr>
              <w:tabs>
                <w:tab w:val="left" w:pos="-1080"/>
                <w:tab w:val="left" w:pos="-720"/>
                <w:tab w:val="left" w:pos="0"/>
                <w:tab w:val="left" w:pos="450"/>
                <w:tab w:val="left" w:pos="720"/>
                <w:tab w:val="left" w:pos="2160"/>
              </w:tabs>
              <w:spacing w:after="0" w:line="240" w:lineRule="auto"/>
              <w:jc w:val="center"/>
              <w:rPr>
                <w:sz w:val="20"/>
              </w:rPr>
            </w:pPr>
            <w:r>
              <w:rPr>
                <w:sz w:val="20"/>
              </w:rPr>
              <w:t>5250</w:t>
            </w:r>
          </w:p>
        </w:tc>
      </w:tr>
      <w:tr w:rsidR="00144692" w:rsidRPr="0070317F" w:rsidTr="0010237C">
        <w:tc>
          <w:tcPr>
            <w:tcW w:w="2802"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rPr>
                <w:rFonts w:asciiTheme="minorHAnsi" w:hAnsiTheme="minorHAnsi"/>
              </w:rPr>
            </w:pPr>
            <w:r w:rsidRPr="0070317F">
              <w:rPr>
                <w:rFonts w:asciiTheme="minorHAnsi" w:hAnsiTheme="minorHAnsi"/>
              </w:rPr>
              <w:t>Discussion Groups</w:t>
            </w:r>
          </w:p>
        </w:tc>
        <w:tc>
          <w:tcPr>
            <w:tcW w:w="144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3D3890" w:rsidP="00144692">
            <w:pPr>
              <w:tabs>
                <w:tab w:val="left" w:pos="-1080"/>
                <w:tab w:val="left" w:pos="-720"/>
                <w:tab w:val="left" w:pos="0"/>
                <w:tab w:val="left" w:pos="450"/>
                <w:tab w:val="left" w:pos="720"/>
                <w:tab w:val="left" w:pos="2160"/>
              </w:tabs>
              <w:jc w:val="center"/>
              <w:rPr>
                <w:rFonts w:asciiTheme="minorHAnsi" w:hAnsiTheme="minorHAnsi"/>
              </w:rPr>
            </w:pPr>
            <w:r>
              <w:rPr>
                <w:rFonts w:asciiTheme="minorHAnsi" w:hAnsiTheme="minorHAnsi"/>
              </w:rPr>
              <w:t>280</w:t>
            </w:r>
          </w:p>
        </w:tc>
        <w:tc>
          <w:tcPr>
            <w:tcW w:w="189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1</w:t>
            </w:r>
          </w:p>
        </w:tc>
        <w:tc>
          <w:tcPr>
            <w:tcW w:w="153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144692" w:rsidRPr="0070317F" w:rsidRDefault="003D3890" w:rsidP="00144692">
            <w:pPr>
              <w:tabs>
                <w:tab w:val="left" w:pos="-1080"/>
                <w:tab w:val="left" w:pos="-720"/>
                <w:tab w:val="left" w:pos="0"/>
                <w:tab w:val="left" w:pos="450"/>
                <w:tab w:val="left" w:pos="720"/>
                <w:tab w:val="left" w:pos="2160"/>
              </w:tabs>
              <w:jc w:val="center"/>
              <w:rPr>
                <w:rFonts w:asciiTheme="minorHAnsi" w:hAnsiTheme="minorHAnsi"/>
              </w:rPr>
            </w:pPr>
            <w:r>
              <w:rPr>
                <w:rFonts w:asciiTheme="minorHAnsi" w:hAnsiTheme="minorHAnsi"/>
              </w:rPr>
              <w:t>560</w:t>
            </w:r>
          </w:p>
        </w:tc>
      </w:tr>
      <w:tr w:rsidR="00144692" w:rsidRPr="0070317F" w:rsidTr="0010237C">
        <w:tc>
          <w:tcPr>
            <w:tcW w:w="2802"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rPr>
                <w:rFonts w:asciiTheme="minorHAnsi" w:hAnsiTheme="minorHAnsi"/>
              </w:rPr>
            </w:pPr>
            <w:r w:rsidRPr="0070317F">
              <w:rPr>
                <w:rFonts w:asciiTheme="minorHAnsi" w:hAnsiTheme="minorHAnsi"/>
              </w:rPr>
              <w:t>Focus groups</w:t>
            </w:r>
          </w:p>
        </w:tc>
        <w:tc>
          <w:tcPr>
            <w:tcW w:w="144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3D3890" w:rsidP="00144692">
            <w:pPr>
              <w:tabs>
                <w:tab w:val="left" w:pos="-1080"/>
                <w:tab w:val="left" w:pos="-720"/>
                <w:tab w:val="left" w:pos="0"/>
                <w:tab w:val="left" w:pos="450"/>
                <w:tab w:val="left" w:pos="720"/>
                <w:tab w:val="left" w:pos="2160"/>
              </w:tabs>
              <w:jc w:val="center"/>
              <w:rPr>
                <w:rFonts w:asciiTheme="minorHAnsi" w:hAnsiTheme="minorHAnsi"/>
              </w:rPr>
            </w:pPr>
            <w:r>
              <w:rPr>
                <w:rFonts w:asciiTheme="minorHAnsi" w:hAnsiTheme="minorHAnsi"/>
              </w:rPr>
              <w:t>640</w:t>
            </w:r>
          </w:p>
        </w:tc>
        <w:tc>
          <w:tcPr>
            <w:tcW w:w="189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1</w:t>
            </w:r>
          </w:p>
        </w:tc>
        <w:tc>
          <w:tcPr>
            <w:tcW w:w="153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144692" w:rsidRPr="0070317F" w:rsidRDefault="003D3890" w:rsidP="00144692">
            <w:pPr>
              <w:tabs>
                <w:tab w:val="left" w:pos="-1080"/>
                <w:tab w:val="left" w:pos="-720"/>
                <w:tab w:val="left" w:pos="0"/>
                <w:tab w:val="left" w:pos="450"/>
                <w:tab w:val="left" w:pos="720"/>
                <w:tab w:val="left" w:pos="2160"/>
              </w:tabs>
              <w:jc w:val="center"/>
              <w:rPr>
                <w:rFonts w:asciiTheme="minorHAnsi" w:hAnsiTheme="minorHAnsi"/>
              </w:rPr>
            </w:pPr>
            <w:r>
              <w:rPr>
                <w:rFonts w:asciiTheme="minorHAnsi" w:hAnsiTheme="minorHAnsi"/>
              </w:rPr>
              <w:t>1280</w:t>
            </w:r>
          </w:p>
        </w:tc>
      </w:tr>
      <w:tr w:rsidR="00144692" w:rsidRPr="0070317F" w:rsidTr="0010237C">
        <w:tc>
          <w:tcPr>
            <w:tcW w:w="2802"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rPr>
                <w:rFonts w:asciiTheme="minorHAnsi" w:hAnsiTheme="minorHAnsi"/>
              </w:rPr>
            </w:pPr>
            <w:r w:rsidRPr="0070317F">
              <w:rPr>
                <w:rFonts w:asciiTheme="minorHAnsi" w:hAnsiTheme="minorHAnsi"/>
              </w:rPr>
              <w:t>Website/app usability testing</w:t>
            </w:r>
          </w:p>
        </w:tc>
        <w:tc>
          <w:tcPr>
            <w:tcW w:w="144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997A29" w:rsidP="00144692">
            <w:pPr>
              <w:tabs>
                <w:tab w:val="left" w:pos="-1080"/>
                <w:tab w:val="left" w:pos="-720"/>
                <w:tab w:val="left" w:pos="0"/>
                <w:tab w:val="left" w:pos="450"/>
                <w:tab w:val="left" w:pos="720"/>
                <w:tab w:val="left" w:pos="2160"/>
              </w:tabs>
              <w:jc w:val="center"/>
              <w:rPr>
                <w:rFonts w:asciiTheme="minorHAnsi" w:hAnsiTheme="minorHAnsi"/>
              </w:rPr>
            </w:pPr>
            <w:r>
              <w:rPr>
                <w:rFonts w:asciiTheme="minorHAnsi" w:hAnsiTheme="minorHAnsi"/>
              </w:rPr>
              <w:t>2</w:t>
            </w:r>
            <w:r w:rsidR="00144692" w:rsidRPr="0070317F">
              <w:rPr>
                <w:rFonts w:asciiTheme="minorHAnsi" w:hAnsiTheme="minorHAnsi"/>
              </w:rPr>
              <w:t>000</w:t>
            </w:r>
          </w:p>
        </w:tc>
        <w:tc>
          <w:tcPr>
            <w:tcW w:w="189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1</w:t>
            </w:r>
          </w:p>
        </w:tc>
        <w:tc>
          <w:tcPr>
            <w:tcW w:w="153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30/60</w:t>
            </w:r>
          </w:p>
        </w:tc>
        <w:tc>
          <w:tcPr>
            <w:tcW w:w="1350" w:type="dxa"/>
            <w:tcBorders>
              <w:top w:val="single" w:sz="6" w:space="0" w:color="000000"/>
              <w:left w:val="single" w:sz="6" w:space="0" w:color="000000"/>
              <w:bottom w:val="single" w:sz="6" w:space="0" w:color="000000"/>
              <w:right w:val="single" w:sz="6" w:space="0" w:color="000000"/>
            </w:tcBorders>
            <w:vAlign w:val="bottom"/>
          </w:tcPr>
          <w:p w:rsidR="00144692" w:rsidRPr="0070317F" w:rsidRDefault="00997A29" w:rsidP="00144692">
            <w:pPr>
              <w:tabs>
                <w:tab w:val="left" w:pos="-1080"/>
                <w:tab w:val="left" w:pos="-720"/>
                <w:tab w:val="left" w:pos="0"/>
                <w:tab w:val="left" w:pos="450"/>
                <w:tab w:val="left" w:pos="720"/>
                <w:tab w:val="left" w:pos="2160"/>
              </w:tabs>
              <w:jc w:val="center"/>
              <w:rPr>
                <w:rFonts w:asciiTheme="minorHAnsi" w:hAnsiTheme="minorHAnsi"/>
              </w:rPr>
            </w:pPr>
            <w:r>
              <w:rPr>
                <w:rFonts w:asciiTheme="minorHAnsi" w:hAnsiTheme="minorHAnsi"/>
              </w:rPr>
              <w:t>10</w:t>
            </w:r>
            <w:r w:rsidR="00144692" w:rsidRPr="0070317F">
              <w:rPr>
                <w:rFonts w:asciiTheme="minorHAnsi" w:hAnsiTheme="minorHAnsi"/>
              </w:rPr>
              <w:t>00</w:t>
            </w:r>
          </w:p>
        </w:tc>
      </w:tr>
      <w:tr w:rsidR="00144692" w:rsidRPr="0070317F" w:rsidTr="0010237C">
        <w:tc>
          <w:tcPr>
            <w:tcW w:w="2802"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rPr>
                <w:rFonts w:asciiTheme="minorHAnsi" w:hAnsiTheme="minorHAnsi"/>
              </w:rPr>
            </w:pPr>
            <w:r w:rsidRPr="0070317F">
              <w:rPr>
                <w:rFonts w:asciiTheme="minorHAnsi" w:hAnsiTheme="minorHAnsi"/>
              </w:rPr>
              <w:t>Interviews</w:t>
            </w:r>
          </w:p>
        </w:tc>
        <w:tc>
          <w:tcPr>
            <w:tcW w:w="144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800</w:t>
            </w:r>
          </w:p>
        </w:tc>
        <w:tc>
          <w:tcPr>
            <w:tcW w:w="189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1</w:t>
            </w:r>
          </w:p>
        </w:tc>
        <w:tc>
          <w:tcPr>
            <w:tcW w:w="153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1600</w:t>
            </w:r>
          </w:p>
        </w:tc>
      </w:tr>
      <w:tr w:rsidR="00FD7312" w:rsidRPr="0070317F" w:rsidTr="0010237C">
        <w:tc>
          <w:tcPr>
            <w:tcW w:w="2802" w:type="dxa"/>
            <w:tcBorders>
              <w:top w:val="single" w:sz="6" w:space="0" w:color="000000"/>
              <w:left w:val="single" w:sz="6" w:space="0" w:color="000000"/>
              <w:bottom w:val="single" w:sz="6" w:space="0" w:color="000000"/>
              <w:right w:val="single" w:sz="6" w:space="0" w:color="FFFFFF"/>
            </w:tcBorders>
            <w:vAlign w:val="bottom"/>
          </w:tcPr>
          <w:p w:rsidR="00FD7312" w:rsidRPr="0070317F" w:rsidRDefault="00FD7312" w:rsidP="00144692">
            <w:pPr>
              <w:rPr>
                <w:rFonts w:asciiTheme="minorHAnsi" w:hAnsiTheme="minorHAnsi"/>
              </w:rPr>
            </w:pPr>
            <w:r w:rsidRPr="0070317F">
              <w:rPr>
                <w:rFonts w:asciiTheme="minorHAnsi" w:hAnsiTheme="minorHAnsi"/>
              </w:rPr>
              <w:t>Totals</w:t>
            </w:r>
          </w:p>
        </w:tc>
        <w:tc>
          <w:tcPr>
            <w:tcW w:w="1440" w:type="dxa"/>
            <w:tcBorders>
              <w:top w:val="single" w:sz="6" w:space="0" w:color="000000"/>
              <w:left w:val="single" w:sz="6" w:space="0" w:color="000000"/>
              <w:bottom w:val="single" w:sz="6" w:space="0" w:color="000000"/>
              <w:right w:val="single" w:sz="6" w:space="0" w:color="FFFFFF"/>
            </w:tcBorders>
            <w:vAlign w:val="bottom"/>
          </w:tcPr>
          <w:p w:rsidR="00FD7312" w:rsidRPr="0070317F" w:rsidRDefault="003D3890" w:rsidP="00733ADE">
            <w:pPr>
              <w:tabs>
                <w:tab w:val="left" w:pos="-1080"/>
                <w:tab w:val="left" w:pos="-720"/>
                <w:tab w:val="left" w:pos="0"/>
                <w:tab w:val="left" w:pos="450"/>
                <w:tab w:val="left" w:pos="720"/>
                <w:tab w:val="left" w:pos="2160"/>
              </w:tabs>
              <w:jc w:val="center"/>
              <w:rPr>
                <w:rFonts w:asciiTheme="minorHAnsi" w:hAnsiTheme="minorHAnsi"/>
              </w:rPr>
            </w:pPr>
            <w:r>
              <w:rPr>
                <w:rFonts w:asciiTheme="minorHAnsi" w:hAnsiTheme="minorHAnsi"/>
              </w:rPr>
              <w:t>1</w:t>
            </w:r>
            <w:r w:rsidR="00733ADE">
              <w:rPr>
                <w:rFonts w:asciiTheme="minorHAnsi" w:hAnsiTheme="minorHAnsi"/>
              </w:rPr>
              <w:t>422</w:t>
            </w:r>
            <w:r>
              <w:rPr>
                <w:rFonts w:asciiTheme="minorHAnsi" w:hAnsiTheme="minorHAnsi"/>
              </w:rPr>
              <w:t>0</w:t>
            </w:r>
          </w:p>
        </w:tc>
        <w:tc>
          <w:tcPr>
            <w:tcW w:w="1890" w:type="dxa"/>
            <w:tcBorders>
              <w:top w:val="single" w:sz="6" w:space="0" w:color="000000"/>
              <w:left w:val="single" w:sz="6" w:space="0" w:color="000000"/>
              <w:bottom w:val="single" w:sz="6" w:space="0" w:color="000000"/>
              <w:right w:val="single" w:sz="6" w:space="0" w:color="FFFFFF"/>
            </w:tcBorders>
            <w:vAlign w:val="bottom"/>
          </w:tcPr>
          <w:p w:rsidR="00FD7312" w:rsidRPr="0070317F" w:rsidRDefault="00FD7312" w:rsidP="00144692">
            <w:pPr>
              <w:tabs>
                <w:tab w:val="left" w:pos="-1080"/>
                <w:tab w:val="left" w:pos="-720"/>
                <w:tab w:val="left" w:pos="0"/>
                <w:tab w:val="left" w:pos="450"/>
                <w:tab w:val="left" w:pos="720"/>
                <w:tab w:val="left" w:pos="2160"/>
              </w:tabs>
              <w:jc w:val="center"/>
              <w:rPr>
                <w:rFonts w:asciiTheme="minorHAnsi" w:hAnsiTheme="minorHAnsi"/>
              </w:rPr>
            </w:pPr>
          </w:p>
        </w:tc>
        <w:tc>
          <w:tcPr>
            <w:tcW w:w="1530" w:type="dxa"/>
            <w:tcBorders>
              <w:top w:val="single" w:sz="6" w:space="0" w:color="000000"/>
              <w:left w:val="single" w:sz="6" w:space="0" w:color="000000"/>
              <w:bottom w:val="single" w:sz="6" w:space="0" w:color="000000"/>
              <w:right w:val="single" w:sz="6" w:space="0" w:color="FFFFFF"/>
            </w:tcBorders>
            <w:vAlign w:val="bottom"/>
          </w:tcPr>
          <w:p w:rsidR="00FD7312" w:rsidRPr="0070317F" w:rsidRDefault="00FD7312" w:rsidP="00144692">
            <w:pPr>
              <w:tabs>
                <w:tab w:val="left" w:pos="-1080"/>
                <w:tab w:val="left" w:pos="-720"/>
                <w:tab w:val="left" w:pos="0"/>
                <w:tab w:val="left" w:pos="450"/>
                <w:tab w:val="left" w:pos="720"/>
                <w:tab w:val="left" w:pos="2160"/>
              </w:tabs>
              <w:jc w:val="center"/>
              <w:rPr>
                <w:rFonts w:asciiTheme="minorHAnsi" w:hAnsiTheme="minorHAnsi"/>
              </w:rPr>
            </w:pPr>
          </w:p>
        </w:tc>
        <w:tc>
          <w:tcPr>
            <w:tcW w:w="1350" w:type="dxa"/>
            <w:tcBorders>
              <w:top w:val="single" w:sz="6" w:space="0" w:color="000000"/>
              <w:left w:val="single" w:sz="6" w:space="0" w:color="000000"/>
              <w:bottom w:val="single" w:sz="6" w:space="0" w:color="000000"/>
              <w:right w:val="single" w:sz="6" w:space="0" w:color="000000"/>
            </w:tcBorders>
            <w:vAlign w:val="bottom"/>
          </w:tcPr>
          <w:p w:rsidR="00FD7312" w:rsidRPr="0070317F" w:rsidRDefault="00733ADE" w:rsidP="00997A29">
            <w:pPr>
              <w:tabs>
                <w:tab w:val="left" w:pos="-1080"/>
                <w:tab w:val="left" w:pos="-720"/>
                <w:tab w:val="left" w:pos="0"/>
                <w:tab w:val="left" w:pos="450"/>
                <w:tab w:val="left" w:pos="720"/>
                <w:tab w:val="left" w:pos="2160"/>
              </w:tabs>
              <w:jc w:val="center"/>
              <w:rPr>
                <w:rFonts w:asciiTheme="minorHAnsi" w:hAnsiTheme="minorHAnsi"/>
              </w:rPr>
            </w:pPr>
            <w:r>
              <w:rPr>
                <w:rFonts w:asciiTheme="minorHAnsi" w:hAnsiTheme="minorHAnsi"/>
              </w:rPr>
              <w:t>9690</w:t>
            </w:r>
          </w:p>
        </w:tc>
      </w:tr>
    </w:tbl>
    <w:p w:rsidR="00365D82" w:rsidRDefault="00365D82">
      <w:pPr>
        <w:spacing w:after="0" w:line="240" w:lineRule="auto"/>
      </w:pPr>
    </w:p>
    <w:p w:rsidR="00FD7312" w:rsidRDefault="00FD7312">
      <w:pPr>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No costs are anticipated.</w:t>
      </w:r>
    </w:p>
    <w:p w:rsidR="00762D0D" w:rsidRDefault="00762D0D">
      <w:pPr>
        <w:spacing w:after="0" w:line="240" w:lineRule="auto"/>
      </w:pPr>
    </w:p>
    <w:p w:rsidR="00FD7312" w:rsidRDefault="00FD7312">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A67FE9" w:rsidRPr="00A67FE9" w:rsidRDefault="00A67FE9" w:rsidP="00A67FE9">
      <w:pPr>
        <w:spacing w:after="0" w:line="240" w:lineRule="auto"/>
        <w:contextualSpacing/>
      </w:pPr>
      <w:r w:rsidRPr="00A67FE9">
        <w:t>The anticipated cost to the Federal Government is approximately $3</w:t>
      </w:r>
      <w:r w:rsidR="00DB13A1">
        <w:t>70</w:t>
      </w:r>
      <w:r w:rsidRPr="00A67FE9">
        <w:t xml:space="preserve">,500 annually.  These costs are comprised of the participation of at least one CDC project officer (GS-12 or 13 levels) who will be responsible for the project design, providing project oversight, and analysis of the results. Travel may be required to provide technical assistance. In some cases, a CDC administrative staff’s time may also be required. </w:t>
      </w:r>
      <w:r w:rsidR="00D3081D">
        <w:t>Additional</w:t>
      </w:r>
      <w:r w:rsidR="00D3081D" w:rsidRPr="00D3081D">
        <w:t xml:space="preserve"> costs are comprised of an estimate of applicable costs, such as operational </w:t>
      </w:r>
      <w:r w:rsidR="00D3081D" w:rsidRPr="00D3081D">
        <w:lastRenderedPageBreak/>
        <w:t>expenses (e.g., equipment, overhead, printing, and postage and support staff), contractor payments and any other expense that is necessary to collect the information approved under this generic clearance.</w:t>
      </w:r>
      <w:r w:rsidR="00D3081D">
        <w:t xml:space="preserve"> </w:t>
      </w:r>
      <w:r w:rsidRPr="00A67FE9">
        <w:t>An estimated average annual cost, based on four individual projects per year, is listed below.</w:t>
      </w:r>
    </w:p>
    <w:p w:rsidR="00A67FE9" w:rsidRPr="00A67FE9" w:rsidRDefault="00A67FE9" w:rsidP="00A67FE9">
      <w:pPr>
        <w:spacing w:after="0" w:line="240" w:lineRule="auto"/>
        <w:contextualSpacing/>
      </w:pPr>
    </w:p>
    <w:tbl>
      <w:tblPr>
        <w:tblStyle w:val="TableGrid1"/>
        <w:tblW w:w="9018" w:type="dxa"/>
        <w:tblLook w:val="04A0" w:firstRow="1" w:lastRow="0" w:firstColumn="1" w:lastColumn="0" w:noHBand="0" w:noVBand="1"/>
      </w:tblPr>
      <w:tblGrid>
        <w:gridCol w:w="2668"/>
        <w:gridCol w:w="4460"/>
        <w:gridCol w:w="1890"/>
      </w:tblGrid>
      <w:tr w:rsidR="00A67FE9" w:rsidRPr="00A67FE9" w:rsidTr="00E57E58">
        <w:tc>
          <w:tcPr>
            <w:tcW w:w="2668" w:type="dxa"/>
          </w:tcPr>
          <w:p w:rsidR="00A67FE9" w:rsidRPr="00A67FE9" w:rsidRDefault="00A67FE9" w:rsidP="00A67FE9">
            <w:pPr>
              <w:spacing w:after="100" w:afterAutospacing="1" w:line="240" w:lineRule="auto"/>
              <w:rPr>
                <w:rFonts w:asciiTheme="minorHAnsi" w:hAnsiTheme="minorHAnsi"/>
                <w:b/>
                <w:bCs/>
                <w:sz w:val="24"/>
                <w:szCs w:val="24"/>
              </w:rPr>
            </w:pPr>
            <w:r w:rsidRPr="00A67FE9">
              <w:rPr>
                <w:rFonts w:asciiTheme="minorHAnsi" w:hAnsiTheme="minorHAnsi"/>
                <w:b/>
                <w:bCs/>
                <w:sz w:val="24"/>
                <w:szCs w:val="24"/>
              </w:rPr>
              <w:t>Expense Type</w:t>
            </w:r>
          </w:p>
        </w:tc>
        <w:tc>
          <w:tcPr>
            <w:tcW w:w="4460" w:type="dxa"/>
          </w:tcPr>
          <w:p w:rsidR="00A67FE9" w:rsidRPr="00A67FE9" w:rsidRDefault="00A67FE9" w:rsidP="00A67FE9">
            <w:pPr>
              <w:spacing w:after="100" w:afterAutospacing="1" w:line="240" w:lineRule="auto"/>
              <w:rPr>
                <w:rFonts w:asciiTheme="minorHAnsi" w:hAnsiTheme="minorHAnsi"/>
                <w:b/>
                <w:bCs/>
                <w:sz w:val="24"/>
                <w:szCs w:val="24"/>
              </w:rPr>
            </w:pPr>
            <w:r w:rsidRPr="00A67FE9">
              <w:rPr>
                <w:rFonts w:asciiTheme="minorHAnsi" w:hAnsiTheme="minorHAnsi"/>
                <w:b/>
                <w:bCs/>
                <w:sz w:val="24"/>
                <w:szCs w:val="24"/>
              </w:rPr>
              <w:t>Expense Explanation</w:t>
            </w:r>
          </w:p>
        </w:tc>
        <w:tc>
          <w:tcPr>
            <w:tcW w:w="1890" w:type="dxa"/>
          </w:tcPr>
          <w:p w:rsidR="00A67FE9" w:rsidRPr="00A67FE9" w:rsidRDefault="00A67FE9" w:rsidP="00A67FE9">
            <w:pPr>
              <w:spacing w:after="100" w:afterAutospacing="1" w:line="240" w:lineRule="auto"/>
              <w:rPr>
                <w:rFonts w:asciiTheme="minorHAnsi" w:hAnsiTheme="minorHAnsi"/>
                <w:b/>
                <w:bCs/>
                <w:sz w:val="24"/>
                <w:szCs w:val="24"/>
              </w:rPr>
            </w:pPr>
            <w:r w:rsidRPr="00A67FE9">
              <w:rPr>
                <w:rFonts w:asciiTheme="minorHAnsi" w:hAnsiTheme="minorHAnsi"/>
                <w:b/>
                <w:bCs/>
                <w:sz w:val="24"/>
                <w:szCs w:val="24"/>
              </w:rPr>
              <w:t>Annual Costs (dollars)</w:t>
            </w:r>
          </w:p>
        </w:tc>
      </w:tr>
      <w:tr w:rsidR="00A67FE9" w:rsidRPr="00A67FE9" w:rsidTr="00E57E58">
        <w:tc>
          <w:tcPr>
            <w:tcW w:w="2668" w:type="dxa"/>
            <w:vMerge w:val="restart"/>
          </w:tcPr>
          <w:p w:rsidR="00A67FE9" w:rsidRPr="00DB13A1" w:rsidRDefault="00A67FE9" w:rsidP="00A67FE9">
            <w:pPr>
              <w:spacing w:after="100" w:afterAutospacing="1" w:line="240" w:lineRule="auto"/>
              <w:rPr>
                <w:rFonts w:asciiTheme="minorHAnsi" w:hAnsiTheme="minorHAnsi"/>
                <w:bCs/>
                <w:sz w:val="24"/>
                <w:szCs w:val="24"/>
              </w:rPr>
            </w:pPr>
            <w:r w:rsidRPr="00DB13A1">
              <w:rPr>
                <w:rFonts w:asciiTheme="minorHAnsi" w:hAnsiTheme="minorHAnsi"/>
                <w:bCs/>
                <w:sz w:val="24"/>
                <w:szCs w:val="24"/>
              </w:rPr>
              <w:t>Federal Government Personnel Costs</w:t>
            </w:r>
          </w:p>
        </w:tc>
        <w:tc>
          <w:tcPr>
            <w:tcW w:w="4460" w:type="dxa"/>
          </w:tcPr>
          <w:p w:rsidR="00A67FE9" w:rsidRPr="00A67FE9" w:rsidRDefault="00A67FE9" w:rsidP="00A67FE9">
            <w:pPr>
              <w:spacing w:after="100" w:afterAutospacing="1" w:line="240" w:lineRule="auto"/>
              <w:rPr>
                <w:rFonts w:asciiTheme="minorHAnsi" w:hAnsiTheme="minorHAnsi"/>
                <w:bCs/>
                <w:sz w:val="24"/>
                <w:szCs w:val="24"/>
              </w:rPr>
            </w:pPr>
            <w:r w:rsidRPr="00A67FE9">
              <w:rPr>
                <w:rFonts w:asciiTheme="minorHAnsi" w:hAnsiTheme="minorHAnsi"/>
                <w:bCs/>
                <w:sz w:val="24"/>
                <w:szCs w:val="24"/>
              </w:rPr>
              <w:t>CDC Project Officer (GS-12/13, .05 FTE)</w:t>
            </w:r>
          </w:p>
        </w:tc>
        <w:tc>
          <w:tcPr>
            <w:tcW w:w="1890" w:type="dxa"/>
          </w:tcPr>
          <w:p w:rsidR="00A67FE9" w:rsidRPr="00A67FE9" w:rsidRDefault="00A67FE9" w:rsidP="00DB13A1">
            <w:pPr>
              <w:spacing w:after="100" w:afterAutospacing="1" w:line="240" w:lineRule="auto"/>
              <w:jc w:val="right"/>
              <w:rPr>
                <w:rFonts w:asciiTheme="minorHAnsi" w:hAnsiTheme="minorHAnsi"/>
                <w:bCs/>
                <w:sz w:val="24"/>
                <w:szCs w:val="24"/>
              </w:rPr>
            </w:pPr>
            <w:r w:rsidRPr="00A67FE9">
              <w:rPr>
                <w:rFonts w:asciiTheme="minorHAnsi" w:hAnsiTheme="minorHAnsi"/>
                <w:bCs/>
                <w:sz w:val="24"/>
                <w:szCs w:val="24"/>
              </w:rPr>
              <w:t>$2</w:t>
            </w:r>
            <w:r w:rsidR="00DB13A1">
              <w:rPr>
                <w:rFonts w:asciiTheme="minorHAnsi" w:hAnsiTheme="minorHAnsi"/>
                <w:bCs/>
                <w:sz w:val="24"/>
                <w:szCs w:val="24"/>
              </w:rPr>
              <w:t>5</w:t>
            </w:r>
            <w:r w:rsidRPr="00A67FE9">
              <w:rPr>
                <w:rFonts w:asciiTheme="minorHAnsi" w:hAnsiTheme="minorHAnsi"/>
                <w:bCs/>
                <w:sz w:val="24"/>
                <w:szCs w:val="24"/>
              </w:rPr>
              <w:t>,000</w:t>
            </w:r>
          </w:p>
        </w:tc>
      </w:tr>
      <w:tr w:rsidR="00A67FE9" w:rsidRPr="00A67FE9" w:rsidTr="00E57E58">
        <w:tc>
          <w:tcPr>
            <w:tcW w:w="2668" w:type="dxa"/>
            <w:vMerge/>
          </w:tcPr>
          <w:p w:rsidR="00A67FE9" w:rsidRPr="00DB13A1" w:rsidRDefault="00A67FE9" w:rsidP="00A67FE9">
            <w:pPr>
              <w:spacing w:after="100" w:afterAutospacing="1" w:line="240" w:lineRule="auto"/>
              <w:rPr>
                <w:rFonts w:asciiTheme="minorHAnsi" w:hAnsiTheme="minorHAnsi"/>
                <w:bCs/>
                <w:sz w:val="24"/>
                <w:szCs w:val="24"/>
              </w:rPr>
            </w:pPr>
          </w:p>
        </w:tc>
        <w:tc>
          <w:tcPr>
            <w:tcW w:w="4460" w:type="dxa"/>
          </w:tcPr>
          <w:p w:rsidR="00A67FE9" w:rsidRPr="00A67FE9" w:rsidRDefault="00A67FE9" w:rsidP="00A67FE9">
            <w:pPr>
              <w:spacing w:after="100" w:afterAutospacing="1" w:line="240" w:lineRule="auto"/>
              <w:rPr>
                <w:rFonts w:asciiTheme="minorHAnsi" w:hAnsiTheme="minorHAnsi"/>
                <w:bCs/>
                <w:sz w:val="24"/>
                <w:szCs w:val="24"/>
              </w:rPr>
            </w:pPr>
            <w:r w:rsidRPr="00A67FE9">
              <w:rPr>
                <w:rFonts w:asciiTheme="minorHAnsi" w:hAnsiTheme="minorHAnsi"/>
                <w:bCs/>
                <w:sz w:val="24"/>
                <w:szCs w:val="24"/>
              </w:rPr>
              <w:t>CDC Administrative Staff (GS-7/9, .025 FTE)</w:t>
            </w:r>
          </w:p>
        </w:tc>
        <w:tc>
          <w:tcPr>
            <w:tcW w:w="1890" w:type="dxa"/>
          </w:tcPr>
          <w:p w:rsidR="00A67FE9" w:rsidRPr="00A67FE9" w:rsidRDefault="00A67FE9" w:rsidP="00DB13A1">
            <w:pPr>
              <w:spacing w:after="100" w:afterAutospacing="1" w:line="240" w:lineRule="auto"/>
              <w:jc w:val="right"/>
              <w:rPr>
                <w:rFonts w:asciiTheme="minorHAnsi" w:hAnsiTheme="minorHAnsi"/>
                <w:bCs/>
                <w:sz w:val="24"/>
                <w:szCs w:val="24"/>
              </w:rPr>
            </w:pPr>
            <w:r w:rsidRPr="00A67FE9">
              <w:rPr>
                <w:rFonts w:asciiTheme="minorHAnsi" w:hAnsiTheme="minorHAnsi"/>
                <w:bCs/>
                <w:sz w:val="24"/>
                <w:szCs w:val="24"/>
              </w:rPr>
              <w:t>$8,000</w:t>
            </w:r>
          </w:p>
        </w:tc>
      </w:tr>
      <w:tr w:rsidR="00A67FE9" w:rsidRPr="00A67FE9" w:rsidTr="00E57E58">
        <w:tc>
          <w:tcPr>
            <w:tcW w:w="2668" w:type="dxa"/>
          </w:tcPr>
          <w:p w:rsidR="00A67FE9" w:rsidRPr="00DB13A1" w:rsidRDefault="00A67FE9" w:rsidP="00A67FE9">
            <w:pPr>
              <w:spacing w:after="100" w:afterAutospacing="1" w:line="240" w:lineRule="auto"/>
              <w:rPr>
                <w:rFonts w:asciiTheme="minorHAnsi" w:hAnsiTheme="minorHAnsi"/>
                <w:bCs/>
                <w:sz w:val="24"/>
                <w:szCs w:val="24"/>
              </w:rPr>
            </w:pPr>
            <w:r w:rsidRPr="00DB13A1">
              <w:rPr>
                <w:rFonts w:asciiTheme="minorHAnsi" w:hAnsiTheme="minorHAnsi"/>
                <w:bCs/>
                <w:sz w:val="24"/>
                <w:szCs w:val="24"/>
              </w:rPr>
              <w:t>Cooperative Agreement or Contract</w:t>
            </w:r>
          </w:p>
        </w:tc>
        <w:tc>
          <w:tcPr>
            <w:tcW w:w="4460" w:type="dxa"/>
          </w:tcPr>
          <w:p w:rsidR="00A67FE9" w:rsidRPr="00A67FE9" w:rsidRDefault="00A67FE9" w:rsidP="00A67FE9">
            <w:pPr>
              <w:spacing w:after="100" w:afterAutospacing="1" w:line="240" w:lineRule="auto"/>
              <w:rPr>
                <w:rFonts w:asciiTheme="minorHAnsi" w:hAnsiTheme="minorHAnsi"/>
                <w:bCs/>
                <w:sz w:val="24"/>
                <w:szCs w:val="24"/>
              </w:rPr>
            </w:pPr>
            <w:r w:rsidRPr="00A67FE9">
              <w:rPr>
                <w:rFonts w:asciiTheme="minorHAnsi" w:hAnsiTheme="minorHAnsi"/>
                <w:bCs/>
                <w:sz w:val="24"/>
                <w:szCs w:val="24"/>
              </w:rPr>
              <w:t xml:space="preserve">Cooperative </w:t>
            </w:r>
            <w:r w:rsidRPr="00734E14">
              <w:rPr>
                <w:rFonts w:asciiTheme="minorHAnsi" w:hAnsiTheme="minorHAnsi"/>
                <w:bCs/>
                <w:sz w:val="24"/>
                <w:szCs w:val="24"/>
              </w:rPr>
              <w:t>Agreements</w:t>
            </w:r>
            <w:r w:rsidRPr="00A67FE9">
              <w:rPr>
                <w:rFonts w:asciiTheme="minorHAnsi" w:hAnsiTheme="minorHAnsi"/>
                <w:bCs/>
                <w:sz w:val="24"/>
                <w:szCs w:val="24"/>
              </w:rPr>
              <w:t>, Task Orders, or Contracts for implementation</w:t>
            </w:r>
          </w:p>
        </w:tc>
        <w:tc>
          <w:tcPr>
            <w:tcW w:w="1890" w:type="dxa"/>
            <w:vAlign w:val="bottom"/>
          </w:tcPr>
          <w:p w:rsidR="00A67FE9" w:rsidRPr="00A67FE9" w:rsidRDefault="00A67FE9" w:rsidP="00DB13A1">
            <w:pPr>
              <w:spacing w:after="100" w:afterAutospacing="1" w:line="240" w:lineRule="auto"/>
              <w:jc w:val="right"/>
              <w:rPr>
                <w:rFonts w:asciiTheme="minorHAnsi" w:hAnsiTheme="minorHAnsi"/>
                <w:bCs/>
                <w:sz w:val="24"/>
                <w:szCs w:val="24"/>
              </w:rPr>
            </w:pPr>
            <w:r w:rsidRPr="00A67FE9">
              <w:rPr>
                <w:rFonts w:asciiTheme="minorHAnsi" w:hAnsiTheme="minorHAnsi"/>
                <w:bCs/>
                <w:sz w:val="24"/>
                <w:szCs w:val="24"/>
              </w:rPr>
              <w:t>$325,000</w:t>
            </w:r>
          </w:p>
        </w:tc>
      </w:tr>
      <w:tr w:rsidR="00A67FE9" w:rsidRPr="00A67FE9" w:rsidTr="00E57E58">
        <w:trPr>
          <w:trHeight w:val="332"/>
        </w:trPr>
        <w:tc>
          <w:tcPr>
            <w:tcW w:w="2668" w:type="dxa"/>
          </w:tcPr>
          <w:p w:rsidR="00A67FE9" w:rsidRPr="00DB13A1" w:rsidRDefault="00A67FE9" w:rsidP="00A67FE9">
            <w:pPr>
              <w:spacing w:after="100" w:afterAutospacing="1" w:line="240" w:lineRule="auto"/>
              <w:rPr>
                <w:rFonts w:asciiTheme="minorHAnsi" w:hAnsiTheme="minorHAnsi"/>
                <w:bCs/>
                <w:sz w:val="24"/>
                <w:szCs w:val="24"/>
              </w:rPr>
            </w:pPr>
            <w:r w:rsidRPr="00DB13A1">
              <w:rPr>
                <w:rFonts w:asciiTheme="minorHAnsi" w:hAnsiTheme="minorHAnsi"/>
                <w:bCs/>
                <w:sz w:val="24"/>
                <w:szCs w:val="24"/>
              </w:rPr>
              <w:t>CDC Travel</w:t>
            </w:r>
          </w:p>
        </w:tc>
        <w:tc>
          <w:tcPr>
            <w:tcW w:w="4460" w:type="dxa"/>
          </w:tcPr>
          <w:p w:rsidR="00A67FE9" w:rsidRPr="00A67FE9" w:rsidRDefault="00A67FE9" w:rsidP="00A67FE9">
            <w:pPr>
              <w:spacing w:after="100" w:afterAutospacing="1" w:line="240" w:lineRule="auto"/>
              <w:rPr>
                <w:rFonts w:asciiTheme="minorHAnsi" w:hAnsiTheme="minorHAnsi"/>
                <w:bCs/>
                <w:sz w:val="24"/>
                <w:szCs w:val="24"/>
              </w:rPr>
            </w:pPr>
            <w:r w:rsidRPr="00A67FE9">
              <w:rPr>
                <w:rFonts w:asciiTheme="minorHAnsi" w:hAnsiTheme="minorHAnsi"/>
                <w:bCs/>
                <w:sz w:val="24"/>
                <w:szCs w:val="24"/>
              </w:rPr>
              <w:t>(4 trips)</w:t>
            </w:r>
          </w:p>
        </w:tc>
        <w:tc>
          <w:tcPr>
            <w:tcW w:w="1890" w:type="dxa"/>
            <w:vAlign w:val="bottom"/>
          </w:tcPr>
          <w:p w:rsidR="00A67FE9" w:rsidRPr="00A67FE9" w:rsidRDefault="00A67FE9" w:rsidP="00DB13A1">
            <w:pPr>
              <w:spacing w:after="0" w:line="240" w:lineRule="auto"/>
              <w:jc w:val="right"/>
              <w:rPr>
                <w:rFonts w:asciiTheme="minorHAnsi" w:hAnsiTheme="minorHAnsi"/>
                <w:bCs/>
                <w:sz w:val="24"/>
                <w:szCs w:val="24"/>
              </w:rPr>
            </w:pPr>
            <w:r w:rsidRPr="00A67FE9">
              <w:rPr>
                <w:rFonts w:asciiTheme="minorHAnsi" w:hAnsiTheme="minorHAnsi"/>
                <w:bCs/>
                <w:sz w:val="24"/>
                <w:szCs w:val="24"/>
              </w:rPr>
              <w:t>$12,500</w:t>
            </w:r>
          </w:p>
        </w:tc>
      </w:tr>
      <w:tr w:rsidR="00A67FE9" w:rsidRPr="00A67FE9" w:rsidTr="00E57E58">
        <w:tc>
          <w:tcPr>
            <w:tcW w:w="2668" w:type="dxa"/>
          </w:tcPr>
          <w:p w:rsidR="00A67FE9" w:rsidRPr="00DB13A1" w:rsidRDefault="00A67FE9" w:rsidP="00A67FE9">
            <w:pPr>
              <w:spacing w:after="100" w:afterAutospacing="1" w:line="240" w:lineRule="auto"/>
              <w:rPr>
                <w:rFonts w:asciiTheme="minorHAnsi" w:hAnsiTheme="minorHAnsi"/>
                <w:bCs/>
                <w:sz w:val="24"/>
                <w:szCs w:val="24"/>
              </w:rPr>
            </w:pPr>
            <w:r w:rsidRPr="00DB13A1">
              <w:rPr>
                <w:rFonts w:asciiTheme="minorHAnsi" w:hAnsiTheme="minorHAnsi"/>
                <w:bCs/>
                <w:sz w:val="24"/>
                <w:szCs w:val="24"/>
              </w:rPr>
              <w:t>Total Cost</w:t>
            </w:r>
          </w:p>
        </w:tc>
        <w:tc>
          <w:tcPr>
            <w:tcW w:w="4460" w:type="dxa"/>
          </w:tcPr>
          <w:p w:rsidR="00A67FE9" w:rsidRPr="00A67FE9" w:rsidRDefault="00A67FE9" w:rsidP="00A67FE9">
            <w:pPr>
              <w:spacing w:after="100" w:afterAutospacing="1" w:line="240" w:lineRule="auto"/>
              <w:rPr>
                <w:rFonts w:asciiTheme="minorHAnsi" w:hAnsiTheme="minorHAnsi"/>
                <w:bCs/>
                <w:sz w:val="24"/>
                <w:szCs w:val="24"/>
              </w:rPr>
            </w:pPr>
          </w:p>
        </w:tc>
        <w:tc>
          <w:tcPr>
            <w:tcW w:w="1890" w:type="dxa"/>
          </w:tcPr>
          <w:p w:rsidR="00A67FE9" w:rsidRPr="00A67FE9" w:rsidRDefault="00A67FE9" w:rsidP="00DB13A1">
            <w:pPr>
              <w:spacing w:after="0" w:line="240" w:lineRule="auto"/>
              <w:jc w:val="right"/>
              <w:rPr>
                <w:rFonts w:asciiTheme="minorHAnsi" w:hAnsiTheme="minorHAnsi"/>
                <w:bCs/>
                <w:sz w:val="24"/>
                <w:szCs w:val="24"/>
              </w:rPr>
            </w:pPr>
            <w:r w:rsidRPr="00A67FE9">
              <w:rPr>
                <w:rFonts w:asciiTheme="minorHAnsi" w:hAnsiTheme="minorHAnsi"/>
                <w:bCs/>
                <w:sz w:val="24"/>
                <w:szCs w:val="24"/>
              </w:rPr>
              <w:t>$3</w:t>
            </w:r>
            <w:r w:rsidR="00DB13A1">
              <w:rPr>
                <w:rFonts w:asciiTheme="minorHAnsi" w:hAnsiTheme="minorHAnsi"/>
                <w:bCs/>
                <w:sz w:val="24"/>
                <w:szCs w:val="24"/>
              </w:rPr>
              <w:t>70</w:t>
            </w:r>
            <w:r w:rsidRPr="00A67FE9">
              <w:rPr>
                <w:rFonts w:asciiTheme="minorHAnsi" w:hAnsiTheme="minorHAnsi"/>
                <w:bCs/>
                <w:sz w:val="24"/>
                <w:szCs w:val="24"/>
              </w:rPr>
              <w:t>,500</w:t>
            </w:r>
          </w:p>
        </w:tc>
      </w:tr>
    </w:tbl>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10237C" w:rsidRDefault="0010237C" w:rsidP="0010237C">
      <w:pPr>
        <w:spacing w:after="0" w:line="240" w:lineRule="auto"/>
      </w:pPr>
      <w:r>
        <w:t xml:space="preserve">This is a revision to our currently approved data collection, “Generic Clearance for the Collection of Qualitative Feedback on Agency Service Delivery” (OMB # 0920-1027, expiration 8/31/2017). Based on the number of burden hours actually used during the initial approval period and the number of respondents, we are requesting a decrease in the number of respondents (from 18,950 to 10,000) and burden hours (from </w:t>
      </w:r>
      <w:r>
        <w:rPr>
          <w:rFonts w:asciiTheme="minorHAnsi" w:hAnsiTheme="minorHAnsi"/>
        </w:rPr>
        <w:t xml:space="preserve">12,400 to </w:t>
      </w:r>
      <w:r w:rsidR="00C94458">
        <w:rPr>
          <w:rFonts w:asciiTheme="minorHAnsi" w:hAnsiTheme="minorHAnsi"/>
        </w:rPr>
        <w:t>9,690)</w:t>
      </w:r>
      <w:r>
        <w:t xml:space="preserve">. </w:t>
      </w: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rsidP="00E009FE">
      <w:pPr>
        <w:spacing w:after="0" w:line="240" w:lineRule="auto"/>
        <w:ind w:left="360"/>
      </w:pPr>
    </w:p>
    <w:sectPr w:rsidR="00762D0D" w:rsidSect="009820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A29" w:rsidRDefault="00997A29">
      <w:pPr>
        <w:spacing w:after="0" w:line="240" w:lineRule="auto"/>
      </w:pPr>
      <w:r>
        <w:separator/>
      </w:r>
    </w:p>
  </w:endnote>
  <w:endnote w:type="continuationSeparator" w:id="0">
    <w:p w:rsidR="00997A29" w:rsidRDefault="0099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58517"/>
      <w:docPartObj>
        <w:docPartGallery w:val="Page Numbers (Bottom of Page)"/>
        <w:docPartUnique/>
      </w:docPartObj>
    </w:sdtPr>
    <w:sdtEndPr>
      <w:rPr>
        <w:noProof/>
      </w:rPr>
    </w:sdtEndPr>
    <w:sdtContent>
      <w:p w:rsidR="00997A29" w:rsidRDefault="00997A29">
        <w:pPr>
          <w:pStyle w:val="Footer"/>
          <w:jc w:val="center"/>
        </w:pPr>
        <w:r>
          <w:fldChar w:fldCharType="begin"/>
        </w:r>
        <w:r>
          <w:instrText xml:space="preserve"> PAGE   \* MERGEFORMAT </w:instrText>
        </w:r>
        <w:r>
          <w:fldChar w:fldCharType="separate"/>
        </w:r>
        <w:r w:rsidR="00EF670E">
          <w:rPr>
            <w:noProof/>
          </w:rPr>
          <w:t>4</w:t>
        </w:r>
        <w:r>
          <w:rPr>
            <w:noProof/>
          </w:rPr>
          <w:fldChar w:fldCharType="end"/>
        </w:r>
      </w:p>
    </w:sdtContent>
  </w:sdt>
  <w:p w:rsidR="00997A29" w:rsidRDefault="00997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A29" w:rsidRDefault="00997A29">
      <w:pPr>
        <w:spacing w:after="0" w:line="240" w:lineRule="auto"/>
      </w:pPr>
      <w:r>
        <w:separator/>
      </w:r>
    </w:p>
  </w:footnote>
  <w:footnote w:type="continuationSeparator" w:id="0">
    <w:p w:rsidR="00997A29" w:rsidRDefault="00997A29">
      <w:pPr>
        <w:spacing w:after="0" w:line="240" w:lineRule="auto"/>
      </w:pPr>
      <w:r>
        <w:continuationSeparator/>
      </w:r>
    </w:p>
  </w:footnote>
  <w:footnote w:id="1">
    <w:p w:rsidR="00997A29" w:rsidRDefault="00997A2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D8C1AE9"/>
    <w:multiLevelType w:val="hybridMultilevel"/>
    <w:tmpl w:val="D014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13723"/>
    <w:rsid w:val="00043B2E"/>
    <w:rsid w:val="0006059B"/>
    <w:rsid w:val="00066515"/>
    <w:rsid w:val="000A410F"/>
    <w:rsid w:val="000B4026"/>
    <w:rsid w:val="000C0A7E"/>
    <w:rsid w:val="000F4184"/>
    <w:rsid w:val="0010237C"/>
    <w:rsid w:val="0010626E"/>
    <w:rsid w:val="00120A60"/>
    <w:rsid w:val="0013425B"/>
    <w:rsid w:val="00144692"/>
    <w:rsid w:val="00153E20"/>
    <w:rsid w:val="001628A1"/>
    <w:rsid w:val="00172EEC"/>
    <w:rsid w:val="001A1E1C"/>
    <w:rsid w:val="001B43EE"/>
    <w:rsid w:val="001B5644"/>
    <w:rsid w:val="001E44AB"/>
    <w:rsid w:val="001E7A97"/>
    <w:rsid w:val="001F7BC9"/>
    <w:rsid w:val="00256D0E"/>
    <w:rsid w:val="0029408A"/>
    <w:rsid w:val="002A35E6"/>
    <w:rsid w:val="002B0B32"/>
    <w:rsid w:val="002E1A9E"/>
    <w:rsid w:val="00310EF6"/>
    <w:rsid w:val="00324AF8"/>
    <w:rsid w:val="00336169"/>
    <w:rsid w:val="00365D82"/>
    <w:rsid w:val="003726B8"/>
    <w:rsid w:val="00377B51"/>
    <w:rsid w:val="003A2F20"/>
    <w:rsid w:val="003A7A16"/>
    <w:rsid w:val="003C4F5B"/>
    <w:rsid w:val="003C71C7"/>
    <w:rsid w:val="003D3890"/>
    <w:rsid w:val="003D60DD"/>
    <w:rsid w:val="003E339C"/>
    <w:rsid w:val="003F5F2D"/>
    <w:rsid w:val="00404071"/>
    <w:rsid w:val="0041084D"/>
    <w:rsid w:val="00410886"/>
    <w:rsid w:val="0044553C"/>
    <w:rsid w:val="00460EB1"/>
    <w:rsid w:val="00474C83"/>
    <w:rsid w:val="004970C8"/>
    <w:rsid w:val="004A1CF9"/>
    <w:rsid w:val="004C392D"/>
    <w:rsid w:val="00513A34"/>
    <w:rsid w:val="005362FC"/>
    <w:rsid w:val="005479AE"/>
    <w:rsid w:val="00562355"/>
    <w:rsid w:val="00562B18"/>
    <w:rsid w:val="00571BDB"/>
    <w:rsid w:val="00572831"/>
    <w:rsid w:val="005A10E3"/>
    <w:rsid w:val="005E5A3B"/>
    <w:rsid w:val="00607287"/>
    <w:rsid w:val="006656C5"/>
    <w:rsid w:val="0067270D"/>
    <w:rsid w:val="006B2FF7"/>
    <w:rsid w:val="006C068A"/>
    <w:rsid w:val="006C1832"/>
    <w:rsid w:val="00701CF7"/>
    <w:rsid w:val="0070317F"/>
    <w:rsid w:val="0071748D"/>
    <w:rsid w:val="00731D48"/>
    <w:rsid w:val="00733ADE"/>
    <w:rsid w:val="00734E14"/>
    <w:rsid w:val="0074733F"/>
    <w:rsid w:val="00762D0D"/>
    <w:rsid w:val="00783842"/>
    <w:rsid w:val="00784435"/>
    <w:rsid w:val="007903D0"/>
    <w:rsid w:val="007A268D"/>
    <w:rsid w:val="007B75EE"/>
    <w:rsid w:val="007C5774"/>
    <w:rsid w:val="007E102D"/>
    <w:rsid w:val="00833C88"/>
    <w:rsid w:val="00894356"/>
    <w:rsid w:val="008A6FC5"/>
    <w:rsid w:val="008D173C"/>
    <w:rsid w:val="008E42F3"/>
    <w:rsid w:val="008F21DF"/>
    <w:rsid w:val="00914716"/>
    <w:rsid w:val="00915BDA"/>
    <w:rsid w:val="00982095"/>
    <w:rsid w:val="00997A29"/>
    <w:rsid w:val="009E720B"/>
    <w:rsid w:val="009E75C8"/>
    <w:rsid w:val="00A12AC9"/>
    <w:rsid w:val="00A5082E"/>
    <w:rsid w:val="00A52F7E"/>
    <w:rsid w:val="00A666FD"/>
    <w:rsid w:val="00A67FE9"/>
    <w:rsid w:val="00A816AB"/>
    <w:rsid w:val="00A96367"/>
    <w:rsid w:val="00AA3F96"/>
    <w:rsid w:val="00AB61BB"/>
    <w:rsid w:val="00AC207F"/>
    <w:rsid w:val="00AC2497"/>
    <w:rsid w:val="00AF55E9"/>
    <w:rsid w:val="00AF7B25"/>
    <w:rsid w:val="00B07E4E"/>
    <w:rsid w:val="00B62D4D"/>
    <w:rsid w:val="00BA1806"/>
    <w:rsid w:val="00BC63CD"/>
    <w:rsid w:val="00BD13BB"/>
    <w:rsid w:val="00BD5913"/>
    <w:rsid w:val="00BE0599"/>
    <w:rsid w:val="00BF2E89"/>
    <w:rsid w:val="00BF7558"/>
    <w:rsid w:val="00C200D1"/>
    <w:rsid w:val="00C61970"/>
    <w:rsid w:val="00C62FA2"/>
    <w:rsid w:val="00C94458"/>
    <w:rsid w:val="00CC2FDD"/>
    <w:rsid w:val="00D3081D"/>
    <w:rsid w:val="00D30F06"/>
    <w:rsid w:val="00D53051"/>
    <w:rsid w:val="00D64405"/>
    <w:rsid w:val="00D64AAF"/>
    <w:rsid w:val="00D93FE0"/>
    <w:rsid w:val="00DA3AFF"/>
    <w:rsid w:val="00DB13A1"/>
    <w:rsid w:val="00DB5174"/>
    <w:rsid w:val="00DE07E7"/>
    <w:rsid w:val="00E009FE"/>
    <w:rsid w:val="00E57E58"/>
    <w:rsid w:val="00EB2D61"/>
    <w:rsid w:val="00ED6445"/>
    <w:rsid w:val="00EF670E"/>
    <w:rsid w:val="00F15BAA"/>
    <w:rsid w:val="00F2296B"/>
    <w:rsid w:val="00F242F7"/>
    <w:rsid w:val="00F31E34"/>
    <w:rsid w:val="00FA1D10"/>
    <w:rsid w:val="00FA7688"/>
    <w:rsid w:val="00FB1178"/>
    <w:rsid w:val="00FB2343"/>
    <w:rsid w:val="00FD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7F8F94C9-F010-4B49-8187-A8B02CD7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table" w:customStyle="1" w:styleId="TableGrid1">
    <w:name w:val="Table Grid1"/>
    <w:basedOn w:val="TableNormal"/>
    <w:next w:val="TableGrid"/>
    <w:uiPriority w:val="59"/>
    <w:rsid w:val="00A67FE9"/>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locked/>
    <w:rsid w:val="00A6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1759</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Sims, Thelma (CDC/OD/OADS)</cp:lastModifiedBy>
  <cp:revision>3</cp:revision>
  <cp:lastPrinted>2014-06-25T16:54:00Z</cp:lastPrinted>
  <dcterms:created xsi:type="dcterms:W3CDTF">2017-05-30T19:40:00Z</dcterms:created>
  <dcterms:modified xsi:type="dcterms:W3CDTF">2017-05-30T19:46:00Z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