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1"/>
        <w:tblW w:w="5000" w:type="pct"/>
        <w:tblLook w:val="04A0" w:firstRow="1" w:lastRow="0" w:firstColumn="1" w:lastColumn="0" w:noHBand="0" w:noVBand="1"/>
      </w:tblPr>
      <w:tblGrid>
        <w:gridCol w:w="1884"/>
        <w:gridCol w:w="4951"/>
        <w:gridCol w:w="6835"/>
      </w:tblGrid>
      <w:tr w:rsidR="00D229AC" w:rsidRPr="00D229AC" w14:paraId="47A22A8A" w14:textId="77777777" w:rsidTr="008D2C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A6B7632" w14:textId="32B94903" w:rsidR="00D229AC" w:rsidRPr="00F03D58" w:rsidRDefault="00D229AC" w:rsidP="00497E5E">
            <w:pPr>
              <w:jc w:val="center"/>
              <w:rPr>
                <w:rFonts w:ascii="Arial Narrow" w:hAnsi="Arial Narrow"/>
              </w:rPr>
            </w:pPr>
            <w:r w:rsidRPr="00F03D58">
              <w:rPr>
                <w:rFonts w:ascii="Arial Narrow" w:hAnsi="Arial Narrow"/>
              </w:rPr>
              <w:t>CRCCP Annual Grantee Survey</w:t>
            </w:r>
          </w:p>
        </w:tc>
      </w:tr>
      <w:tr w:rsidR="00A01ECF" w:rsidRPr="004C61BF" w14:paraId="41FC150F"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3346C9D3" w14:textId="77777777" w:rsidR="00A01ECF" w:rsidRPr="004C61BF" w:rsidRDefault="00A01ECF" w:rsidP="00497E5E">
            <w:pPr>
              <w:jc w:val="center"/>
              <w:rPr>
                <w:rFonts w:ascii="Arial Narrow" w:hAnsi="Arial Narrow"/>
                <w:i/>
              </w:rPr>
            </w:pPr>
            <w:r w:rsidRPr="004C61BF">
              <w:rPr>
                <w:rFonts w:ascii="Arial Narrow" w:hAnsi="Arial Narrow"/>
                <w:i/>
              </w:rPr>
              <w:t>Section</w:t>
            </w:r>
          </w:p>
        </w:tc>
        <w:tc>
          <w:tcPr>
            <w:tcW w:w="1811" w:type="pct"/>
          </w:tcPr>
          <w:p w14:paraId="3DB96763" w14:textId="604086D1" w:rsidR="00A01ECF" w:rsidRPr="004C61BF" w:rsidRDefault="00A01ECF" w:rsidP="00497E5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i/>
              </w:rPr>
            </w:pPr>
            <w:r w:rsidRPr="004C61BF">
              <w:rPr>
                <w:rFonts w:ascii="Arial Narrow" w:hAnsi="Arial Narrow"/>
                <w:b/>
                <w:i/>
              </w:rPr>
              <w:t>Revision</w:t>
            </w:r>
          </w:p>
        </w:tc>
        <w:tc>
          <w:tcPr>
            <w:tcW w:w="2500" w:type="pct"/>
          </w:tcPr>
          <w:p w14:paraId="0CC0229A" w14:textId="77777777" w:rsidR="00A01ECF" w:rsidRPr="004C61BF" w:rsidRDefault="00A01ECF" w:rsidP="00497E5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i/>
              </w:rPr>
            </w:pPr>
            <w:r w:rsidRPr="004C61BF">
              <w:rPr>
                <w:rFonts w:ascii="Arial Narrow" w:hAnsi="Arial Narrow"/>
                <w:b/>
                <w:i/>
              </w:rPr>
              <w:t>Rationale</w:t>
            </w:r>
          </w:p>
        </w:tc>
      </w:tr>
      <w:tr w:rsidR="000F2D40" w:rsidRPr="007921E1" w14:paraId="287ACCB5" w14:textId="77777777" w:rsidTr="001219D1">
        <w:tc>
          <w:tcPr>
            <w:cnfStyle w:val="001000000000" w:firstRow="0" w:lastRow="0" w:firstColumn="1" w:lastColumn="0" w:oddVBand="0" w:evenVBand="0" w:oddHBand="0" w:evenHBand="0" w:firstRowFirstColumn="0" w:firstRowLastColumn="0" w:lastRowFirstColumn="0" w:lastRowLastColumn="0"/>
            <w:tcW w:w="689" w:type="pct"/>
          </w:tcPr>
          <w:p w14:paraId="15D1166E" w14:textId="77777777" w:rsidR="000F2D40" w:rsidRDefault="000F2D40">
            <w:pPr>
              <w:rPr>
                <w:rFonts w:ascii="Arial Narrow" w:hAnsi="Arial Narrow"/>
              </w:rPr>
            </w:pPr>
            <w:r>
              <w:rPr>
                <w:rFonts w:ascii="Arial Narrow" w:hAnsi="Arial Narrow"/>
              </w:rPr>
              <w:t>Section 1: Respondent Information</w:t>
            </w:r>
          </w:p>
        </w:tc>
        <w:tc>
          <w:tcPr>
            <w:tcW w:w="1811" w:type="pct"/>
          </w:tcPr>
          <w:p w14:paraId="1156324F" w14:textId="57EA4C8E" w:rsidR="000F2D40" w:rsidRDefault="000F2D40">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No changes</w:t>
            </w:r>
          </w:p>
        </w:tc>
        <w:tc>
          <w:tcPr>
            <w:tcW w:w="2500" w:type="pct"/>
          </w:tcPr>
          <w:p w14:paraId="32D4CAF4" w14:textId="1F06FF29" w:rsidR="000F2D40" w:rsidRDefault="00DB393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C38B1">
              <w:rPr>
                <w:rFonts w:ascii="Arial Narrow" w:hAnsi="Arial Narrow"/>
                <w:noProof/>
              </w:rPr>
              <mc:AlternateContent>
                <mc:Choice Requires="wps">
                  <w:drawing>
                    <wp:anchor distT="45720" distB="45720" distL="114300" distR="114300" simplePos="0" relativeHeight="251673600" behindDoc="0" locked="0" layoutInCell="1" allowOverlap="1" wp14:anchorId="7D2969BA" wp14:editId="54B12528">
                      <wp:simplePos x="0" y="0"/>
                      <wp:positionH relativeFrom="column">
                        <wp:posOffset>-68580</wp:posOffset>
                      </wp:positionH>
                      <wp:positionV relativeFrom="paragraph">
                        <wp:posOffset>-2540</wp:posOffset>
                      </wp:positionV>
                      <wp:extent cx="4318000" cy="4648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464820"/>
                              </a:xfrm>
                              <a:prstGeom prst="rect">
                                <a:avLst/>
                              </a:prstGeom>
                              <a:pattFill prst="pct20">
                                <a:fgClr>
                                  <a:schemeClr val="tx2">
                                    <a:lumMod val="40000"/>
                                    <a:lumOff val="60000"/>
                                  </a:schemeClr>
                                </a:fgClr>
                                <a:bgClr>
                                  <a:schemeClr val="bg1"/>
                                </a:bgClr>
                              </a:pattFill>
                              <a:ln w="9525">
                                <a:solidFill>
                                  <a:schemeClr val="accent1">
                                    <a:lumMod val="20000"/>
                                    <a:lumOff val="80000"/>
                                  </a:schemeClr>
                                </a:solidFill>
                                <a:miter lim="800000"/>
                                <a:headEnd/>
                                <a:tailEnd/>
                              </a:ln>
                            </wps:spPr>
                            <wps:txbx>
                              <w:txbxContent>
                                <w:p w14:paraId="4F261A9D" w14:textId="77777777" w:rsidR="00DB3937" w:rsidRPr="005811CA" w:rsidRDefault="00DB3937" w:rsidP="00DB3937">
                                  <w:pPr>
                                    <w:rPr>
                                      <w:color w:val="548DD4" w:themeColor="text2" w:themeTint="99"/>
                                      <w14:textOutline w14:w="12700" w14:cap="rnd" w14:cmpd="sng" w14:algn="ctr">
                                        <w14:solidFill>
                                          <w14:schemeClr w14:val="tx2"/>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969BA" id="_x0000_t202" coordsize="21600,21600" o:spt="202" path="m,l,21600r21600,l21600,xe">
                      <v:stroke joinstyle="miter"/>
                      <v:path gradientshapeok="t" o:connecttype="rect"/>
                    </v:shapetype>
                    <v:shape id="Text Box 2" o:spid="_x0000_s1026" type="#_x0000_t202" style="position:absolute;margin-left:-5.4pt;margin-top:-.2pt;width:340pt;height:36.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" fillcolor="#8db3e2 [1311]" strokecolor="#dbe5f1 [660]">
                      <v:fill r:id="rId8" o:title="" color2="white [3212]" type="pattern"/>
                      <v:textbox>
                        <w:txbxContent>
                          <w:p w14:paraId="4F261A9D" w14:textId="77777777" w:rsidR="00DB3937" w:rsidRPr="005811CA" w:rsidRDefault="00DB3937" w:rsidP="00DB3937">
                            <w:pPr>
                              <w:rPr>
                                <w:color w:val="548DD4" w:themeColor="text2" w:themeTint="99"/>
                                <w14:textOutline w14:w="12700" w14:cap="rnd" w14:cmpd="sng" w14:algn="ctr">
                                  <w14:solidFill>
                                    <w14:schemeClr w14:val="tx2"/>
                                  </w14:solidFill>
                                  <w14:prstDash w14:val="solid"/>
                                  <w14:bevel/>
                                </w14:textOutline>
                              </w:rPr>
                            </w:pPr>
                          </w:p>
                        </w:txbxContent>
                      </v:textbox>
                    </v:shape>
                  </w:pict>
                </mc:Fallback>
              </mc:AlternateContent>
            </w:r>
          </w:p>
        </w:tc>
      </w:tr>
      <w:tr w:rsidR="00BB7F5B" w:rsidRPr="007921E1" w14:paraId="15025F99"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val="restart"/>
          </w:tcPr>
          <w:p w14:paraId="0A0BFBF9" w14:textId="77777777" w:rsidR="00BB7F5B" w:rsidRPr="007921E1" w:rsidRDefault="00BB7F5B" w:rsidP="00A01ECF">
            <w:pPr>
              <w:rPr>
                <w:rFonts w:ascii="Arial Narrow" w:hAnsi="Arial Narrow"/>
              </w:rPr>
            </w:pPr>
            <w:r w:rsidRPr="007921E1">
              <w:rPr>
                <w:rFonts w:ascii="Arial Narrow" w:hAnsi="Arial Narrow"/>
              </w:rPr>
              <w:t>Section 2: Program Management</w:t>
            </w:r>
          </w:p>
        </w:tc>
        <w:tc>
          <w:tcPr>
            <w:tcW w:w="1811" w:type="pct"/>
          </w:tcPr>
          <w:p w14:paraId="31362DA2" w14:textId="29447CFE" w:rsidR="00DB3937" w:rsidRDefault="00BB7F5B" w:rsidP="00A01ECF">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9067D">
              <w:rPr>
                <w:rFonts w:ascii="Arial Narrow" w:hAnsi="Arial Narrow"/>
                <w:color w:val="C00000"/>
              </w:rPr>
              <w:t xml:space="preserve">Wording changes </w:t>
            </w:r>
            <w:r w:rsidRPr="007921E1">
              <w:rPr>
                <w:rFonts w:ascii="Arial Narrow" w:hAnsi="Arial Narrow"/>
              </w:rPr>
              <w:t xml:space="preserve">throughout </w:t>
            </w:r>
            <w:r w:rsidR="00996097">
              <w:rPr>
                <w:rFonts w:ascii="Arial Narrow" w:hAnsi="Arial Narrow"/>
              </w:rPr>
              <w:t>the section</w:t>
            </w:r>
            <w:r w:rsidR="00DB3937">
              <w:rPr>
                <w:rFonts w:ascii="Arial Narrow" w:hAnsi="Arial Narrow"/>
              </w:rPr>
              <w:t xml:space="preserve"> related to:</w:t>
            </w:r>
          </w:p>
          <w:p w14:paraId="08CE2620" w14:textId="3FBD8EE7" w:rsidR="00BB7F5B" w:rsidRDefault="00DB3937" w:rsidP="00DB393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formal partnerships </w:t>
            </w:r>
            <w:r w:rsidR="00BB7F5B" w:rsidRPr="00DB3937">
              <w:rPr>
                <w:rFonts w:ascii="Arial Narrow" w:hAnsi="Arial Narrow"/>
              </w:rPr>
              <w:t>with health systems, insurance companies, health networks, and other entities that provide direct health care</w:t>
            </w:r>
          </w:p>
          <w:p w14:paraId="661FFF72" w14:textId="77777777" w:rsidR="00DB3937" w:rsidRDefault="00DB3937" w:rsidP="00DB393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ability of grantee to obtain accurate CRC screening rates</w:t>
            </w:r>
          </w:p>
          <w:p w14:paraId="749795D9" w14:textId="77777777" w:rsidR="00DB3937" w:rsidRDefault="00DB3937" w:rsidP="00DB393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access of screening services among priority populations</w:t>
            </w:r>
          </w:p>
          <w:p w14:paraId="588339CF" w14:textId="6742F220" w:rsidR="00DB3937" w:rsidRPr="00DB3937" w:rsidRDefault="00DB3937" w:rsidP="00DB393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efforts to evaluate program activities</w:t>
            </w:r>
          </w:p>
          <w:p w14:paraId="6799429C" w14:textId="77777777" w:rsidR="00AF0754" w:rsidRPr="007921E1" w:rsidRDefault="00AF0754" w:rsidP="00A01ECF">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7D9D4238" w14:textId="488CE3C5" w:rsidR="00BB7F5B" w:rsidRPr="007921E1" w:rsidRDefault="00996097" w:rsidP="008E4D05">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Based on feedback from grantees, CDC incorporated minor wording changes to multiple survey items to increase clarity and understanding. Revised</w:t>
            </w:r>
            <w:r w:rsidR="00EE0EAC">
              <w:rPr>
                <w:rFonts w:ascii="Arial Narrow" w:hAnsi="Arial Narrow"/>
              </w:rPr>
              <w:t xml:space="preserve"> items do not require grantees to compile </w:t>
            </w:r>
            <w:r>
              <w:rPr>
                <w:rFonts w:ascii="Arial Narrow" w:hAnsi="Arial Narrow"/>
              </w:rPr>
              <w:t xml:space="preserve">a higher volume of information; rather, the improved questions are expected to </w:t>
            </w:r>
            <w:r w:rsidR="0061756D">
              <w:rPr>
                <w:rFonts w:ascii="Arial Narrow" w:hAnsi="Arial Narrow"/>
              </w:rPr>
              <w:t>improve data quality</w:t>
            </w:r>
            <w:r w:rsidR="008E4D05">
              <w:rPr>
                <w:rFonts w:ascii="Arial Narrow" w:hAnsi="Arial Narrow"/>
              </w:rPr>
              <w:t>.</w:t>
            </w:r>
          </w:p>
        </w:tc>
      </w:tr>
      <w:tr w:rsidR="00BB7F5B" w:rsidRPr="007921E1" w14:paraId="595CCCAC" w14:textId="77777777" w:rsidTr="001219D1">
        <w:tc>
          <w:tcPr>
            <w:cnfStyle w:val="001000000000" w:firstRow="0" w:lastRow="0" w:firstColumn="1" w:lastColumn="0" w:oddVBand="0" w:evenVBand="0" w:oddHBand="0" w:evenHBand="0" w:firstRowFirstColumn="0" w:firstRowLastColumn="0" w:lastRowFirstColumn="0" w:lastRowLastColumn="0"/>
            <w:tcW w:w="689" w:type="pct"/>
            <w:vMerge/>
          </w:tcPr>
          <w:p w14:paraId="171A30CC" w14:textId="3D4DA86B" w:rsidR="00BB7F5B" w:rsidRPr="007921E1" w:rsidRDefault="00BB7F5B">
            <w:pPr>
              <w:rPr>
                <w:rFonts w:ascii="Arial Narrow" w:hAnsi="Arial Narrow"/>
              </w:rPr>
            </w:pPr>
          </w:p>
        </w:tc>
        <w:tc>
          <w:tcPr>
            <w:tcW w:w="1811" w:type="pct"/>
          </w:tcPr>
          <w:p w14:paraId="040A0571" w14:textId="75AFB34A" w:rsidR="00AF0754" w:rsidRDefault="00DB3937" w:rsidP="00DB393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9067D">
              <w:rPr>
                <w:rFonts w:ascii="Arial Narrow" w:hAnsi="Arial Narrow"/>
                <w:b/>
              </w:rPr>
              <w:t>Added</w:t>
            </w:r>
            <w:r>
              <w:rPr>
                <w:rFonts w:ascii="Arial Narrow" w:hAnsi="Arial Narrow"/>
              </w:rPr>
              <w:t xml:space="preserve"> </w:t>
            </w:r>
            <w:r w:rsidRPr="00EE0EAC">
              <w:rPr>
                <w:rFonts w:ascii="Arial Narrow" w:hAnsi="Arial Narrow"/>
                <w:color w:val="C00000"/>
              </w:rPr>
              <w:t xml:space="preserve">1 </w:t>
            </w:r>
            <w:r w:rsidR="00A368EA">
              <w:rPr>
                <w:rFonts w:ascii="Arial Narrow" w:hAnsi="Arial Narrow"/>
                <w:color w:val="C00000"/>
              </w:rPr>
              <w:t>question</w:t>
            </w:r>
            <w:r w:rsidRPr="00EE0EAC">
              <w:rPr>
                <w:rFonts w:ascii="Arial Narrow" w:hAnsi="Arial Narrow"/>
                <w:color w:val="C00000"/>
              </w:rPr>
              <w:t xml:space="preserve"> </w:t>
            </w:r>
            <w:r>
              <w:rPr>
                <w:rFonts w:ascii="Arial Narrow" w:hAnsi="Arial Narrow"/>
              </w:rPr>
              <w:t xml:space="preserve">to </w:t>
            </w:r>
            <w:r w:rsidR="0009067D">
              <w:rPr>
                <w:rFonts w:ascii="Arial Narrow" w:hAnsi="Arial Narrow"/>
              </w:rPr>
              <w:t xml:space="preserve">measure challenges </w:t>
            </w:r>
            <w:r w:rsidR="00996097">
              <w:rPr>
                <w:rFonts w:ascii="Arial Narrow" w:hAnsi="Arial Narrow"/>
              </w:rPr>
              <w:t>in obtaining accurate screening rate data</w:t>
            </w:r>
          </w:p>
          <w:p w14:paraId="32ED4111" w14:textId="21AC26F3" w:rsidR="00EE0EAC" w:rsidRPr="007921E1" w:rsidRDefault="00EE0EAC" w:rsidP="00DB3937">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59D205FC" w14:textId="527FAE4D" w:rsidR="00BB7F5B" w:rsidRDefault="00996097" w:rsidP="00996097">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In Program Year 1, several grantees expressed concern about obtaining high quality screening rate data. This item is intended to assess the extent to which grantees faced challenges in obtaining high quality screening rate data by improving electronic health record systems.</w:t>
            </w:r>
          </w:p>
          <w:p w14:paraId="52E5EA5D" w14:textId="54263BD4" w:rsidR="00996097" w:rsidRPr="007921E1" w:rsidRDefault="00996097" w:rsidP="00996097">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996097" w:rsidRPr="007921E1" w14:paraId="4FB792E5"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tcPr>
          <w:p w14:paraId="57DC827D" w14:textId="77777777" w:rsidR="00996097" w:rsidRPr="007921E1" w:rsidRDefault="00996097">
            <w:pPr>
              <w:rPr>
                <w:rFonts w:ascii="Arial Narrow" w:hAnsi="Arial Narrow"/>
              </w:rPr>
            </w:pPr>
          </w:p>
        </w:tc>
        <w:tc>
          <w:tcPr>
            <w:tcW w:w="1811" w:type="pct"/>
          </w:tcPr>
          <w:p w14:paraId="4186D851" w14:textId="441D20AE" w:rsidR="00996097" w:rsidRPr="0009067D" w:rsidRDefault="00996097" w:rsidP="00A368EA">
            <w:pPr>
              <w:cnfStyle w:val="000000100000" w:firstRow="0" w:lastRow="0" w:firstColumn="0" w:lastColumn="0" w:oddVBand="0" w:evenVBand="0" w:oddHBand="1" w:evenHBand="0" w:firstRowFirstColumn="0" w:firstRowLastColumn="0" w:lastRowFirstColumn="0" w:lastRowLastColumn="0"/>
              <w:rPr>
                <w:rFonts w:ascii="Arial Narrow" w:hAnsi="Arial Narrow"/>
                <w:b/>
              </w:rPr>
            </w:pPr>
            <w:r>
              <w:rPr>
                <w:rFonts w:ascii="Arial Narrow" w:hAnsi="Arial Narrow"/>
                <w:b/>
              </w:rPr>
              <w:t xml:space="preserve">Added </w:t>
            </w:r>
            <w:r w:rsidR="00A368EA">
              <w:rPr>
                <w:rFonts w:ascii="Arial Narrow" w:hAnsi="Arial Narrow"/>
                <w:color w:val="C00000"/>
              </w:rPr>
              <w:t>2 questions</w:t>
            </w:r>
            <w:r w:rsidR="004230B5">
              <w:rPr>
                <w:rFonts w:ascii="Arial Narrow" w:hAnsi="Arial Narrow"/>
                <w:color w:val="C00000"/>
              </w:rPr>
              <w:t xml:space="preserve"> </w:t>
            </w:r>
            <w:r w:rsidR="004230B5" w:rsidRPr="004230B5">
              <w:rPr>
                <w:rFonts w:ascii="Arial Narrow" w:hAnsi="Arial Narrow"/>
              </w:rPr>
              <w:t>t</w:t>
            </w:r>
            <w:r w:rsidRPr="00996097">
              <w:rPr>
                <w:rFonts w:ascii="Arial Narrow" w:hAnsi="Arial Narrow"/>
              </w:rPr>
              <w:t>o measure access to follow-up colonoscopies</w:t>
            </w:r>
          </w:p>
        </w:tc>
        <w:tc>
          <w:tcPr>
            <w:tcW w:w="2500" w:type="pct"/>
          </w:tcPr>
          <w:p w14:paraId="3FA452CA" w14:textId="600AD91A" w:rsidR="00996097" w:rsidRDefault="0061756D">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During Program Year 1, several grantees made CDC aware of challenges in assuring follow-up colonoscopies for patients with positive CRC screening tests. These items are i</w:t>
            </w:r>
            <w:r w:rsidR="00996097">
              <w:rPr>
                <w:rFonts w:ascii="Arial Narrow" w:hAnsi="Arial Narrow"/>
              </w:rPr>
              <w:t>ntended to measure the extent to which grantees faced challenges in ensuring that priority populations (e.g., un- and underinsured) had access to follow-up colonoscopy ser</w:t>
            </w:r>
            <w:r w:rsidR="00064FDC">
              <w:rPr>
                <w:rFonts w:ascii="Arial Narrow" w:hAnsi="Arial Narrow"/>
              </w:rPr>
              <w:t>vices, and efforts to increase access.</w:t>
            </w:r>
          </w:p>
          <w:p w14:paraId="6D256C45" w14:textId="06D1CD57" w:rsidR="00996097" w:rsidRDefault="00996097">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BB7F5B" w:rsidRPr="007921E1" w14:paraId="3A25A0D2" w14:textId="77777777" w:rsidTr="001219D1">
        <w:tc>
          <w:tcPr>
            <w:cnfStyle w:val="001000000000" w:firstRow="0" w:lastRow="0" w:firstColumn="1" w:lastColumn="0" w:oddVBand="0" w:evenVBand="0" w:oddHBand="0" w:evenHBand="0" w:firstRowFirstColumn="0" w:firstRowLastColumn="0" w:lastRowFirstColumn="0" w:lastRowLastColumn="0"/>
            <w:tcW w:w="689" w:type="pct"/>
            <w:vMerge/>
          </w:tcPr>
          <w:p w14:paraId="5824C8FC" w14:textId="1E08E46E" w:rsidR="00BB7F5B" w:rsidRPr="007921E1" w:rsidRDefault="00BB7F5B">
            <w:pPr>
              <w:rPr>
                <w:rFonts w:ascii="Arial Narrow" w:hAnsi="Arial Narrow"/>
              </w:rPr>
            </w:pPr>
          </w:p>
        </w:tc>
        <w:tc>
          <w:tcPr>
            <w:tcW w:w="1811" w:type="pct"/>
          </w:tcPr>
          <w:p w14:paraId="0F7F82E4" w14:textId="1DCFB345" w:rsidR="00AF0754" w:rsidRDefault="00DB393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9067D">
              <w:rPr>
                <w:rFonts w:ascii="Arial Narrow" w:hAnsi="Arial Narrow"/>
                <w:b/>
              </w:rPr>
              <w:t>Added</w:t>
            </w:r>
            <w:r>
              <w:rPr>
                <w:rFonts w:ascii="Arial Narrow" w:hAnsi="Arial Narrow"/>
              </w:rPr>
              <w:t xml:space="preserve"> </w:t>
            </w:r>
            <w:r w:rsidR="00A368EA" w:rsidRPr="00A368EA">
              <w:rPr>
                <w:rFonts w:ascii="Arial Narrow" w:hAnsi="Arial Narrow"/>
                <w:color w:val="C00000"/>
              </w:rPr>
              <w:t>3</w:t>
            </w:r>
            <w:r w:rsidRPr="00A368EA">
              <w:rPr>
                <w:rFonts w:ascii="Arial Narrow" w:hAnsi="Arial Narrow"/>
                <w:color w:val="C00000"/>
              </w:rPr>
              <w:t xml:space="preserve"> </w:t>
            </w:r>
            <w:r w:rsidR="00A368EA">
              <w:rPr>
                <w:rFonts w:ascii="Arial Narrow" w:hAnsi="Arial Narrow"/>
                <w:color w:val="C00000"/>
              </w:rPr>
              <w:t>questions</w:t>
            </w:r>
            <w:r w:rsidRPr="00EE0EAC">
              <w:rPr>
                <w:rFonts w:ascii="Arial Narrow" w:hAnsi="Arial Narrow"/>
                <w:color w:val="C00000"/>
              </w:rPr>
              <w:t xml:space="preserve"> </w:t>
            </w:r>
            <w:r>
              <w:rPr>
                <w:rFonts w:ascii="Arial Narrow" w:hAnsi="Arial Narrow"/>
              </w:rPr>
              <w:t>to</w:t>
            </w:r>
            <w:r w:rsidR="0009067D">
              <w:rPr>
                <w:rFonts w:ascii="Arial Narrow" w:hAnsi="Arial Narrow"/>
              </w:rPr>
              <w:t xml:space="preserve"> assess</w:t>
            </w:r>
            <w:r>
              <w:rPr>
                <w:rFonts w:ascii="Arial Narrow" w:hAnsi="Arial Narrow"/>
              </w:rPr>
              <w:t xml:space="preserve"> evaluation activities</w:t>
            </w:r>
          </w:p>
          <w:p w14:paraId="171E9891" w14:textId="57ECC73C" w:rsidR="00EE0EAC" w:rsidRPr="007921E1" w:rsidRDefault="00EE0EAC">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78279175" w14:textId="7E953D6F" w:rsidR="00BB7F5B" w:rsidRDefault="0061756D" w:rsidP="00996097">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During Program Year 1, CDC had regular communications with CRCCP evaluators. These new questions are i</w:t>
            </w:r>
            <w:r w:rsidR="00996097">
              <w:rPr>
                <w:rFonts w:ascii="Arial Narrow" w:hAnsi="Arial Narrow"/>
              </w:rPr>
              <w:t xml:space="preserve">ntended to gather additional information about </w:t>
            </w:r>
            <w:r w:rsidR="0064681C">
              <w:rPr>
                <w:rFonts w:ascii="Arial Narrow" w:hAnsi="Arial Narrow"/>
              </w:rPr>
              <w:t>the</w:t>
            </w:r>
            <w:r w:rsidR="00996097">
              <w:rPr>
                <w:rFonts w:ascii="Arial Narrow" w:hAnsi="Arial Narrow"/>
              </w:rPr>
              <w:t xml:space="preserve"> activities</w:t>
            </w:r>
            <w:r w:rsidR="0064681C">
              <w:rPr>
                <w:rFonts w:ascii="Arial Narrow" w:hAnsi="Arial Narrow"/>
              </w:rPr>
              <w:t xml:space="preserve"> mentioned in PY1 communications</w:t>
            </w:r>
            <w:r w:rsidR="00996097">
              <w:rPr>
                <w:rFonts w:ascii="Arial Narrow" w:hAnsi="Arial Narrow"/>
              </w:rPr>
              <w:t xml:space="preserve"> by assessing current evaluation activities, including the development of data collection instruments to conduct internal evaluation activities, and working with internal and external evaluators for evaluation planning/implementation. </w:t>
            </w:r>
          </w:p>
          <w:p w14:paraId="4BEC64D5" w14:textId="77777777" w:rsidR="004230B5" w:rsidRDefault="004230B5" w:rsidP="00996097">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0BCFB37E" w14:textId="0D52E192" w:rsidR="009F07B1" w:rsidRPr="007921E1" w:rsidRDefault="009F07B1" w:rsidP="00996097">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B7F5B" w:rsidRPr="007921E1" w14:paraId="4D410DB3"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tcPr>
          <w:p w14:paraId="69A513FD" w14:textId="77777777" w:rsidR="00BB7F5B" w:rsidRPr="007921E1" w:rsidRDefault="00BB7F5B">
            <w:pPr>
              <w:rPr>
                <w:rFonts w:ascii="Arial Narrow" w:hAnsi="Arial Narrow"/>
              </w:rPr>
            </w:pPr>
          </w:p>
        </w:tc>
        <w:tc>
          <w:tcPr>
            <w:tcW w:w="1811" w:type="pct"/>
          </w:tcPr>
          <w:p w14:paraId="7CFCD2D5" w14:textId="1B51F839" w:rsidR="00BB7F5B" w:rsidRDefault="00DB3937" w:rsidP="007921E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9067D">
              <w:rPr>
                <w:rFonts w:ascii="Arial Narrow" w:hAnsi="Arial Narrow"/>
                <w:b/>
              </w:rPr>
              <w:t>Added</w:t>
            </w:r>
            <w:r>
              <w:rPr>
                <w:rFonts w:ascii="Arial Narrow" w:hAnsi="Arial Narrow"/>
              </w:rPr>
              <w:t xml:space="preserve"> </w:t>
            </w:r>
            <w:r w:rsidR="00996097">
              <w:rPr>
                <w:rFonts w:ascii="Arial Narrow" w:hAnsi="Arial Narrow"/>
                <w:color w:val="C00000"/>
              </w:rPr>
              <w:t>2</w:t>
            </w:r>
            <w:r w:rsidRPr="00EE0EAC">
              <w:rPr>
                <w:rFonts w:ascii="Arial Narrow" w:hAnsi="Arial Narrow"/>
                <w:color w:val="C00000"/>
              </w:rPr>
              <w:t xml:space="preserve"> </w:t>
            </w:r>
            <w:r w:rsidR="00A368EA">
              <w:rPr>
                <w:rFonts w:ascii="Arial Narrow" w:hAnsi="Arial Narrow"/>
                <w:color w:val="C00000"/>
              </w:rPr>
              <w:t>questions</w:t>
            </w:r>
            <w:r w:rsidRPr="00EE0EAC">
              <w:rPr>
                <w:rFonts w:ascii="Arial Narrow" w:hAnsi="Arial Narrow"/>
                <w:color w:val="C00000"/>
              </w:rPr>
              <w:t xml:space="preserve"> </w:t>
            </w:r>
            <w:r w:rsidR="00BB7F5B" w:rsidRPr="007921E1">
              <w:rPr>
                <w:rFonts w:ascii="Arial Narrow" w:hAnsi="Arial Narrow"/>
              </w:rPr>
              <w:t xml:space="preserve">to assess </w:t>
            </w:r>
            <w:r>
              <w:rPr>
                <w:rFonts w:ascii="Arial Narrow" w:hAnsi="Arial Narrow"/>
              </w:rPr>
              <w:t xml:space="preserve">programmatic </w:t>
            </w:r>
            <w:r w:rsidR="00BB7F5B" w:rsidRPr="007921E1">
              <w:rPr>
                <w:rFonts w:ascii="Arial Narrow" w:hAnsi="Arial Narrow"/>
              </w:rPr>
              <w:t>support for grantees’ partner health systems and/or clinics</w:t>
            </w:r>
          </w:p>
          <w:p w14:paraId="0A31343C" w14:textId="77777777" w:rsidR="00AF0754" w:rsidRPr="007921E1" w:rsidRDefault="00AF0754" w:rsidP="007921E1">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332C4B7C" w14:textId="77777777" w:rsidR="00BB7F5B" w:rsidRDefault="004230B5" w:rsidP="004230B5">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In Program Year 1, CDC found that grantees established partnerships with entities not previously accounted for in the survey items related to partnership development. The revised item is intended to gather additional information about </w:t>
            </w:r>
            <w:r>
              <w:rPr>
                <w:rFonts w:ascii="Arial Narrow" w:hAnsi="Arial Narrow"/>
              </w:rPr>
              <w:lastRenderedPageBreak/>
              <w:t>the development/maintenance of partnerships with different types of health agencies, including Health Center Control Networks (HCCNs) and Regional Extension Centers (RECs).</w:t>
            </w:r>
          </w:p>
          <w:p w14:paraId="1CADA935" w14:textId="24242F8C" w:rsidR="004230B5" w:rsidRPr="007921E1" w:rsidRDefault="004230B5" w:rsidP="004230B5">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368EA" w:rsidRPr="007921E1" w14:paraId="758B932E" w14:textId="77777777" w:rsidTr="001219D1">
        <w:tc>
          <w:tcPr>
            <w:cnfStyle w:val="001000000000" w:firstRow="0" w:lastRow="0" w:firstColumn="1" w:lastColumn="0" w:oddVBand="0" w:evenVBand="0" w:oddHBand="0" w:evenHBand="0" w:firstRowFirstColumn="0" w:firstRowLastColumn="0" w:lastRowFirstColumn="0" w:lastRowLastColumn="0"/>
            <w:tcW w:w="689" w:type="pct"/>
          </w:tcPr>
          <w:p w14:paraId="67A2C8FB" w14:textId="77777777" w:rsidR="00A368EA" w:rsidRPr="007921E1" w:rsidRDefault="00A368EA">
            <w:pPr>
              <w:rPr>
                <w:rFonts w:ascii="Arial Narrow" w:hAnsi="Arial Narrow"/>
              </w:rPr>
            </w:pPr>
          </w:p>
        </w:tc>
        <w:tc>
          <w:tcPr>
            <w:tcW w:w="1811" w:type="pct"/>
          </w:tcPr>
          <w:p w14:paraId="6B0531E7" w14:textId="192A8D06" w:rsidR="00A368EA" w:rsidRPr="0009067D" w:rsidRDefault="00A368EA" w:rsidP="00A368EA">
            <w:pPr>
              <w:cnfStyle w:val="000000000000" w:firstRow="0" w:lastRow="0" w:firstColumn="0" w:lastColumn="0" w:oddVBand="0" w:evenVBand="0" w:oddHBand="0" w:evenHBand="0" w:firstRowFirstColumn="0" w:firstRowLastColumn="0" w:lastRowFirstColumn="0" w:lastRowLastColumn="0"/>
              <w:rPr>
                <w:rFonts w:ascii="Arial Narrow" w:hAnsi="Arial Narrow"/>
                <w:b/>
              </w:rPr>
            </w:pPr>
            <w:r>
              <w:rPr>
                <w:rFonts w:ascii="Arial Narrow" w:hAnsi="Arial Narrow"/>
                <w:b/>
              </w:rPr>
              <w:t xml:space="preserve">Added </w:t>
            </w:r>
            <w:r w:rsidR="00064FDC">
              <w:rPr>
                <w:rFonts w:ascii="Arial Narrow" w:hAnsi="Arial Narrow"/>
                <w:color w:val="C00000"/>
              </w:rPr>
              <w:t>2</w:t>
            </w:r>
            <w:r w:rsidRPr="00A368EA">
              <w:rPr>
                <w:rFonts w:ascii="Arial Narrow" w:hAnsi="Arial Narrow"/>
                <w:color w:val="C00000"/>
              </w:rPr>
              <w:t xml:space="preserve"> </w:t>
            </w:r>
            <w:r>
              <w:rPr>
                <w:rFonts w:ascii="Arial Narrow" w:hAnsi="Arial Narrow"/>
                <w:color w:val="C00000"/>
              </w:rPr>
              <w:t>questions</w:t>
            </w:r>
            <w:r w:rsidRPr="00A368EA">
              <w:rPr>
                <w:rFonts w:ascii="Arial Narrow" w:hAnsi="Arial Narrow"/>
                <w:color w:val="C00000"/>
              </w:rPr>
              <w:t xml:space="preserve"> </w:t>
            </w:r>
            <w:r w:rsidRPr="00A368EA">
              <w:rPr>
                <w:rFonts w:ascii="Arial Narrow" w:hAnsi="Arial Narrow"/>
              </w:rPr>
              <w:t>to assess grantees’ support for partner health systems/clinics</w:t>
            </w:r>
          </w:p>
        </w:tc>
        <w:tc>
          <w:tcPr>
            <w:tcW w:w="2500" w:type="pct"/>
          </w:tcPr>
          <w:p w14:paraId="41585A43" w14:textId="3C57F2EE" w:rsidR="00A368EA" w:rsidRDefault="00A368EA" w:rsidP="004230B5">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In P</w:t>
            </w:r>
            <w:r w:rsidR="0061756D">
              <w:rPr>
                <w:rFonts w:ascii="Arial Narrow" w:hAnsi="Arial Narrow"/>
              </w:rPr>
              <w:t>rogram Year</w:t>
            </w:r>
            <w:r w:rsidR="008E4D05">
              <w:rPr>
                <w:rFonts w:ascii="Arial Narrow" w:hAnsi="Arial Narrow"/>
              </w:rPr>
              <w:t xml:space="preserve"> </w:t>
            </w:r>
            <w:r>
              <w:rPr>
                <w:rFonts w:ascii="Arial Narrow" w:hAnsi="Arial Narrow"/>
              </w:rPr>
              <w:t>1, CDC learned that many grantees were providing support to grantees (e.g., technical assistance, resources) that were not captured in the previous survey. These items are intended to capture</w:t>
            </w:r>
            <w:r w:rsidR="00064FDC">
              <w:rPr>
                <w:rFonts w:ascii="Arial Narrow" w:hAnsi="Arial Narrow"/>
              </w:rPr>
              <w:t xml:space="preserve"> sources of support and financial resources.</w:t>
            </w:r>
          </w:p>
        </w:tc>
      </w:tr>
      <w:tr w:rsidR="00BB7F5B" w:rsidRPr="007921E1" w14:paraId="3AFD252B"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val="restart"/>
          </w:tcPr>
          <w:p w14:paraId="53B775C0" w14:textId="77777777" w:rsidR="00BB7F5B" w:rsidRPr="007921E1" w:rsidRDefault="00BB7F5B">
            <w:pPr>
              <w:rPr>
                <w:rFonts w:ascii="Arial Narrow" w:hAnsi="Arial Narrow"/>
              </w:rPr>
            </w:pPr>
            <w:r w:rsidRPr="007921E1">
              <w:rPr>
                <w:rFonts w:ascii="Arial Narrow" w:hAnsi="Arial Narrow"/>
              </w:rPr>
              <w:t>Section 3: Implementation Activities, Health IT, and Partnerships</w:t>
            </w:r>
          </w:p>
        </w:tc>
        <w:tc>
          <w:tcPr>
            <w:tcW w:w="1811" w:type="pct"/>
          </w:tcPr>
          <w:p w14:paraId="402D2BE7" w14:textId="158E037C" w:rsidR="00BB7F5B" w:rsidRDefault="00A368EA" w:rsidP="007921E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368EA">
              <w:rPr>
                <w:rFonts w:ascii="Arial Narrow" w:hAnsi="Arial Narrow"/>
                <w:b/>
              </w:rPr>
              <w:t>Added</w:t>
            </w:r>
            <w:r>
              <w:rPr>
                <w:rFonts w:ascii="Arial Narrow" w:hAnsi="Arial Narrow"/>
              </w:rPr>
              <w:t xml:space="preserve"> </w:t>
            </w:r>
            <w:r w:rsidRPr="00A368EA">
              <w:rPr>
                <w:rFonts w:ascii="Arial Narrow" w:hAnsi="Arial Narrow"/>
                <w:color w:val="C00000"/>
              </w:rPr>
              <w:t>3 questions</w:t>
            </w:r>
            <w:r w:rsidR="00BB7F5B" w:rsidRPr="00A368EA">
              <w:rPr>
                <w:rFonts w:ascii="Arial Narrow" w:hAnsi="Arial Narrow"/>
                <w:color w:val="C00000"/>
              </w:rPr>
              <w:t xml:space="preserve"> </w:t>
            </w:r>
            <w:r w:rsidR="00BB7F5B" w:rsidRPr="007921E1">
              <w:rPr>
                <w:rFonts w:ascii="Arial Narrow" w:hAnsi="Arial Narrow"/>
              </w:rPr>
              <w:t>to assess “promising” EBIs or supportive activities for future evaluation.</w:t>
            </w:r>
          </w:p>
          <w:p w14:paraId="1FFA1F00" w14:textId="77777777" w:rsidR="00AF0754" w:rsidRPr="007921E1" w:rsidRDefault="00AF0754" w:rsidP="007921E1">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02D20532" w14:textId="150F7AE4" w:rsidR="00BB7F5B" w:rsidRDefault="0061756D">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These questions were added to </w:t>
            </w:r>
            <w:r w:rsidR="00A368EA">
              <w:rPr>
                <w:rFonts w:ascii="Arial Narrow" w:hAnsi="Arial Narrow"/>
              </w:rPr>
              <w:t>provide information about any EBIs or SAs that grantees are implementing that may be appropriate for more rigorous evaluation to inform future implementation.</w:t>
            </w:r>
          </w:p>
          <w:p w14:paraId="598413EC" w14:textId="57FC3D8C" w:rsidR="00A368EA" w:rsidRPr="007921E1" w:rsidRDefault="00A368EA">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A368EA" w:rsidRPr="007921E1" w14:paraId="74779311" w14:textId="77777777" w:rsidTr="001219D1">
        <w:tc>
          <w:tcPr>
            <w:cnfStyle w:val="001000000000" w:firstRow="0" w:lastRow="0" w:firstColumn="1" w:lastColumn="0" w:oddVBand="0" w:evenVBand="0" w:oddHBand="0" w:evenHBand="0" w:firstRowFirstColumn="0" w:firstRowLastColumn="0" w:lastRowFirstColumn="0" w:lastRowLastColumn="0"/>
            <w:tcW w:w="689" w:type="pct"/>
            <w:vMerge/>
          </w:tcPr>
          <w:p w14:paraId="5A5052BA" w14:textId="77777777" w:rsidR="00A368EA" w:rsidRPr="007921E1" w:rsidRDefault="00A368EA">
            <w:pPr>
              <w:rPr>
                <w:rFonts w:ascii="Arial Narrow" w:hAnsi="Arial Narrow"/>
              </w:rPr>
            </w:pPr>
          </w:p>
        </w:tc>
        <w:tc>
          <w:tcPr>
            <w:tcW w:w="1811" w:type="pct"/>
          </w:tcPr>
          <w:p w14:paraId="4A53777B" w14:textId="77777777" w:rsidR="00A368EA" w:rsidRDefault="00A368EA" w:rsidP="00A368EA">
            <w:pPr>
              <w:cnfStyle w:val="000000000000" w:firstRow="0" w:lastRow="0" w:firstColumn="0" w:lastColumn="0" w:oddVBand="0" w:evenVBand="0" w:oddHBand="0" w:evenHBand="0" w:firstRowFirstColumn="0" w:firstRowLastColumn="0" w:lastRowFirstColumn="0" w:lastRowLastColumn="0"/>
              <w:rPr>
                <w:rFonts w:ascii="Arial Narrow" w:hAnsi="Arial Narrow"/>
                <w:b/>
              </w:rPr>
            </w:pPr>
            <w:r>
              <w:rPr>
                <w:rFonts w:ascii="Arial Narrow" w:hAnsi="Arial Narrow"/>
                <w:b/>
              </w:rPr>
              <w:t xml:space="preserve">Removed </w:t>
            </w:r>
            <w:r w:rsidRPr="00052791">
              <w:rPr>
                <w:rFonts w:ascii="Arial Narrow" w:hAnsi="Arial Narrow"/>
                <w:color w:val="C00000"/>
              </w:rPr>
              <w:t xml:space="preserve">1 question </w:t>
            </w:r>
            <w:r w:rsidRPr="00052791">
              <w:rPr>
                <w:rFonts w:ascii="Arial Narrow" w:hAnsi="Arial Narrow"/>
              </w:rPr>
              <w:t>that assessed any improved or newly-implemented community-clinical activities</w:t>
            </w:r>
            <w:r>
              <w:rPr>
                <w:rFonts w:ascii="Arial Narrow" w:hAnsi="Arial Narrow"/>
                <w:b/>
              </w:rPr>
              <w:t xml:space="preserve"> </w:t>
            </w:r>
          </w:p>
          <w:p w14:paraId="56828BCD" w14:textId="2D81AD01" w:rsidR="004B42D9" w:rsidRPr="00A368EA" w:rsidRDefault="004B42D9" w:rsidP="00A368EA">
            <w:pP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c>
          <w:tcPr>
            <w:tcW w:w="2500" w:type="pct"/>
          </w:tcPr>
          <w:p w14:paraId="693A1654" w14:textId="77777777" w:rsidR="00A368EA" w:rsidRDefault="00A368EA">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B7F5B" w:rsidRPr="007921E1" w14:paraId="5A3636EF"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tcPr>
          <w:p w14:paraId="1C87B3B2" w14:textId="4E1E0C3B" w:rsidR="00BB7F5B" w:rsidRPr="007921E1" w:rsidRDefault="00BB7F5B">
            <w:pPr>
              <w:rPr>
                <w:rFonts w:ascii="Arial Narrow" w:hAnsi="Arial Narrow"/>
              </w:rPr>
            </w:pPr>
          </w:p>
        </w:tc>
        <w:tc>
          <w:tcPr>
            <w:tcW w:w="1811" w:type="pct"/>
          </w:tcPr>
          <w:p w14:paraId="645FA2C6" w14:textId="77777777" w:rsidR="00052791" w:rsidRDefault="00052791" w:rsidP="00052791">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2791">
              <w:rPr>
                <w:rFonts w:ascii="Arial Narrow" w:hAnsi="Arial Narrow"/>
                <w:b/>
              </w:rPr>
              <w:t>Removed</w:t>
            </w:r>
            <w:r w:rsidRPr="00052791">
              <w:rPr>
                <w:rFonts w:ascii="Arial Narrow" w:hAnsi="Arial Narrow"/>
              </w:rPr>
              <w:t xml:space="preserve"> </w:t>
            </w:r>
            <w:r w:rsidRPr="00052791">
              <w:rPr>
                <w:rFonts w:ascii="Arial Narrow" w:hAnsi="Arial Narrow"/>
                <w:color w:val="C00000"/>
              </w:rPr>
              <w:t xml:space="preserve">76 questions </w:t>
            </w:r>
            <w:r w:rsidRPr="00052791">
              <w:rPr>
                <w:rFonts w:ascii="Arial Narrow" w:hAnsi="Arial Narrow"/>
              </w:rPr>
              <w:t>(total of 10 subsections) that assessed grantee activities related</w:t>
            </w:r>
            <w:r>
              <w:rPr>
                <w:rFonts w:ascii="Arial Narrow" w:hAnsi="Arial Narrow"/>
              </w:rPr>
              <w:t xml:space="preserve"> to</w:t>
            </w:r>
          </w:p>
          <w:p w14:paraId="6A81B8DC" w14:textId="77777777" w:rsidR="00052791" w:rsidRDefault="00052791" w:rsidP="00052791">
            <w:pPr>
              <w:pStyle w:val="ListParagraph"/>
              <w:numPr>
                <w:ilvl w:val="0"/>
                <w:numId w:val="7"/>
              </w:num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Four</w:t>
            </w:r>
            <w:r w:rsidRPr="00052791">
              <w:rPr>
                <w:rFonts w:ascii="Arial Narrow" w:hAnsi="Arial Narrow"/>
              </w:rPr>
              <w:t xml:space="preserve"> EBIs </w:t>
            </w:r>
            <w:r w:rsidR="00BB7F5B" w:rsidRPr="00052791">
              <w:rPr>
                <w:rFonts w:ascii="Arial Narrow" w:hAnsi="Arial Narrow"/>
              </w:rPr>
              <w:t xml:space="preserve">(i.e., provider assessment and feedback, provider reminders, patient reminders, reducing structural barriers), </w:t>
            </w:r>
            <w:r w:rsidRPr="00052791">
              <w:rPr>
                <w:rFonts w:ascii="Arial Narrow" w:hAnsi="Arial Narrow"/>
              </w:rPr>
              <w:t xml:space="preserve">and </w:t>
            </w:r>
          </w:p>
          <w:p w14:paraId="1D057BAC" w14:textId="79D90F1B" w:rsidR="00BB7F5B" w:rsidRPr="00052791" w:rsidRDefault="00052791" w:rsidP="00052791">
            <w:pPr>
              <w:pStyle w:val="ListParagraph"/>
              <w:numPr>
                <w:ilvl w:val="0"/>
                <w:numId w:val="7"/>
              </w:num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Six</w:t>
            </w:r>
            <w:r w:rsidRPr="00052791">
              <w:rPr>
                <w:rFonts w:ascii="Arial Narrow" w:hAnsi="Arial Narrow"/>
              </w:rPr>
              <w:t xml:space="preserve"> SAs</w:t>
            </w:r>
            <w:r w:rsidR="00BB7F5B" w:rsidRPr="00052791">
              <w:rPr>
                <w:rFonts w:ascii="Arial Narrow" w:hAnsi="Arial Narrow"/>
              </w:rPr>
              <w:t xml:space="preserve"> (i.e., small media, patient navigation, professional development/provider education, quality improvement, community health workers, workplaces)</w:t>
            </w:r>
          </w:p>
          <w:p w14:paraId="76663E50" w14:textId="77777777" w:rsidR="00AF0754" w:rsidRPr="007921E1" w:rsidRDefault="00AF0754" w:rsidP="00A0747B">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4B71722E" w14:textId="0DEA3BEC" w:rsidR="00BB7F5B" w:rsidRPr="007921E1" w:rsidRDefault="00BB7F5B" w:rsidP="0061756D">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7921E1">
              <w:rPr>
                <w:rFonts w:ascii="Arial Narrow" w:hAnsi="Arial Narrow"/>
              </w:rPr>
              <w:t xml:space="preserve">This information </w:t>
            </w:r>
            <w:r w:rsidR="0061756D">
              <w:rPr>
                <w:rFonts w:ascii="Arial Narrow" w:hAnsi="Arial Narrow"/>
              </w:rPr>
              <w:t>will be</w:t>
            </w:r>
            <w:r w:rsidR="0061756D" w:rsidRPr="007921E1">
              <w:rPr>
                <w:rFonts w:ascii="Arial Narrow" w:hAnsi="Arial Narrow"/>
              </w:rPr>
              <w:t xml:space="preserve"> </w:t>
            </w:r>
            <w:r w:rsidRPr="007921E1">
              <w:rPr>
                <w:rFonts w:ascii="Arial Narrow" w:hAnsi="Arial Narrow"/>
              </w:rPr>
              <w:t>collected via the Clinic-Level Data Elements. Removal from the survey reduces burden among grantees</w:t>
            </w:r>
            <w:r w:rsidR="00052791">
              <w:rPr>
                <w:rFonts w:ascii="Arial Narrow" w:hAnsi="Arial Narrow"/>
              </w:rPr>
              <w:t xml:space="preserve"> and avoids redundancy in the data collected</w:t>
            </w:r>
            <w:r w:rsidRPr="007921E1">
              <w:rPr>
                <w:rFonts w:ascii="Arial Narrow" w:hAnsi="Arial Narrow"/>
              </w:rPr>
              <w:t xml:space="preserve">. </w:t>
            </w:r>
          </w:p>
        </w:tc>
      </w:tr>
      <w:tr w:rsidR="000E1EE8" w:rsidRPr="007921E1" w14:paraId="55A231C5" w14:textId="77777777" w:rsidTr="001219D1">
        <w:tc>
          <w:tcPr>
            <w:cnfStyle w:val="001000000000" w:firstRow="0" w:lastRow="0" w:firstColumn="1" w:lastColumn="0" w:oddVBand="0" w:evenVBand="0" w:oddHBand="0" w:evenHBand="0" w:firstRowFirstColumn="0" w:firstRowLastColumn="0" w:lastRowFirstColumn="0" w:lastRowLastColumn="0"/>
            <w:tcW w:w="689" w:type="pct"/>
          </w:tcPr>
          <w:p w14:paraId="3C2CFBE0" w14:textId="43F46BC2" w:rsidR="000E1EE8" w:rsidRPr="007921E1" w:rsidRDefault="000E1EE8">
            <w:pPr>
              <w:rPr>
                <w:rFonts w:ascii="Arial Narrow" w:hAnsi="Arial Narrow"/>
              </w:rPr>
            </w:pPr>
            <w:r>
              <w:rPr>
                <w:rFonts w:ascii="Arial Narrow" w:hAnsi="Arial Narrow"/>
              </w:rPr>
              <w:t>Section 4: Data Use</w:t>
            </w:r>
          </w:p>
        </w:tc>
        <w:tc>
          <w:tcPr>
            <w:tcW w:w="1811" w:type="pct"/>
          </w:tcPr>
          <w:p w14:paraId="24C78C94" w14:textId="5B036684" w:rsidR="000E1EE8" w:rsidRDefault="00052791" w:rsidP="000E1EE8">
            <w:pPr>
              <w:tabs>
                <w:tab w:val="center" w:pos="157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No changes</w:t>
            </w:r>
          </w:p>
          <w:p w14:paraId="1668D931" w14:textId="77777777" w:rsidR="00AF0754" w:rsidRDefault="00AF0754" w:rsidP="000E1EE8">
            <w:pPr>
              <w:tabs>
                <w:tab w:val="center" w:pos="1570"/>
              </w:tabs>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4F60F4F5" w14:textId="3308BA24" w:rsidR="000E1EE8" w:rsidRPr="007921E1" w:rsidRDefault="001219D1">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C38B1">
              <w:rPr>
                <w:rFonts w:ascii="Arial Narrow" w:hAnsi="Arial Narrow"/>
                <w:noProof/>
              </w:rPr>
              <mc:AlternateContent>
                <mc:Choice Requires="wps">
                  <w:drawing>
                    <wp:anchor distT="45720" distB="45720" distL="114300" distR="114300" simplePos="0" relativeHeight="251675648" behindDoc="0" locked="0" layoutInCell="1" allowOverlap="1" wp14:anchorId="6F6A5988" wp14:editId="30FAA90A">
                      <wp:simplePos x="0" y="0"/>
                      <wp:positionH relativeFrom="column">
                        <wp:posOffset>-60113</wp:posOffset>
                      </wp:positionH>
                      <wp:positionV relativeFrom="paragraph">
                        <wp:posOffset>1058</wp:posOffset>
                      </wp:positionV>
                      <wp:extent cx="4318000" cy="313266"/>
                      <wp:effectExtent l="0" t="0" r="2540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313266"/>
                              </a:xfrm>
                              <a:prstGeom prst="rect">
                                <a:avLst/>
                              </a:prstGeom>
                              <a:pattFill prst="pct20">
                                <a:fgClr>
                                  <a:schemeClr val="tx2">
                                    <a:lumMod val="40000"/>
                                    <a:lumOff val="60000"/>
                                  </a:schemeClr>
                                </a:fgClr>
                                <a:bgClr>
                                  <a:schemeClr val="bg1"/>
                                </a:bgClr>
                              </a:pattFill>
                              <a:ln w="9525">
                                <a:solidFill>
                                  <a:schemeClr val="accent1">
                                    <a:lumMod val="20000"/>
                                    <a:lumOff val="80000"/>
                                  </a:schemeClr>
                                </a:solidFill>
                                <a:miter lim="800000"/>
                                <a:headEnd/>
                                <a:tailEnd/>
                              </a:ln>
                            </wps:spPr>
                            <wps:txbx>
                              <w:txbxContent>
                                <w:p w14:paraId="62FA8D8B" w14:textId="77777777" w:rsidR="00052791" w:rsidRPr="005811CA" w:rsidRDefault="00052791" w:rsidP="00052791">
                                  <w:pPr>
                                    <w:rPr>
                                      <w:color w:val="548DD4" w:themeColor="text2" w:themeTint="99"/>
                                      <w14:textOutline w14:w="12700" w14:cap="rnd" w14:cmpd="sng" w14:algn="ctr">
                                        <w14:solidFill>
                                          <w14:schemeClr w14:val="tx2"/>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A5988" id="_x0000_s1027" type="#_x0000_t202" style="position:absolute;margin-left:-4.75pt;margin-top:.1pt;width:340pt;height:2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" fillcolor="#8db3e2 [1311]" strokecolor="#dbe5f1 [660]">
                      <v:fill r:id="rId8" o:title="" color2="white [3212]" type="pattern"/>
                      <v:textbox>
                        <w:txbxContent>
                          <w:p w14:paraId="62FA8D8B" w14:textId="77777777" w:rsidR="00052791" w:rsidRPr="005811CA" w:rsidRDefault="00052791" w:rsidP="00052791">
                            <w:pPr>
                              <w:rPr>
                                <w:color w:val="548DD4" w:themeColor="text2" w:themeTint="99"/>
                                <w14:textOutline w14:w="12700" w14:cap="rnd" w14:cmpd="sng" w14:algn="ctr">
                                  <w14:solidFill>
                                    <w14:schemeClr w14:val="tx2"/>
                                  </w14:solidFill>
                                  <w14:prstDash w14:val="solid"/>
                                  <w14:bevel/>
                                </w14:textOutline>
                              </w:rPr>
                            </w:pPr>
                          </w:p>
                        </w:txbxContent>
                      </v:textbox>
                    </v:shape>
                  </w:pict>
                </mc:Fallback>
              </mc:AlternateContent>
            </w:r>
          </w:p>
        </w:tc>
      </w:tr>
      <w:tr w:rsidR="00BB7F5B" w:rsidRPr="007921E1" w14:paraId="6DC4C9CF"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val="restart"/>
          </w:tcPr>
          <w:p w14:paraId="4A5C3971" w14:textId="77777777" w:rsidR="00BB7F5B" w:rsidRDefault="00BB7F5B">
            <w:pPr>
              <w:rPr>
                <w:rFonts w:ascii="Arial Narrow" w:hAnsi="Arial Narrow"/>
              </w:rPr>
            </w:pPr>
            <w:r>
              <w:rPr>
                <w:rFonts w:ascii="Arial Narrow" w:hAnsi="Arial Narrow"/>
              </w:rPr>
              <w:t>Section 5: Training and Technical Assistance</w:t>
            </w:r>
          </w:p>
        </w:tc>
        <w:tc>
          <w:tcPr>
            <w:tcW w:w="1811" w:type="pct"/>
          </w:tcPr>
          <w:p w14:paraId="4F148CF3" w14:textId="7B80234E" w:rsidR="00BB7F5B" w:rsidRPr="00FA55FF" w:rsidRDefault="00FA55FF" w:rsidP="00FA55FF">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A55FF">
              <w:rPr>
                <w:rFonts w:ascii="Arial Narrow" w:hAnsi="Arial Narrow"/>
                <w:b/>
              </w:rPr>
              <w:t>Added</w:t>
            </w:r>
            <w:r>
              <w:rPr>
                <w:rFonts w:ascii="Arial Narrow" w:hAnsi="Arial Narrow"/>
              </w:rPr>
              <w:t xml:space="preserve"> </w:t>
            </w:r>
            <w:r w:rsidRPr="00FA55FF">
              <w:rPr>
                <w:rFonts w:ascii="Arial Narrow" w:hAnsi="Arial Narrow"/>
                <w:color w:val="C00000"/>
              </w:rPr>
              <w:t xml:space="preserve">3 questions </w:t>
            </w:r>
            <w:r>
              <w:rPr>
                <w:rFonts w:ascii="Arial Narrow" w:hAnsi="Arial Narrow"/>
              </w:rPr>
              <w:t xml:space="preserve">to </w:t>
            </w:r>
            <w:r w:rsidRPr="00FA55FF">
              <w:rPr>
                <w:rFonts w:ascii="Arial Narrow" w:hAnsi="Arial Narrow"/>
              </w:rPr>
              <w:t xml:space="preserve">assess levels of need for TA and training related to </w:t>
            </w:r>
            <w:r w:rsidR="00BB7F5B" w:rsidRPr="00FA55FF">
              <w:rPr>
                <w:rFonts w:ascii="Arial Narrow" w:hAnsi="Arial Narrow"/>
              </w:rPr>
              <w:t xml:space="preserve">evaluating </w:t>
            </w:r>
            <w:r w:rsidRPr="00FA55FF">
              <w:rPr>
                <w:rFonts w:ascii="Arial Narrow" w:hAnsi="Arial Narrow"/>
              </w:rPr>
              <w:t>EBIs and SAs</w:t>
            </w:r>
            <w:r w:rsidR="00BB7F5B" w:rsidRPr="00FA55FF">
              <w:rPr>
                <w:rFonts w:ascii="Arial Narrow" w:hAnsi="Arial Narrow"/>
              </w:rPr>
              <w:t>; improving EHRs</w:t>
            </w:r>
            <w:r w:rsidRPr="00FA55FF">
              <w:rPr>
                <w:rFonts w:ascii="Arial Narrow" w:hAnsi="Arial Narrow"/>
              </w:rPr>
              <w:t>,</w:t>
            </w:r>
            <w:r w:rsidR="00BB7F5B" w:rsidRPr="00FA55FF">
              <w:rPr>
                <w:rFonts w:ascii="Arial Narrow" w:hAnsi="Arial Narrow"/>
              </w:rPr>
              <w:t xml:space="preserve"> and</w:t>
            </w:r>
            <w:r w:rsidRPr="00FA55FF">
              <w:rPr>
                <w:rFonts w:ascii="Arial Narrow" w:hAnsi="Arial Narrow"/>
              </w:rPr>
              <w:t xml:space="preserve"> improving</w:t>
            </w:r>
            <w:r w:rsidR="00BB7F5B" w:rsidRPr="00FA55FF">
              <w:rPr>
                <w:rFonts w:ascii="Arial Narrow" w:hAnsi="Arial Narrow"/>
              </w:rPr>
              <w:t xml:space="preserve"> workflow processes</w:t>
            </w:r>
            <w:r>
              <w:rPr>
                <w:rFonts w:ascii="Arial Narrow" w:hAnsi="Arial Narrow"/>
              </w:rPr>
              <w:t>.</w:t>
            </w:r>
          </w:p>
          <w:p w14:paraId="62702B81" w14:textId="77777777" w:rsidR="00AF0754" w:rsidRDefault="00AF0754" w:rsidP="00497E5E">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0441DCEB" w14:textId="532B63A4" w:rsidR="00BB7F5B" w:rsidRPr="007921E1" w:rsidRDefault="0061756D" w:rsidP="0061756D">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In Program Year 1, CDC learned from grantees about additional TA and training needs not included in the existing survey. Additional questions have been added to gather information about these topic areas.</w:t>
            </w:r>
          </w:p>
        </w:tc>
      </w:tr>
      <w:tr w:rsidR="00BB7F5B" w:rsidRPr="007921E1" w14:paraId="75607DEB" w14:textId="77777777" w:rsidTr="001219D1">
        <w:tc>
          <w:tcPr>
            <w:cnfStyle w:val="001000000000" w:firstRow="0" w:lastRow="0" w:firstColumn="1" w:lastColumn="0" w:oddVBand="0" w:evenVBand="0" w:oddHBand="0" w:evenHBand="0" w:firstRowFirstColumn="0" w:firstRowLastColumn="0" w:lastRowFirstColumn="0" w:lastRowLastColumn="0"/>
            <w:tcW w:w="689" w:type="pct"/>
            <w:vMerge/>
          </w:tcPr>
          <w:p w14:paraId="317EEB02" w14:textId="67618904" w:rsidR="00BB7F5B" w:rsidRDefault="00BB7F5B">
            <w:pPr>
              <w:rPr>
                <w:rFonts w:ascii="Arial Narrow" w:hAnsi="Arial Narrow"/>
              </w:rPr>
            </w:pPr>
          </w:p>
        </w:tc>
        <w:tc>
          <w:tcPr>
            <w:tcW w:w="1811" w:type="pct"/>
          </w:tcPr>
          <w:p w14:paraId="3EED9FE7" w14:textId="4DC78D2F" w:rsidR="00FA55FF" w:rsidRDefault="00BB7F5B" w:rsidP="00FA55FF">
            <w:pPr>
              <w:tabs>
                <w:tab w:val="center" w:pos="1570"/>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64FDC">
              <w:rPr>
                <w:rFonts w:ascii="Arial Narrow" w:hAnsi="Arial Narrow"/>
                <w:b/>
              </w:rPr>
              <w:t>Ad</w:t>
            </w:r>
            <w:r w:rsidR="00FA55FF" w:rsidRPr="00064FDC">
              <w:rPr>
                <w:rFonts w:ascii="Arial Narrow" w:hAnsi="Arial Narrow"/>
                <w:b/>
              </w:rPr>
              <w:t>ded</w:t>
            </w:r>
            <w:r w:rsidR="00FA55FF">
              <w:rPr>
                <w:rFonts w:ascii="Arial Narrow" w:hAnsi="Arial Narrow"/>
              </w:rPr>
              <w:t xml:space="preserve"> </w:t>
            </w:r>
            <w:r w:rsidR="00FA55FF" w:rsidRPr="00064FDC">
              <w:rPr>
                <w:rFonts w:ascii="Arial Narrow" w:hAnsi="Arial Narrow"/>
                <w:color w:val="C00000"/>
              </w:rPr>
              <w:t xml:space="preserve">1 question </w:t>
            </w:r>
            <w:r w:rsidR="00FA55FF">
              <w:rPr>
                <w:rFonts w:ascii="Arial Narrow" w:hAnsi="Arial Narrow"/>
              </w:rPr>
              <w:t>to measure the usefulness of the newly established CRCCP Evaluation Network.</w:t>
            </w:r>
          </w:p>
          <w:p w14:paraId="6D0A7946" w14:textId="6EE97445" w:rsidR="00BB7F5B" w:rsidRDefault="00BB7F5B" w:rsidP="00497E5E">
            <w:pPr>
              <w:tabs>
                <w:tab w:val="center" w:pos="1570"/>
              </w:tabs>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45DB728F" w14:textId="77777777" w:rsidR="00AF0754" w:rsidRDefault="00AF0754" w:rsidP="00497E5E">
            <w:pPr>
              <w:tabs>
                <w:tab w:val="center" w:pos="1570"/>
              </w:tabs>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519A98C4" w14:textId="6E097DF6" w:rsidR="00BB7F5B" w:rsidRDefault="00FA55FF" w:rsidP="00FA55FF">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CDC is interested In obtaining feedback from grantees on the extent to which </w:t>
            </w:r>
            <w:r w:rsidR="0061756D">
              <w:rPr>
                <w:rFonts w:ascii="Arial Narrow" w:hAnsi="Arial Narrow"/>
              </w:rPr>
              <w:t xml:space="preserve">a </w:t>
            </w:r>
            <w:r>
              <w:rPr>
                <w:rFonts w:ascii="Arial Narrow" w:hAnsi="Arial Narrow"/>
              </w:rPr>
              <w:t xml:space="preserve">newly developed CRCCP Evaluation Network </w:t>
            </w:r>
            <w:r w:rsidR="0061756D">
              <w:rPr>
                <w:rFonts w:ascii="Arial Narrow" w:hAnsi="Arial Narrow"/>
              </w:rPr>
              <w:t xml:space="preserve">(formed in Program Year 1) </w:t>
            </w:r>
            <w:r>
              <w:rPr>
                <w:rFonts w:ascii="Arial Narrow" w:hAnsi="Arial Narrow"/>
              </w:rPr>
              <w:t>is useful for grantees in planning/implementing their programs to inform future program implementation.</w:t>
            </w:r>
          </w:p>
          <w:p w14:paraId="0EC6A2CE" w14:textId="782C1250" w:rsidR="00064FDC" w:rsidRPr="007921E1" w:rsidRDefault="00064FDC" w:rsidP="00FA55FF">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B7F5B" w:rsidRPr="007921E1" w14:paraId="3EB6B649"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vMerge/>
          </w:tcPr>
          <w:p w14:paraId="11CB8C59" w14:textId="77777777" w:rsidR="00BB7F5B" w:rsidRDefault="00BB7F5B">
            <w:pPr>
              <w:rPr>
                <w:rFonts w:ascii="Arial Narrow" w:hAnsi="Arial Narrow"/>
              </w:rPr>
            </w:pPr>
          </w:p>
        </w:tc>
        <w:tc>
          <w:tcPr>
            <w:tcW w:w="1811" w:type="pct"/>
          </w:tcPr>
          <w:p w14:paraId="48D3DC11" w14:textId="5FBC306C" w:rsidR="00BB7F5B" w:rsidRDefault="00064FDC" w:rsidP="00497E5E">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64FDC">
              <w:rPr>
                <w:rFonts w:ascii="Arial Narrow" w:hAnsi="Arial Narrow"/>
                <w:b/>
              </w:rPr>
              <w:t>Added</w:t>
            </w:r>
            <w:r>
              <w:rPr>
                <w:rFonts w:ascii="Arial Narrow" w:hAnsi="Arial Narrow"/>
              </w:rPr>
              <w:t xml:space="preserve"> </w:t>
            </w:r>
            <w:r w:rsidRPr="00064FDC">
              <w:rPr>
                <w:rFonts w:ascii="Arial Narrow" w:hAnsi="Arial Narrow"/>
                <w:color w:val="C00000"/>
              </w:rPr>
              <w:t xml:space="preserve">1 question </w:t>
            </w:r>
            <w:r>
              <w:rPr>
                <w:rFonts w:ascii="Arial Narrow" w:hAnsi="Arial Narrow"/>
              </w:rPr>
              <w:t>t</w:t>
            </w:r>
            <w:r w:rsidR="00BB7F5B">
              <w:rPr>
                <w:rFonts w:ascii="Arial Narrow" w:hAnsi="Arial Narrow"/>
              </w:rPr>
              <w:t xml:space="preserve">o measure usefulness of </w:t>
            </w:r>
            <w:r>
              <w:rPr>
                <w:rFonts w:ascii="Arial Narrow" w:hAnsi="Arial Narrow"/>
              </w:rPr>
              <w:t>the Colorectal Cancer Clinical Data Elements (CCDEs)</w:t>
            </w:r>
            <w:r w:rsidR="00BB7F5B">
              <w:rPr>
                <w:rFonts w:ascii="Arial Narrow" w:hAnsi="Arial Narrow"/>
              </w:rPr>
              <w:t xml:space="preserve"> data reviews/reports</w:t>
            </w:r>
            <w:r>
              <w:rPr>
                <w:rFonts w:ascii="Arial Narrow" w:hAnsi="Arial Narrow"/>
              </w:rPr>
              <w:t>.</w:t>
            </w:r>
          </w:p>
          <w:p w14:paraId="02AE58B0" w14:textId="77777777" w:rsidR="00AF0754" w:rsidRDefault="00AF0754" w:rsidP="00497E5E">
            <w:pPr>
              <w:tabs>
                <w:tab w:val="center" w:pos="1570"/>
              </w:tabs>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2500" w:type="pct"/>
          </w:tcPr>
          <w:p w14:paraId="32E388DF" w14:textId="77777777" w:rsidR="00BB7F5B" w:rsidRDefault="00064FDC">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CDC is seeking feedback on the extent to which CCDE data reviews and reports are useful for grantees in inform future TA efforts.</w:t>
            </w:r>
          </w:p>
          <w:p w14:paraId="758D099D" w14:textId="14AA2E3A" w:rsidR="00064FDC" w:rsidRPr="007921E1" w:rsidRDefault="00064FDC">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bl>
    <w:p w14:paraId="027BEECE" w14:textId="77777777" w:rsidR="008D2C4C" w:rsidRDefault="008D2C4C" w:rsidP="004C61BF"/>
    <w:p w14:paraId="678517F8" w14:textId="77777777" w:rsidR="008D2C4C" w:rsidRDefault="008D2C4C">
      <w:r>
        <w:br w:type="page"/>
      </w:r>
    </w:p>
    <w:tbl>
      <w:tblPr>
        <w:tblStyle w:val="GridTable4-Accent1"/>
        <w:tblW w:w="5000" w:type="pct"/>
        <w:tblLook w:val="04A0" w:firstRow="1" w:lastRow="0" w:firstColumn="1" w:lastColumn="0" w:noHBand="0" w:noVBand="1"/>
      </w:tblPr>
      <w:tblGrid>
        <w:gridCol w:w="2786"/>
        <w:gridCol w:w="4049"/>
        <w:gridCol w:w="6835"/>
      </w:tblGrid>
      <w:tr w:rsidR="008D2C4C" w:rsidRPr="007921E1" w14:paraId="1F97ADD7" w14:textId="77777777" w:rsidTr="009D0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7F57BB4" w14:textId="77777777" w:rsidR="008D2C4C" w:rsidRPr="007921E1" w:rsidRDefault="008D2C4C" w:rsidP="009D0CE4">
            <w:pPr>
              <w:jc w:val="center"/>
              <w:rPr>
                <w:rFonts w:ascii="Arial Narrow" w:hAnsi="Arial Narrow"/>
              </w:rPr>
            </w:pPr>
            <w:r w:rsidRPr="004C61BF">
              <w:rPr>
                <w:rFonts w:ascii="Arial Narrow" w:hAnsi="Arial Narrow"/>
              </w:rPr>
              <w:lastRenderedPageBreak/>
              <w:t xml:space="preserve">CRCCP </w:t>
            </w:r>
            <w:r>
              <w:rPr>
                <w:rFonts w:ascii="Arial Narrow" w:hAnsi="Arial Narrow"/>
              </w:rPr>
              <w:t>Clinic-Level Data Collection</w:t>
            </w:r>
          </w:p>
        </w:tc>
      </w:tr>
      <w:tr w:rsidR="008D2C4C" w:rsidRPr="007921E1" w14:paraId="62414ED2"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18F4D7EA" w14:textId="77777777" w:rsidR="008D2C4C" w:rsidRPr="004C61BF" w:rsidRDefault="008D2C4C" w:rsidP="009D0CE4">
            <w:pPr>
              <w:jc w:val="center"/>
              <w:rPr>
                <w:rFonts w:ascii="Arial Narrow" w:hAnsi="Arial Narrow"/>
                <w:i/>
              </w:rPr>
            </w:pPr>
            <w:r w:rsidRPr="004C61BF">
              <w:rPr>
                <w:rFonts w:ascii="Arial Narrow" w:hAnsi="Arial Narrow"/>
                <w:i/>
              </w:rPr>
              <w:t>Section</w:t>
            </w:r>
          </w:p>
        </w:tc>
        <w:tc>
          <w:tcPr>
            <w:tcW w:w="1481" w:type="pct"/>
          </w:tcPr>
          <w:p w14:paraId="040BF870" w14:textId="77777777" w:rsidR="008D2C4C" w:rsidRPr="004C61BF" w:rsidRDefault="008D2C4C" w:rsidP="009D0CE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i/>
              </w:rPr>
            </w:pPr>
            <w:r w:rsidRPr="004C61BF">
              <w:rPr>
                <w:rFonts w:ascii="Arial Narrow" w:hAnsi="Arial Narrow"/>
                <w:b/>
                <w:i/>
              </w:rPr>
              <w:t>Revision</w:t>
            </w:r>
          </w:p>
        </w:tc>
        <w:tc>
          <w:tcPr>
            <w:tcW w:w="2500" w:type="pct"/>
          </w:tcPr>
          <w:p w14:paraId="5A469EA7" w14:textId="644E353A" w:rsidR="008D2C4C" w:rsidRPr="004C61BF" w:rsidRDefault="00CC38B1" w:rsidP="009D0CE4">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i/>
              </w:rPr>
            </w:pPr>
            <w:r w:rsidRPr="00CC38B1">
              <w:rPr>
                <w:rFonts w:ascii="Arial Narrow" w:hAnsi="Arial Narrow"/>
                <w:noProof/>
              </w:rPr>
              <mc:AlternateContent>
                <mc:Choice Requires="wps">
                  <w:drawing>
                    <wp:anchor distT="45720" distB="45720" distL="114300" distR="114300" simplePos="0" relativeHeight="251659264" behindDoc="0" locked="0" layoutInCell="1" allowOverlap="1" wp14:anchorId="0E6D263A" wp14:editId="307A32DF">
                      <wp:simplePos x="0" y="0"/>
                      <wp:positionH relativeFrom="column">
                        <wp:posOffset>-68580</wp:posOffset>
                      </wp:positionH>
                      <wp:positionV relativeFrom="paragraph">
                        <wp:posOffset>164465</wp:posOffset>
                      </wp:positionV>
                      <wp:extent cx="4318000" cy="464820"/>
                      <wp:effectExtent l="0" t="0" r="2540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464820"/>
                              </a:xfrm>
                              <a:prstGeom prst="rect">
                                <a:avLst/>
                              </a:prstGeom>
                              <a:pattFill prst="pct20">
                                <a:fgClr>
                                  <a:schemeClr val="tx2">
                                    <a:lumMod val="40000"/>
                                    <a:lumOff val="60000"/>
                                  </a:schemeClr>
                                </a:fgClr>
                                <a:bgClr>
                                  <a:schemeClr val="bg1"/>
                                </a:bgClr>
                              </a:pattFill>
                              <a:ln w="9525">
                                <a:solidFill>
                                  <a:schemeClr val="accent1">
                                    <a:lumMod val="20000"/>
                                    <a:lumOff val="80000"/>
                                  </a:schemeClr>
                                </a:solidFill>
                                <a:miter lim="800000"/>
                                <a:headEnd/>
                                <a:tailEnd/>
                              </a:ln>
                            </wps:spPr>
                            <wps:txbx>
                              <w:txbxContent>
                                <w:p w14:paraId="3923109E" w14:textId="05F32124" w:rsidR="00CC38B1" w:rsidRPr="005811CA" w:rsidRDefault="00CC38B1">
                                  <w:pPr>
                                    <w:rPr>
                                      <w:color w:val="548DD4" w:themeColor="text2" w:themeTint="99"/>
                                      <w14:textOutline w14:w="12700" w14:cap="rnd" w14:cmpd="sng" w14:algn="ctr">
                                        <w14:solidFill>
                                          <w14:schemeClr w14:val="tx2"/>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D263A" id="_x0000_s1028" type="#_x0000_t202" style="position:absolute;left:0;text-align:left;margin-left:-5.4pt;margin-top:12.95pt;width:340pt;height:3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" fillcolor="#8db3e2 [1311]" strokecolor="#dbe5f1 [660]">
                      <v:fill r:id="rId8" o:title="" color2="white [3212]" type="pattern"/>
                      <v:textbox>
                        <w:txbxContent>
                          <w:p w14:paraId="3923109E" w14:textId="05F32124" w:rsidR="00CC38B1" w:rsidRPr="005811CA" w:rsidRDefault="00CC38B1">
                            <w:pPr>
                              <w:rPr>
                                <w:color w:val="548DD4" w:themeColor="text2" w:themeTint="99"/>
                                <w14:textOutline w14:w="12700" w14:cap="rnd" w14:cmpd="sng" w14:algn="ctr">
                                  <w14:solidFill>
                                    <w14:schemeClr w14:val="tx2"/>
                                  </w14:solidFill>
                                  <w14:prstDash w14:val="solid"/>
                                  <w14:bevel/>
                                </w14:textOutline>
                              </w:rPr>
                            </w:pPr>
                          </w:p>
                        </w:txbxContent>
                      </v:textbox>
                    </v:shape>
                  </w:pict>
                </mc:Fallback>
              </mc:AlternateContent>
            </w:r>
            <w:r w:rsidR="008D2C4C" w:rsidRPr="004C61BF">
              <w:rPr>
                <w:rFonts w:ascii="Arial Narrow" w:hAnsi="Arial Narrow"/>
                <w:b/>
                <w:i/>
              </w:rPr>
              <w:t>Rationale</w:t>
            </w:r>
          </w:p>
        </w:tc>
      </w:tr>
      <w:tr w:rsidR="008D2C4C" w:rsidRPr="004C61BF" w14:paraId="1E0F6FBE" w14:textId="77777777" w:rsidTr="001219D1">
        <w:tc>
          <w:tcPr>
            <w:cnfStyle w:val="001000000000" w:firstRow="0" w:lastRow="0" w:firstColumn="1" w:lastColumn="0" w:oddVBand="0" w:evenVBand="0" w:oddHBand="0" w:evenHBand="0" w:firstRowFirstColumn="0" w:firstRowLastColumn="0" w:lastRowFirstColumn="0" w:lastRowLastColumn="0"/>
            <w:tcW w:w="1019" w:type="pct"/>
          </w:tcPr>
          <w:p w14:paraId="46311DBF" w14:textId="77777777" w:rsidR="008D2C4C" w:rsidRDefault="008D2C4C" w:rsidP="009D0CE4">
            <w:pPr>
              <w:rPr>
                <w:rFonts w:ascii="Arial Narrow" w:hAnsi="Arial Narrow"/>
              </w:rPr>
            </w:pPr>
            <w:r w:rsidRPr="00D229AC">
              <w:rPr>
                <w:rFonts w:ascii="Arial Narrow" w:hAnsi="Arial Narrow"/>
              </w:rPr>
              <w:t>Section 1: Record Identification Fields</w:t>
            </w:r>
          </w:p>
          <w:p w14:paraId="1644B5F9" w14:textId="77777777" w:rsidR="00CC38B1" w:rsidRPr="00D229AC" w:rsidRDefault="00CC38B1" w:rsidP="009D0CE4">
            <w:pPr>
              <w:rPr>
                <w:rFonts w:ascii="Arial Narrow" w:hAnsi="Arial Narrow"/>
              </w:rPr>
            </w:pPr>
          </w:p>
        </w:tc>
        <w:tc>
          <w:tcPr>
            <w:tcW w:w="1481" w:type="pct"/>
          </w:tcPr>
          <w:p w14:paraId="6505DC15" w14:textId="77777777" w:rsidR="008D2C4C" w:rsidRPr="00A17FA9" w:rsidRDefault="008D2C4C"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17FA9">
              <w:rPr>
                <w:rFonts w:ascii="Arial Narrow" w:hAnsi="Arial Narrow"/>
              </w:rPr>
              <w:t>No changes</w:t>
            </w:r>
          </w:p>
        </w:tc>
        <w:tc>
          <w:tcPr>
            <w:tcW w:w="2500" w:type="pct"/>
          </w:tcPr>
          <w:p w14:paraId="2CD90E89" w14:textId="02FDF936" w:rsidR="008D2C4C" w:rsidRPr="004C61BF" w:rsidRDefault="008D2C4C"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8D2C4C" w:rsidRPr="004C61BF" w14:paraId="0D9C6351"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654EF928" w14:textId="77777777" w:rsidR="008D2C4C" w:rsidRDefault="008D2C4C" w:rsidP="009D0CE4">
            <w:pPr>
              <w:rPr>
                <w:rFonts w:ascii="Arial Narrow" w:hAnsi="Arial Narrow"/>
              </w:rPr>
            </w:pPr>
            <w:r w:rsidRPr="00D229AC">
              <w:rPr>
                <w:rFonts w:ascii="Arial Narrow" w:hAnsi="Arial Narrow"/>
              </w:rPr>
              <w:t>Section 2: Partner Health System Characteristics</w:t>
            </w:r>
          </w:p>
          <w:p w14:paraId="513E9AEC" w14:textId="77777777" w:rsidR="00CC38B1" w:rsidRPr="00D229AC" w:rsidRDefault="00CC38B1" w:rsidP="009D0CE4">
            <w:pPr>
              <w:rPr>
                <w:rFonts w:ascii="Arial Narrow" w:hAnsi="Arial Narrow"/>
              </w:rPr>
            </w:pPr>
          </w:p>
        </w:tc>
        <w:tc>
          <w:tcPr>
            <w:tcW w:w="1481" w:type="pct"/>
          </w:tcPr>
          <w:p w14:paraId="69CA33D6" w14:textId="44139397" w:rsidR="008D2C4C" w:rsidRPr="00A17FA9" w:rsidRDefault="00A17FA9"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17FA9">
              <w:rPr>
                <w:rFonts w:ascii="Arial Narrow" w:hAnsi="Arial Narrow"/>
              </w:rPr>
              <w:t>No changes</w:t>
            </w:r>
          </w:p>
        </w:tc>
        <w:tc>
          <w:tcPr>
            <w:tcW w:w="2500" w:type="pct"/>
          </w:tcPr>
          <w:p w14:paraId="0D338C5C" w14:textId="56E7B36E" w:rsidR="008D2C4C" w:rsidRPr="004C61BF" w:rsidRDefault="005811CA"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C38B1">
              <w:rPr>
                <w:rFonts w:ascii="Arial Narrow" w:hAnsi="Arial Narrow"/>
                <w:noProof/>
              </w:rPr>
              <mc:AlternateContent>
                <mc:Choice Requires="wps">
                  <w:drawing>
                    <wp:anchor distT="45720" distB="45720" distL="114300" distR="114300" simplePos="0" relativeHeight="251667456" behindDoc="0" locked="0" layoutInCell="1" allowOverlap="1" wp14:anchorId="11DB6D96" wp14:editId="1BAF1ADE">
                      <wp:simplePos x="0" y="0"/>
                      <wp:positionH relativeFrom="column">
                        <wp:posOffset>-68580</wp:posOffset>
                      </wp:positionH>
                      <wp:positionV relativeFrom="paragraph">
                        <wp:posOffset>1482</wp:posOffset>
                      </wp:positionV>
                      <wp:extent cx="4318000" cy="464820"/>
                      <wp:effectExtent l="0" t="0" r="2540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464820"/>
                              </a:xfrm>
                              <a:prstGeom prst="rect">
                                <a:avLst/>
                              </a:prstGeom>
                              <a:pattFill prst="pct20">
                                <a:fgClr>
                                  <a:schemeClr val="tx2">
                                    <a:lumMod val="40000"/>
                                    <a:lumOff val="60000"/>
                                  </a:schemeClr>
                                </a:fgClr>
                                <a:bgClr>
                                  <a:schemeClr val="bg1"/>
                                </a:bgClr>
                              </a:pattFill>
                              <a:ln w="9525">
                                <a:solidFill>
                                  <a:schemeClr val="accent1">
                                    <a:lumMod val="20000"/>
                                    <a:lumOff val="80000"/>
                                  </a:schemeClr>
                                </a:solidFill>
                                <a:miter lim="800000"/>
                                <a:headEnd/>
                                <a:tailEnd/>
                              </a:ln>
                            </wps:spPr>
                            <wps:txbx>
                              <w:txbxContent>
                                <w:p w14:paraId="268EFF5F" w14:textId="77777777" w:rsidR="005811CA" w:rsidRPr="00726127" w:rsidRDefault="005811CA" w:rsidP="005811CA">
                                  <w:pPr>
                                    <w:rPr>
                                      <w:color w:val="548DD4" w:themeColor="text2" w:themeTint="99"/>
                                      <w14:textOutline w14:w="9525" w14:cap="rnd" w14:cmpd="sng" w14:algn="ctr">
                                        <w14:solidFill>
                                          <w14:schemeClr w14:val="tx2">
                                            <w14:lumMod w14:val="40000"/>
                                            <w14:lumOff w14:val="6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B6D96" id="_x0000_s1029" type="#_x0000_t202" style="position:absolute;margin-left:-5.4pt;margin-top:.1pt;width:340pt;height:3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" fillcolor="#8db3e2 [1311]" strokecolor="#dbe5f1 [660]">
                      <v:fill r:id="rId8" o:title="" color2="white [3212]" type="pattern"/>
                      <v:textbox>
                        <w:txbxContent>
                          <w:p w14:paraId="268EFF5F" w14:textId="77777777" w:rsidR="005811CA" w:rsidRPr="00726127" w:rsidRDefault="005811CA" w:rsidP="005811CA">
                            <w:pPr>
                              <w:rPr>
                                <w:color w:val="548DD4" w:themeColor="text2" w:themeTint="99"/>
                                <w14:textOutline w14:w="9525" w14:cap="rnd" w14:cmpd="sng" w14:algn="ctr">
                                  <w14:solidFill>
                                    <w14:schemeClr w14:val="tx2">
                                      <w14:lumMod w14:val="40000"/>
                                      <w14:lumOff w14:val="60000"/>
                                    </w14:schemeClr>
                                  </w14:solidFill>
                                  <w14:prstDash w14:val="solid"/>
                                  <w14:bevel/>
                                </w14:textOutline>
                              </w:rPr>
                            </w:pPr>
                          </w:p>
                        </w:txbxContent>
                      </v:textbox>
                    </v:shape>
                  </w:pict>
                </mc:Fallback>
              </mc:AlternateContent>
            </w:r>
          </w:p>
        </w:tc>
      </w:tr>
      <w:tr w:rsidR="008D2C4C" w:rsidRPr="004C61BF" w14:paraId="55976706" w14:textId="77777777" w:rsidTr="001219D1">
        <w:tc>
          <w:tcPr>
            <w:cnfStyle w:val="001000000000" w:firstRow="0" w:lastRow="0" w:firstColumn="1" w:lastColumn="0" w:oddVBand="0" w:evenVBand="0" w:oddHBand="0" w:evenHBand="0" w:firstRowFirstColumn="0" w:firstRowLastColumn="0" w:lastRowFirstColumn="0" w:lastRowLastColumn="0"/>
            <w:tcW w:w="1019" w:type="pct"/>
          </w:tcPr>
          <w:p w14:paraId="6A3D7DED" w14:textId="6F901DEE" w:rsidR="008D2C4C" w:rsidRPr="00D229AC" w:rsidRDefault="00A17FA9" w:rsidP="009D0CE4">
            <w:pPr>
              <w:rPr>
                <w:rFonts w:ascii="Arial Narrow" w:hAnsi="Arial Narrow"/>
              </w:rPr>
            </w:pPr>
            <w:r w:rsidRPr="00D229AC">
              <w:rPr>
                <w:rFonts w:ascii="Arial Narrow" w:hAnsi="Arial Narrow"/>
              </w:rPr>
              <w:t>Section 3: Clinic Characteristics</w:t>
            </w:r>
          </w:p>
        </w:tc>
        <w:tc>
          <w:tcPr>
            <w:tcW w:w="1481" w:type="pct"/>
          </w:tcPr>
          <w:p w14:paraId="5414EC2D" w14:textId="4DF9AE2F" w:rsidR="008D2C4C" w:rsidRDefault="008D2C4C" w:rsidP="005F4A4E">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F2191">
              <w:rPr>
                <w:rFonts w:ascii="Arial Narrow" w:hAnsi="Arial Narrow"/>
                <w:b/>
              </w:rPr>
              <w:t>Added</w:t>
            </w:r>
            <w:r>
              <w:rPr>
                <w:rFonts w:ascii="Arial Narrow" w:hAnsi="Arial Narrow"/>
              </w:rPr>
              <w:t xml:space="preserve"> </w:t>
            </w:r>
            <w:r w:rsidR="00927950">
              <w:rPr>
                <w:rFonts w:ascii="Arial Narrow" w:hAnsi="Arial Narrow"/>
                <w:color w:val="C00000"/>
              </w:rPr>
              <w:t>1</w:t>
            </w:r>
            <w:r w:rsidR="007D65A6" w:rsidRPr="00CC38B1">
              <w:rPr>
                <w:rFonts w:ascii="Arial Narrow" w:hAnsi="Arial Narrow"/>
                <w:color w:val="C00000"/>
              </w:rPr>
              <w:t xml:space="preserve"> </w:t>
            </w:r>
            <w:r w:rsidR="005F4A4E">
              <w:rPr>
                <w:rFonts w:ascii="Arial Narrow" w:hAnsi="Arial Narrow"/>
                <w:color w:val="C00000"/>
              </w:rPr>
              <w:t>question</w:t>
            </w:r>
            <w:r w:rsidR="005F4A4E" w:rsidRPr="00CC38B1">
              <w:rPr>
                <w:rFonts w:ascii="Arial Narrow" w:hAnsi="Arial Narrow"/>
                <w:color w:val="C00000"/>
              </w:rPr>
              <w:t xml:space="preserve"> </w:t>
            </w:r>
            <w:r w:rsidR="00A17FA9">
              <w:rPr>
                <w:rFonts w:ascii="Arial Narrow" w:hAnsi="Arial Narrow"/>
              </w:rPr>
              <w:t>to determine whether clinic is newly opened</w:t>
            </w:r>
            <w:r w:rsidR="00CC38B1">
              <w:rPr>
                <w:rFonts w:ascii="Arial Narrow" w:hAnsi="Arial Narrow"/>
              </w:rPr>
              <w:t>.</w:t>
            </w:r>
          </w:p>
        </w:tc>
        <w:tc>
          <w:tcPr>
            <w:tcW w:w="2500" w:type="pct"/>
          </w:tcPr>
          <w:p w14:paraId="41BCF6AD" w14:textId="783824DA" w:rsidR="00A17FA9" w:rsidRDefault="00A17FA9"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In Program Year 1, CDC found that </w:t>
            </w:r>
            <w:r w:rsidR="0061756D">
              <w:rPr>
                <w:rFonts w:ascii="Arial Narrow" w:hAnsi="Arial Narrow"/>
              </w:rPr>
              <w:t xml:space="preserve">several </w:t>
            </w:r>
            <w:r>
              <w:rPr>
                <w:rFonts w:ascii="Arial Narrow" w:hAnsi="Arial Narrow"/>
              </w:rPr>
              <w:t xml:space="preserve">grantees were unable to report screening rates at baseline </w:t>
            </w:r>
            <w:r w:rsidR="005F4A4E">
              <w:rPr>
                <w:rFonts w:ascii="Arial Narrow" w:hAnsi="Arial Narrow"/>
              </w:rPr>
              <w:t>due to the fact that these</w:t>
            </w:r>
            <w:r>
              <w:rPr>
                <w:rFonts w:ascii="Arial Narrow" w:hAnsi="Arial Narrow"/>
              </w:rPr>
              <w:t xml:space="preserve"> clinics were newly established. </w:t>
            </w:r>
          </w:p>
          <w:p w14:paraId="55CAAF87" w14:textId="77777777" w:rsidR="00A17FA9" w:rsidRDefault="00A17FA9"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355750C3" w14:textId="08FBAC8E" w:rsidR="00A70E67" w:rsidRDefault="00A17FA9"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In Program Years 2-5, this item will determine whether the clinic is newly established (i.e., operating less than one year). Analysis will assess whether newly opened clinics </w:t>
            </w:r>
            <w:r w:rsidR="00BB09D6">
              <w:rPr>
                <w:rFonts w:ascii="Arial Narrow" w:hAnsi="Arial Narrow"/>
              </w:rPr>
              <w:t xml:space="preserve">observe </w:t>
            </w:r>
            <w:r>
              <w:rPr>
                <w:rFonts w:ascii="Arial Narrow" w:hAnsi="Arial Narrow"/>
              </w:rPr>
              <w:t>significantly different screening rates</w:t>
            </w:r>
            <w:r w:rsidR="00BB09D6">
              <w:rPr>
                <w:rFonts w:ascii="Arial Narrow" w:hAnsi="Arial Narrow"/>
              </w:rPr>
              <w:t xml:space="preserve"> from established clinics</w:t>
            </w:r>
            <w:r>
              <w:rPr>
                <w:rFonts w:ascii="Arial Narrow" w:hAnsi="Arial Narrow"/>
              </w:rPr>
              <w:t>.</w:t>
            </w:r>
          </w:p>
          <w:p w14:paraId="54F85310" w14:textId="175A6ECA" w:rsidR="004F2191" w:rsidRPr="004C61BF" w:rsidRDefault="004F2191"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8D2C4C" w:rsidRPr="004C61BF" w14:paraId="5CC082E2"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21B96C65" w14:textId="77777777" w:rsidR="008D2C4C" w:rsidRDefault="008D2C4C" w:rsidP="009D0CE4">
            <w:pPr>
              <w:rPr>
                <w:rFonts w:ascii="Arial Narrow" w:hAnsi="Arial Narrow"/>
              </w:rPr>
            </w:pPr>
            <w:r w:rsidRPr="00D229AC">
              <w:rPr>
                <w:rFonts w:ascii="Arial Narrow" w:hAnsi="Arial Narrow"/>
              </w:rPr>
              <w:t>Section 4: Clinic Patient Population Characteristics</w:t>
            </w:r>
          </w:p>
          <w:p w14:paraId="2C5845B2" w14:textId="5BBC9FCA" w:rsidR="00CC38B1" w:rsidRPr="00D229AC" w:rsidRDefault="00CC38B1" w:rsidP="009D0CE4">
            <w:pPr>
              <w:rPr>
                <w:rFonts w:ascii="Arial Narrow" w:hAnsi="Arial Narrow"/>
              </w:rPr>
            </w:pPr>
          </w:p>
        </w:tc>
        <w:tc>
          <w:tcPr>
            <w:tcW w:w="1481" w:type="pct"/>
          </w:tcPr>
          <w:p w14:paraId="51768273" w14:textId="6C1C1791" w:rsidR="008D2C4C" w:rsidRPr="004001BF" w:rsidRDefault="004F2191" w:rsidP="005F4A4E">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001BF">
              <w:rPr>
                <w:rFonts w:ascii="Arial Narrow" w:hAnsi="Arial Narrow"/>
                <w:b/>
              </w:rPr>
              <w:t>Removed</w:t>
            </w:r>
            <w:r w:rsidRPr="004001BF">
              <w:rPr>
                <w:rFonts w:ascii="Arial Narrow" w:hAnsi="Arial Narrow"/>
              </w:rPr>
              <w:t xml:space="preserve"> </w:t>
            </w:r>
            <w:r w:rsidR="00927950">
              <w:rPr>
                <w:rFonts w:ascii="Arial Narrow" w:hAnsi="Arial Narrow"/>
                <w:color w:val="C00000"/>
              </w:rPr>
              <w:t>1</w:t>
            </w:r>
            <w:r w:rsidRPr="004001BF">
              <w:rPr>
                <w:rFonts w:ascii="Arial Narrow" w:hAnsi="Arial Narrow"/>
                <w:color w:val="C00000"/>
              </w:rPr>
              <w:t xml:space="preserve"> </w:t>
            </w:r>
            <w:r w:rsidR="005F4A4E">
              <w:rPr>
                <w:rFonts w:ascii="Arial Narrow" w:hAnsi="Arial Narrow"/>
                <w:color w:val="C00000"/>
              </w:rPr>
              <w:t>question</w:t>
            </w:r>
            <w:r w:rsidRPr="004001BF">
              <w:rPr>
                <w:rFonts w:ascii="Arial Narrow" w:hAnsi="Arial Narrow"/>
                <w:color w:val="C00000"/>
              </w:rPr>
              <w:t xml:space="preserve"> </w:t>
            </w:r>
            <w:r w:rsidRPr="004001BF">
              <w:rPr>
                <w:rFonts w:ascii="Arial Narrow" w:hAnsi="Arial Narrow"/>
              </w:rPr>
              <w:t>“% of patients, age 50-75, Non-Hispanic”</w:t>
            </w:r>
          </w:p>
        </w:tc>
        <w:tc>
          <w:tcPr>
            <w:tcW w:w="2500" w:type="pct"/>
          </w:tcPr>
          <w:p w14:paraId="334736ED" w14:textId="604467CD" w:rsidR="004F2191" w:rsidRDefault="00DB3937" w:rsidP="00DB3937">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A</w:t>
            </w:r>
            <w:r w:rsidR="004F2191">
              <w:rPr>
                <w:rFonts w:ascii="Arial Narrow" w:hAnsi="Arial Narrow"/>
              </w:rPr>
              <w:t xml:space="preserve"> similar </w:t>
            </w:r>
            <w:r w:rsidR="00603EF0">
              <w:rPr>
                <w:rFonts w:ascii="Arial Narrow" w:hAnsi="Arial Narrow"/>
              </w:rPr>
              <w:t xml:space="preserve">question </w:t>
            </w:r>
            <w:r w:rsidR="004F2191">
              <w:rPr>
                <w:rFonts w:ascii="Arial Narrow" w:hAnsi="Arial Narrow"/>
              </w:rPr>
              <w:t>measures the percent of patie</w:t>
            </w:r>
            <w:r>
              <w:rPr>
                <w:rFonts w:ascii="Arial Narrow" w:hAnsi="Arial Narrow"/>
              </w:rPr>
              <w:t xml:space="preserve">nts age 50-75 who are Hispanic; therefore, </w:t>
            </w:r>
            <w:r w:rsidR="004F2191">
              <w:rPr>
                <w:rFonts w:ascii="Arial Narrow" w:hAnsi="Arial Narrow"/>
              </w:rPr>
              <w:t xml:space="preserve">CDC determined that it was unnecessary to also measure the percent of patients who were non-Hispanic as this can be </w:t>
            </w:r>
            <w:r w:rsidR="00BB09D6">
              <w:rPr>
                <w:rFonts w:ascii="Arial Narrow" w:hAnsi="Arial Narrow"/>
              </w:rPr>
              <w:t xml:space="preserve">calculated </w:t>
            </w:r>
            <w:r w:rsidR="004F2191">
              <w:rPr>
                <w:rFonts w:ascii="Arial Narrow" w:hAnsi="Arial Narrow"/>
              </w:rPr>
              <w:t xml:space="preserve">during analysis. </w:t>
            </w:r>
          </w:p>
          <w:p w14:paraId="4A7745E0" w14:textId="482AF6B4" w:rsidR="00DB3937" w:rsidRPr="004C61BF" w:rsidRDefault="00DB3937" w:rsidP="00DB3937">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8D2C4C" w:rsidRPr="004C61BF" w14:paraId="63BEB870" w14:textId="77777777" w:rsidTr="001219D1">
        <w:tc>
          <w:tcPr>
            <w:cnfStyle w:val="001000000000" w:firstRow="0" w:lastRow="0" w:firstColumn="1" w:lastColumn="0" w:oddVBand="0" w:evenVBand="0" w:oddHBand="0" w:evenHBand="0" w:firstRowFirstColumn="0" w:firstRowLastColumn="0" w:lastRowFirstColumn="0" w:lastRowLastColumn="0"/>
            <w:tcW w:w="1019" w:type="pct"/>
          </w:tcPr>
          <w:p w14:paraId="6069F024" w14:textId="77777777" w:rsidR="008D2C4C" w:rsidRPr="00D229AC" w:rsidRDefault="008D2C4C" w:rsidP="009D0CE4">
            <w:pPr>
              <w:rPr>
                <w:rFonts w:ascii="Arial Narrow" w:hAnsi="Arial Narrow"/>
              </w:rPr>
            </w:pPr>
            <w:r w:rsidRPr="00D229AC">
              <w:rPr>
                <w:rFonts w:ascii="Arial Narrow" w:hAnsi="Arial Narrow"/>
              </w:rPr>
              <w:t>Section 5: Report Period</w:t>
            </w:r>
          </w:p>
        </w:tc>
        <w:tc>
          <w:tcPr>
            <w:tcW w:w="1481" w:type="pct"/>
          </w:tcPr>
          <w:p w14:paraId="5B2E7F53" w14:textId="030052A3" w:rsidR="008D2C4C" w:rsidRDefault="004001BF" w:rsidP="005F4A4E">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b/>
              </w:rPr>
              <w:t>Revised</w:t>
            </w:r>
            <w:r w:rsidR="00CC38B1">
              <w:rPr>
                <w:rFonts w:ascii="Arial Narrow" w:hAnsi="Arial Narrow"/>
              </w:rPr>
              <w:t xml:space="preserve"> </w:t>
            </w:r>
            <w:r w:rsidR="00927950">
              <w:rPr>
                <w:rFonts w:ascii="Arial Narrow" w:hAnsi="Arial Narrow"/>
                <w:color w:val="C00000"/>
              </w:rPr>
              <w:t>1</w:t>
            </w:r>
            <w:r w:rsidR="00CC38B1" w:rsidRPr="00CC38B1">
              <w:rPr>
                <w:rFonts w:ascii="Arial Narrow" w:hAnsi="Arial Narrow"/>
                <w:color w:val="C00000"/>
              </w:rPr>
              <w:t xml:space="preserve"> </w:t>
            </w:r>
            <w:r w:rsidR="005F4A4E">
              <w:rPr>
                <w:rFonts w:ascii="Arial Narrow" w:hAnsi="Arial Narrow"/>
                <w:color w:val="C00000"/>
              </w:rPr>
              <w:t>question</w:t>
            </w:r>
            <w:r w:rsidR="008D2C4C" w:rsidRPr="00CC38B1">
              <w:rPr>
                <w:rFonts w:ascii="Arial Narrow" w:hAnsi="Arial Narrow"/>
                <w:color w:val="C00000"/>
              </w:rPr>
              <w:t xml:space="preserve"> </w:t>
            </w:r>
            <w:r w:rsidR="008D2C4C">
              <w:rPr>
                <w:rFonts w:ascii="Arial Narrow" w:hAnsi="Arial Narrow"/>
              </w:rPr>
              <w:t xml:space="preserve">to </w:t>
            </w:r>
            <w:r w:rsidR="00CC38B1">
              <w:rPr>
                <w:rFonts w:ascii="Arial Narrow" w:hAnsi="Arial Narrow"/>
              </w:rPr>
              <w:t>determine</w:t>
            </w:r>
            <w:r w:rsidR="008D2C4C">
              <w:rPr>
                <w:rFonts w:ascii="Arial Narrow" w:hAnsi="Arial Narrow"/>
              </w:rPr>
              <w:t xml:space="preserve"> clinic partnership status</w:t>
            </w:r>
            <w:r w:rsidR="00CC38B1">
              <w:rPr>
                <w:rFonts w:ascii="Arial Narrow" w:hAnsi="Arial Narrow"/>
              </w:rPr>
              <w:t>.</w:t>
            </w:r>
          </w:p>
        </w:tc>
        <w:tc>
          <w:tcPr>
            <w:tcW w:w="2500" w:type="pct"/>
          </w:tcPr>
          <w:p w14:paraId="242749D3" w14:textId="3B4EFA8A" w:rsidR="00B12E23" w:rsidRDefault="00B12E23" w:rsidP="00A70E67">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In Program Year 1, CDC assessed clinics’ implementation plan status to determine whether the clinic planned to continue CRCCP activities with CDC funding; sustain CRCCP activities without CDC funding or terminate the partnership with the grantee. CDC found that information on CRCCP activities irrespective of CRCCP funding was not essential to gather.  </w:t>
            </w:r>
          </w:p>
          <w:p w14:paraId="6A3FD135" w14:textId="77777777" w:rsidR="00B12E23" w:rsidRDefault="00B12E23" w:rsidP="00A70E67">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21D782B9" w14:textId="034DE1B3" w:rsidR="008D2C4C" w:rsidRPr="004C61BF" w:rsidRDefault="00BB09D6" w:rsidP="00BB09D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The item has been revised so that i</w:t>
            </w:r>
            <w:r w:rsidR="00B12E23">
              <w:rPr>
                <w:rFonts w:ascii="Arial Narrow" w:hAnsi="Arial Narrow"/>
              </w:rPr>
              <w:t xml:space="preserve">n Program Years 2-5, </w:t>
            </w:r>
            <w:r>
              <w:rPr>
                <w:rFonts w:ascii="Arial Narrow" w:hAnsi="Arial Narrow"/>
              </w:rPr>
              <w:t>the item</w:t>
            </w:r>
            <w:r w:rsidR="00B12E23">
              <w:rPr>
                <w:rFonts w:ascii="Arial Narrow" w:hAnsi="Arial Narrow"/>
              </w:rPr>
              <w:t xml:space="preserve"> will instead determine whether the grantee’s partnership with the clinic is still active. </w:t>
            </w:r>
          </w:p>
        </w:tc>
      </w:tr>
      <w:tr w:rsidR="008D2C4C" w:rsidRPr="004C61BF" w14:paraId="7C522F04"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618011A4" w14:textId="77777777" w:rsidR="008D2C4C" w:rsidRDefault="008D2C4C" w:rsidP="009D0CE4">
            <w:pPr>
              <w:rPr>
                <w:rFonts w:ascii="Arial Narrow" w:hAnsi="Arial Narrow"/>
              </w:rPr>
            </w:pPr>
            <w:r w:rsidRPr="00D229AC">
              <w:rPr>
                <w:rFonts w:ascii="Arial Narrow" w:hAnsi="Arial Narrow"/>
              </w:rPr>
              <w:t>Section 6: Chart Review Screening Rate Data</w:t>
            </w:r>
          </w:p>
          <w:p w14:paraId="26B69A99" w14:textId="1247DEEC" w:rsidR="00CC38B1" w:rsidRPr="00D229AC" w:rsidRDefault="00CC38B1" w:rsidP="009D0CE4">
            <w:pPr>
              <w:rPr>
                <w:rFonts w:ascii="Arial Narrow" w:hAnsi="Arial Narrow"/>
              </w:rPr>
            </w:pPr>
          </w:p>
        </w:tc>
        <w:tc>
          <w:tcPr>
            <w:tcW w:w="1481" w:type="pct"/>
          </w:tcPr>
          <w:p w14:paraId="4655A75D" w14:textId="77777777" w:rsidR="008D2C4C" w:rsidRPr="00CC38B1" w:rsidRDefault="00F03D58"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C38B1">
              <w:rPr>
                <w:rFonts w:ascii="Arial Narrow" w:hAnsi="Arial Narrow"/>
              </w:rPr>
              <w:t>No changes</w:t>
            </w:r>
          </w:p>
        </w:tc>
        <w:tc>
          <w:tcPr>
            <w:tcW w:w="2500" w:type="pct"/>
          </w:tcPr>
          <w:p w14:paraId="5F027512" w14:textId="4AD2DD8A" w:rsidR="008D2C4C" w:rsidRPr="004C61BF" w:rsidRDefault="005811CA"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C38B1">
              <w:rPr>
                <w:rFonts w:ascii="Arial Narrow" w:hAnsi="Arial Narrow"/>
                <w:noProof/>
              </w:rPr>
              <mc:AlternateContent>
                <mc:Choice Requires="wps">
                  <w:drawing>
                    <wp:anchor distT="45720" distB="45720" distL="114300" distR="114300" simplePos="0" relativeHeight="251671552" behindDoc="0" locked="0" layoutInCell="1" allowOverlap="1" wp14:anchorId="1689D4DF" wp14:editId="41BE58D1">
                      <wp:simplePos x="0" y="0"/>
                      <wp:positionH relativeFrom="column">
                        <wp:posOffset>-60113</wp:posOffset>
                      </wp:positionH>
                      <wp:positionV relativeFrom="paragraph">
                        <wp:posOffset>6138</wp:posOffset>
                      </wp:positionV>
                      <wp:extent cx="4318000" cy="457200"/>
                      <wp:effectExtent l="0" t="0" r="254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457200"/>
                              </a:xfrm>
                              <a:prstGeom prst="rect">
                                <a:avLst/>
                              </a:prstGeom>
                              <a:pattFill prst="pct20">
                                <a:fgClr>
                                  <a:schemeClr val="tx2">
                                    <a:lumMod val="40000"/>
                                    <a:lumOff val="60000"/>
                                  </a:schemeClr>
                                </a:fgClr>
                                <a:bgClr>
                                  <a:schemeClr val="bg1"/>
                                </a:bgClr>
                              </a:pattFill>
                              <a:ln w="9525">
                                <a:solidFill>
                                  <a:schemeClr val="accent1">
                                    <a:lumMod val="20000"/>
                                    <a:lumOff val="80000"/>
                                  </a:schemeClr>
                                </a:solidFill>
                                <a:miter lim="800000"/>
                                <a:headEnd/>
                                <a:tailEnd/>
                              </a:ln>
                            </wps:spPr>
                            <wps:txbx>
                              <w:txbxContent>
                                <w:p w14:paraId="6D3CA6AB" w14:textId="7F70C807" w:rsidR="005811CA" w:rsidRPr="005811CA" w:rsidRDefault="005811CA" w:rsidP="005811CA">
                                  <w:pPr>
                                    <w:rPr>
                                      <w:color w:val="548DD4" w:themeColor="text2" w:themeTint="99"/>
                                      <w14:textOutline w14:w="12700" w14:cap="rnd" w14:cmpd="sng" w14:algn="ctr">
                                        <w14:solidFill>
                                          <w14:schemeClr w14:val="tx2"/>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9D4DF" id="_x0000_s1030" type="#_x0000_t202" style="position:absolute;margin-left:-4.75pt;margin-top:.5pt;width:340pt;height:3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" fillcolor="#8db3e2 [1311]" strokecolor="#dbe5f1 [660]">
                      <v:fill r:id="rId8" o:title="" color2="white [3212]" type="pattern"/>
                      <v:textbox>
                        <w:txbxContent>
                          <w:p w14:paraId="6D3CA6AB" w14:textId="7F70C807" w:rsidR="005811CA" w:rsidRPr="005811CA" w:rsidRDefault="005811CA" w:rsidP="005811CA">
                            <w:pPr>
                              <w:rPr>
                                <w:color w:val="548DD4" w:themeColor="text2" w:themeTint="99"/>
                                <w14:textOutline w14:w="12700" w14:cap="rnd" w14:cmpd="sng" w14:algn="ctr">
                                  <w14:solidFill>
                                    <w14:schemeClr w14:val="tx2"/>
                                  </w14:solidFill>
                                  <w14:prstDash w14:val="solid"/>
                                  <w14:bevel/>
                                </w14:textOutline>
                              </w:rPr>
                            </w:pPr>
                          </w:p>
                        </w:txbxContent>
                      </v:textbox>
                    </v:shape>
                  </w:pict>
                </mc:Fallback>
              </mc:AlternateContent>
            </w:r>
          </w:p>
        </w:tc>
      </w:tr>
      <w:tr w:rsidR="008D2C4C" w:rsidRPr="004C61BF" w14:paraId="25B64855" w14:textId="77777777" w:rsidTr="001219D1">
        <w:tc>
          <w:tcPr>
            <w:cnfStyle w:val="001000000000" w:firstRow="0" w:lastRow="0" w:firstColumn="1" w:lastColumn="0" w:oddVBand="0" w:evenVBand="0" w:oddHBand="0" w:evenHBand="0" w:firstRowFirstColumn="0" w:firstRowLastColumn="0" w:lastRowFirstColumn="0" w:lastRowLastColumn="0"/>
            <w:tcW w:w="1019" w:type="pct"/>
            <w:vMerge w:val="restart"/>
          </w:tcPr>
          <w:p w14:paraId="77E2B9D7" w14:textId="77777777" w:rsidR="008D2C4C" w:rsidRPr="00D229AC" w:rsidRDefault="008D2C4C" w:rsidP="009D0CE4">
            <w:pPr>
              <w:rPr>
                <w:rFonts w:ascii="Arial Narrow" w:hAnsi="Arial Narrow"/>
              </w:rPr>
            </w:pPr>
            <w:r w:rsidRPr="00D229AC">
              <w:rPr>
                <w:rFonts w:ascii="Arial Narrow" w:hAnsi="Arial Narrow"/>
              </w:rPr>
              <w:t>Section 7: Electronic Health Records (EHRs) Screening Rate Data</w:t>
            </w:r>
          </w:p>
        </w:tc>
        <w:tc>
          <w:tcPr>
            <w:tcW w:w="1481" w:type="pct"/>
          </w:tcPr>
          <w:p w14:paraId="50006404" w14:textId="403419B7" w:rsidR="008D2C4C" w:rsidRDefault="008D2C4C" w:rsidP="005F4A4E">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F2191">
              <w:rPr>
                <w:rFonts w:ascii="Arial Narrow" w:hAnsi="Arial Narrow"/>
                <w:b/>
              </w:rPr>
              <w:t>Added</w:t>
            </w:r>
            <w:r>
              <w:rPr>
                <w:rFonts w:ascii="Arial Narrow" w:hAnsi="Arial Narrow"/>
              </w:rPr>
              <w:t xml:space="preserve"> </w:t>
            </w:r>
            <w:r w:rsidRPr="00280590">
              <w:rPr>
                <w:rFonts w:ascii="Arial Narrow" w:hAnsi="Arial Narrow"/>
                <w:color w:val="C00000"/>
              </w:rPr>
              <w:t xml:space="preserve">2 </w:t>
            </w:r>
            <w:r w:rsidR="005F4A4E">
              <w:rPr>
                <w:rFonts w:ascii="Arial Narrow" w:hAnsi="Arial Narrow"/>
                <w:color w:val="C00000"/>
              </w:rPr>
              <w:t>questions</w:t>
            </w:r>
            <w:r w:rsidRPr="00280590">
              <w:rPr>
                <w:rFonts w:ascii="Arial Narrow" w:hAnsi="Arial Narrow"/>
                <w:color w:val="C00000"/>
              </w:rPr>
              <w:t xml:space="preserve"> </w:t>
            </w:r>
            <w:r>
              <w:rPr>
                <w:rFonts w:ascii="Arial Narrow" w:hAnsi="Arial Narrow"/>
              </w:rPr>
              <w:t>to identify and describe any problems with reported screening rate</w:t>
            </w:r>
          </w:p>
        </w:tc>
        <w:tc>
          <w:tcPr>
            <w:tcW w:w="2500" w:type="pct"/>
          </w:tcPr>
          <w:p w14:paraId="1E7A81AD" w14:textId="298485DB" w:rsidR="00280590" w:rsidRDefault="00280590"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In Program Year 1, CDC found that some grantees provided low quality screening data due to unforeseen challenges collecting screening data from clinics</w:t>
            </w:r>
            <w:r w:rsidR="005F4A4E">
              <w:rPr>
                <w:rFonts w:ascii="Arial Narrow" w:hAnsi="Arial Narrow"/>
              </w:rPr>
              <w:t xml:space="preserve"> (e.g., inaccurate reports from electronic health record systems), and expressed a low level of confidence in reported screening rates.</w:t>
            </w:r>
          </w:p>
          <w:p w14:paraId="5444B431" w14:textId="77777777" w:rsidR="00280590" w:rsidRDefault="00280590"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3A09D17C" w14:textId="333479B8" w:rsidR="008D2C4C" w:rsidRPr="004C61BF" w:rsidRDefault="00280590" w:rsidP="005F4A4E">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For Program Years 2-5, this item will provide context </w:t>
            </w:r>
            <w:r w:rsidR="005F4A4E">
              <w:rPr>
                <w:rFonts w:ascii="Arial Narrow" w:hAnsi="Arial Narrow"/>
              </w:rPr>
              <w:t>to activities being implemented to monitor and improve data.</w:t>
            </w:r>
          </w:p>
        </w:tc>
      </w:tr>
      <w:tr w:rsidR="008D2C4C" w:rsidRPr="004C61BF" w14:paraId="3D1214B7"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tcPr>
          <w:p w14:paraId="5D01A6E4" w14:textId="5CCD8A6F" w:rsidR="008D2C4C" w:rsidRPr="00D229AC" w:rsidRDefault="008D2C4C" w:rsidP="009D0CE4">
            <w:pPr>
              <w:rPr>
                <w:rFonts w:ascii="Arial Narrow" w:hAnsi="Arial Narrow"/>
              </w:rPr>
            </w:pPr>
          </w:p>
        </w:tc>
        <w:tc>
          <w:tcPr>
            <w:tcW w:w="1481" w:type="pct"/>
          </w:tcPr>
          <w:p w14:paraId="236C53A5" w14:textId="7BA031C2" w:rsidR="008D2C4C" w:rsidRDefault="008D2C4C" w:rsidP="005F4A4E">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F2191">
              <w:rPr>
                <w:rFonts w:ascii="Arial Narrow" w:hAnsi="Arial Narrow"/>
                <w:b/>
              </w:rPr>
              <w:t>Added</w:t>
            </w:r>
            <w:r>
              <w:rPr>
                <w:rFonts w:ascii="Arial Narrow" w:hAnsi="Arial Narrow"/>
              </w:rPr>
              <w:t xml:space="preserve"> </w:t>
            </w:r>
            <w:r w:rsidRPr="00280590">
              <w:rPr>
                <w:rFonts w:ascii="Arial Narrow" w:hAnsi="Arial Narrow"/>
                <w:color w:val="C00000"/>
              </w:rPr>
              <w:t xml:space="preserve">1 </w:t>
            </w:r>
            <w:r w:rsidR="005F4A4E">
              <w:rPr>
                <w:rFonts w:ascii="Arial Narrow" w:hAnsi="Arial Narrow"/>
                <w:color w:val="C00000"/>
              </w:rPr>
              <w:t>question</w:t>
            </w:r>
            <w:r w:rsidRPr="00280590">
              <w:rPr>
                <w:rFonts w:ascii="Arial Narrow" w:hAnsi="Arial Narrow"/>
                <w:color w:val="C00000"/>
              </w:rPr>
              <w:t xml:space="preserve"> </w:t>
            </w:r>
            <w:r>
              <w:rPr>
                <w:rFonts w:ascii="Arial Narrow" w:hAnsi="Arial Narrow"/>
              </w:rPr>
              <w:t xml:space="preserve">to report screening rate target for annual reporting </w:t>
            </w:r>
          </w:p>
        </w:tc>
        <w:tc>
          <w:tcPr>
            <w:tcW w:w="2500" w:type="pct"/>
          </w:tcPr>
          <w:p w14:paraId="25DAA2B8" w14:textId="4421DDF4" w:rsidR="008D2C4C" w:rsidRDefault="00BB09D6"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During Program Year 1, grantees shared an interest </w:t>
            </w:r>
            <w:r w:rsidR="008E4D05">
              <w:rPr>
                <w:rFonts w:ascii="Arial Narrow" w:hAnsi="Arial Narrow"/>
              </w:rPr>
              <w:t xml:space="preserve">in setting </w:t>
            </w:r>
            <w:r>
              <w:rPr>
                <w:rFonts w:ascii="Arial Narrow" w:hAnsi="Arial Narrow"/>
              </w:rPr>
              <w:t xml:space="preserve">clinic-specific targets for improving screening rates. </w:t>
            </w:r>
            <w:r w:rsidR="00274E04">
              <w:rPr>
                <w:rFonts w:ascii="Arial Narrow" w:hAnsi="Arial Narrow"/>
              </w:rPr>
              <w:t>This item is intended to encourage grantees to set screening rate targets for their programs to support them in working towards and established goal and increase chances for success.</w:t>
            </w:r>
          </w:p>
          <w:p w14:paraId="0DD19A1D" w14:textId="46D4F74D" w:rsidR="004001BF" w:rsidRPr="004C61BF" w:rsidRDefault="004001BF"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8D2C4C" w:rsidRPr="004C61BF" w14:paraId="1B76CCF5" w14:textId="77777777" w:rsidTr="001219D1">
        <w:tc>
          <w:tcPr>
            <w:cnfStyle w:val="001000000000" w:firstRow="0" w:lastRow="0" w:firstColumn="1" w:lastColumn="0" w:oddVBand="0" w:evenVBand="0" w:oddHBand="0" w:evenHBand="0" w:firstRowFirstColumn="0" w:firstRowLastColumn="0" w:lastRowFirstColumn="0" w:lastRowLastColumn="0"/>
            <w:tcW w:w="1019" w:type="pct"/>
          </w:tcPr>
          <w:p w14:paraId="79B18393" w14:textId="47D6A605" w:rsidR="008D2C4C" w:rsidRPr="00D229AC" w:rsidRDefault="008D2C4C" w:rsidP="00274E04">
            <w:pPr>
              <w:rPr>
                <w:rFonts w:ascii="Arial Narrow" w:hAnsi="Arial Narrow"/>
              </w:rPr>
            </w:pPr>
            <w:r w:rsidRPr="00D229AC">
              <w:rPr>
                <w:rFonts w:ascii="Arial Narrow" w:hAnsi="Arial Narrow"/>
              </w:rPr>
              <w:t xml:space="preserve">Section 8: Monitoring and Quality Improvement </w:t>
            </w:r>
          </w:p>
        </w:tc>
        <w:tc>
          <w:tcPr>
            <w:tcW w:w="1481" w:type="pct"/>
          </w:tcPr>
          <w:p w14:paraId="6E82A991" w14:textId="1903EAEF" w:rsidR="00274E04" w:rsidRDefault="008D2C4C"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F2191">
              <w:rPr>
                <w:rFonts w:ascii="Arial Narrow" w:hAnsi="Arial Narrow"/>
                <w:b/>
              </w:rPr>
              <w:t>Added</w:t>
            </w:r>
            <w:r>
              <w:rPr>
                <w:rFonts w:ascii="Arial Narrow" w:hAnsi="Arial Narrow"/>
              </w:rPr>
              <w:t xml:space="preserve"> </w:t>
            </w:r>
            <w:r w:rsidRPr="00274E04">
              <w:rPr>
                <w:rFonts w:ascii="Arial Narrow" w:hAnsi="Arial Narrow"/>
                <w:color w:val="C00000"/>
              </w:rPr>
              <w:t xml:space="preserve">6 </w:t>
            </w:r>
            <w:r w:rsidR="005F4A4E">
              <w:rPr>
                <w:rFonts w:ascii="Arial Narrow" w:hAnsi="Arial Narrow"/>
                <w:color w:val="C00000"/>
              </w:rPr>
              <w:t>questions</w:t>
            </w:r>
            <w:r w:rsidRPr="00274E04">
              <w:rPr>
                <w:rFonts w:ascii="Arial Narrow" w:hAnsi="Arial Narrow"/>
                <w:color w:val="C00000"/>
              </w:rPr>
              <w:t xml:space="preserve"> </w:t>
            </w:r>
            <w:r>
              <w:rPr>
                <w:rFonts w:ascii="Arial Narrow" w:hAnsi="Arial Narrow"/>
              </w:rPr>
              <w:t>to</w:t>
            </w:r>
            <w:r w:rsidR="00274E04">
              <w:rPr>
                <w:rFonts w:ascii="Arial Narrow" w:hAnsi="Arial Narrow"/>
              </w:rPr>
              <w:t xml:space="preserve"> measure:</w:t>
            </w:r>
          </w:p>
          <w:p w14:paraId="2F24DB38" w14:textId="0C3138F4" w:rsidR="00274E04" w:rsidRDefault="008D2C4C"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74E04">
              <w:rPr>
                <w:rFonts w:ascii="Arial Narrow" w:hAnsi="Arial Narrow"/>
              </w:rPr>
              <w:t xml:space="preserve">frequency of </w:t>
            </w:r>
            <w:r w:rsidR="00274E04">
              <w:rPr>
                <w:rFonts w:ascii="Arial Narrow" w:hAnsi="Arial Narrow"/>
              </w:rPr>
              <w:t xml:space="preserve">clinic </w:t>
            </w:r>
            <w:r w:rsidRPr="00274E04">
              <w:rPr>
                <w:rFonts w:ascii="Arial Narrow" w:hAnsi="Arial Narrow"/>
              </w:rPr>
              <w:t>screening</w:t>
            </w:r>
            <w:r w:rsidR="00274E04">
              <w:rPr>
                <w:rFonts w:ascii="Arial Narrow" w:hAnsi="Arial Narrow"/>
              </w:rPr>
              <w:t xml:space="preserve"> rate monitoring and review</w:t>
            </w:r>
          </w:p>
          <w:p w14:paraId="2DFBA6F4" w14:textId="77777777" w:rsidR="00274E04" w:rsidRDefault="008D2C4C"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74E04">
              <w:rPr>
                <w:rFonts w:ascii="Arial Narrow" w:hAnsi="Arial Narrow"/>
              </w:rPr>
              <w:t xml:space="preserve">frequency of implementation support </w:t>
            </w:r>
            <w:r w:rsidR="00274E04">
              <w:rPr>
                <w:rFonts w:ascii="Arial Narrow" w:hAnsi="Arial Narrow"/>
              </w:rPr>
              <w:t>for clinics</w:t>
            </w:r>
          </w:p>
          <w:p w14:paraId="2EBA4FB0" w14:textId="35F1296B" w:rsidR="00274E04" w:rsidRDefault="008D2C4C"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74E04">
              <w:rPr>
                <w:rFonts w:ascii="Arial Narrow" w:hAnsi="Arial Narrow"/>
              </w:rPr>
              <w:t>wheth</w:t>
            </w:r>
            <w:r w:rsidR="00274E04">
              <w:rPr>
                <w:rFonts w:ascii="Arial Narrow" w:hAnsi="Arial Narrow"/>
              </w:rPr>
              <w:t>er screening rate was validated</w:t>
            </w:r>
          </w:p>
          <w:p w14:paraId="3B7CDB08" w14:textId="77777777" w:rsidR="00274E04" w:rsidRDefault="008D2C4C"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74E04">
              <w:rPr>
                <w:rFonts w:ascii="Arial Narrow" w:hAnsi="Arial Narrow"/>
              </w:rPr>
              <w:t xml:space="preserve">existence of CRC champion </w:t>
            </w:r>
            <w:r w:rsidR="00274E04">
              <w:rPr>
                <w:rFonts w:ascii="Arial Narrow" w:hAnsi="Arial Narrow"/>
              </w:rPr>
              <w:t>within clinic or health system</w:t>
            </w:r>
          </w:p>
          <w:p w14:paraId="6BD029EF" w14:textId="77777777" w:rsidR="008D2C4C" w:rsidRDefault="008D2C4C"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74E04">
              <w:rPr>
                <w:rFonts w:ascii="Arial Narrow" w:hAnsi="Arial Narrow"/>
              </w:rPr>
              <w:t xml:space="preserve">client access to component 2 services (for grantees </w:t>
            </w:r>
            <w:r w:rsidR="00274E04">
              <w:rPr>
                <w:rFonts w:ascii="Arial Narrow" w:hAnsi="Arial Narrow"/>
              </w:rPr>
              <w:t>funded under Component 2 only)</w:t>
            </w:r>
          </w:p>
          <w:p w14:paraId="1A340D50" w14:textId="77777777" w:rsidR="00274E04" w:rsidRDefault="00274E04" w:rsidP="00274E0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open field to report optional comments</w:t>
            </w:r>
          </w:p>
          <w:p w14:paraId="2A11891A" w14:textId="578A31E1" w:rsidR="004001BF" w:rsidRPr="00274E04" w:rsidRDefault="004001BF" w:rsidP="004001BF">
            <w:pPr>
              <w:pStyle w:val="ListParagraph"/>
              <w:ind w:left="773"/>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6BA87C8C" w14:textId="566032BB" w:rsidR="00274E04" w:rsidRDefault="004001BF"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This</w:t>
            </w:r>
            <w:r w:rsidR="00274E04">
              <w:rPr>
                <w:rFonts w:ascii="Arial Narrow" w:hAnsi="Arial Narrow"/>
              </w:rPr>
              <w:t xml:space="preserve"> section was added to assess monitoring and evaluation efforts at the clinic level. </w:t>
            </w:r>
            <w:r w:rsidR="005F4A4E">
              <w:rPr>
                <w:rFonts w:ascii="Arial Narrow" w:hAnsi="Arial Narrow"/>
              </w:rPr>
              <w:t>These questions</w:t>
            </w:r>
            <w:r w:rsidR="00274E04">
              <w:rPr>
                <w:rFonts w:ascii="Arial Narrow" w:hAnsi="Arial Narrow"/>
              </w:rPr>
              <w:t xml:space="preserve"> are intended to assess program management practices, evaluation activities, and the potential impact of having a clinic or health systems champion. Analyses in this area will focus on whether differences in evaluation and monitoring practices impacted screening rates. </w:t>
            </w:r>
          </w:p>
          <w:p w14:paraId="7DC57718" w14:textId="77777777" w:rsidR="000875CA" w:rsidRPr="004C61BF" w:rsidRDefault="000875CA"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022F37" w:rsidRPr="004C61BF" w14:paraId="2FDEB32C"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14:paraId="39638E32" w14:textId="0578A07C" w:rsidR="00022F37" w:rsidRPr="00D229AC" w:rsidRDefault="00022F37" w:rsidP="009D0CE4">
            <w:pPr>
              <w:rPr>
                <w:rFonts w:ascii="Arial Narrow" w:hAnsi="Arial Narrow"/>
              </w:rPr>
            </w:pPr>
            <w:r w:rsidRPr="00D229AC">
              <w:rPr>
                <w:rFonts w:ascii="Arial Narrow" w:hAnsi="Arial Narrow"/>
              </w:rPr>
              <w:t>Section 9: Priority Evidence-Based Interviews (EBIs) and Supportive Activities (SAs)</w:t>
            </w:r>
          </w:p>
        </w:tc>
        <w:tc>
          <w:tcPr>
            <w:tcW w:w="1481" w:type="pct"/>
          </w:tcPr>
          <w:p w14:paraId="0176CD9C" w14:textId="4DB7A30C" w:rsidR="00022F37" w:rsidRPr="00B17017" w:rsidRDefault="00022F37" w:rsidP="004001BF">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b/>
              </w:rPr>
              <w:t xml:space="preserve">Removed </w:t>
            </w:r>
            <w:r w:rsidRPr="00B17017">
              <w:rPr>
                <w:rFonts w:ascii="Arial Narrow" w:hAnsi="Arial Narrow"/>
                <w:color w:val="C00000"/>
              </w:rPr>
              <w:t>2</w:t>
            </w:r>
            <w:r>
              <w:rPr>
                <w:rFonts w:ascii="Arial Narrow" w:hAnsi="Arial Narrow"/>
                <w:color w:val="C00000"/>
              </w:rPr>
              <w:t>2</w:t>
            </w:r>
            <w:r w:rsidRPr="00B17017">
              <w:rPr>
                <w:rFonts w:ascii="Arial Narrow" w:hAnsi="Arial Narrow"/>
                <w:color w:val="C00000"/>
              </w:rPr>
              <w:t xml:space="preserve"> </w:t>
            </w:r>
            <w:r w:rsidR="005F4A4E">
              <w:rPr>
                <w:rFonts w:ascii="Arial Narrow" w:hAnsi="Arial Narrow"/>
                <w:color w:val="C00000"/>
              </w:rPr>
              <w:t>questions</w:t>
            </w:r>
            <w:r w:rsidRPr="002C2783">
              <w:rPr>
                <w:rFonts w:ascii="Arial Narrow" w:hAnsi="Arial Narrow"/>
                <w:color w:val="C00000"/>
              </w:rPr>
              <w:t xml:space="preserve"> </w:t>
            </w:r>
            <w:r>
              <w:rPr>
                <w:rFonts w:ascii="Arial Narrow" w:hAnsi="Arial Narrow"/>
              </w:rPr>
              <w:t>(two</w:t>
            </w:r>
            <w:r w:rsidRPr="002C2783">
              <w:rPr>
                <w:rFonts w:ascii="Arial Narrow" w:hAnsi="Arial Narrow"/>
              </w:rPr>
              <w:t xml:space="preserve"> </w:t>
            </w:r>
            <w:r w:rsidRPr="00B17017">
              <w:rPr>
                <w:rFonts w:ascii="Arial Narrow" w:hAnsi="Arial Narrow"/>
              </w:rPr>
              <w:t xml:space="preserve">from each </w:t>
            </w:r>
            <w:r>
              <w:rPr>
                <w:rFonts w:ascii="Arial Narrow" w:hAnsi="Arial Narrow"/>
              </w:rPr>
              <w:t>of the eleven EBI</w:t>
            </w:r>
            <w:r w:rsidR="004B42D9">
              <w:rPr>
                <w:rFonts w:ascii="Arial Narrow" w:hAnsi="Arial Narrow"/>
              </w:rPr>
              <w:t>s</w:t>
            </w:r>
            <w:r>
              <w:rPr>
                <w:rFonts w:ascii="Arial Narrow" w:hAnsi="Arial Narrow"/>
              </w:rPr>
              <w:t>, SA</w:t>
            </w:r>
            <w:r w:rsidR="004B42D9">
              <w:rPr>
                <w:rFonts w:ascii="Arial Narrow" w:hAnsi="Arial Narrow"/>
              </w:rPr>
              <w:t>s</w:t>
            </w:r>
            <w:r>
              <w:rPr>
                <w:rFonts w:ascii="Arial Narrow" w:hAnsi="Arial Narrow"/>
              </w:rPr>
              <w:t>, and Other CRC Activities)</w:t>
            </w:r>
            <w:r w:rsidRPr="00B17017">
              <w:rPr>
                <w:rFonts w:ascii="Arial Narrow" w:hAnsi="Arial Narrow"/>
              </w:rPr>
              <w:t xml:space="preserve"> that measured:</w:t>
            </w:r>
          </w:p>
          <w:p w14:paraId="09CF13DE" w14:textId="77777777" w:rsidR="00022F37" w:rsidRPr="00B17017" w:rsidRDefault="00022F37" w:rsidP="00B1701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B17017">
              <w:rPr>
                <w:rFonts w:ascii="Arial Narrow" w:hAnsi="Arial Narrow"/>
              </w:rPr>
              <w:t>clinic implementation stage</w:t>
            </w:r>
          </w:p>
          <w:p w14:paraId="3B52E2B1" w14:textId="6839D17C" w:rsidR="00022F37" w:rsidRPr="00B17017" w:rsidRDefault="00022F37" w:rsidP="00B1701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B17017">
              <w:rPr>
                <w:rFonts w:ascii="Arial Narrow" w:hAnsi="Arial Narrow"/>
              </w:rPr>
              <w:t>date EBI/SA was fully implemented</w:t>
            </w:r>
          </w:p>
        </w:tc>
        <w:tc>
          <w:tcPr>
            <w:tcW w:w="2500" w:type="pct"/>
          </w:tcPr>
          <w:p w14:paraId="16490199" w14:textId="34EAFF58" w:rsidR="00022F37" w:rsidRDefault="00022F37" w:rsidP="00B17017">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In Program Year 1, many grantees expressed </w:t>
            </w:r>
            <w:r w:rsidR="00BB09D6">
              <w:rPr>
                <w:rFonts w:ascii="Arial Narrow" w:hAnsi="Arial Narrow"/>
              </w:rPr>
              <w:t>difficulty in</w:t>
            </w:r>
            <w:r>
              <w:rPr>
                <w:rFonts w:ascii="Arial Narrow" w:hAnsi="Arial Narrow"/>
              </w:rPr>
              <w:t xml:space="preserve"> determin</w:t>
            </w:r>
            <w:r w:rsidR="00BB09D6">
              <w:rPr>
                <w:rFonts w:ascii="Arial Narrow" w:hAnsi="Arial Narrow"/>
              </w:rPr>
              <w:t>ing</w:t>
            </w:r>
            <w:r>
              <w:rPr>
                <w:rFonts w:ascii="Arial Narrow" w:hAnsi="Arial Narrow"/>
              </w:rPr>
              <w:t xml:space="preserve"> implementation stages across clinics that varied greatly in their implementation activities. These </w:t>
            </w:r>
            <w:r w:rsidR="005F4A4E">
              <w:rPr>
                <w:rFonts w:ascii="Arial Narrow" w:hAnsi="Arial Narrow"/>
              </w:rPr>
              <w:t>questions</w:t>
            </w:r>
            <w:r>
              <w:rPr>
                <w:rFonts w:ascii="Arial Narrow" w:hAnsi="Arial Narrow"/>
              </w:rPr>
              <w:t xml:space="preserve"> were replaced with 3 </w:t>
            </w:r>
            <w:r w:rsidR="00BB09D6">
              <w:rPr>
                <w:rFonts w:ascii="Arial Narrow" w:hAnsi="Arial Narrow"/>
              </w:rPr>
              <w:t xml:space="preserve">new </w:t>
            </w:r>
            <w:r w:rsidR="005F4A4E">
              <w:rPr>
                <w:rFonts w:ascii="Arial Narrow" w:hAnsi="Arial Narrow"/>
              </w:rPr>
              <w:t>questions</w:t>
            </w:r>
            <w:bookmarkStart w:id="0" w:name="_GoBack"/>
            <w:bookmarkEnd w:id="0"/>
            <w:r>
              <w:rPr>
                <w:rFonts w:ascii="Arial Narrow" w:hAnsi="Arial Narrow"/>
              </w:rPr>
              <w:t xml:space="preserve"> (described below).</w:t>
            </w:r>
          </w:p>
          <w:p w14:paraId="75CF618F" w14:textId="77777777" w:rsidR="00022F37" w:rsidRDefault="00022F37"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022F37" w:rsidRPr="004C61BF" w14:paraId="0D45A976" w14:textId="77777777" w:rsidTr="001219D1">
        <w:tc>
          <w:tcPr>
            <w:cnfStyle w:val="001000000000" w:firstRow="0" w:lastRow="0" w:firstColumn="1" w:lastColumn="0" w:oddVBand="0" w:evenVBand="0" w:oddHBand="0" w:evenHBand="0" w:firstRowFirstColumn="0" w:firstRowLastColumn="0" w:lastRowFirstColumn="0" w:lastRowLastColumn="0"/>
            <w:tcW w:w="1019" w:type="pct"/>
            <w:vMerge/>
          </w:tcPr>
          <w:p w14:paraId="37A18296" w14:textId="47AAFB54" w:rsidR="00022F37" w:rsidRPr="00D229AC" w:rsidRDefault="00022F37" w:rsidP="009D0CE4">
            <w:pPr>
              <w:rPr>
                <w:rFonts w:ascii="Arial Narrow" w:hAnsi="Arial Narrow"/>
              </w:rPr>
            </w:pPr>
          </w:p>
        </w:tc>
        <w:tc>
          <w:tcPr>
            <w:tcW w:w="1481" w:type="pct"/>
          </w:tcPr>
          <w:p w14:paraId="403CE49B" w14:textId="26CDD662" w:rsidR="00022F37" w:rsidRDefault="00022F37" w:rsidP="004001BF">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b/>
              </w:rPr>
              <w:t>Added</w:t>
            </w:r>
            <w:r>
              <w:rPr>
                <w:rFonts w:ascii="Arial Narrow" w:hAnsi="Arial Narrow"/>
                <w:color w:val="C00000"/>
              </w:rPr>
              <w:t xml:space="preserve"> 24 </w:t>
            </w:r>
            <w:r w:rsidR="005F4A4E">
              <w:rPr>
                <w:rFonts w:ascii="Arial Narrow" w:hAnsi="Arial Narrow"/>
                <w:color w:val="C00000"/>
              </w:rPr>
              <w:t>questions</w:t>
            </w:r>
            <w:r w:rsidRPr="004001BF">
              <w:rPr>
                <w:rFonts w:ascii="Arial Narrow" w:hAnsi="Arial Narrow"/>
                <w:color w:val="C00000"/>
              </w:rPr>
              <w:t xml:space="preserve"> </w:t>
            </w:r>
            <w:r w:rsidRPr="002C2783">
              <w:rPr>
                <w:rFonts w:ascii="Arial Narrow" w:hAnsi="Arial Narrow"/>
              </w:rPr>
              <w:t xml:space="preserve">(three </w:t>
            </w:r>
            <w:r>
              <w:rPr>
                <w:rFonts w:ascii="Arial Narrow" w:hAnsi="Arial Narrow"/>
              </w:rPr>
              <w:t>to each of the eight EBIs and SAs) to measure:</w:t>
            </w:r>
          </w:p>
          <w:p w14:paraId="1E14C14B" w14:textId="77777777" w:rsidR="00022F37" w:rsidRDefault="00022F37" w:rsidP="004001B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whether the EBI/SA was in place at the end of the program year</w:t>
            </w:r>
          </w:p>
          <w:p w14:paraId="72096F71" w14:textId="4C14073B" w:rsidR="00022F37" w:rsidRDefault="00022F37" w:rsidP="004001B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whether planning activities were conducted for future implementation (if applicable)</w:t>
            </w:r>
          </w:p>
          <w:p w14:paraId="122FA5C1" w14:textId="3766372E" w:rsidR="00022F37" w:rsidRDefault="00022F37" w:rsidP="004001B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extent to which the EBI/SA is sustainable</w:t>
            </w:r>
            <w:r w:rsidRPr="004001BF">
              <w:rPr>
                <w:rFonts w:ascii="Arial Narrow" w:hAnsi="Arial Narrow"/>
              </w:rPr>
              <w:t xml:space="preserve"> </w:t>
            </w:r>
            <w:r>
              <w:rPr>
                <w:rFonts w:ascii="Arial Narrow" w:hAnsi="Arial Narrow"/>
              </w:rPr>
              <w:t>(if applicable)</w:t>
            </w:r>
          </w:p>
          <w:p w14:paraId="4A1B7515" w14:textId="09BA2EAE" w:rsidR="00022F37" w:rsidRPr="004001BF" w:rsidRDefault="00022F37" w:rsidP="00A42AD0">
            <w:pPr>
              <w:pStyle w:val="ListParagraph"/>
              <w:ind w:left="773"/>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500" w:type="pct"/>
          </w:tcPr>
          <w:p w14:paraId="1A677023" w14:textId="39535B97" w:rsidR="00022F37" w:rsidRPr="004C61BF" w:rsidRDefault="00022F37" w:rsidP="009D0C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Intended to measure grantees’ planning activities and sustainability for those EBI/SAs that are still active at the end of the program year. Feedback on clinics’ planning activities will help CDC better understand clinics’ planning efforts for their CRCCP activities. </w:t>
            </w:r>
          </w:p>
        </w:tc>
      </w:tr>
      <w:tr w:rsidR="00022F37" w:rsidRPr="004C61BF" w14:paraId="77A0FE0B" w14:textId="77777777" w:rsidTr="00121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tcPr>
          <w:p w14:paraId="1A9E1F5E" w14:textId="77777777" w:rsidR="00022F37" w:rsidRPr="00D229AC" w:rsidRDefault="00022F37" w:rsidP="009D0CE4">
            <w:pPr>
              <w:rPr>
                <w:rFonts w:ascii="Arial Narrow" w:hAnsi="Arial Narrow"/>
              </w:rPr>
            </w:pPr>
          </w:p>
        </w:tc>
        <w:tc>
          <w:tcPr>
            <w:tcW w:w="1481" w:type="pct"/>
          </w:tcPr>
          <w:p w14:paraId="0C8ADEE3" w14:textId="1EB9FDA5" w:rsidR="00022F37" w:rsidRDefault="00022F37" w:rsidP="00417170">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17170">
              <w:rPr>
                <w:rFonts w:ascii="Arial Narrow" w:hAnsi="Arial Narrow"/>
                <w:b/>
              </w:rPr>
              <w:t>Removed</w:t>
            </w:r>
            <w:r>
              <w:rPr>
                <w:rFonts w:ascii="Arial Narrow" w:hAnsi="Arial Narrow"/>
              </w:rPr>
              <w:t xml:space="preserve"> </w:t>
            </w:r>
            <w:r w:rsidRPr="00417170">
              <w:rPr>
                <w:rFonts w:ascii="Arial Narrow" w:hAnsi="Arial Narrow"/>
                <w:color w:val="C00000"/>
              </w:rPr>
              <w:t xml:space="preserve">5 </w:t>
            </w:r>
            <w:r w:rsidR="005F4A4E">
              <w:rPr>
                <w:rFonts w:ascii="Arial Narrow" w:hAnsi="Arial Narrow"/>
                <w:color w:val="C00000"/>
              </w:rPr>
              <w:t>questions</w:t>
            </w:r>
            <w:r w:rsidRPr="00417170">
              <w:rPr>
                <w:rFonts w:ascii="Arial Narrow" w:hAnsi="Arial Narrow"/>
                <w:color w:val="C00000"/>
              </w:rPr>
              <w:t xml:space="preserve"> </w:t>
            </w:r>
            <w:r>
              <w:rPr>
                <w:rFonts w:ascii="Arial Narrow" w:hAnsi="Arial Narrow"/>
              </w:rPr>
              <w:t>to assess health information technology</w:t>
            </w:r>
            <w:r w:rsidR="00BB09D6">
              <w:rPr>
                <w:rFonts w:ascii="Arial Narrow" w:hAnsi="Arial Narrow"/>
              </w:rPr>
              <w:t xml:space="preserve"> (HIT)</w:t>
            </w:r>
            <w:r>
              <w:rPr>
                <w:rFonts w:ascii="Arial Narrow" w:hAnsi="Arial Narrow"/>
              </w:rPr>
              <w:t>, including:</w:t>
            </w:r>
          </w:p>
          <w:p w14:paraId="3674F941" w14:textId="77777777" w:rsidR="00022F37" w:rsidRDefault="00022F37" w:rsidP="0041717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HIT technology in place at baseline</w:t>
            </w:r>
          </w:p>
          <w:p w14:paraId="2FAEE3BB" w14:textId="77777777" w:rsidR="00022F37" w:rsidRDefault="00022F37" w:rsidP="0041717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Use of CRC resources to support HIT</w:t>
            </w:r>
          </w:p>
          <w:p w14:paraId="5150C7BB" w14:textId="77777777" w:rsidR="00022F37" w:rsidRDefault="00022F37" w:rsidP="0041717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Implementation stage of HIT</w:t>
            </w:r>
          </w:p>
          <w:p w14:paraId="0203F69C" w14:textId="77777777" w:rsidR="00022F37" w:rsidRDefault="00022F37" w:rsidP="0041717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Date that HIT was fully implemented</w:t>
            </w:r>
          </w:p>
          <w:p w14:paraId="3F26110C" w14:textId="04C347F4" w:rsidR="00022F37" w:rsidRPr="00417170" w:rsidRDefault="00022F37" w:rsidP="0041717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Types of quality improvement activities in place to support HIT</w:t>
            </w:r>
          </w:p>
        </w:tc>
        <w:tc>
          <w:tcPr>
            <w:tcW w:w="2500" w:type="pct"/>
          </w:tcPr>
          <w:p w14:paraId="2E6F2055" w14:textId="25A855D3" w:rsidR="00DB3937" w:rsidRPr="00DB3937" w:rsidRDefault="00BB09D6" w:rsidP="00DB3937">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During Program Year 1, CDC learned that grantees conduct significant HIT related support activities in clinics. </w:t>
            </w:r>
            <w:r w:rsidR="00DB3937" w:rsidRPr="00DB3937">
              <w:rPr>
                <w:rFonts w:ascii="Arial Narrow" w:hAnsi="Arial Narrow"/>
              </w:rPr>
              <w:t xml:space="preserve">CDC determined that HIT activities </w:t>
            </w:r>
            <w:r>
              <w:rPr>
                <w:rFonts w:ascii="Arial Narrow" w:hAnsi="Arial Narrow"/>
              </w:rPr>
              <w:t xml:space="preserve">involve </w:t>
            </w:r>
            <w:r w:rsidR="00DB3937" w:rsidRPr="00DB3937">
              <w:rPr>
                <w:rFonts w:ascii="Arial Narrow" w:hAnsi="Arial Narrow"/>
              </w:rPr>
              <w:t xml:space="preserve">various interim steps and may not be a continuous </w:t>
            </w:r>
            <w:r w:rsidR="008E4D05">
              <w:rPr>
                <w:rFonts w:ascii="Arial Narrow" w:hAnsi="Arial Narrow"/>
              </w:rPr>
              <w:t xml:space="preserve">strategy in place over time. </w:t>
            </w:r>
            <w:r w:rsidR="00DB3937" w:rsidRPr="00DB3937">
              <w:rPr>
                <w:rFonts w:ascii="Arial Narrow" w:hAnsi="Arial Narrow"/>
              </w:rPr>
              <w:t>HIT activities can instead be reported under “Ot</w:t>
            </w:r>
            <w:r w:rsidR="008E4D05">
              <w:rPr>
                <w:rFonts w:ascii="Arial Narrow" w:hAnsi="Arial Narrow"/>
              </w:rPr>
              <w:t>her CRC activity or strategy.”</w:t>
            </w:r>
          </w:p>
          <w:p w14:paraId="3268C02B" w14:textId="696DA566" w:rsidR="00022F37" w:rsidRPr="00DB3937" w:rsidRDefault="00022F37" w:rsidP="009D0CE4">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bl>
    <w:p w14:paraId="20E128AA" w14:textId="6D186FAC" w:rsidR="008D2C4C" w:rsidRPr="004C61BF" w:rsidRDefault="008D2C4C" w:rsidP="008D2C4C"/>
    <w:p w14:paraId="78E1B8AE" w14:textId="77777777" w:rsidR="00A01ECF" w:rsidRPr="004C61BF" w:rsidRDefault="00A01ECF" w:rsidP="004C61BF"/>
    <w:sectPr w:rsidR="00A01ECF" w:rsidRPr="004C61BF" w:rsidSect="007921E1">
      <w:headerReference w:type="default" r:id="rId9"/>
      <w:footerReference w:type="default" r:id="rId10"/>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80B42" w14:textId="77777777" w:rsidR="00AA5CD6" w:rsidRDefault="00AA5CD6" w:rsidP="008B5D54">
      <w:pPr>
        <w:spacing w:after="0" w:line="240" w:lineRule="auto"/>
      </w:pPr>
      <w:r>
        <w:separator/>
      </w:r>
    </w:p>
  </w:endnote>
  <w:endnote w:type="continuationSeparator" w:id="0">
    <w:p w14:paraId="43571BAE" w14:textId="77777777" w:rsidR="00AA5CD6" w:rsidRDefault="00AA5CD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457626"/>
      <w:docPartObj>
        <w:docPartGallery w:val="Page Numbers (Bottom of Page)"/>
        <w:docPartUnique/>
      </w:docPartObj>
    </w:sdtPr>
    <w:sdtEndPr/>
    <w:sdtContent>
      <w:sdt>
        <w:sdtPr>
          <w:id w:val="-1769616900"/>
          <w:docPartObj>
            <w:docPartGallery w:val="Page Numbers (Top of Page)"/>
            <w:docPartUnique/>
          </w:docPartObj>
        </w:sdtPr>
        <w:sdtEndPr/>
        <w:sdtContent>
          <w:p w14:paraId="11076E7D" w14:textId="10858146" w:rsidR="00A42AD0" w:rsidRDefault="00A42A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4A4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4A4E">
              <w:rPr>
                <w:b/>
                <w:bCs/>
                <w:noProof/>
              </w:rPr>
              <w:t>6</w:t>
            </w:r>
            <w:r>
              <w:rPr>
                <w:b/>
                <w:bCs/>
                <w:sz w:val="24"/>
                <w:szCs w:val="24"/>
              </w:rPr>
              <w:fldChar w:fldCharType="end"/>
            </w:r>
          </w:p>
        </w:sdtContent>
      </w:sdt>
    </w:sdtContent>
  </w:sdt>
  <w:p w14:paraId="451AEFA4" w14:textId="77777777" w:rsidR="00A42AD0" w:rsidRDefault="00A42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908A1" w14:textId="77777777" w:rsidR="00AA5CD6" w:rsidRDefault="00AA5CD6" w:rsidP="008B5D54">
      <w:pPr>
        <w:spacing w:after="0" w:line="240" w:lineRule="auto"/>
      </w:pPr>
      <w:r>
        <w:separator/>
      </w:r>
    </w:p>
  </w:footnote>
  <w:footnote w:type="continuationSeparator" w:id="0">
    <w:p w14:paraId="03A6D40A" w14:textId="77777777" w:rsidR="00AA5CD6" w:rsidRDefault="00AA5CD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5C61E" w14:textId="36E2F4C4" w:rsidR="00BB7F5B" w:rsidRPr="008E4D05" w:rsidRDefault="00BB7F5B" w:rsidP="00BB7F5B">
    <w:pPr>
      <w:jc w:val="center"/>
      <w:rPr>
        <w:rFonts w:ascii="Arial Narrow" w:hAnsi="Arial Narrow"/>
        <w:b/>
        <w:sz w:val="28"/>
      </w:rPr>
    </w:pPr>
    <w:r w:rsidRPr="008E4D05">
      <w:rPr>
        <w:rFonts w:ascii="Arial Narrow" w:hAnsi="Arial Narrow"/>
        <w:b/>
        <w:sz w:val="28"/>
      </w:rPr>
      <w:t xml:space="preserve">Attachment </w:t>
    </w:r>
    <w:r w:rsidR="008E4D05" w:rsidRPr="008E4D05">
      <w:rPr>
        <w:rFonts w:ascii="Arial Narrow" w:hAnsi="Arial Narrow"/>
        <w:b/>
        <w:sz w:val="28"/>
      </w:rPr>
      <w:t>5</w:t>
    </w:r>
    <w:r w:rsidRPr="008E4D05">
      <w:rPr>
        <w:rFonts w:ascii="Arial Narrow" w:hAnsi="Arial Narrow"/>
        <w:b/>
        <w:sz w:val="28"/>
      </w:rPr>
      <w:t xml:space="preserve">: </w:t>
    </w:r>
    <w:r w:rsidR="008D2C4C" w:rsidRPr="008E4D05">
      <w:rPr>
        <w:rFonts w:ascii="Arial Narrow" w:hAnsi="Arial Narrow"/>
        <w:b/>
        <w:sz w:val="28"/>
      </w:rPr>
      <w:t>Data Collection</w:t>
    </w:r>
    <w:r w:rsidRPr="008E4D05">
      <w:rPr>
        <w:rFonts w:ascii="Arial Narrow" w:hAnsi="Arial Narrow"/>
        <w:b/>
        <w:sz w:val="28"/>
      </w:rPr>
      <w:t xml:space="preserve"> Revision Matrix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464"/>
    <w:multiLevelType w:val="hybridMultilevel"/>
    <w:tmpl w:val="9FAA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34B03"/>
    <w:multiLevelType w:val="hybridMultilevel"/>
    <w:tmpl w:val="D59A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D7A1F"/>
    <w:multiLevelType w:val="hybridMultilevel"/>
    <w:tmpl w:val="785861F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525306CC"/>
    <w:multiLevelType w:val="hybridMultilevel"/>
    <w:tmpl w:val="DF3227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6E26763B"/>
    <w:multiLevelType w:val="hybridMultilevel"/>
    <w:tmpl w:val="EA0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924C9"/>
    <w:multiLevelType w:val="hybridMultilevel"/>
    <w:tmpl w:val="E32251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725F6A89"/>
    <w:multiLevelType w:val="hybridMultilevel"/>
    <w:tmpl w:val="9170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34F95"/>
    <w:multiLevelType w:val="hybridMultilevel"/>
    <w:tmpl w:val="B692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CF"/>
    <w:rsid w:val="00022F37"/>
    <w:rsid w:val="00036535"/>
    <w:rsid w:val="00052791"/>
    <w:rsid w:val="000577DE"/>
    <w:rsid w:val="00064FDC"/>
    <w:rsid w:val="000875CA"/>
    <w:rsid w:val="0009067D"/>
    <w:rsid w:val="000D23FE"/>
    <w:rsid w:val="000E1EE8"/>
    <w:rsid w:val="000E5625"/>
    <w:rsid w:val="000F2D40"/>
    <w:rsid w:val="001219D1"/>
    <w:rsid w:val="00204E19"/>
    <w:rsid w:val="002719F7"/>
    <w:rsid w:val="00274E04"/>
    <w:rsid w:val="00280590"/>
    <w:rsid w:val="002A5EA4"/>
    <w:rsid w:val="002C2783"/>
    <w:rsid w:val="0031495E"/>
    <w:rsid w:val="00373BA6"/>
    <w:rsid w:val="004001BF"/>
    <w:rsid w:val="00417170"/>
    <w:rsid w:val="004230B5"/>
    <w:rsid w:val="00497E5E"/>
    <w:rsid w:val="004B42D9"/>
    <w:rsid w:val="004C61BF"/>
    <w:rsid w:val="004D0CD2"/>
    <w:rsid w:val="004F2191"/>
    <w:rsid w:val="005811CA"/>
    <w:rsid w:val="005F4A4E"/>
    <w:rsid w:val="00603EF0"/>
    <w:rsid w:val="0061756D"/>
    <w:rsid w:val="00636D9B"/>
    <w:rsid w:val="0064681C"/>
    <w:rsid w:val="006C6578"/>
    <w:rsid w:val="006E506E"/>
    <w:rsid w:val="00726127"/>
    <w:rsid w:val="007921E1"/>
    <w:rsid w:val="007D39CD"/>
    <w:rsid w:val="007D65A6"/>
    <w:rsid w:val="008546B7"/>
    <w:rsid w:val="00892996"/>
    <w:rsid w:val="008A714A"/>
    <w:rsid w:val="008B5336"/>
    <w:rsid w:val="008B5D54"/>
    <w:rsid w:val="008D2C4C"/>
    <w:rsid w:val="008E4D05"/>
    <w:rsid w:val="00927950"/>
    <w:rsid w:val="00983764"/>
    <w:rsid w:val="00996097"/>
    <w:rsid w:val="009F07B1"/>
    <w:rsid w:val="00A01ECF"/>
    <w:rsid w:val="00A0747B"/>
    <w:rsid w:val="00A16BA0"/>
    <w:rsid w:val="00A17FA9"/>
    <w:rsid w:val="00A368EA"/>
    <w:rsid w:val="00A42AD0"/>
    <w:rsid w:val="00A70E67"/>
    <w:rsid w:val="00A96BD1"/>
    <w:rsid w:val="00AA5CD6"/>
    <w:rsid w:val="00AF0754"/>
    <w:rsid w:val="00B12E23"/>
    <w:rsid w:val="00B17017"/>
    <w:rsid w:val="00B55735"/>
    <w:rsid w:val="00B608AC"/>
    <w:rsid w:val="00BB09D6"/>
    <w:rsid w:val="00BB7F5B"/>
    <w:rsid w:val="00BD7E93"/>
    <w:rsid w:val="00CC38B1"/>
    <w:rsid w:val="00D229AC"/>
    <w:rsid w:val="00D62E65"/>
    <w:rsid w:val="00DB3937"/>
    <w:rsid w:val="00DC57CC"/>
    <w:rsid w:val="00DF10A9"/>
    <w:rsid w:val="00E23E3B"/>
    <w:rsid w:val="00E26B60"/>
    <w:rsid w:val="00E60449"/>
    <w:rsid w:val="00EB543E"/>
    <w:rsid w:val="00EE0EAC"/>
    <w:rsid w:val="00F03D58"/>
    <w:rsid w:val="00F55FE2"/>
    <w:rsid w:val="00FA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DDD493"/>
  <w15:chartTrackingRefBased/>
  <w15:docId w15:val="{80CCD633-CDF0-4783-9E9F-0E3DDEA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A01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1E1"/>
    <w:rPr>
      <w:rFonts w:ascii="Segoe UI" w:hAnsi="Segoe UI" w:cs="Segoe UI"/>
      <w:sz w:val="18"/>
      <w:szCs w:val="18"/>
    </w:rPr>
  </w:style>
  <w:style w:type="table" w:styleId="GridTable4-Accent1">
    <w:name w:val="Grid Table 4 Accent 1"/>
    <w:basedOn w:val="TableNormal"/>
    <w:uiPriority w:val="49"/>
    <w:rsid w:val="007921E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7921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0747B"/>
    <w:pPr>
      <w:ind w:left="720"/>
      <w:contextualSpacing/>
    </w:pPr>
  </w:style>
  <w:style w:type="table" w:styleId="GridTable1Light">
    <w:name w:val="Grid Table 1 Light"/>
    <w:basedOn w:val="TableNormal"/>
    <w:uiPriority w:val="46"/>
    <w:rsid w:val="00AF07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70E67"/>
    <w:rPr>
      <w:sz w:val="16"/>
      <w:szCs w:val="16"/>
    </w:rPr>
  </w:style>
  <w:style w:type="paragraph" w:styleId="CommentText">
    <w:name w:val="annotation text"/>
    <w:basedOn w:val="Normal"/>
    <w:link w:val="CommentTextChar"/>
    <w:uiPriority w:val="99"/>
    <w:semiHidden/>
    <w:unhideWhenUsed/>
    <w:rsid w:val="00A70E67"/>
    <w:pPr>
      <w:spacing w:line="240" w:lineRule="auto"/>
    </w:pPr>
    <w:rPr>
      <w:sz w:val="20"/>
      <w:szCs w:val="20"/>
    </w:rPr>
  </w:style>
  <w:style w:type="character" w:customStyle="1" w:styleId="CommentTextChar">
    <w:name w:val="Comment Text Char"/>
    <w:basedOn w:val="DefaultParagraphFont"/>
    <w:link w:val="CommentText"/>
    <w:uiPriority w:val="99"/>
    <w:semiHidden/>
    <w:rsid w:val="00A70E67"/>
    <w:rPr>
      <w:sz w:val="20"/>
      <w:szCs w:val="20"/>
    </w:rPr>
  </w:style>
  <w:style w:type="paragraph" w:styleId="CommentSubject">
    <w:name w:val="annotation subject"/>
    <w:basedOn w:val="CommentText"/>
    <w:next w:val="CommentText"/>
    <w:link w:val="CommentSubjectChar"/>
    <w:uiPriority w:val="99"/>
    <w:semiHidden/>
    <w:unhideWhenUsed/>
    <w:rsid w:val="00A70E67"/>
    <w:rPr>
      <w:b/>
      <w:bCs/>
    </w:rPr>
  </w:style>
  <w:style w:type="character" w:customStyle="1" w:styleId="CommentSubjectChar">
    <w:name w:val="Comment Subject Char"/>
    <w:basedOn w:val="CommentTextChar"/>
    <w:link w:val="CommentSubject"/>
    <w:uiPriority w:val="99"/>
    <w:semiHidden/>
    <w:rsid w:val="00A70E67"/>
    <w:rPr>
      <w:b/>
      <w:bCs/>
      <w:sz w:val="20"/>
      <w:szCs w:val="20"/>
    </w:rPr>
  </w:style>
  <w:style w:type="paragraph" w:customStyle="1" w:styleId="Default">
    <w:name w:val="Default"/>
    <w:rsid w:val="004F21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8264-1D8E-4D2F-9BD9-6FB16124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8478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Schlueter, Dara (CDC/ONDIEH/NCCDPHP)</dc:creator>
  <cp:keywords/>
  <dc:description/>
  <cp:lastModifiedBy>Schlueter, Dara (CDC/ONDIEH/NCCDPHP)</cp:lastModifiedBy>
  <cp:revision>2</cp:revision>
  <dcterms:created xsi:type="dcterms:W3CDTF">2016-11-15T19:13:00Z</dcterms:created>
  <dcterms:modified xsi:type="dcterms:W3CDTF">2016-11-15T19:13:00Z</dcterms:modified>
</cp:coreProperties>
</file>