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5E0A0F">
      <w:pPr>
        <w:pStyle w:val="NormalWeb"/>
        <w:spacing w:line="288" w:lineRule="atLeast"/>
        <w:ind w:firstLine="480"/>
        <w:jc w:val="center"/>
        <w:rPr>
          <w:u w:val="single"/>
        </w:rPr>
      </w:pPr>
      <w:bookmarkStart w:id="0" w:name="cs31d"/>
      <w:bookmarkStart w:id="1" w:name="_GoBack"/>
      <w:bookmarkEnd w:id="1"/>
      <w:r>
        <w:rPr>
          <w:u w:val="single"/>
        </w:rPr>
        <w:t>SUPPORTING STATEMENT</w:t>
      </w:r>
      <w:r w:rsidR="000A2459">
        <w:rPr>
          <w:u w:val="single"/>
        </w:rPr>
        <w:t xml:space="preserve"> – PART A</w:t>
      </w:r>
    </w:p>
    <w:p w:rsidR="00445581" w:rsidRDefault="00C02661" w:rsidP="005E0A0F">
      <w:pPr>
        <w:pStyle w:val="NormalWeb"/>
        <w:spacing w:line="288" w:lineRule="atLeast"/>
        <w:ind w:firstLine="480"/>
        <w:jc w:val="center"/>
        <w:rPr>
          <w:u w:val="single"/>
        </w:rPr>
      </w:pPr>
      <w:r>
        <w:rPr>
          <w:u w:val="single"/>
        </w:rPr>
        <w:t>DA Civilian Employment and Marketing Feedback</w:t>
      </w:r>
      <w:r w:rsidR="008236DF">
        <w:rPr>
          <w:u w:val="single"/>
        </w:rPr>
        <w:t xml:space="preserve"> – OMB Control Number 0702-XX</w:t>
      </w:r>
      <w:r w:rsidR="00471909">
        <w:rPr>
          <w:u w:val="single"/>
        </w:rPr>
        <w:t>X</w:t>
      </w:r>
      <w:r w:rsidR="008236DF">
        <w:rPr>
          <w:u w:val="single"/>
        </w:rPr>
        <w:t>X</w:t>
      </w:r>
    </w:p>
    <w:p w:rsidR="005E0A0F" w:rsidRDefault="005E0A0F" w:rsidP="005E0A0F">
      <w:pPr>
        <w:pStyle w:val="NormalWeb"/>
        <w:spacing w:line="288" w:lineRule="atLeast"/>
        <w:ind w:firstLine="480"/>
      </w:pPr>
      <w:r>
        <w:t xml:space="preserve">A.  </w:t>
      </w:r>
      <w:r>
        <w:rPr>
          <w:u w:val="single"/>
        </w:rPr>
        <w:t>JUSTIFICATION</w:t>
      </w:r>
    </w:p>
    <w:p w:rsidR="005E0A0F" w:rsidRDefault="005E0A0F" w:rsidP="005E0A0F">
      <w:pPr>
        <w:pStyle w:val="NormalWeb"/>
        <w:spacing w:line="288" w:lineRule="atLeast"/>
        <w:ind w:firstLine="900"/>
        <w:rPr>
          <w:u w:val="single"/>
        </w:rPr>
      </w:pPr>
      <w:bookmarkStart w:id="2" w:name="cp432"/>
      <w:bookmarkEnd w:id="0"/>
      <w:r>
        <w:t xml:space="preserve">1.  </w:t>
      </w:r>
      <w:r>
        <w:rPr>
          <w:u w:val="single"/>
        </w:rPr>
        <w:t>Need for the Information Collection</w:t>
      </w:r>
    </w:p>
    <w:p w:rsidR="0030448B" w:rsidRDefault="0034388B" w:rsidP="00CE55CC">
      <w:pPr>
        <w:ind w:firstLine="360"/>
      </w:pPr>
      <w:r w:rsidRPr="0034388B">
        <w:t xml:space="preserve">The goal of the study is to inform how the Army can more effectively market to </w:t>
      </w:r>
      <w:r w:rsidR="005B665A">
        <w:t xml:space="preserve">support the </w:t>
      </w:r>
      <w:r w:rsidRPr="0034388B">
        <w:t>recruit</w:t>
      </w:r>
      <w:r w:rsidR="005B665A">
        <w:t>ing</w:t>
      </w:r>
      <w:r w:rsidRPr="0034388B">
        <w:t xml:space="preserve"> </w:t>
      </w:r>
      <w:r w:rsidR="005B665A">
        <w:t xml:space="preserve">of </w:t>
      </w:r>
      <w:r w:rsidR="003B50B2">
        <w:t>Department of the Army (</w:t>
      </w:r>
      <w:r w:rsidRPr="0034388B">
        <w:t>DA</w:t>
      </w:r>
      <w:r w:rsidR="003B50B2">
        <w:t>)</w:t>
      </w:r>
      <w:r w:rsidRPr="0034388B">
        <w:t xml:space="preserve"> </w:t>
      </w:r>
      <w:r w:rsidR="003B50B2">
        <w:t>c</w:t>
      </w:r>
      <w:r w:rsidRPr="0034388B">
        <w:t xml:space="preserve">ivilian critical occupations.  This study is important to the Army </w:t>
      </w:r>
      <w:r w:rsidR="000E0280">
        <w:t>because</w:t>
      </w:r>
      <w:r w:rsidRPr="0034388B">
        <w:t xml:space="preserve"> attracting a high-quality talent pool in mission-critical occupations </w:t>
      </w:r>
      <w:r>
        <w:t xml:space="preserve">such as </w:t>
      </w:r>
      <w:r w:rsidRPr="0034388B">
        <w:t>Engineering, Information Technology</w:t>
      </w:r>
      <w:r w:rsidR="005B665A" w:rsidRPr="005B665A">
        <w:t xml:space="preserve"> </w:t>
      </w:r>
      <w:r w:rsidR="005B665A">
        <w:t xml:space="preserve">and </w:t>
      </w:r>
      <w:r w:rsidR="005B665A" w:rsidRPr="0034388B">
        <w:t>Cyber Security</w:t>
      </w:r>
      <w:r w:rsidRPr="0034388B">
        <w:t xml:space="preserve"> </w:t>
      </w:r>
      <w:r>
        <w:t>i</w:t>
      </w:r>
      <w:r w:rsidRPr="0034388B">
        <w:t>s vital to the Army’s ability to prevail in complex environments and remain adaptable in a difficult recruiting environment.</w:t>
      </w:r>
      <w:r w:rsidR="003B50B2">
        <w:t xml:space="preserve">  </w:t>
      </w:r>
      <w:r w:rsidR="0030448B">
        <w:t>T</w:t>
      </w:r>
      <w:r w:rsidR="003276AB">
        <w:t>hough t</w:t>
      </w:r>
      <w:r w:rsidR="0030448B">
        <w:t>his study focuses on high profile, difficult to fill DA civilian fields, where appropriate</w:t>
      </w:r>
      <w:r w:rsidR="003276AB">
        <w:t>,</w:t>
      </w:r>
      <w:r w:rsidR="0030448B">
        <w:t xml:space="preserve"> the results will be used </w:t>
      </w:r>
      <w:r w:rsidR="005B665A">
        <w:t xml:space="preserve">in marketing </w:t>
      </w:r>
      <w:r w:rsidR="0030448B">
        <w:t xml:space="preserve">for all DA civilian occupations.  </w:t>
      </w:r>
    </w:p>
    <w:p w:rsidR="001455DF" w:rsidRDefault="001455DF" w:rsidP="00CE55CC">
      <w:pPr>
        <w:ind w:firstLine="360"/>
      </w:pPr>
    </w:p>
    <w:p w:rsidR="00C67AAD" w:rsidRDefault="000E0280" w:rsidP="00C67AAD">
      <w:pPr>
        <w:ind w:firstLine="360"/>
      </w:pPr>
      <w:r>
        <w:t xml:space="preserve">DA </w:t>
      </w:r>
      <w:r w:rsidR="00CD1193">
        <w:t>civilian</w:t>
      </w:r>
      <w:r>
        <w:t xml:space="preserve"> senior personnel officials have identified</w:t>
      </w:r>
      <w:r w:rsidR="00CD1193">
        <w:t>-</w:t>
      </w:r>
      <w:r w:rsidR="00C67AAD" w:rsidRPr="005B665A">
        <w:t>entry level and mid-</w:t>
      </w:r>
      <w:r w:rsidR="00CD1193">
        <w:t xml:space="preserve">level </w:t>
      </w:r>
      <w:r w:rsidR="00C67AAD" w:rsidRPr="005B665A">
        <w:t xml:space="preserve">career </w:t>
      </w:r>
      <w:r>
        <w:t xml:space="preserve">positions that are critical to the Army’s mission and also </w:t>
      </w:r>
      <w:r w:rsidR="00C67AAD">
        <w:t>difficult</w:t>
      </w:r>
      <w:r w:rsidR="0030032A">
        <w:t>-</w:t>
      </w:r>
      <w:r w:rsidR="00C67AAD">
        <w:t>to</w:t>
      </w:r>
      <w:r w:rsidR="0030032A">
        <w:t>-</w:t>
      </w:r>
      <w:r w:rsidR="00C67AAD">
        <w:t>fill</w:t>
      </w:r>
      <w:r w:rsidR="00C67AAD" w:rsidRPr="005B665A">
        <w:t xml:space="preserve">. </w:t>
      </w:r>
      <w:r w:rsidR="0030032A">
        <w:t xml:space="preserve"> </w:t>
      </w:r>
      <w:r>
        <w:t>M</w:t>
      </w:r>
      <w:r w:rsidR="00C67AAD" w:rsidRPr="005B665A">
        <w:t xml:space="preserve">arketing and advertising </w:t>
      </w:r>
      <w:r>
        <w:t xml:space="preserve">can </w:t>
      </w:r>
      <w:r w:rsidR="003276AB">
        <w:t xml:space="preserve">help set favorable market conditions to </w:t>
      </w:r>
      <w:r w:rsidRPr="005B665A">
        <w:t>significantly</w:t>
      </w:r>
      <w:r>
        <w:t xml:space="preserve"> </w:t>
      </w:r>
      <w:r w:rsidR="003276AB">
        <w:t>impact the</w:t>
      </w:r>
      <w:r>
        <w:t xml:space="preserve"> recruiting</w:t>
      </w:r>
      <w:r w:rsidR="00C67AAD" w:rsidRPr="005B665A">
        <w:t xml:space="preserve"> </w:t>
      </w:r>
      <w:r w:rsidR="003276AB">
        <w:t xml:space="preserve">force’s ability </w:t>
      </w:r>
      <w:r>
        <w:t xml:space="preserve">to </w:t>
      </w:r>
      <w:r w:rsidR="00C67AAD" w:rsidRPr="005B665A">
        <w:t xml:space="preserve">fill these critical positions. </w:t>
      </w:r>
      <w:r w:rsidR="0030032A">
        <w:t xml:space="preserve"> </w:t>
      </w:r>
      <w:r w:rsidR="00C67AAD" w:rsidRPr="005B665A">
        <w:t xml:space="preserve">The information collection requirement is necessary to understand these experts’ awareness of and willingness to consider an Army civilian career.  The information will </w:t>
      </w:r>
      <w:r w:rsidR="003276AB">
        <w:t xml:space="preserve">inform a civilian marketing campaign for the FY 2019 Annual Marketing Plan (AMP) and </w:t>
      </w:r>
      <w:r w:rsidR="00C67AAD" w:rsidRPr="005B665A">
        <w:t xml:space="preserve">lead us to the best strategies </w:t>
      </w:r>
      <w:r w:rsidR="003276AB">
        <w:t>t</w:t>
      </w:r>
      <w:r w:rsidR="00C67AAD" w:rsidRPr="005B665A">
        <w:t>o build awareness</w:t>
      </w:r>
      <w:r w:rsidR="003276AB">
        <w:t>, disrupt misperceptions</w:t>
      </w:r>
      <w:r w:rsidR="00C67AAD" w:rsidRPr="005B665A">
        <w:t xml:space="preserve"> and spark interest in Army civilian opportunities and </w:t>
      </w:r>
      <w:r w:rsidR="003276AB">
        <w:t xml:space="preserve">recruit top-tiered talent to </w:t>
      </w:r>
      <w:r w:rsidR="00C67AAD" w:rsidRPr="005B665A">
        <w:t>fill critical occupations.</w:t>
      </w:r>
    </w:p>
    <w:p w:rsidR="00C67AAD" w:rsidRDefault="00C67AAD" w:rsidP="00C67AAD">
      <w:pPr>
        <w:ind w:firstLine="360"/>
      </w:pPr>
    </w:p>
    <w:p w:rsidR="001455DF" w:rsidRDefault="001455DF" w:rsidP="00CE55CC">
      <w:pPr>
        <w:ind w:firstLine="360"/>
      </w:pPr>
      <w:r>
        <w:t xml:space="preserve">Army Regulation </w:t>
      </w:r>
      <w:r w:rsidRPr="002B0593">
        <w:t xml:space="preserve">601-208, </w:t>
      </w:r>
      <w:r>
        <w:t>dated 16 July 2013, gives the</w:t>
      </w:r>
      <w:r w:rsidRPr="002B0593">
        <w:t xml:space="preserve"> </w:t>
      </w:r>
      <w:r>
        <w:t xml:space="preserve">Army Marketing and Research Group (AMRG) the responsibility for marketing support for Department of the Army </w:t>
      </w:r>
      <w:r w:rsidR="00CD1193">
        <w:t>c</w:t>
      </w:r>
      <w:r>
        <w:t xml:space="preserve">ivilian recruiting.  </w:t>
      </w:r>
      <w:r w:rsidR="00884A53">
        <w:t>Because t</w:t>
      </w:r>
      <w:r>
        <w:t>here is no existing research</w:t>
      </w:r>
      <w:r w:rsidR="00152AEA">
        <w:t xml:space="preserve"> on the DA civilian recruiting market, the </w:t>
      </w:r>
      <w:r>
        <w:t xml:space="preserve">Army </w:t>
      </w:r>
      <w:r w:rsidR="00884A53">
        <w:t>requires</w:t>
      </w:r>
      <w:r w:rsidR="00152AEA">
        <w:t xml:space="preserve"> research </w:t>
      </w:r>
      <w:r w:rsidR="00884A53">
        <w:t xml:space="preserve">in order </w:t>
      </w:r>
      <w:r w:rsidR="00152AEA">
        <w:t xml:space="preserve">to provide marketing support to DA civilian recruiting. </w:t>
      </w:r>
    </w:p>
    <w:p w:rsidR="00C50360" w:rsidRDefault="00C50360" w:rsidP="00CE55CC">
      <w:pPr>
        <w:ind w:firstLine="360"/>
      </w:pPr>
    </w:p>
    <w:p w:rsidR="0034388B" w:rsidRDefault="0030448B" w:rsidP="00CE55CC">
      <w:pPr>
        <w:ind w:firstLine="360"/>
      </w:pPr>
      <w:r>
        <w:t>Previously, t</w:t>
      </w:r>
      <w:r w:rsidR="003B50B2">
        <w:t xml:space="preserve">he Army has conducted extensive research for military recruiting. </w:t>
      </w:r>
      <w:r w:rsidR="00135FE8">
        <w:t xml:space="preserve"> While military recruiting focuses on a very different portion of the population, we can glean some very basic insights.  </w:t>
      </w:r>
      <w:r w:rsidR="003B50B2">
        <w:t>Results from military recruit</w:t>
      </w:r>
      <w:r w:rsidR="007F2BB2">
        <w:t>ing</w:t>
      </w:r>
      <w:r w:rsidR="003B50B2">
        <w:t xml:space="preserve"> research indicates that most Americans do not understand their military</w:t>
      </w:r>
      <w:r w:rsidR="003276AB">
        <w:t>, nor their Army in particular</w:t>
      </w:r>
      <w:r w:rsidR="003B50B2">
        <w:t>.</w:t>
      </w:r>
      <w:r>
        <w:t xml:space="preserve">  </w:t>
      </w:r>
      <w:r w:rsidR="001455DF">
        <w:t>The DoD Advertising Tracking S</w:t>
      </w:r>
      <w:r>
        <w:t>tudy ind</w:t>
      </w:r>
      <w:r w:rsidR="001455DF">
        <w:t>i</w:t>
      </w:r>
      <w:r>
        <w:t xml:space="preserve">cates that </w:t>
      </w:r>
      <w:r w:rsidR="001455DF">
        <w:t>h</w:t>
      </w:r>
      <w:r w:rsidRPr="0030448B">
        <w:t xml:space="preserve">alf of </w:t>
      </w:r>
      <w:r w:rsidR="007F2BB2">
        <w:t>Americans</w:t>
      </w:r>
      <w:r w:rsidRPr="0030448B">
        <w:t xml:space="preserve"> ages 17-35 say they have little or no knowledge about Active Duty military service</w:t>
      </w:r>
      <w:r w:rsidR="00135FE8">
        <w:t xml:space="preserve"> and</w:t>
      </w:r>
      <w:r w:rsidRPr="0030448B">
        <w:t xml:space="preserve"> only 12% say they are highly knowledgeable</w:t>
      </w:r>
      <w:r w:rsidR="001455DF">
        <w:t>.</w:t>
      </w:r>
      <w:r w:rsidR="003B50B2">
        <w:t xml:space="preserve">  This lack of understanding </w:t>
      </w:r>
      <w:r w:rsidR="00135FE8">
        <w:t>of the Army as an institution, and its corresponding mission, leads to disinterest in serving on both the uniformed and the civilian sides.  Understanding how to best bridge the gap between misperception and reality within the talent pools and career fields we seek is essential.  We need to understand this to create effective marketing, and thereby positively affect recruiting the quality civilian force the Army needs to succeed at its mission of protecting and preserving our nation.</w:t>
      </w:r>
      <w:r w:rsidR="003B50B2">
        <w:t xml:space="preserve">  </w:t>
      </w:r>
    </w:p>
    <w:p w:rsidR="0034388B" w:rsidRDefault="0034388B" w:rsidP="00CE55CC">
      <w:pPr>
        <w:ind w:firstLine="360"/>
      </w:pPr>
    </w:p>
    <w:p w:rsidR="007F2BB2" w:rsidRDefault="007F2BB2" w:rsidP="007F2BB2">
      <w:pPr>
        <w:ind w:firstLine="360"/>
      </w:pPr>
      <w:r>
        <w:t>The information collection consists of focus groups to gather insights</w:t>
      </w:r>
      <w:r w:rsidRPr="002B0593">
        <w:t xml:space="preserve"> on the awareness </w:t>
      </w:r>
      <w:r>
        <w:t>among</w:t>
      </w:r>
      <w:r w:rsidRPr="002B0593">
        <w:t xml:space="preserve"> non-federal employees of </w:t>
      </w:r>
      <w:r w:rsidR="008E37C1">
        <w:t xml:space="preserve">DA civilian </w:t>
      </w:r>
      <w:r w:rsidRPr="002B0593">
        <w:t xml:space="preserve">career opportunities and attitudes toward </w:t>
      </w:r>
      <w:r w:rsidR="008E37C1">
        <w:t>these opportunities</w:t>
      </w:r>
      <w:r w:rsidRPr="002B0593">
        <w:t xml:space="preserve">. </w:t>
      </w:r>
      <w:r>
        <w:t xml:space="preserve">The information gathered in these focus groups will be used to develop marketing </w:t>
      </w:r>
      <w:r>
        <w:lastRenderedPageBreak/>
        <w:t>messaging and strategies</w:t>
      </w:r>
      <w:r w:rsidR="008E37C1">
        <w:t xml:space="preserve"> to support DA civilian recruiting</w:t>
      </w:r>
      <w:r>
        <w:t xml:space="preserve">.  </w:t>
      </w:r>
      <w:r w:rsidR="008E37C1">
        <w:t>This study will also allow the Army to</w:t>
      </w:r>
      <w:r w:rsidR="008E37C1" w:rsidRPr="002B0593">
        <w:t xml:space="preserve"> set specific marketing objectives, strategies and tactics to recruit</w:t>
      </w:r>
      <w:r w:rsidR="008E37C1">
        <w:t xml:space="preserve"> DA </w:t>
      </w:r>
      <w:r w:rsidR="00CD1193">
        <w:t>c</w:t>
      </w:r>
      <w:r w:rsidR="008E37C1">
        <w:t>ivilians</w:t>
      </w:r>
      <w:r w:rsidR="008E37C1" w:rsidRPr="002B0593">
        <w:t>.</w:t>
      </w:r>
      <w:r w:rsidR="008E37C1">
        <w:t xml:space="preserve">  Finally, results from the focus groups</w:t>
      </w:r>
      <w:r>
        <w:t xml:space="preserve"> will also be used to clarify questions to be asked in a follow-up survey (which will be submitted to OMB for review in a separate package).  </w:t>
      </w:r>
    </w:p>
    <w:p w:rsidR="007F2BB2" w:rsidRDefault="007F2BB2" w:rsidP="007F2BB2">
      <w:pPr>
        <w:ind w:firstLine="360"/>
      </w:pPr>
    </w:p>
    <w:p w:rsidR="00CE55CC" w:rsidRDefault="00CE55CC" w:rsidP="00CE55CC"/>
    <w:p w:rsidR="007B25E0" w:rsidRDefault="00D009F5" w:rsidP="00254E8F">
      <w:pPr>
        <w:ind w:firstLine="360"/>
      </w:pPr>
      <w:r>
        <w:t>Th</w:t>
      </w:r>
      <w:r w:rsidR="000E0280">
        <w:t>e</w:t>
      </w:r>
      <w:r>
        <w:t xml:space="preserve"> co</w:t>
      </w:r>
      <w:r w:rsidR="00CE55CC">
        <w:t xml:space="preserve">llection of </w:t>
      </w:r>
      <w:r w:rsidR="000E0280">
        <w:t xml:space="preserve">this </w:t>
      </w:r>
      <w:r w:rsidR="00CE55CC">
        <w:t xml:space="preserve">information is required in response to the following regulations to support the tracking and accountability of personnel: Army Regulation </w:t>
      </w:r>
      <w:r w:rsidR="00CE55CC" w:rsidRPr="002B0593">
        <w:t xml:space="preserve">601-208, </w:t>
      </w:r>
      <w:r w:rsidR="00CE55CC">
        <w:t>dated 16 July</w:t>
      </w:r>
      <w:r w:rsidR="00DD2D78">
        <w:t xml:space="preserve"> 2013, which gives the</w:t>
      </w:r>
      <w:r w:rsidR="00CE55CC" w:rsidRPr="002B0593">
        <w:t xml:space="preserve"> </w:t>
      </w:r>
      <w:r w:rsidR="00DD2D78">
        <w:t>Army Marketing and Re</w:t>
      </w:r>
      <w:r w:rsidR="00254E8F">
        <w:t>search G</w:t>
      </w:r>
      <w:r w:rsidR="00DD2D78">
        <w:t>roup</w:t>
      </w:r>
      <w:r w:rsidR="00254E8F">
        <w:t xml:space="preserve"> (AMRG)</w:t>
      </w:r>
      <w:r w:rsidR="00DD2D78">
        <w:t xml:space="preserve"> the responsibility </w:t>
      </w:r>
      <w:r w:rsidR="00CE55CC">
        <w:t>for marketing support for Department o</w:t>
      </w:r>
      <w:r w:rsidR="00DD2D78">
        <w:t xml:space="preserve">f the Army </w:t>
      </w:r>
      <w:r w:rsidR="00CD1193">
        <w:t>civilian</w:t>
      </w:r>
      <w:r w:rsidR="00DD2D78">
        <w:t xml:space="preserve"> recruiting</w:t>
      </w:r>
      <w:r w:rsidR="00395BC3">
        <w:t xml:space="preserve">.  </w:t>
      </w:r>
      <w:r w:rsidR="009F0DE5" w:rsidRPr="001B187E">
        <w:rPr>
          <w:color w:val="000000"/>
        </w:rPr>
        <w:t xml:space="preserve">This regulation grants authority to AMRG for marketing in support of Army uniformed and </w:t>
      </w:r>
      <w:r w:rsidR="00CD1193">
        <w:rPr>
          <w:color w:val="000000"/>
        </w:rPr>
        <w:t>civilian</w:t>
      </w:r>
      <w:r w:rsidR="009F0DE5" w:rsidRPr="001B187E">
        <w:rPr>
          <w:color w:val="000000"/>
        </w:rPr>
        <w:t xml:space="preserve"> recruiting efforts and therefore to conduct research to that end</w:t>
      </w:r>
      <w:r w:rsidR="002356EF" w:rsidRPr="001B187E">
        <w:rPr>
          <w:color w:val="000000"/>
        </w:rPr>
        <w:t>.</w:t>
      </w:r>
      <w:r w:rsidR="002356EF">
        <w:t xml:space="preserve"> </w:t>
      </w:r>
      <w:r w:rsidR="00CE55CC">
        <w:t>Department of the Army General Order 201</w:t>
      </w:r>
      <w:r w:rsidR="00443C67">
        <w:t>7</w:t>
      </w:r>
      <w:r w:rsidR="00DD2D78">
        <w:t>-</w:t>
      </w:r>
      <w:r w:rsidR="00443C67">
        <w:t>05</w:t>
      </w:r>
      <w:r w:rsidR="00395BC3">
        <w:t xml:space="preserve"> </w:t>
      </w:r>
      <w:r w:rsidR="00DD2D78">
        <w:t xml:space="preserve">dated </w:t>
      </w:r>
      <w:r w:rsidR="00443C67">
        <w:t>6 January 2017</w:t>
      </w:r>
      <w:r w:rsidR="00DD2D78">
        <w:t xml:space="preserve"> </w:t>
      </w:r>
      <w:r w:rsidR="009F0DE5" w:rsidRPr="001B187E">
        <w:rPr>
          <w:color w:val="000000"/>
        </w:rPr>
        <w:t xml:space="preserve">affirms the </w:t>
      </w:r>
      <w:r w:rsidR="00443C67">
        <w:rPr>
          <w:color w:val="000000"/>
        </w:rPr>
        <w:t>consolidation of</w:t>
      </w:r>
      <w:r w:rsidR="009F0DE5" w:rsidRPr="001B187E">
        <w:rPr>
          <w:color w:val="000000"/>
        </w:rPr>
        <w:t xml:space="preserve"> marketing in support of </w:t>
      </w:r>
      <w:r w:rsidR="00443C67">
        <w:rPr>
          <w:color w:val="000000"/>
        </w:rPr>
        <w:t xml:space="preserve">Army </w:t>
      </w:r>
      <w:r w:rsidR="009F0DE5" w:rsidRPr="001B187E">
        <w:rPr>
          <w:color w:val="000000"/>
        </w:rPr>
        <w:t xml:space="preserve">uniformed and </w:t>
      </w:r>
      <w:r w:rsidR="002356EF" w:rsidRPr="001B187E">
        <w:rPr>
          <w:color w:val="000000"/>
        </w:rPr>
        <w:t>civilian</w:t>
      </w:r>
      <w:r w:rsidR="009F0DE5" w:rsidRPr="001B187E">
        <w:rPr>
          <w:color w:val="000000"/>
        </w:rPr>
        <w:t xml:space="preserve"> recruiting</w:t>
      </w:r>
      <w:r w:rsidR="00443C67">
        <w:rPr>
          <w:color w:val="000000"/>
        </w:rPr>
        <w:t xml:space="preserve"> under the AMRG</w:t>
      </w:r>
      <w:r w:rsidR="002356EF" w:rsidRPr="001B187E">
        <w:rPr>
          <w:color w:val="000000"/>
        </w:rPr>
        <w:t>.</w:t>
      </w:r>
      <w:r w:rsidR="002356EF">
        <w:rPr>
          <w:color w:val="000000"/>
        </w:rPr>
        <w:t xml:space="preserve"> </w:t>
      </w:r>
      <w:r w:rsidR="00254E8F">
        <w:rPr>
          <w:color w:val="000000"/>
        </w:rPr>
        <w:t>D</w:t>
      </w:r>
      <w:r w:rsidR="00CE55CC">
        <w:t>epartment of the Army General Or</w:t>
      </w:r>
      <w:r>
        <w:t>der 2012-01, dated 11 June 2012,</w:t>
      </w:r>
      <w:r w:rsidR="00CE55CC">
        <w:t xml:space="preserve"> Assignment of Functions and Responsibilities within Headquarters, Department of the Army</w:t>
      </w:r>
      <w:r w:rsidR="0030032A">
        <w:t xml:space="preserve">, </w:t>
      </w:r>
      <w:r w:rsidR="009F0DE5" w:rsidRPr="001B187E">
        <w:rPr>
          <w:color w:val="000000"/>
        </w:rPr>
        <w:t>assigns marketing functions and responsibilities in support of total Army recruiting to AMRG. In order to assume these functions and responsibilities</w:t>
      </w:r>
      <w:r w:rsidR="000E0280">
        <w:rPr>
          <w:color w:val="000000"/>
        </w:rPr>
        <w:t>,</w:t>
      </w:r>
      <w:r w:rsidR="009F0DE5" w:rsidRPr="001B187E">
        <w:rPr>
          <w:color w:val="000000"/>
        </w:rPr>
        <w:t xml:space="preserve"> research must be conducted to inform all efforts</w:t>
      </w:r>
      <w:r w:rsidR="002356EF" w:rsidRPr="001B187E">
        <w:rPr>
          <w:color w:val="000000"/>
        </w:rPr>
        <w:t>.</w:t>
      </w:r>
      <w:r w:rsidR="002356EF">
        <w:rPr>
          <w:color w:val="000000"/>
        </w:rPr>
        <w:t xml:space="preserve"> </w:t>
      </w:r>
      <w:r w:rsidR="00CE55CC" w:rsidRPr="002B0593">
        <w:t>10 Un</w:t>
      </w:r>
      <w:r w:rsidR="00254E8F">
        <w:t xml:space="preserve">ited States Code, Section 2358, </w:t>
      </w:r>
      <w:r w:rsidR="00CE55CC" w:rsidRPr="002B0593">
        <w:t>Res</w:t>
      </w:r>
      <w:r w:rsidR="00254E8F">
        <w:t>earch and Development Projects</w:t>
      </w:r>
      <w:r w:rsidR="00395BC3">
        <w:t xml:space="preserve">, </w:t>
      </w:r>
      <w:r w:rsidR="003566EF">
        <w:t xml:space="preserve">allows for </w:t>
      </w:r>
      <w:r w:rsidR="0030032A">
        <w:t xml:space="preserve">DoD </w:t>
      </w:r>
      <w:r w:rsidR="003566EF">
        <w:t>research projects that are of po</w:t>
      </w:r>
      <w:r w:rsidR="006D1079">
        <w:t>tential interest</w:t>
      </w:r>
      <w:r w:rsidR="002356EF">
        <w:t xml:space="preserve">. </w:t>
      </w:r>
    </w:p>
    <w:bookmarkEnd w:id="2"/>
    <w:p w:rsidR="005E0A0F" w:rsidRDefault="005E0A0F" w:rsidP="005E0A0F">
      <w:pPr>
        <w:pStyle w:val="NormalWeb"/>
        <w:spacing w:line="288" w:lineRule="atLeast"/>
        <w:ind w:firstLine="900"/>
        <w:rPr>
          <w:u w:val="single"/>
        </w:rPr>
      </w:pPr>
      <w:r>
        <w:t xml:space="preserve">2.  </w:t>
      </w:r>
      <w:r>
        <w:rPr>
          <w:u w:val="single"/>
        </w:rPr>
        <w:t>Use of the Information</w:t>
      </w:r>
    </w:p>
    <w:p w:rsidR="00716E14" w:rsidRDefault="00CE55CC" w:rsidP="002E3A1E">
      <w:pPr>
        <w:pStyle w:val="NormalWeb"/>
        <w:spacing w:before="0" w:beforeAutospacing="0" w:after="0" w:afterAutospacing="0"/>
        <w:ind w:firstLine="360"/>
      </w:pPr>
      <w:r w:rsidRPr="001F0241">
        <w:t xml:space="preserve">Information collection for this study will be completed in two phases. Phase I will be </w:t>
      </w:r>
      <w:r w:rsidR="00CD1193">
        <w:t>focus group</w:t>
      </w:r>
      <w:r w:rsidRPr="001F0241">
        <w:t>s</w:t>
      </w:r>
      <w:r w:rsidR="00294FE9" w:rsidRPr="001F0241">
        <w:t xml:space="preserve">.  </w:t>
      </w:r>
      <w:r w:rsidRPr="001F0241">
        <w:t>Phase II w</w:t>
      </w:r>
      <w:r w:rsidR="00294FE9" w:rsidRPr="001F0241">
        <w:t xml:space="preserve">ill be </w:t>
      </w:r>
      <w:r w:rsidR="00884A53" w:rsidRPr="001F0241">
        <w:t>a survey</w:t>
      </w:r>
      <w:r w:rsidR="00395BC3" w:rsidRPr="001F0241">
        <w:t xml:space="preserve"> </w:t>
      </w:r>
      <w:r w:rsidR="00C67AAD">
        <w:t>which</w:t>
      </w:r>
      <w:r w:rsidR="00884A53" w:rsidRPr="001F0241">
        <w:t xml:space="preserve"> </w:t>
      </w:r>
      <w:r w:rsidR="00395BC3" w:rsidRPr="001F0241">
        <w:t xml:space="preserve">will be submitted for approval after the </w:t>
      </w:r>
      <w:r w:rsidR="00716E14" w:rsidRPr="001F0241">
        <w:t xml:space="preserve">Phase I </w:t>
      </w:r>
      <w:r w:rsidR="00395BC3" w:rsidRPr="001F0241">
        <w:t xml:space="preserve">focus groups </w:t>
      </w:r>
      <w:r w:rsidR="00C67AAD">
        <w:t>submission is</w:t>
      </w:r>
      <w:r w:rsidR="00395BC3" w:rsidRPr="001F0241">
        <w:t xml:space="preserve"> </w:t>
      </w:r>
      <w:r w:rsidR="00C67AAD">
        <w:t>reviewed</w:t>
      </w:r>
      <w:r w:rsidR="00395BC3" w:rsidRPr="001F0241">
        <w:t xml:space="preserve"> </w:t>
      </w:r>
      <w:r w:rsidR="00716E14" w:rsidRPr="001F0241">
        <w:t xml:space="preserve">by OMB.  </w:t>
      </w:r>
      <w:r w:rsidR="0030032A">
        <w:t>Information from t</w:t>
      </w:r>
      <w:r w:rsidR="00716E14" w:rsidRPr="001F0241">
        <w:t xml:space="preserve">he </w:t>
      </w:r>
      <w:r w:rsidR="00395BC3" w:rsidRPr="001F0241">
        <w:t xml:space="preserve">focus groups will inform the </w:t>
      </w:r>
      <w:r w:rsidR="00DD17F4" w:rsidRPr="001F0241">
        <w:t xml:space="preserve">content of the Phase II </w:t>
      </w:r>
      <w:r w:rsidR="00395BC3" w:rsidRPr="001F0241">
        <w:t>survey</w:t>
      </w:r>
      <w:r w:rsidRPr="001F0241">
        <w:t>.</w:t>
      </w:r>
      <w:r w:rsidRPr="002B0593">
        <w:t xml:space="preserve"> </w:t>
      </w:r>
      <w:r w:rsidR="00294FE9">
        <w:t xml:space="preserve"> </w:t>
      </w:r>
      <w:r w:rsidR="004F03FE">
        <w:t xml:space="preserve">The entire study (both phases) will </w:t>
      </w:r>
      <w:r w:rsidR="004F03FE" w:rsidRPr="0034388B">
        <w:t xml:space="preserve">inform how the Army can more effectively market to </w:t>
      </w:r>
      <w:r w:rsidR="004F03FE">
        <w:t xml:space="preserve">support the </w:t>
      </w:r>
      <w:r w:rsidR="004F03FE" w:rsidRPr="0034388B">
        <w:t>recruit</w:t>
      </w:r>
      <w:r w:rsidR="004F03FE">
        <w:t>ing</w:t>
      </w:r>
      <w:r w:rsidR="004F03FE" w:rsidRPr="0034388B">
        <w:t xml:space="preserve"> </w:t>
      </w:r>
      <w:r w:rsidR="004F03FE">
        <w:t>of Department of the Army (</w:t>
      </w:r>
      <w:r w:rsidR="004F03FE" w:rsidRPr="0034388B">
        <w:t>DA</w:t>
      </w:r>
      <w:r w:rsidR="004F03FE">
        <w:t>)</w:t>
      </w:r>
      <w:r w:rsidR="004F03FE" w:rsidRPr="0034388B">
        <w:t xml:space="preserve"> </w:t>
      </w:r>
      <w:r w:rsidR="004F03FE">
        <w:t>c</w:t>
      </w:r>
      <w:r w:rsidR="004F03FE" w:rsidRPr="0034388B">
        <w:t xml:space="preserve">ivilian critical occupations.  </w:t>
      </w:r>
      <w:r w:rsidR="004F03FE">
        <w:t xml:space="preserve">The results will be used in marketing for all DA civilian occupations.  </w:t>
      </w:r>
    </w:p>
    <w:p w:rsidR="00716E14" w:rsidRDefault="00716E14" w:rsidP="002E3A1E">
      <w:pPr>
        <w:pStyle w:val="NormalWeb"/>
        <w:spacing w:before="0" w:beforeAutospacing="0" w:after="0" w:afterAutospacing="0"/>
        <w:ind w:firstLine="360"/>
      </w:pPr>
    </w:p>
    <w:p w:rsidR="0001036E" w:rsidRDefault="00CE55CC" w:rsidP="002E3A1E">
      <w:pPr>
        <w:pStyle w:val="NormalWeb"/>
        <w:spacing w:before="0" w:beforeAutospacing="0" w:after="0" w:afterAutospacing="0"/>
        <w:ind w:firstLine="360"/>
      </w:pPr>
      <w:r>
        <w:t xml:space="preserve">This application pertains to </w:t>
      </w:r>
      <w:r w:rsidR="0030032A">
        <w:t xml:space="preserve">the </w:t>
      </w:r>
      <w:r>
        <w:t xml:space="preserve">Phase I </w:t>
      </w:r>
      <w:r w:rsidR="00CD1193">
        <w:t>focus group</w:t>
      </w:r>
      <w:r>
        <w:t>s</w:t>
      </w:r>
      <w:r w:rsidR="002356EF">
        <w:t xml:space="preserve">. </w:t>
      </w:r>
      <w:r w:rsidR="00C67AAD">
        <w:t xml:space="preserve">Prior to this submission, a workshop was conducted with Army </w:t>
      </w:r>
      <w:r w:rsidR="00CD1193">
        <w:t>civilian</w:t>
      </w:r>
      <w:r w:rsidR="00C67AAD">
        <w:t xml:space="preserve"> personnel subject matter experts to understand their needs and establish goals for the focus groups. </w:t>
      </w:r>
      <w:r w:rsidR="000D171E">
        <w:t xml:space="preserve"> </w:t>
      </w:r>
      <w:r>
        <w:t xml:space="preserve">Results from </w:t>
      </w:r>
      <w:r w:rsidR="006D1079">
        <w:t xml:space="preserve">the </w:t>
      </w:r>
      <w:r>
        <w:t xml:space="preserve">Phase I </w:t>
      </w:r>
      <w:r w:rsidR="00CD1193">
        <w:t>focus group</w:t>
      </w:r>
      <w:r>
        <w:t>s will be</w:t>
      </w:r>
      <w:r w:rsidR="005150BB">
        <w:t xml:space="preserve"> discussed in a</w:t>
      </w:r>
      <w:r w:rsidR="00716E14">
        <w:t>nother</w:t>
      </w:r>
      <w:r w:rsidR="005150BB">
        <w:t xml:space="preserve"> subject ma</w:t>
      </w:r>
      <w:r w:rsidR="00F951F8">
        <w:t>tt</w:t>
      </w:r>
      <w:r w:rsidR="005150BB">
        <w:t xml:space="preserve">er expert workshop and </w:t>
      </w:r>
      <w:r>
        <w:t xml:space="preserve">used to develop the </w:t>
      </w:r>
      <w:r w:rsidR="00CD1193">
        <w:t>quantitative</w:t>
      </w:r>
      <w:r>
        <w:t xml:space="preserve"> survey to be used in Phase II</w:t>
      </w:r>
      <w:r w:rsidR="002356EF">
        <w:t xml:space="preserve">. </w:t>
      </w:r>
      <w:r w:rsidR="00716E14">
        <w:t xml:space="preserve"> </w:t>
      </w:r>
      <w:r w:rsidR="0001036E">
        <w:t>A third workshop will review the recommendations based on the Phase II survey outcomes</w:t>
      </w:r>
      <w:r w:rsidR="00C67AAD">
        <w:t xml:space="preserve"> and discuss marketing strategy</w:t>
      </w:r>
      <w:r w:rsidR="0001036E">
        <w:t xml:space="preserve">.  </w:t>
      </w:r>
    </w:p>
    <w:p w:rsidR="0001036E" w:rsidRDefault="0001036E" w:rsidP="002E3A1E">
      <w:pPr>
        <w:pStyle w:val="NormalWeb"/>
        <w:spacing w:before="0" w:beforeAutospacing="0" w:after="0" w:afterAutospacing="0"/>
        <w:ind w:firstLine="360"/>
      </w:pPr>
    </w:p>
    <w:p w:rsidR="00CE55CC" w:rsidRDefault="0001036E" w:rsidP="002E3A1E">
      <w:pPr>
        <w:pStyle w:val="NormalWeb"/>
        <w:spacing w:before="0" w:beforeAutospacing="0" w:after="0" w:afterAutospacing="0"/>
        <w:ind w:firstLine="360"/>
      </w:pPr>
      <w:r>
        <w:t>A</w:t>
      </w:r>
      <w:r w:rsidR="00E16B5B">
        <w:t xml:space="preserve"> 60-day</w:t>
      </w:r>
      <w:r w:rsidR="00F951F8">
        <w:t xml:space="preserve"> </w:t>
      </w:r>
      <w:r w:rsidR="00E16B5B">
        <w:t xml:space="preserve">Federal Register Notice </w:t>
      </w:r>
      <w:r>
        <w:t xml:space="preserve">request </w:t>
      </w:r>
      <w:r w:rsidR="00F951F8">
        <w:t>will</w:t>
      </w:r>
      <w:r w:rsidR="00E16B5B">
        <w:t xml:space="preserve"> </w:t>
      </w:r>
      <w:r w:rsidR="00716E14">
        <w:t xml:space="preserve">soon </w:t>
      </w:r>
      <w:r w:rsidR="00F951F8">
        <w:t xml:space="preserve">be </w:t>
      </w:r>
      <w:r w:rsidR="00E16B5B">
        <w:t xml:space="preserve">submitted for Phase II </w:t>
      </w:r>
      <w:r w:rsidR="00CD1193">
        <w:t>quantitative</w:t>
      </w:r>
      <w:r w:rsidR="00E16B5B">
        <w:t xml:space="preserve"> (survey)</w:t>
      </w:r>
      <w:r w:rsidR="00716E14">
        <w:t xml:space="preserve"> </w:t>
      </w:r>
      <w:r w:rsidR="00F951F8">
        <w:t>and a</w:t>
      </w:r>
      <w:r w:rsidR="00CE55CC">
        <w:t xml:space="preserve"> subsequent application will be submitted for </w:t>
      </w:r>
      <w:r>
        <w:t xml:space="preserve">the </w:t>
      </w:r>
      <w:r w:rsidR="00CE55CC">
        <w:t xml:space="preserve">Phase II </w:t>
      </w:r>
      <w:r w:rsidR="00CD1193">
        <w:t>quantitative</w:t>
      </w:r>
      <w:r w:rsidR="00CE55CC">
        <w:t xml:space="preserve"> study</w:t>
      </w:r>
      <w:r w:rsidR="00716E14">
        <w:t xml:space="preserve"> (once the Phase I focus groups are </w:t>
      </w:r>
      <w:r w:rsidR="00C67AAD">
        <w:t>review</w:t>
      </w:r>
      <w:r>
        <w:t>ed</w:t>
      </w:r>
      <w:r w:rsidR="00353591">
        <w:t xml:space="preserve"> and approved </w:t>
      </w:r>
      <w:r w:rsidR="00716E14">
        <w:t>by OMB</w:t>
      </w:r>
      <w:r w:rsidR="00C67AAD">
        <w:t>)</w:t>
      </w:r>
      <w:r w:rsidR="002356EF">
        <w:t xml:space="preserve">. </w:t>
      </w:r>
      <w:r w:rsidR="00CE55CC" w:rsidRPr="002B0593">
        <w:t xml:space="preserve">The </w:t>
      </w:r>
      <w:r w:rsidR="00C73B08">
        <w:t>information</w:t>
      </w:r>
      <w:r w:rsidR="00CE55CC" w:rsidRPr="002B0593">
        <w:t xml:space="preserve"> collected from </w:t>
      </w:r>
      <w:r w:rsidR="0030032A">
        <w:t xml:space="preserve">both of </w:t>
      </w:r>
      <w:r w:rsidR="00CE55CC" w:rsidRPr="002B0593">
        <w:t xml:space="preserve">these activities will be supplemented with </w:t>
      </w:r>
      <w:r w:rsidR="00716E14">
        <w:t>insights from</w:t>
      </w:r>
      <w:r w:rsidR="00CE55CC" w:rsidRPr="002B0593">
        <w:t xml:space="preserve"> </w:t>
      </w:r>
      <w:r w:rsidR="00716E14">
        <w:t xml:space="preserve">existing </w:t>
      </w:r>
      <w:r w:rsidR="00CE55CC" w:rsidRPr="002B0593">
        <w:t xml:space="preserve">Army branding and marketing practices as well as recent and projected hiring needs of DA </w:t>
      </w:r>
      <w:r w:rsidR="00CD1193">
        <w:t>civilian</w:t>
      </w:r>
      <w:r w:rsidR="00CE55CC" w:rsidRPr="002B0593">
        <w:t>s.</w:t>
      </w:r>
      <w:r w:rsidR="00CE55CC">
        <w:t xml:space="preserve">  </w:t>
      </w:r>
    </w:p>
    <w:p w:rsidR="000D171E" w:rsidRDefault="000D171E" w:rsidP="002E3A1E">
      <w:pPr>
        <w:pStyle w:val="NormalWeb"/>
        <w:spacing w:before="0" w:beforeAutospacing="0" w:after="0" w:afterAutospacing="0"/>
        <w:ind w:firstLine="360"/>
      </w:pPr>
    </w:p>
    <w:p w:rsidR="004627BD" w:rsidRDefault="000D171E" w:rsidP="002E3A1E">
      <w:pPr>
        <w:pStyle w:val="NormalWeb"/>
        <w:spacing w:before="0" w:beforeAutospacing="0" w:after="0" w:afterAutospacing="0"/>
        <w:ind w:firstLine="360"/>
      </w:pPr>
      <w:r>
        <w:t xml:space="preserve">The </w:t>
      </w:r>
      <w:r w:rsidR="00177136">
        <w:t xml:space="preserve">focus group </w:t>
      </w:r>
      <w:r w:rsidR="004627BD">
        <w:t>participants</w:t>
      </w:r>
      <w:r>
        <w:t xml:space="preserve"> </w:t>
      </w:r>
      <w:r w:rsidR="0030032A">
        <w:t>will be</w:t>
      </w:r>
      <w:r>
        <w:t xml:space="preserve"> college students through mid-career professionals external to </w:t>
      </w:r>
      <w:r w:rsidR="004627BD">
        <w:t>DA</w:t>
      </w:r>
      <w:r>
        <w:t xml:space="preserve"> </w:t>
      </w:r>
      <w:r w:rsidR="00CD1193">
        <w:t>civilian</w:t>
      </w:r>
      <w:r>
        <w:t xml:space="preserve"> service</w:t>
      </w:r>
      <w:r w:rsidR="002356EF">
        <w:t xml:space="preserve">. </w:t>
      </w:r>
      <w:r w:rsidR="00177136">
        <w:t xml:space="preserve"> </w:t>
      </w:r>
      <w:r w:rsidR="004627BD">
        <w:t xml:space="preserve">Focus group participants will be prospective candidates for DA </w:t>
      </w:r>
      <w:r w:rsidR="00CD1193">
        <w:t>civilian</w:t>
      </w:r>
      <w:r w:rsidR="004627BD">
        <w:t xml:space="preserve"> employment who are either</w:t>
      </w:r>
      <w:r w:rsidR="005150BB">
        <w:t xml:space="preserve"> c</w:t>
      </w:r>
      <w:r w:rsidR="004627BD">
        <w:t xml:space="preserve">ollege juniors, </w:t>
      </w:r>
      <w:r w:rsidR="00F951F8">
        <w:t xml:space="preserve">college </w:t>
      </w:r>
      <w:r w:rsidR="004627BD">
        <w:t>seniors or graduate students currently pursuing a major that aligns wi</w:t>
      </w:r>
      <w:r w:rsidR="003E1127">
        <w:t>th one of the following careers or p</w:t>
      </w:r>
      <w:r w:rsidR="004627BD">
        <w:t>rofessionals currently employed at different career stages (junior and mid-level) in one of the</w:t>
      </w:r>
      <w:r w:rsidR="003E1127">
        <w:t xml:space="preserve"> following mission-critical careers: </w:t>
      </w:r>
      <w:r w:rsidR="004627BD">
        <w:t>Civil Engineering</w:t>
      </w:r>
      <w:r w:rsidR="003E1127">
        <w:t>, E</w:t>
      </w:r>
      <w:r w:rsidR="004627BD">
        <w:t>lectronics Engineering</w:t>
      </w:r>
      <w:r w:rsidR="003E1127">
        <w:t xml:space="preserve">, Contracting, or </w:t>
      </w:r>
      <w:r w:rsidR="004627BD">
        <w:t>In</w:t>
      </w:r>
      <w:r w:rsidR="003E1127">
        <w:t>formation Technology Management.</w:t>
      </w:r>
      <w:r w:rsidR="004627BD">
        <w:t xml:space="preserve"> </w:t>
      </w:r>
    </w:p>
    <w:p w:rsidR="001F0241" w:rsidRDefault="001F0241" w:rsidP="002E3A1E">
      <w:pPr>
        <w:pStyle w:val="NormalWeb"/>
        <w:spacing w:before="0" w:beforeAutospacing="0" w:after="0" w:afterAutospacing="0"/>
        <w:ind w:firstLine="360"/>
      </w:pPr>
    </w:p>
    <w:p w:rsidR="00CE3CB0" w:rsidRDefault="002540BA" w:rsidP="002E3A1E">
      <w:pPr>
        <w:pStyle w:val="NormalWeb"/>
        <w:spacing w:before="0" w:beforeAutospacing="0" w:after="0" w:afterAutospacing="0"/>
        <w:ind w:firstLine="360"/>
      </w:pPr>
      <w:r>
        <w:t xml:space="preserve">Focus groups </w:t>
      </w:r>
      <w:r w:rsidR="00995EB7">
        <w:t xml:space="preserve">with </w:t>
      </w:r>
      <w:r w:rsidR="0030032A">
        <w:t xml:space="preserve">college students and </w:t>
      </w:r>
      <w:r w:rsidR="00995EB7">
        <w:t xml:space="preserve">professionals </w:t>
      </w:r>
      <w:r>
        <w:t>will be conducted in focus group facilities</w:t>
      </w:r>
      <w:r w:rsidR="0030032A">
        <w:t xml:space="preserve"> rather than at a college or company site</w:t>
      </w:r>
      <w:r w:rsidR="00C73B08">
        <w:t xml:space="preserve"> for </w:t>
      </w:r>
      <w:r w:rsidR="00266974">
        <w:t>several</w:t>
      </w:r>
      <w:r w:rsidR="00C73B08">
        <w:t xml:space="preserve"> reasons</w:t>
      </w:r>
      <w:r>
        <w:t xml:space="preserve">.  </w:t>
      </w:r>
      <w:r w:rsidR="00C73B08">
        <w:t>First, u</w:t>
      </w:r>
      <w:r>
        <w:t xml:space="preserve">sing a company conference room would likely prove difficult </w:t>
      </w:r>
      <w:r w:rsidR="0030032A">
        <w:t>because</w:t>
      </w:r>
      <w:r>
        <w:t xml:space="preserve"> the focus group discussions will be about awareness of and attitudes toward another potential employer.  </w:t>
      </w:r>
      <w:r w:rsidR="0030032A">
        <w:t>Discussing employment with another (competing) employer is awkward for the participants</w:t>
      </w:r>
      <w:r w:rsidR="00C73B08">
        <w:t>.  It</w:t>
      </w:r>
      <w:r w:rsidR="0030032A">
        <w:t xml:space="preserve"> </w:t>
      </w:r>
      <w:r w:rsidR="00C73B08">
        <w:t xml:space="preserve">will also be </w:t>
      </w:r>
      <w:r w:rsidR="0030032A">
        <w:t xml:space="preserve">difficult at best to convince the current employer to allow use of a conference room </w:t>
      </w:r>
      <w:r w:rsidR="00C73B08">
        <w:t xml:space="preserve">or to provide a list of employees </w:t>
      </w:r>
      <w:r w:rsidR="0030032A">
        <w:t xml:space="preserve">for this purpose.  </w:t>
      </w:r>
      <w:r>
        <w:t>To avoid any potential (real or per</w:t>
      </w:r>
      <w:r w:rsidR="00995EB7">
        <w:t>ceived) conflict</w:t>
      </w:r>
      <w:r w:rsidR="0030032A">
        <w:t>,</w:t>
      </w:r>
      <w:r w:rsidR="00995EB7">
        <w:t xml:space="preserve"> we will use a local</w:t>
      </w:r>
      <w:r>
        <w:t xml:space="preserve"> focus group facility.  </w:t>
      </w:r>
      <w:r w:rsidR="00C73B08">
        <w:t>Second, i</w:t>
      </w:r>
      <w:r>
        <w:t xml:space="preserve">n addition, use of a focus group facility will allow for a more diverse </w:t>
      </w:r>
      <w:r w:rsidR="00177136">
        <w:t>set of participants</w:t>
      </w:r>
      <w:r>
        <w:t xml:space="preserve"> and not limit participants to being from a single company</w:t>
      </w:r>
      <w:r w:rsidR="0019017B">
        <w:t xml:space="preserve"> or college</w:t>
      </w:r>
      <w:r>
        <w:t xml:space="preserve"> (which may have a distinct culture that is not representative of other companies</w:t>
      </w:r>
      <w:r w:rsidR="0019017B">
        <w:t>/colleges</w:t>
      </w:r>
      <w:r>
        <w:t xml:space="preserve">).  </w:t>
      </w:r>
      <w:r w:rsidR="00995EB7">
        <w:t>Focus groups for college students will also be at a local focus group facility to allow students from more than one local college/university to participate in a focus group.</w:t>
      </w:r>
      <w:r w:rsidR="0019017B">
        <w:t xml:space="preserve">  A</w:t>
      </w:r>
      <w:r w:rsidR="00C73B08">
        <w:t xml:space="preserve"> third</w:t>
      </w:r>
      <w:r w:rsidR="0019017B">
        <w:t xml:space="preserve"> reason to use a focus group facility is that the facility has lists of potential participants and trained recruiters.  The Army does not have a list of potential participants, the companies where they work or student lists at any local colleges and universities and therefore would be at a distinct disadvantage for recruiting participants.  Finally, a</w:t>
      </w:r>
      <w:r w:rsidR="00621D49">
        <w:t xml:space="preserve">n additional benefit of using a focus group facility </w:t>
      </w:r>
      <w:r w:rsidR="00C73B08">
        <w:t xml:space="preserve">to recruit </w:t>
      </w:r>
      <w:r w:rsidR="00621D49">
        <w:t xml:space="preserve">instead of company or college </w:t>
      </w:r>
      <w:r w:rsidR="00C73B08">
        <w:t>lists</w:t>
      </w:r>
      <w:r w:rsidR="00621D49">
        <w:t xml:space="preserve"> is that the focus group </w:t>
      </w:r>
      <w:r w:rsidR="00177136">
        <w:t xml:space="preserve">facility </w:t>
      </w:r>
      <w:r w:rsidR="00621D49">
        <w:t>allows for anonymity of the participants</w:t>
      </w:r>
      <w:r w:rsidR="00D12894">
        <w:t xml:space="preserve"> and confidentiality of </w:t>
      </w:r>
      <w:r w:rsidR="00177136">
        <w:t xml:space="preserve">their </w:t>
      </w:r>
      <w:r w:rsidR="00D12894">
        <w:t>responses</w:t>
      </w:r>
      <w:r w:rsidR="00621D49">
        <w:t xml:space="preserve">.  This is further outlined </w:t>
      </w:r>
      <w:r w:rsidR="00CC79A4">
        <w:t xml:space="preserve">in the paragraphs </w:t>
      </w:r>
      <w:r w:rsidR="00621D49">
        <w:t>below</w:t>
      </w:r>
      <w:r w:rsidR="00CC79A4">
        <w:t xml:space="preserve"> as well as in section 10</w:t>
      </w:r>
      <w:r w:rsidR="00621D49">
        <w:t>.</w:t>
      </w:r>
    </w:p>
    <w:p w:rsidR="00995EB7" w:rsidRDefault="00995EB7" w:rsidP="002E3A1E">
      <w:pPr>
        <w:pStyle w:val="NormalWeb"/>
        <w:spacing w:before="0" w:beforeAutospacing="0" w:after="0" w:afterAutospacing="0"/>
        <w:ind w:firstLine="360"/>
      </w:pPr>
    </w:p>
    <w:p w:rsidR="003D7C1D" w:rsidRDefault="00D7553A" w:rsidP="002E3A1E">
      <w:pPr>
        <w:pStyle w:val="NormalWeb"/>
        <w:spacing w:before="0" w:beforeAutospacing="0" w:after="0" w:afterAutospacing="0"/>
        <w:ind w:firstLine="360"/>
      </w:pPr>
      <w:r w:rsidRPr="00E77AD0">
        <w:t>P</w:t>
      </w:r>
      <w:r w:rsidR="004627BD" w:rsidRPr="00E77AD0">
        <w:t xml:space="preserve">otential participants will be </w:t>
      </w:r>
      <w:r w:rsidR="00CE3CB0" w:rsidRPr="00E77AD0">
        <w:t xml:space="preserve">recruited by local focus group facilities, using several sources, such as </w:t>
      </w:r>
      <w:r w:rsidR="0019017B">
        <w:t>the facilities’</w:t>
      </w:r>
      <w:r w:rsidR="00CE3CB0" w:rsidRPr="00E77AD0">
        <w:t xml:space="preserve"> own </w:t>
      </w:r>
      <w:r w:rsidR="00E77AD0" w:rsidRPr="00E77AD0">
        <w:t>lists of people who have agreed to participate in focus groups</w:t>
      </w:r>
      <w:r w:rsidR="00CE3CB0" w:rsidRPr="00E77AD0">
        <w:t xml:space="preserve"> (each facility develops its own database of potential participants through multiple sources, such as </w:t>
      </w:r>
      <w:r w:rsidR="008E1F1E" w:rsidRPr="00E77AD0">
        <w:t>client lists from prior projects</w:t>
      </w:r>
      <w:r w:rsidR="008E1F1E">
        <w:t>,</w:t>
      </w:r>
      <w:r w:rsidR="008E1F1E" w:rsidRPr="00E77AD0">
        <w:t xml:space="preserve"> </w:t>
      </w:r>
      <w:r w:rsidR="00CE3CB0" w:rsidRPr="00E77AD0">
        <w:t>advertisements and notifications in websites and local publications</w:t>
      </w:r>
      <w:r w:rsidR="008E1F1E">
        <w:t xml:space="preserve"> and</w:t>
      </w:r>
      <w:r w:rsidR="00CE3CB0" w:rsidRPr="00E77AD0">
        <w:t xml:space="preserve"> flyers at target locations (e.g., colleges, shopping areas, office complexes</w:t>
      </w:r>
      <w:r w:rsidR="00E77AD0" w:rsidRPr="00E77AD0">
        <w:t>))</w:t>
      </w:r>
      <w:r w:rsidR="008E1F1E">
        <w:t xml:space="preserve">.  Focus group facilities may also have access to </w:t>
      </w:r>
      <w:r w:rsidR="00E77AD0" w:rsidRPr="00E77AD0">
        <w:t>d</w:t>
      </w:r>
      <w:r w:rsidR="00CE3CB0" w:rsidRPr="00E77AD0">
        <w:t>atabases from other focus group facilities with which they have a reciprocal relationshi</w:t>
      </w:r>
      <w:r w:rsidR="00CE3CB0" w:rsidRPr="003D7C1D">
        <w:t>p.</w:t>
      </w:r>
      <w:r w:rsidR="005C4E3E" w:rsidRPr="003D7C1D">
        <w:t xml:space="preserve">  </w:t>
      </w:r>
    </w:p>
    <w:p w:rsidR="003D7C1D" w:rsidRDefault="003D7C1D" w:rsidP="002E3A1E">
      <w:pPr>
        <w:pStyle w:val="NormalWeb"/>
        <w:spacing w:before="0" w:beforeAutospacing="0" w:after="0" w:afterAutospacing="0"/>
        <w:ind w:firstLine="360"/>
      </w:pPr>
    </w:p>
    <w:p w:rsidR="00CE3CB0" w:rsidRPr="00E77AD0" w:rsidRDefault="001B43CD" w:rsidP="002E3A1E">
      <w:pPr>
        <w:pStyle w:val="NormalWeb"/>
        <w:spacing w:before="0" w:beforeAutospacing="0" w:after="0" w:afterAutospacing="0"/>
        <w:ind w:firstLine="360"/>
      </w:pPr>
      <w:r w:rsidRPr="003D7C1D">
        <w:t>The role of the focus group facility is to recruit participants and provide a site in which to conduct focus groups</w:t>
      </w:r>
      <w:r w:rsidR="00607CB4">
        <w:t>.  Focus group facilities</w:t>
      </w:r>
      <w:r w:rsidRPr="003D7C1D">
        <w:t xml:space="preserve"> do not participate in the actual research.  </w:t>
      </w:r>
      <w:r w:rsidR="0019017B">
        <w:t>P</w:t>
      </w:r>
      <w:r w:rsidR="005C4E3E" w:rsidRPr="003D7C1D">
        <w:t>ersonal contact information used by the focus group facility</w:t>
      </w:r>
      <w:r w:rsidRPr="003D7C1D">
        <w:t xml:space="preserve"> </w:t>
      </w:r>
      <w:r w:rsidR="00F53536">
        <w:t xml:space="preserve">will not be </w:t>
      </w:r>
      <w:r w:rsidR="005C4E3E" w:rsidRPr="003D7C1D">
        <w:t>given to the researchers.  No personally identifiable information</w:t>
      </w:r>
      <w:r w:rsidR="00266974">
        <w:t xml:space="preserve"> (PII)</w:t>
      </w:r>
      <w:r w:rsidR="005C4E3E" w:rsidRPr="003D7C1D">
        <w:t xml:space="preserve"> will be given to, collected or retained by those involved in the research </w:t>
      </w:r>
      <w:r w:rsidRPr="003D7C1D">
        <w:t>(</w:t>
      </w:r>
      <w:r w:rsidR="005C4E3E" w:rsidRPr="003D7C1D">
        <w:t>the Army, its contractor Rand, or subcontractor Echo Cove Research).</w:t>
      </w:r>
      <w:r w:rsidRPr="003D7C1D">
        <w:t xml:space="preserve">  In other words, those who have access to personal information (</w:t>
      </w:r>
      <w:r w:rsidR="00046397">
        <w:t xml:space="preserve">the </w:t>
      </w:r>
      <w:r w:rsidRPr="003D7C1D">
        <w:t>focus group facility) are not involved in the research</w:t>
      </w:r>
      <w:r w:rsidR="00046397">
        <w:t>,</w:t>
      </w:r>
      <w:r w:rsidRPr="003D7C1D">
        <w:t xml:space="preserve"> and those involved in the research do not have access to </w:t>
      </w:r>
      <w:r w:rsidR="00266974">
        <w:t>PII</w:t>
      </w:r>
      <w:r w:rsidRPr="003D7C1D">
        <w:t>.</w:t>
      </w:r>
      <w:r>
        <w:t xml:space="preserve"> </w:t>
      </w:r>
    </w:p>
    <w:p w:rsidR="00CE3CB0" w:rsidRPr="00E77AD0" w:rsidRDefault="00CE3CB0" w:rsidP="002E3A1E">
      <w:pPr>
        <w:pStyle w:val="NormalWeb"/>
        <w:spacing w:before="0" w:beforeAutospacing="0" w:after="0" w:afterAutospacing="0"/>
        <w:ind w:firstLine="360"/>
      </w:pPr>
    </w:p>
    <w:p w:rsidR="004627BD" w:rsidRDefault="00C12C0D" w:rsidP="002E3A1E">
      <w:pPr>
        <w:pStyle w:val="NormalWeb"/>
        <w:spacing w:before="0" w:beforeAutospacing="0" w:after="0" w:afterAutospacing="0"/>
        <w:ind w:firstLine="360"/>
      </w:pPr>
      <w:r w:rsidRPr="00E77AD0">
        <w:t>Potential respondents will first be contacted via tel</w:t>
      </w:r>
      <w:r w:rsidR="00752B34" w:rsidRPr="00E77AD0">
        <w:t xml:space="preserve">ephone. </w:t>
      </w:r>
      <w:r w:rsidR="009A2850" w:rsidRPr="00E77AD0">
        <w:t>During a short interview they will be asked a set of questions to determine if they qualify for the study</w:t>
      </w:r>
      <w:r w:rsidR="00F62D7B" w:rsidRPr="00E77AD0">
        <w:t>.</w:t>
      </w:r>
      <w:r w:rsidR="0073778A">
        <w:t xml:space="preserve"> </w:t>
      </w:r>
      <w:r w:rsidR="00F62D7B" w:rsidRPr="00E77AD0">
        <w:t xml:space="preserve"> </w:t>
      </w:r>
      <w:r w:rsidR="00F53536">
        <w:t>A s</w:t>
      </w:r>
      <w:r w:rsidR="0073778A" w:rsidRPr="0073778A">
        <w:t>creener document is included in the submission package.</w:t>
      </w:r>
      <w:r w:rsidR="00F62D7B" w:rsidRPr="00E77AD0">
        <w:t xml:space="preserve"> </w:t>
      </w:r>
      <w:r w:rsidR="0073778A">
        <w:t xml:space="preserve"> </w:t>
      </w:r>
      <w:r w:rsidR="004627BD" w:rsidRPr="00E77AD0">
        <w:t xml:space="preserve">Those participants who qualify will be </w:t>
      </w:r>
      <w:r w:rsidR="00E77AD0" w:rsidRPr="00E77AD0">
        <w:t>offered a time</w:t>
      </w:r>
      <w:r w:rsidR="004627BD" w:rsidRPr="00E77AD0">
        <w:t xml:space="preserve"> </w:t>
      </w:r>
      <w:r w:rsidR="0019017B">
        <w:t>for</w:t>
      </w:r>
      <w:r w:rsidR="004627BD" w:rsidRPr="00E77AD0">
        <w:t xml:space="preserve"> a focus group</w:t>
      </w:r>
      <w:r w:rsidR="002356EF" w:rsidRPr="00E77AD0">
        <w:t>.</w:t>
      </w:r>
      <w:r w:rsidR="009A2850" w:rsidRPr="00E77AD0">
        <w:t xml:space="preserve"> They will receive one call to remind them about the group.</w:t>
      </w:r>
      <w:r w:rsidR="002356EF" w:rsidRPr="00E77AD0">
        <w:t xml:space="preserve"> </w:t>
      </w:r>
      <w:r w:rsidR="004627BD" w:rsidRPr="00E77AD0">
        <w:t xml:space="preserve">Once the participant arrives at the focus group facility, </w:t>
      </w:r>
      <w:r w:rsidR="00A302B7">
        <w:t xml:space="preserve">the focus group moderator will read </w:t>
      </w:r>
      <w:r w:rsidR="004627BD" w:rsidRPr="00E77AD0">
        <w:t>a</w:t>
      </w:r>
      <w:r w:rsidR="00F53536">
        <w:t>n informed</w:t>
      </w:r>
      <w:r w:rsidR="004627BD" w:rsidRPr="00E77AD0">
        <w:t xml:space="preserve"> consent document</w:t>
      </w:r>
      <w:r w:rsidR="00DD17F4">
        <w:t xml:space="preserve"> </w:t>
      </w:r>
      <w:r w:rsidR="00A302B7">
        <w:t xml:space="preserve">to them, they will be </w:t>
      </w:r>
      <w:r w:rsidR="00412B93" w:rsidRPr="00E16B5B">
        <w:t>presented with</w:t>
      </w:r>
      <w:r w:rsidR="00DD17F4" w:rsidRPr="00E16B5B">
        <w:t xml:space="preserve"> the PRA Agency Disclosure Notice</w:t>
      </w:r>
      <w:r w:rsidR="0019017B">
        <w:t xml:space="preserve"> (A</w:t>
      </w:r>
      <w:r w:rsidR="00046397">
        <w:t>DN</w:t>
      </w:r>
      <w:r w:rsidR="0019017B">
        <w:t>)</w:t>
      </w:r>
      <w:r w:rsidR="00395BC3" w:rsidRPr="00E16B5B">
        <w:t xml:space="preserve"> </w:t>
      </w:r>
      <w:r w:rsidR="004627BD" w:rsidRPr="00E77AD0">
        <w:t xml:space="preserve">and </w:t>
      </w:r>
      <w:r w:rsidR="00A302B7">
        <w:t xml:space="preserve">they will be </w:t>
      </w:r>
      <w:r w:rsidR="004627BD" w:rsidRPr="00E77AD0">
        <w:t xml:space="preserve">verbally invited to </w:t>
      </w:r>
      <w:r w:rsidR="00944BBC">
        <w:t xml:space="preserve">participate in </w:t>
      </w:r>
      <w:r w:rsidR="004627BD" w:rsidRPr="00E77AD0">
        <w:t>the focus group</w:t>
      </w:r>
      <w:r w:rsidR="002356EF" w:rsidRPr="00E77AD0">
        <w:t xml:space="preserve">. </w:t>
      </w:r>
      <w:r w:rsidR="00046397">
        <w:t xml:space="preserve"> </w:t>
      </w:r>
      <w:r w:rsidR="0073778A">
        <w:t>The</w:t>
      </w:r>
      <w:r w:rsidR="00A302B7">
        <w:t xml:space="preserve"> informed consent, </w:t>
      </w:r>
      <w:r w:rsidR="00F53536">
        <w:t xml:space="preserve">PRA ADN </w:t>
      </w:r>
      <w:r w:rsidR="00A302B7">
        <w:t xml:space="preserve">and verbal invitation script </w:t>
      </w:r>
      <w:r w:rsidR="0073778A">
        <w:t>documents are included in submission package.</w:t>
      </w:r>
      <w:r w:rsidR="00DD17F4">
        <w:t xml:space="preserve"> </w:t>
      </w:r>
      <w:r w:rsidR="00046397">
        <w:t xml:space="preserve"> </w:t>
      </w:r>
      <w:r w:rsidR="00D7553A" w:rsidRPr="00E77AD0">
        <w:t>The focus groups will be conducted by an Army contractor (R</w:t>
      </w:r>
      <w:r w:rsidR="003E1127" w:rsidRPr="00E77AD0">
        <w:t>AND</w:t>
      </w:r>
      <w:r w:rsidR="00D7553A" w:rsidRPr="00E77AD0">
        <w:t>, and their subcontractor, Echo Cove Research)</w:t>
      </w:r>
      <w:r w:rsidR="00357252" w:rsidRPr="00E77AD0">
        <w:t>.</w:t>
      </w:r>
    </w:p>
    <w:p w:rsidR="004627BD" w:rsidRDefault="004627BD" w:rsidP="002E3A1E">
      <w:pPr>
        <w:pStyle w:val="NormalWeb"/>
        <w:spacing w:before="0" w:beforeAutospacing="0" w:after="0" w:afterAutospacing="0"/>
        <w:ind w:firstLine="360"/>
      </w:pPr>
    </w:p>
    <w:p w:rsidR="0092260B" w:rsidRPr="008B1166" w:rsidRDefault="0092260B" w:rsidP="002E3A1E">
      <w:pPr>
        <w:pStyle w:val="NormalWeb"/>
        <w:spacing w:before="0" w:beforeAutospacing="0" w:after="0" w:afterAutospacing="0"/>
        <w:ind w:firstLine="360"/>
      </w:pPr>
      <w:r w:rsidRPr="008B1166">
        <w:t>Participants</w:t>
      </w:r>
      <w:r w:rsidR="0073778A">
        <w:t>’</w:t>
      </w:r>
      <w:r w:rsidRPr="008B1166">
        <w:t xml:space="preserve"> PII will be protected by the recruitment and part</w:t>
      </w:r>
      <w:r w:rsidR="00752B34" w:rsidRPr="008B1166">
        <w:t xml:space="preserve">icipation process, as follows: </w:t>
      </w:r>
      <w:r w:rsidRPr="008B1166">
        <w:t>Recruiters working</w:t>
      </w:r>
      <w:r w:rsidR="00E34BF3">
        <w:t xml:space="preserve"> for</w:t>
      </w:r>
      <w:r w:rsidRPr="008B1166">
        <w:t xml:space="preserve"> the focus group facility (not </w:t>
      </w:r>
      <w:r w:rsidR="008B1166" w:rsidRPr="008B1166">
        <w:t xml:space="preserve">Army, </w:t>
      </w:r>
      <w:r w:rsidRPr="008B1166">
        <w:t>RAND, Prizma or Echo Cove), will telephone potential participants from lists th</w:t>
      </w:r>
      <w:r w:rsidR="008B1166" w:rsidRPr="008B1166">
        <w:t>at</w:t>
      </w:r>
      <w:r w:rsidRPr="008B1166">
        <w:t xml:space="preserve"> include only name, phone number, and relevant demographic categories (e.g., age, gender, occupation, years in occupation).</w:t>
      </w:r>
      <w:r w:rsidR="00412B93">
        <w:t xml:space="preserve">  Race and Ethnicity will be asked in accordance with OMB</w:t>
      </w:r>
      <w:r w:rsidR="00412B93" w:rsidRPr="00412B93">
        <w:t xml:space="preserve"> standards on federal data on race and ethnicity</w:t>
      </w:r>
      <w:r w:rsidR="00412B93">
        <w:t xml:space="preserve">, </w:t>
      </w:r>
      <w:r w:rsidR="00EB3D98">
        <w:t>and</w:t>
      </w:r>
      <w:r w:rsidR="00412B93">
        <w:t xml:space="preserve"> </w:t>
      </w:r>
      <w:r w:rsidR="00C73B08">
        <w:t>information collected</w:t>
      </w:r>
      <w:r w:rsidR="00412B93">
        <w:t xml:space="preserve"> will not be reported by race and/or ethnicity.</w:t>
      </w:r>
      <w:r w:rsidR="00752B34" w:rsidRPr="008B1166">
        <w:t xml:space="preserve"> </w:t>
      </w:r>
      <w:r w:rsidRPr="008B1166">
        <w:t>Participants will be checked into the focus group facility by facility staff (who have no relationship with RAND, Prizma or Echo Cove).  The focus group staff will record the</w:t>
      </w:r>
      <w:r w:rsidR="00071BD2">
        <w:t xml:space="preserve"> participant’s</w:t>
      </w:r>
      <w:r w:rsidRPr="008B1166">
        <w:t xml:space="preserve"> first name (not their last name) and basic demographic information useful to the moderator (e.g., </w:t>
      </w:r>
      <w:r w:rsidR="00E34BF3">
        <w:t>year of college</w:t>
      </w:r>
      <w:r w:rsidRPr="008B1166">
        <w:t>, occ</w:t>
      </w:r>
      <w:r w:rsidR="00752B34" w:rsidRPr="008B1166">
        <w:t xml:space="preserve">upation, years in occupation). </w:t>
      </w:r>
      <w:r w:rsidR="00CD44F7">
        <w:t xml:space="preserve"> </w:t>
      </w:r>
      <w:r w:rsidRPr="008B1166">
        <w:t xml:space="preserve">The moderator will receive only this information for each respondent. In the focus group </w:t>
      </w:r>
      <w:r w:rsidR="00A302B7">
        <w:t>documentation</w:t>
      </w:r>
      <w:r w:rsidRPr="008B1166">
        <w:t>, when it is necessary to quali</w:t>
      </w:r>
      <w:r w:rsidR="007F3E1F">
        <w:t>f</w:t>
      </w:r>
      <w:r w:rsidRPr="008B1166">
        <w:t xml:space="preserve">y the nature of a comment, it will done only using the key </w:t>
      </w:r>
      <w:r w:rsidR="00752B34" w:rsidRPr="008B1166">
        <w:t>d</w:t>
      </w:r>
      <w:r w:rsidRPr="008B1166">
        <w:t>emographic criteria (for example, “… one respondent, who was employed as a civil engineer, reported that</w:t>
      </w:r>
      <w:r w:rsidR="00A302B7">
        <w:t xml:space="preserve"> …</w:t>
      </w:r>
      <w:r w:rsidRPr="003B48AA">
        <w:t>”)</w:t>
      </w:r>
      <w:r w:rsidR="00752B34" w:rsidRPr="003B48AA">
        <w:t>.</w:t>
      </w:r>
      <w:r w:rsidR="008B1166" w:rsidRPr="003B48AA">
        <w:t xml:space="preserve">  None of th</w:t>
      </w:r>
      <w:r w:rsidR="00A302B7">
        <w:t>e</w:t>
      </w:r>
      <w:r w:rsidR="008B1166" w:rsidRPr="003B48AA">
        <w:t xml:space="preserve"> information </w:t>
      </w:r>
      <w:r w:rsidR="00A302B7">
        <w:t xml:space="preserve">gathered and </w:t>
      </w:r>
      <w:r w:rsidR="008B1166" w:rsidRPr="003B48AA">
        <w:t>used by the researchers will be able to be combined to identify an individual.</w:t>
      </w:r>
    </w:p>
    <w:p w:rsidR="0092260B" w:rsidRDefault="0092260B" w:rsidP="002E3A1E">
      <w:pPr>
        <w:pStyle w:val="NormalWeb"/>
        <w:spacing w:before="0" w:beforeAutospacing="0" w:after="0" w:afterAutospacing="0"/>
        <w:ind w:firstLine="360"/>
      </w:pPr>
    </w:p>
    <w:p w:rsidR="000D171E" w:rsidRDefault="004627BD" w:rsidP="002E3A1E">
      <w:pPr>
        <w:pStyle w:val="NormalWeb"/>
        <w:spacing w:before="0" w:beforeAutospacing="0" w:after="0" w:afterAutospacing="0"/>
        <w:ind w:firstLine="360"/>
      </w:pPr>
      <w:r>
        <w:t>Participants</w:t>
      </w:r>
      <w:r w:rsidR="000D171E">
        <w:t xml:space="preserve"> will be responding to the information collection verbally through focus group </w:t>
      </w:r>
      <w:r w:rsidR="00E34BF3">
        <w:t xml:space="preserve">discussion </w:t>
      </w:r>
      <w:r w:rsidR="006D1079">
        <w:t>exercises</w:t>
      </w:r>
      <w:r w:rsidR="00412B93">
        <w:t xml:space="preserve">. </w:t>
      </w:r>
      <w:r w:rsidR="000D171E">
        <w:t xml:space="preserve">The collection will </w:t>
      </w:r>
      <w:r w:rsidR="00F51572">
        <w:t xml:space="preserve">take place </w:t>
      </w:r>
      <w:r w:rsidR="000D171E">
        <w:t xml:space="preserve">in-person with </w:t>
      </w:r>
      <w:r w:rsidR="00E34BF3">
        <w:t xml:space="preserve">a </w:t>
      </w:r>
      <w:r w:rsidR="000D171E">
        <w:t>moderator</w:t>
      </w:r>
      <w:r w:rsidR="002356EF">
        <w:t xml:space="preserve">. </w:t>
      </w:r>
      <w:r w:rsidR="000D171E" w:rsidRPr="008B1166">
        <w:t xml:space="preserve">The only </w:t>
      </w:r>
      <w:r w:rsidR="00D7553A" w:rsidRPr="008B1166">
        <w:t>physical information</w:t>
      </w:r>
      <w:r w:rsidR="000D171E" w:rsidRPr="008B1166">
        <w:t xml:space="preserve"> that may be collected will be</w:t>
      </w:r>
      <w:r w:rsidR="009A2850" w:rsidRPr="008B1166">
        <w:t xml:space="preserve"> blank sheets of paper on which respondents </w:t>
      </w:r>
      <w:r w:rsidR="00E34BF3">
        <w:t>will</w:t>
      </w:r>
      <w:r w:rsidR="009A2850" w:rsidRPr="008B1166">
        <w:t xml:space="preserve"> write responses to questions before discussion so </w:t>
      </w:r>
      <w:r w:rsidR="00046397">
        <w:t xml:space="preserve">that </w:t>
      </w:r>
      <w:r w:rsidR="009A2850" w:rsidRPr="008B1166">
        <w:t xml:space="preserve">the discussion will not bias their perspective)  We </w:t>
      </w:r>
      <w:r w:rsidR="00F51572">
        <w:t>have included a placeholder for the</w:t>
      </w:r>
      <w:r w:rsidR="00412B93">
        <w:t xml:space="preserve"> </w:t>
      </w:r>
      <w:r w:rsidR="009A2850" w:rsidRPr="008B1166">
        <w:t>OMB control number and expiration date</w:t>
      </w:r>
      <w:r w:rsidR="00F51572">
        <w:t xml:space="preserve"> on all instruments</w:t>
      </w:r>
      <w:r w:rsidR="009A2850" w:rsidRPr="008B1166">
        <w:t>.</w:t>
      </w:r>
      <w:r w:rsidR="00E34BF3">
        <w:t xml:space="preserve">  The OMB control number and expiration date will be added to these instruments once the study is approved.</w:t>
      </w:r>
    </w:p>
    <w:p w:rsidR="00E23621" w:rsidRDefault="00E23621" w:rsidP="002E3A1E">
      <w:pPr>
        <w:pStyle w:val="NoSpacing"/>
        <w:ind w:firstLine="360"/>
        <w:rPr>
          <w:b/>
          <w:sz w:val="24"/>
          <w:szCs w:val="24"/>
        </w:rPr>
      </w:pPr>
    </w:p>
    <w:p w:rsidR="00E23621" w:rsidRDefault="00E23621" w:rsidP="002E3A1E">
      <w:pPr>
        <w:pStyle w:val="NoSpacing"/>
        <w:ind w:firstLine="360"/>
        <w:rPr>
          <w:rFonts w:ascii="Times New Roman" w:eastAsia="Times New Roman" w:hAnsi="Times New Roman"/>
          <w:sz w:val="24"/>
          <w:szCs w:val="24"/>
        </w:rPr>
      </w:pPr>
      <w:r w:rsidRPr="008B1166">
        <w:rPr>
          <w:rFonts w:ascii="Times New Roman" w:eastAsia="Times New Roman" w:hAnsi="Times New Roman"/>
          <w:sz w:val="24"/>
          <w:szCs w:val="24"/>
        </w:rPr>
        <w:t>Results from the focus groups will be docum</w:t>
      </w:r>
      <w:r w:rsidR="00752B34" w:rsidRPr="008B1166">
        <w:rPr>
          <w:rFonts w:ascii="Times New Roman" w:eastAsia="Times New Roman" w:hAnsi="Times New Roman"/>
          <w:sz w:val="24"/>
          <w:szCs w:val="24"/>
        </w:rPr>
        <w:t xml:space="preserve">ented in a Report of Findings. </w:t>
      </w:r>
      <w:r w:rsidRPr="008B1166">
        <w:rPr>
          <w:rFonts w:ascii="Times New Roman" w:eastAsia="Times New Roman" w:hAnsi="Times New Roman"/>
          <w:sz w:val="24"/>
          <w:szCs w:val="24"/>
        </w:rPr>
        <w:t>The report will consist of the following sections:</w:t>
      </w:r>
      <w:r w:rsidR="00752B34" w:rsidRPr="008B1166">
        <w:rPr>
          <w:rFonts w:ascii="Times New Roman" w:eastAsia="Times New Roman" w:hAnsi="Times New Roman"/>
          <w:sz w:val="24"/>
          <w:szCs w:val="24"/>
        </w:rPr>
        <w:t xml:space="preserve"> </w:t>
      </w:r>
      <w:r w:rsidRPr="008B1166">
        <w:rPr>
          <w:rFonts w:ascii="Times New Roman" w:eastAsia="Times New Roman" w:hAnsi="Times New Roman"/>
          <w:sz w:val="24"/>
          <w:szCs w:val="24"/>
        </w:rPr>
        <w:t>Background</w:t>
      </w:r>
      <w:r w:rsidR="00752B34" w:rsidRPr="008B1166">
        <w:rPr>
          <w:b/>
          <w:sz w:val="24"/>
          <w:szCs w:val="24"/>
        </w:rPr>
        <w:t xml:space="preserve"> </w:t>
      </w:r>
      <w:r w:rsidR="00752B34" w:rsidRPr="00B21D47">
        <w:rPr>
          <w:sz w:val="24"/>
          <w:szCs w:val="24"/>
        </w:rPr>
        <w:t>(</w:t>
      </w:r>
      <w:r w:rsidR="00046397">
        <w:rPr>
          <w:sz w:val="24"/>
          <w:szCs w:val="24"/>
        </w:rPr>
        <w:t>p</w:t>
      </w:r>
      <w:r w:rsidRPr="008B1166">
        <w:rPr>
          <w:rFonts w:ascii="Times New Roman" w:eastAsia="Times New Roman" w:hAnsi="Times New Roman"/>
          <w:sz w:val="24"/>
          <w:szCs w:val="24"/>
        </w:rPr>
        <w:t xml:space="preserve">roject </w:t>
      </w:r>
      <w:r w:rsidR="00046397">
        <w:rPr>
          <w:rFonts w:ascii="Times New Roman" w:eastAsia="Times New Roman" w:hAnsi="Times New Roman"/>
          <w:sz w:val="24"/>
          <w:szCs w:val="24"/>
        </w:rPr>
        <w:t>o</w:t>
      </w:r>
      <w:r w:rsidRPr="008B1166">
        <w:rPr>
          <w:rFonts w:ascii="Times New Roman" w:eastAsia="Times New Roman" w:hAnsi="Times New Roman"/>
          <w:sz w:val="24"/>
          <w:szCs w:val="24"/>
        </w:rPr>
        <w:t>bjective</w:t>
      </w:r>
      <w:r w:rsidR="00752B34" w:rsidRPr="008B1166">
        <w:rPr>
          <w:rFonts w:ascii="Times New Roman" w:eastAsia="Times New Roman" w:hAnsi="Times New Roman"/>
          <w:sz w:val="24"/>
          <w:szCs w:val="24"/>
        </w:rPr>
        <w:t xml:space="preserve">, </w:t>
      </w:r>
      <w:r w:rsidR="00046397">
        <w:rPr>
          <w:rFonts w:ascii="Times New Roman" w:eastAsia="Times New Roman" w:hAnsi="Times New Roman"/>
          <w:sz w:val="24"/>
          <w:szCs w:val="24"/>
        </w:rPr>
        <w:t>r</w:t>
      </w:r>
      <w:r w:rsidRPr="008B1166">
        <w:rPr>
          <w:rFonts w:ascii="Times New Roman" w:eastAsia="Times New Roman" w:hAnsi="Times New Roman"/>
          <w:sz w:val="24"/>
          <w:szCs w:val="24"/>
        </w:rPr>
        <w:t xml:space="preserve">esearch </w:t>
      </w:r>
      <w:r w:rsidR="00046397">
        <w:rPr>
          <w:rFonts w:ascii="Times New Roman" w:eastAsia="Times New Roman" w:hAnsi="Times New Roman"/>
          <w:sz w:val="24"/>
          <w:szCs w:val="24"/>
        </w:rPr>
        <w:t>o</w:t>
      </w:r>
      <w:r w:rsidRPr="008B1166">
        <w:rPr>
          <w:rFonts w:ascii="Times New Roman" w:eastAsia="Times New Roman" w:hAnsi="Times New Roman"/>
          <w:sz w:val="24"/>
          <w:szCs w:val="24"/>
        </w:rPr>
        <w:t>bjective</w:t>
      </w:r>
      <w:r w:rsidR="00752B34" w:rsidRPr="008B1166">
        <w:rPr>
          <w:rFonts w:ascii="Times New Roman" w:eastAsia="Times New Roman" w:hAnsi="Times New Roman"/>
          <w:sz w:val="24"/>
          <w:szCs w:val="24"/>
        </w:rPr>
        <w:t xml:space="preserve">); </w:t>
      </w:r>
      <w:r w:rsidRPr="008B1166">
        <w:rPr>
          <w:rFonts w:ascii="Times New Roman" w:eastAsia="Times New Roman" w:hAnsi="Times New Roman"/>
          <w:sz w:val="24"/>
          <w:szCs w:val="24"/>
        </w:rPr>
        <w:t>Research Methodology</w:t>
      </w:r>
      <w:r w:rsidR="00752B34" w:rsidRPr="008B1166">
        <w:rPr>
          <w:rFonts w:ascii="Times New Roman" w:eastAsia="Times New Roman" w:hAnsi="Times New Roman"/>
          <w:sz w:val="24"/>
          <w:szCs w:val="24"/>
        </w:rPr>
        <w:t xml:space="preserve">; </w:t>
      </w:r>
      <w:r w:rsidRPr="008B1166">
        <w:rPr>
          <w:rFonts w:ascii="Times New Roman" w:eastAsia="Times New Roman" w:hAnsi="Times New Roman"/>
          <w:sz w:val="24"/>
          <w:szCs w:val="24"/>
        </w:rPr>
        <w:t>Executive Summary</w:t>
      </w:r>
      <w:r w:rsidR="00752B34" w:rsidRPr="008B1166">
        <w:rPr>
          <w:rFonts w:ascii="Times New Roman" w:eastAsia="Times New Roman" w:hAnsi="Times New Roman"/>
          <w:sz w:val="24"/>
          <w:szCs w:val="24"/>
        </w:rPr>
        <w:t xml:space="preserve"> (</w:t>
      </w:r>
      <w:r w:rsidR="00046397">
        <w:rPr>
          <w:rFonts w:ascii="Times New Roman" w:eastAsia="Times New Roman" w:hAnsi="Times New Roman"/>
          <w:sz w:val="24"/>
          <w:szCs w:val="24"/>
        </w:rPr>
        <w:t>c</w:t>
      </w:r>
      <w:r w:rsidRPr="008B1166">
        <w:rPr>
          <w:rFonts w:ascii="Times New Roman" w:eastAsia="Times New Roman" w:hAnsi="Times New Roman"/>
          <w:sz w:val="24"/>
          <w:szCs w:val="24"/>
        </w:rPr>
        <w:t xml:space="preserve">onclusions and </w:t>
      </w:r>
      <w:r w:rsidR="00046397">
        <w:rPr>
          <w:rFonts w:ascii="Times New Roman" w:eastAsia="Times New Roman" w:hAnsi="Times New Roman"/>
          <w:sz w:val="24"/>
          <w:szCs w:val="24"/>
        </w:rPr>
        <w:t>k</w:t>
      </w:r>
      <w:r w:rsidRPr="008B1166">
        <w:rPr>
          <w:rFonts w:ascii="Times New Roman" w:eastAsia="Times New Roman" w:hAnsi="Times New Roman"/>
          <w:sz w:val="24"/>
          <w:szCs w:val="24"/>
        </w:rPr>
        <w:t xml:space="preserve">ey </w:t>
      </w:r>
      <w:r w:rsidR="00046397">
        <w:rPr>
          <w:rFonts w:ascii="Times New Roman" w:eastAsia="Times New Roman" w:hAnsi="Times New Roman"/>
          <w:sz w:val="24"/>
          <w:szCs w:val="24"/>
        </w:rPr>
        <w:t>i</w:t>
      </w:r>
      <w:r w:rsidRPr="008B1166">
        <w:rPr>
          <w:rFonts w:ascii="Times New Roman" w:eastAsia="Times New Roman" w:hAnsi="Times New Roman"/>
          <w:sz w:val="24"/>
          <w:szCs w:val="24"/>
        </w:rPr>
        <w:t>nsights</w:t>
      </w:r>
      <w:r w:rsidR="00752B34" w:rsidRPr="008B1166">
        <w:rPr>
          <w:rFonts w:ascii="Times New Roman" w:eastAsia="Times New Roman" w:hAnsi="Times New Roman"/>
          <w:sz w:val="24"/>
          <w:szCs w:val="24"/>
        </w:rPr>
        <w:t>,</w:t>
      </w:r>
      <w:r w:rsidRPr="008B1166">
        <w:rPr>
          <w:rFonts w:ascii="Times New Roman" w:eastAsia="Times New Roman" w:hAnsi="Times New Roman"/>
          <w:sz w:val="24"/>
          <w:szCs w:val="24"/>
        </w:rPr>
        <w:t xml:space="preserve"> </w:t>
      </w:r>
      <w:r w:rsidR="00046397">
        <w:rPr>
          <w:rFonts w:ascii="Times New Roman" w:eastAsia="Times New Roman" w:hAnsi="Times New Roman"/>
          <w:sz w:val="24"/>
          <w:szCs w:val="24"/>
        </w:rPr>
        <w:t>r</w:t>
      </w:r>
      <w:r w:rsidRPr="008B1166">
        <w:rPr>
          <w:rFonts w:ascii="Times New Roman" w:eastAsia="Times New Roman" w:hAnsi="Times New Roman"/>
          <w:sz w:val="24"/>
          <w:szCs w:val="24"/>
        </w:rPr>
        <w:t>ecommendations</w:t>
      </w:r>
      <w:r w:rsidR="00752B34" w:rsidRPr="008B1166">
        <w:rPr>
          <w:rFonts w:ascii="Times New Roman" w:eastAsia="Times New Roman" w:hAnsi="Times New Roman"/>
          <w:sz w:val="24"/>
          <w:szCs w:val="24"/>
        </w:rPr>
        <w:t xml:space="preserve">); </w:t>
      </w:r>
      <w:r w:rsidRPr="008B1166">
        <w:rPr>
          <w:rFonts w:ascii="Times New Roman" w:eastAsia="Times New Roman" w:hAnsi="Times New Roman"/>
          <w:sz w:val="24"/>
          <w:szCs w:val="24"/>
        </w:rPr>
        <w:t>Detailed Findings</w:t>
      </w:r>
      <w:r w:rsidR="00752B34" w:rsidRPr="008B1166">
        <w:rPr>
          <w:rFonts w:ascii="Times New Roman" w:eastAsia="Times New Roman" w:hAnsi="Times New Roman"/>
          <w:sz w:val="24"/>
          <w:szCs w:val="24"/>
        </w:rPr>
        <w:t xml:space="preserve"> (</w:t>
      </w:r>
      <w:r w:rsidR="00046397">
        <w:rPr>
          <w:rFonts w:ascii="Times New Roman" w:eastAsia="Times New Roman" w:hAnsi="Times New Roman"/>
          <w:sz w:val="24"/>
          <w:szCs w:val="24"/>
        </w:rPr>
        <w:t>e</w:t>
      </w:r>
      <w:r w:rsidRPr="008B1166">
        <w:rPr>
          <w:rFonts w:ascii="Times New Roman" w:eastAsia="Times New Roman" w:hAnsi="Times New Roman"/>
          <w:sz w:val="24"/>
          <w:szCs w:val="24"/>
        </w:rPr>
        <w:t>mployment goals and expectations</w:t>
      </w:r>
      <w:r w:rsidR="00752B34" w:rsidRPr="008B1166">
        <w:rPr>
          <w:rFonts w:ascii="Times New Roman" w:eastAsia="Times New Roman" w:hAnsi="Times New Roman"/>
          <w:sz w:val="24"/>
          <w:szCs w:val="24"/>
        </w:rPr>
        <w:t xml:space="preserve">; </w:t>
      </w:r>
      <w:r w:rsidR="00046397">
        <w:rPr>
          <w:rFonts w:ascii="Times New Roman" w:eastAsia="Times New Roman" w:hAnsi="Times New Roman"/>
          <w:sz w:val="24"/>
          <w:szCs w:val="24"/>
        </w:rPr>
        <w:t>d</w:t>
      </w:r>
      <w:r w:rsidRPr="008B1166">
        <w:rPr>
          <w:rFonts w:ascii="Times New Roman" w:eastAsia="Times New Roman" w:hAnsi="Times New Roman"/>
          <w:sz w:val="24"/>
          <w:szCs w:val="24"/>
        </w:rPr>
        <w:t>esired tangible and intangible benefits</w:t>
      </w:r>
      <w:r w:rsidR="00752B34" w:rsidRPr="008B1166">
        <w:rPr>
          <w:rFonts w:ascii="Times New Roman" w:eastAsia="Times New Roman" w:hAnsi="Times New Roman"/>
          <w:sz w:val="24"/>
          <w:szCs w:val="24"/>
        </w:rPr>
        <w:t xml:space="preserve">; </w:t>
      </w:r>
      <w:r w:rsidR="00046397">
        <w:rPr>
          <w:rFonts w:ascii="Times New Roman" w:eastAsia="Times New Roman" w:hAnsi="Times New Roman"/>
          <w:sz w:val="24"/>
          <w:szCs w:val="24"/>
        </w:rPr>
        <w:t>a</w:t>
      </w:r>
      <w:r w:rsidRPr="008B1166">
        <w:rPr>
          <w:rFonts w:ascii="Times New Roman" w:eastAsia="Times New Roman" w:hAnsi="Times New Roman"/>
          <w:sz w:val="24"/>
          <w:szCs w:val="24"/>
        </w:rPr>
        <w:t>wareness and perceptions of different e</w:t>
      </w:r>
      <w:r w:rsidR="00752B34" w:rsidRPr="008B1166">
        <w:rPr>
          <w:rFonts w:ascii="Times New Roman" w:eastAsia="Times New Roman" w:hAnsi="Times New Roman"/>
          <w:sz w:val="24"/>
          <w:szCs w:val="24"/>
        </w:rPr>
        <w:t>mployer types: private company,</w:t>
      </w:r>
      <w:r w:rsidRPr="008B1166">
        <w:rPr>
          <w:rFonts w:ascii="Times New Roman" w:eastAsia="Times New Roman" w:hAnsi="Times New Roman"/>
          <w:sz w:val="24"/>
          <w:szCs w:val="24"/>
        </w:rPr>
        <w:t xml:space="preserve"> </w:t>
      </w:r>
      <w:r w:rsidR="00752B34" w:rsidRPr="008B1166">
        <w:rPr>
          <w:rFonts w:ascii="Times New Roman" w:eastAsia="Times New Roman" w:hAnsi="Times New Roman"/>
          <w:sz w:val="24"/>
          <w:szCs w:val="24"/>
        </w:rPr>
        <w:t xml:space="preserve">government agency, own business; </w:t>
      </w:r>
      <w:r w:rsidRPr="008B1166">
        <w:rPr>
          <w:rFonts w:ascii="Times New Roman" w:eastAsia="Times New Roman" w:hAnsi="Times New Roman"/>
          <w:sz w:val="24"/>
          <w:szCs w:val="24"/>
        </w:rPr>
        <w:t xml:space="preserve">Perceptions of </w:t>
      </w:r>
      <w:r w:rsidR="00A302B7">
        <w:rPr>
          <w:rFonts w:ascii="Times New Roman" w:eastAsia="Times New Roman" w:hAnsi="Times New Roman"/>
          <w:sz w:val="24"/>
          <w:szCs w:val="24"/>
        </w:rPr>
        <w:t xml:space="preserve">the </w:t>
      </w:r>
      <w:r w:rsidRPr="008B1166">
        <w:rPr>
          <w:rFonts w:ascii="Times New Roman" w:eastAsia="Times New Roman" w:hAnsi="Times New Roman"/>
          <w:sz w:val="24"/>
          <w:szCs w:val="24"/>
        </w:rPr>
        <w:t>U</w:t>
      </w:r>
      <w:r w:rsidR="00A302B7">
        <w:rPr>
          <w:rFonts w:ascii="Times New Roman" w:eastAsia="Times New Roman" w:hAnsi="Times New Roman"/>
          <w:sz w:val="24"/>
          <w:szCs w:val="24"/>
        </w:rPr>
        <w:t>.</w:t>
      </w:r>
      <w:r w:rsidRPr="008B1166">
        <w:rPr>
          <w:rFonts w:ascii="Times New Roman" w:eastAsia="Times New Roman" w:hAnsi="Times New Roman"/>
          <w:sz w:val="24"/>
          <w:szCs w:val="24"/>
        </w:rPr>
        <w:t>S</w:t>
      </w:r>
      <w:r w:rsidR="00A302B7">
        <w:rPr>
          <w:rFonts w:ascii="Times New Roman" w:eastAsia="Times New Roman" w:hAnsi="Times New Roman"/>
          <w:sz w:val="24"/>
          <w:szCs w:val="24"/>
        </w:rPr>
        <w:t>.</w:t>
      </w:r>
      <w:r w:rsidRPr="008B1166">
        <w:rPr>
          <w:rFonts w:ascii="Times New Roman" w:eastAsia="Times New Roman" w:hAnsi="Times New Roman"/>
          <w:sz w:val="24"/>
          <w:szCs w:val="24"/>
        </w:rPr>
        <w:t xml:space="preserve"> Army as American institution</w:t>
      </w:r>
      <w:r w:rsidR="00752B34" w:rsidRPr="008B1166">
        <w:rPr>
          <w:rFonts w:ascii="Times New Roman" w:eastAsia="Times New Roman" w:hAnsi="Times New Roman"/>
          <w:sz w:val="24"/>
          <w:szCs w:val="24"/>
        </w:rPr>
        <w:t>; A</w:t>
      </w:r>
      <w:r w:rsidRPr="008B1166">
        <w:rPr>
          <w:rFonts w:ascii="Times New Roman" w:eastAsia="Times New Roman" w:hAnsi="Times New Roman"/>
          <w:sz w:val="24"/>
          <w:szCs w:val="24"/>
        </w:rPr>
        <w:t xml:space="preserve">wareness and knowledge of civilian employment in </w:t>
      </w:r>
      <w:r w:rsidR="00A302B7">
        <w:rPr>
          <w:rFonts w:ascii="Times New Roman" w:eastAsia="Times New Roman" w:hAnsi="Times New Roman"/>
          <w:sz w:val="24"/>
          <w:szCs w:val="24"/>
        </w:rPr>
        <w:t xml:space="preserve">the </w:t>
      </w:r>
      <w:r w:rsidRPr="008B1166">
        <w:rPr>
          <w:rFonts w:ascii="Times New Roman" w:eastAsia="Times New Roman" w:hAnsi="Times New Roman"/>
          <w:sz w:val="24"/>
          <w:szCs w:val="24"/>
        </w:rPr>
        <w:t>U</w:t>
      </w:r>
      <w:r w:rsidR="00A302B7">
        <w:rPr>
          <w:rFonts w:ascii="Times New Roman" w:eastAsia="Times New Roman" w:hAnsi="Times New Roman"/>
          <w:sz w:val="24"/>
          <w:szCs w:val="24"/>
        </w:rPr>
        <w:t>.</w:t>
      </w:r>
      <w:r w:rsidRPr="008B1166">
        <w:rPr>
          <w:rFonts w:ascii="Times New Roman" w:eastAsia="Times New Roman" w:hAnsi="Times New Roman"/>
          <w:sz w:val="24"/>
          <w:szCs w:val="24"/>
        </w:rPr>
        <w:t>S</w:t>
      </w:r>
      <w:r w:rsidR="00A302B7">
        <w:rPr>
          <w:rFonts w:ascii="Times New Roman" w:eastAsia="Times New Roman" w:hAnsi="Times New Roman"/>
          <w:sz w:val="24"/>
          <w:szCs w:val="24"/>
        </w:rPr>
        <w:t>.</w:t>
      </w:r>
      <w:r w:rsidRPr="008B1166">
        <w:rPr>
          <w:rFonts w:ascii="Times New Roman" w:eastAsia="Times New Roman" w:hAnsi="Times New Roman"/>
          <w:sz w:val="24"/>
          <w:szCs w:val="24"/>
        </w:rPr>
        <w:t xml:space="preserve"> Military/Army</w:t>
      </w:r>
      <w:r w:rsidR="00752B34" w:rsidRPr="008B1166">
        <w:rPr>
          <w:rFonts w:ascii="Times New Roman" w:eastAsia="Times New Roman" w:hAnsi="Times New Roman"/>
          <w:sz w:val="24"/>
          <w:szCs w:val="24"/>
        </w:rPr>
        <w:t xml:space="preserve">, </w:t>
      </w:r>
      <w:r w:rsidRPr="008B1166">
        <w:rPr>
          <w:rFonts w:ascii="Times New Roman" w:eastAsia="Times New Roman" w:hAnsi="Times New Roman"/>
          <w:sz w:val="24"/>
          <w:szCs w:val="24"/>
        </w:rPr>
        <w:t>Reactions to Army civilian employment positioning concepts and messages</w:t>
      </w:r>
      <w:r w:rsidR="00752B34" w:rsidRPr="008B1166">
        <w:rPr>
          <w:rFonts w:ascii="Times New Roman" w:eastAsia="Times New Roman" w:hAnsi="Times New Roman"/>
          <w:sz w:val="24"/>
          <w:szCs w:val="24"/>
        </w:rPr>
        <w:t>).</w:t>
      </w:r>
      <w:r w:rsidR="008B1166">
        <w:rPr>
          <w:rFonts w:ascii="Times New Roman" w:eastAsia="Times New Roman" w:hAnsi="Times New Roman"/>
          <w:sz w:val="24"/>
          <w:szCs w:val="24"/>
        </w:rPr>
        <w:t xml:space="preserve"> </w:t>
      </w:r>
    </w:p>
    <w:p w:rsidR="00B21D47" w:rsidRDefault="00B21D47" w:rsidP="002E3A1E">
      <w:pPr>
        <w:pStyle w:val="NoSpacing"/>
        <w:ind w:firstLine="360"/>
        <w:rPr>
          <w:rFonts w:ascii="Times New Roman" w:eastAsia="Times New Roman" w:hAnsi="Times New Roman"/>
          <w:sz w:val="24"/>
          <w:szCs w:val="24"/>
        </w:rPr>
      </w:pPr>
    </w:p>
    <w:p w:rsidR="00B21D47" w:rsidRPr="00E23621" w:rsidRDefault="00EC789F" w:rsidP="002E3A1E">
      <w:pPr>
        <w:pStyle w:val="NoSpacing"/>
        <w:ind w:firstLine="360"/>
        <w:rPr>
          <w:rFonts w:ascii="Times New Roman" w:eastAsia="Times New Roman" w:hAnsi="Times New Roman"/>
          <w:sz w:val="24"/>
          <w:szCs w:val="24"/>
        </w:rPr>
      </w:pPr>
      <w:r>
        <w:rPr>
          <w:rFonts w:ascii="Times New Roman" w:eastAsia="Times New Roman" w:hAnsi="Times New Roman"/>
          <w:sz w:val="24"/>
          <w:szCs w:val="24"/>
        </w:rPr>
        <w:t>The results from Phase I and Phase II will be used to develop a marketing campaign to support civilian recruiting</w:t>
      </w:r>
      <w:r w:rsidR="00406879">
        <w:rPr>
          <w:rFonts w:ascii="Times New Roman" w:eastAsia="Times New Roman" w:hAnsi="Times New Roman"/>
          <w:sz w:val="24"/>
          <w:szCs w:val="24"/>
        </w:rPr>
        <w:t xml:space="preserve"> in FY2019</w:t>
      </w:r>
      <w:r>
        <w:rPr>
          <w:rFonts w:ascii="Times New Roman" w:eastAsia="Times New Roman" w:hAnsi="Times New Roman"/>
          <w:sz w:val="24"/>
          <w:szCs w:val="24"/>
        </w:rPr>
        <w:t>.  In order for this to occur, Phase I needs to begin in August 2017.  Upon completion of the focus groups, Phase II needs to begin in January 2018</w:t>
      </w:r>
      <w:r w:rsidR="00923027">
        <w:rPr>
          <w:rFonts w:ascii="Times New Roman" w:eastAsia="Times New Roman" w:hAnsi="Times New Roman"/>
          <w:sz w:val="24"/>
          <w:szCs w:val="24"/>
        </w:rPr>
        <w:t xml:space="preserve"> in order for r</w:t>
      </w:r>
      <w:r>
        <w:rPr>
          <w:rFonts w:ascii="Times New Roman" w:eastAsia="Times New Roman" w:hAnsi="Times New Roman"/>
          <w:sz w:val="24"/>
          <w:szCs w:val="24"/>
        </w:rPr>
        <w:t xml:space="preserve">esults from both phases </w:t>
      </w:r>
      <w:r w:rsidR="00923027">
        <w:rPr>
          <w:rFonts w:ascii="Times New Roman" w:eastAsia="Times New Roman" w:hAnsi="Times New Roman"/>
          <w:sz w:val="24"/>
          <w:szCs w:val="24"/>
        </w:rPr>
        <w:t>to</w:t>
      </w:r>
      <w:r>
        <w:rPr>
          <w:rFonts w:ascii="Times New Roman" w:eastAsia="Times New Roman" w:hAnsi="Times New Roman"/>
          <w:sz w:val="24"/>
          <w:szCs w:val="24"/>
        </w:rPr>
        <w:t xml:space="preserve"> be used to develop a marketing campaign for the FY2019 AMP.  In order to do this, results are needed by the end of June 2018 to allow for </w:t>
      </w:r>
      <w:r w:rsidR="00406879">
        <w:rPr>
          <w:rFonts w:ascii="Times New Roman" w:eastAsia="Times New Roman" w:hAnsi="Times New Roman"/>
          <w:sz w:val="24"/>
          <w:szCs w:val="24"/>
        </w:rPr>
        <w:t>messaging and strategy to be created and ultimately implemented as a marketing campaign in FY2019.</w:t>
      </w:r>
      <w:r w:rsidR="005C731C">
        <w:rPr>
          <w:rFonts w:ascii="Times New Roman" w:eastAsia="Times New Roman" w:hAnsi="Times New Roman"/>
          <w:sz w:val="24"/>
          <w:szCs w:val="24"/>
        </w:rPr>
        <w:t xml:space="preserve">  Delays in collecting information from both phases will prevent the Army from conducting a civilian brand campaign in FY2019 and exacerbate recruiting difficulties for hard-to-fill DA civilian positions.</w:t>
      </w:r>
    </w:p>
    <w:p w:rsidR="00D56A50" w:rsidRDefault="00E23621" w:rsidP="002E3A1E">
      <w:pPr>
        <w:pStyle w:val="NoSpacing"/>
        <w:ind w:firstLine="360"/>
      </w:pPr>
      <w:r>
        <w:rPr>
          <w:sz w:val="24"/>
          <w:szCs w:val="24"/>
          <w:u w:val="single"/>
        </w:rPr>
        <w:t xml:space="preserve"> </w:t>
      </w:r>
    </w:p>
    <w:p w:rsidR="00D56A50" w:rsidRPr="007601A9" w:rsidRDefault="00D56A50" w:rsidP="002E3A1E">
      <w:pPr>
        <w:pStyle w:val="NormalWeb"/>
        <w:spacing w:before="0" w:beforeAutospacing="0" w:after="0" w:afterAutospacing="0"/>
        <w:ind w:firstLine="360"/>
      </w:pPr>
      <w:r>
        <w:t>T</w:t>
      </w:r>
      <w:r w:rsidR="00357252">
        <w:t xml:space="preserve">he </w:t>
      </w:r>
      <w:r w:rsidR="00A302B7">
        <w:t xml:space="preserve">qualitative </w:t>
      </w:r>
      <w:r w:rsidR="00357252">
        <w:t xml:space="preserve">information </w:t>
      </w:r>
      <w:r w:rsidR="008B1166">
        <w:t xml:space="preserve">(there will be no data elements) </w:t>
      </w:r>
      <w:r w:rsidR="00357252">
        <w:t>collected will be used</w:t>
      </w:r>
      <w:r>
        <w:t xml:space="preserve"> by the </w:t>
      </w:r>
      <w:r w:rsidRPr="002B0593">
        <w:t xml:space="preserve">Department of the Army </w:t>
      </w:r>
      <w:r w:rsidR="00046397">
        <w:t>(</w:t>
      </w:r>
      <w:r w:rsidRPr="002B0593">
        <w:t>specifically the A</w:t>
      </w:r>
      <w:r w:rsidR="00046397">
        <w:t>MRG)</w:t>
      </w:r>
      <w:r w:rsidRPr="002B0593">
        <w:t xml:space="preserve"> </w:t>
      </w:r>
      <w:r w:rsidR="00357252">
        <w:t xml:space="preserve">to understand the </w:t>
      </w:r>
      <w:r w:rsidRPr="002B0593">
        <w:t xml:space="preserve">awareness of critical skills of career opportunities within </w:t>
      </w:r>
      <w:r w:rsidR="00C50360">
        <w:t>the Army</w:t>
      </w:r>
      <w:r w:rsidRPr="002B0593">
        <w:t xml:space="preserve"> and attitudes toward such employment. </w:t>
      </w:r>
      <w:r w:rsidR="003E1127" w:rsidRPr="003E1127">
        <w:t xml:space="preserve">The AMRG and ultimately the DA own the collection of the </w:t>
      </w:r>
      <w:r w:rsidR="00C73B08">
        <w:t>information</w:t>
      </w:r>
      <w:r w:rsidR="002356EF" w:rsidRPr="003E1127">
        <w:t xml:space="preserve">. </w:t>
      </w:r>
      <w:r w:rsidR="003E1127" w:rsidRPr="003E1127">
        <w:t xml:space="preserve">RAND/Prizma as contractors on this project </w:t>
      </w:r>
      <w:r w:rsidR="00266974">
        <w:t xml:space="preserve">will execute the </w:t>
      </w:r>
      <w:r w:rsidR="003E1127" w:rsidRPr="003E1127">
        <w:t xml:space="preserve">collection of </w:t>
      </w:r>
      <w:r w:rsidR="008B1166">
        <w:t>information</w:t>
      </w:r>
      <w:r w:rsidR="00266974">
        <w:t>, but not own the information once the contract is complete</w:t>
      </w:r>
      <w:r w:rsidR="002356EF" w:rsidRPr="003E1127">
        <w:t>.</w:t>
      </w:r>
      <w:r w:rsidR="002356EF">
        <w:t xml:space="preserve"> </w:t>
      </w:r>
      <w:r w:rsidRPr="002B0593">
        <w:t xml:space="preserve">This information will be used to assess DA </w:t>
      </w:r>
      <w:r w:rsidR="008A676C">
        <w:t xml:space="preserve">civilian </w:t>
      </w:r>
      <w:r w:rsidRPr="002B0593">
        <w:t>employment marketing campaigns (recruiting for government service (GS) positions)</w:t>
      </w:r>
      <w:r w:rsidR="00734FF8">
        <w:t xml:space="preserve"> which are</w:t>
      </w:r>
      <w:r w:rsidRPr="002B0593">
        <w:t xml:space="preserve"> intended to </w:t>
      </w:r>
      <w:r w:rsidR="00C50360">
        <w:t xml:space="preserve">inform a subsequent survey (Phase </w:t>
      </w:r>
      <w:r w:rsidR="00046397">
        <w:t>II</w:t>
      </w:r>
      <w:r w:rsidR="00C50360">
        <w:t xml:space="preserve">), to </w:t>
      </w:r>
      <w:r w:rsidRPr="002B0593">
        <w:t xml:space="preserve">address current and projected shortfalls in DA </w:t>
      </w:r>
      <w:r w:rsidR="00CD1193">
        <w:t>civilian</w:t>
      </w:r>
      <w:r w:rsidRPr="002B0593">
        <w:t xml:space="preserve"> critical occupations and to set specific marketing objectives, strategies and tactics to recruit.</w:t>
      </w:r>
    </w:p>
    <w:p w:rsidR="005E0A0F" w:rsidRDefault="005E0A0F" w:rsidP="005E0A0F">
      <w:pPr>
        <w:pStyle w:val="NormalWeb"/>
        <w:spacing w:line="288" w:lineRule="atLeast"/>
        <w:ind w:firstLine="900"/>
        <w:rPr>
          <w:u w:val="single"/>
        </w:rPr>
      </w:pPr>
      <w:r>
        <w:t xml:space="preserve">3.  </w:t>
      </w:r>
      <w:r>
        <w:rPr>
          <w:u w:val="single"/>
        </w:rPr>
        <w:t>Use of Information Technology</w:t>
      </w:r>
    </w:p>
    <w:p w:rsidR="00CE55CC" w:rsidRDefault="00CE55CC" w:rsidP="00CE55CC">
      <w:pPr>
        <w:pStyle w:val="NormalWeb"/>
        <w:spacing w:before="0" w:beforeAutospacing="0" w:after="0" w:afterAutospacing="0"/>
      </w:pPr>
      <w:r>
        <w:tab/>
      </w:r>
      <w:r w:rsidR="005C4E3E">
        <w:t>D</w:t>
      </w:r>
      <w:r>
        <w:t xml:space="preserve">issemination of information about the study </w:t>
      </w:r>
      <w:r w:rsidR="005C4E3E">
        <w:t>will be</w:t>
      </w:r>
      <w:r>
        <w:t xml:space="preserve"> provided electronically</w:t>
      </w:r>
      <w:r w:rsidR="002356EF">
        <w:t xml:space="preserve">. </w:t>
      </w:r>
      <w:r>
        <w:t>The focus groups will be conducted in-person and notes may be taken electronically</w:t>
      </w:r>
      <w:r w:rsidR="002356EF">
        <w:t xml:space="preserve">. </w:t>
      </w:r>
      <w:r>
        <w:t>The public</w:t>
      </w:r>
      <w:r w:rsidR="003B48AA">
        <w:t xml:space="preserve"> (focus group participants)</w:t>
      </w:r>
      <w:r>
        <w:t xml:space="preserve"> will be provided informed consent on paper</w:t>
      </w:r>
      <w:r w:rsidR="002356EF">
        <w:t xml:space="preserve">. </w:t>
      </w:r>
      <w:r w:rsidR="003E1127">
        <w:t xml:space="preserve">We estimate that 90% </w:t>
      </w:r>
      <w:r w:rsidR="005030EF">
        <w:t xml:space="preserve">of the information collected </w:t>
      </w:r>
      <w:r>
        <w:t>will be electronic</w:t>
      </w:r>
      <w:r w:rsidR="003E1127">
        <w:t>ally captured by researchers who record the focus groups and their insights</w:t>
      </w:r>
      <w:r w:rsidR="002356EF">
        <w:t xml:space="preserve">. </w:t>
      </w:r>
      <w:r w:rsidR="003B48AA">
        <w:t xml:space="preserve">The final Report on Findings will be provided to the Army electronically. </w:t>
      </w:r>
      <w:r w:rsidR="00D56A50">
        <w:t>We have planned the study this way to increase the use of information technology</w:t>
      </w:r>
      <w:r w:rsidR="002356EF">
        <w:t>.</w:t>
      </w:r>
      <w:r w:rsidR="00A439C0">
        <w:t xml:space="preserve">  </w:t>
      </w:r>
    </w:p>
    <w:p w:rsidR="00BF1B29" w:rsidRDefault="005E0A0F" w:rsidP="00BF1B29">
      <w:pPr>
        <w:pStyle w:val="NormalWeb"/>
        <w:spacing w:line="288" w:lineRule="atLeast"/>
        <w:ind w:firstLine="900"/>
        <w:rPr>
          <w:u w:val="single"/>
        </w:rPr>
      </w:pPr>
      <w:r>
        <w:t xml:space="preserve">4.  </w:t>
      </w:r>
      <w:r>
        <w:rPr>
          <w:u w:val="single"/>
        </w:rPr>
        <w:t>Non-duplication</w:t>
      </w:r>
    </w:p>
    <w:p w:rsidR="00404E22" w:rsidRPr="00B4505D" w:rsidRDefault="00404E22" w:rsidP="008C5102">
      <w:pPr>
        <w:ind w:firstLine="360"/>
      </w:pPr>
      <w:r>
        <w:tab/>
      </w:r>
      <w:r w:rsidRPr="00B4505D">
        <w:t xml:space="preserve">There is no </w:t>
      </w:r>
      <w:r w:rsidR="00A439C0">
        <w:t xml:space="preserve">known </w:t>
      </w:r>
      <w:r w:rsidRPr="00B4505D">
        <w:t xml:space="preserve">duplication of </w:t>
      </w:r>
      <w:r>
        <w:t xml:space="preserve">this </w:t>
      </w:r>
      <w:r w:rsidRPr="00B4505D">
        <w:t xml:space="preserve">effort for the DA </w:t>
      </w:r>
      <w:r w:rsidR="008A676C">
        <w:t>C</w:t>
      </w:r>
      <w:r w:rsidR="00CD1193">
        <w:t>ivilian</w:t>
      </w:r>
      <w:r w:rsidRPr="00B4505D">
        <w:t xml:space="preserve"> </w:t>
      </w:r>
      <w:r w:rsidR="008A676C">
        <w:t>Employment and Marketing Feedback</w:t>
      </w:r>
      <w:r w:rsidRPr="00B4505D">
        <w:t xml:space="preserve">; </w:t>
      </w:r>
      <w:r w:rsidR="008C5102">
        <w:t xml:space="preserve">the AMRG has conducted background research and determined that </w:t>
      </w:r>
      <w:r w:rsidRPr="00B4505D">
        <w:t xml:space="preserve">there is no other similar </w:t>
      </w:r>
      <w:r w:rsidR="008C5102">
        <w:t xml:space="preserve">research or </w:t>
      </w:r>
      <w:r w:rsidRPr="00B4505D">
        <w:t>information currently available tha</w:t>
      </w:r>
      <w:r w:rsidR="00A70395">
        <w:t xml:space="preserve">t can be used </w:t>
      </w:r>
      <w:r w:rsidR="00250188" w:rsidRPr="0034388B">
        <w:t>to inform how the A</w:t>
      </w:r>
      <w:r w:rsidR="008C5102">
        <w:t>rmy can more effectively market</w:t>
      </w:r>
      <w:r w:rsidR="008A676C">
        <w:t xml:space="preserve"> to assist in </w:t>
      </w:r>
      <w:r w:rsidR="00250188" w:rsidRPr="0034388B">
        <w:t>recruit</w:t>
      </w:r>
      <w:r w:rsidR="008A676C">
        <w:t>ing</w:t>
      </w:r>
      <w:r w:rsidR="00250188" w:rsidRPr="0034388B">
        <w:t xml:space="preserve"> and fill</w:t>
      </w:r>
      <w:r w:rsidR="008A676C">
        <w:t>ing</w:t>
      </w:r>
      <w:r w:rsidR="00250188" w:rsidRPr="0034388B">
        <w:t xml:space="preserve"> DA </w:t>
      </w:r>
      <w:r w:rsidR="00CD1193">
        <w:t>civilian</w:t>
      </w:r>
      <w:r w:rsidR="00250188" w:rsidRPr="0034388B">
        <w:t xml:space="preserve"> critical occupations.  </w:t>
      </w:r>
      <w:r w:rsidR="00266974">
        <w:t xml:space="preserve">DA civilian personnel senior officials have identified shortfalls </w:t>
      </w:r>
      <w:r w:rsidR="008C5102" w:rsidRPr="008C5102">
        <w:t>of entry</w:t>
      </w:r>
      <w:r w:rsidR="00C50360">
        <w:t>-</w:t>
      </w:r>
      <w:r w:rsidR="008C5102" w:rsidRPr="008C5102">
        <w:t>level and mid-</w:t>
      </w:r>
      <w:r w:rsidR="008A676C">
        <w:t xml:space="preserve">level </w:t>
      </w:r>
      <w:r w:rsidR="008C5102" w:rsidRPr="008C5102">
        <w:t>career technical experts</w:t>
      </w:r>
      <w:r w:rsidR="008C5102">
        <w:t xml:space="preserve"> in mission-critical DA </w:t>
      </w:r>
      <w:r w:rsidR="00CD1193">
        <w:t>civilian</w:t>
      </w:r>
      <w:r w:rsidR="008C5102">
        <w:t xml:space="preserve"> occupations, but there is no information on </w:t>
      </w:r>
      <w:r w:rsidR="00A15255">
        <w:t xml:space="preserve">the best ways to find and </w:t>
      </w:r>
      <w:r w:rsidR="008C5102">
        <w:t xml:space="preserve">reach these </w:t>
      </w:r>
      <w:r w:rsidR="004C68E4">
        <w:t xml:space="preserve">technical </w:t>
      </w:r>
      <w:r w:rsidR="008C5102">
        <w:t xml:space="preserve">experts or how best to provide awareness of DA </w:t>
      </w:r>
      <w:r w:rsidR="00CD1193">
        <w:t>civilian</w:t>
      </w:r>
      <w:r w:rsidR="008C5102">
        <w:t xml:space="preserve"> opportunities</w:t>
      </w:r>
      <w:r w:rsidR="00C50360">
        <w:t xml:space="preserve"> (marketing and messaging)</w:t>
      </w:r>
      <w:r w:rsidR="008C5102" w:rsidRPr="008C5102">
        <w:t>.</w:t>
      </w:r>
    </w:p>
    <w:p w:rsidR="005E0A0F" w:rsidRDefault="005E0A0F" w:rsidP="005E0A0F">
      <w:pPr>
        <w:pStyle w:val="NormalWeb"/>
        <w:spacing w:line="288" w:lineRule="atLeast"/>
        <w:ind w:firstLine="900"/>
        <w:rPr>
          <w:u w:val="single"/>
        </w:rPr>
      </w:pPr>
      <w:bookmarkStart w:id="3" w:name="cp440"/>
      <w:r>
        <w:t xml:space="preserve">5.  </w:t>
      </w:r>
      <w:r>
        <w:rPr>
          <w:u w:val="single"/>
        </w:rPr>
        <w:t>Burden on Small Business</w:t>
      </w:r>
    </w:p>
    <w:p w:rsidR="00404E22" w:rsidRDefault="00404E22" w:rsidP="00404E22">
      <w:pPr>
        <w:autoSpaceDE w:val="0"/>
        <w:autoSpaceDN w:val="0"/>
        <w:adjustRightInd w:val="0"/>
      </w:pPr>
      <w:r>
        <w:tab/>
      </w:r>
      <w:r w:rsidR="00AA18D9">
        <w:t xml:space="preserve">This information collection does not impose a significant economic impact on a substantial number of small businesses or entities. </w:t>
      </w:r>
    </w:p>
    <w:bookmarkEnd w:id="3"/>
    <w:p w:rsidR="005E0A0F" w:rsidRDefault="005E0A0F" w:rsidP="005E0A0F">
      <w:pPr>
        <w:pStyle w:val="NormalWeb"/>
        <w:spacing w:line="288" w:lineRule="atLeast"/>
        <w:ind w:firstLine="900"/>
        <w:rPr>
          <w:u w:val="single"/>
        </w:rPr>
      </w:pPr>
      <w:r>
        <w:t xml:space="preserve">6.  </w:t>
      </w:r>
      <w:r>
        <w:rPr>
          <w:u w:val="single"/>
        </w:rPr>
        <w:t>Less Frequent Collection</w:t>
      </w:r>
    </w:p>
    <w:p w:rsidR="00A70395" w:rsidRDefault="00A70395" w:rsidP="00A70395">
      <w:pPr>
        <w:pStyle w:val="NormalWeb"/>
        <w:spacing w:line="288" w:lineRule="atLeast"/>
        <w:ind w:firstLine="720"/>
      </w:pPr>
      <w:r>
        <w:t xml:space="preserve">This is a one-time information collection, so if it were conducted less frequently there would be no information collection.  </w:t>
      </w:r>
    </w:p>
    <w:p w:rsidR="00404E22" w:rsidRDefault="00404E22" w:rsidP="00A70395">
      <w:pPr>
        <w:pStyle w:val="NormalWeb"/>
        <w:spacing w:line="288" w:lineRule="atLeast"/>
        <w:ind w:firstLine="720"/>
        <w:rPr>
          <w:u w:val="single"/>
        </w:rPr>
      </w:pPr>
      <w:r w:rsidRPr="00B4505D">
        <w:t xml:space="preserve">If the information is not collected, </w:t>
      </w:r>
      <w:r w:rsidR="00B21D47">
        <w:t xml:space="preserve">the </w:t>
      </w:r>
      <w:r w:rsidRPr="00B4505D">
        <w:t>A</w:t>
      </w:r>
      <w:r w:rsidR="008A676C">
        <w:t>MRG</w:t>
      </w:r>
      <w:r w:rsidR="00B21D47">
        <w:t xml:space="preserve"> </w:t>
      </w:r>
      <w:r w:rsidRPr="00B4505D">
        <w:t xml:space="preserve">DA </w:t>
      </w:r>
      <w:r w:rsidR="00CD1193">
        <w:t>civilian</w:t>
      </w:r>
      <w:r w:rsidRPr="00B4505D">
        <w:t xml:space="preserve"> Brand mission will</w:t>
      </w:r>
      <w:r>
        <w:t xml:space="preserve"> </w:t>
      </w:r>
      <w:r w:rsidR="008C5102">
        <w:t>not be able</w:t>
      </w:r>
      <w:r w:rsidRPr="00B4505D">
        <w:t xml:space="preserve"> to design marketing and advertising efforts dedicated to </w:t>
      </w:r>
      <w:r w:rsidR="008C5102">
        <w:t>recruiting mission-critical DA civilians</w:t>
      </w:r>
      <w:r w:rsidRPr="00B4505D">
        <w:t xml:space="preserve">. </w:t>
      </w:r>
      <w:r w:rsidR="00B21D47">
        <w:t xml:space="preserve"> T</w:t>
      </w:r>
      <w:r w:rsidRPr="00B4505D">
        <w:t>here is a lack of entry</w:t>
      </w:r>
      <w:r w:rsidR="008A676C">
        <w:t>-</w:t>
      </w:r>
      <w:r w:rsidRPr="00B4505D">
        <w:t xml:space="preserve">level and mid-career </w:t>
      </w:r>
      <w:r w:rsidR="00B21D47">
        <w:t xml:space="preserve">civilian </w:t>
      </w:r>
      <w:r w:rsidRPr="00B4505D">
        <w:t>technical experts</w:t>
      </w:r>
      <w:r w:rsidR="00B21D47">
        <w:t xml:space="preserve"> in </w:t>
      </w:r>
      <w:r w:rsidR="004C68E4">
        <w:t xml:space="preserve">mission critical occupations in </w:t>
      </w:r>
      <w:r w:rsidR="00B21D47">
        <w:t>the Army</w:t>
      </w:r>
      <w:r w:rsidRPr="00B4505D">
        <w:t>. Lack of appropriate marketing and advertising mechanisms will</w:t>
      </w:r>
      <w:r w:rsidR="00A15255">
        <w:t xml:space="preserve"> significantly</w:t>
      </w:r>
      <w:r w:rsidRPr="00B4505D">
        <w:t xml:space="preserve"> delay the potential fill of these critical positions. </w:t>
      </w:r>
      <w:r w:rsidR="00B21D47">
        <w:t xml:space="preserve"> </w:t>
      </w:r>
      <w:r w:rsidRPr="00B4505D">
        <w:t xml:space="preserve">The information collection requirement is necessary to provide the </w:t>
      </w:r>
      <w:r w:rsidR="005C731C">
        <w:t>insights</w:t>
      </w:r>
      <w:r w:rsidRPr="00B4505D">
        <w:t xml:space="preserve"> needed to understand the best strategies and implementation tactics to build awareness and spark interest in Army civilian opportunities and fill critical occupations.</w:t>
      </w:r>
      <w:r>
        <w:t xml:space="preserve"> </w:t>
      </w:r>
      <w:r w:rsidR="00B21D47">
        <w:t xml:space="preserve"> </w:t>
      </w:r>
      <w:r>
        <w:t>As this is a one-time collection, it could not be conducted less frequently</w:t>
      </w:r>
      <w:r w:rsidR="00A15255">
        <w:t>.</w:t>
      </w:r>
    </w:p>
    <w:p w:rsidR="005E0A0F" w:rsidRDefault="005E0A0F" w:rsidP="005E0A0F">
      <w:pPr>
        <w:pStyle w:val="NormalWeb"/>
        <w:spacing w:line="288" w:lineRule="atLeast"/>
        <w:ind w:firstLine="900"/>
        <w:rPr>
          <w:u w:val="single"/>
        </w:rPr>
      </w:pPr>
      <w:bookmarkStart w:id="4" w:name="cp444"/>
      <w:r>
        <w:t xml:space="preserve">7.  </w:t>
      </w:r>
      <w:r>
        <w:rPr>
          <w:u w:val="single"/>
        </w:rPr>
        <w:t>Paperwork Reduction Act Guidelines</w:t>
      </w:r>
    </w:p>
    <w:p w:rsidR="00EA00D6" w:rsidRPr="00850773" w:rsidRDefault="00404E22" w:rsidP="00850773">
      <w:pPr>
        <w:pStyle w:val="NormalWeb"/>
        <w:spacing w:before="0" w:beforeAutospacing="0" w:after="0" w:afterAutospacing="0"/>
      </w:pPr>
      <w:r>
        <w:tab/>
        <w:t>There are no such special requirements</w:t>
      </w:r>
      <w:r w:rsidR="00D56A50">
        <w:t xml:space="preserve"> as delineated in 5 CFR 1320.5(d)(2). Collection will be conducted in a manner consistent with these guidelines</w:t>
      </w:r>
      <w:r>
        <w:t xml:space="preserve">. </w:t>
      </w:r>
      <w:bookmarkStart w:id="5" w:name="cp445"/>
      <w:bookmarkEnd w:id="4"/>
    </w:p>
    <w:p w:rsidR="005E0A0F" w:rsidRDefault="005E0A0F" w:rsidP="005E0A0F">
      <w:pPr>
        <w:pStyle w:val="NormalWeb"/>
        <w:spacing w:line="288" w:lineRule="atLeast"/>
        <w:ind w:firstLine="900"/>
        <w:rPr>
          <w:u w:val="single"/>
        </w:rPr>
      </w:pPr>
      <w:bookmarkStart w:id="6" w:name="cp446"/>
      <w:bookmarkEnd w:id="5"/>
      <w:r>
        <w:t xml:space="preserve">8.  </w:t>
      </w:r>
      <w:r>
        <w:rPr>
          <w:u w:val="single"/>
        </w:rPr>
        <w:t>Consultation and Public Comments</w:t>
      </w:r>
    </w:p>
    <w:p w:rsidR="00B403D6" w:rsidRDefault="00404E22" w:rsidP="00850773">
      <w:pPr>
        <w:pStyle w:val="NormalWeb"/>
        <w:spacing w:line="288" w:lineRule="atLeast"/>
      </w:pPr>
      <w:r>
        <w:tab/>
      </w:r>
      <w:r w:rsidR="00B403D6">
        <w:t>Part A</w:t>
      </w:r>
      <w:r w:rsidR="00DD13E8">
        <w:t xml:space="preserve">: </w:t>
      </w:r>
      <w:r w:rsidR="00B403D6">
        <w:t>PUBLIC NOTICE</w:t>
      </w:r>
    </w:p>
    <w:p w:rsidR="00471909" w:rsidRDefault="00B403D6" w:rsidP="00B403D6">
      <w:pPr>
        <w:pStyle w:val="NormalWeb"/>
        <w:spacing w:line="288" w:lineRule="atLeast"/>
        <w:ind w:firstLine="720"/>
      </w:pPr>
      <w:r>
        <w:t xml:space="preserve">The date of the collection’s 60-day </w:t>
      </w:r>
      <w:r w:rsidR="00404E22" w:rsidRPr="00B4505D">
        <w:t>Federal Register</w:t>
      </w:r>
      <w:r w:rsidR="00D56A50">
        <w:rPr>
          <w:color w:val="FF0000"/>
        </w:rPr>
        <w:t xml:space="preserve"> </w:t>
      </w:r>
      <w:r w:rsidRPr="00F17CB7">
        <w:t xml:space="preserve">Notice, </w:t>
      </w:r>
      <w:r w:rsidR="00850773">
        <w:t>81 FRN 8944</w:t>
      </w:r>
      <w:r w:rsidR="00404E22">
        <w:t xml:space="preserve">, </w:t>
      </w:r>
      <w:r>
        <w:t>is</w:t>
      </w:r>
      <w:r w:rsidR="00404E22" w:rsidRPr="00850773">
        <w:t xml:space="preserve"> </w:t>
      </w:r>
      <w:r w:rsidR="00850773" w:rsidRPr="00850773">
        <w:t>23 February 2016</w:t>
      </w:r>
      <w:r w:rsidR="00404E22">
        <w:t>.  N</w:t>
      </w:r>
      <w:r w:rsidR="00404E22" w:rsidRPr="00B4505D">
        <w:t>o comments</w:t>
      </w:r>
      <w:r w:rsidR="00850773">
        <w:t xml:space="preserve"> were</w:t>
      </w:r>
      <w:r w:rsidR="00404E22" w:rsidRPr="00B4505D">
        <w:t xml:space="preserve"> received.</w:t>
      </w:r>
      <w:r w:rsidR="00404E22">
        <w:t xml:space="preserve"> </w:t>
      </w:r>
    </w:p>
    <w:p w:rsidR="00D83B6F" w:rsidRDefault="00471909" w:rsidP="00B403D6">
      <w:pPr>
        <w:pStyle w:val="NormalWeb"/>
        <w:spacing w:line="288" w:lineRule="atLeast"/>
        <w:ind w:firstLine="720"/>
      </w:pPr>
      <w:r>
        <w:t xml:space="preserve">The 30-day Federal Register Notice was published on 22 May 2017. </w:t>
      </w:r>
    </w:p>
    <w:p w:rsidR="00B403D6" w:rsidRDefault="00404E22" w:rsidP="00404E22">
      <w:pPr>
        <w:pStyle w:val="NormalWeb"/>
        <w:spacing w:line="288" w:lineRule="atLeast"/>
      </w:pPr>
      <w:r>
        <w:tab/>
      </w:r>
      <w:r w:rsidR="00B403D6">
        <w:t>Part B: CONSULTATION</w:t>
      </w:r>
    </w:p>
    <w:p w:rsidR="00404E22" w:rsidRDefault="00404E22" w:rsidP="00B403D6">
      <w:pPr>
        <w:pStyle w:val="NormalWeb"/>
        <w:spacing w:line="288" w:lineRule="atLeast"/>
        <w:ind w:firstLine="720"/>
      </w:pPr>
      <w:r w:rsidRPr="00A7533B">
        <w:t>The sponsoring agency consulted with Army Civilian Human Resources Agency, Army G1</w:t>
      </w:r>
      <w:r>
        <w:t xml:space="preserve"> Civilian Personnel, and Deputy Assistant Secretary of the Army for Civilian Personnel office</w:t>
      </w:r>
      <w:r w:rsidR="00DD13E8">
        <w:t>s</w:t>
      </w:r>
      <w:r>
        <w:t xml:space="preserve"> along with subject matter experts in mission critical occupation hiring</w:t>
      </w:r>
      <w:r w:rsidR="002356EF">
        <w:t xml:space="preserve">. </w:t>
      </w:r>
      <w:r>
        <w:t>The information is not available elsewhere</w:t>
      </w:r>
      <w:r w:rsidR="002356EF">
        <w:t xml:space="preserve">. </w:t>
      </w:r>
      <w:r w:rsidR="005526AA">
        <w:t xml:space="preserve">A workshop including Army </w:t>
      </w:r>
      <w:r w:rsidR="00CD1193">
        <w:t>civilian</w:t>
      </w:r>
      <w:r w:rsidR="005526AA">
        <w:t xml:space="preserve"> subject matter experts </w:t>
      </w:r>
      <w:r w:rsidR="00B21D47">
        <w:t>was</w:t>
      </w:r>
      <w:r w:rsidR="005526AA">
        <w:t xml:space="preserve"> conducted to inform </w:t>
      </w:r>
      <w:r w:rsidR="00B21D47">
        <w:t xml:space="preserve">development of </w:t>
      </w:r>
      <w:r w:rsidR="005526AA">
        <w:t xml:space="preserve">the focus groups. A second workshop will be conducted following the </w:t>
      </w:r>
      <w:r w:rsidR="00A15255">
        <w:t xml:space="preserve">Phase I </w:t>
      </w:r>
      <w:r w:rsidR="005526AA">
        <w:t>focus groups to inform the viability of survey instrument</w:t>
      </w:r>
      <w:r w:rsidR="00B21D47">
        <w:t xml:space="preserve">.  A </w:t>
      </w:r>
      <w:r w:rsidR="005526AA">
        <w:t xml:space="preserve">third workshop will review the recommendations based on </w:t>
      </w:r>
      <w:r w:rsidR="00A15255">
        <w:t xml:space="preserve">the </w:t>
      </w:r>
      <w:r w:rsidR="00B21D47">
        <w:t xml:space="preserve">Phase I focus groups and </w:t>
      </w:r>
      <w:r w:rsidR="00A15255">
        <w:t xml:space="preserve">Phase II </w:t>
      </w:r>
      <w:r w:rsidR="005526AA">
        <w:t>survey outcomes</w:t>
      </w:r>
      <w:r w:rsidR="00B21D47">
        <w:t xml:space="preserve"> and develop a plan for marketing to DA civilians</w:t>
      </w:r>
      <w:r w:rsidR="005526AA">
        <w:t xml:space="preserve">.  </w:t>
      </w:r>
    </w:p>
    <w:p w:rsidR="00DD13E8" w:rsidRPr="00A557A3" w:rsidRDefault="00DD13E8" w:rsidP="00DD13E8">
      <w:pPr>
        <w:pStyle w:val="NormalWeb"/>
        <w:spacing w:before="0" w:beforeAutospacing="0" w:after="0" w:afterAutospacing="0"/>
        <w:ind w:left="900" w:hanging="900"/>
      </w:pPr>
      <w:bookmarkStart w:id="7" w:name="cp449"/>
      <w:bookmarkEnd w:id="6"/>
      <w:r>
        <w:tab/>
      </w:r>
      <w:r w:rsidR="005E0A0F" w:rsidRPr="00A557A3">
        <w:t xml:space="preserve">9.  </w:t>
      </w:r>
      <w:r w:rsidR="005E0A0F" w:rsidRPr="00A557A3">
        <w:rPr>
          <w:u w:val="single"/>
        </w:rPr>
        <w:t>Gifts or Payment</w:t>
      </w:r>
      <w:bookmarkStart w:id="8" w:name="cp450"/>
      <w:bookmarkEnd w:id="7"/>
      <w:r w:rsidR="00404E22" w:rsidRPr="00A557A3">
        <w:tab/>
      </w:r>
    </w:p>
    <w:p w:rsidR="00DD13E8" w:rsidRPr="00A557A3" w:rsidRDefault="00DD13E8" w:rsidP="00DD13E8">
      <w:pPr>
        <w:pStyle w:val="NormalWeb"/>
        <w:spacing w:before="0" w:beforeAutospacing="0" w:after="0" w:afterAutospacing="0"/>
        <w:ind w:left="900" w:hanging="900"/>
      </w:pPr>
    </w:p>
    <w:p w:rsidR="00236842" w:rsidRDefault="00DD13E8" w:rsidP="00471909">
      <w:pPr>
        <w:pStyle w:val="NormalWeb"/>
        <w:spacing w:before="0" w:beforeAutospacing="0" w:after="0" w:afterAutospacing="0"/>
      </w:pPr>
      <w:r w:rsidRPr="00A557A3">
        <w:tab/>
      </w:r>
      <w:r w:rsidR="007170F6" w:rsidRPr="00A557A3">
        <w:t>A</w:t>
      </w:r>
      <w:r w:rsidR="0001036E" w:rsidRPr="00A557A3">
        <w:t>n incentive</w:t>
      </w:r>
      <w:r w:rsidR="0001307E" w:rsidRPr="00A557A3">
        <w:t xml:space="preserve"> will be provided to the respondent</w:t>
      </w:r>
      <w:r w:rsidR="0001036E" w:rsidRPr="00A557A3">
        <w:t xml:space="preserve"> to defray costs of coming to the facility, child care costs, and/or other expenses</w:t>
      </w:r>
      <w:r w:rsidR="002356EF" w:rsidRPr="00A557A3">
        <w:t xml:space="preserve">. </w:t>
      </w:r>
      <w:r w:rsidR="00740193">
        <w:t>We will offer an incentive of $75 to college student participants. For entry</w:t>
      </w:r>
      <w:r w:rsidR="00740193">
        <w:rPr>
          <w:rFonts w:ascii="Cambria Math" w:hAnsi="Cambria Math" w:cs="Cambria Math"/>
        </w:rPr>
        <w:t>‐</w:t>
      </w:r>
      <w:r w:rsidR="00740193">
        <w:t>level professionals, we will offer an incentive of $100. For mid</w:t>
      </w:r>
      <w:r w:rsidR="00740193">
        <w:rPr>
          <w:rFonts w:ascii="Cambria Math" w:hAnsi="Cambria Math" w:cs="Cambria Math"/>
        </w:rPr>
        <w:t>‐</w:t>
      </w:r>
      <w:r w:rsidR="00740193">
        <w:t>level professionals who are more difficult to find, we will offer an incentive of $150.</w:t>
      </w:r>
      <w:r w:rsidR="0082237E" w:rsidRPr="0082237E">
        <w:t xml:space="preserve">  </w:t>
      </w:r>
    </w:p>
    <w:p w:rsidR="00404E22" w:rsidRDefault="007170F6" w:rsidP="00236842">
      <w:pPr>
        <w:pStyle w:val="NormalWeb"/>
        <w:ind w:firstLine="720"/>
      </w:pPr>
      <w:r>
        <w:t>The a</w:t>
      </w:r>
      <w:r w:rsidR="00F62D7B">
        <w:t xml:space="preserve">uthority to provide </w:t>
      </w:r>
      <w:r w:rsidR="000B7904">
        <w:t xml:space="preserve">monetary incentives </w:t>
      </w:r>
      <w:r w:rsidR="00F62D7B">
        <w:t>p</w:t>
      </w:r>
      <w:r w:rsidR="007B25E0">
        <w:t>ayments for general research participation is permitted per DoD Instruction 3216.02.</w:t>
      </w:r>
      <w:r w:rsidR="00F62D7B">
        <w:t xml:space="preserve">  </w:t>
      </w:r>
    </w:p>
    <w:bookmarkEnd w:id="8"/>
    <w:p w:rsidR="00471909" w:rsidRDefault="00471909" w:rsidP="002D2D94">
      <w:pPr>
        <w:pStyle w:val="NormalWeb"/>
        <w:spacing w:line="288" w:lineRule="atLeast"/>
        <w:ind w:firstLine="900"/>
      </w:pPr>
    </w:p>
    <w:p w:rsidR="002D2D94" w:rsidRDefault="005E0A0F" w:rsidP="002D2D94">
      <w:pPr>
        <w:pStyle w:val="NormalWeb"/>
        <w:spacing w:line="288" w:lineRule="atLeast"/>
        <w:ind w:firstLine="900"/>
        <w:rPr>
          <w:u w:val="single"/>
        </w:rPr>
      </w:pPr>
      <w:r>
        <w:t xml:space="preserve">10.  </w:t>
      </w:r>
      <w:r>
        <w:rPr>
          <w:u w:val="single"/>
        </w:rPr>
        <w:t>Confidentiality</w:t>
      </w:r>
    </w:p>
    <w:p w:rsidR="003D7C1D" w:rsidRPr="005F3BC2" w:rsidRDefault="003D7C1D" w:rsidP="003D7C1D">
      <w:pPr>
        <w:pStyle w:val="NormalWeb"/>
        <w:spacing w:before="0" w:beforeAutospacing="0" w:after="0" w:afterAutospacing="0"/>
      </w:pPr>
      <w:r w:rsidRPr="005F3BC2">
        <w:tab/>
        <w:t xml:space="preserve">The role of the focus group facility is to recruit participants and provide a site in which to conduct focus groups, they do not participate in the actual research information collection.  Any personal contact information and information collected in the screener is used by the focus group facility in order to recruit participants and not given to the researchers.  No </w:t>
      </w:r>
      <w:r w:rsidR="00266974">
        <w:t>PII</w:t>
      </w:r>
      <w:r w:rsidRPr="005F3BC2">
        <w:t xml:space="preserve"> will be given to, collected or retained by those involved in the research (the Army, its contractor Rand, or subcontractors Prizma and Echo Cove Research).  None of the information used by the researchers will be able to be combined to identify an individual.  In other words, those who have access to personal information (focus group facility) </w:t>
      </w:r>
      <w:r w:rsidR="00B21D47">
        <w:t>will</w:t>
      </w:r>
      <w:r w:rsidRPr="005F3BC2">
        <w:t xml:space="preserve"> not </w:t>
      </w:r>
      <w:r w:rsidR="00B21D47">
        <w:t xml:space="preserve">be </w:t>
      </w:r>
      <w:r w:rsidRPr="005F3BC2">
        <w:t>involved in the research</w:t>
      </w:r>
      <w:r w:rsidR="00581FBB">
        <w:t>,</w:t>
      </w:r>
      <w:r w:rsidRPr="005F3BC2">
        <w:t xml:space="preserve"> and those involved in the research </w:t>
      </w:r>
      <w:r w:rsidR="00B21D47">
        <w:t>will</w:t>
      </w:r>
      <w:r w:rsidRPr="005F3BC2">
        <w:t xml:space="preserve"> not have access to </w:t>
      </w:r>
      <w:r w:rsidR="00266974">
        <w:t>PII</w:t>
      </w:r>
      <w:r w:rsidRPr="005F3BC2">
        <w:t xml:space="preserve">.  For the reasons described above, PIA is </w:t>
      </w:r>
      <w:r w:rsidR="00CD11B5">
        <w:t xml:space="preserve">not </w:t>
      </w:r>
      <w:r w:rsidRPr="005F3BC2">
        <w:t>required.</w:t>
      </w:r>
    </w:p>
    <w:p w:rsidR="003D7C1D" w:rsidRPr="005F3BC2" w:rsidRDefault="003D7C1D" w:rsidP="003D7C1D">
      <w:pPr>
        <w:pStyle w:val="NormalWeb"/>
        <w:spacing w:before="0" w:beforeAutospacing="0" w:after="0" w:afterAutospacing="0"/>
      </w:pPr>
    </w:p>
    <w:p w:rsidR="00AD48B0" w:rsidRPr="005F3BC2" w:rsidRDefault="00697F02" w:rsidP="00697F02">
      <w:pPr>
        <w:pStyle w:val="NormalWeb"/>
        <w:spacing w:before="0" w:beforeAutospacing="0" w:after="0" w:afterAutospacing="0"/>
      </w:pPr>
      <w:r w:rsidRPr="005F3BC2">
        <w:tab/>
      </w:r>
      <w:r w:rsidR="003D7C1D" w:rsidRPr="005F3BC2">
        <w:t xml:space="preserve">  The Privacy Act Statement is not required because</w:t>
      </w:r>
      <w:r w:rsidR="00A37C74" w:rsidRPr="005F3BC2">
        <w:t xml:space="preserve"> there are no data elements being stored as a system of records</w:t>
      </w:r>
      <w:r w:rsidR="002356EF" w:rsidRPr="005F3BC2">
        <w:t>.</w:t>
      </w:r>
      <w:r w:rsidR="003D7C1D" w:rsidRPr="005F3BC2">
        <w:t xml:space="preserve"> </w:t>
      </w:r>
      <w:r w:rsidR="002356EF" w:rsidRPr="005F3BC2">
        <w:t xml:space="preserve"> </w:t>
      </w:r>
      <w:r w:rsidR="00AD48B0" w:rsidRPr="005F3BC2">
        <w:t>Information collected from respondents will be primarily attitudinal. Respondents will be asked what is important to people in their careers and their attitudes towards different types of employers</w:t>
      </w:r>
      <w:r w:rsidR="002356EF" w:rsidRPr="005F3BC2">
        <w:t xml:space="preserve">. </w:t>
      </w:r>
      <w:r w:rsidR="00AD48B0" w:rsidRPr="005F3BC2">
        <w:t>Respondents will not be asked to submit proprietary information, trade secrets or confidential information</w:t>
      </w:r>
      <w:r w:rsidR="002356EF" w:rsidRPr="005F3BC2">
        <w:t xml:space="preserve">. </w:t>
      </w:r>
      <w:r w:rsidR="00AD48B0" w:rsidRPr="005F3BC2">
        <w:t>Respondents will be assur</w:t>
      </w:r>
      <w:r w:rsidR="005F3BC2" w:rsidRPr="005F3BC2">
        <w:t>ed that their comments will</w:t>
      </w:r>
      <w:r w:rsidR="00AD48B0" w:rsidRPr="005F3BC2">
        <w:t xml:space="preserve"> be used for research purposes only and that any quotations or other </w:t>
      </w:r>
      <w:r w:rsidR="00B21D47">
        <w:t>information</w:t>
      </w:r>
      <w:r w:rsidR="00AD48B0" w:rsidRPr="005F3BC2">
        <w:t xml:space="preserve"> included in the final report will be identified only by generic</w:t>
      </w:r>
      <w:r w:rsidR="005F3BC2" w:rsidRPr="005F3BC2">
        <w:t>, non</w:t>
      </w:r>
      <w:r w:rsidR="00F17CB7">
        <w:t>-</w:t>
      </w:r>
      <w:r w:rsidR="005F3BC2" w:rsidRPr="005F3BC2">
        <w:t>personally-identifiable</w:t>
      </w:r>
      <w:r w:rsidR="00AD48B0" w:rsidRPr="005F3BC2">
        <w:t xml:space="preserve"> descriptors.  </w:t>
      </w:r>
    </w:p>
    <w:p w:rsidR="00AD48B0" w:rsidRPr="005F3BC2" w:rsidRDefault="00AD48B0" w:rsidP="00697F02">
      <w:pPr>
        <w:pStyle w:val="NormalWeb"/>
        <w:spacing w:before="0" w:beforeAutospacing="0" w:after="0" w:afterAutospacing="0"/>
      </w:pPr>
    </w:p>
    <w:p w:rsidR="003B48AA" w:rsidRDefault="00AD48B0" w:rsidP="00697F02">
      <w:pPr>
        <w:pStyle w:val="NormalWeb"/>
        <w:spacing w:before="0" w:beforeAutospacing="0" w:after="0" w:afterAutospacing="0"/>
      </w:pPr>
      <w:r w:rsidRPr="005F3BC2">
        <w:tab/>
        <w:t>Respondents for the focus groups will be assured that their answers will be confidential</w:t>
      </w:r>
      <w:r w:rsidR="002356EF" w:rsidRPr="005F3BC2">
        <w:t xml:space="preserve">. </w:t>
      </w:r>
      <w:r w:rsidRPr="005F3BC2">
        <w:t>Focus group participants will be recorded anonymously</w:t>
      </w:r>
      <w:r w:rsidR="002356EF" w:rsidRPr="005F3BC2">
        <w:t xml:space="preserve">. </w:t>
      </w:r>
      <w:r w:rsidRPr="005F3BC2">
        <w:t xml:space="preserve">Any personally identifying information collected in order to recruit participants for the study will be disposed of by </w:t>
      </w:r>
      <w:r w:rsidR="00581FBB">
        <w:t xml:space="preserve">the </w:t>
      </w:r>
      <w:r w:rsidRPr="005F3BC2">
        <w:t>conclusion of the study</w:t>
      </w:r>
      <w:r w:rsidR="002356EF" w:rsidRPr="005F3BC2">
        <w:t xml:space="preserve">. </w:t>
      </w:r>
      <w:r w:rsidRPr="005F3BC2">
        <w:t>No personally identifying information will be stored or included in the report</w:t>
      </w:r>
      <w:r w:rsidR="00EB3D98">
        <w:t xml:space="preserve"> that summarizes the focus group discussions</w:t>
      </w:r>
      <w:r w:rsidR="002356EF" w:rsidRPr="005F3BC2">
        <w:t xml:space="preserve">. </w:t>
      </w:r>
      <w:r w:rsidR="00A37C74" w:rsidRPr="005F3BC2">
        <w:t>A System of Records Notice (SORN) is not required because records are not being stored and therefore are not retrievable by PII. No Records Retention and Disposition Schedule is required</w:t>
      </w:r>
      <w:r w:rsidR="0005327B">
        <w:t xml:space="preserve"> since</w:t>
      </w:r>
      <w:r w:rsidR="00A37C74" w:rsidRPr="005F3BC2">
        <w:t xml:space="preserve"> </w:t>
      </w:r>
      <w:r w:rsidR="005F3BC2" w:rsidRPr="005F3BC2">
        <w:t>individual information is not being collected</w:t>
      </w:r>
      <w:r w:rsidR="00A37C74" w:rsidRPr="005F3BC2">
        <w:t>.</w:t>
      </w:r>
      <w:r w:rsidR="00294FE9">
        <w:t xml:space="preserve"> Records will be kept by the facility that recruits participants in a current file until no longer needed to conduct business and will be destroyed following the focus groups.</w:t>
      </w:r>
      <w:r w:rsidR="00930973">
        <w:t xml:space="preserve"> </w:t>
      </w:r>
    </w:p>
    <w:p w:rsidR="005E0A0F" w:rsidRDefault="005E0A0F" w:rsidP="005E0A0F">
      <w:pPr>
        <w:pStyle w:val="NormalWeb"/>
        <w:spacing w:line="288" w:lineRule="atLeast"/>
        <w:ind w:firstLine="900"/>
        <w:rPr>
          <w:u w:val="single"/>
        </w:rPr>
      </w:pPr>
      <w:r>
        <w:t xml:space="preserve">11.  </w:t>
      </w:r>
      <w:r>
        <w:rPr>
          <w:u w:val="single"/>
        </w:rPr>
        <w:t>Sensitive Questions</w:t>
      </w:r>
    </w:p>
    <w:p w:rsidR="00840CD9" w:rsidRDefault="00697F02" w:rsidP="00AD48B0">
      <w:pPr>
        <w:pStyle w:val="NormalWeb"/>
        <w:spacing w:before="0" w:beforeAutospacing="0" w:after="0" w:afterAutospacing="0"/>
      </w:pPr>
      <w:r>
        <w:tab/>
      </w:r>
      <w:r w:rsidR="00AD48B0" w:rsidRPr="003108E8">
        <w:t>Respondents will be asked what is important to people in their careers and their attitudes towards different types of employers</w:t>
      </w:r>
      <w:r w:rsidR="002356EF" w:rsidRPr="003108E8">
        <w:t>.</w:t>
      </w:r>
      <w:r w:rsidR="002356EF">
        <w:t xml:space="preserve"> </w:t>
      </w:r>
      <w:r>
        <w:t>The</w:t>
      </w:r>
      <w:r w:rsidR="00B403D6">
        <w:t>y will be asked questions regarding their gender, race, and ethnicity</w:t>
      </w:r>
      <w:r w:rsidR="00DE55FB">
        <w:t xml:space="preserve"> (race and ethnicity will be asked in accordance with OMB</w:t>
      </w:r>
      <w:r w:rsidR="00DE55FB" w:rsidRPr="00412B93">
        <w:t xml:space="preserve"> standards</w:t>
      </w:r>
      <w:r w:rsidR="00DE55FB">
        <w:t xml:space="preserve">) </w:t>
      </w:r>
      <w:r w:rsidR="00B012EC">
        <w:t xml:space="preserve">during the recruitment process </w:t>
      </w:r>
      <w:r w:rsidR="005F3BC2">
        <w:t xml:space="preserve">to ensure we receive views from </w:t>
      </w:r>
      <w:r w:rsidR="00581FBB">
        <w:t xml:space="preserve">a </w:t>
      </w:r>
      <w:r w:rsidR="005F3BC2">
        <w:t xml:space="preserve">variety of people </w:t>
      </w:r>
      <w:r w:rsidR="00B012EC">
        <w:t xml:space="preserve">this information will be used for recruiting purposes by the focus group facility and will not be </w:t>
      </w:r>
      <w:r w:rsidR="00B012EC" w:rsidRPr="005F3BC2">
        <w:t>given to, collected or retained by those involved in the research</w:t>
      </w:r>
      <w:r w:rsidR="005F3BC2">
        <w:t xml:space="preserve">.  This information will not be included at an individual level in any reports. </w:t>
      </w:r>
      <w:r w:rsidR="00B012EC">
        <w:t xml:space="preserve"> </w:t>
      </w:r>
      <w:r w:rsidR="00B012EC" w:rsidRPr="005F3BC2">
        <w:t>None of the information used by the researchers will be able to be combined to identify an individual.</w:t>
      </w:r>
      <w:r w:rsidR="005F3BC2">
        <w:t xml:space="preserve"> </w:t>
      </w:r>
      <w:r w:rsidR="00B012EC">
        <w:t xml:space="preserve"> </w:t>
      </w:r>
      <w:r w:rsidR="005F3BC2">
        <w:t>N</w:t>
      </w:r>
      <w:r w:rsidR="00B403D6">
        <w:t>o other PII will be requested and</w:t>
      </w:r>
      <w:r w:rsidR="00840CD9">
        <w:t xml:space="preserve"> </w:t>
      </w:r>
      <w:r w:rsidR="000A2106">
        <w:t>SSN will not be asked.</w:t>
      </w:r>
    </w:p>
    <w:p w:rsidR="00236842" w:rsidRDefault="00236842">
      <w:bookmarkStart w:id="9" w:name="cp456"/>
      <w:r>
        <w:br w:type="page"/>
      </w:r>
    </w:p>
    <w:p w:rsidR="005E0A0F" w:rsidRDefault="005E0A0F" w:rsidP="005E0A0F">
      <w:pPr>
        <w:pStyle w:val="NormalWeb"/>
        <w:spacing w:line="288" w:lineRule="atLeast"/>
        <w:ind w:firstLine="900"/>
      </w:pPr>
      <w:r>
        <w:t xml:space="preserve">12.  </w:t>
      </w:r>
      <w:r>
        <w:rPr>
          <w:u w:val="single"/>
        </w:rPr>
        <w:t>Respondent Burden, and its Labor Costs</w:t>
      </w:r>
    </w:p>
    <w:p w:rsidR="00697F02" w:rsidRDefault="005E0A0F" w:rsidP="00B012EC">
      <w:pPr>
        <w:pStyle w:val="NormalWeb"/>
        <w:spacing w:line="288" w:lineRule="atLeast"/>
        <w:ind w:firstLine="1350"/>
        <w:rPr>
          <w:u w:val="single"/>
        </w:rPr>
      </w:pPr>
      <w:bookmarkStart w:id="10" w:name="cp457"/>
      <w:bookmarkEnd w:id="9"/>
      <w:r>
        <w:t>a.</w:t>
      </w:r>
      <w:r w:rsidR="002356EF">
        <w:t> Estimation</w:t>
      </w:r>
      <w:r>
        <w:rPr>
          <w:u w:val="single"/>
        </w:rPr>
        <w:t xml:space="preserve"> of Respondent Burden</w:t>
      </w:r>
      <w:r w:rsidR="00697F02" w:rsidRPr="00942953">
        <w:t xml:space="preserve"> </w:t>
      </w:r>
    </w:p>
    <w:tbl>
      <w:tblPr>
        <w:tblW w:w="104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530"/>
        <w:gridCol w:w="1350"/>
        <w:gridCol w:w="1260"/>
        <w:gridCol w:w="1710"/>
        <w:gridCol w:w="2430"/>
      </w:tblGrid>
      <w:tr w:rsidR="00652E45" w:rsidTr="000377B6">
        <w:tc>
          <w:tcPr>
            <w:tcW w:w="10440" w:type="dxa"/>
            <w:gridSpan w:val="6"/>
            <w:shd w:val="clear" w:color="auto" w:fill="auto"/>
          </w:tcPr>
          <w:p w:rsidR="00652E45" w:rsidRDefault="00652E45" w:rsidP="007A7148">
            <w:pPr>
              <w:pStyle w:val="NormalWeb"/>
              <w:spacing w:line="288" w:lineRule="atLeast"/>
              <w:jc w:val="center"/>
            </w:pPr>
            <w:r>
              <w:t>Estimation of Respondent Burden Hours</w:t>
            </w:r>
          </w:p>
        </w:tc>
      </w:tr>
      <w:tr w:rsidR="00652E45" w:rsidTr="000377B6">
        <w:trPr>
          <w:trHeight w:val="1808"/>
        </w:trPr>
        <w:tc>
          <w:tcPr>
            <w:tcW w:w="2160" w:type="dxa"/>
            <w:shd w:val="clear" w:color="auto" w:fill="auto"/>
          </w:tcPr>
          <w:p w:rsidR="00652E45" w:rsidRDefault="00652E45" w:rsidP="007A7148">
            <w:pPr>
              <w:pStyle w:val="NormalWeb"/>
              <w:spacing w:line="288" w:lineRule="atLeast"/>
            </w:pPr>
          </w:p>
        </w:tc>
        <w:tc>
          <w:tcPr>
            <w:tcW w:w="1530" w:type="dxa"/>
            <w:shd w:val="clear" w:color="auto" w:fill="auto"/>
          </w:tcPr>
          <w:p w:rsidR="00652E45" w:rsidRDefault="00652E45" w:rsidP="007A7148">
            <w:pPr>
              <w:pStyle w:val="NormalWeb"/>
              <w:spacing w:line="288" w:lineRule="atLeast"/>
            </w:pPr>
            <w:r>
              <w:t>Number of Respondents</w:t>
            </w:r>
          </w:p>
        </w:tc>
        <w:tc>
          <w:tcPr>
            <w:tcW w:w="1350" w:type="dxa"/>
            <w:shd w:val="clear" w:color="auto" w:fill="auto"/>
          </w:tcPr>
          <w:p w:rsidR="00652E45" w:rsidRDefault="00652E45" w:rsidP="007A7148">
            <w:pPr>
              <w:pStyle w:val="NormalWeb"/>
              <w:spacing w:line="288" w:lineRule="atLeast"/>
            </w:pPr>
            <w:r>
              <w:t>Number of Responses per Respondent</w:t>
            </w:r>
          </w:p>
        </w:tc>
        <w:tc>
          <w:tcPr>
            <w:tcW w:w="1260" w:type="dxa"/>
            <w:shd w:val="clear" w:color="auto" w:fill="auto"/>
          </w:tcPr>
          <w:p w:rsidR="00652E45" w:rsidRDefault="00652E45" w:rsidP="007A7148">
            <w:pPr>
              <w:pStyle w:val="NormalWeb"/>
              <w:spacing w:line="288" w:lineRule="atLeast"/>
            </w:pPr>
            <w:r>
              <w:t>Number of Total Annual Responses</w:t>
            </w:r>
          </w:p>
        </w:tc>
        <w:tc>
          <w:tcPr>
            <w:tcW w:w="1710" w:type="dxa"/>
            <w:shd w:val="clear" w:color="auto" w:fill="auto"/>
          </w:tcPr>
          <w:p w:rsidR="00652E45" w:rsidRDefault="00652E45" w:rsidP="00D201AD">
            <w:pPr>
              <w:pStyle w:val="NormalWeb"/>
              <w:spacing w:line="288" w:lineRule="atLeast"/>
            </w:pPr>
            <w:r>
              <w:t>Response Time (Amount of time needed to complete the collection instrument)</w:t>
            </w:r>
          </w:p>
        </w:tc>
        <w:tc>
          <w:tcPr>
            <w:tcW w:w="2430" w:type="dxa"/>
            <w:shd w:val="clear" w:color="auto" w:fill="auto"/>
          </w:tcPr>
          <w:p w:rsidR="00652E45" w:rsidRDefault="00652E45" w:rsidP="00D201AD">
            <w:pPr>
              <w:pStyle w:val="NormalWeb"/>
              <w:spacing w:line="288" w:lineRule="atLeast"/>
            </w:pPr>
            <w:r>
              <w:t>Respondent Burden Hours (Total Annual Responses multiplied by Response Time)</w:t>
            </w:r>
            <w:r w:rsidR="00D201AD">
              <w:t xml:space="preserve"> Please compute these into </w:t>
            </w:r>
            <w:r w:rsidR="004A5282">
              <w:t>hours)</w:t>
            </w:r>
          </w:p>
        </w:tc>
      </w:tr>
      <w:tr w:rsidR="00652E45" w:rsidTr="000377B6">
        <w:tc>
          <w:tcPr>
            <w:tcW w:w="2160" w:type="dxa"/>
            <w:shd w:val="clear" w:color="auto" w:fill="auto"/>
          </w:tcPr>
          <w:p w:rsidR="00652E45" w:rsidRDefault="00697F02" w:rsidP="000377B6">
            <w:pPr>
              <w:pStyle w:val="NormalWeb"/>
              <w:spacing w:line="288" w:lineRule="atLeast"/>
            </w:pPr>
            <w:r>
              <w:t>Mar</w:t>
            </w:r>
            <w:r w:rsidR="000377B6">
              <w:t>keting DA Civilian Focus Groups</w:t>
            </w:r>
          </w:p>
        </w:tc>
        <w:tc>
          <w:tcPr>
            <w:tcW w:w="1530" w:type="dxa"/>
            <w:shd w:val="clear" w:color="auto" w:fill="auto"/>
          </w:tcPr>
          <w:p w:rsidR="00652E45" w:rsidRDefault="00697F02" w:rsidP="007A7148">
            <w:pPr>
              <w:pStyle w:val="NormalWeb"/>
              <w:spacing w:line="288" w:lineRule="atLeast"/>
            </w:pPr>
            <w:r>
              <w:t>128</w:t>
            </w:r>
          </w:p>
        </w:tc>
        <w:tc>
          <w:tcPr>
            <w:tcW w:w="1350" w:type="dxa"/>
            <w:shd w:val="clear" w:color="auto" w:fill="auto"/>
          </w:tcPr>
          <w:p w:rsidR="00652E45" w:rsidRDefault="00697F02" w:rsidP="007A7148">
            <w:pPr>
              <w:pStyle w:val="NormalWeb"/>
              <w:spacing w:line="288" w:lineRule="atLeast"/>
            </w:pPr>
            <w:r>
              <w:t>1</w:t>
            </w:r>
          </w:p>
        </w:tc>
        <w:tc>
          <w:tcPr>
            <w:tcW w:w="1260" w:type="dxa"/>
            <w:shd w:val="clear" w:color="auto" w:fill="auto"/>
          </w:tcPr>
          <w:p w:rsidR="00652E45" w:rsidRDefault="00697F02" w:rsidP="007A7148">
            <w:pPr>
              <w:pStyle w:val="NormalWeb"/>
              <w:spacing w:line="288" w:lineRule="atLeast"/>
            </w:pPr>
            <w:r>
              <w:t>128</w:t>
            </w:r>
          </w:p>
        </w:tc>
        <w:tc>
          <w:tcPr>
            <w:tcW w:w="1710" w:type="dxa"/>
            <w:shd w:val="clear" w:color="auto" w:fill="auto"/>
          </w:tcPr>
          <w:p w:rsidR="00652E45" w:rsidRDefault="00697F02" w:rsidP="007A7148">
            <w:pPr>
              <w:pStyle w:val="NormalWeb"/>
              <w:spacing w:line="288" w:lineRule="atLeast"/>
            </w:pPr>
            <w:r>
              <w:t>1.5 hours</w:t>
            </w:r>
          </w:p>
        </w:tc>
        <w:tc>
          <w:tcPr>
            <w:tcW w:w="2430" w:type="dxa"/>
            <w:shd w:val="clear" w:color="auto" w:fill="auto"/>
          </w:tcPr>
          <w:p w:rsidR="00652E45" w:rsidRDefault="00697F02" w:rsidP="007A7148">
            <w:pPr>
              <w:pStyle w:val="NormalWeb"/>
              <w:spacing w:line="288" w:lineRule="atLeast"/>
            </w:pPr>
            <w:r>
              <w:t>192 hours</w:t>
            </w:r>
          </w:p>
        </w:tc>
      </w:tr>
      <w:tr w:rsidR="00652E45" w:rsidTr="000377B6">
        <w:tc>
          <w:tcPr>
            <w:tcW w:w="2160" w:type="dxa"/>
            <w:shd w:val="clear" w:color="auto" w:fill="auto"/>
          </w:tcPr>
          <w:p w:rsidR="00652E45" w:rsidRDefault="00652E45" w:rsidP="00932507">
            <w:pPr>
              <w:pStyle w:val="NormalWeb"/>
              <w:spacing w:line="288" w:lineRule="atLeast"/>
            </w:pPr>
            <w:r>
              <w:t>Total</w:t>
            </w:r>
            <w:r w:rsidR="004A60CA">
              <w:t xml:space="preserve"> </w:t>
            </w:r>
          </w:p>
        </w:tc>
        <w:tc>
          <w:tcPr>
            <w:tcW w:w="1530" w:type="dxa"/>
            <w:shd w:val="clear" w:color="auto" w:fill="auto"/>
          </w:tcPr>
          <w:p w:rsidR="00652E45" w:rsidRDefault="00697F02" w:rsidP="007A7148">
            <w:pPr>
              <w:pStyle w:val="NormalWeb"/>
              <w:spacing w:line="288" w:lineRule="atLeast"/>
            </w:pPr>
            <w:r>
              <w:t>128</w:t>
            </w:r>
          </w:p>
        </w:tc>
        <w:tc>
          <w:tcPr>
            <w:tcW w:w="1350" w:type="dxa"/>
            <w:shd w:val="clear" w:color="auto" w:fill="auto"/>
          </w:tcPr>
          <w:p w:rsidR="00652E45" w:rsidRDefault="00697F02" w:rsidP="007A7148">
            <w:pPr>
              <w:pStyle w:val="NormalWeb"/>
              <w:spacing w:line="288" w:lineRule="atLeast"/>
            </w:pPr>
            <w:r>
              <w:t>1</w:t>
            </w:r>
          </w:p>
        </w:tc>
        <w:tc>
          <w:tcPr>
            <w:tcW w:w="1260" w:type="dxa"/>
            <w:shd w:val="clear" w:color="auto" w:fill="auto"/>
          </w:tcPr>
          <w:p w:rsidR="00652E45" w:rsidRDefault="00697F02" w:rsidP="007A7148">
            <w:pPr>
              <w:pStyle w:val="NormalWeb"/>
              <w:spacing w:line="288" w:lineRule="atLeast"/>
            </w:pPr>
            <w:r>
              <w:t>128</w:t>
            </w:r>
          </w:p>
        </w:tc>
        <w:tc>
          <w:tcPr>
            <w:tcW w:w="1710" w:type="dxa"/>
            <w:shd w:val="clear" w:color="auto" w:fill="auto"/>
          </w:tcPr>
          <w:p w:rsidR="00652E45" w:rsidRDefault="00697F02" w:rsidP="007A7148">
            <w:pPr>
              <w:pStyle w:val="NormalWeb"/>
              <w:spacing w:line="288" w:lineRule="atLeast"/>
            </w:pPr>
            <w:r>
              <w:t>1.5 hours</w:t>
            </w:r>
          </w:p>
        </w:tc>
        <w:tc>
          <w:tcPr>
            <w:tcW w:w="2430" w:type="dxa"/>
            <w:shd w:val="clear" w:color="auto" w:fill="auto"/>
          </w:tcPr>
          <w:p w:rsidR="00652E45" w:rsidRDefault="00697F02" w:rsidP="007A7148">
            <w:pPr>
              <w:pStyle w:val="NormalWeb"/>
              <w:spacing w:line="288" w:lineRule="atLeast"/>
            </w:pPr>
            <w:r>
              <w:t>192 hours</w:t>
            </w:r>
          </w:p>
        </w:tc>
      </w:tr>
    </w:tbl>
    <w:p w:rsidR="00652E45" w:rsidRDefault="005E0A0F" w:rsidP="00564656">
      <w:pPr>
        <w:pStyle w:val="NormalWeb"/>
        <w:spacing w:line="288" w:lineRule="atLeast"/>
        <w:ind w:firstLine="1350"/>
        <w:rPr>
          <w:u w:val="single"/>
        </w:rPr>
      </w:pPr>
      <w:bookmarkStart w:id="11" w:name="cp460"/>
      <w:bookmarkEnd w:id="10"/>
      <w:r>
        <w:t>b.</w:t>
      </w:r>
      <w:r w:rsidR="002356EF">
        <w:t> Labor</w:t>
      </w:r>
      <w:r>
        <w:rPr>
          <w:u w:val="single"/>
        </w:rPr>
        <w:t xml:space="preserve"> Cost of Respondent Burden</w:t>
      </w:r>
    </w:p>
    <w:tbl>
      <w:tblPr>
        <w:tblW w:w="101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260"/>
        <w:gridCol w:w="1170"/>
        <w:gridCol w:w="1350"/>
        <w:gridCol w:w="1620"/>
        <w:gridCol w:w="2340"/>
      </w:tblGrid>
      <w:tr w:rsidR="00564656" w:rsidTr="000377B6">
        <w:tc>
          <w:tcPr>
            <w:tcW w:w="10170" w:type="dxa"/>
            <w:gridSpan w:val="6"/>
            <w:shd w:val="clear" w:color="auto" w:fill="auto"/>
          </w:tcPr>
          <w:p w:rsidR="00564656" w:rsidRDefault="00697F02" w:rsidP="007A7148">
            <w:pPr>
              <w:pStyle w:val="NormalWeb"/>
              <w:spacing w:line="288" w:lineRule="atLeast"/>
              <w:jc w:val="center"/>
            </w:pPr>
            <w:r>
              <w:tab/>
            </w:r>
            <w:r w:rsidR="00564656">
              <w:t>Labor Cost of Respondent Burden</w:t>
            </w:r>
          </w:p>
        </w:tc>
      </w:tr>
      <w:tr w:rsidR="00564656" w:rsidTr="000377B6">
        <w:trPr>
          <w:trHeight w:val="2384"/>
        </w:trPr>
        <w:tc>
          <w:tcPr>
            <w:tcW w:w="2430" w:type="dxa"/>
            <w:shd w:val="clear" w:color="auto" w:fill="auto"/>
          </w:tcPr>
          <w:p w:rsidR="00564656" w:rsidRDefault="00564656" w:rsidP="007A7148">
            <w:pPr>
              <w:pStyle w:val="NormalWeb"/>
              <w:spacing w:line="288" w:lineRule="atLeast"/>
            </w:pPr>
          </w:p>
        </w:tc>
        <w:tc>
          <w:tcPr>
            <w:tcW w:w="1260" w:type="dxa"/>
            <w:shd w:val="clear" w:color="auto" w:fill="auto"/>
          </w:tcPr>
          <w:p w:rsidR="00564656" w:rsidRDefault="0096762B" w:rsidP="007A7148">
            <w:pPr>
              <w:pStyle w:val="NormalWeb"/>
              <w:spacing w:line="288" w:lineRule="atLeast"/>
              <w:jc w:val="center"/>
            </w:pPr>
            <w:r>
              <w:t>Number of Responses</w:t>
            </w:r>
          </w:p>
        </w:tc>
        <w:tc>
          <w:tcPr>
            <w:tcW w:w="1170" w:type="dxa"/>
            <w:shd w:val="clear" w:color="auto" w:fill="auto"/>
          </w:tcPr>
          <w:p w:rsidR="00564656" w:rsidRDefault="00564656" w:rsidP="007A7148">
            <w:pPr>
              <w:pStyle w:val="NormalWeb"/>
              <w:spacing w:line="288" w:lineRule="atLeast"/>
              <w:jc w:val="center"/>
            </w:pPr>
            <w:r>
              <w:t xml:space="preserve">Response Time </w:t>
            </w:r>
            <w:r w:rsidR="0096762B">
              <w:t>per Response</w:t>
            </w:r>
          </w:p>
        </w:tc>
        <w:tc>
          <w:tcPr>
            <w:tcW w:w="1350" w:type="dxa"/>
            <w:shd w:val="clear" w:color="auto" w:fill="auto"/>
          </w:tcPr>
          <w:p w:rsidR="00564656" w:rsidRDefault="00564656" w:rsidP="007A7148">
            <w:pPr>
              <w:pStyle w:val="NormalWeb"/>
              <w:spacing w:line="288" w:lineRule="atLeast"/>
              <w:jc w:val="center"/>
            </w:pPr>
            <w:r>
              <w:t>Respondent Hourly Wage</w:t>
            </w:r>
          </w:p>
        </w:tc>
        <w:tc>
          <w:tcPr>
            <w:tcW w:w="1620" w:type="dxa"/>
            <w:shd w:val="clear" w:color="auto" w:fill="auto"/>
          </w:tcPr>
          <w:p w:rsidR="00564656" w:rsidRDefault="00564656" w:rsidP="007A7148">
            <w:pPr>
              <w:pStyle w:val="NormalWeb"/>
              <w:spacing w:line="288" w:lineRule="atLeast"/>
              <w:jc w:val="center"/>
            </w:pPr>
            <w:r>
              <w:t xml:space="preserve">Labor Burden per </w:t>
            </w:r>
            <w:r w:rsidR="0096762B">
              <w:t xml:space="preserve">Response </w:t>
            </w:r>
            <w:r>
              <w:t>(Response Time multiplied by Respondent Hourly Wage)</w:t>
            </w:r>
          </w:p>
        </w:tc>
        <w:tc>
          <w:tcPr>
            <w:tcW w:w="2340" w:type="dxa"/>
            <w:shd w:val="clear" w:color="auto" w:fill="auto"/>
          </w:tcPr>
          <w:p w:rsidR="00564656" w:rsidRDefault="00564656" w:rsidP="007A7148">
            <w:pPr>
              <w:pStyle w:val="NormalWeb"/>
              <w:spacing w:line="288" w:lineRule="atLeast"/>
              <w:jc w:val="center"/>
            </w:pPr>
            <w:r>
              <w:t>Total Labor Burden (Number of Respondents multiplied by Response Time multiplied by Respondent Hourly Wage)</w:t>
            </w:r>
          </w:p>
        </w:tc>
      </w:tr>
      <w:tr w:rsidR="00564656" w:rsidTr="000377B6">
        <w:trPr>
          <w:trHeight w:val="710"/>
        </w:trPr>
        <w:tc>
          <w:tcPr>
            <w:tcW w:w="2430" w:type="dxa"/>
            <w:shd w:val="clear" w:color="auto" w:fill="auto"/>
          </w:tcPr>
          <w:p w:rsidR="00564656" w:rsidRDefault="000377B6" w:rsidP="000377B6">
            <w:pPr>
              <w:pStyle w:val="NormalWeb"/>
              <w:spacing w:line="288" w:lineRule="atLeast"/>
            </w:pPr>
            <w:r>
              <w:t>Marketing DA Civilian Focus Groups</w:t>
            </w:r>
          </w:p>
        </w:tc>
        <w:tc>
          <w:tcPr>
            <w:tcW w:w="1260" w:type="dxa"/>
            <w:shd w:val="clear" w:color="auto" w:fill="auto"/>
          </w:tcPr>
          <w:p w:rsidR="00564656" w:rsidRDefault="00697F02" w:rsidP="007A7148">
            <w:pPr>
              <w:pStyle w:val="NormalWeb"/>
              <w:spacing w:line="288" w:lineRule="atLeast"/>
            </w:pPr>
            <w:r>
              <w:t>128</w:t>
            </w:r>
          </w:p>
        </w:tc>
        <w:tc>
          <w:tcPr>
            <w:tcW w:w="1170" w:type="dxa"/>
            <w:shd w:val="clear" w:color="auto" w:fill="auto"/>
          </w:tcPr>
          <w:p w:rsidR="00564656" w:rsidRDefault="003C7384" w:rsidP="007A7148">
            <w:pPr>
              <w:pStyle w:val="NormalWeb"/>
              <w:spacing w:line="288" w:lineRule="atLeast"/>
            </w:pPr>
            <w:r>
              <w:t>1.5 hours</w:t>
            </w:r>
          </w:p>
        </w:tc>
        <w:tc>
          <w:tcPr>
            <w:tcW w:w="1350" w:type="dxa"/>
            <w:shd w:val="clear" w:color="auto" w:fill="auto"/>
          </w:tcPr>
          <w:p w:rsidR="00564656" w:rsidRPr="000B7717" w:rsidRDefault="006A16EC" w:rsidP="00962018">
            <w:pPr>
              <w:pStyle w:val="NormalWeb"/>
              <w:spacing w:line="288" w:lineRule="atLeast"/>
            </w:pPr>
            <w:r w:rsidRPr="000B7717">
              <w:t>$</w:t>
            </w:r>
            <w:r w:rsidR="00962018">
              <w:t>3</w:t>
            </w:r>
            <w:r w:rsidR="000B7717" w:rsidRPr="000B7717">
              <w:t>0</w:t>
            </w:r>
          </w:p>
        </w:tc>
        <w:tc>
          <w:tcPr>
            <w:tcW w:w="1620" w:type="dxa"/>
            <w:shd w:val="clear" w:color="auto" w:fill="auto"/>
          </w:tcPr>
          <w:p w:rsidR="00564656" w:rsidRPr="000B7717" w:rsidRDefault="006A16EC" w:rsidP="00962018">
            <w:pPr>
              <w:pStyle w:val="NormalWeb"/>
              <w:spacing w:line="288" w:lineRule="atLeast"/>
            </w:pPr>
            <w:r w:rsidRPr="000B7717">
              <w:t>$</w:t>
            </w:r>
            <w:r w:rsidR="00962018">
              <w:t>45</w:t>
            </w:r>
          </w:p>
        </w:tc>
        <w:tc>
          <w:tcPr>
            <w:tcW w:w="2340" w:type="dxa"/>
            <w:shd w:val="clear" w:color="auto" w:fill="auto"/>
          </w:tcPr>
          <w:p w:rsidR="00564656" w:rsidRPr="000B7717" w:rsidRDefault="006A16EC" w:rsidP="00962018">
            <w:pPr>
              <w:pStyle w:val="NormalWeb"/>
              <w:spacing w:line="288" w:lineRule="atLeast"/>
            </w:pPr>
            <w:r w:rsidRPr="000B7717">
              <w:t>$</w:t>
            </w:r>
            <w:r w:rsidR="00962018">
              <w:t>5,760</w:t>
            </w:r>
          </w:p>
        </w:tc>
      </w:tr>
      <w:tr w:rsidR="00564656" w:rsidTr="000377B6">
        <w:tc>
          <w:tcPr>
            <w:tcW w:w="2430" w:type="dxa"/>
            <w:shd w:val="clear" w:color="auto" w:fill="auto"/>
          </w:tcPr>
          <w:p w:rsidR="00564656" w:rsidRDefault="00564656" w:rsidP="00932507">
            <w:pPr>
              <w:pStyle w:val="NormalWeb"/>
              <w:spacing w:line="288" w:lineRule="atLeast"/>
            </w:pPr>
            <w:r>
              <w:t>Total</w:t>
            </w:r>
            <w:r w:rsidR="004A60CA">
              <w:t xml:space="preserve"> </w:t>
            </w:r>
          </w:p>
        </w:tc>
        <w:tc>
          <w:tcPr>
            <w:tcW w:w="1260" w:type="dxa"/>
            <w:shd w:val="clear" w:color="auto" w:fill="auto"/>
          </w:tcPr>
          <w:p w:rsidR="00564656" w:rsidRDefault="006A16EC" w:rsidP="007A7148">
            <w:pPr>
              <w:pStyle w:val="NormalWeb"/>
              <w:spacing w:line="288" w:lineRule="atLeast"/>
            </w:pPr>
            <w:r>
              <w:t>128</w:t>
            </w:r>
          </w:p>
        </w:tc>
        <w:tc>
          <w:tcPr>
            <w:tcW w:w="1170" w:type="dxa"/>
            <w:shd w:val="clear" w:color="auto" w:fill="auto"/>
          </w:tcPr>
          <w:p w:rsidR="00564656" w:rsidRDefault="006A16EC" w:rsidP="007A7148">
            <w:pPr>
              <w:pStyle w:val="NormalWeb"/>
              <w:spacing w:line="288" w:lineRule="atLeast"/>
            </w:pPr>
            <w:r>
              <w:t>1.5 hours</w:t>
            </w:r>
          </w:p>
        </w:tc>
        <w:tc>
          <w:tcPr>
            <w:tcW w:w="1350" w:type="dxa"/>
            <w:shd w:val="clear" w:color="auto" w:fill="auto"/>
          </w:tcPr>
          <w:p w:rsidR="00564656" w:rsidRPr="000B7717" w:rsidRDefault="006A16EC" w:rsidP="00962018">
            <w:pPr>
              <w:pStyle w:val="NormalWeb"/>
              <w:spacing w:line="288" w:lineRule="atLeast"/>
            </w:pPr>
            <w:r w:rsidRPr="000B7717">
              <w:t>$</w:t>
            </w:r>
            <w:r w:rsidR="00962018">
              <w:t>3</w:t>
            </w:r>
            <w:r w:rsidR="000B7717" w:rsidRPr="000B7717">
              <w:t>0</w:t>
            </w:r>
          </w:p>
        </w:tc>
        <w:tc>
          <w:tcPr>
            <w:tcW w:w="1620" w:type="dxa"/>
            <w:shd w:val="clear" w:color="auto" w:fill="auto"/>
          </w:tcPr>
          <w:p w:rsidR="00564656" w:rsidRPr="000B7717" w:rsidRDefault="006A16EC" w:rsidP="00962018">
            <w:pPr>
              <w:pStyle w:val="NormalWeb"/>
              <w:spacing w:line="288" w:lineRule="atLeast"/>
            </w:pPr>
            <w:r w:rsidRPr="000B7717">
              <w:t>$</w:t>
            </w:r>
            <w:r w:rsidR="00962018">
              <w:t>45</w:t>
            </w:r>
          </w:p>
        </w:tc>
        <w:tc>
          <w:tcPr>
            <w:tcW w:w="2340" w:type="dxa"/>
            <w:shd w:val="clear" w:color="auto" w:fill="auto"/>
          </w:tcPr>
          <w:p w:rsidR="00564656" w:rsidRPr="000B7717" w:rsidRDefault="006A16EC" w:rsidP="00962018">
            <w:pPr>
              <w:pStyle w:val="NormalWeb"/>
              <w:spacing w:line="288" w:lineRule="atLeast"/>
            </w:pPr>
            <w:r w:rsidRPr="000B7717">
              <w:t>$</w:t>
            </w:r>
            <w:r w:rsidR="00962018">
              <w:t>5,760</w:t>
            </w:r>
          </w:p>
        </w:tc>
      </w:tr>
    </w:tbl>
    <w:p w:rsidR="00AD48B0" w:rsidRDefault="00AD48B0" w:rsidP="00AD48B0">
      <w:pPr>
        <w:pStyle w:val="NormalWeb"/>
        <w:spacing w:before="0" w:beforeAutospacing="0" w:after="0" w:afterAutospacing="0"/>
        <w:ind w:left="810" w:hanging="180"/>
      </w:pPr>
    </w:p>
    <w:p w:rsidR="00B00A5D" w:rsidRDefault="00B00A5D" w:rsidP="00AD48B0">
      <w:pPr>
        <w:pStyle w:val="NormalWeb"/>
        <w:spacing w:before="0" w:beforeAutospacing="0" w:after="0" w:afterAutospacing="0"/>
        <w:ind w:left="810" w:hanging="180"/>
      </w:pPr>
    </w:p>
    <w:p w:rsidR="0056420B" w:rsidRDefault="00B00A5D" w:rsidP="003A050E">
      <w:pPr>
        <w:pStyle w:val="NormalWeb"/>
        <w:spacing w:before="0" w:beforeAutospacing="0" w:after="0" w:afterAutospacing="0"/>
        <w:ind w:firstLine="630"/>
      </w:pPr>
      <w:r>
        <w:t xml:space="preserve">Hourly wages from </w:t>
      </w:r>
      <w:r w:rsidR="002356EF">
        <w:t>Dept.</w:t>
      </w:r>
      <w:r>
        <w:t xml:space="preserve"> of Labor (</w:t>
      </w:r>
      <w:r w:rsidR="003A050E" w:rsidRPr="00894EAA">
        <w:t>http://www.careeronestop.org/toolkit/wages/find-salary</w:t>
      </w:r>
      <w:r>
        <w:t>)</w:t>
      </w:r>
      <w:r w:rsidR="002419BE">
        <w:t xml:space="preserve"> as of June 2016</w:t>
      </w:r>
      <w:r w:rsidR="003A050E">
        <w:t xml:space="preserve"> for the careers field perspectives we are looking for with regard to this study are as follows: </w:t>
      </w:r>
      <w:r w:rsidR="00D93ACD">
        <w:t>Colle</w:t>
      </w:r>
      <w:r w:rsidR="00D93ACD" w:rsidRPr="00962018">
        <w:t>ge s</w:t>
      </w:r>
      <w:r w:rsidR="003A050E" w:rsidRPr="00962018">
        <w:t>tudent with a part-time job (</w:t>
      </w:r>
      <w:r w:rsidR="00D93ACD" w:rsidRPr="00962018">
        <w:t xml:space="preserve">likely above the </w:t>
      </w:r>
      <w:r w:rsidR="0009616B" w:rsidRPr="00962018">
        <w:t xml:space="preserve">federal </w:t>
      </w:r>
      <w:r w:rsidR="00B012EC" w:rsidRPr="00962018">
        <w:t>minimum wage</w:t>
      </w:r>
      <w:r w:rsidR="00D36475" w:rsidRPr="00962018">
        <w:t xml:space="preserve"> of</w:t>
      </w:r>
      <w:r w:rsidR="00B012EC" w:rsidRPr="00962018">
        <w:t xml:space="preserve"> $7.25</w:t>
      </w:r>
      <w:r w:rsidR="003A050E" w:rsidRPr="00962018">
        <w:t xml:space="preserve">); </w:t>
      </w:r>
      <w:r w:rsidR="00AD48B0" w:rsidRPr="00962018">
        <w:t>Civil Eng</w:t>
      </w:r>
      <w:r w:rsidR="00AD48B0">
        <w:t>ineer</w:t>
      </w:r>
      <w:r>
        <w:t xml:space="preserve">  (beginning/low $25.27, mid-level/median $39.45)</w:t>
      </w:r>
      <w:r w:rsidR="003A050E">
        <w:t xml:space="preserve">; </w:t>
      </w:r>
      <w:r w:rsidR="00AD48B0">
        <w:t>Electronics Engineer</w:t>
      </w:r>
      <w:r>
        <w:t xml:space="preserve"> (beginning/low $29.70, mid-level/median $46.05)</w:t>
      </w:r>
      <w:r w:rsidR="003A050E">
        <w:t xml:space="preserve">; </w:t>
      </w:r>
      <w:r w:rsidR="00AD48B0">
        <w:t xml:space="preserve">Contracting </w:t>
      </w:r>
      <w:r>
        <w:t>(</w:t>
      </w:r>
      <w:r w:rsidR="0056420B">
        <w:t xml:space="preserve">Managers, </w:t>
      </w:r>
      <w:r>
        <w:t>beginning/low $</w:t>
      </w:r>
      <w:r w:rsidR="0056420B">
        <w:t>25.96</w:t>
      </w:r>
      <w:r>
        <w:t>, mid-level/median $</w:t>
      </w:r>
      <w:r w:rsidR="0056420B">
        <w:t>50.51</w:t>
      </w:r>
      <w:r>
        <w:t>)</w:t>
      </w:r>
      <w:r w:rsidR="003A050E">
        <w:t xml:space="preserve">; </w:t>
      </w:r>
      <w:r w:rsidR="00AD48B0">
        <w:t xml:space="preserve">Information Technology Management </w:t>
      </w:r>
      <w:r>
        <w:t>(</w:t>
      </w:r>
      <w:r w:rsidR="0056420B">
        <w:t xml:space="preserve">Computer and Info Systems Managers, </w:t>
      </w:r>
      <w:r>
        <w:t>beginning/low $</w:t>
      </w:r>
      <w:r w:rsidR="0056420B">
        <w:t>37.73</w:t>
      </w:r>
      <w:r>
        <w:t>, mid-level/median $</w:t>
      </w:r>
      <w:r w:rsidR="0056420B">
        <w:t>61.37</w:t>
      </w:r>
      <w:r>
        <w:t>)</w:t>
      </w:r>
      <w:r w:rsidR="003A050E">
        <w:t>; Average of these (</w:t>
      </w:r>
      <w:r w:rsidR="0009616B">
        <w:t xml:space="preserve">Minimum wage: $7.25, </w:t>
      </w:r>
      <w:r w:rsidR="0056420B">
        <w:t>Beginning/low: $29.67, Mid-level/median: $49.35</w:t>
      </w:r>
      <w:r w:rsidR="003A050E">
        <w:t xml:space="preserve">) is </w:t>
      </w:r>
      <w:r w:rsidR="0009616B">
        <w:t xml:space="preserve">approximately </w:t>
      </w:r>
      <w:r w:rsidR="003A050E">
        <w:t>$</w:t>
      </w:r>
      <w:r w:rsidR="00962018">
        <w:t>3</w:t>
      </w:r>
      <w:r w:rsidR="003A050E">
        <w:t>0 per hour</w:t>
      </w:r>
      <w:r w:rsidR="000B7717">
        <w:t>.</w:t>
      </w:r>
    </w:p>
    <w:p w:rsidR="00236842" w:rsidRDefault="00236842" w:rsidP="003A050E">
      <w:pPr>
        <w:pStyle w:val="NormalWeb"/>
        <w:spacing w:before="0" w:beforeAutospacing="0" w:after="0" w:afterAutospacing="0"/>
        <w:ind w:firstLine="630"/>
      </w:pPr>
    </w:p>
    <w:p w:rsidR="00236842" w:rsidRDefault="00236842" w:rsidP="003A050E">
      <w:pPr>
        <w:pStyle w:val="NormalWeb"/>
        <w:spacing w:before="0" w:beforeAutospacing="0" w:after="0" w:afterAutospacing="0"/>
        <w:ind w:firstLine="630"/>
      </w:pPr>
    </w:p>
    <w:p w:rsidR="005E0A0F" w:rsidRDefault="005E0A0F" w:rsidP="005E0A0F">
      <w:pPr>
        <w:pStyle w:val="NormalWeb"/>
        <w:spacing w:line="288" w:lineRule="atLeast"/>
        <w:ind w:firstLine="900"/>
        <w:rPr>
          <w:u w:val="single"/>
        </w:rPr>
      </w:pPr>
      <w:bookmarkStart w:id="12" w:name="cp462"/>
      <w:bookmarkEnd w:id="11"/>
      <w:r>
        <w:t xml:space="preserve">13.  </w:t>
      </w:r>
      <w:r>
        <w:rPr>
          <w:u w:val="single"/>
        </w:rPr>
        <w:t>Respondent Costs Other Than Burden Hour Costs</w:t>
      </w:r>
    </w:p>
    <w:p w:rsidR="005B3598" w:rsidRPr="00E125D7" w:rsidRDefault="005B3598" w:rsidP="005E0A0F">
      <w:pPr>
        <w:pStyle w:val="NormalWeb"/>
        <w:spacing w:line="288" w:lineRule="atLeast"/>
        <w:ind w:firstLine="900"/>
      </w:pPr>
      <w:r w:rsidRPr="00E125D7">
        <w:t>There are no capital or start</w:t>
      </w:r>
      <w:r w:rsidR="00962018">
        <w:t>-</w:t>
      </w:r>
      <w:r w:rsidRPr="00E125D7">
        <w:t>up costs</w:t>
      </w:r>
      <w:r w:rsidR="00E125D7">
        <w:t xml:space="preserve"> to respondents</w:t>
      </w:r>
      <w:r w:rsidR="002356EF">
        <w:t xml:space="preserve">. </w:t>
      </w:r>
      <w:r w:rsidR="00E125D7">
        <w:t xml:space="preserve">There are no </w:t>
      </w:r>
      <w:r w:rsidRPr="00E125D7">
        <w:t>O&amp;M cost</w:t>
      </w:r>
      <w:r w:rsidR="00E125D7">
        <w:t>s to respondents</w:t>
      </w:r>
      <w:r w:rsidRPr="00E125D7">
        <w:t>.</w:t>
      </w:r>
    </w:p>
    <w:p w:rsidR="005E0A0F" w:rsidRDefault="005E0A0F" w:rsidP="005E0A0F">
      <w:pPr>
        <w:pStyle w:val="NormalWeb"/>
        <w:spacing w:line="288" w:lineRule="atLeast"/>
        <w:ind w:firstLine="900"/>
        <w:rPr>
          <w:u w:val="single"/>
        </w:rPr>
      </w:pPr>
      <w:bookmarkStart w:id="13" w:name="cp466"/>
      <w:bookmarkEnd w:id="12"/>
      <w:r>
        <w:t xml:space="preserve">14.  </w:t>
      </w:r>
      <w:r>
        <w:rPr>
          <w:u w:val="single"/>
        </w:rPr>
        <w:t>Cost to the Federal Government</w:t>
      </w:r>
    </w:p>
    <w:p w:rsidR="00523924" w:rsidRDefault="00845771" w:rsidP="00845771">
      <w:pPr>
        <w:pStyle w:val="PlainText"/>
        <w:rPr>
          <w:rFonts w:ascii="Times New Roman" w:hAnsi="Times New Roman"/>
          <w:sz w:val="24"/>
          <w:szCs w:val="24"/>
          <w:lang w:val="en-US"/>
        </w:rPr>
      </w:pPr>
      <w:r>
        <w:rPr>
          <w:rFonts w:ascii="Times New Roman" w:hAnsi="Times New Roman"/>
          <w:sz w:val="24"/>
          <w:szCs w:val="24"/>
        </w:rPr>
        <w:tab/>
      </w:r>
      <w:r w:rsidRPr="003D7010">
        <w:rPr>
          <w:rFonts w:ascii="Times New Roman" w:hAnsi="Times New Roman"/>
          <w:sz w:val="24"/>
          <w:szCs w:val="24"/>
        </w:rPr>
        <w:t>The DA Civilian Marketing study uses</w:t>
      </w:r>
      <w:r w:rsidRPr="003D7010">
        <w:rPr>
          <w:rFonts w:ascii="Times New Roman" w:hAnsi="Times New Roman"/>
          <w:sz w:val="24"/>
          <w:szCs w:val="24"/>
          <w:lang w:val="en-US"/>
        </w:rPr>
        <w:t xml:space="preserve"> </w:t>
      </w:r>
      <w:r w:rsidR="00065E7C">
        <w:rPr>
          <w:rFonts w:ascii="Times New Roman" w:hAnsi="Times New Roman"/>
          <w:sz w:val="24"/>
          <w:szCs w:val="24"/>
          <w:lang w:val="en-US"/>
        </w:rPr>
        <w:t>Rand, a</w:t>
      </w:r>
      <w:r w:rsidRPr="003D7010">
        <w:rPr>
          <w:rFonts w:ascii="Times New Roman" w:hAnsi="Times New Roman"/>
          <w:sz w:val="24"/>
          <w:szCs w:val="24"/>
        </w:rPr>
        <w:t xml:space="preserve"> Federally Funded Research and Development Center (FFRDC)</w:t>
      </w:r>
      <w:r w:rsidRPr="003D7010">
        <w:rPr>
          <w:rFonts w:ascii="Times New Roman" w:hAnsi="Times New Roman"/>
          <w:sz w:val="24"/>
          <w:szCs w:val="24"/>
          <w:lang w:val="en-US"/>
        </w:rPr>
        <w:t xml:space="preserve"> for studies and analysis to</w:t>
      </w:r>
      <w:r w:rsidRPr="003D7010">
        <w:rPr>
          <w:rFonts w:ascii="Times New Roman" w:hAnsi="Times New Roman"/>
          <w:sz w:val="24"/>
          <w:szCs w:val="24"/>
        </w:rPr>
        <w:t xml:space="preserve"> </w:t>
      </w:r>
      <w:r w:rsidRPr="003D7010">
        <w:rPr>
          <w:rFonts w:ascii="Times New Roman" w:hAnsi="Times New Roman"/>
          <w:sz w:val="24"/>
          <w:szCs w:val="24"/>
          <w:lang w:val="en-US"/>
        </w:rPr>
        <w:t>execute</w:t>
      </w:r>
      <w:r w:rsidRPr="003D7010">
        <w:rPr>
          <w:rFonts w:ascii="Times New Roman" w:hAnsi="Times New Roman"/>
          <w:sz w:val="24"/>
          <w:szCs w:val="24"/>
        </w:rPr>
        <w:t xml:space="preserve"> </w:t>
      </w:r>
      <w:r w:rsidRPr="003D7010">
        <w:rPr>
          <w:rFonts w:ascii="Times New Roman" w:hAnsi="Times New Roman"/>
          <w:sz w:val="24"/>
          <w:szCs w:val="24"/>
          <w:lang w:val="en-US"/>
        </w:rPr>
        <w:t xml:space="preserve">and </w:t>
      </w:r>
      <w:r w:rsidRPr="003D7010">
        <w:rPr>
          <w:rFonts w:ascii="Times New Roman" w:hAnsi="Times New Roman"/>
          <w:sz w:val="24"/>
          <w:szCs w:val="24"/>
        </w:rPr>
        <w:t>administer the project</w:t>
      </w:r>
      <w:r w:rsidR="00D412BB">
        <w:rPr>
          <w:rFonts w:ascii="Times New Roman" w:hAnsi="Times New Roman"/>
          <w:sz w:val="24"/>
          <w:szCs w:val="24"/>
          <w:lang w:val="en-US"/>
        </w:rPr>
        <w:t xml:space="preserve"> (</w:t>
      </w:r>
      <w:r w:rsidR="00D412BB" w:rsidRPr="00894EAA">
        <w:rPr>
          <w:rFonts w:ascii="Times New Roman" w:hAnsi="Times New Roman"/>
          <w:sz w:val="24"/>
          <w:szCs w:val="24"/>
          <w:lang w:val="en-US"/>
        </w:rPr>
        <w:t>https://dap.dau.mil/acquipedia/Pages/ArticleDetails.aspx?aid=5e3079b8-44f2-43df-a0e7-9f379e8c48ed</w:t>
      </w:r>
      <w:r w:rsidR="00D412BB">
        <w:rPr>
          <w:rFonts w:ascii="Times New Roman" w:hAnsi="Times New Roman"/>
          <w:sz w:val="24"/>
          <w:szCs w:val="24"/>
          <w:lang w:val="en-US"/>
        </w:rPr>
        <w:t>)</w:t>
      </w:r>
      <w:r w:rsidRPr="003D7010">
        <w:rPr>
          <w:rFonts w:ascii="Times New Roman" w:hAnsi="Times New Roman"/>
          <w:sz w:val="24"/>
          <w:szCs w:val="24"/>
        </w:rPr>
        <w:t xml:space="preserve">. The </w:t>
      </w:r>
      <w:r w:rsidRPr="003D7010">
        <w:rPr>
          <w:rFonts w:ascii="Times New Roman" w:hAnsi="Times New Roman"/>
          <w:sz w:val="24"/>
          <w:szCs w:val="24"/>
          <w:lang w:val="en-US"/>
        </w:rPr>
        <w:t>(</w:t>
      </w:r>
      <w:r w:rsidRPr="003D7010">
        <w:rPr>
          <w:rFonts w:ascii="Times New Roman" w:hAnsi="Times New Roman"/>
          <w:sz w:val="24"/>
          <w:szCs w:val="24"/>
        </w:rPr>
        <w:t>FFRDC</w:t>
      </w:r>
      <w:r w:rsidRPr="003D7010">
        <w:rPr>
          <w:rFonts w:ascii="Times New Roman" w:hAnsi="Times New Roman"/>
          <w:sz w:val="24"/>
          <w:szCs w:val="24"/>
          <w:lang w:val="en-US"/>
        </w:rPr>
        <w:t>)</w:t>
      </w:r>
      <w:r w:rsidRPr="003D7010">
        <w:rPr>
          <w:rFonts w:ascii="Times New Roman" w:hAnsi="Times New Roman"/>
          <w:sz w:val="24"/>
          <w:szCs w:val="24"/>
        </w:rPr>
        <w:t xml:space="preserve"> was contracted to develop</w:t>
      </w:r>
      <w:r w:rsidRPr="000C16D0">
        <w:rPr>
          <w:rFonts w:ascii="Times New Roman" w:hAnsi="Times New Roman"/>
          <w:sz w:val="24"/>
          <w:szCs w:val="24"/>
          <w:lang w:val="en-US"/>
        </w:rPr>
        <w:t xml:space="preserve"> </w:t>
      </w:r>
      <w:r w:rsidRPr="003D7010">
        <w:rPr>
          <w:rFonts w:ascii="Times New Roman" w:hAnsi="Times New Roman"/>
          <w:sz w:val="24"/>
          <w:szCs w:val="24"/>
          <w:lang w:val="en-US"/>
        </w:rPr>
        <w:t>the</w:t>
      </w:r>
      <w:r w:rsidRPr="003D7010">
        <w:rPr>
          <w:rFonts w:ascii="Times New Roman" w:hAnsi="Times New Roman"/>
          <w:sz w:val="24"/>
          <w:szCs w:val="24"/>
        </w:rPr>
        <w:t xml:space="preserve"> research p</w:t>
      </w:r>
      <w:r w:rsidRPr="003D7010">
        <w:rPr>
          <w:rFonts w:ascii="Times New Roman" w:hAnsi="Times New Roman"/>
          <w:sz w:val="24"/>
          <w:szCs w:val="24"/>
          <w:lang w:val="en-US"/>
        </w:rPr>
        <w:t>lan</w:t>
      </w:r>
      <w:r>
        <w:rPr>
          <w:rFonts w:ascii="Times New Roman" w:hAnsi="Times New Roman"/>
          <w:sz w:val="24"/>
          <w:szCs w:val="24"/>
          <w:lang w:val="en-US"/>
        </w:rPr>
        <w:t>, execute the work, and to manage</w:t>
      </w:r>
      <w:r w:rsidRPr="003D7010">
        <w:rPr>
          <w:rFonts w:ascii="Times New Roman" w:hAnsi="Times New Roman"/>
          <w:sz w:val="24"/>
          <w:szCs w:val="24"/>
        </w:rPr>
        <w:t xml:space="preserve"> </w:t>
      </w:r>
      <w:r>
        <w:rPr>
          <w:rFonts w:ascii="Times New Roman" w:hAnsi="Times New Roman"/>
          <w:sz w:val="24"/>
          <w:szCs w:val="24"/>
          <w:lang w:val="en-US"/>
        </w:rPr>
        <w:t xml:space="preserve">and integrate the results from the study’s components. </w:t>
      </w:r>
    </w:p>
    <w:p w:rsidR="00523924" w:rsidRDefault="00523924" w:rsidP="00845771">
      <w:pPr>
        <w:pStyle w:val="PlainText"/>
        <w:rPr>
          <w:rFonts w:ascii="Times New Roman" w:hAnsi="Times New Roman"/>
          <w:sz w:val="24"/>
          <w:szCs w:val="24"/>
          <w:lang w:val="en-US"/>
        </w:rPr>
      </w:pPr>
    </w:p>
    <w:p w:rsidR="00845771" w:rsidRDefault="004B43B6" w:rsidP="00176394">
      <w:pPr>
        <w:pStyle w:val="PlainText"/>
        <w:rPr>
          <w:rFonts w:ascii="Times New Roman" w:hAnsi="Times New Roman"/>
          <w:sz w:val="24"/>
          <w:szCs w:val="24"/>
          <w:lang w:val="en-US"/>
        </w:rPr>
      </w:pPr>
      <w:r>
        <w:rPr>
          <w:rFonts w:ascii="Times New Roman" w:hAnsi="Times New Roman"/>
          <w:sz w:val="24"/>
          <w:szCs w:val="24"/>
          <w:lang w:val="en-US"/>
        </w:rPr>
        <w:tab/>
      </w:r>
      <w:r w:rsidR="00523924">
        <w:rPr>
          <w:rFonts w:ascii="Times New Roman" w:hAnsi="Times New Roman"/>
          <w:sz w:val="24"/>
          <w:szCs w:val="24"/>
          <w:lang w:val="en-US"/>
        </w:rPr>
        <w:t xml:space="preserve">The </w:t>
      </w:r>
      <w:r w:rsidR="005C731C">
        <w:rPr>
          <w:rFonts w:ascii="Times New Roman" w:hAnsi="Times New Roman"/>
          <w:sz w:val="24"/>
          <w:szCs w:val="24"/>
          <w:lang w:val="en-US"/>
        </w:rPr>
        <w:t>information</w:t>
      </w:r>
      <w:r w:rsidR="00176394">
        <w:rPr>
          <w:rFonts w:ascii="Times New Roman" w:hAnsi="Times New Roman"/>
          <w:sz w:val="24"/>
          <w:szCs w:val="24"/>
          <w:lang w:val="en-US"/>
        </w:rPr>
        <w:t xml:space="preserve"> collection</w:t>
      </w:r>
      <w:r w:rsidR="00523924">
        <w:rPr>
          <w:rFonts w:ascii="Times New Roman" w:hAnsi="Times New Roman"/>
          <w:sz w:val="24"/>
          <w:szCs w:val="24"/>
          <w:lang w:val="en-US"/>
        </w:rPr>
        <w:t xml:space="preserve"> cost for Phase I (</w:t>
      </w:r>
      <w:r w:rsidR="00CD1193">
        <w:rPr>
          <w:rFonts w:ascii="Times New Roman" w:hAnsi="Times New Roman"/>
          <w:sz w:val="24"/>
          <w:szCs w:val="24"/>
          <w:lang w:val="en-US"/>
        </w:rPr>
        <w:t>focus group</w:t>
      </w:r>
      <w:r w:rsidR="00523924">
        <w:rPr>
          <w:rFonts w:ascii="Times New Roman" w:hAnsi="Times New Roman"/>
          <w:sz w:val="24"/>
          <w:szCs w:val="24"/>
          <w:lang w:val="en-US"/>
        </w:rPr>
        <w:t xml:space="preserve">s) </w:t>
      </w:r>
      <w:r w:rsidR="00523924" w:rsidRPr="00176394">
        <w:rPr>
          <w:rFonts w:ascii="Times New Roman" w:hAnsi="Times New Roman"/>
          <w:sz w:val="24"/>
          <w:szCs w:val="24"/>
          <w:lang w:val="en-US"/>
        </w:rPr>
        <w:t>is $</w:t>
      </w:r>
      <w:r w:rsidR="000939A1">
        <w:rPr>
          <w:rFonts w:ascii="Times New Roman" w:hAnsi="Times New Roman"/>
          <w:sz w:val="24"/>
          <w:szCs w:val="24"/>
          <w:lang w:val="en-US"/>
        </w:rPr>
        <w:t>79,520</w:t>
      </w:r>
      <w:r w:rsidR="00176394" w:rsidRPr="00176394">
        <w:rPr>
          <w:rFonts w:ascii="Times New Roman" w:hAnsi="Times New Roman"/>
          <w:sz w:val="24"/>
          <w:szCs w:val="24"/>
          <w:lang w:val="en-US"/>
        </w:rPr>
        <w:t>.</w:t>
      </w:r>
    </w:p>
    <w:p w:rsidR="003A050E" w:rsidRDefault="003A050E" w:rsidP="00176394">
      <w:pPr>
        <w:pStyle w:val="PlainText"/>
        <w:rPr>
          <w:rFonts w:ascii="Times New Roman" w:hAnsi="Times New Roman"/>
          <w:sz w:val="24"/>
          <w:szCs w:val="24"/>
          <w:lang w:val="en-US"/>
        </w:rPr>
      </w:pPr>
    </w:p>
    <w:tbl>
      <w:tblPr>
        <w:tblW w:w="0" w:type="auto"/>
        <w:tblInd w:w="3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tblGrid>
      <w:tr w:rsidR="00893B0B" w:rsidTr="00D412BB">
        <w:tc>
          <w:tcPr>
            <w:tcW w:w="2394" w:type="dxa"/>
            <w:shd w:val="clear" w:color="auto" w:fill="auto"/>
          </w:tcPr>
          <w:p w:rsidR="00893B0B" w:rsidRDefault="00893B0B" w:rsidP="00C80DBB">
            <w:pPr>
              <w:pStyle w:val="NormalWeb"/>
              <w:spacing w:line="288" w:lineRule="atLeast"/>
            </w:pPr>
          </w:p>
        </w:tc>
        <w:tc>
          <w:tcPr>
            <w:tcW w:w="2394" w:type="dxa"/>
            <w:shd w:val="clear" w:color="auto" w:fill="auto"/>
          </w:tcPr>
          <w:p w:rsidR="00893B0B" w:rsidRDefault="00893B0B" w:rsidP="00C80DBB">
            <w:pPr>
              <w:pStyle w:val="NormalWeb"/>
              <w:spacing w:line="288" w:lineRule="atLeast"/>
              <w:jc w:val="center"/>
            </w:pPr>
            <w:r>
              <w:t xml:space="preserve"> Marketing DA Civilian Focus Groups</w:t>
            </w:r>
          </w:p>
        </w:tc>
      </w:tr>
      <w:tr w:rsidR="00893B0B" w:rsidTr="00A64D35">
        <w:tc>
          <w:tcPr>
            <w:tcW w:w="2394" w:type="dxa"/>
            <w:shd w:val="clear" w:color="auto" w:fill="auto"/>
          </w:tcPr>
          <w:p w:rsidR="00893B0B" w:rsidRDefault="00893B0B" w:rsidP="00C80DBB">
            <w:pPr>
              <w:pStyle w:val="NormalWeb"/>
              <w:spacing w:line="288" w:lineRule="atLeast"/>
              <w:jc w:val="center"/>
            </w:pPr>
            <w:r>
              <w:t>Number of Responses</w:t>
            </w:r>
          </w:p>
        </w:tc>
        <w:tc>
          <w:tcPr>
            <w:tcW w:w="2394" w:type="dxa"/>
            <w:shd w:val="clear" w:color="auto" w:fill="auto"/>
          </w:tcPr>
          <w:p w:rsidR="00893B0B" w:rsidRDefault="00893B0B" w:rsidP="00C80DBB">
            <w:pPr>
              <w:pStyle w:val="NormalWeb"/>
              <w:spacing w:line="288" w:lineRule="atLeast"/>
            </w:pPr>
            <w:r>
              <w:t>128</w:t>
            </w:r>
          </w:p>
        </w:tc>
      </w:tr>
      <w:tr w:rsidR="00893B0B" w:rsidTr="00A64D35">
        <w:tc>
          <w:tcPr>
            <w:tcW w:w="2394" w:type="dxa"/>
            <w:shd w:val="clear" w:color="auto" w:fill="auto"/>
          </w:tcPr>
          <w:p w:rsidR="00893B0B" w:rsidRDefault="00893B0B" w:rsidP="00C80DBB">
            <w:pPr>
              <w:pStyle w:val="NormalWeb"/>
              <w:spacing w:line="288" w:lineRule="atLeast"/>
              <w:jc w:val="center"/>
            </w:pPr>
            <w:r>
              <w:t>Processing Time Per Response (in hours)</w:t>
            </w:r>
          </w:p>
        </w:tc>
        <w:tc>
          <w:tcPr>
            <w:tcW w:w="2394" w:type="dxa"/>
            <w:shd w:val="clear" w:color="auto" w:fill="auto"/>
          </w:tcPr>
          <w:p w:rsidR="00893B0B" w:rsidRDefault="00893B0B" w:rsidP="00C80DBB">
            <w:pPr>
              <w:pStyle w:val="NormalWeb"/>
              <w:spacing w:line="288" w:lineRule="atLeast"/>
            </w:pPr>
            <w:r>
              <w:t>.5</w:t>
            </w:r>
          </w:p>
        </w:tc>
      </w:tr>
      <w:tr w:rsidR="00893B0B" w:rsidTr="00A64D35">
        <w:tc>
          <w:tcPr>
            <w:tcW w:w="2394" w:type="dxa"/>
            <w:shd w:val="clear" w:color="auto" w:fill="auto"/>
          </w:tcPr>
          <w:p w:rsidR="00893B0B" w:rsidRDefault="00893B0B" w:rsidP="00C80DBB">
            <w:pPr>
              <w:pStyle w:val="NormalWeb"/>
              <w:spacing w:line="288" w:lineRule="atLeast"/>
              <w:jc w:val="center"/>
            </w:pPr>
            <w:r>
              <w:t>Hourly Wage of Worker(s) Processing Responses</w:t>
            </w:r>
          </w:p>
        </w:tc>
        <w:tc>
          <w:tcPr>
            <w:tcW w:w="2394" w:type="dxa"/>
            <w:shd w:val="clear" w:color="auto" w:fill="auto"/>
          </w:tcPr>
          <w:p w:rsidR="00893B0B" w:rsidRDefault="00893B0B" w:rsidP="00C80DBB">
            <w:pPr>
              <w:pStyle w:val="NormalWeb"/>
              <w:spacing w:line="288" w:lineRule="atLeast"/>
            </w:pPr>
            <w:r>
              <w:t>$130</w:t>
            </w:r>
          </w:p>
        </w:tc>
      </w:tr>
      <w:tr w:rsidR="00893B0B" w:rsidTr="00A64D35">
        <w:tc>
          <w:tcPr>
            <w:tcW w:w="2394" w:type="dxa"/>
            <w:shd w:val="clear" w:color="auto" w:fill="auto"/>
          </w:tcPr>
          <w:p w:rsidR="00893B0B" w:rsidRDefault="00893B0B" w:rsidP="00C80DBB">
            <w:pPr>
              <w:pStyle w:val="NormalWeb"/>
              <w:spacing w:line="288" w:lineRule="atLeast"/>
              <w:jc w:val="center"/>
            </w:pPr>
            <w:r>
              <w:t>Cost to Process Each Response (Processing Time Per Response multiplied by Hourly Wage of Worker(s) Processing Responses)</w:t>
            </w:r>
          </w:p>
        </w:tc>
        <w:tc>
          <w:tcPr>
            <w:tcW w:w="2394" w:type="dxa"/>
            <w:shd w:val="clear" w:color="auto" w:fill="auto"/>
          </w:tcPr>
          <w:p w:rsidR="00893B0B" w:rsidRDefault="00893B0B" w:rsidP="00C80DBB">
            <w:pPr>
              <w:pStyle w:val="NormalWeb"/>
              <w:spacing w:line="288" w:lineRule="atLeast"/>
            </w:pPr>
            <w:r>
              <w:t>$65</w:t>
            </w:r>
          </w:p>
        </w:tc>
      </w:tr>
      <w:tr w:rsidR="00893B0B" w:rsidTr="00A64D35">
        <w:tc>
          <w:tcPr>
            <w:tcW w:w="2394" w:type="dxa"/>
            <w:shd w:val="clear" w:color="auto" w:fill="auto"/>
          </w:tcPr>
          <w:p w:rsidR="00893B0B" w:rsidRDefault="00893B0B" w:rsidP="00C80DBB">
            <w:pPr>
              <w:pStyle w:val="NormalWeb"/>
              <w:spacing w:line="288" w:lineRule="atLeast"/>
              <w:jc w:val="center"/>
            </w:pPr>
            <w:r>
              <w:t>Total Cost to Process Responses (Cost to Process Each Response multiplied by Number of Responses</w:t>
            </w:r>
          </w:p>
        </w:tc>
        <w:tc>
          <w:tcPr>
            <w:tcW w:w="2394" w:type="dxa"/>
            <w:shd w:val="clear" w:color="auto" w:fill="auto"/>
          </w:tcPr>
          <w:p w:rsidR="00893B0B" w:rsidRDefault="00893B0B" w:rsidP="00C80DBB">
            <w:pPr>
              <w:pStyle w:val="NormalWeb"/>
              <w:spacing w:line="288" w:lineRule="atLeast"/>
            </w:pPr>
            <w:r>
              <w:t>$8,320</w:t>
            </w:r>
          </w:p>
        </w:tc>
      </w:tr>
    </w:tbl>
    <w:p w:rsidR="00236842" w:rsidRDefault="008867A8" w:rsidP="003A050E">
      <w:pPr>
        <w:pStyle w:val="NormalWeb"/>
        <w:spacing w:line="288" w:lineRule="atLeast"/>
      </w:pPr>
      <w:r>
        <w:tab/>
      </w:r>
      <w:r w:rsidR="00A557A3">
        <w:t>O&amp;M costs include</w:t>
      </w:r>
      <w:r w:rsidR="00C84D6C">
        <w:t xml:space="preserve"> a fixed set-up cost of $18,000 plus</w:t>
      </w:r>
      <w:r w:rsidR="00A557A3">
        <w:t xml:space="preserve"> focus group facility rental &amp; recruiting costs </w:t>
      </w:r>
      <w:r w:rsidR="00C84D6C">
        <w:t xml:space="preserve">of </w:t>
      </w:r>
      <w:r w:rsidR="00A557A3">
        <w:t>$</w:t>
      </w:r>
      <w:r w:rsidR="00C84D6C">
        <w:t xml:space="preserve">37,200 plus </w:t>
      </w:r>
      <w:r w:rsidR="00236842">
        <w:t xml:space="preserve">a </w:t>
      </w:r>
      <w:r w:rsidR="00C84D6C">
        <w:t>total incentive cost of up to $</w:t>
      </w:r>
      <w:r w:rsidR="000939A1">
        <w:t>16,000</w:t>
      </w:r>
      <w:r w:rsidR="00A557A3">
        <w:t>.</w:t>
      </w:r>
      <w:r>
        <w:t xml:space="preserve">  </w:t>
      </w:r>
      <w:r w:rsidR="00236842">
        <w:t xml:space="preserve">The incentive costs were calculate assuming that </w:t>
      </w:r>
      <w:r w:rsidR="00236842" w:rsidRPr="00236842">
        <w:t xml:space="preserve">10 people per group </w:t>
      </w:r>
      <w:r w:rsidR="00236842">
        <w:t xml:space="preserve">will need to be recruited </w:t>
      </w:r>
      <w:r w:rsidR="00236842" w:rsidRPr="00236842">
        <w:t xml:space="preserve">in order to seat 8 participants.  </w:t>
      </w:r>
      <w:r w:rsidR="00236842">
        <w:t>As described in Supporting Statement Part B, t</w:t>
      </w:r>
      <w:r w:rsidR="00236842" w:rsidRPr="00236842">
        <w:t xml:space="preserve">he recruiting of extra participants is necessary because it is typical for one or two focus group recruits to not show up for a focus group.  If </w:t>
      </w:r>
      <w:r w:rsidR="00236842">
        <w:t xml:space="preserve">all 10 </w:t>
      </w:r>
      <w:r w:rsidR="00236842" w:rsidRPr="00236842">
        <w:t>potential participants show up for a session</w:t>
      </w:r>
      <w:r w:rsidR="00236842">
        <w:t>,</w:t>
      </w:r>
      <w:r w:rsidR="00236842" w:rsidRPr="00236842">
        <w:t xml:space="preserve"> the extras will be randomly selected, thanked, compensated, and excused</w:t>
      </w:r>
      <w:r w:rsidR="00236842">
        <w:t xml:space="preserve">. </w:t>
      </w:r>
    </w:p>
    <w:p w:rsidR="00A557A3" w:rsidRDefault="008867A8" w:rsidP="00236842">
      <w:pPr>
        <w:pStyle w:val="NormalWeb"/>
        <w:spacing w:line="288" w:lineRule="atLeast"/>
        <w:ind w:firstLine="720"/>
      </w:pPr>
      <w:r>
        <w:t xml:space="preserve">The total for O&amp;M costs would be </w:t>
      </w:r>
      <w:r w:rsidRPr="00E05911">
        <w:t>$</w:t>
      </w:r>
      <w:r w:rsidR="000939A1">
        <w:t xml:space="preserve"> 71,200</w:t>
      </w:r>
      <w:r>
        <w:t>.</w:t>
      </w:r>
    </w:p>
    <w:p w:rsidR="008867A8" w:rsidRDefault="008867A8" w:rsidP="008867A8">
      <w:pPr>
        <w:pStyle w:val="NormalWeb"/>
        <w:spacing w:before="0" w:beforeAutospacing="0" w:after="0" w:afterAutospacing="0"/>
        <w:ind w:firstLine="720"/>
      </w:pPr>
      <w:r>
        <w:t xml:space="preserve">We estimate that </w:t>
      </w:r>
      <w:r w:rsidR="00CE0A07">
        <w:t xml:space="preserve">set-up costs will be $18,000, </w:t>
      </w:r>
      <w:r>
        <w:t>recruiting costs will be $</w:t>
      </w:r>
      <w:r w:rsidR="00CE0A07">
        <w:t>30</w:t>
      </w:r>
      <w:r>
        <w:t>,000 for each location and focus group facility cost</w:t>
      </w:r>
      <w:r w:rsidR="00CE0A07">
        <w:t xml:space="preserve"> will be</w:t>
      </w:r>
      <w:r>
        <w:t xml:space="preserve"> $</w:t>
      </w:r>
      <w:r w:rsidR="00CE0A07">
        <w:t>7</w:t>
      </w:r>
      <w:r>
        <w:t>,</w:t>
      </w:r>
      <w:r w:rsidR="00CE0A07">
        <w:t>2</w:t>
      </w:r>
      <w:r>
        <w:t xml:space="preserve">00. </w:t>
      </w:r>
    </w:p>
    <w:p w:rsidR="00CE0A07" w:rsidRDefault="00CE0A07" w:rsidP="008867A8">
      <w:pPr>
        <w:pStyle w:val="NormalWeb"/>
        <w:spacing w:before="0" w:beforeAutospacing="0" w:after="0" w:afterAutospacing="0"/>
        <w:ind w:firstLine="720"/>
      </w:pPr>
    </w:p>
    <w:p w:rsidR="008867A8" w:rsidRDefault="008867A8" w:rsidP="008867A8">
      <w:pPr>
        <w:pStyle w:val="NormalWeb"/>
        <w:spacing w:before="0" w:beforeAutospacing="0" w:after="0" w:afterAutospacing="0"/>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990"/>
        <w:gridCol w:w="990"/>
        <w:gridCol w:w="1260"/>
        <w:gridCol w:w="1170"/>
        <w:gridCol w:w="2700"/>
        <w:gridCol w:w="1188"/>
      </w:tblGrid>
      <w:tr w:rsidR="003A050E" w:rsidTr="00C80DBB">
        <w:tc>
          <w:tcPr>
            <w:tcW w:w="9576" w:type="dxa"/>
            <w:gridSpan w:val="7"/>
            <w:shd w:val="clear" w:color="auto" w:fill="auto"/>
          </w:tcPr>
          <w:p w:rsidR="003A050E" w:rsidRDefault="003A050E" w:rsidP="00C80DBB">
            <w:pPr>
              <w:pStyle w:val="NormalWeb"/>
              <w:spacing w:line="288" w:lineRule="atLeast"/>
              <w:jc w:val="center"/>
            </w:pPr>
            <w:r>
              <w:t>Operational and Maintenance Costs</w:t>
            </w:r>
          </w:p>
        </w:tc>
      </w:tr>
      <w:tr w:rsidR="003A050E" w:rsidTr="00065E7C">
        <w:tc>
          <w:tcPr>
            <w:tcW w:w="1278" w:type="dxa"/>
            <w:shd w:val="clear" w:color="auto" w:fill="auto"/>
          </w:tcPr>
          <w:p w:rsidR="003A050E" w:rsidRDefault="003A050E" w:rsidP="00C80DBB">
            <w:pPr>
              <w:pStyle w:val="NormalWeb"/>
              <w:spacing w:line="288" w:lineRule="atLeast"/>
              <w:jc w:val="center"/>
            </w:pPr>
            <w:r>
              <w:t>Equipment</w:t>
            </w:r>
          </w:p>
        </w:tc>
        <w:tc>
          <w:tcPr>
            <w:tcW w:w="990" w:type="dxa"/>
            <w:shd w:val="clear" w:color="auto" w:fill="auto"/>
          </w:tcPr>
          <w:p w:rsidR="003A050E" w:rsidRDefault="003A050E" w:rsidP="00C80DBB">
            <w:pPr>
              <w:pStyle w:val="NormalWeb"/>
              <w:spacing w:line="288" w:lineRule="atLeast"/>
              <w:jc w:val="center"/>
            </w:pPr>
            <w:r>
              <w:t>Printing</w:t>
            </w:r>
          </w:p>
        </w:tc>
        <w:tc>
          <w:tcPr>
            <w:tcW w:w="990" w:type="dxa"/>
            <w:shd w:val="clear" w:color="auto" w:fill="auto"/>
          </w:tcPr>
          <w:p w:rsidR="003A050E" w:rsidRDefault="003A050E" w:rsidP="00C80DBB">
            <w:pPr>
              <w:pStyle w:val="NormalWeb"/>
              <w:spacing w:line="288" w:lineRule="atLeast"/>
              <w:jc w:val="center"/>
            </w:pPr>
            <w:r>
              <w:t>Postage</w:t>
            </w:r>
          </w:p>
        </w:tc>
        <w:tc>
          <w:tcPr>
            <w:tcW w:w="1260" w:type="dxa"/>
            <w:shd w:val="clear" w:color="auto" w:fill="auto"/>
          </w:tcPr>
          <w:p w:rsidR="003A050E" w:rsidRDefault="003A050E" w:rsidP="00C80DBB">
            <w:pPr>
              <w:pStyle w:val="NormalWeb"/>
              <w:spacing w:line="288" w:lineRule="atLeast"/>
              <w:jc w:val="center"/>
            </w:pPr>
            <w:r>
              <w:t>Software Purchases</w:t>
            </w:r>
          </w:p>
        </w:tc>
        <w:tc>
          <w:tcPr>
            <w:tcW w:w="1170" w:type="dxa"/>
            <w:shd w:val="clear" w:color="auto" w:fill="auto"/>
          </w:tcPr>
          <w:p w:rsidR="003A050E" w:rsidRDefault="003A050E" w:rsidP="00C80DBB">
            <w:pPr>
              <w:pStyle w:val="NormalWeb"/>
              <w:spacing w:line="288" w:lineRule="atLeast"/>
              <w:jc w:val="center"/>
            </w:pPr>
            <w:r>
              <w:t>Licensing Costs</w:t>
            </w:r>
          </w:p>
        </w:tc>
        <w:tc>
          <w:tcPr>
            <w:tcW w:w="2700" w:type="dxa"/>
            <w:shd w:val="clear" w:color="auto" w:fill="auto"/>
          </w:tcPr>
          <w:p w:rsidR="003A050E" w:rsidRDefault="003A050E" w:rsidP="00C80DBB">
            <w:pPr>
              <w:pStyle w:val="NormalWeb"/>
              <w:spacing w:line="288" w:lineRule="atLeast"/>
              <w:jc w:val="center"/>
            </w:pPr>
            <w:r>
              <w:t>Other</w:t>
            </w:r>
            <w:r w:rsidR="00FA673E">
              <w:t xml:space="preserve"> – Focus Group Facility Rental</w:t>
            </w:r>
            <w:r w:rsidR="00065E7C">
              <w:t>, recruiting costs and incentives</w:t>
            </w:r>
          </w:p>
        </w:tc>
        <w:tc>
          <w:tcPr>
            <w:tcW w:w="1188" w:type="dxa"/>
            <w:shd w:val="clear" w:color="auto" w:fill="auto"/>
          </w:tcPr>
          <w:p w:rsidR="003A050E" w:rsidRDefault="003A050E" w:rsidP="00C80DBB">
            <w:pPr>
              <w:pStyle w:val="NormalWeb"/>
              <w:spacing w:line="288" w:lineRule="atLeast"/>
              <w:jc w:val="center"/>
            </w:pPr>
            <w:r>
              <w:t>Total</w:t>
            </w:r>
          </w:p>
        </w:tc>
      </w:tr>
      <w:tr w:rsidR="003A050E" w:rsidRPr="00E05911" w:rsidTr="00065E7C">
        <w:trPr>
          <w:trHeight w:val="674"/>
        </w:trPr>
        <w:tc>
          <w:tcPr>
            <w:tcW w:w="1278" w:type="dxa"/>
            <w:shd w:val="clear" w:color="auto" w:fill="auto"/>
          </w:tcPr>
          <w:p w:rsidR="003A050E" w:rsidRDefault="003A050E" w:rsidP="00C80DBB">
            <w:pPr>
              <w:pStyle w:val="NormalWeb"/>
              <w:spacing w:line="288" w:lineRule="atLeast"/>
            </w:pPr>
          </w:p>
        </w:tc>
        <w:tc>
          <w:tcPr>
            <w:tcW w:w="990" w:type="dxa"/>
            <w:shd w:val="clear" w:color="auto" w:fill="auto"/>
          </w:tcPr>
          <w:p w:rsidR="003A050E" w:rsidRDefault="003A050E" w:rsidP="00C80DBB">
            <w:pPr>
              <w:pStyle w:val="NormalWeb"/>
              <w:spacing w:line="288" w:lineRule="atLeast"/>
            </w:pPr>
          </w:p>
        </w:tc>
        <w:tc>
          <w:tcPr>
            <w:tcW w:w="990" w:type="dxa"/>
            <w:shd w:val="clear" w:color="auto" w:fill="auto"/>
          </w:tcPr>
          <w:p w:rsidR="003A050E" w:rsidRDefault="003A050E" w:rsidP="00C80DBB">
            <w:pPr>
              <w:pStyle w:val="NormalWeb"/>
              <w:spacing w:line="288" w:lineRule="atLeast"/>
            </w:pPr>
          </w:p>
        </w:tc>
        <w:tc>
          <w:tcPr>
            <w:tcW w:w="1260" w:type="dxa"/>
            <w:shd w:val="clear" w:color="auto" w:fill="auto"/>
          </w:tcPr>
          <w:p w:rsidR="003A050E" w:rsidRDefault="003A050E" w:rsidP="00C80DBB">
            <w:pPr>
              <w:pStyle w:val="NormalWeb"/>
              <w:spacing w:line="288" w:lineRule="atLeast"/>
            </w:pPr>
          </w:p>
        </w:tc>
        <w:tc>
          <w:tcPr>
            <w:tcW w:w="1170" w:type="dxa"/>
            <w:shd w:val="clear" w:color="auto" w:fill="auto"/>
          </w:tcPr>
          <w:p w:rsidR="003A050E" w:rsidRDefault="003A050E" w:rsidP="00C80DBB">
            <w:pPr>
              <w:pStyle w:val="NormalWeb"/>
              <w:spacing w:line="288" w:lineRule="atLeast"/>
            </w:pPr>
          </w:p>
        </w:tc>
        <w:tc>
          <w:tcPr>
            <w:tcW w:w="2700" w:type="dxa"/>
            <w:shd w:val="clear" w:color="auto" w:fill="auto"/>
          </w:tcPr>
          <w:p w:rsidR="003A050E" w:rsidRPr="00E05911" w:rsidRDefault="00FA673E" w:rsidP="000939A1">
            <w:pPr>
              <w:pStyle w:val="NormalWeb"/>
              <w:spacing w:line="288" w:lineRule="atLeast"/>
              <w:jc w:val="center"/>
            </w:pPr>
            <w:r w:rsidRPr="00E05911">
              <w:t>$</w:t>
            </w:r>
            <w:r w:rsidR="000939A1">
              <w:t>71,200</w:t>
            </w:r>
          </w:p>
        </w:tc>
        <w:tc>
          <w:tcPr>
            <w:tcW w:w="1188" w:type="dxa"/>
            <w:shd w:val="clear" w:color="auto" w:fill="auto"/>
          </w:tcPr>
          <w:p w:rsidR="003A050E" w:rsidRPr="00E05911" w:rsidRDefault="00FA673E" w:rsidP="000939A1">
            <w:pPr>
              <w:pStyle w:val="NormalWeb"/>
              <w:spacing w:line="288" w:lineRule="atLeast"/>
            </w:pPr>
            <w:r w:rsidRPr="00E05911">
              <w:t>$</w:t>
            </w:r>
            <w:r w:rsidR="000939A1">
              <w:t>71,200</w:t>
            </w:r>
          </w:p>
        </w:tc>
      </w:tr>
    </w:tbl>
    <w:p w:rsidR="003A050E" w:rsidRPr="00E05911" w:rsidRDefault="003A050E" w:rsidP="00176394">
      <w:pPr>
        <w:pStyle w:val="PlainText"/>
        <w:rPr>
          <w:rFonts w:ascii="Times New Roman" w:hAnsi="Times New Roman"/>
          <w:sz w:val="24"/>
          <w:szCs w:val="24"/>
          <w:lang w:val="en-US"/>
        </w:rPr>
      </w:pPr>
    </w:p>
    <w:p w:rsidR="00176394" w:rsidRPr="00E05911" w:rsidRDefault="00176394" w:rsidP="00176394">
      <w:pPr>
        <w:pStyle w:val="PlainText"/>
        <w:rPr>
          <w:rFonts w:ascii="Times New Roman" w:hAnsi="Times New Roman"/>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7543E" w:rsidRPr="00E05911" w:rsidTr="0007543E">
        <w:trPr>
          <w:jc w:val="center"/>
        </w:trPr>
        <w:tc>
          <w:tcPr>
            <w:tcW w:w="9576" w:type="dxa"/>
            <w:gridSpan w:val="3"/>
            <w:shd w:val="clear" w:color="auto" w:fill="auto"/>
          </w:tcPr>
          <w:p w:rsidR="00E74719" w:rsidRPr="00E05911" w:rsidRDefault="00E74719" w:rsidP="000F22FE">
            <w:pPr>
              <w:pStyle w:val="NormalWeb"/>
              <w:spacing w:line="288" w:lineRule="atLeast"/>
              <w:jc w:val="center"/>
            </w:pPr>
            <w:bookmarkStart w:id="14" w:name="cp467"/>
            <w:bookmarkEnd w:id="13"/>
            <w:r w:rsidRPr="00E05911">
              <w:t>Total Cost to the Federal Government</w:t>
            </w:r>
          </w:p>
        </w:tc>
      </w:tr>
      <w:tr w:rsidR="00176394" w:rsidRPr="00E05911" w:rsidTr="0007543E">
        <w:trPr>
          <w:jc w:val="center"/>
        </w:trPr>
        <w:tc>
          <w:tcPr>
            <w:tcW w:w="3192" w:type="dxa"/>
            <w:shd w:val="clear" w:color="auto" w:fill="auto"/>
          </w:tcPr>
          <w:p w:rsidR="00E74719" w:rsidRPr="00E05911" w:rsidRDefault="00E74719" w:rsidP="000F22FE">
            <w:pPr>
              <w:pStyle w:val="NormalWeb"/>
              <w:spacing w:line="288" w:lineRule="atLeast"/>
              <w:jc w:val="center"/>
            </w:pPr>
            <w:r w:rsidRPr="00E05911">
              <w:t xml:space="preserve">Operational and </w:t>
            </w:r>
            <w:r w:rsidR="00176394" w:rsidRPr="00E05911">
              <w:br/>
            </w:r>
            <w:r w:rsidRPr="00E05911">
              <w:t>Maintenance Costs</w:t>
            </w:r>
          </w:p>
        </w:tc>
        <w:tc>
          <w:tcPr>
            <w:tcW w:w="3192" w:type="dxa"/>
            <w:shd w:val="clear" w:color="auto" w:fill="auto"/>
          </w:tcPr>
          <w:p w:rsidR="00E74719" w:rsidRPr="00E05911" w:rsidRDefault="00E74719" w:rsidP="000F22FE">
            <w:pPr>
              <w:pStyle w:val="NormalWeb"/>
              <w:spacing w:line="288" w:lineRule="atLeast"/>
              <w:jc w:val="center"/>
            </w:pPr>
            <w:r w:rsidRPr="00E05911">
              <w:t>Labor Cost to the Federal Government</w:t>
            </w:r>
          </w:p>
        </w:tc>
        <w:tc>
          <w:tcPr>
            <w:tcW w:w="3192" w:type="dxa"/>
            <w:shd w:val="clear" w:color="auto" w:fill="auto"/>
            <w:vAlign w:val="bottom"/>
          </w:tcPr>
          <w:p w:rsidR="00E74719" w:rsidRPr="00E05911" w:rsidRDefault="00E74719" w:rsidP="00176394">
            <w:pPr>
              <w:pStyle w:val="NormalWeb"/>
              <w:spacing w:line="288" w:lineRule="atLeast"/>
              <w:jc w:val="center"/>
            </w:pPr>
            <w:r w:rsidRPr="00E05911">
              <w:t>Total Cost (O&amp;M Costs + Labor Cost)</w:t>
            </w:r>
          </w:p>
        </w:tc>
      </w:tr>
      <w:tr w:rsidR="00176394" w:rsidRPr="00176394" w:rsidTr="0007543E">
        <w:trPr>
          <w:jc w:val="center"/>
        </w:trPr>
        <w:tc>
          <w:tcPr>
            <w:tcW w:w="3192" w:type="dxa"/>
            <w:shd w:val="clear" w:color="auto" w:fill="auto"/>
            <w:vAlign w:val="center"/>
          </w:tcPr>
          <w:p w:rsidR="00E74719" w:rsidRPr="00E05911" w:rsidRDefault="00176394" w:rsidP="000939A1">
            <w:pPr>
              <w:pStyle w:val="NormalWeb"/>
              <w:spacing w:line="288" w:lineRule="atLeast"/>
              <w:jc w:val="center"/>
            </w:pPr>
            <w:r w:rsidRPr="00E05911">
              <w:t>$</w:t>
            </w:r>
            <w:r w:rsidR="000939A1">
              <w:t>71,200</w:t>
            </w:r>
          </w:p>
        </w:tc>
        <w:tc>
          <w:tcPr>
            <w:tcW w:w="3192" w:type="dxa"/>
            <w:shd w:val="clear" w:color="auto" w:fill="auto"/>
            <w:vAlign w:val="center"/>
          </w:tcPr>
          <w:p w:rsidR="00E74719" w:rsidRPr="00E05911" w:rsidRDefault="00176394" w:rsidP="00176394">
            <w:pPr>
              <w:pStyle w:val="NormalWeb"/>
              <w:spacing w:line="288" w:lineRule="atLeast"/>
              <w:jc w:val="center"/>
            </w:pPr>
            <w:r w:rsidRPr="00E05911">
              <w:t>$8,320</w:t>
            </w:r>
          </w:p>
        </w:tc>
        <w:tc>
          <w:tcPr>
            <w:tcW w:w="3192" w:type="dxa"/>
            <w:shd w:val="clear" w:color="auto" w:fill="auto"/>
            <w:vAlign w:val="center"/>
          </w:tcPr>
          <w:p w:rsidR="00E74719" w:rsidRPr="00176394" w:rsidRDefault="00176394" w:rsidP="000939A1">
            <w:pPr>
              <w:pStyle w:val="NormalWeb"/>
              <w:spacing w:line="288" w:lineRule="atLeast"/>
              <w:jc w:val="center"/>
            </w:pPr>
            <w:r w:rsidRPr="00E05911">
              <w:t>$</w:t>
            </w:r>
            <w:r w:rsidR="000939A1">
              <w:t>79,520</w:t>
            </w:r>
          </w:p>
        </w:tc>
      </w:tr>
    </w:tbl>
    <w:p w:rsidR="00845771" w:rsidRDefault="005E0A0F" w:rsidP="005E0A0F">
      <w:pPr>
        <w:pStyle w:val="NormalWeb"/>
        <w:spacing w:line="288" w:lineRule="atLeast"/>
        <w:ind w:firstLine="900"/>
        <w:rPr>
          <w:u w:val="single"/>
        </w:rPr>
      </w:pPr>
      <w:bookmarkStart w:id="15" w:name="cp468"/>
      <w:bookmarkEnd w:id="14"/>
      <w:r>
        <w:t xml:space="preserve">15.  </w:t>
      </w:r>
      <w:r>
        <w:rPr>
          <w:u w:val="single"/>
        </w:rPr>
        <w:t>Reasons for Change in Burden</w:t>
      </w:r>
    </w:p>
    <w:p w:rsidR="004B43B6" w:rsidRDefault="0070060D" w:rsidP="004B43B6">
      <w:pPr>
        <w:pStyle w:val="NormalWeb"/>
        <w:spacing w:line="288" w:lineRule="atLeast"/>
        <w:ind w:firstLine="720"/>
      </w:pPr>
      <w:r>
        <w:t xml:space="preserve">This </w:t>
      </w:r>
      <w:r w:rsidR="002419BE">
        <w:t xml:space="preserve">is a </w:t>
      </w:r>
      <w:r>
        <w:t>new information collection</w:t>
      </w:r>
      <w:r w:rsidR="00AA18D9">
        <w:t xml:space="preserve"> with a new associated burden. </w:t>
      </w:r>
      <w:bookmarkEnd w:id="15"/>
    </w:p>
    <w:p w:rsidR="005E0A0F" w:rsidRDefault="005E0A0F" w:rsidP="005E0A0F">
      <w:pPr>
        <w:pStyle w:val="NormalWeb"/>
        <w:spacing w:line="288" w:lineRule="atLeast"/>
        <w:ind w:firstLine="900"/>
        <w:rPr>
          <w:u w:val="single"/>
        </w:rPr>
      </w:pPr>
      <w:r>
        <w:t xml:space="preserve">16.  </w:t>
      </w:r>
      <w:r>
        <w:rPr>
          <w:u w:val="single"/>
        </w:rPr>
        <w:t>Publication of Results</w:t>
      </w:r>
    </w:p>
    <w:p w:rsidR="00845771" w:rsidRDefault="00845771" w:rsidP="00845771">
      <w:pPr>
        <w:pStyle w:val="NormalWeb"/>
        <w:spacing w:before="0" w:beforeAutospacing="0" w:after="0" w:afterAutospacing="0"/>
      </w:pPr>
      <w:r>
        <w:tab/>
      </w:r>
      <w:r w:rsidR="0070060D">
        <w:t>The results of the coll</w:t>
      </w:r>
      <w:r w:rsidR="004240EA">
        <w:t>ection of this information will</w:t>
      </w:r>
      <w:r w:rsidR="0070060D">
        <w:t xml:space="preserve"> be published</w:t>
      </w:r>
      <w:r w:rsidR="004240EA">
        <w:t xml:space="preserve"> in the form of a report of focus group discussions that will be kept internal to the Army</w:t>
      </w:r>
      <w:r w:rsidR="0070060D">
        <w:t>.</w:t>
      </w:r>
      <w:r w:rsidR="004240EA">
        <w:t xml:space="preserve">  This will not be published externally.</w:t>
      </w:r>
      <w:r>
        <w:t xml:space="preserve"> </w:t>
      </w:r>
    </w:p>
    <w:p w:rsidR="005E0A0F" w:rsidRDefault="005E0A0F" w:rsidP="005E0A0F">
      <w:pPr>
        <w:pStyle w:val="NormalWeb"/>
        <w:spacing w:line="288" w:lineRule="atLeast"/>
        <w:ind w:firstLine="900"/>
        <w:rPr>
          <w:u w:val="single"/>
        </w:rPr>
      </w:pPr>
      <w:bookmarkStart w:id="16" w:name="cp471"/>
      <w:r>
        <w:t xml:space="preserve">17.  </w:t>
      </w:r>
      <w:r>
        <w:rPr>
          <w:u w:val="single"/>
        </w:rPr>
        <w:t>Non-Display of OMB Expiration Date</w:t>
      </w:r>
    </w:p>
    <w:p w:rsidR="006B68CF" w:rsidRDefault="006B68CF" w:rsidP="006B68CF">
      <w:pPr>
        <w:pStyle w:val="NormalWeb"/>
        <w:spacing w:before="0" w:beforeAutospacing="0" w:after="0" w:afterAutospacing="0"/>
      </w:pPr>
      <w:r>
        <w:tab/>
      </w:r>
      <w:r w:rsidR="004B43B6">
        <w:t>The Army is n</w:t>
      </w:r>
      <w:r w:rsidRPr="00C564CF">
        <w:t xml:space="preserve">ot seeking </w:t>
      </w:r>
      <w:r w:rsidR="0070060D">
        <w:t>exemption</w:t>
      </w:r>
      <w:r w:rsidR="0052160D">
        <w:t xml:space="preserve"> from display of the OMB expiration date.</w:t>
      </w:r>
      <w:r w:rsidR="0070060D">
        <w:t xml:space="preserve"> </w:t>
      </w:r>
    </w:p>
    <w:p w:rsidR="00743072" w:rsidRDefault="005E0A0F" w:rsidP="00743072">
      <w:pPr>
        <w:pStyle w:val="NormalWeb"/>
        <w:spacing w:line="288" w:lineRule="atLeast"/>
        <w:ind w:firstLine="900"/>
        <w:rPr>
          <w:u w:val="single"/>
        </w:rPr>
      </w:pPr>
      <w:bookmarkStart w:id="17" w:name="cp473"/>
      <w:bookmarkEnd w:id="16"/>
      <w:r>
        <w:t xml:space="preserve">18.  </w:t>
      </w:r>
      <w:r>
        <w:rPr>
          <w:u w:val="single"/>
        </w:rPr>
        <w:t>Exceptions to "Certification for Paperwork Reduction Submissions"</w:t>
      </w:r>
    </w:p>
    <w:p w:rsidR="00405C7B" w:rsidRDefault="006B68CF" w:rsidP="00962018">
      <w:pPr>
        <w:pStyle w:val="NormalWeb"/>
        <w:spacing w:before="0" w:beforeAutospacing="0" w:after="0" w:afterAutospacing="0"/>
      </w:pPr>
      <w:r>
        <w:tab/>
      </w:r>
      <w:r w:rsidRPr="00C564CF">
        <w:t>The</w:t>
      </w:r>
      <w:r w:rsidR="004B43B6">
        <w:t xml:space="preserve"> Army is not asking for </w:t>
      </w:r>
      <w:r w:rsidRPr="00C564CF">
        <w:t>exceptions to the Paperwork Reduction Act Submission.</w:t>
      </w:r>
      <w:bookmarkEnd w:id="17"/>
    </w:p>
    <w:sectPr w:rsidR="00405C7B" w:rsidSect="00F1447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534" w:rsidRDefault="00370534" w:rsidP="00D74D55">
      <w:r>
        <w:separator/>
      </w:r>
    </w:p>
  </w:endnote>
  <w:endnote w:type="continuationSeparator" w:id="0">
    <w:p w:rsidR="00370534" w:rsidRDefault="00370534"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55" w:rsidRDefault="00D74D55">
    <w:pPr>
      <w:pStyle w:val="Footer"/>
      <w:jc w:val="center"/>
    </w:pPr>
    <w:r>
      <w:fldChar w:fldCharType="begin"/>
    </w:r>
    <w:r>
      <w:instrText xml:space="preserve"> PAGE   \* MERGEFORMAT </w:instrText>
    </w:r>
    <w:r>
      <w:fldChar w:fldCharType="separate"/>
    </w:r>
    <w:r w:rsidR="001A47F3">
      <w:rPr>
        <w:noProof/>
      </w:rPr>
      <w:t>1</w:t>
    </w:r>
    <w:r>
      <w:fldChar w:fldCharType="end"/>
    </w:r>
  </w:p>
  <w:p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534" w:rsidRDefault="00370534" w:rsidP="00D74D55">
      <w:r>
        <w:separator/>
      </w:r>
    </w:p>
  </w:footnote>
  <w:footnote w:type="continuationSeparator" w:id="0">
    <w:p w:rsidR="00370534" w:rsidRDefault="00370534"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15E"/>
    <w:multiLevelType w:val="hybridMultilevel"/>
    <w:tmpl w:val="22708DB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4AE23FB"/>
    <w:multiLevelType w:val="hybridMultilevel"/>
    <w:tmpl w:val="3712FB2A"/>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4D16D3A"/>
    <w:multiLevelType w:val="hybridMultilevel"/>
    <w:tmpl w:val="4DF2B0AC"/>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B7070A2"/>
    <w:multiLevelType w:val="hybridMultilevel"/>
    <w:tmpl w:val="A732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nsid w:val="10147870"/>
    <w:multiLevelType w:val="hybridMultilevel"/>
    <w:tmpl w:val="860E617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127A1155"/>
    <w:multiLevelType w:val="hybridMultilevel"/>
    <w:tmpl w:val="BFEC54B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13A4349A"/>
    <w:multiLevelType w:val="hybridMultilevel"/>
    <w:tmpl w:val="613CD97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13D21176"/>
    <w:multiLevelType w:val="hybridMultilevel"/>
    <w:tmpl w:val="0D361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666047"/>
    <w:multiLevelType w:val="hybridMultilevel"/>
    <w:tmpl w:val="8212628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1D7D75E6"/>
    <w:multiLevelType w:val="hybridMultilevel"/>
    <w:tmpl w:val="9AD6AE6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1DF444A4"/>
    <w:multiLevelType w:val="hybridMultilevel"/>
    <w:tmpl w:val="F9B2B36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266518FF"/>
    <w:multiLevelType w:val="hybridMultilevel"/>
    <w:tmpl w:val="4514A1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2B6D29EE"/>
    <w:multiLevelType w:val="hybridMultilevel"/>
    <w:tmpl w:val="9F06284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4">
    <w:nsid w:val="2E8A190B"/>
    <w:multiLevelType w:val="hybridMultilevel"/>
    <w:tmpl w:val="7EF297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586D5C"/>
    <w:multiLevelType w:val="hybridMultilevel"/>
    <w:tmpl w:val="62C80F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3467061A"/>
    <w:multiLevelType w:val="hybridMultilevel"/>
    <w:tmpl w:val="8098B05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35814927"/>
    <w:multiLevelType w:val="hybridMultilevel"/>
    <w:tmpl w:val="47DC1852"/>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38D631EF"/>
    <w:multiLevelType w:val="hybridMultilevel"/>
    <w:tmpl w:val="D7AC88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3C7E686D"/>
    <w:multiLevelType w:val="hybridMultilevel"/>
    <w:tmpl w:val="E4A42AE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3CF37FF2"/>
    <w:multiLevelType w:val="hybridMultilevel"/>
    <w:tmpl w:val="53A8E86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3F671697"/>
    <w:multiLevelType w:val="hybridMultilevel"/>
    <w:tmpl w:val="A5B20DC0"/>
    <w:lvl w:ilvl="0" w:tplc="06121AA8">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3F7A691D"/>
    <w:multiLevelType w:val="hybridMultilevel"/>
    <w:tmpl w:val="DEC82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C10644"/>
    <w:multiLevelType w:val="hybridMultilevel"/>
    <w:tmpl w:val="F75414E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405532FB"/>
    <w:multiLevelType w:val="hybridMultilevel"/>
    <w:tmpl w:val="F5AEA47E"/>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40F956A0"/>
    <w:multiLevelType w:val="hybridMultilevel"/>
    <w:tmpl w:val="0AAA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7612DB"/>
    <w:multiLevelType w:val="hybridMultilevel"/>
    <w:tmpl w:val="40D6BF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8">
    <w:nsid w:val="4FE954FA"/>
    <w:multiLevelType w:val="hybridMultilevel"/>
    <w:tmpl w:val="7B70F9A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nsid w:val="5A1526CA"/>
    <w:multiLevelType w:val="hybridMultilevel"/>
    <w:tmpl w:val="63E2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66503B"/>
    <w:multiLevelType w:val="hybridMultilevel"/>
    <w:tmpl w:val="505664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5EFA77E1"/>
    <w:multiLevelType w:val="hybridMultilevel"/>
    <w:tmpl w:val="BFBE8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8C3394"/>
    <w:multiLevelType w:val="hybridMultilevel"/>
    <w:tmpl w:val="DFCC1A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nsid w:val="6B061B08"/>
    <w:multiLevelType w:val="hybridMultilevel"/>
    <w:tmpl w:val="95741A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nsid w:val="6B5D188F"/>
    <w:multiLevelType w:val="hybridMultilevel"/>
    <w:tmpl w:val="949C8FB0"/>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nsid w:val="740707EB"/>
    <w:multiLevelType w:val="hybridMultilevel"/>
    <w:tmpl w:val="DE7CD23E"/>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nsid w:val="788E2564"/>
    <w:multiLevelType w:val="hybridMultilevel"/>
    <w:tmpl w:val="412A6B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nsid w:val="79993570"/>
    <w:multiLevelType w:val="hybridMultilevel"/>
    <w:tmpl w:val="69D68E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0">
    <w:nsid w:val="7A55580A"/>
    <w:multiLevelType w:val="hybridMultilevel"/>
    <w:tmpl w:val="9C1E9DD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1">
    <w:nsid w:val="7C701F29"/>
    <w:multiLevelType w:val="hybridMultilevel"/>
    <w:tmpl w:val="59FA1FB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2">
    <w:nsid w:val="7F1A68B5"/>
    <w:multiLevelType w:val="hybridMultilevel"/>
    <w:tmpl w:val="5BDA45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2"/>
  </w:num>
  <w:num w:numId="2">
    <w:abstractNumId w:val="32"/>
  </w:num>
  <w:num w:numId="3">
    <w:abstractNumId w:val="20"/>
  </w:num>
  <w:num w:numId="4">
    <w:abstractNumId w:val="16"/>
  </w:num>
  <w:num w:numId="5">
    <w:abstractNumId w:val="27"/>
  </w:num>
  <w:num w:numId="6">
    <w:abstractNumId w:val="35"/>
  </w:num>
  <w:num w:numId="7">
    <w:abstractNumId w:val="34"/>
  </w:num>
  <w:num w:numId="8">
    <w:abstractNumId w:val="11"/>
  </w:num>
  <w:num w:numId="9">
    <w:abstractNumId w:val="38"/>
  </w:num>
  <w:num w:numId="10">
    <w:abstractNumId w:val="4"/>
  </w:num>
  <w:num w:numId="11">
    <w:abstractNumId w:val="6"/>
  </w:num>
  <w:num w:numId="12">
    <w:abstractNumId w:val="29"/>
  </w:num>
  <w:num w:numId="13">
    <w:abstractNumId w:val="25"/>
  </w:num>
  <w:num w:numId="14">
    <w:abstractNumId w:val="37"/>
  </w:num>
  <w:num w:numId="15">
    <w:abstractNumId w:val="41"/>
  </w:num>
  <w:num w:numId="16">
    <w:abstractNumId w:val="28"/>
  </w:num>
  <w:num w:numId="17">
    <w:abstractNumId w:val="18"/>
  </w:num>
  <w:num w:numId="18">
    <w:abstractNumId w:val="5"/>
  </w:num>
  <w:num w:numId="19">
    <w:abstractNumId w:val="9"/>
  </w:num>
  <w:num w:numId="20">
    <w:abstractNumId w:val="1"/>
  </w:num>
  <w:num w:numId="21">
    <w:abstractNumId w:val="7"/>
  </w:num>
  <w:num w:numId="22">
    <w:abstractNumId w:val="0"/>
  </w:num>
  <w:num w:numId="23">
    <w:abstractNumId w:val="36"/>
  </w:num>
  <w:num w:numId="24">
    <w:abstractNumId w:val="19"/>
  </w:num>
  <w:num w:numId="25">
    <w:abstractNumId w:val="42"/>
  </w:num>
  <w:num w:numId="26">
    <w:abstractNumId w:val="24"/>
  </w:num>
  <w:num w:numId="27">
    <w:abstractNumId w:val="10"/>
  </w:num>
  <w:num w:numId="28">
    <w:abstractNumId w:val="2"/>
  </w:num>
  <w:num w:numId="29">
    <w:abstractNumId w:val="39"/>
  </w:num>
  <w:num w:numId="30">
    <w:abstractNumId w:val="33"/>
  </w:num>
  <w:num w:numId="31">
    <w:abstractNumId w:val="17"/>
  </w:num>
  <w:num w:numId="32">
    <w:abstractNumId w:val="15"/>
  </w:num>
  <w:num w:numId="33">
    <w:abstractNumId w:val="40"/>
  </w:num>
  <w:num w:numId="34">
    <w:abstractNumId w:val="21"/>
  </w:num>
  <w:num w:numId="35">
    <w:abstractNumId w:val="22"/>
  </w:num>
  <w:num w:numId="36">
    <w:abstractNumId w:val="31"/>
  </w:num>
  <w:num w:numId="37">
    <w:abstractNumId w:val="14"/>
  </w:num>
  <w:num w:numId="38">
    <w:abstractNumId w:val="13"/>
  </w:num>
  <w:num w:numId="39">
    <w:abstractNumId w:val="8"/>
  </w:num>
  <w:num w:numId="40">
    <w:abstractNumId w:val="30"/>
  </w:num>
  <w:num w:numId="41">
    <w:abstractNumId w:val="3"/>
  </w:num>
  <w:num w:numId="42">
    <w:abstractNumId w:val="26"/>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NjUyMLU0NTQwNzdT0lEKTi0uzszPAykwqgUAAdMvCSwAAAA="/>
  </w:docVars>
  <w:rsids>
    <w:rsidRoot w:val="005E0A0F"/>
    <w:rsid w:val="000005A7"/>
    <w:rsid w:val="00005740"/>
    <w:rsid w:val="0001036E"/>
    <w:rsid w:val="0001307E"/>
    <w:rsid w:val="000237AF"/>
    <w:rsid w:val="0003366D"/>
    <w:rsid w:val="00033DE8"/>
    <w:rsid w:val="000349E0"/>
    <w:rsid w:val="00036CE9"/>
    <w:rsid w:val="000377B6"/>
    <w:rsid w:val="00046397"/>
    <w:rsid w:val="0005327B"/>
    <w:rsid w:val="00065E7C"/>
    <w:rsid w:val="00071BD2"/>
    <w:rsid w:val="0007543E"/>
    <w:rsid w:val="000865C5"/>
    <w:rsid w:val="00091072"/>
    <w:rsid w:val="0009195B"/>
    <w:rsid w:val="00092F82"/>
    <w:rsid w:val="000939A1"/>
    <w:rsid w:val="0009616B"/>
    <w:rsid w:val="000A2106"/>
    <w:rsid w:val="000A21B6"/>
    <w:rsid w:val="000A2459"/>
    <w:rsid w:val="000A6487"/>
    <w:rsid w:val="000B3667"/>
    <w:rsid w:val="000B7717"/>
    <w:rsid w:val="000B7904"/>
    <w:rsid w:val="000D171E"/>
    <w:rsid w:val="000D4FFA"/>
    <w:rsid w:val="000D7D41"/>
    <w:rsid w:val="000E0280"/>
    <w:rsid w:val="000E7303"/>
    <w:rsid w:val="000E7A5B"/>
    <w:rsid w:val="000F22FE"/>
    <w:rsid w:val="00101631"/>
    <w:rsid w:val="00105786"/>
    <w:rsid w:val="001101CD"/>
    <w:rsid w:val="0013433A"/>
    <w:rsid w:val="00135C0E"/>
    <w:rsid w:val="00135FE8"/>
    <w:rsid w:val="00143A69"/>
    <w:rsid w:val="001450CD"/>
    <w:rsid w:val="001455DF"/>
    <w:rsid w:val="00152AEA"/>
    <w:rsid w:val="001650D5"/>
    <w:rsid w:val="0017565F"/>
    <w:rsid w:val="00176394"/>
    <w:rsid w:val="00176CEA"/>
    <w:rsid w:val="00177136"/>
    <w:rsid w:val="00183238"/>
    <w:rsid w:val="00186534"/>
    <w:rsid w:val="00187EAD"/>
    <w:rsid w:val="0019017B"/>
    <w:rsid w:val="001969AF"/>
    <w:rsid w:val="001A236B"/>
    <w:rsid w:val="001A47F3"/>
    <w:rsid w:val="001B187E"/>
    <w:rsid w:val="001B3700"/>
    <w:rsid w:val="001B43CD"/>
    <w:rsid w:val="001B6B4D"/>
    <w:rsid w:val="001C76D3"/>
    <w:rsid w:val="001D3B14"/>
    <w:rsid w:val="001F0241"/>
    <w:rsid w:val="002356EF"/>
    <w:rsid w:val="00235E69"/>
    <w:rsid w:val="00236842"/>
    <w:rsid w:val="002419BE"/>
    <w:rsid w:val="00247716"/>
    <w:rsid w:val="00250188"/>
    <w:rsid w:val="00252103"/>
    <w:rsid w:val="002540BA"/>
    <w:rsid w:val="00254E8F"/>
    <w:rsid w:val="002618C3"/>
    <w:rsid w:val="00266974"/>
    <w:rsid w:val="00272C4B"/>
    <w:rsid w:val="00276B2D"/>
    <w:rsid w:val="00283B8F"/>
    <w:rsid w:val="0029411B"/>
    <w:rsid w:val="00294FE9"/>
    <w:rsid w:val="002B5CE0"/>
    <w:rsid w:val="002C43DB"/>
    <w:rsid w:val="002D2D94"/>
    <w:rsid w:val="002E3A1E"/>
    <w:rsid w:val="0030008B"/>
    <w:rsid w:val="0030032A"/>
    <w:rsid w:val="00302D4D"/>
    <w:rsid w:val="0030448B"/>
    <w:rsid w:val="003209F1"/>
    <w:rsid w:val="0032295F"/>
    <w:rsid w:val="0032610F"/>
    <w:rsid w:val="003276AB"/>
    <w:rsid w:val="00332B57"/>
    <w:rsid w:val="0034388B"/>
    <w:rsid w:val="00353591"/>
    <w:rsid w:val="003566EF"/>
    <w:rsid w:val="00357252"/>
    <w:rsid w:val="003652DE"/>
    <w:rsid w:val="00370534"/>
    <w:rsid w:val="003744FE"/>
    <w:rsid w:val="00395BC3"/>
    <w:rsid w:val="003A050E"/>
    <w:rsid w:val="003A543A"/>
    <w:rsid w:val="003B0417"/>
    <w:rsid w:val="003B2EFB"/>
    <w:rsid w:val="003B489C"/>
    <w:rsid w:val="003B48AA"/>
    <w:rsid w:val="003B50B2"/>
    <w:rsid w:val="003C6463"/>
    <w:rsid w:val="003C7384"/>
    <w:rsid w:val="003D03C6"/>
    <w:rsid w:val="003D5D07"/>
    <w:rsid w:val="003D7C1D"/>
    <w:rsid w:val="003E1127"/>
    <w:rsid w:val="003F1A0D"/>
    <w:rsid w:val="00404E22"/>
    <w:rsid w:val="00405C7B"/>
    <w:rsid w:val="00406879"/>
    <w:rsid w:val="00412B93"/>
    <w:rsid w:val="00423751"/>
    <w:rsid w:val="00423F0A"/>
    <w:rsid w:val="004240EA"/>
    <w:rsid w:val="00430B53"/>
    <w:rsid w:val="00443C67"/>
    <w:rsid w:val="00445581"/>
    <w:rsid w:val="004502CE"/>
    <w:rsid w:val="00455717"/>
    <w:rsid w:val="004621E7"/>
    <w:rsid w:val="004627BD"/>
    <w:rsid w:val="00471909"/>
    <w:rsid w:val="00471929"/>
    <w:rsid w:val="00471DD3"/>
    <w:rsid w:val="0047366B"/>
    <w:rsid w:val="00483D6F"/>
    <w:rsid w:val="00490756"/>
    <w:rsid w:val="004A5282"/>
    <w:rsid w:val="004A60CA"/>
    <w:rsid w:val="004B2960"/>
    <w:rsid w:val="004B43B6"/>
    <w:rsid w:val="004B50D3"/>
    <w:rsid w:val="004C03AB"/>
    <w:rsid w:val="004C68E4"/>
    <w:rsid w:val="004C7516"/>
    <w:rsid w:val="004D47DD"/>
    <w:rsid w:val="004F03FE"/>
    <w:rsid w:val="005030EF"/>
    <w:rsid w:val="00512746"/>
    <w:rsid w:val="005150BB"/>
    <w:rsid w:val="0052160D"/>
    <w:rsid w:val="00523924"/>
    <w:rsid w:val="00536328"/>
    <w:rsid w:val="00540DD4"/>
    <w:rsid w:val="005449CC"/>
    <w:rsid w:val="00546BF0"/>
    <w:rsid w:val="005526AA"/>
    <w:rsid w:val="0056420B"/>
    <w:rsid w:val="00564656"/>
    <w:rsid w:val="00581FBB"/>
    <w:rsid w:val="005824A0"/>
    <w:rsid w:val="005A414A"/>
    <w:rsid w:val="005B3598"/>
    <w:rsid w:val="005B665A"/>
    <w:rsid w:val="005C4E3E"/>
    <w:rsid w:val="005C731C"/>
    <w:rsid w:val="005E0A0F"/>
    <w:rsid w:val="005E2B30"/>
    <w:rsid w:val="005F2FE5"/>
    <w:rsid w:val="005F3BC2"/>
    <w:rsid w:val="0060388A"/>
    <w:rsid w:val="00607CB4"/>
    <w:rsid w:val="00617F69"/>
    <w:rsid w:val="00621D49"/>
    <w:rsid w:val="00624D23"/>
    <w:rsid w:val="00633DD3"/>
    <w:rsid w:val="00652E45"/>
    <w:rsid w:val="00654C94"/>
    <w:rsid w:val="0067685F"/>
    <w:rsid w:val="00697F02"/>
    <w:rsid w:val="006A16EC"/>
    <w:rsid w:val="006A728C"/>
    <w:rsid w:val="006B12AE"/>
    <w:rsid w:val="006B2B17"/>
    <w:rsid w:val="006B68CF"/>
    <w:rsid w:val="006D1079"/>
    <w:rsid w:val="006D635A"/>
    <w:rsid w:val="006E3571"/>
    <w:rsid w:val="006F07E0"/>
    <w:rsid w:val="006F233D"/>
    <w:rsid w:val="0070060D"/>
    <w:rsid w:val="00715020"/>
    <w:rsid w:val="00716E14"/>
    <w:rsid w:val="007170F6"/>
    <w:rsid w:val="00734FF8"/>
    <w:rsid w:val="0073778A"/>
    <w:rsid w:val="00740193"/>
    <w:rsid w:val="00743072"/>
    <w:rsid w:val="00747C25"/>
    <w:rsid w:val="00752B34"/>
    <w:rsid w:val="00764F84"/>
    <w:rsid w:val="00773371"/>
    <w:rsid w:val="00775FAA"/>
    <w:rsid w:val="007953CA"/>
    <w:rsid w:val="00795C32"/>
    <w:rsid w:val="007A7148"/>
    <w:rsid w:val="007B24F8"/>
    <w:rsid w:val="007B25E0"/>
    <w:rsid w:val="007C3390"/>
    <w:rsid w:val="007D4063"/>
    <w:rsid w:val="007D7AFE"/>
    <w:rsid w:val="007F2BB2"/>
    <w:rsid w:val="007F3E1F"/>
    <w:rsid w:val="008064F1"/>
    <w:rsid w:val="0082237E"/>
    <w:rsid w:val="008236DF"/>
    <w:rsid w:val="00823D9D"/>
    <w:rsid w:val="00840CD9"/>
    <w:rsid w:val="00845771"/>
    <w:rsid w:val="00850773"/>
    <w:rsid w:val="008572DD"/>
    <w:rsid w:val="008628D5"/>
    <w:rsid w:val="0086481C"/>
    <w:rsid w:val="00865ABE"/>
    <w:rsid w:val="00876B1B"/>
    <w:rsid w:val="00882611"/>
    <w:rsid w:val="00884A53"/>
    <w:rsid w:val="008867A8"/>
    <w:rsid w:val="00893B0B"/>
    <w:rsid w:val="00894EAA"/>
    <w:rsid w:val="008A1896"/>
    <w:rsid w:val="008A676C"/>
    <w:rsid w:val="008B1166"/>
    <w:rsid w:val="008B44FD"/>
    <w:rsid w:val="008C5102"/>
    <w:rsid w:val="008D724C"/>
    <w:rsid w:val="008E16B1"/>
    <w:rsid w:val="008E1F1E"/>
    <w:rsid w:val="008E37C1"/>
    <w:rsid w:val="0092260B"/>
    <w:rsid w:val="00923027"/>
    <w:rsid w:val="00930973"/>
    <w:rsid w:val="00932507"/>
    <w:rsid w:val="00944B13"/>
    <w:rsid w:val="00944BBC"/>
    <w:rsid w:val="00962018"/>
    <w:rsid w:val="0096762B"/>
    <w:rsid w:val="009874C9"/>
    <w:rsid w:val="00990339"/>
    <w:rsid w:val="00995EB7"/>
    <w:rsid w:val="00996142"/>
    <w:rsid w:val="009A2850"/>
    <w:rsid w:val="009F0DE5"/>
    <w:rsid w:val="009F3977"/>
    <w:rsid w:val="00A0052F"/>
    <w:rsid w:val="00A0351C"/>
    <w:rsid w:val="00A15255"/>
    <w:rsid w:val="00A23CD1"/>
    <w:rsid w:val="00A27879"/>
    <w:rsid w:val="00A302B7"/>
    <w:rsid w:val="00A317CF"/>
    <w:rsid w:val="00A37C74"/>
    <w:rsid w:val="00A439C0"/>
    <w:rsid w:val="00A5081D"/>
    <w:rsid w:val="00A557A3"/>
    <w:rsid w:val="00A55A11"/>
    <w:rsid w:val="00A64D35"/>
    <w:rsid w:val="00A70395"/>
    <w:rsid w:val="00A7199C"/>
    <w:rsid w:val="00A93CBF"/>
    <w:rsid w:val="00AA1004"/>
    <w:rsid w:val="00AA18D9"/>
    <w:rsid w:val="00AB0141"/>
    <w:rsid w:val="00AB09FD"/>
    <w:rsid w:val="00AD48B0"/>
    <w:rsid w:val="00AE5079"/>
    <w:rsid w:val="00AF66E0"/>
    <w:rsid w:val="00B00A5D"/>
    <w:rsid w:val="00B012EC"/>
    <w:rsid w:val="00B04729"/>
    <w:rsid w:val="00B12850"/>
    <w:rsid w:val="00B12B8E"/>
    <w:rsid w:val="00B13F6F"/>
    <w:rsid w:val="00B1530F"/>
    <w:rsid w:val="00B17516"/>
    <w:rsid w:val="00B2055C"/>
    <w:rsid w:val="00B21D47"/>
    <w:rsid w:val="00B403D6"/>
    <w:rsid w:val="00B5025B"/>
    <w:rsid w:val="00B529DE"/>
    <w:rsid w:val="00B5359E"/>
    <w:rsid w:val="00B61396"/>
    <w:rsid w:val="00B735AD"/>
    <w:rsid w:val="00B8495C"/>
    <w:rsid w:val="00BA40BE"/>
    <w:rsid w:val="00BD053D"/>
    <w:rsid w:val="00BF1B29"/>
    <w:rsid w:val="00C019A0"/>
    <w:rsid w:val="00C02661"/>
    <w:rsid w:val="00C07FD7"/>
    <w:rsid w:val="00C1222B"/>
    <w:rsid w:val="00C12C0D"/>
    <w:rsid w:val="00C1420F"/>
    <w:rsid w:val="00C34D08"/>
    <w:rsid w:val="00C41063"/>
    <w:rsid w:val="00C459BE"/>
    <w:rsid w:val="00C50360"/>
    <w:rsid w:val="00C66D8C"/>
    <w:rsid w:val="00C67AAD"/>
    <w:rsid w:val="00C73B08"/>
    <w:rsid w:val="00C768A1"/>
    <w:rsid w:val="00C80DBB"/>
    <w:rsid w:val="00C84D6C"/>
    <w:rsid w:val="00C94E57"/>
    <w:rsid w:val="00C97C36"/>
    <w:rsid w:val="00CA0949"/>
    <w:rsid w:val="00CC747D"/>
    <w:rsid w:val="00CC79A4"/>
    <w:rsid w:val="00CD1193"/>
    <w:rsid w:val="00CD11B5"/>
    <w:rsid w:val="00CD44F7"/>
    <w:rsid w:val="00CE00CE"/>
    <w:rsid w:val="00CE0A07"/>
    <w:rsid w:val="00CE3CB0"/>
    <w:rsid w:val="00CE55CC"/>
    <w:rsid w:val="00CF7D9B"/>
    <w:rsid w:val="00D009F5"/>
    <w:rsid w:val="00D12894"/>
    <w:rsid w:val="00D14C79"/>
    <w:rsid w:val="00D15DAE"/>
    <w:rsid w:val="00D201AD"/>
    <w:rsid w:val="00D227A3"/>
    <w:rsid w:val="00D36475"/>
    <w:rsid w:val="00D37A50"/>
    <w:rsid w:val="00D412BB"/>
    <w:rsid w:val="00D46148"/>
    <w:rsid w:val="00D557DC"/>
    <w:rsid w:val="00D56A50"/>
    <w:rsid w:val="00D631C4"/>
    <w:rsid w:val="00D65B17"/>
    <w:rsid w:val="00D72C60"/>
    <w:rsid w:val="00D74D55"/>
    <w:rsid w:val="00D7553A"/>
    <w:rsid w:val="00D83B6F"/>
    <w:rsid w:val="00D93ACD"/>
    <w:rsid w:val="00DA2AA0"/>
    <w:rsid w:val="00DA3AE7"/>
    <w:rsid w:val="00DB1400"/>
    <w:rsid w:val="00DD13E8"/>
    <w:rsid w:val="00DD17F4"/>
    <w:rsid w:val="00DD2D78"/>
    <w:rsid w:val="00DE55FB"/>
    <w:rsid w:val="00E05911"/>
    <w:rsid w:val="00E125D7"/>
    <w:rsid w:val="00E16B5B"/>
    <w:rsid w:val="00E23621"/>
    <w:rsid w:val="00E3341F"/>
    <w:rsid w:val="00E34439"/>
    <w:rsid w:val="00E34BF3"/>
    <w:rsid w:val="00E40CCC"/>
    <w:rsid w:val="00E41CA7"/>
    <w:rsid w:val="00E53C2C"/>
    <w:rsid w:val="00E56072"/>
    <w:rsid w:val="00E57EEE"/>
    <w:rsid w:val="00E74719"/>
    <w:rsid w:val="00E77AD0"/>
    <w:rsid w:val="00E902B4"/>
    <w:rsid w:val="00E90C0F"/>
    <w:rsid w:val="00EA00D6"/>
    <w:rsid w:val="00EB07B0"/>
    <w:rsid w:val="00EB274B"/>
    <w:rsid w:val="00EB3D98"/>
    <w:rsid w:val="00EC3162"/>
    <w:rsid w:val="00EC4D68"/>
    <w:rsid w:val="00EC789F"/>
    <w:rsid w:val="00EC7B49"/>
    <w:rsid w:val="00ED4101"/>
    <w:rsid w:val="00EF0757"/>
    <w:rsid w:val="00EF09F9"/>
    <w:rsid w:val="00F0169A"/>
    <w:rsid w:val="00F041D2"/>
    <w:rsid w:val="00F1447C"/>
    <w:rsid w:val="00F17CB7"/>
    <w:rsid w:val="00F22088"/>
    <w:rsid w:val="00F31D24"/>
    <w:rsid w:val="00F3408B"/>
    <w:rsid w:val="00F40C48"/>
    <w:rsid w:val="00F508E6"/>
    <w:rsid w:val="00F51572"/>
    <w:rsid w:val="00F53536"/>
    <w:rsid w:val="00F62D7B"/>
    <w:rsid w:val="00F67072"/>
    <w:rsid w:val="00F92085"/>
    <w:rsid w:val="00F92ACC"/>
    <w:rsid w:val="00F951F8"/>
    <w:rsid w:val="00F9625B"/>
    <w:rsid w:val="00FA06E7"/>
    <w:rsid w:val="00FA673E"/>
    <w:rsid w:val="00FD5883"/>
    <w:rsid w:val="00FE4895"/>
    <w:rsid w:val="00FF616F"/>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paragraph" w:styleId="ListParagraph">
    <w:name w:val="List Paragraph"/>
    <w:basedOn w:val="Normal"/>
    <w:uiPriority w:val="34"/>
    <w:qFormat/>
    <w:rsid w:val="00CE55CC"/>
    <w:pPr>
      <w:ind w:left="720"/>
    </w:pPr>
  </w:style>
  <w:style w:type="paragraph" w:styleId="PlainText">
    <w:name w:val="Plain Text"/>
    <w:basedOn w:val="Normal"/>
    <w:link w:val="PlainTextChar"/>
    <w:uiPriority w:val="99"/>
    <w:unhideWhenUsed/>
    <w:rsid w:val="00845771"/>
    <w:rPr>
      <w:rFonts w:ascii="Consolas" w:eastAsia="Calibri" w:hAnsi="Consolas"/>
      <w:sz w:val="21"/>
      <w:szCs w:val="21"/>
      <w:lang w:val="x-none" w:eastAsia="x-none"/>
    </w:rPr>
  </w:style>
  <w:style w:type="character" w:customStyle="1" w:styleId="PlainTextChar">
    <w:name w:val="Plain Text Char"/>
    <w:link w:val="PlainText"/>
    <w:uiPriority w:val="99"/>
    <w:rsid w:val="00845771"/>
    <w:rPr>
      <w:rFonts w:ascii="Consolas" w:hAnsi="Consolas"/>
      <w:sz w:val="21"/>
      <w:szCs w:val="21"/>
      <w:lang w:val="x-none" w:eastAsia="x-none"/>
    </w:rPr>
  </w:style>
  <w:style w:type="character" w:styleId="Hyperlink">
    <w:name w:val="Hyperlink"/>
    <w:uiPriority w:val="99"/>
    <w:unhideWhenUsed/>
    <w:rsid w:val="002419BE"/>
    <w:rPr>
      <w:color w:val="0563C1"/>
      <w:u w:val="single"/>
    </w:rPr>
  </w:style>
  <w:style w:type="paragraph" w:styleId="NoSpacing">
    <w:name w:val="No Spacing"/>
    <w:uiPriority w:val="1"/>
    <w:qFormat/>
    <w:rsid w:val="00E2362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paragraph" w:styleId="ListParagraph">
    <w:name w:val="List Paragraph"/>
    <w:basedOn w:val="Normal"/>
    <w:uiPriority w:val="34"/>
    <w:qFormat/>
    <w:rsid w:val="00CE55CC"/>
    <w:pPr>
      <w:ind w:left="720"/>
    </w:pPr>
  </w:style>
  <w:style w:type="paragraph" w:styleId="PlainText">
    <w:name w:val="Plain Text"/>
    <w:basedOn w:val="Normal"/>
    <w:link w:val="PlainTextChar"/>
    <w:uiPriority w:val="99"/>
    <w:unhideWhenUsed/>
    <w:rsid w:val="00845771"/>
    <w:rPr>
      <w:rFonts w:ascii="Consolas" w:eastAsia="Calibri" w:hAnsi="Consolas"/>
      <w:sz w:val="21"/>
      <w:szCs w:val="21"/>
      <w:lang w:val="x-none" w:eastAsia="x-none"/>
    </w:rPr>
  </w:style>
  <w:style w:type="character" w:customStyle="1" w:styleId="PlainTextChar">
    <w:name w:val="Plain Text Char"/>
    <w:link w:val="PlainText"/>
    <w:uiPriority w:val="99"/>
    <w:rsid w:val="00845771"/>
    <w:rPr>
      <w:rFonts w:ascii="Consolas" w:hAnsi="Consolas"/>
      <w:sz w:val="21"/>
      <w:szCs w:val="21"/>
      <w:lang w:val="x-none" w:eastAsia="x-none"/>
    </w:rPr>
  </w:style>
  <w:style w:type="character" w:styleId="Hyperlink">
    <w:name w:val="Hyperlink"/>
    <w:uiPriority w:val="99"/>
    <w:unhideWhenUsed/>
    <w:rsid w:val="002419BE"/>
    <w:rPr>
      <w:color w:val="0563C1"/>
      <w:u w:val="single"/>
    </w:rPr>
  </w:style>
  <w:style w:type="paragraph" w:styleId="NoSpacing">
    <w:name w:val="No Spacing"/>
    <w:uiPriority w:val="1"/>
    <w:qFormat/>
    <w:rsid w:val="00E236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632316">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C2446-6EB4-468A-8BE2-9B9572C8732C}">
  <ds:schemaRefs>
    <ds:schemaRef ds:uri="http://purl.org/dc/terms/"/>
    <ds:schemaRef ds:uri="http://schemas.openxmlformats.org/package/2006/metadata/core-properties"/>
    <ds:schemaRef ds:uri="http://purl.org/dc/dcmitype/"/>
    <ds:schemaRef ds:uri="http://schemas.microsoft.com/office/infopath/2007/PartnerControls"/>
    <ds:schemaRef ds:uri="4f06cbb4-5319-44a1-b73c-03442379dfaa"/>
    <ds:schemaRef ds:uri="http://purl.org/dc/elements/1.1/"/>
    <ds:schemaRef ds:uri="http://schemas.microsoft.com/office/2006/documentManagement/types"/>
    <ds:schemaRef ds:uri="456AF0B4-47B6-441D-9D5F-F64341D14F8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853D27E-FE7E-408A-915F-C6CD88655579}">
  <ds:schemaRefs>
    <ds:schemaRef ds:uri="http://schemas.microsoft.com/office/2006/metadata/longProperties"/>
  </ds:schemaRefs>
</ds:datastoreItem>
</file>

<file path=customXml/itemProps3.xml><?xml version="1.0" encoding="utf-8"?>
<ds:datastoreItem xmlns:ds="http://schemas.openxmlformats.org/officeDocument/2006/customXml" ds:itemID="{A0CF1099-4240-4F89-A274-9C17454A66E1}">
  <ds:schemaRefs>
    <ds:schemaRef ds:uri="http://schemas.microsoft.com/sharepoint/events"/>
  </ds:schemaRefs>
</ds:datastoreItem>
</file>

<file path=customXml/itemProps4.xml><?xml version="1.0" encoding="utf-8"?>
<ds:datastoreItem xmlns:ds="http://schemas.openxmlformats.org/officeDocument/2006/customXml" ds:itemID="{25008FAD-0A8B-4C59-86A2-2AAE35A1B14D}">
  <ds:schemaRefs>
    <ds:schemaRef ds:uri="http://schemas.microsoft.com/sharepoint/v3/contenttype/forms"/>
  </ds:schemaRefs>
</ds:datastoreItem>
</file>

<file path=customXml/itemProps5.xml><?xml version="1.0" encoding="utf-8"?>
<ds:datastoreItem xmlns:ds="http://schemas.openxmlformats.org/officeDocument/2006/customXml" ds:itemID="{688D66DC-1CF1-4BDD-AC20-0F8C5AB08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3988</Words>
  <Characters>22738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Staement A 0702-AAHR DA Civilian Employment abd Marketing Feedback</vt:lpstr>
    </vt:vector>
  </TitlesOfParts>
  <Company>WHS</Company>
  <LinksUpToDate>false</LinksUpToDate>
  <CharactersWithSpaces>26673</CharactersWithSpaces>
  <SharedDoc>false</SharedDoc>
  <HLinks>
    <vt:vector size="12" baseType="variant">
      <vt:variant>
        <vt:i4>5439498</vt:i4>
      </vt:variant>
      <vt:variant>
        <vt:i4>3</vt:i4>
      </vt:variant>
      <vt:variant>
        <vt:i4>0</vt:i4>
      </vt:variant>
      <vt:variant>
        <vt:i4>5</vt:i4>
      </vt:variant>
      <vt:variant>
        <vt:lpwstr>https://dap.dau.mil/acquipedia/Pages/ArticleDetails.aspx?aid=5e3079b8-44f2-43df-a0e7-9f379e8c48ed</vt:lpwstr>
      </vt:variant>
      <vt:variant>
        <vt:lpwstr/>
      </vt:variant>
      <vt:variant>
        <vt:i4>6422569</vt:i4>
      </vt:variant>
      <vt:variant>
        <vt:i4>0</vt:i4>
      </vt:variant>
      <vt:variant>
        <vt:i4>0</vt:i4>
      </vt:variant>
      <vt:variant>
        <vt:i4>5</vt:i4>
      </vt:variant>
      <vt:variant>
        <vt:lpwstr>http://www.careeronestop.org/toolkit/wages/find-salary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Staement A 0702-AAHR DA Civilian Employment abd Marketing Feedback</dc:title>
  <dc:subject/>
  <dc:creator>Patricia Toppings</dc:creator>
  <cp:keywords/>
  <cp:lastModifiedBy>SYSTEM</cp:lastModifiedBy>
  <cp:revision>2</cp:revision>
  <cp:lastPrinted>2017-10-16T20:47:00Z</cp:lastPrinted>
  <dcterms:created xsi:type="dcterms:W3CDTF">2017-10-17T17:58:00Z</dcterms:created>
  <dcterms:modified xsi:type="dcterms:W3CDTF">2017-10-17T17:58:00Z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TH3QXZ4CCXAT-18-492</vt:lpwstr>
  </property>
  <property fmtid="{D5CDD505-2E9C-101B-9397-08002B2CF9AE}" pid="3" name="_dlc_DocIdItemGuid">
    <vt:lpwstr>1132226e-0eb1-4e50-92bd-a4bc46119e66</vt:lpwstr>
  </property>
  <property fmtid="{D5CDD505-2E9C-101B-9397-08002B2CF9AE}" pid="4" name="_dlc_DocIdUrl">
    <vt:lpwstr>https://eitsdext.osd.mil/sites/dodiic/_layouts/DocIdRedir.aspx?ID=TH3QXZ4CCXAT-18-492, TH3QXZ4CCXAT-18-492</vt:lpwstr>
  </property>
</Properties>
</file>