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F0CF8" w14:textId="77777777" w:rsidR="004F26E9" w:rsidRDefault="004F26E9">
      <w:pPr>
        <w:jc w:val="center"/>
        <w:rPr>
          <w:b/>
          <w:bCs/>
          <w:sz w:val="24"/>
          <w:szCs w:val="24"/>
        </w:rPr>
      </w:pPr>
      <w:bookmarkStart w:id="0" w:name="_GoBack"/>
      <w:bookmarkEnd w:id="0"/>
      <w:r>
        <w:rPr>
          <w:b/>
          <w:bCs/>
          <w:sz w:val="24"/>
          <w:szCs w:val="24"/>
        </w:rPr>
        <w:t>SUPPORTING STATEMENT</w:t>
      </w:r>
    </w:p>
    <w:p w14:paraId="5CF17DD4" w14:textId="67B3BBCE" w:rsidR="006F40B8" w:rsidRPr="006F40B8" w:rsidRDefault="00CC411C">
      <w:pPr>
        <w:jc w:val="center"/>
        <w:rPr>
          <w:b/>
          <w:color w:val="222222"/>
          <w:sz w:val="24"/>
          <w:szCs w:val="24"/>
          <w:shd w:val="clear" w:color="auto" w:fill="FFFFFF"/>
        </w:rPr>
      </w:pPr>
      <w:r w:rsidRPr="006F40B8">
        <w:rPr>
          <w:b/>
          <w:color w:val="222222"/>
          <w:sz w:val="24"/>
          <w:szCs w:val="24"/>
          <w:shd w:val="clear" w:color="auto" w:fill="FFFFFF"/>
        </w:rPr>
        <w:t>NMFS IMPLEMENTATION OF THE SEAFOOD TRACEABILITY PROGRAM</w:t>
      </w:r>
    </w:p>
    <w:p w14:paraId="3775120C" w14:textId="77777777" w:rsidR="004F26E9" w:rsidRDefault="004F26E9">
      <w:pPr>
        <w:jc w:val="center"/>
        <w:rPr>
          <w:sz w:val="24"/>
          <w:szCs w:val="24"/>
        </w:rPr>
      </w:pPr>
      <w:r>
        <w:rPr>
          <w:b/>
          <w:bCs/>
          <w:sz w:val="24"/>
          <w:szCs w:val="24"/>
        </w:rPr>
        <w:t>OMB CONTROL</w:t>
      </w:r>
      <w:r w:rsidR="009E5BA5">
        <w:rPr>
          <w:b/>
          <w:bCs/>
          <w:sz w:val="24"/>
          <w:szCs w:val="24"/>
        </w:rPr>
        <w:t xml:space="preserve"> </w:t>
      </w:r>
      <w:r>
        <w:rPr>
          <w:b/>
          <w:bCs/>
          <w:sz w:val="24"/>
          <w:szCs w:val="24"/>
        </w:rPr>
        <w:t>NO. 0648-</w:t>
      </w:r>
      <w:r w:rsidR="00695D5B">
        <w:rPr>
          <w:b/>
          <w:bCs/>
          <w:sz w:val="24"/>
          <w:szCs w:val="24"/>
        </w:rPr>
        <w:t>0739</w:t>
      </w:r>
    </w:p>
    <w:p w14:paraId="21421CA5" w14:textId="0F37F8BE" w:rsidR="004F26E9" w:rsidRDefault="004F26E9">
      <w:pPr>
        <w:rPr>
          <w:sz w:val="24"/>
          <w:szCs w:val="24"/>
        </w:rPr>
      </w:pPr>
    </w:p>
    <w:p w14:paraId="714E3D87" w14:textId="77777777" w:rsidR="00CC411C" w:rsidRDefault="00CC411C">
      <w:pPr>
        <w:rPr>
          <w:sz w:val="24"/>
          <w:szCs w:val="24"/>
        </w:rPr>
      </w:pPr>
    </w:p>
    <w:p w14:paraId="0051A7F5" w14:textId="5C7C57EE" w:rsidR="004F26E9" w:rsidRDefault="00CC411C">
      <w:pPr>
        <w:tabs>
          <w:tab w:val="left" w:pos="720"/>
        </w:tabs>
        <w:ind w:left="720" w:hanging="720"/>
        <w:rPr>
          <w:sz w:val="24"/>
          <w:szCs w:val="24"/>
        </w:rPr>
      </w:pPr>
      <w:r>
        <w:rPr>
          <w:b/>
          <w:bCs/>
          <w:sz w:val="24"/>
          <w:szCs w:val="24"/>
        </w:rPr>
        <w:t>A.</w:t>
      </w:r>
      <w:r w:rsidR="004F26E9">
        <w:rPr>
          <w:b/>
          <w:bCs/>
          <w:sz w:val="24"/>
          <w:szCs w:val="24"/>
        </w:rPr>
        <w:tab/>
        <w:t>JUSTIFICATION</w:t>
      </w:r>
    </w:p>
    <w:p w14:paraId="6DD3A87B" w14:textId="77777777" w:rsidR="00CC411C" w:rsidRDefault="00CC411C">
      <w:pPr>
        <w:rPr>
          <w:sz w:val="24"/>
          <w:szCs w:val="24"/>
        </w:rPr>
      </w:pPr>
    </w:p>
    <w:p w14:paraId="0EA6A86B" w14:textId="412970A8"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14:paraId="2A97B8F6" w14:textId="77777777" w:rsidR="004F26E9" w:rsidRDefault="004F26E9">
      <w:pPr>
        <w:rPr>
          <w:sz w:val="24"/>
          <w:szCs w:val="24"/>
        </w:rPr>
      </w:pPr>
    </w:p>
    <w:p w14:paraId="199F6FAA" w14:textId="2A20338E" w:rsidR="006F40B8" w:rsidRPr="00F63FED" w:rsidRDefault="00F519F7" w:rsidP="00F63FED">
      <w:pPr>
        <w:rPr>
          <w:sz w:val="24"/>
          <w:szCs w:val="24"/>
        </w:rPr>
      </w:pPr>
      <w:r w:rsidRPr="00F63FED">
        <w:rPr>
          <w:rFonts w:eastAsia="Arial Unicode MS"/>
          <w:sz w:val="24"/>
          <w:szCs w:val="24"/>
        </w:rPr>
        <w:t xml:space="preserve">On March 15, 2015, a multi-agency </w:t>
      </w:r>
      <w:r w:rsidR="00645F12">
        <w:rPr>
          <w:rFonts w:eastAsia="Arial Unicode MS"/>
          <w:sz w:val="24"/>
          <w:szCs w:val="24"/>
        </w:rPr>
        <w:t xml:space="preserve">Presidential </w:t>
      </w:r>
      <w:r w:rsidRPr="00F63FED">
        <w:rPr>
          <w:rFonts w:eastAsia="Arial Unicode MS"/>
          <w:sz w:val="24"/>
          <w:szCs w:val="24"/>
        </w:rPr>
        <w:t>task force published an Action Plan for combatting</w:t>
      </w:r>
      <w:r w:rsidR="00CB7FC4">
        <w:rPr>
          <w:rFonts w:eastAsia="Arial Unicode MS"/>
          <w:sz w:val="24"/>
          <w:szCs w:val="24"/>
        </w:rPr>
        <w:t xml:space="preserve"> </w:t>
      </w:r>
      <w:r w:rsidR="00CB7FC4" w:rsidRPr="00F63FED">
        <w:rPr>
          <w:rFonts w:eastAsia="Arial Unicode MS"/>
          <w:sz w:val="24"/>
          <w:szCs w:val="24"/>
        </w:rPr>
        <w:t>Illegal, Unreported, and Unregulated</w:t>
      </w:r>
      <w:r w:rsidRPr="00F63FED">
        <w:rPr>
          <w:rFonts w:eastAsia="Arial Unicode MS"/>
          <w:sz w:val="24"/>
          <w:szCs w:val="24"/>
        </w:rPr>
        <w:t xml:space="preserve"> </w:t>
      </w:r>
      <w:r w:rsidR="00CB7FC4">
        <w:rPr>
          <w:rFonts w:eastAsia="Arial Unicode MS"/>
          <w:sz w:val="24"/>
          <w:szCs w:val="24"/>
        </w:rPr>
        <w:t>(</w:t>
      </w:r>
      <w:r w:rsidRPr="00F63FED">
        <w:rPr>
          <w:rFonts w:eastAsia="Arial Unicode MS"/>
          <w:sz w:val="24"/>
          <w:szCs w:val="24"/>
        </w:rPr>
        <w:t>IUU</w:t>
      </w:r>
      <w:r w:rsidR="00CB7FC4">
        <w:rPr>
          <w:rFonts w:eastAsia="Arial Unicode MS"/>
          <w:sz w:val="24"/>
          <w:szCs w:val="24"/>
        </w:rPr>
        <w:t>)</w:t>
      </w:r>
      <w:r w:rsidRPr="00F63FED">
        <w:rPr>
          <w:rFonts w:eastAsia="Arial Unicode MS"/>
          <w:sz w:val="24"/>
          <w:szCs w:val="24"/>
        </w:rPr>
        <w:t xml:space="preserve"> fishing and seafood fraud. This Action Plan called for the identification of the seafood species most “at-risk” for IUU fishing and seafood fraud, as well as the development of a risk-based traceability program to track seafood from point of harvest to entry into U.S. commerce. </w:t>
      </w:r>
      <w:r w:rsidR="0049487C" w:rsidRPr="0049487C">
        <w:rPr>
          <w:rFonts w:eastAsiaTheme="minorHAnsi"/>
          <w:sz w:val="24"/>
          <w:szCs w:val="24"/>
        </w:rPr>
        <w:t xml:space="preserve">A final rule containing measures to address imported fish and fish products as part of this traceability program – called the Seafood Import Monitoring Program – was effective on January 9, 2017, and has a compliance date of January 1, 2018 (81 FR 88975 (December 9, 2016)). The Action Plan also called for the development of a voluntary Commerce Trusted Trader Program (CTTP) for importers under the Seafood Import Monitoring Program. The CTTP, which is the subject of this rulemaking, is intended to provide benefits such as reduced reporting and recordkeeping requirements and streamlined entry of species covered by the Seafood Import Monitoring Program into the United States for importers who </w:t>
      </w:r>
      <w:r w:rsidR="00447883" w:rsidRPr="00F012F8">
        <w:rPr>
          <w:rFonts w:eastAsiaTheme="minorHAnsi"/>
          <w:sz w:val="24"/>
          <w:szCs w:val="24"/>
        </w:rPr>
        <w:t>are approved for</w:t>
      </w:r>
      <w:r w:rsidR="00447883">
        <w:rPr>
          <w:rFonts w:eastAsiaTheme="minorHAnsi"/>
          <w:b/>
          <w:sz w:val="24"/>
          <w:szCs w:val="24"/>
        </w:rPr>
        <w:t xml:space="preserve"> </w:t>
      </w:r>
      <w:r w:rsidR="0049487C" w:rsidRPr="0049487C">
        <w:rPr>
          <w:rFonts w:eastAsiaTheme="minorHAnsi"/>
          <w:sz w:val="24"/>
          <w:szCs w:val="24"/>
        </w:rPr>
        <w:t>Commerce Trusted Trader status.</w:t>
      </w:r>
      <w:r w:rsidR="0049487C">
        <w:rPr>
          <w:rFonts w:eastAsiaTheme="minorHAnsi"/>
          <w:sz w:val="24"/>
          <w:szCs w:val="24"/>
        </w:rPr>
        <w:t xml:space="preserve"> </w:t>
      </w:r>
      <w:r w:rsidR="006F40B8" w:rsidRPr="00F63FED">
        <w:rPr>
          <w:sz w:val="24"/>
          <w:szCs w:val="24"/>
        </w:rPr>
        <w:t>The information collection for SIMP has already been approved unde</w:t>
      </w:r>
      <w:r w:rsidR="00F63FED" w:rsidRPr="00F63FED">
        <w:rPr>
          <w:sz w:val="24"/>
          <w:szCs w:val="24"/>
        </w:rPr>
        <w:t>r this OMB Control Number</w:t>
      </w:r>
      <w:r w:rsidR="006F40B8" w:rsidRPr="00F63FED">
        <w:rPr>
          <w:sz w:val="24"/>
          <w:szCs w:val="24"/>
        </w:rPr>
        <w:t>, and</w:t>
      </w:r>
      <w:r w:rsidR="000B30FD">
        <w:rPr>
          <w:sz w:val="24"/>
          <w:szCs w:val="24"/>
        </w:rPr>
        <w:t xml:space="preserve"> NOAA is requesting a revision to the previously approved</w:t>
      </w:r>
      <w:r w:rsidR="006F40B8" w:rsidRPr="00F63FED">
        <w:rPr>
          <w:sz w:val="24"/>
          <w:szCs w:val="24"/>
        </w:rPr>
        <w:t xml:space="preserve"> reporting burden estimates to account for the implementation of the CTTP.</w:t>
      </w:r>
    </w:p>
    <w:p w14:paraId="148B8C60" w14:textId="77777777" w:rsidR="00F519F7" w:rsidRPr="00F63FED" w:rsidRDefault="0099713C" w:rsidP="00F63FED">
      <w:pPr>
        <w:rPr>
          <w:rFonts w:eastAsia="Arial Unicode MS"/>
          <w:sz w:val="24"/>
          <w:szCs w:val="24"/>
        </w:rPr>
      </w:pPr>
      <w:r>
        <w:rPr>
          <w:noProof/>
          <w:sz w:val="24"/>
          <w:szCs w:val="24"/>
        </w:rPr>
        <w:drawing>
          <wp:inline distT="0" distB="0" distL="0" distR="0" wp14:anchorId="4C2E74C8" wp14:editId="2D42E7A9">
            <wp:extent cx="9525" cy="9525"/>
            <wp:effectExtent l="0" t="0" r="0" b="0"/>
            <wp:docPr id="1" name="Picture 1"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d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94FA85" w14:textId="5BEE8950" w:rsidR="00F519F7" w:rsidRPr="00F63FED" w:rsidRDefault="00F519F7" w:rsidP="00F63FED">
      <w:pPr>
        <w:rPr>
          <w:rFonts w:eastAsia="Arial Unicode MS"/>
          <w:sz w:val="24"/>
          <w:szCs w:val="24"/>
        </w:rPr>
      </w:pPr>
      <w:r w:rsidRPr="00F63FED">
        <w:rPr>
          <w:rFonts w:eastAsia="Arial Unicode MS"/>
          <w:sz w:val="24"/>
          <w:szCs w:val="24"/>
        </w:rPr>
        <w:t xml:space="preserve">The U.S. Customs and Border Protection (CBP) and U.S. Food and Drug Administration (FDA) are </w:t>
      </w:r>
      <w:r w:rsidR="00695D5B" w:rsidRPr="00F63FED">
        <w:rPr>
          <w:rFonts w:eastAsia="Arial Unicode MS"/>
          <w:sz w:val="24"/>
          <w:szCs w:val="24"/>
        </w:rPr>
        <w:t xml:space="preserve">each </w:t>
      </w:r>
      <w:r w:rsidRPr="00F63FED">
        <w:rPr>
          <w:rFonts w:eastAsia="Arial Unicode MS"/>
          <w:sz w:val="24"/>
          <w:szCs w:val="24"/>
        </w:rPr>
        <w:t xml:space="preserve">developing their own </w:t>
      </w:r>
      <w:r w:rsidR="00645F12">
        <w:rPr>
          <w:rFonts w:eastAsia="Arial Unicode MS"/>
          <w:sz w:val="24"/>
          <w:szCs w:val="24"/>
        </w:rPr>
        <w:t xml:space="preserve">voluntary </w:t>
      </w:r>
      <w:r w:rsidRPr="00F63FED">
        <w:rPr>
          <w:rFonts w:eastAsia="Arial Unicode MS"/>
          <w:sz w:val="24"/>
          <w:szCs w:val="24"/>
        </w:rPr>
        <w:t xml:space="preserve">Trusted Trader programs </w:t>
      </w:r>
      <w:r w:rsidR="00645F12">
        <w:rPr>
          <w:rFonts w:eastAsia="Arial Unicode MS"/>
          <w:sz w:val="24"/>
          <w:szCs w:val="24"/>
        </w:rPr>
        <w:t xml:space="preserve">designed to </w:t>
      </w:r>
      <w:r w:rsidRPr="00F63FED">
        <w:rPr>
          <w:rFonts w:eastAsia="Arial Unicode MS"/>
          <w:sz w:val="24"/>
          <w:szCs w:val="24"/>
        </w:rPr>
        <w:t>enhance information sharing</w:t>
      </w:r>
      <w:r w:rsidR="00645F12">
        <w:rPr>
          <w:rFonts w:eastAsia="Arial Unicode MS"/>
          <w:sz w:val="24"/>
          <w:szCs w:val="24"/>
        </w:rPr>
        <w:t xml:space="preserve"> between government agencies</w:t>
      </w:r>
      <w:r w:rsidRPr="00F63FED">
        <w:rPr>
          <w:rFonts w:eastAsia="Arial Unicode MS"/>
          <w:sz w:val="24"/>
          <w:szCs w:val="24"/>
        </w:rPr>
        <w:t>, reduc</w:t>
      </w:r>
      <w:r w:rsidR="00645F12">
        <w:rPr>
          <w:rFonts w:eastAsia="Arial Unicode MS"/>
          <w:sz w:val="24"/>
          <w:szCs w:val="24"/>
        </w:rPr>
        <w:t>e</w:t>
      </w:r>
      <w:r w:rsidRPr="00F63FED">
        <w:rPr>
          <w:rFonts w:eastAsia="Arial Unicode MS"/>
          <w:sz w:val="24"/>
          <w:szCs w:val="24"/>
        </w:rPr>
        <w:t xml:space="preserve"> costs to both the government and industry, and streamline processing of imports. While the CTTP </w:t>
      </w:r>
      <w:r w:rsidR="00645F12">
        <w:rPr>
          <w:rFonts w:eastAsia="Arial Unicode MS"/>
          <w:sz w:val="24"/>
          <w:szCs w:val="24"/>
        </w:rPr>
        <w:t>shares</w:t>
      </w:r>
      <w:r w:rsidRPr="00F63FED">
        <w:rPr>
          <w:rFonts w:eastAsia="Arial Unicode MS"/>
          <w:sz w:val="24"/>
          <w:szCs w:val="24"/>
        </w:rPr>
        <w:t xml:space="preserve"> many similar features with these programs, it is designed and intended to apply directly and specifically to the Seafood Import Monitoring Program</w:t>
      </w:r>
      <w:r w:rsidR="00645F12">
        <w:rPr>
          <w:rFonts w:eastAsia="Arial Unicode MS"/>
          <w:sz w:val="24"/>
          <w:szCs w:val="24"/>
        </w:rPr>
        <w:t xml:space="preserve">, whereas the CBP and FDA programs will apply more broadly to imports and exports </w:t>
      </w:r>
      <w:r w:rsidR="000B30FD">
        <w:rPr>
          <w:rFonts w:eastAsia="Arial Unicode MS"/>
          <w:sz w:val="24"/>
          <w:szCs w:val="24"/>
        </w:rPr>
        <w:t xml:space="preserve">monitored </w:t>
      </w:r>
      <w:r w:rsidR="00645F12">
        <w:rPr>
          <w:rFonts w:eastAsia="Arial Unicode MS"/>
          <w:sz w:val="24"/>
          <w:szCs w:val="24"/>
        </w:rPr>
        <w:t>by those agencies</w:t>
      </w:r>
      <w:r w:rsidRPr="00F63FED">
        <w:rPr>
          <w:rFonts w:eastAsia="Arial Unicode MS"/>
          <w:sz w:val="24"/>
          <w:szCs w:val="24"/>
        </w:rPr>
        <w:t>.</w:t>
      </w:r>
    </w:p>
    <w:p w14:paraId="165B8A46" w14:textId="77777777" w:rsidR="00F519F7" w:rsidRPr="00F519F7" w:rsidRDefault="00F519F7" w:rsidP="00F519F7">
      <w:pPr>
        <w:rPr>
          <w:rFonts w:eastAsia="Arial Unicode MS"/>
          <w:color w:val="000000"/>
          <w:sz w:val="24"/>
          <w:szCs w:val="24"/>
        </w:rPr>
      </w:pPr>
    </w:p>
    <w:p w14:paraId="50D45D9F" w14:textId="55370B13" w:rsidR="00F519F7" w:rsidRPr="00F519F7" w:rsidRDefault="00F519F7" w:rsidP="00F519F7">
      <w:pPr>
        <w:rPr>
          <w:rFonts w:eastAsia="Arial Unicode MS"/>
          <w:color w:val="000000"/>
          <w:sz w:val="24"/>
          <w:szCs w:val="24"/>
        </w:rPr>
      </w:pPr>
      <w:r w:rsidRPr="00F519F7">
        <w:rPr>
          <w:rFonts w:eastAsia="Arial Unicode MS"/>
          <w:color w:val="000000"/>
          <w:sz w:val="24"/>
          <w:szCs w:val="24"/>
        </w:rPr>
        <w:t xml:space="preserve">A critical element of the CTTP is the assurance that the entire supply chain for </w:t>
      </w:r>
      <w:r w:rsidR="0049487C">
        <w:rPr>
          <w:rFonts w:eastAsia="Arial Unicode MS"/>
          <w:color w:val="000000"/>
          <w:sz w:val="24"/>
          <w:szCs w:val="24"/>
        </w:rPr>
        <w:t xml:space="preserve">species covered by </w:t>
      </w:r>
      <w:r w:rsidRPr="00F519F7">
        <w:rPr>
          <w:rFonts w:eastAsia="Arial Unicode MS"/>
          <w:color w:val="000000"/>
          <w:sz w:val="24"/>
          <w:szCs w:val="24"/>
        </w:rPr>
        <w:t xml:space="preserve">SIMP, from point of harvest to entry into U.S. commerce, is legal and documented, and that the entry of illegally harvested and misrepresented fishery products into the U.S. is prevented. The program is intended to increase the security of the supply chain and enhance trade efficiencies, while reducing the burden of compliance for </w:t>
      </w:r>
      <w:r w:rsidR="0049487C">
        <w:rPr>
          <w:rFonts w:eastAsia="Arial Unicode MS"/>
          <w:color w:val="000000"/>
          <w:sz w:val="24"/>
          <w:szCs w:val="24"/>
        </w:rPr>
        <w:t>eligible</w:t>
      </w:r>
      <w:r w:rsidR="0049487C" w:rsidRPr="00F519F7">
        <w:rPr>
          <w:rFonts w:eastAsia="Arial Unicode MS"/>
          <w:color w:val="000000"/>
          <w:sz w:val="24"/>
          <w:szCs w:val="24"/>
        </w:rPr>
        <w:t xml:space="preserve"> </w:t>
      </w:r>
      <w:r w:rsidRPr="00F519F7">
        <w:rPr>
          <w:rFonts w:eastAsia="Arial Unicode MS"/>
          <w:color w:val="000000"/>
          <w:sz w:val="24"/>
          <w:szCs w:val="24"/>
        </w:rPr>
        <w:t xml:space="preserve">International Fisheries Trade Permit (IFTP) holders. </w:t>
      </w:r>
      <w:r w:rsidR="0049487C" w:rsidRPr="0049487C">
        <w:rPr>
          <w:rFonts w:eastAsiaTheme="minorHAnsi"/>
          <w:sz w:val="24"/>
          <w:szCs w:val="24"/>
        </w:rPr>
        <w:t xml:space="preserve">This </w:t>
      </w:r>
      <w:r w:rsidR="0049487C" w:rsidRPr="00F012F8">
        <w:rPr>
          <w:rFonts w:eastAsiaTheme="minorHAnsi"/>
          <w:sz w:val="24"/>
          <w:szCs w:val="24"/>
        </w:rPr>
        <w:t xml:space="preserve">proposed rule, if adopted, would establish the criteria required for </w:t>
      </w:r>
      <w:r w:rsidR="00F012F8">
        <w:rPr>
          <w:rFonts w:eastAsiaTheme="minorHAnsi"/>
          <w:sz w:val="24"/>
          <w:szCs w:val="24"/>
        </w:rPr>
        <w:t>approval</w:t>
      </w:r>
      <w:r w:rsidR="00F012F8" w:rsidRPr="00F012F8">
        <w:rPr>
          <w:rFonts w:eastAsiaTheme="minorHAnsi"/>
          <w:sz w:val="24"/>
          <w:szCs w:val="24"/>
        </w:rPr>
        <w:t xml:space="preserve"> </w:t>
      </w:r>
      <w:r w:rsidR="0049487C" w:rsidRPr="00F012F8">
        <w:rPr>
          <w:rFonts w:eastAsiaTheme="minorHAnsi"/>
          <w:sz w:val="24"/>
          <w:szCs w:val="24"/>
        </w:rPr>
        <w:t xml:space="preserve">as a </w:t>
      </w:r>
      <w:r w:rsidR="00595F0C" w:rsidRPr="00F012F8">
        <w:rPr>
          <w:rFonts w:eastAsiaTheme="minorHAnsi"/>
          <w:sz w:val="24"/>
          <w:szCs w:val="24"/>
        </w:rPr>
        <w:t>Commerce Trusted Trader (</w:t>
      </w:r>
      <w:r w:rsidR="0049487C" w:rsidRPr="00F012F8">
        <w:rPr>
          <w:rFonts w:eastAsiaTheme="minorHAnsi"/>
          <w:sz w:val="24"/>
          <w:szCs w:val="24"/>
        </w:rPr>
        <w:t>CTT</w:t>
      </w:r>
      <w:r w:rsidR="00595F0C" w:rsidRPr="00F012F8">
        <w:rPr>
          <w:rFonts w:eastAsiaTheme="minorHAnsi"/>
          <w:sz w:val="24"/>
          <w:szCs w:val="24"/>
        </w:rPr>
        <w:t>)</w:t>
      </w:r>
      <w:r w:rsidR="0049487C" w:rsidRPr="00F012F8">
        <w:rPr>
          <w:rFonts w:eastAsiaTheme="minorHAnsi"/>
          <w:sz w:val="24"/>
          <w:szCs w:val="24"/>
        </w:rPr>
        <w:t xml:space="preserve"> and identify specifically how the program would be monitored and by whom. Under the proposed rule, a CTT would be required to establish a secure supply chain and maintain the records necessary </w:t>
      </w:r>
      <w:r w:rsidR="006E7F38" w:rsidRPr="00F012F8">
        <w:rPr>
          <w:rFonts w:eastAsiaTheme="minorHAnsi"/>
          <w:sz w:val="24"/>
          <w:szCs w:val="24"/>
        </w:rPr>
        <w:t xml:space="preserve">for NMFS </w:t>
      </w:r>
      <w:r w:rsidR="0049487C" w:rsidRPr="00F012F8">
        <w:rPr>
          <w:rFonts w:eastAsiaTheme="minorHAnsi"/>
          <w:sz w:val="24"/>
          <w:szCs w:val="24"/>
        </w:rPr>
        <w:t xml:space="preserve">to verify the legality of all designated product entering into U.S. commerce. In return, the rule would excuse the CTT from the SIMP requirements to enter harvest event data into the International Trade Data System (ITDS) at the time of filing an </w:t>
      </w:r>
      <w:r w:rsidR="00595F0C" w:rsidRPr="00F012F8">
        <w:rPr>
          <w:rFonts w:eastAsiaTheme="minorHAnsi"/>
          <w:sz w:val="24"/>
          <w:szCs w:val="24"/>
        </w:rPr>
        <w:t xml:space="preserve">import </w:t>
      </w:r>
      <w:r w:rsidR="0049487C" w:rsidRPr="00F012F8">
        <w:rPr>
          <w:rFonts w:eastAsiaTheme="minorHAnsi"/>
          <w:sz w:val="24"/>
          <w:szCs w:val="24"/>
        </w:rPr>
        <w:t>entry, and to maintain direct control of all chain of custody records for a minimum of two years.</w:t>
      </w:r>
      <w:r w:rsidR="0049487C" w:rsidRPr="0049487C">
        <w:rPr>
          <w:rFonts w:eastAsiaTheme="minorHAnsi"/>
          <w:sz w:val="24"/>
          <w:szCs w:val="24"/>
        </w:rPr>
        <w:t xml:space="preserve"> </w:t>
      </w:r>
      <w:r w:rsidR="000B30FD">
        <w:rPr>
          <w:rFonts w:eastAsiaTheme="minorHAnsi"/>
          <w:sz w:val="24"/>
          <w:szCs w:val="24"/>
        </w:rPr>
        <w:t xml:space="preserve"> In lieu of these SIMP requirements, the CTT would </w:t>
      </w:r>
      <w:r w:rsidR="000B30FD">
        <w:rPr>
          <w:rFonts w:eastAsiaTheme="minorHAnsi"/>
          <w:sz w:val="24"/>
          <w:szCs w:val="24"/>
        </w:rPr>
        <w:lastRenderedPageBreak/>
        <w:t>contract for an annual independent third party audit and arrange for record recovery from the supply chain actors with whom the CTT conducts business.</w:t>
      </w:r>
      <w:r w:rsidR="00447883">
        <w:rPr>
          <w:rFonts w:eastAsiaTheme="minorHAnsi"/>
          <w:sz w:val="24"/>
          <w:szCs w:val="24"/>
        </w:rPr>
        <w:t xml:space="preserve"> </w:t>
      </w:r>
      <w:r w:rsidR="0049487C" w:rsidRPr="0049487C">
        <w:rPr>
          <w:rFonts w:eastAsiaTheme="minorHAnsi"/>
          <w:sz w:val="24"/>
          <w:szCs w:val="24"/>
        </w:rPr>
        <w:t xml:space="preserve">The proposed rule details the application process and specifies how the CTT would be audited by third-party entities while the overall program would be monitored by NMFS. </w:t>
      </w:r>
      <w:r w:rsidRPr="00F519F7">
        <w:rPr>
          <w:rFonts w:eastAsia="Arial Unicode MS"/>
          <w:color w:val="000000"/>
          <w:sz w:val="24"/>
          <w:szCs w:val="24"/>
        </w:rPr>
        <w:t xml:space="preserve"> </w:t>
      </w:r>
    </w:p>
    <w:p w14:paraId="7E186D75" w14:textId="77777777" w:rsidR="00F519F7" w:rsidRPr="00F519F7" w:rsidRDefault="00F519F7" w:rsidP="00F519F7">
      <w:pPr>
        <w:rPr>
          <w:rFonts w:eastAsia="Arial Unicode MS"/>
          <w:color w:val="000000"/>
          <w:sz w:val="24"/>
          <w:szCs w:val="24"/>
        </w:rPr>
      </w:pPr>
    </w:p>
    <w:p w14:paraId="0A2C1366" w14:textId="2AF8D47C" w:rsidR="002153A0" w:rsidRDefault="00F519F7" w:rsidP="00F519F7">
      <w:pPr>
        <w:rPr>
          <w:rFonts w:eastAsia="Arial Unicode MS"/>
          <w:color w:val="000000"/>
          <w:sz w:val="24"/>
          <w:szCs w:val="24"/>
        </w:rPr>
      </w:pPr>
      <w:r w:rsidRPr="00F519F7">
        <w:rPr>
          <w:rFonts w:eastAsia="Arial Unicode MS"/>
          <w:color w:val="000000"/>
          <w:sz w:val="24"/>
          <w:szCs w:val="24"/>
        </w:rPr>
        <w:t xml:space="preserve">The CTT would be expected to produce all traceability documentation </w:t>
      </w:r>
      <w:r w:rsidR="0049487C">
        <w:rPr>
          <w:rFonts w:eastAsia="Arial Unicode MS"/>
          <w:color w:val="000000"/>
          <w:sz w:val="24"/>
          <w:szCs w:val="24"/>
        </w:rPr>
        <w:t xml:space="preserve">associated with an entry filing subject to the SIMP </w:t>
      </w:r>
      <w:r w:rsidRPr="00F519F7">
        <w:rPr>
          <w:rFonts w:eastAsia="Arial Unicode MS"/>
          <w:color w:val="000000"/>
          <w:sz w:val="24"/>
          <w:szCs w:val="24"/>
        </w:rPr>
        <w:t xml:space="preserve">within </w:t>
      </w:r>
      <w:r w:rsidR="00F012F8">
        <w:rPr>
          <w:rFonts w:eastAsia="Arial Unicode MS"/>
          <w:color w:val="000000"/>
          <w:sz w:val="24"/>
          <w:szCs w:val="24"/>
        </w:rPr>
        <w:t>14 days</w:t>
      </w:r>
      <w:r w:rsidRPr="00F519F7">
        <w:rPr>
          <w:rFonts w:eastAsia="Arial Unicode MS"/>
          <w:color w:val="000000"/>
          <w:sz w:val="24"/>
          <w:szCs w:val="24"/>
        </w:rPr>
        <w:t xml:space="preserve"> upon request</w:t>
      </w:r>
      <w:r w:rsidR="00FE0C5B">
        <w:rPr>
          <w:rFonts w:eastAsia="Arial Unicode MS"/>
          <w:color w:val="000000"/>
          <w:sz w:val="24"/>
          <w:szCs w:val="24"/>
        </w:rPr>
        <w:t xml:space="preserve"> by NMFS</w:t>
      </w:r>
      <w:r w:rsidRPr="00F519F7">
        <w:rPr>
          <w:rFonts w:eastAsia="Arial Unicode MS"/>
          <w:color w:val="000000"/>
          <w:sz w:val="24"/>
          <w:szCs w:val="24"/>
        </w:rPr>
        <w:t xml:space="preserve">, but would have significantly reduced reporting requirements. With the exception of any records or documents required by other state or federal programs, such as the Tuna Tracking and Verification Program (TTVP) or FDA’s Prior Notice of Imported Food, the CTT would only </w:t>
      </w:r>
      <w:r w:rsidR="006E7F38">
        <w:rPr>
          <w:rFonts w:eastAsia="Arial Unicode MS"/>
          <w:color w:val="000000"/>
          <w:sz w:val="24"/>
          <w:szCs w:val="24"/>
        </w:rPr>
        <w:t xml:space="preserve">be required to </w:t>
      </w:r>
      <w:r w:rsidRPr="00F519F7">
        <w:rPr>
          <w:rFonts w:eastAsia="Arial Unicode MS"/>
          <w:color w:val="000000"/>
          <w:sz w:val="24"/>
          <w:szCs w:val="24"/>
        </w:rPr>
        <w:t xml:space="preserve">enter the IFTP number </w:t>
      </w:r>
      <w:r w:rsidR="0049487C">
        <w:rPr>
          <w:rFonts w:eastAsia="Arial Unicode MS"/>
          <w:color w:val="000000"/>
          <w:sz w:val="24"/>
          <w:szCs w:val="24"/>
        </w:rPr>
        <w:t xml:space="preserve">and species codes </w:t>
      </w:r>
      <w:r w:rsidRPr="00F519F7">
        <w:rPr>
          <w:rFonts w:eastAsia="Arial Unicode MS"/>
          <w:color w:val="000000"/>
          <w:sz w:val="24"/>
          <w:szCs w:val="24"/>
        </w:rPr>
        <w:t>into the ITDS</w:t>
      </w:r>
      <w:r w:rsidR="00FE0C5B">
        <w:rPr>
          <w:rFonts w:eastAsia="Arial Unicode MS"/>
          <w:color w:val="000000"/>
          <w:sz w:val="24"/>
          <w:szCs w:val="24"/>
        </w:rPr>
        <w:t xml:space="preserve"> at the time of entry filing</w:t>
      </w:r>
      <w:r w:rsidRPr="00F519F7">
        <w:rPr>
          <w:rFonts w:eastAsia="Arial Unicode MS"/>
          <w:color w:val="000000"/>
          <w:sz w:val="24"/>
          <w:szCs w:val="24"/>
        </w:rPr>
        <w:t>.</w:t>
      </w:r>
    </w:p>
    <w:p w14:paraId="519E7568" w14:textId="0F8F69B8" w:rsidR="008708BF" w:rsidRDefault="00A95B8F">
      <w:pPr>
        <w:rPr>
          <w:b/>
          <w:bCs/>
          <w:sz w:val="24"/>
          <w:szCs w:val="24"/>
        </w:rPr>
      </w:pPr>
      <w:r>
        <w:rPr>
          <w:sz w:val="24"/>
          <w:szCs w:val="24"/>
        </w:rPr>
        <w:t xml:space="preserve"> </w:t>
      </w:r>
    </w:p>
    <w:p w14:paraId="470AF6FD" w14:textId="77777777" w:rsidR="004F26E9" w:rsidRDefault="004F26E9">
      <w:pPr>
        <w:rPr>
          <w:b/>
          <w:bCs/>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0AB22A72" w14:textId="77777777" w:rsidR="0027144B" w:rsidRDefault="0027144B" w:rsidP="0027144B">
      <w:pPr>
        <w:rPr>
          <w:b/>
          <w:bCs/>
          <w:sz w:val="24"/>
          <w:szCs w:val="24"/>
        </w:rPr>
      </w:pPr>
    </w:p>
    <w:p w14:paraId="7013056B" w14:textId="57B5E834" w:rsidR="006E2CE9" w:rsidRDefault="0027144B" w:rsidP="0027144B">
      <w:pPr>
        <w:widowControl/>
        <w:autoSpaceDE/>
        <w:autoSpaceDN/>
        <w:adjustRightInd/>
        <w:rPr>
          <w:sz w:val="24"/>
          <w:szCs w:val="24"/>
        </w:rPr>
      </w:pPr>
      <w:r w:rsidRPr="0027144B">
        <w:rPr>
          <w:sz w:val="24"/>
          <w:szCs w:val="24"/>
        </w:rPr>
        <w:t>The SAFE Port Act (Public Law 109-347) requires all Federal agencies with a role in import admissibility decisions to collect information electronically through ITDS</w:t>
      </w:r>
      <w:r w:rsidR="009F7F7C">
        <w:rPr>
          <w:sz w:val="24"/>
          <w:szCs w:val="24"/>
        </w:rPr>
        <w:t xml:space="preserve"> (single window)</w:t>
      </w:r>
      <w:r w:rsidRPr="0027144B">
        <w:rPr>
          <w:sz w:val="24"/>
          <w:szCs w:val="24"/>
        </w:rPr>
        <w:t xml:space="preserve">. The Department of the Treasury has the U.S. Government lead on ITDS development and partner government agency integration. CBP developed </w:t>
      </w:r>
      <w:r w:rsidR="006E7F38">
        <w:rPr>
          <w:sz w:val="24"/>
          <w:szCs w:val="24"/>
        </w:rPr>
        <w:t xml:space="preserve">the </w:t>
      </w:r>
      <w:r w:rsidRPr="0027144B">
        <w:rPr>
          <w:sz w:val="24"/>
          <w:szCs w:val="24"/>
        </w:rPr>
        <w:t xml:space="preserve">Automated Commercial Environment (ACE) as an internet-based single window for the collection and dissemination of information to support ITDS. </w:t>
      </w:r>
    </w:p>
    <w:p w14:paraId="24C3C7F1" w14:textId="77777777" w:rsidR="006E2CE9" w:rsidRDefault="006E2CE9" w:rsidP="0027144B">
      <w:pPr>
        <w:widowControl/>
        <w:autoSpaceDE/>
        <w:autoSpaceDN/>
        <w:adjustRightInd/>
        <w:rPr>
          <w:sz w:val="24"/>
          <w:szCs w:val="24"/>
        </w:rPr>
      </w:pPr>
    </w:p>
    <w:p w14:paraId="05DA3BF3" w14:textId="77777777" w:rsidR="0027144B" w:rsidRDefault="0027144B" w:rsidP="0027144B">
      <w:pPr>
        <w:widowControl/>
        <w:autoSpaceDE/>
        <w:autoSpaceDN/>
        <w:adjustRightInd/>
        <w:rPr>
          <w:sz w:val="24"/>
          <w:szCs w:val="24"/>
        </w:rPr>
      </w:pPr>
      <w:r w:rsidRPr="0027144B">
        <w:rPr>
          <w:sz w:val="24"/>
          <w:szCs w:val="24"/>
        </w:rPr>
        <w:t>NMFS is a partner government agency in the ITDS project due to the agency’s role in monitoring trade of certain fishery products. Electronic collection of seafood trade data through a single portal will result in an overall reduction of the public reporting burden and the agency’s data collection costs, improve the timeliness and accuracy of admissibility decisions, increase the effectiveness of applicable measures to exclude products of illegal fishing, and have the beneficial effect of decreasing the incidence of seafood fraud.</w:t>
      </w:r>
    </w:p>
    <w:p w14:paraId="203A9320" w14:textId="77777777" w:rsidR="004F333D" w:rsidRDefault="004F333D" w:rsidP="0027144B">
      <w:pPr>
        <w:widowControl/>
        <w:autoSpaceDE/>
        <w:autoSpaceDN/>
        <w:adjustRightInd/>
        <w:rPr>
          <w:sz w:val="24"/>
          <w:szCs w:val="24"/>
        </w:rPr>
      </w:pPr>
    </w:p>
    <w:p w14:paraId="022AEECC" w14:textId="3E7AAA8C" w:rsidR="004F333D" w:rsidRDefault="004F333D" w:rsidP="0027144B">
      <w:pPr>
        <w:widowControl/>
        <w:autoSpaceDE/>
        <w:autoSpaceDN/>
        <w:adjustRightInd/>
        <w:rPr>
          <w:sz w:val="24"/>
          <w:szCs w:val="24"/>
        </w:rPr>
      </w:pPr>
      <w:r>
        <w:rPr>
          <w:sz w:val="24"/>
          <w:szCs w:val="24"/>
        </w:rPr>
        <w:t xml:space="preserve">To </w:t>
      </w:r>
      <w:r w:rsidR="005953D4">
        <w:rPr>
          <w:sz w:val="24"/>
          <w:szCs w:val="24"/>
        </w:rPr>
        <w:t>apply for the CTTP</w:t>
      </w:r>
      <w:r>
        <w:rPr>
          <w:sz w:val="24"/>
          <w:szCs w:val="24"/>
        </w:rPr>
        <w:t xml:space="preserve">, an importer </w:t>
      </w:r>
      <w:r w:rsidR="00582389">
        <w:rPr>
          <w:sz w:val="24"/>
          <w:szCs w:val="24"/>
        </w:rPr>
        <w:t xml:space="preserve">– who has </w:t>
      </w:r>
      <w:r w:rsidR="006E7F38">
        <w:rPr>
          <w:sz w:val="24"/>
          <w:szCs w:val="24"/>
        </w:rPr>
        <w:t xml:space="preserve">been issued </w:t>
      </w:r>
      <w:r w:rsidR="0049487C">
        <w:rPr>
          <w:sz w:val="24"/>
          <w:szCs w:val="24"/>
        </w:rPr>
        <w:t xml:space="preserve">an </w:t>
      </w:r>
      <w:r w:rsidR="00582389">
        <w:rPr>
          <w:sz w:val="24"/>
          <w:szCs w:val="24"/>
        </w:rPr>
        <w:t>International Fisheries Trade Permit</w:t>
      </w:r>
      <w:r w:rsidR="006E7F38">
        <w:rPr>
          <w:sz w:val="24"/>
          <w:szCs w:val="24"/>
        </w:rPr>
        <w:t xml:space="preserve"> (IFTP)</w:t>
      </w:r>
      <w:r w:rsidR="00582389">
        <w:rPr>
          <w:sz w:val="24"/>
          <w:szCs w:val="24"/>
        </w:rPr>
        <w:t xml:space="preserve"> </w:t>
      </w:r>
      <w:r w:rsidR="00D02B86">
        <w:rPr>
          <w:sz w:val="24"/>
          <w:szCs w:val="24"/>
        </w:rPr>
        <w:t xml:space="preserve"> (OMB Control No. 0648-0732) </w:t>
      </w:r>
      <w:r w:rsidR="00582389">
        <w:rPr>
          <w:sz w:val="24"/>
          <w:szCs w:val="24"/>
        </w:rPr>
        <w:t xml:space="preserve">as required under the SIMP – </w:t>
      </w:r>
      <w:r>
        <w:rPr>
          <w:sz w:val="24"/>
          <w:szCs w:val="24"/>
        </w:rPr>
        <w:t>would apply online via the National Permitting System</w:t>
      </w:r>
      <w:r w:rsidR="006E7F38">
        <w:rPr>
          <w:sz w:val="24"/>
          <w:szCs w:val="24"/>
        </w:rPr>
        <w:t xml:space="preserve"> using the account established for the IFTP</w:t>
      </w:r>
      <w:r>
        <w:rPr>
          <w:sz w:val="24"/>
          <w:szCs w:val="24"/>
        </w:rPr>
        <w:t xml:space="preserve">. </w:t>
      </w:r>
      <w:r w:rsidR="00582389">
        <w:rPr>
          <w:sz w:val="24"/>
          <w:szCs w:val="24"/>
        </w:rPr>
        <w:t>As part of</w:t>
      </w:r>
      <w:r>
        <w:rPr>
          <w:sz w:val="24"/>
          <w:szCs w:val="24"/>
        </w:rPr>
        <w:t xml:space="preserve"> the online application, the importer woul</w:t>
      </w:r>
      <w:r w:rsidR="000B3BE8">
        <w:rPr>
          <w:sz w:val="24"/>
          <w:szCs w:val="24"/>
        </w:rPr>
        <w:t>d</w:t>
      </w:r>
      <w:r>
        <w:rPr>
          <w:sz w:val="24"/>
          <w:szCs w:val="24"/>
        </w:rPr>
        <w:t xml:space="preserve"> electronically submit a copy of </w:t>
      </w:r>
      <w:r w:rsidR="00F012F8">
        <w:rPr>
          <w:sz w:val="24"/>
          <w:szCs w:val="24"/>
        </w:rPr>
        <w:t xml:space="preserve">his or her </w:t>
      </w:r>
      <w:r w:rsidR="0049487C">
        <w:rPr>
          <w:sz w:val="24"/>
          <w:szCs w:val="24"/>
        </w:rPr>
        <w:t>Trusted Trader Compliance</w:t>
      </w:r>
      <w:r>
        <w:rPr>
          <w:sz w:val="24"/>
          <w:szCs w:val="24"/>
        </w:rPr>
        <w:t xml:space="preserve"> Plan</w:t>
      </w:r>
      <w:r w:rsidR="0049487C">
        <w:rPr>
          <w:sz w:val="24"/>
          <w:szCs w:val="24"/>
        </w:rPr>
        <w:t xml:space="preserve"> (Compliance Plan)</w:t>
      </w:r>
      <w:r>
        <w:rPr>
          <w:sz w:val="24"/>
          <w:szCs w:val="24"/>
        </w:rPr>
        <w:t xml:space="preserve">. </w:t>
      </w:r>
      <w:r w:rsidR="0018501B">
        <w:rPr>
          <w:sz w:val="24"/>
          <w:szCs w:val="24"/>
        </w:rPr>
        <w:t xml:space="preserve">The proposed rule sets forth required elements for the </w:t>
      </w:r>
      <w:r w:rsidR="0049487C">
        <w:rPr>
          <w:sz w:val="24"/>
          <w:szCs w:val="24"/>
        </w:rPr>
        <w:t>Compliance</w:t>
      </w:r>
      <w:r w:rsidR="0018501B">
        <w:rPr>
          <w:sz w:val="24"/>
          <w:szCs w:val="24"/>
        </w:rPr>
        <w:t xml:space="preserve"> Plan.  </w:t>
      </w:r>
      <w:r w:rsidR="00595F0C">
        <w:rPr>
          <w:sz w:val="24"/>
          <w:szCs w:val="24"/>
        </w:rPr>
        <w:t xml:space="preserve">At a minimum, </w:t>
      </w:r>
      <w:r w:rsidR="0018501B">
        <w:rPr>
          <w:sz w:val="24"/>
          <w:szCs w:val="24"/>
        </w:rPr>
        <w:t>NMFS</w:t>
      </w:r>
      <w:r w:rsidR="000B3BE8">
        <w:rPr>
          <w:sz w:val="24"/>
          <w:szCs w:val="24"/>
        </w:rPr>
        <w:t xml:space="preserve"> will review </w:t>
      </w:r>
      <w:r w:rsidR="0018501B">
        <w:rPr>
          <w:sz w:val="24"/>
          <w:szCs w:val="24"/>
        </w:rPr>
        <w:t xml:space="preserve">the </w:t>
      </w:r>
      <w:r w:rsidR="0049487C">
        <w:rPr>
          <w:sz w:val="24"/>
          <w:szCs w:val="24"/>
        </w:rPr>
        <w:t>Compliance</w:t>
      </w:r>
      <w:r w:rsidR="0018501B">
        <w:rPr>
          <w:sz w:val="24"/>
          <w:szCs w:val="24"/>
        </w:rPr>
        <w:t xml:space="preserve"> Plan</w:t>
      </w:r>
      <w:r w:rsidR="000B3BE8">
        <w:rPr>
          <w:sz w:val="24"/>
          <w:szCs w:val="24"/>
        </w:rPr>
        <w:t xml:space="preserve"> to ensure </w:t>
      </w:r>
      <w:r w:rsidR="006E7F38">
        <w:rPr>
          <w:sz w:val="24"/>
          <w:szCs w:val="24"/>
        </w:rPr>
        <w:t>that</w:t>
      </w:r>
      <w:r w:rsidR="000B3BE8">
        <w:rPr>
          <w:sz w:val="24"/>
          <w:szCs w:val="24"/>
        </w:rPr>
        <w:t xml:space="preserve"> </w:t>
      </w:r>
      <w:r w:rsidR="0018501B">
        <w:rPr>
          <w:sz w:val="24"/>
          <w:szCs w:val="24"/>
        </w:rPr>
        <w:t xml:space="preserve">the </w:t>
      </w:r>
      <w:r w:rsidR="000B3BE8">
        <w:rPr>
          <w:sz w:val="24"/>
          <w:szCs w:val="24"/>
        </w:rPr>
        <w:t>required elements</w:t>
      </w:r>
      <w:r w:rsidR="006E7F38">
        <w:rPr>
          <w:sz w:val="24"/>
          <w:szCs w:val="24"/>
        </w:rPr>
        <w:t xml:space="preserve"> are included</w:t>
      </w:r>
      <w:r w:rsidR="000B3BE8">
        <w:rPr>
          <w:sz w:val="24"/>
          <w:szCs w:val="24"/>
        </w:rPr>
        <w:t xml:space="preserve">. Applications and </w:t>
      </w:r>
      <w:r w:rsidR="00E14643">
        <w:rPr>
          <w:sz w:val="24"/>
          <w:szCs w:val="24"/>
        </w:rPr>
        <w:t>Compliance P</w:t>
      </w:r>
      <w:r w:rsidR="000B3BE8">
        <w:rPr>
          <w:sz w:val="24"/>
          <w:szCs w:val="24"/>
        </w:rPr>
        <w:t xml:space="preserve">lans will not be disseminated to the public, but used internally by NMFS </w:t>
      </w:r>
      <w:r w:rsidR="00267D47">
        <w:rPr>
          <w:sz w:val="24"/>
          <w:szCs w:val="24"/>
        </w:rPr>
        <w:t xml:space="preserve">solely </w:t>
      </w:r>
      <w:r w:rsidR="000B3BE8">
        <w:rPr>
          <w:sz w:val="24"/>
          <w:szCs w:val="24"/>
        </w:rPr>
        <w:t xml:space="preserve">to determine an importer’s eligibility for the CTTP. </w:t>
      </w:r>
    </w:p>
    <w:p w14:paraId="4417B61E" w14:textId="77777777" w:rsidR="004F333D" w:rsidRDefault="004F333D" w:rsidP="0027144B">
      <w:pPr>
        <w:widowControl/>
        <w:autoSpaceDE/>
        <w:autoSpaceDN/>
        <w:adjustRightInd/>
        <w:rPr>
          <w:sz w:val="24"/>
          <w:szCs w:val="24"/>
        </w:rPr>
      </w:pPr>
    </w:p>
    <w:p w14:paraId="5CB2649B"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2CA78A2" w14:textId="77777777" w:rsidR="004F26E9" w:rsidRDefault="004F26E9">
      <w:pPr>
        <w:rPr>
          <w:sz w:val="24"/>
          <w:szCs w:val="24"/>
        </w:rPr>
      </w:pPr>
    </w:p>
    <w:p w14:paraId="6C82AF06" w14:textId="35E7B43F" w:rsidR="005C1616" w:rsidRPr="005C1616" w:rsidRDefault="00B074E5" w:rsidP="005F62A8">
      <w:pPr>
        <w:rPr>
          <w:sz w:val="24"/>
          <w:szCs w:val="24"/>
        </w:rPr>
      </w:pPr>
      <w:r>
        <w:rPr>
          <w:sz w:val="24"/>
          <w:szCs w:val="24"/>
        </w:rPr>
        <w:t xml:space="preserve">Under the </w:t>
      </w:r>
      <w:r w:rsidR="003971F2">
        <w:rPr>
          <w:sz w:val="24"/>
          <w:szCs w:val="24"/>
        </w:rPr>
        <w:t xml:space="preserve">proposed </w:t>
      </w:r>
      <w:r w:rsidR="00FA2048">
        <w:rPr>
          <w:sz w:val="24"/>
          <w:szCs w:val="24"/>
        </w:rPr>
        <w:t xml:space="preserve">rule, </w:t>
      </w:r>
      <w:r>
        <w:rPr>
          <w:sz w:val="24"/>
          <w:szCs w:val="24"/>
        </w:rPr>
        <w:t xml:space="preserve">NMFS </w:t>
      </w:r>
      <w:r w:rsidR="00FA2048" w:rsidRPr="005D3675">
        <w:rPr>
          <w:sz w:val="24"/>
          <w:szCs w:val="24"/>
        </w:rPr>
        <w:t>require</w:t>
      </w:r>
      <w:r>
        <w:rPr>
          <w:sz w:val="24"/>
          <w:szCs w:val="24"/>
        </w:rPr>
        <w:t>s</w:t>
      </w:r>
      <w:r w:rsidR="00FA2048" w:rsidRPr="005D3675">
        <w:rPr>
          <w:sz w:val="24"/>
          <w:szCs w:val="24"/>
        </w:rPr>
        <w:t xml:space="preserve"> </w:t>
      </w:r>
      <w:r w:rsidR="00FA2048">
        <w:rPr>
          <w:sz w:val="24"/>
          <w:szCs w:val="24"/>
        </w:rPr>
        <w:t xml:space="preserve">that </w:t>
      </w:r>
      <w:r w:rsidR="00267D47">
        <w:rPr>
          <w:sz w:val="24"/>
          <w:szCs w:val="24"/>
        </w:rPr>
        <w:t>application to the CTTP</w:t>
      </w:r>
      <w:r w:rsidR="00FA2048">
        <w:rPr>
          <w:sz w:val="24"/>
          <w:szCs w:val="24"/>
        </w:rPr>
        <w:t xml:space="preserve"> be submitted </w:t>
      </w:r>
      <w:r w:rsidR="00FA2048" w:rsidRPr="005D3675">
        <w:rPr>
          <w:sz w:val="24"/>
          <w:szCs w:val="24"/>
        </w:rPr>
        <w:t>electronic</w:t>
      </w:r>
      <w:r w:rsidR="00FA2048">
        <w:rPr>
          <w:sz w:val="24"/>
          <w:szCs w:val="24"/>
        </w:rPr>
        <w:t>ally via</w:t>
      </w:r>
      <w:r w:rsidR="00FA2048" w:rsidRPr="005D3675">
        <w:rPr>
          <w:sz w:val="24"/>
          <w:szCs w:val="24"/>
        </w:rPr>
        <w:t xml:space="preserve"> </w:t>
      </w:r>
      <w:r w:rsidR="00562160">
        <w:rPr>
          <w:sz w:val="24"/>
          <w:szCs w:val="24"/>
        </w:rPr>
        <w:t>a NMFS</w:t>
      </w:r>
      <w:r w:rsidR="00C22579">
        <w:rPr>
          <w:sz w:val="24"/>
          <w:szCs w:val="24"/>
        </w:rPr>
        <w:t xml:space="preserve"> website</w:t>
      </w:r>
      <w:r w:rsidR="00267D47">
        <w:rPr>
          <w:sz w:val="24"/>
          <w:szCs w:val="24"/>
        </w:rPr>
        <w:t xml:space="preserve">. The information required for routine auditing of the program may be presented in either electronic or hard copy format, at the discretion of the CTT, but NMFS would prefer to receive all submissions via electronic </w:t>
      </w:r>
      <w:r w:rsidR="00E641F3">
        <w:rPr>
          <w:sz w:val="24"/>
          <w:szCs w:val="24"/>
        </w:rPr>
        <w:t>mean</w:t>
      </w:r>
      <w:r w:rsidR="00267D47">
        <w:rPr>
          <w:sz w:val="24"/>
          <w:szCs w:val="24"/>
        </w:rPr>
        <w:t>s.</w:t>
      </w:r>
    </w:p>
    <w:p w14:paraId="6C8160A7" w14:textId="77777777" w:rsidR="00614A63" w:rsidRPr="00614A63" w:rsidRDefault="00614A63" w:rsidP="00614A63">
      <w:pPr>
        <w:widowControl/>
        <w:rPr>
          <w:sz w:val="24"/>
          <w:szCs w:val="24"/>
        </w:rPr>
      </w:pPr>
    </w:p>
    <w:p w14:paraId="3A65E107"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17694D8" w14:textId="77777777" w:rsidR="004F26E9" w:rsidRDefault="004F26E9">
      <w:pPr>
        <w:rPr>
          <w:sz w:val="24"/>
          <w:szCs w:val="24"/>
        </w:rPr>
      </w:pPr>
    </w:p>
    <w:p w14:paraId="6D39115C" w14:textId="112DEF42" w:rsidR="00E82C6F" w:rsidRDefault="008E4439">
      <w:pPr>
        <w:rPr>
          <w:sz w:val="24"/>
          <w:szCs w:val="24"/>
        </w:rPr>
      </w:pPr>
      <w:r>
        <w:rPr>
          <w:sz w:val="24"/>
          <w:szCs w:val="24"/>
        </w:rPr>
        <w:t xml:space="preserve">The online application for the CTTP will be tied directly to the importer’s IFTP </w:t>
      </w:r>
      <w:r w:rsidR="00821200">
        <w:rPr>
          <w:sz w:val="24"/>
          <w:szCs w:val="24"/>
        </w:rPr>
        <w:t>on</w:t>
      </w:r>
      <w:r>
        <w:rPr>
          <w:sz w:val="24"/>
          <w:szCs w:val="24"/>
        </w:rPr>
        <w:t xml:space="preserve"> the National Permitting System </w:t>
      </w:r>
      <w:r w:rsidR="00821200">
        <w:rPr>
          <w:sz w:val="24"/>
          <w:szCs w:val="24"/>
        </w:rPr>
        <w:t>web</w:t>
      </w:r>
      <w:r>
        <w:rPr>
          <w:sz w:val="24"/>
          <w:szCs w:val="24"/>
        </w:rPr>
        <w:t xml:space="preserve">site, so the importer will not need to re-enter any </w:t>
      </w:r>
      <w:r w:rsidR="00821200">
        <w:rPr>
          <w:sz w:val="24"/>
          <w:szCs w:val="24"/>
        </w:rPr>
        <w:t xml:space="preserve">identifying </w:t>
      </w:r>
      <w:r>
        <w:rPr>
          <w:sz w:val="24"/>
          <w:szCs w:val="24"/>
        </w:rPr>
        <w:t xml:space="preserve">information already reported to obtain the IFTP. </w:t>
      </w:r>
    </w:p>
    <w:p w14:paraId="5B2CE74F" w14:textId="77777777" w:rsidR="00595F0C" w:rsidRDefault="00595F0C">
      <w:pPr>
        <w:rPr>
          <w:sz w:val="24"/>
          <w:szCs w:val="24"/>
        </w:rPr>
      </w:pPr>
    </w:p>
    <w:p w14:paraId="0790E4ED"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CAB0ECB" w14:textId="77777777" w:rsidR="004F26E9" w:rsidRDefault="004F26E9">
      <w:pPr>
        <w:rPr>
          <w:sz w:val="24"/>
          <w:szCs w:val="24"/>
        </w:rPr>
      </w:pPr>
    </w:p>
    <w:p w14:paraId="29637284" w14:textId="334C8296" w:rsidR="00614A63" w:rsidRPr="00A03462" w:rsidRDefault="00614A63" w:rsidP="00614A63">
      <w:pPr>
        <w:pStyle w:val="CM110"/>
        <w:spacing w:after="0"/>
        <w:rPr>
          <w:rFonts w:ascii="Times New Roman" w:hAnsi="Times New Roman"/>
          <w:color w:val="000000"/>
          <w:szCs w:val="24"/>
        </w:rPr>
      </w:pPr>
      <w:r w:rsidRPr="00A03462">
        <w:rPr>
          <w:rFonts w:ascii="Times New Roman" w:hAnsi="Times New Roman"/>
          <w:color w:val="000000"/>
          <w:szCs w:val="24"/>
        </w:rPr>
        <w:t xml:space="preserve">Since </w:t>
      </w:r>
      <w:r w:rsidR="00461EFA">
        <w:rPr>
          <w:rFonts w:ascii="Times New Roman" w:hAnsi="Times New Roman"/>
          <w:color w:val="000000"/>
          <w:szCs w:val="24"/>
        </w:rPr>
        <w:t>most</w:t>
      </w:r>
      <w:r w:rsidRPr="00A03462">
        <w:rPr>
          <w:rFonts w:ascii="Times New Roman" w:hAnsi="Times New Roman"/>
          <w:color w:val="000000"/>
          <w:szCs w:val="24"/>
        </w:rPr>
        <w:t xml:space="preserve"> of the respondents are considered small businesses, separate requirements based on size of business </w:t>
      </w:r>
      <w:r w:rsidR="002C6158">
        <w:rPr>
          <w:rFonts w:ascii="Times New Roman" w:hAnsi="Times New Roman"/>
          <w:color w:val="000000"/>
          <w:szCs w:val="24"/>
        </w:rPr>
        <w:t>have</w:t>
      </w:r>
      <w:r w:rsidR="00025339">
        <w:rPr>
          <w:rFonts w:ascii="Times New Roman" w:hAnsi="Times New Roman"/>
          <w:color w:val="000000"/>
          <w:szCs w:val="24"/>
        </w:rPr>
        <w:t xml:space="preserve"> </w:t>
      </w:r>
      <w:r w:rsidRPr="00A03462">
        <w:rPr>
          <w:rFonts w:ascii="Times New Roman" w:hAnsi="Times New Roman"/>
          <w:color w:val="000000"/>
          <w:szCs w:val="24"/>
        </w:rPr>
        <w:t>not</w:t>
      </w:r>
      <w:r w:rsidR="00640054">
        <w:rPr>
          <w:rFonts w:ascii="Times New Roman" w:hAnsi="Times New Roman"/>
          <w:color w:val="000000"/>
          <w:szCs w:val="24"/>
        </w:rPr>
        <w:t xml:space="preserve"> be</w:t>
      </w:r>
      <w:r w:rsidR="002C6158">
        <w:rPr>
          <w:rFonts w:ascii="Times New Roman" w:hAnsi="Times New Roman"/>
          <w:color w:val="000000"/>
          <w:szCs w:val="24"/>
        </w:rPr>
        <w:t>en</w:t>
      </w:r>
      <w:r w:rsidR="00640054">
        <w:rPr>
          <w:rFonts w:ascii="Times New Roman" w:hAnsi="Times New Roman"/>
          <w:color w:val="000000"/>
          <w:szCs w:val="24"/>
        </w:rPr>
        <w:t xml:space="preserve"> developed. </w:t>
      </w:r>
      <w:r w:rsidR="00686143">
        <w:rPr>
          <w:rFonts w:ascii="Times New Roman" w:hAnsi="Times New Roman"/>
          <w:color w:val="000000"/>
          <w:szCs w:val="24"/>
        </w:rPr>
        <w:t xml:space="preserve"> </w:t>
      </w:r>
      <w:r w:rsidR="00E72DF2">
        <w:rPr>
          <w:rFonts w:ascii="Times New Roman" w:hAnsi="Times New Roman"/>
          <w:color w:val="000000"/>
          <w:szCs w:val="24"/>
        </w:rPr>
        <w:t>For importers who apply for</w:t>
      </w:r>
      <w:r w:rsidR="00821200">
        <w:rPr>
          <w:rFonts w:ascii="Times New Roman" w:hAnsi="Times New Roman"/>
          <w:color w:val="000000"/>
          <w:szCs w:val="24"/>
        </w:rPr>
        <w:t>,</w:t>
      </w:r>
      <w:r w:rsidR="00E72DF2">
        <w:rPr>
          <w:rFonts w:ascii="Times New Roman" w:hAnsi="Times New Roman"/>
          <w:color w:val="000000"/>
          <w:szCs w:val="24"/>
        </w:rPr>
        <w:t xml:space="preserve"> and are approved under the CTTP, the proposed </w:t>
      </w:r>
      <w:r w:rsidR="00247D7C">
        <w:rPr>
          <w:rFonts w:ascii="Times New Roman" w:hAnsi="Times New Roman"/>
          <w:color w:val="000000"/>
          <w:szCs w:val="24"/>
        </w:rPr>
        <w:t xml:space="preserve">rule </w:t>
      </w:r>
      <w:r w:rsidR="00E72DF2">
        <w:rPr>
          <w:rFonts w:ascii="Times New Roman" w:hAnsi="Times New Roman"/>
          <w:color w:val="000000"/>
          <w:szCs w:val="24"/>
        </w:rPr>
        <w:t xml:space="preserve">would </w:t>
      </w:r>
      <w:r w:rsidR="00247D7C">
        <w:rPr>
          <w:rFonts w:ascii="Times New Roman" w:hAnsi="Times New Roman"/>
          <w:color w:val="000000"/>
          <w:szCs w:val="24"/>
        </w:rPr>
        <w:t>reduce the burden of reporting and recordkeeping</w:t>
      </w:r>
      <w:r w:rsidR="00E72DF2">
        <w:rPr>
          <w:rFonts w:ascii="Times New Roman" w:hAnsi="Times New Roman"/>
          <w:color w:val="000000"/>
          <w:szCs w:val="24"/>
        </w:rPr>
        <w:t xml:space="preserve">.  The proposed rule would create an exemption from </w:t>
      </w:r>
      <w:r w:rsidR="00821200">
        <w:rPr>
          <w:rFonts w:ascii="Times New Roman" w:hAnsi="Times New Roman"/>
          <w:color w:val="000000"/>
          <w:szCs w:val="24"/>
        </w:rPr>
        <w:t xml:space="preserve">certain </w:t>
      </w:r>
      <w:r w:rsidR="00E72DF2">
        <w:rPr>
          <w:rFonts w:ascii="Times New Roman" w:hAnsi="Times New Roman"/>
          <w:color w:val="000000"/>
          <w:szCs w:val="24"/>
        </w:rPr>
        <w:t>SIMP requirements</w:t>
      </w:r>
      <w:r w:rsidR="002E1917">
        <w:rPr>
          <w:rFonts w:ascii="Times New Roman" w:hAnsi="Times New Roman"/>
          <w:color w:val="000000"/>
          <w:szCs w:val="24"/>
        </w:rPr>
        <w:t xml:space="preserve">. First, harvest event </w:t>
      </w:r>
      <w:r w:rsidR="00247D7C">
        <w:rPr>
          <w:rFonts w:ascii="Times New Roman" w:hAnsi="Times New Roman"/>
          <w:color w:val="000000"/>
          <w:szCs w:val="24"/>
        </w:rPr>
        <w:t xml:space="preserve">data </w:t>
      </w:r>
      <w:r w:rsidR="003953D4">
        <w:rPr>
          <w:rFonts w:ascii="Times New Roman" w:hAnsi="Times New Roman"/>
          <w:color w:val="000000"/>
          <w:szCs w:val="24"/>
        </w:rPr>
        <w:t xml:space="preserve">would </w:t>
      </w:r>
      <w:r w:rsidR="00247D7C">
        <w:rPr>
          <w:rFonts w:ascii="Times New Roman" w:hAnsi="Times New Roman"/>
          <w:color w:val="000000"/>
          <w:szCs w:val="24"/>
        </w:rPr>
        <w:t xml:space="preserve">not have to be </w:t>
      </w:r>
      <w:r w:rsidR="002E1917">
        <w:rPr>
          <w:rFonts w:ascii="Times New Roman" w:hAnsi="Times New Roman"/>
          <w:color w:val="000000"/>
          <w:szCs w:val="24"/>
        </w:rPr>
        <w:t>submitt</w:t>
      </w:r>
      <w:r w:rsidR="00247D7C">
        <w:rPr>
          <w:rFonts w:ascii="Times New Roman" w:hAnsi="Times New Roman"/>
          <w:color w:val="000000"/>
          <w:szCs w:val="24"/>
        </w:rPr>
        <w:t>ed at time of entry</w:t>
      </w:r>
      <w:r w:rsidR="002E1917">
        <w:rPr>
          <w:rFonts w:ascii="Times New Roman" w:hAnsi="Times New Roman"/>
          <w:color w:val="000000"/>
          <w:szCs w:val="24"/>
        </w:rPr>
        <w:t xml:space="preserve"> processing. Second, </w:t>
      </w:r>
      <w:r w:rsidR="00247D7C">
        <w:rPr>
          <w:rFonts w:ascii="Times New Roman" w:hAnsi="Times New Roman"/>
          <w:color w:val="000000"/>
          <w:szCs w:val="24"/>
        </w:rPr>
        <w:t xml:space="preserve">records pertaining to the </w:t>
      </w:r>
      <w:r w:rsidR="002E1917">
        <w:rPr>
          <w:rFonts w:ascii="Times New Roman" w:hAnsi="Times New Roman"/>
          <w:color w:val="000000"/>
          <w:szCs w:val="24"/>
        </w:rPr>
        <w:t xml:space="preserve">initial </w:t>
      </w:r>
      <w:r w:rsidR="00247D7C">
        <w:rPr>
          <w:rFonts w:ascii="Times New Roman" w:hAnsi="Times New Roman"/>
          <w:color w:val="000000"/>
          <w:szCs w:val="24"/>
        </w:rPr>
        <w:t>catch</w:t>
      </w:r>
      <w:r w:rsidR="002E1917">
        <w:rPr>
          <w:rFonts w:ascii="Times New Roman" w:hAnsi="Times New Roman"/>
          <w:color w:val="000000"/>
          <w:szCs w:val="24"/>
        </w:rPr>
        <w:t>/production</w:t>
      </w:r>
      <w:r w:rsidR="00247D7C">
        <w:rPr>
          <w:rFonts w:ascii="Times New Roman" w:hAnsi="Times New Roman"/>
          <w:color w:val="000000"/>
          <w:szCs w:val="24"/>
        </w:rPr>
        <w:t xml:space="preserve"> and </w:t>
      </w:r>
      <w:r w:rsidR="002E1917">
        <w:rPr>
          <w:rFonts w:ascii="Times New Roman" w:hAnsi="Times New Roman"/>
          <w:color w:val="000000"/>
          <w:szCs w:val="24"/>
        </w:rPr>
        <w:t xml:space="preserve">subsequent </w:t>
      </w:r>
      <w:r w:rsidR="00247D7C">
        <w:rPr>
          <w:rFonts w:ascii="Times New Roman" w:hAnsi="Times New Roman"/>
          <w:color w:val="000000"/>
          <w:szCs w:val="24"/>
        </w:rPr>
        <w:t xml:space="preserve">supply chain </w:t>
      </w:r>
      <w:r w:rsidR="003953D4">
        <w:rPr>
          <w:rFonts w:ascii="Times New Roman" w:hAnsi="Times New Roman"/>
          <w:color w:val="000000"/>
          <w:szCs w:val="24"/>
        </w:rPr>
        <w:t xml:space="preserve">would </w:t>
      </w:r>
      <w:r w:rsidR="00247D7C">
        <w:rPr>
          <w:rFonts w:ascii="Times New Roman" w:hAnsi="Times New Roman"/>
          <w:color w:val="000000"/>
          <w:szCs w:val="24"/>
        </w:rPr>
        <w:t>not have to be kept with the importer</w:t>
      </w:r>
      <w:r w:rsidR="002E1917">
        <w:rPr>
          <w:rFonts w:ascii="Times New Roman" w:hAnsi="Times New Roman"/>
          <w:color w:val="000000"/>
          <w:szCs w:val="24"/>
        </w:rPr>
        <w:t xml:space="preserve"> as long as the importer is able to furnish records</w:t>
      </w:r>
      <w:r w:rsidR="00247D7C">
        <w:rPr>
          <w:rFonts w:ascii="Times New Roman" w:hAnsi="Times New Roman"/>
          <w:color w:val="000000"/>
          <w:szCs w:val="24"/>
        </w:rPr>
        <w:t xml:space="preserve"> within </w:t>
      </w:r>
      <w:r w:rsidR="00F012F8">
        <w:rPr>
          <w:rFonts w:ascii="Times New Roman" w:hAnsi="Times New Roman"/>
          <w:color w:val="000000"/>
          <w:szCs w:val="24"/>
        </w:rPr>
        <w:t>14 days</w:t>
      </w:r>
      <w:r w:rsidR="00247D7C">
        <w:rPr>
          <w:rFonts w:ascii="Times New Roman" w:hAnsi="Times New Roman"/>
          <w:color w:val="000000"/>
          <w:szCs w:val="24"/>
        </w:rPr>
        <w:t xml:space="preserve"> upon request of NMFS.  </w:t>
      </w:r>
      <w:r w:rsidR="00977C45">
        <w:rPr>
          <w:rFonts w:ascii="Times New Roman" w:hAnsi="Times New Roman"/>
          <w:color w:val="000000"/>
          <w:szCs w:val="24"/>
        </w:rPr>
        <w:t>Such</w:t>
      </w:r>
      <w:r w:rsidR="000B30FD">
        <w:rPr>
          <w:rFonts w:ascii="Times New Roman" w:hAnsi="Times New Roman"/>
          <w:color w:val="000000"/>
          <w:szCs w:val="24"/>
        </w:rPr>
        <w:t xml:space="preserve"> supply chain</w:t>
      </w:r>
      <w:r w:rsidR="00977C45">
        <w:rPr>
          <w:rFonts w:ascii="Times New Roman" w:hAnsi="Times New Roman"/>
          <w:color w:val="000000"/>
          <w:szCs w:val="24"/>
        </w:rPr>
        <w:t xml:space="preserve"> </w:t>
      </w:r>
      <w:r w:rsidR="00BE39FA">
        <w:rPr>
          <w:rFonts w:ascii="Times New Roman" w:hAnsi="Times New Roman"/>
          <w:color w:val="000000"/>
          <w:szCs w:val="24"/>
        </w:rPr>
        <w:t xml:space="preserve">transfer or </w:t>
      </w:r>
      <w:r w:rsidR="00977C45">
        <w:rPr>
          <w:rFonts w:ascii="Times New Roman" w:hAnsi="Times New Roman"/>
          <w:color w:val="000000"/>
          <w:szCs w:val="24"/>
        </w:rPr>
        <w:t xml:space="preserve">chain-of-custody records are produced in the normal course of business by fish dealers, processors, exporters, freight forwarders and carriers. </w:t>
      </w:r>
      <w:r w:rsidR="002E1917">
        <w:rPr>
          <w:rFonts w:ascii="Times New Roman" w:hAnsi="Times New Roman"/>
          <w:color w:val="000000"/>
          <w:szCs w:val="24"/>
        </w:rPr>
        <w:t>For a CTT, these records can remain in the custody of the respective supply chain actors until requested by NMFS.  In such case, the CTT will execute</w:t>
      </w:r>
      <w:r w:rsidR="006A7B90">
        <w:rPr>
          <w:rFonts w:ascii="Times New Roman" w:hAnsi="Times New Roman"/>
          <w:color w:val="000000"/>
          <w:szCs w:val="24"/>
        </w:rPr>
        <w:t xml:space="preserve"> a pre-approved plan to assemble the records.</w:t>
      </w:r>
    </w:p>
    <w:p w14:paraId="672CF397" w14:textId="77777777" w:rsidR="000900CF" w:rsidRDefault="000900CF">
      <w:pPr>
        <w:rPr>
          <w:sz w:val="24"/>
          <w:szCs w:val="24"/>
        </w:rPr>
      </w:pPr>
    </w:p>
    <w:p w14:paraId="4289C631"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A851394" w14:textId="77777777" w:rsidR="004F26E9" w:rsidRDefault="004F26E9">
      <w:pPr>
        <w:rPr>
          <w:sz w:val="24"/>
          <w:szCs w:val="24"/>
        </w:rPr>
      </w:pPr>
    </w:p>
    <w:p w14:paraId="1E4CDD13" w14:textId="5916F6F5" w:rsidR="00461EFA" w:rsidRDefault="00247D7C" w:rsidP="00461EFA">
      <w:pPr>
        <w:widowControl/>
        <w:rPr>
          <w:sz w:val="24"/>
          <w:szCs w:val="24"/>
        </w:rPr>
      </w:pPr>
      <w:r>
        <w:rPr>
          <w:sz w:val="24"/>
        </w:rPr>
        <w:t xml:space="preserve">If the rule is not implemented, there will be no reduction in reporting </w:t>
      </w:r>
      <w:r w:rsidR="005362A6">
        <w:rPr>
          <w:sz w:val="24"/>
        </w:rPr>
        <w:t>o</w:t>
      </w:r>
      <w:r>
        <w:rPr>
          <w:sz w:val="24"/>
        </w:rPr>
        <w:t>r recordkeeping requirements, as all importers will still need to comply fully with the SIMP rule and file all data electronically through ITDS at the time of entry</w:t>
      </w:r>
      <w:r w:rsidR="00595F0C">
        <w:rPr>
          <w:sz w:val="24"/>
        </w:rPr>
        <w:t xml:space="preserve"> and maintain on-hand all </w:t>
      </w:r>
      <w:r w:rsidR="006A7B90">
        <w:rPr>
          <w:sz w:val="24"/>
        </w:rPr>
        <w:t xml:space="preserve">supply chain </w:t>
      </w:r>
      <w:r w:rsidR="00595F0C">
        <w:rPr>
          <w:sz w:val="24"/>
        </w:rPr>
        <w:t>records related to the entry</w:t>
      </w:r>
      <w:r>
        <w:rPr>
          <w:sz w:val="24"/>
        </w:rPr>
        <w:t xml:space="preserve">. </w:t>
      </w:r>
      <w:r w:rsidR="00B6597B" w:rsidRPr="00F21F30">
        <w:rPr>
          <w:sz w:val="24"/>
          <w:szCs w:val="24"/>
        </w:rPr>
        <w:t xml:space="preserve"> </w:t>
      </w:r>
    </w:p>
    <w:p w14:paraId="05C9E03F" w14:textId="77777777" w:rsidR="000900CF" w:rsidRPr="00614A63" w:rsidRDefault="000900CF" w:rsidP="00461EFA">
      <w:pPr>
        <w:widowControl/>
        <w:rPr>
          <w:sz w:val="24"/>
        </w:rPr>
      </w:pPr>
    </w:p>
    <w:p w14:paraId="2CAC8929"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216AD2D" w14:textId="77777777" w:rsidR="004F26E9" w:rsidRDefault="004F26E9">
      <w:pPr>
        <w:rPr>
          <w:sz w:val="24"/>
          <w:szCs w:val="24"/>
        </w:rPr>
      </w:pPr>
    </w:p>
    <w:p w14:paraId="6AFE9BE5" w14:textId="77777777" w:rsidR="00B6597B" w:rsidRDefault="00B6597B" w:rsidP="00B6597B">
      <w:r w:rsidRPr="00B6597B">
        <w:rPr>
          <w:sz w:val="24"/>
        </w:rPr>
        <w:t>Collection of information will be made in a manner consistent with OMB guidelines.</w:t>
      </w:r>
    </w:p>
    <w:p w14:paraId="44AF8678" w14:textId="77777777" w:rsidR="004F26E9" w:rsidRDefault="004F26E9">
      <w:pPr>
        <w:rPr>
          <w:sz w:val="24"/>
          <w:szCs w:val="24"/>
        </w:rPr>
      </w:pPr>
    </w:p>
    <w:p w14:paraId="1CC68130"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0656CEE1" w14:textId="77777777" w:rsidR="004F26E9" w:rsidRDefault="004F26E9">
      <w:pPr>
        <w:rPr>
          <w:sz w:val="24"/>
          <w:szCs w:val="24"/>
        </w:rPr>
      </w:pPr>
    </w:p>
    <w:p w14:paraId="4B4B494E" w14:textId="6C0EF1F4" w:rsidR="00952314" w:rsidRDefault="00640054" w:rsidP="000E3360">
      <w:r>
        <w:rPr>
          <w:sz w:val="24"/>
          <w:szCs w:val="24"/>
        </w:rPr>
        <w:t>A proposed rule, RIN 0648-</w:t>
      </w:r>
      <w:r w:rsidR="00247D7C">
        <w:rPr>
          <w:sz w:val="24"/>
          <w:szCs w:val="24"/>
        </w:rPr>
        <w:t>BG51</w:t>
      </w:r>
      <w:r w:rsidR="002C6158">
        <w:rPr>
          <w:sz w:val="24"/>
          <w:szCs w:val="24"/>
        </w:rPr>
        <w:t xml:space="preserve">, </w:t>
      </w:r>
      <w:r w:rsidR="00247D7C">
        <w:rPr>
          <w:sz w:val="24"/>
          <w:szCs w:val="24"/>
        </w:rPr>
        <w:t xml:space="preserve">will be </w:t>
      </w:r>
      <w:r>
        <w:rPr>
          <w:sz w:val="24"/>
          <w:szCs w:val="24"/>
        </w:rPr>
        <w:t>published coincident with this submission</w:t>
      </w:r>
      <w:r w:rsidR="002C6158">
        <w:rPr>
          <w:sz w:val="24"/>
          <w:szCs w:val="24"/>
        </w:rPr>
        <w:t xml:space="preserve"> to OMB for a</w:t>
      </w:r>
      <w:r w:rsidR="006A7B90">
        <w:rPr>
          <w:sz w:val="24"/>
          <w:szCs w:val="24"/>
        </w:rPr>
        <w:t xml:space="preserve"> revision to the currently approved</w:t>
      </w:r>
      <w:r w:rsidR="002C6158">
        <w:rPr>
          <w:sz w:val="24"/>
          <w:szCs w:val="24"/>
        </w:rPr>
        <w:t xml:space="preserve"> information collection.  The notice of proposed rulemaking </w:t>
      </w:r>
      <w:r w:rsidR="00247D7C">
        <w:rPr>
          <w:sz w:val="24"/>
          <w:szCs w:val="24"/>
        </w:rPr>
        <w:t xml:space="preserve">will </w:t>
      </w:r>
      <w:r w:rsidR="002C6158">
        <w:rPr>
          <w:sz w:val="24"/>
          <w:szCs w:val="24"/>
        </w:rPr>
        <w:t>solicit</w:t>
      </w:r>
      <w:r>
        <w:rPr>
          <w:sz w:val="24"/>
          <w:szCs w:val="24"/>
        </w:rPr>
        <w:t xml:space="preserve"> public comment</w:t>
      </w:r>
      <w:r w:rsidR="002C6158">
        <w:rPr>
          <w:sz w:val="24"/>
          <w:szCs w:val="24"/>
        </w:rPr>
        <w:t xml:space="preserve"> on the</w:t>
      </w:r>
      <w:r w:rsidR="006A7B90">
        <w:rPr>
          <w:sz w:val="24"/>
          <w:szCs w:val="24"/>
        </w:rPr>
        <w:t xml:space="preserve"> CTTP</w:t>
      </w:r>
      <w:r w:rsidR="002C6158">
        <w:rPr>
          <w:sz w:val="24"/>
          <w:szCs w:val="24"/>
        </w:rPr>
        <w:t xml:space="preserve"> </w:t>
      </w:r>
      <w:r w:rsidR="005362A6">
        <w:rPr>
          <w:sz w:val="24"/>
          <w:szCs w:val="24"/>
        </w:rPr>
        <w:t xml:space="preserve">application, </w:t>
      </w:r>
      <w:r w:rsidR="002C6158">
        <w:rPr>
          <w:sz w:val="24"/>
          <w:szCs w:val="24"/>
        </w:rPr>
        <w:t>report</w:t>
      </w:r>
      <w:r w:rsidR="005362A6">
        <w:rPr>
          <w:sz w:val="24"/>
          <w:szCs w:val="24"/>
        </w:rPr>
        <w:t>ing,</w:t>
      </w:r>
      <w:r w:rsidR="002C6158">
        <w:rPr>
          <w:sz w:val="24"/>
          <w:szCs w:val="24"/>
        </w:rPr>
        <w:t xml:space="preserve"> </w:t>
      </w:r>
      <w:r w:rsidR="005F62A8">
        <w:rPr>
          <w:sz w:val="24"/>
          <w:szCs w:val="24"/>
        </w:rPr>
        <w:t xml:space="preserve">auditing and </w:t>
      </w:r>
      <w:r w:rsidR="002C6158">
        <w:rPr>
          <w:sz w:val="24"/>
          <w:szCs w:val="24"/>
        </w:rPr>
        <w:t>recordkeeping requirements</w:t>
      </w:r>
      <w:r>
        <w:rPr>
          <w:sz w:val="24"/>
          <w:szCs w:val="24"/>
        </w:rPr>
        <w:t>.</w:t>
      </w:r>
      <w:r w:rsidR="002C6158">
        <w:rPr>
          <w:sz w:val="24"/>
          <w:szCs w:val="24"/>
        </w:rPr>
        <w:t xml:space="preserve"> </w:t>
      </w:r>
    </w:p>
    <w:p w14:paraId="22481EB0" w14:textId="77777777" w:rsidR="00640054" w:rsidRDefault="00640054">
      <w:pPr>
        <w:rPr>
          <w:sz w:val="24"/>
          <w:szCs w:val="24"/>
        </w:rPr>
      </w:pPr>
    </w:p>
    <w:p w14:paraId="43CE0840"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21F4F93" w14:textId="77777777" w:rsidR="004F26E9" w:rsidRDefault="004F26E9">
      <w:pPr>
        <w:rPr>
          <w:sz w:val="24"/>
          <w:szCs w:val="24"/>
        </w:rPr>
      </w:pPr>
    </w:p>
    <w:p w14:paraId="163C8974" w14:textId="77777777" w:rsidR="004F26E9" w:rsidRPr="00B6597B" w:rsidRDefault="00B6597B">
      <w:pPr>
        <w:rPr>
          <w:spacing w:val="-2"/>
          <w:sz w:val="24"/>
          <w:szCs w:val="24"/>
        </w:rPr>
      </w:pPr>
      <w:r w:rsidRPr="00B6597B">
        <w:rPr>
          <w:spacing w:val="-2"/>
          <w:sz w:val="24"/>
          <w:szCs w:val="24"/>
        </w:rPr>
        <w:t>No payments or gifts are made.</w:t>
      </w:r>
    </w:p>
    <w:p w14:paraId="2B71F2D2" w14:textId="77777777" w:rsidR="000900CF" w:rsidRDefault="000900CF">
      <w:pPr>
        <w:rPr>
          <w:sz w:val="24"/>
          <w:szCs w:val="24"/>
        </w:rPr>
      </w:pPr>
    </w:p>
    <w:p w14:paraId="4D7D274C"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59739D" w14:textId="77777777" w:rsidR="004F26E9" w:rsidRDefault="004F26E9">
      <w:pPr>
        <w:rPr>
          <w:sz w:val="24"/>
          <w:szCs w:val="24"/>
        </w:rPr>
      </w:pPr>
    </w:p>
    <w:p w14:paraId="63B5222E" w14:textId="50E78E90" w:rsidR="00B6597B" w:rsidRPr="00F21F30" w:rsidRDefault="00E82C6F" w:rsidP="00B6597B">
      <w:pPr>
        <w:widowControl/>
      </w:pPr>
      <w:r w:rsidRPr="0081408F">
        <w:rPr>
          <w:sz w:val="24"/>
          <w:szCs w:val="24"/>
        </w:rPr>
        <w:t>T</w:t>
      </w:r>
      <w:r w:rsidR="00B6597B" w:rsidRPr="0081408F">
        <w:rPr>
          <w:sz w:val="24"/>
          <w:szCs w:val="24"/>
        </w:rPr>
        <w:t xml:space="preserve">he information collection </w:t>
      </w:r>
      <w:r w:rsidR="006B70E0" w:rsidRPr="0081408F">
        <w:rPr>
          <w:sz w:val="24"/>
          <w:szCs w:val="24"/>
        </w:rPr>
        <w:t>will be</w:t>
      </w:r>
      <w:r w:rsidR="00B6597B" w:rsidRPr="0081408F">
        <w:rPr>
          <w:sz w:val="24"/>
          <w:szCs w:val="24"/>
        </w:rPr>
        <w:t xml:space="preserve"> considered</w:t>
      </w:r>
      <w:r w:rsidR="006A7B90" w:rsidRPr="0081408F">
        <w:rPr>
          <w:sz w:val="24"/>
          <w:szCs w:val="24"/>
        </w:rPr>
        <w:t xml:space="preserve"> and treated as</w:t>
      </w:r>
      <w:r w:rsidR="00B6597B" w:rsidRPr="0081408F">
        <w:rPr>
          <w:sz w:val="24"/>
          <w:szCs w:val="24"/>
        </w:rPr>
        <w:t xml:space="preserve"> confidential </w:t>
      </w:r>
      <w:r w:rsidR="007772DD" w:rsidRPr="0081408F">
        <w:rPr>
          <w:sz w:val="24"/>
          <w:szCs w:val="24"/>
        </w:rPr>
        <w:t>as required by section 402(b) of the Magnuson-Stevens Act</w:t>
      </w:r>
      <w:r w:rsidR="00766DE6" w:rsidRPr="0081408F">
        <w:rPr>
          <w:sz w:val="24"/>
          <w:szCs w:val="24"/>
        </w:rPr>
        <w:t>, 16 U.S.C. 1881a(b),</w:t>
      </w:r>
      <w:r w:rsidR="007772DD" w:rsidRPr="0081408F">
        <w:rPr>
          <w:sz w:val="24"/>
          <w:szCs w:val="24"/>
        </w:rPr>
        <w:t xml:space="preserve"> and</w:t>
      </w:r>
      <w:r w:rsidR="002A271C" w:rsidRPr="0081408F">
        <w:rPr>
          <w:sz w:val="24"/>
          <w:szCs w:val="24"/>
        </w:rPr>
        <w:t xml:space="preserve"> </w:t>
      </w:r>
      <w:hyperlink r:id="rId10" w:history="1">
        <w:r w:rsidR="002A271C" w:rsidRPr="0081408F">
          <w:rPr>
            <w:rStyle w:val="Hyperlink"/>
            <w:sz w:val="24"/>
            <w:szCs w:val="24"/>
          </w:rPr>
          <w:t>NOAA Administrat</w:t>
        </w:r>
        <w:r w:rsidR="009D3BE1" w:rsidRPr="0081408F">
          <w:rPr>
            <w:rStyle w:val="Hyperlink"/>
            <w:sz w:val="24"/>
            <w:szCs w:val="24"/>
          </w:rPr>
          <w:t>ive</w:t>
        </w:r>
        <w:r w:rsidR="002A271C" w:rsidRPr="0081408F">
          <w:rPr>
            <w:rStyle w:val="Hyperlink"/>
            <w:sz w:val="24"/>
            <w:szCs w:val="24"/>
          </w:rPr>
          <w:t xml:space="preserve"> Order 216-100</w:t>
        </w:r>
      </w:hyperlink>
      <w:r w:rsidR="002A271C">
        <w:rPr>
          <w:sz w:val="24"/>
          <w:szCs w:val="24"/>
        </w:rPr>
        <w:t xml:space="preserve">. </w:t>
      </w:r>
      <w:r w:rsidR="00A3689C">
        <w:rPr>
          <w:sz w:val="24"/>
          <w:szCs w:val="24"/>
        </w:rPr>
        <w:t xml:space="preserve"> </w:t>
      </w:r>
      <w:r w:rsidR="002A271C">
        <w:rPr>
          <w:sz w:val="24"/>
          <w:szCs w:val="24"/>
        </w:rPr>
        <w:t>Where other information coll</w:t>
      </w:r>
      <w:r w:rsidR="00F9343F">
        <w:rPr>
          <w:sz w:val="24"/>
          <w:szCs w:val="24"/>
        </w:rPr>
        <w:t>ection authorities apply</w:t>
      </w:r>
      <w:r w:rsidR="00EF45C3">
        <w:rPr>
          <w:sz w:val="24"/>
          <w:szCs w:val="24"/>
        </w:rPr>
        <w:t xml:space="preserve"> (e.g., Trade Secrets Act)</w:t>
      </w:r>
      <w:r w:rsidR="002A271C">
        <w:rPr>
          <w:sz w:val="24"/>
          <w:szCs w:val="24"/>
        </w:rPr>
        <w:t xml:space="preserve">, </w:t>
      </w:r>
      <w:r w:rsidR="00F9343F">
        <w:rPr>
          <w:sz w:val="24"/>
          <w:szCs w:val="24"/>
        </w:rPr>
        <w:t>i</w:t>
      </w:r>
      <w:r w:rsidR="002A271C">
        <w:rPr>
          <w:sz w:val="24"/>
          <w:szCs w:val="24"/>
        </w:rPr>
        <w:t>nformation coll</w:t>
      </w:r>
      <w:r w:rsidR="00B6597B" w:rsidRPr="00F21F30">
        <w:rPr>
          <w:sz w:val="24"/>
          <w:szCs w:val="24"/>
        </w:rPr>
        <w:t xml:space="preserve">ected </w:t>
      </w:r>
      <w:r w:rsidR="006B70E0">
        <w:rPr>
          <w:sz w:val="24"/>
          <w:szCs w:val="24"/>
        </w:rPr>
        <w:t>will be</w:t>
      </w:r>
      <w:r w:rsidR="00B6597B" w:rsidRPr="00F21F30">
        <w:rPr>
          <w:sz w:val="24"/>
          <w:szCs w:val="24"/>
        </w:rPr>
        <w:t xml:space="preserve"> handled in compliance with agency filing and retention policy.</w:t>
      </w:r>
      <w:r w:rsidR="00051317">
        <w:rPr>
          <w:sz w:val="24"/>
          <w:szCs w:val="24"/>
        </w:rPr>
        <w:t xml:space="preserve"> The data sharing MOU between NMFS and CBP also addresses confidentiality concerns and disclosure provisions for information collected via ACE/ITDS.</w:t>
      </w:r>
    </w:p>
    <w:p w14:paraId="36ED17E0" w14:textId="77777777" w:rsidR="00E82C6F" w:rsidRDefault="00E82C6F">
      <w:pPr>
        <w:rPr>
          <w:b/>
          <w:bCs/>
          <w:sz w:val="24"/>
          <w:szCs w:val="24"/>
        </w:rPr>
      </w:pPr>
    </w:p>
    <w:p w14:paraId="40B9CC0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2D63391" w14:textId="77777777" w:rsidR="004F26E9" w:rsidRDefault="004F26E9">
      <w:pPr>
        <w:rPr>
          <w:sz w:val="24"/>
          <w:szCs w:val="24"/>
        </w:rPr>
      </w:pPr>
    </w:p>
    <w:p w14:paraId="5E850C87" w14:textId="77777777" w:rsidR="00B6597B" w:rsidRPr="00A03462" w:rsidRDefault="00B6597B" w:rsidP="00B6597B">
      <w:pPr>
        <w:pStyle w:val="CM110"/>
        <w:spacing w:after="0"/>
        <w:jc w:val="both"/>
        <w:rPr>
          <w:rFonts w:ascii="Times New Roman" w:hAnsi="Times New Roman"/>
          <w:color w:val="000000"/>
          <w:szCs w:val="24"/>
        </w:rPr>
      </w:pPr>
      <w:r w:rsidRPr="00A03462">
        <w:rPr>
          <w:rFonts w:ascii="Times New Roman" w:hAnsi="Times New Roman"/>
          <w:color w:val="000000"/>
          <w:szCs w:val="24"/>
        </w:rPr>
        <w:t xml:space="preserve">There are no questions of a sensitive nature. </w:t>
      </w:r>
    </w:p>
    <w:p w14:paraId="313E827E" w14:textId="77777777" w:rsidR="000900CF" w:rsidRDefault="000900CF">
      <w:pPr>
        <w:rPr>
          <w:sz w:val="24"/>
          <w:szCs w:val="24"/>
        </w:rPr>
      </w:pPr>
    </w:p>
    <w:p w14:paraId="4620E162"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76733C9F" w14:textId="77777777" w:rsidR="004F26E9" w:rsidRDefault="004F26E9">
      <w:pPr>
        <w:rPr>
          <w:sz w:val="24"/>
          <w:szCs w:val="24"/>
        </w:rPr>
      </w:pPr>
    </w:p>
    <w:p w14:paraId="3DE99FAA" w14:textId="7C5C8413" w:rsidR="001C0D30" w:rsidRDefault="008F113A" w:rsidP="008F113A">
      <w:pPr>
        <w:rPr>
          <w:color w:val="000000"/>
          <w:sz w:val="24"/>
          <w:szCs w:val="24"/>
        </w:rPr>
      </w:pPr>
      <w:r w:rsidRPr="008F113A">
        <w:rPr>
          <w:color w:val="000000"/>
          <w:sz w:val="24"/>
          <w:szCs w:val="24"/>
        </w:rPr>
        <w:t xml:space="preserve">NMFS </w:t>
      </w:r>
      <w:r w:rsidR="008E4439">
        <w:rPr>
          <w:color w:val="000000"/>
          <w:sz w:val="24"/>
          <w:szCs w:val="24"/>
        </w:rPr>
        <w:t xml:space="preserve">is using </w:t>
      </w:r>
      <w:r w:rsidR="00720FE0">
        <w:rPr>
          <w:color w:val="000000"/>
          <w:sz w:val="24"/>
          <w:szCs w:val="24"/>
        </w:rPr>
        <w:t>an</w:t>
      </w:r>
      <w:r w:rsidRPr="008F113A">
        <w:rPr>
          <w:color w:val="000000"/>
          <w:sz w:val="24"/>
          <w:szCs w:val="24"/>
        </w:rPr>
        <w:t xml:space="preserve"> hourly labor rate </w:t>
      </w:r>
      <w:r w:rsidR="008E4439">
        <w:rPr>
          <w:color w:val="000000"/>
          <w:sz w:val="24"/>
          <w:szCs w:val="24"/>
        </w:rPr>
        <w:t>of</w:t>
      </w:r>
      <w:r w:rsidR="008E4439" w:rsidRPr="008F113A">
        <w:rPr>
          <w:color w:val="000000"/>
          <w:sz w:val="24"/>
          <w:szCs w:val="24"/>
        </w:rPr>
        <w:t xml:space="preserve"> </w:t>
      </w:r>
      <w:r w:rsidRPr="008F113A">
        <w:rPr>
          <w:color w:val="000000"/>
          <w:sz w:val="24"/>
          <w:szCs w:val="24"/>
        </w:rPr>
        <w:t xml:space="preserve">$25.00 for </w:t>
      </w:r>
      <w:r w:rsidR="00720FE0">
        <w:rPr>
          <w:color w:val="000000"/>
          <w:sz w:val="24"/>
          <w:szCs w:val="24"/>
        </w:rPr>
        <w:t xml:space="preserve">the application process and reporting of data at entry, </w:t>
      </w:r>
      <w:r w:rsidR="00720FE0" w:rsidRPr="008F113A">
        <w:rPr>
          <w:color w:val="000000"/>
          <w:sz w:val="24"/>
          <w:szCs w:val="24"/>
        </w:rPr>
        <w:t>consistent with the Bureau of Labor Statistics’ fourth quarter 2015 estimate of $23.84 per hour on total cost to the employer for office and administrative support services.</w:t>
      </w:r>
      <w:r w:rsidR="00720FE0">
        <w:rPr>
          <w:color w:val="000000"/>
          <w:sz w:val="24"/>
          <w:szCs w:val="24"/>
        </w:rPr>
        <w:t xml:space="preserve"> A higher rate $50.00 per hour is used for the </w:t>
      </w:r>
      <w:r w:rsidR="009A4C78">
        <w:rPr>
          <w:color w:val="000000"/>
          <w:sz w:val="24"/>
          <w:szCs w:val="24"/>
        </w:rPr>
        <w:t>Trusted Trader Compliance P</w:t>
      </w:r>
      <w:r w:rsidR="008E4439">
        <w:rPr>
          <w:color w:val="000000"/>
          <w:sz w:val="24"/>
          <w:szCs w:val="24"/>
        </w:rPr>
        <w:t xml:space="preserve">lan development and </w:t>
      </w:r>
      <w:r w:rsidR="00720FE0">
        <w:rPr>
          <w:color w:val="000000"/>
          <w:sz w:val="24"/>
          <w:szCs w:val="24"/>
        </w:rPr>
        <w:t>third-party audit contracting, as these duties would likely be completed by an employee with higher training</w:t>
      </w:r>
      <w:r w:rsidR="00136F81">
        <w:rPr>
          <w:color w:val="000000"/>
          <w:sz w:val="24"/>
          <w:szCs w:val="24"/>
        </w:rPr>
        <w:t>, skills</w:t>
      </w:r>
      <w:r w:rsidR="00720FE0">
        <w:rPr>
          <w:color w:val="000000"/>
          <w:sz w:val="24"/>
          <w:szCs w:val="24"/>
        </w:rPr>
        <w:t xml:space="preserve"> and </w:t>
      </w:r>
      <w:r w:rsidR="00994324">
        <w:rPr>
          <w:color w:val="000000"/>
          <w:sz w:val="24"/>
          <w:szCs w:val="24"/>
        </w:rPr>
        <w:t>responsibilities, commensurate with higher wage rate.</w:t>
      </w:r>
    </w:p>
    <w:p w14:paraId="469F18FF" w14:textId="77777777" w:rsidR="008F113A" w:rsidRPr="008F113A" w:rsidRDefault="008F113A" w:rsidP="008F113A">
      <w:pPr>
        <w:rPr>
          <w:color w:val="000000"/>
          <w:sz w:val="24"/>
          <w:szCs w:val="24"/>
        </w:rPr>
      </w:pPr>
    </w:p>
    <w:p w14:paraId="4785AD50" w14:textId="53643D88" w:rsidR="00F625F4" w:rsidRPr="00547C5F" w:rsidRDefault="00F71C26" w:rsidP="00F625F4">
      <w:pPr>
        <w:rPr>
          <w:sz w:val="24"/>
          <w:szCs w:val="24"/>
        </w:rPr>
      </w:pPr>
      <w:r w:rsidRPr="00F625F4">
        <w:rPr>
          <w:b/>
          <w:sz w:val="24"/>
          <w:szCs w:val="24"/>
        </w:rPr>
        <w:t xml:space="preserve">CTTP </w:t>
      </w:r>
      <w:r w:rsidR="008E4439" w:rsidRPr="00F625F4">
        <w:rPr>
          <w:b/>
          <w:sz w:val="24"/>
          <w:szCs w:val="24"/>
        </w:rPr>
        <w:t>Application</w:t>
      </w:r>
      <w:r w:rsidR="008E4439" w:rsidRPr="00136EDF">
        <w:rPr>
          <w:b/>
          <w:sz w:val="24"/>
          <w:szCs w:val="24"/>
        </w:rPr>
        <w:t xml:space="preserve"> </w:t>
      </w:r>
      <w:r w:rsidR="005B2C75" w:rsidRPr="00136EDF">
        <w:rPr>
          <w:b/>
          <w:sz w:val="24"/>
          <w:szCs w:val="24"/>
        </w:rPr>
        <w:t>Requirement</w:t>
      </w:r>
      <w:r w:rsidR="005B2C75" w:rsidRPr="00136EDF">
        <w:rPr>
          <w:sz w:val="24"/>
          <w:szCs w:val="24"/>
        </w:rPr>
        <w:t xml:space="preserve">: </w:t>
      </w:r>
      <w:r w:rsidR="00620C42" w:rsidRPr="00136EDF">
        <w:rPr>
          <w:sz w:val="24"/>
          <w:szCs w:val="24"/>
        </w:rPr>
        <w:t xml:space="preserve">Currently, SIMP is applicable to 13 priority species.  </w:t>
      </w:r>
      <w:r w:rsidR="00994324" w:rsidRPr="00136EDF">
        <w:rPr>
          <w:sz w:val="24"/>
          <w:szCs w:val="24"/>
        </w:rPr>
        <w:t>NMFS estimate</w:t>
      </w:r>
      <w:r w:rsidR="00F625F4" w:rsidRPr="00136EDF">
        <w:rPr>
          <w:sz w:val="24"/>
          <w:szCs w:val="24"/>
        </w:rPr>
        <w:t>d</w:t>
      </w:r>
      <w:r w:rsidR="00994324" w:rsidRPr="00136EDF">
        <w:rPr>
          <w:sz w:val="24"/>
          <w:szCs w:val="24"/>
        </w:rPr>
        <w:t xml:space="preserve"> the number of entities likely to apply for Trusted </w:t>
      </w:r>
      <w:r w:rsidR="00F625F4" w:rsidRPr="00136EDF">
        <w:rPr>
          <w:sz w:val="24"/>
          <w:szCs w:val="24"/>
        </w:rPr>
        <w:t>T</w:t>
      </w:r>
      <w:r w:rsidR="00994324" w:rsidRPr="00136EDF">
        <w:rPr>
          <w:sz w:val="24"/>
          <w:szCs w:val="24"/>
        </w:rPr>
        <w:t>rader status, given the volume of priority species they import and their potential cost savings from being a CTT</w:t>
      </w:r>
      <w:r w:rsidR="00F625F4" w:rsidRPr="00136EDF">
        <w:rPr>
          <w:sz w:val="24"/>
          <w:szCs w:val="24"/>
        </w:rPr>
        <w:t>.</w:t>
      </w:r>
      <w:r w:rsidR="00994324" w:rsidRPr="00F625F4">
        <w:rPr>
          <w:sz w:val="24"/>
          <w:szCs w:val="24"/>
        </w:rPr>
        <w:t xml:space="preserve"> </w:t>
      </w:r>
      <w:r w:rsidR="00F625F4" w:rsidRPr="00136EDF">
        <w:rPr>
          <w:sz w:val="24"/>
          <w:szCs w:val="24"/>
        </w:rPr>
        <w:t xml:space="preserve">This estimate is based on the number of entries an importer files annually. </w:t>
      </w:r>
      <w:r w:rsidR="00F625F4" w:rsidRPr="00547C5F">
        <w:rPr>
          <w:sz w:val="24"/>
          <w:szCs w:val="24"/>
        </w:rPr>
        <w:t xml:space="preserve">Importers who would likely apply for the CTTP are importers for whom the CTTP implementation costs (e.g., annual third-party audit) would </w:t>
      </w:r>
      <w:r w:rsidR="00136EDF">
        <w:rPr>
          <w:sz w:val="24"/>
          <w:szCs w:val="24"/>
        </w:rPr>
        <w:t xml:space="preserve">more than </w:t>
      </w:r>
      <w:r w:rsidR="00F625F4" w:rsidRPr="00547C5F">
        <w:rPr>
          <w:sz w:val="24"/>
          <w:szCs w:val="24"/>
        </w:rPr>
        <w:t xml:space="preserve">offset the costs of </w:t>
      </w:r>
      <w:r w:rsidR="00501F6C">
        <w:rPr>
          <w:sz w:val="24"/>
          <w:szCs w:val="24"/>
        </w:rPr>
        <w:t>otherwis</w:t>
      </w:r>
      <w:r w:rsidR="00547C5F">
        <w:rPr>
          <w:sz w:val="24"/>
          <w:szCs w:val="24"/>
        </w:rPr>
        <w:t>e</w:t>
      </w:r>
      <w:r w:rsidR="00501F6C">
        <w:rPr>
          <w:sz w:val="24"/>
          <w:szCs w:val="24"/>
        </w:rPr>
        <w:t xml:space="preserve"> applicable </w:t>
      </w:r>
      <w:r w:rsidR="00F625F4" w:rsidRPr="00547C5F">
        <w:rPr>
          <w:sz w:val="24"/>
          <w:szCs w:val="24"/>
        </w:rPr>
        <w:t xml:space="preserve">SIMP requirements (e.g., cost of reporting </w:t>
      </w:r>
      <w:r w:rsidR="00AC08C2">
        <w:rPr>
          <w:sz w:val="24"/>
          <w:szCs w:val="24"/>
        </w:rPr>
        <w:t xml:space="preserve">harvest and vessel information for </w:t>
      </w:r>
      <w:r w:rsidR="00F625F4" w:rsidRPr="00547C5F">
        <w:rPr>
          <w:sz w:val="24"/>
          <w:szCs w:val="24"/>
        </w:rPr>
        <w:t xml:space="preserve">each entry of fish or fish products).  NMFS examined 2014 import data to determine the average annual number of entries for which there would be net savings. In comparing the costs of contracting for an </w:t>
      </w:r>
      <w:r w:rsidR="0081408F">
        <w:rPr>
          <w:sz w:val="24"/>
          <w:szCs w:val="24"/>
        </w:rPr>
        <w:t xml:space="preserve">annual </w:t>
      </w:r>
      <w:r w:rsidR="00F625F4" w:rsidRPr="00547C5F">
        <w:rPr>
          <w:sz w:val="24"/>
          <w:szCs w:val="24"/>
        </w:rPr>
        <w:t xml:space="preserve">independent audit in compliance with CTTP to the costs of </w:t>
      </w:r>
      <w:r w:rsidR="00136EDF">
        <w:rPr>
          <w:sz w:val="24"/>
          <w:szCs w:val="24"/>
        </w:rPr>
        <w:t xml:space="preserve">reporting harvest </w:t>
      </w:r>
      <w:r w:rsidR="008B4F86">
        <w:rPr>
          <w:sz w:val="24"/>
          <w:szCs w:val="24"/>
        </w:rPr>
        <w:t>events</w:t>
      </w:r>
      <w:r w:rsidR="00136EDF">
        <w:rPr>
          <w:sz w:val="24"/>
          <w:szCs w:val="24"/>
        </w:rPr>
        <w:t xml:space="preserve"> at </w:t>
      </w:r>
      <w:r w:rsidR="00F625F4" w:rsidRPr="00547C5F">
        <w:rPr>
          <w:sz w:val="24"/>
          <w:szCs w:val="24"/>
        </w:rPr>
        <w:t>entry filing in compliance with SIMP, NMFS estimated that the break-even point is at 250 entry filings per year</w:t>
      </w:r>
      <w:r w:rsidR="00136EDF">
        <w:rPr>
          <w:sz w:val="24"/>
          <w:szCs w:val="24"/>
        </w:rPr>
        <w:t xml:space="preserve"> for a mid-range estimate of audit costs</w:t>
      </w:r>
      <w:r w:rsidR="00F625F4" w:rsidRPr="00547C5F">
        <w:rPr>
          <w:sz w:val="24"/>
          <w:szCs w:val="24"/>
        </w:rPr>
        <w:t>. There were 216 importers who filed more than 250 entries in 2014 (comprising roughly 72% of all entries)</w:t>
      </w:r>
      <w:r w:rsidR="008B4F86" w:rsidRPr="008B4F86">
        <w:rPr>
          <w:sz w:val="24"/>
          <w:szCs w:val="24"/>
        </w:rPr>
        <w:t>.</w:t>
      </w:r>
    </w:p>
    <w:p w14:paraId="651338DE" w14:textId="7DD0EAA6" w:rsidR="00F625F4" w:rsidRPr="00F012F8" w:rsidRDefault="00F625F4" w:rsidP="00F625F4">
      <w:pPr>
        <w:rPr>
          <w:sz w:val="24"/>
          <w:szCs w:val="24"/>
        </w:rPr>
      </w:pPr>
    </w:p>
    <w:p w14:paraId="45520F99" w14:textId="10509FBC" w:rsidR="00463182" w:rsidRDefault="00796CB1" w:rsidP="00EE24F7">
      <w:pPr>
        <w:rPr>
          <w:sz w:val="24"/>
          <w:szCs w:val="24"/>
        </w:rPr>
      </w:pPr>
      <w:r>
        <w:rPr>
          <w:sz w:val="24"/>
          <w:szCs w:val="24"/>
        </w:rPr>
        <w:t>If it takes</w:t>
      </w:r>
      <w:r w:rsidR="005B2C75" w:rsidRPr="00E527E4">
        <w:rPr>
          <w:sz w:val="24"/>
          <w:szCs w:val="24"/>
        </w:rPr>
        <w:t xml:space="preserve"> approximately </w:t>
      </w:r>
      <w:r w:rsidR="008E4439">
        <w:rPr>
          <w:sz w:val="24"/>
          <w:szCs w:val="24"/>
        </w:rPr>
        <w:t>10</w:t>
      </w:r>
      <w:r w:rsidR="008E4439" w:rsidRPr="00E527E4">
        <w:rPr>
          <w:sz w:val="24"/>
          <w:szCs w:val="24"/>
        </w:rPr>
        <w:t xml:space="preserve"> </w:t>
      </w:r>
      <w:r w:rsidR="005B2C75" w:rsidRPr="00E527E4">
        <w:rPr>
          <w:sz w:val="24"/>
          <w:szCs w:val="24"/>
        </w:rPr>
        <w:t xml:space="preserve">minutes to fill out the online </w:t>
      </w:r>
      <w:r w:rsidR="008E4439">
        <w:rPr>
          <w:sz w:val="24"/>
          <w:szCs w:val="24"/>
        </w:rPr>
        <w:t>application</w:t>
      </w:r>
      <w:r>
        <w:rPr>
          <w:sz w:val="24"/>
          <w:szCs w:val="24"/>
        </w:rPr>
        <w:t xml:space="preserve"> and there are approximately 216 applicants</w:t>
      </w:r>
      <w:r w:rsidR="00F71C26">
        <w:rPr>
          <w:sz w:val="24"/>
          <w:szCs w:val="24"/>
        </w:rPr>
        <w:t>,</w:t>
      </w:r>
      <w:r w:rsidR="001E34B8" w:rsidRPr="00E527E4">
        <w:rPr>
          <w:sz w:val="24"/>
          <w:szCs w:val="24"/>
        </w:rPr>
        <w:t xml:space="preserve"> </w:t>
      </w:r>
      <w:r>
        <w:rPr>
          <w:sz w:val="24"/>
          <w:szCs w:val="24"/>
        </w:rPr>
        <w:t xml:space="preserve">this </w:t>
      </w:r>
      <w:r w:rsidR="005B2C75" w:rsidRPr="00E527E4">
        <w:rPr>
          <w:sz w:val="24"/>
          <w:szCs w:val="24"/>
        </w:rPr>
        <w:t>result</w:t>
      </w:r>
      <w:r>
        <w:rPr>
          <w:sz w:val="24"/>
          <w:szCs w:val="24"/>
        </w:rPr>
        <w:t>s</w:t>
      </w:r>
      <w:r w:rsidR="005B2C75" w:rsidRPr="00E527E4">
        <w:rPr>
          <w:sz w:val="24"/>
          <w:szCs w:val="24"/>
        </w:rPr>
        <w:t xml:space="preserve"> in a</w:t>
      </w:r>
      <w:r w:rsidR="00D5001F">
        <w:rPr>
          <w:sz w:val="24"/>
          <w:szCs w:val="24"/>
        </w:rPr>
        <w:t xml:space="preserve"> </w:t>
      </w:r>
      <w:r w:rsidR="00D5001F" w:rsidRPr="00D5001F">
        <w:rPr>
          <w:b/>
          <w:sz w:val="24"/>
          <w:szCs w:val="24"/>
        </w:rPr>
        <w:t>one-time</w:t>
      </w:r>
      <w:r w:rsidR="005B2C75" w:rsidRPr="00D5001F">
        <w:rPr>
          <w:b/>
          <w:sz w:val="24"/>
          <w:szCs w:val="24"/>
        </w:rPr>
        <w:t xml:space="preserve"> total </w:t>
      </w:r>
      <w:r w:rsidR="00D5001F" w:rsidRPr="00D5001F">
        <w:rPr>
          <w:b/>
          <w:sz w:val="24"/>
          <w:szCs w:val="24"/>
        </w:rPr>
        <w:t>of 216 responses and b</w:t>
      </w:r>
      <w:r w:rsidR="005B2C75" w:rsidRPr="00D5001F">
        <w:rPr>
          <w:b/>
          <w:sz w:val="24"/>
          <w:szCs w:val="24"/>
        </w:rPr>
        <w:t xml:space="preserve">urden of </w:t>
      </w:r>
      <w:r w:rsidR="008E4439" w:rsidRPr="00D5001F">
        <w:rPr>
          <w:b/>
          <w:sz w:val="24"/>
          <w:szCs w:val="24"/>
        </w:rPr>
        <w:t xml:space="preserve">36 </w:t>
      </w:r>
      <w:r w:rsidR="005B2C75" w:rsidRPr="00D5001F">
        <w:rPr>
          <w:b/>
          <w:sz w:val="24"/>
          <w:szCs w:val="24"/>
        </w:rPr>
        <w:t>hours</w:t>
      </w:r>
      <w:r w:rsidR="008F113A" w:rsidRPr="00D5001F">
        <w:rPr>
          <w:b/>
          <w:sz w:val="24"/>
          <w:szCs w:val="24"/>
        </w:rPr>
        <w:t xml:space="preserve"> </w:t>
      </w:r>
      <w:r w:rsidR="008F113A" w:rsidRPr="00E527E4">
        <w:rPr>
          <w:sz w:val="24"/>
          <w:szCs w:val="24"/>
        </w:rPr>
        <w:t xml:space="preserve">and a </w:t>
      </w:r>
      <w:r w:rsidR="00990D59">
        <w:rPr>
          <w:sz w:val="24"/>
          <w:szCs w:val="24"/>
        </w:rPr>
        <w:t xml:space="preserve">labor </w:t>
      </w:r>
      <w:r w:rsidR="008F113A" w:rsidRPr="00E527E4">
        <w:rPr>
          <w:sz w:val="24"/>
          <w:szCs w:val="24"/>
        </w:rPr>
        <w:t>cost of $</w:t>
      </w:r>
      <w:r w:rsidR="008E4439">
        <w:rPr>
          <w:sz w:val="24"/>
          <w:szCs w:val="24"/>
        </w:rPr>
        <w:t>900</w:t>
      </w:r>
      <w:r w:rsidR="00CE4514" w:rsidRPr="00E527E4">
        <w:rPr>
          <w:sz w:val="24"/>
          <w:szCs w:val="24"/>
        </w:rPr>
        <w:t>.</w:t>
      </w:r>
      <w:r w:rsidR="007925C7" w:rsidRPr="00E527E4">
        <w:rPr>
          <w:sz w:val="24"/>
          <w:szCs w:val="24"/>
        </w:rPr>
        <w:t xml:space="preserve"> </w:t>
      </w:r>
      <w:r w:rsidR="00463182">
        <w:rPr>
          <w:sz w:val="24"/>
          <w:szCs w:val="24"/>
        </w:rPr>
        <w:t>The burden is annualized to 12 hours</w:t>
      </w:r>
      <w:r w:rsidR="00AA4ADE">
        <w:rPr>
          <w:sz w:val="24"/>
          <w:szCs w:val="24"/>
        </w:rPr>
        <w:t xml:space="preserve"> and $300 in labor costs</w:t>
      </w:r>
      <w:r w:rsidR="00463182">
        <w:rPr>
          <w:sz w:val="24"/>
          <w:szCs w:val="24"/>
        </w:rPr>
        <w:t xml:space="preserve">, </w:t>
      </w:r>
    </w:p>
    <w:p w14:paraId="5E607C81" w14:textId="77777777" w:rsidR="00F71C26" w:rsidRDefault="00F71C26" w:rsidP="00EE24F7">
      <w:pPr>
        <w:rPr>
          <w:sz w:val="24"/>
          <w:szCs w:val="24"/>
        </w:rPr>
      </w:pPr>
    </w:p>
    <w:p w14:paraId="36953B14" w14:textId="0FBF6840" w:rsidR="00F71C26" w:rsidRPr="00960D2C" w:rsidRDefault="00DB5AE0" w:rsidP="00E40275">
      <w:pPr>
        <w:rPr>
          <w:sz w:val="24"/>
          <w:szCs w:val="24"/>
        </w:rPr>
      </w:pPr>
      <w:r>
        <w:rPr>
          <w:b/>
          <w:sz w:val="24"/>
          <w:szCs w:val="24"/>
        </w:rPr>
        <w:t>Trusted Trader Compliance</w:t>
      </w:r>
      <w:r w:rsidR="00F71C26">
        <w:rPr>
          <w:b/>
          <w:sz w:val="24"/>
          <w:szCs w:val="24"/>
        </w:rPr>
        <w:t xml:space="preserve"> Plan Development: </w:t>
      </w:r>
      <w:r w:rsidR="009E5132">
        <w:rPr>
          <w:sz w:val="24"/>
          <w:szCs w:val="24"/>
        </w:rPr>
        <w:t>Many</w:t>
      </w:r>
      <w:r w:rsidR="00F71C26" w:rsidRPr="00F71C26">
        <w:rPr>
          <w:sz w:val="24"/>
          <w:szCs w:val="24"/>
        </w:rPr>
        <w:t xml:space="preserve"> of the </w:t>
      </w:r>
      <w:r w:rsidR="00F71C26">
        <w:rPr>
          <w:sz w:val="24"/>
          <w:szCs w:val="24"/>
        </w:rPr>
        <w:t xml:space="preserve">216 </w:t>
      </w:r>
      <w:r w:rsidR="009E5132">
        <w:rPr>
          <w:sz w:val="24"/>
          <w:szCs w:val="24"/>
        </w:rPr>
        <w:t>CTTP applicants</w:t>
      </w:r>
      <w:r w:rsidR="00F71C26">
        <w:rPr>
          <w:sz w:val="24"/>
          <w:szCs w:val="24"/>
        </w:rPr>
        <w:t xml:space="preserve"> will </w:t>
      </w:r>
      <w:r w:rsidR="009E5132">
        <w:rPr>
          <w:sz w:val="24"/>
          <w:szCs w:val="24"/>
        </w:rPr>
        <w:t xml:space="preserve">likely </w:t>
      </w:r>
      <w:r w:rsidR="00F71C26">
        <w:rPr>
          <w:sz w:val="24"/>
          <w:szCs w:val="24"/>
        </w:rPr>
        <w:t>have some form of internal control plan</w:t>
      </w:r>
      <w:r w:rsidR="001F19F0">
        <w:rPr>
          <w:sz w:val="24"/>
          <w:szCs w:val="24"/>
        </w:rPr>
        <w:t xml:space="preserve"> or systems</w:t>
      </w:r>
      <w:r w:rsidR="00F71C26">
        <w:rPr>
          <w:sz w:val="24"/>
          <w:szCs w:val="24"/>
        </w:rPr>
        <w:t xml:space="preserve"> in place</w:t>
      </w:r>
      <w:r w:rsidR="009E5132">
        <w:rPr>
          <w:sz w:val="24"/>
          <w:szCs w:val="24"/>
        </w:rPr>
        <w:t xml:space="preserve"> </w:t>
      </w:r>
      <w:r w:rsidR="003216D4">
        <w:rPr>
          <w:sz w:val="24"/>
          <w:szCs w:val="24"/>
        </w:rPr>
        <w:t xml:space="preserve">to meet </w:t>
      </w:r>
      <w:r>
        <w:rPr>
          <w:sz w:val="24"/>
          <w:szCs w:val="24"/>
        </w:rPr>
        <w:t xml:space="preserve">standard </w:t>
      </w:r>
      <w:r w:rsidR="003216D4">
        <w:rPr>
          <w:sz w:val="24"/>
          <w:szCs w:val="24"/>
        </w:rPr>
        <w:t>food safety and business management requirements</w:t>
      </w:r>
      <w:r w:rsidR="00E40275">
        <w:rPr>
          <w:sz w:val="24"/>
          <w:szCs w:val="24"/>
        </w:rPr>
        <w:t xml:space="preserve">.  To the extent that there is an existing </w:t>
      </w:r>
      <w:r w:rsidR="008B4F86">
        <w:rPr>
          <w:sz w:val="24"/>
          <w:szCs w:val="24"/>
        </w:rPr>
        <w:t xml:space="preserve">internal control </w:t>
      </w:r>
      <w:r w:rsidR="00E40275">
        <w:rPr>
          <w:sz w:val="24"/>
          <w:szCs w:val="24"/>
        </w:rPr>
        <w:t xml:space="preserve">plan that </w:t>
      </w:r>
      <w:r w:rsidR="008B4F86">
        <w:rPr>
          <w:sz w:val="24"/>
          <w:szCs w:val="24"/>
        </w:rPr>
        <w:t>includes</w:t>
      </w:r>
      <w:r w:rsidR="00E40275">
        <w:rPr>
          <w:sz w:val="24"/>
          <w:szCs w:val="24"/>
        </w:rPr>
        <w:t xml:space="preserve"> procedures </w:t>
      </w:r>
      <w:r w:rsidR="008B4F86">
        <w:rPr>
          <w:sz w:val="24"/>
          <w:szCs w:val="24"/>
        </w:rPr>
        <w:t>to meet</w:t>
      </w:r>
      <w:r w:rsidR="00E40275">
        <w:rPr>
          <w:sz w:val="24"/>
          <w:szCs w:val="24"/>
        </w:rPr>
        <w:t xml:space="preserve"> </w:t>
      </w:r>
      <w:r w:rsidR="008B4F86">
        <w:rPr>
          <w:sz w:val="24"/>
          <w:szCs w:val="24"/>
        </w:rPr>
        <w:t>current food safety and SIMP requirements</w:t>
      </w:r>
      <w:r w:rsidR="00E40275">
        <w:rPr>
          <w:sz w:val="24"/>
          <w:szCs w:val="24"/>
        </w:rPr>
        <w:t xml:space="preserve">, revisions to the plan to be CTTP-specific may not require much time, e.g., </w:t>
      </w:r>
      <w:r w:rsidR="00F71C26">
        <w:rPr>
          <w:sz w:val="24"/>
          <w:szCs w:val="24"/>
        </w:rPr>
        <w:t>no more than 8 hours</w:t>
      </w:r>
      <w:r w:rsidR="00E40275">
        <w:rPr>
          <w:sz w:val="24"/>
          <w:szCs w:val="24"/>
        </w:rPr>
        <w:t xml:space="preserve">.  If a </w:t>
      </w:r>
      <w:r>
        <w:rPr>
          <w:sz w:val="24"/>
          <w:szCs w:val="24"/>
        </w:rPr>
        <w:t>Trusted Trader Compliance P</w:t>
      </w:r>
      <w:r w:rsidR="00E40275">
        <w:rPr>
          <w:sz w:val="24"/>
          <w:szCs w:val="24"/>
        </w:rPr>
        <w:t xml:space="preserve">lan needs to be developed from </w:t>
      </w:r>
      <w:r w:rsidR="001F19F0">
        <w:rPr>
          <w:sz w:val="24"/>
          <w:szCs w:val="24"/>
        </w:rPr>
        <w:t>square one</w:t>
      </w:r>
      <w:r w:rsidR="00F71C26">
        <w:rPr>
          <w:sz w:val="24"/>
          <w:szCs w:val="24"/>
        </w:rPr>
        <w:t xml:space="preserve">, </w:t>
      </w:r>
      <w:r w:rsidR="00A25145">
        <w:rPr>
          <w:sz w:val="24"/>
          <w:szCs w:val="24"/>
        </w:rPr>
        <w:t xml:space="preserve">NMFS estimates that it could take up to 24 hours.  At </w:t>
      </w:r>
      <w:r w:rsidR="00F71C26">
        <w:rPr>
          <w:sz w:val="24"/>
          <w:szCs w:val="24"/>
        </w:rPr>
        <w:t>an hourly rate of $</w:t>
      </w:r>
      <w:r w:rsidR="00994324">
        <w:rPr>
          <w:sz w:val="24"/>
          <w:szCs w:val="24"/>
        </w:rPr>
        <w:t>50</w:t>
      </w:r>
      <w:r w:rsidR="00F71C26">
        <w:rPr>
          <w:sz w:val="24"/>
          <w:szCs w:val="24"/>
        </w:rPr>
        <w:t xml:space="preserve">, </w:t>
      </w:r>
      <w:r w:rsidR="00A25145">
        <w:rPr>
          <w:sz w:val="24"/>
          <w:szCs w:val="24"/>
        </w:rPr>
        <w:t xml:space="preserve">this results </w:t>
      </w:r>
      <w:r w:rsidR="00F71C26">
        <w:rPr>
          <w:sz w:val="24"/>
          <w:szCs w:val="24"/>
        </w:rPr>
        <w:t xml:space="preserve">in a </w:t>
      </w:r>
      <w:r w:rsidR="00D5001F" w:rsidRPr="00D5001F">
        <w:rPr>
          <w:b/>
          <w:sz w:val="24"/>
          <w:szCs w:val="24"/>
        </w:rPr>
        <w:t>one-time total</w:t>
      </w:r>
      <w:r w:rsidR="00F71C26" w:rsidRPr="00D5001F">
        <w:rPr>
          <w:b/>
          <w:sz w:val="24"/>
          <w:szCs w:val="24"/>
        </w:rPr>
        <w:t xml:space="preserve"> </w:t>
      </w:r>
      <w:r w:rsidR="00D5001F" w:rsidRPr="00D5001F">
        <w:rPr>
          <w:b/>
          <w:sz w:val="24"/>
          <w:szCs w:val="24"/>
        </w:rPr>
        <w:t>of 216 responses and</w:t>
      </w:r>
      <w:r w:rsidR="00F71C26" w:rsidRPr="00D5001F">
        <w:rPr>
          <w:b/>
          <w:sz w:val="24"/>
          <w:szCs w:val="24"/>
        </w:rPr>
        <w:t xml:space="preserve"> </w:t>
      </w:r>
      <w:r w:rsidR="001F19F0">
        <w:rPr>
          <w:b/>
          <w:sz w:val="24"/>
          <w:szCs w:val="24"/>
        </w:rPr>
        <w:t xml:space="preserve">between </w:t>
      </w:r>
      <w:r w:rsidR="00F71C26" w:rsidRPr="00D5001F">
        <w:rPr>
          <w:b/>
          <w:sz w:val="24"/>
          <w:szCs w:val="24"/>
        </w:rPr>
        <w:t>1,728</w:t>
      </w:r>
      <w:r w:rsidR="00F71C26">
        <w:rPr>
          <w:sz w:val="24"/>
          <w:szCs w:val="24"/>
        </w:rPr>
        <w:t xml:space="preserve"> </w:t>
      </w:r>
      <w:r w:rsidR="001F19F0" w:rsidRPr="00755FFF">
        <w:rPr>
          <w:b/>
          <w:sz w:val="24"/>
          <w:szCs w:val="24"/>
        </w:rPr>
        <w:t>and 5,184</w:t>
      </w:r>
      <w:r w:rsidR="001F19F0">
        <w:rPr>
          <w:sz w:val="24"/>
          <w:szCs w:val="24"/>
        </w:rPr>
        <w:t xml:space="preserve"> </w:t>
      </w:r>
      <w:r w:rsidR="00F71C26">
        <w:rPr>
          <w:sz w:val="24"/>
          <w:szCs w:val="24"/>
        </w:rPr>
        <w:t>hours</w:t>
      </w:r>
      <w:r w:rsidR="00755FFF">
        <w:rPr>
          <w:sz w:val="24"/>
          <w:szCs w:val="24"/>
        </w:rPr>
        <w:t xml:space="preserve"> (higher estimated used), </w:t>
      </w:r>
      <w:r w:rsidR="00755FFF" w:rsidRPr="00755FFF">
        <w:rPr>
          <w:b/>
          <w:sz w:val="24"/>
          <w:szCs w:val="24"/>
        </w:rPr>
        <w:t>annualized to 1,728 hours</w:t>
      </w:r>
      <w:r w:rsidR="00F71C26">
        <w:rPr>
          <w:sz w:val="24"/>
          <w:szCs w:val="24"/>
        </w:rPr>
        <w:t xml:space="preserve"> and a total one-time</w:t>
      </w:r>
      <w:r w:rsidR="00990D59">
        <w:rPr>
          <w:sz w:val="24"/>
          <w:szCs w:val="24"/>
        </w:rPr>
        <w:t xml:space="preserve"> labor</w:t>
      </w:r>
      <w:r w:rsidR="00F71C26">
        <w:rPr>
          <w:sz w:val="24"/>
          <w:szCs w:val="24"/>
        </w:rPr>
        <w:t xml:space="preserve"> cost of </w:t>
      </w:r>
      <w:r w:rsidR="001F19F0">
        <w:rPr>
          <w:sz w:val="24"/>
          <w:szCs w:val="24"/>
        </w:rPr>
        <w:t xml:space="preserve">between </w:t>
      </w:r>
      <w:r w:rsidR="00F71C26">
        <w:rPr>
          <w:sz w:val="24"/>
          <w:szCs w:val="24"/>
        </w:rPr>
        <w:t>$</w:t>
      </w:r>
      <w:r w:rsidR="00994324">
        <w:rPr>
          <w:sz w:val="24"/>
          <w:szCs w:val="24"/>
        </w:rPr>
        <w:t>86,4</w:t>
      </w:r>
      <w:r w:rsidR="00F71C26">
        <w:rPr>
          <w:sz w:val="24"/>
          <w:szCs w:val="24"/>
        </w:rPr>
        <w:t>00</w:t>
      </w:r>
      <w:r w:rsidR="001F19F0">
        <w:rPr>
          <w:sz w:val="24"/>
          <w:szCs w:val="24"/>
        </w:rPr>
        <w:t xml:space="preserve"> and $259,200</w:t>
      </w:r>
      <w:r w:rsidR="00755FFF">
        <w:rPr>
          <w:sz w:val="24"/>
          <w:szCs w:val="24"/>
        </w:rPr>
        <w:t>, annualized to $86,400</w:t>
      </w:r>
      <w:r w:rsidR="00F71C26">
        <w:rPr>
          <w:sz w:val="24"/>
          <w:szCs w:val="24"/>
        </w:rPr>
        <w:t xml:space="preserve">.  </w:t>
      </w:r>
    </w:p>
    <w:p w14:paraId="16083C6B" w14:textId="77777777" w:rsidR="008F113A" w:rsidRPr="00E527E4" w:rsidRDefault="008F113A" w:rsidP="008F113A">
      <w:pPr>
        <w:rPr>
          <w:b/>
          <w:sz w:val="24"/>
          <w:szCs w:val="24"/>
        </w:rPr>
      </w:pPr>
    </w:p>
    <w:p w14:paraId="60DF08EE" w14:textId="24737A4F" w:rsidR="00EE6A36" w:rsidRDefault="00EE6A36" w:rsidP="00E527E4">
      <w:pPr>
        <w:rPr>
          <w:sz w:val="24"/>
          <w:szCs w:val="24"/>
        </w:rPr>
      </w:pPr>
      <w:r>
        <w:rPr>
          <w:b/>
          <w:sz w:val="24"/>
          <w:szCs w:val="24"/>
        </w:rPr>
        <w:t xml:space="preserve">Annual </w:t>
      </w:r>
      <w:r w:rsidR="00994324">
        <w:rPr>
          <w:b/>
          <w:sz w:val="24"/>
          <w:szCs w:val="24"/>
        </w:rPr>
        <w:t xml:space="preserve">Third-Party Audit: </w:t>
      </w:r>
      <w:r w:rsidR="00994324" w:rsidRPr="00990D59">
        <w:rPr>
          <w:sz w:val="24"/>
          <w:szCs w:val="24"/>
        </w:rPr>
        <w:t>N</w:t>
      </w:r>
      <w:r w:rsidR="00994324">
        <w:rPr>
          <w:sz w:val="24"/>
          <w:szCs w:val="24"/>
        </w:rPr>
        <w:t>MFS</w:t>
      </w:r>
      <w:r w:rsidR="00994324" w:rsidRPr="00990D59">
        <w:rPr>
          <w:sz w:val="24"/>
          <w:szCs w:val="24"/>
        </w:rPr>
        <w:t xml:space="preserve"> estimates one</w:t>
      </w:r>
      <w:r w:rsidR="00994324">
        <w:rPr>
          <w:sz w:val="24"/>
          <w:szCs w:val="24"/>
        </w:rPr>
        <w:t xml:space="preserve"> hour each year for the activity of researching and contracting with a third-party auditor for the annual audit required of this program. This results in a</w:t>
      </w:r>
      <w:r w:rsidR="007D5FD4">
        <w:rPr>
          <w:sz w:val="24"/>
          <w:szCs w:val="24"/>
        </w:rPr>
        <w:t>n</w:t>
      </w:r>
      <w:r w:rsidR="00994324">
        <w:rPr>
          <w:sz w:val="24"/>
          <w:szCs w:val="24"/>
        </w:rPr>
        <w:t xml:space="preserve"> </w:t>
      </w:r>
      <w:r w:rsidR="00D5001F">
        <w:rPr>
          <w:sz w:val="24"/>
          <w:szCs w:val="24"/>
        </w:rPr>
        <w:t xml:space="preserve">annual total </w:t>
      </w:r>
      <w:r w:rsidR="00994324">
        <w:rPr>
          <w:sz w:val="24"/>
          <w:szCs w:val="24"/>
        </w:rPr>
        <w:t xml:space="preserve">of </w:t>
      </w:r>
      <w:r w:rsidR="00994324" w:rsidRPr="00D5001F">
        <w:rPr>
          <w:b/>
          <w:sz w:val="24"/>
          <w:szCs w:val="24"/>
        </w:rPr>
        <w:t>216</w:t>
      </w:r>
      <w:r w:rsidR="00D5001F" w:rsidRPr="00D5001F">
        <w:rPr>
          <w:b/>
          <w:sz w:val="24"/>
          <w:szCs w:val="24"/>
        </w:rPr>
        <w:t xml:space="preserve"> responses and</w:t>
      </w:r>
      <w:r w:rsidR="00994324" w:rsidRPr="00D5001F">
        <w:rPr>
          <w:b/>
          <w:sz w:val="24"/>
          <w:szCs w:val="24"/>
        </w:rPr>
        <w:t xml:space="preserve"> hours</w:t>
      </w:r>
      <w:r w:rsidR="00994324">
        <w:rPr>
          <w:sz w:val="24"/>
          <w:szCs w:val="24"/>
        </w:rPr>
        <w:t>, at an hourly rate of $50, for a total</w:t>
      </w:r>
      <w:r w:rsidR="00990D59">
        <w:rPr>
          <w:sz w:val="24"/>
          <w:szCs w:val="24"/>
        </w:rPr>
        <w:t xml:space="preserve"> labor cost</w:t>
      </w:r>
      <w:r w:rsidR="00994324">
        <w:rPr>
          <w:sz w:val="24"/>
          <w:szCs w:val="24"/>
        </w:rPr>
        <w:t xml:space="preserve"> of $10,800 annually.</w:t>
      </w:r>
      <w:r w:rsidR="002B523D">
        <w:rPr>
          <w:sz w:val="24"/>
          <w:szCs w:val="24"/>
        </w:rPr>
        <w:t xml:space="preserve"> </w:t>
      </w:r>
    </w:p>
    <w:p w14:paraId="4A723D26" w14:textId="77777777" w:rsidR="00EE6A36" w:rsidRDefault="00EE6A36" w:rsidP="00E527E4">
      <w:pPr>
        <w:rPr>
          <w:sz w:val="24"/>
          <w:szCs w:val="24"/>
        </w:rPr>
      </w:pPr>
    </w:p>
    <w:p w14:paraId="6C6BDC7E" w14:textId="59414812" w:rsidR="00E527E4" w:rsidRPr="00FB316F" w:rsidRDefault="00E527E4" w:rsidP="00E527E4">
      <w:pPr>
        <w:rPr>
          <w:b/>
          <w:color w:val="000000"/>
          <w:sz w:val="24"/>
          <w:szCs w:val="24"/>
        </w:rPr>
      </w:pPr>
      <w:r>
        <w:rPr>
          <w:b/>
          <w:sz w:val="24"/>
          <w:szCs w:val="24"/>
        </w:rPr>
        <w:t>Recordkeeping</w:t>
      </w:r>
      <w:r w:rsidRPr="00253B36">
        <w:rPr>
          <w:b/>
          <w:sz w:val="24"/>
          <w:szCs w:val="24"/>
        </w:rPr>
        <w:t xml:space="preserve"> Requirement:</w:t>
      </w:r>
      <w:r>
        <w:rPr>
          <w:b/>
          <w:sz w:val="24"/>
          <w:szCs w:val="24"/>
        </w:rPr>
        <w:t xml:space="preserve">  </w:t>
      </w:r>
      <w:r w:rsidRPr="00E527E4">
        <w:rPr>
          <w:color w:val="000000"/>
          <w:sz w:val="24"/>
          <w:szCs w:val="24"/>
        </w:rPr>
        <w:t xml:space="preserve">The </w:t>
      </w:r>
      <w:r w:rsidR="00813B09">
        <w:rPr>
          <w:color w:val="000000"/>
          <w:sz w:val="24"/>
          <w:szCs w:val="24"/>
        </w:rPr>
        <w:t xml:space="preserve">proposed </w:t>
      </w:r>
      <w:r w:rsidRPr="00E527E4">
        <w:rPr>
          <w:color w:val="000000"/>
          <w:sz w:val="24"/>
          <w:szCs w:val="24"/>
        </w:rPr>
        <w:t xml:space="preserve">rule </w:t>
      </w:r>
      <w:r w:rsidR="00813B09">
        <w:rPr>
          <w:color w:val="000000"/>
          <w:sz w:val="24"/>
          <w:szCs w:val="24"/>
        </w:rPr>
        <w:t xml:space="preserve">provides </w:t>
      </w:r>
      <w:r w:rsidRPr="00E527E4">
        <w:rPr>
          <w:color w:val="000000"/>
          <w:sz w:val="24"/>
          <w:szCs w:val="24"/>
        </w:rPr>
        <w:t xml:space="preserve">that the harvest event records and the chain-of-custody records </w:t>
      </w:r>
      <w:r w:rsidR="00813B09">
        <w:rPr>
          <w:color w:val="000000"/>
          <w:sz w:val="24"/>
          <w:szCs w:val="24"/>
        </w:rPr>
        <w:t xml:space="preserve">must </w:t>
      </w:r>
      <w:r w:rsidRPr="00E527E4">
        <w:rPr>
          <w:color w:val="000000"/>
          <w:sz w:val="24"/>
          <w:szCs w:val="24"/>
        </w:rPr>
        <w:t>be retained by the importer</w:t>
      </w:r>
      <w:r w:rsidR="00106846">
        <w:rPr>
          <w:color w:val="000000"/>
          <w:sz w:val="24"/>
          <w:szCs w:val="24"/>
        </w:rPr>
        <w:t xml:space="preserve">, or within the supply chain as outlined in the importer’s </w:t>
      </w:r>
      <w:r w:rsidR="003E7F56">
        <w:rPr>
          <w:color w:val="000000"/>
          <w:sz w:val="24"/>
          <w:szCs w:val="24"/>
        </w:rPr>
        <w:t>Trusted Trader Compliance</w:t>
      </w:r>
      <w:r w:rsidR="00106846">
        <w:rPr>
          <w:color w:val="000000"/>
          <w:sz w:val="24"/>
          <w:szCs w:val="24"/>
        </w:rPr>
        <w:t xml:space="preserve"> </w:t>
      </w:r>
      <w:r w:rsidR="003E7F56">
        <w:rPr>
          <w:color w:val="000000"/>
          <w:sz w:val="24"/>
          <w:szCs w:val="24"/>
        </w:rPr>
        <w:t>Plan</w:t>
      </w:r>
      <w:r w:rsidR="00106846">
        <w:rPr>
          <w:color w:val="000000"/>
          <w:sz w:val="24"/>
          <w:szCs w:val="24"/>
        </w:rPr>
        <w:t>,</w:t>
      </w:r>
      <w:r w:rsidRPr="00E527E4">
        <w:rPr>
          <w:color w:val="000000"/>
          <w:sz w:val="24"/>
          <w:szCs w:val="24"/>
        </w:rPr>
        <w:t xml:space="preserve"> for </w:t>
      </w:r>
      <w:r w:rsidR="00106846">
        <w:rPr>
          <w:color w:val="000000"/>
          <w:sz w:val="24"/>
          <w:szCs w:val="24"/>
        </w:rPr>
        <w:t xml:space="preserve">at least </w:t>
      </w:r>
      <w:r w:rsidRPr="00E527E4">
        <w:rPr>
          <w:color w:val="000000"/>
          <w:sz w:val="24"/>
          <w:szCs w:val="24"/>
        </w:rPr>
        <w:t xml:space="preserve">two years from </w:t>
      </w:r>
      <w:r w:rsidR="00106846">
        <w:rPr>
          <w:color w:val="000000"/>
          <w:sz w:val="24"/>
          <w:szCs w:val="24"/>
        </w:rPr>
        <w:t>entry</w:t>
      </w:r>
      <w:r w:rsidRPr="00E527E4">
        <w:rPr>
          <w:color w:val="000000"/>
          <w:sz w:val="24"/>
          <w:szCs w:val="24"/>
        </w:rPr>
        <w:t xml:space="preserve">. </w:t>
      </w:r>
      <w:r w:rsidR="00813B09">
        <w:rPr>
          <w:color w:val="000000"/>
          <w:sz w:val="24"/>
          <w:szCs w:val="24"/>
        </w:rPr>
        <w:t xml:space="preserve">This rule </w:t>
      </w:r>
      <w:r w:rsidR="00AD0810">
        <w:rPr>
          <w:color w:val="000000"/>
          <w:sz w:val="24"/>
          <w:szCs w:val="24"/>
        </w:rPr>
        <w:t xml:space="preserve">affords </w:t>
      </w:r>
      <w:r w:rsidR="00813B09">
        <w:rPr>
          <w:color w:val="000000"/>
          <w:sz w:val="24"/>
          <w:szCs w:val="24"/>
        </w:rPr>
        <w:t xml:space="preserve">more flexibility than the SIMP rule, which </w:t>
      </w:r>
      <w:r w:rsidR="0002604F">
        <w:rPr>
          <w:color w:val="000000"/>
          <w:sz w:val="24"/>
          <w:szCs w:val="24"/>
        </w:rPr>
        <w:t xml:space="preserve">requires </w:t>
      </w:r>
      <w:r w:rsidR="00AD0810">
        <w:rPr>
          <w:color w:val="000000"/>
          <w:sz w:val="24"/>
          <w:szCs w:val="24"/>
        </w:rPr>
        <w:t xml:space="preserve">the importer to maintain </w:t>
      </w:r>
      <w:r w:rsidR="00EE6A36">
        <w:rPr>
          <w:color w:val="000000"/>
          <w:sz w:val="24"/>
          <w:szCs w:val="24"/>
        </w:rPr>
        <w:t xml:space="preserve">all chain of custody </w:t>
      </w:r>
      <w:r w:rsidR="00AD0810">
        <w:rPr>
          <w:color w:val="000000"/>
          <w:sz w:val="24"/>
          <w:szCs w:val="24"/>
        </w:rPr>
        <w:t xml:space="preserve">records.  </w:t>
      </w:r>
      <w:r w:rsidR="00106846">
        <w:rPr>
          <w:color w:val="000000"/>
          <w:sz w:val="24"/>
          <w:szCs w:val="24"/>
        </w:rPr>
        <w:t>Th</w:t>
      </w:r>
      <w:r w:rsidR="003B1553">
        <w:rPr>
          <w:color w:val="000000"/>
          <w:sz w:val="24"/>
          <w:szCs w:val="24"/>
        </w:rPr>
        <w:t xml:space="preserve">e two-year recordkeeping time period </w:t>
      </w:r>
      <w:r w:rsidR="00106846">
        <w:rPr>
          <w:color w:val="000000"/>
          <w:sz w:val="24"/>
          <w:szCs w:val="24"/>
        </w:rPr>
        <w:t>is the same requirement as the SIMP rule, so there is no demonstrable change in cost for recordkeeping.</w:t>
      </w:r>
      <w:r w:rsidRPr="00E527E4">
        <w:rPr>
          <w:color w:val="000000"/>
          <w:sz w:val="24"/>
          <w:szCs w:val="24"/>
        </w:rPr>
        <w:t xml:space="preserve"> </w:t>
      </w:r>
      <w:r w:rsidR="00FB38F0">
        <w:rPr>
          <w:color w:val="000000"/>
          <w:sz w:val="24"/>
          <w:szCs w:val="24"/>
        </w:rPr>
        <w:t>Hours are still 144,880</w:t>
      </w:r>
      <w:r w:rsidR="00E43532">
        <w:rPr>
          <w:color w:val="000000"/>
          <w:sz w:val="24"/>
          <w:szCs w:val="24"/>
        </w:rPr>
        <w:t xml:space="preserve"> and labor costs would stay at 3,622,000. </w:t>
      </w:r>
    </w:p>
    <w:p w14:paraId="00F6CC2F" w14:textId="77777777" w:rsidR="00133D5C" w:rsidRDefault="00133D5C" w:rsidP="007030A3">
      <w:pPr>
        <w:rPr>
          <w:b/>
          <w:sz w:val="24"/>
          <w:szCs w:val="24"/>
        </w:rPr>
      </w:pPr>
    </w:p>
    <w:p w14:paraId="1703C4AC" w14:textId="0573C513" w:rsidR="00D34156" w:rsidRPr="00755FFF" w:rsidRDefault="00D34156" w:rsidP="00D5001F">
      <w:pPr>
        <w:pStyle w:val="CommentText"/>
        <w:rPr>
          <w:b/>
          <w:sz w:val="24"/>
          <w:szCs w:val="24"/>
        </w:rPr>
      </w:pPr>
      <w:r>
        <w:rPr>
          <w:b/>
          <w:sz w:val="24"/>
          <w:szCs w:val="24"/>
        </w:rPr>
        <w:t xml:space="preserve">Reporting Requirement: </w:t>
      </w:r>
      <w:r w:rsidR="006C0EF7">
        <w:rPr>
          <w:sz w:val="24"/>
          <w:szCs w:val="24"/>
        </w:rPr>
        <w:t xml:space="preserve">An importer approved under </w:t>
      </w:r>
      <w:r w:rsidRPr="00990D59">
        <w:rPr>
          <w:sz w:val="24"/>
          <w:szCs w:val="24"/>
        </w:rPr>
        <w:t xml:space="preserve">the CTTP </w:t>
      </w:r>
      <w:r w:rsidR="008B4F86">
        <w:rPr>
          <w:sz w:val="24"/>
          <w:szCs w:val="24"/>
        </w:rPr>
        <w:t>would be</w:t>
      </w:r>
      <w:r w:rsidR="006C0EF7">
        <w:rPr>
          <w:sz w:val="24"/>
          <w:szCs w:val="24"/>
        </w:rPr>
        <w:t xml:space="preserve"> exempt from the SIMP requirement </w:t>
      </w:r>
      <w:r>
        <w:rPr>
          <w:sz w:val="24"/>
          <w:szCs w:val="24"/>
        </w:rPr>
        <w:t xml:space="preserve">of reporting harvest data </w:t>
      </w:r>
      <w:r w:rsidR="008B4F86">
        <w:rPr>
          <w:sz w:val="24"/>
          <w:szCs w:val="24"/>
        </w:rPr>
        <w:t>at time of</w:t>
      </w:r>
      <w:r>
        <w:rPr>
          <w:sz w:val="24"/>
          <w:szCs w:val="24"/>
        </w:rPr>
        <w:t xml:space="preserve"> entry, </w:t>
      </w:r>
      <w:r w:rsidR="006C0EF7">
        <w:rPr>
          <w:sz w:val="24"/>
          <w:szCs w:val="24"/>
        </w:rPr>
        <w:t xml:space="preserve">and thus </w:t>
      </w:r>
      <w:r>
        <w:rPr>
          <w:sz w:val="24"/>
          <w:szCs w:val="24"/>
        </w:rPr>
        <w:t xml:space="preserve">is expected to </w:t>
      </w:r>
      <w:r w:rsidR="00136F81">
        <w:rPr>
          <w:sz w:val="24"/>
          <w:szCs w:val="24"/>
        </w:rPr>
        <w:t>realize</w:t>
      </w:r>
      <w:r>
        <w:rPr>
          <w:sz w:val="24"/>
          <w:szCs w:val="24"/>
        </w:rPr>
        <w:t xml:space="preserve"> cost savings of not entering such data. </w:t>
      </w:r>
      <w:r w:rsidR="00CB6696">
        <w:rPr>
          <w:sz w:val="24"/>
          <w:szCs w:val="24"/>
        </w:rPr>
        <w:t xml:space="preserve">SIMP data submission requirements were estimated to increase hours by 87,000 and, using $25/hour, result in labor costs of $2,175,000.  </w:t>
      </w:r>
      <w:r w:rsidR="009B4CEA">
        <w:rPr>
          <w:sz w:val="24"/>
          <w:szCs w:val="24"/>
        </w:rPr>
        <w:t>See Supporting Statement for OMB Control No. 0648-0739 (</w:t>
      </w:r>
      <w:hyperlink r:id="rId11" w:history="1">
        <w:r w:rsidR="00937D12" w:rsidRPr="0081408F">
          <w:rPr>
            <w:rStyle w:val="Hyperlink"/>
            <w:sz w:val="24"/>
            <w:szCs w:val="24"/>
          </w:rPr>
          <w:t>https://www.reginfo.gov/public/do/PRAViewICR?ref_nbr=201612-0648-004</w:t>
        </w:r>
      </w:hyperlink>
      <w:r w:rsidR="009B4CEA">
        <w:rPr>
          <w:sz w:val="24"/>
          <w:szCs w:val="24"/>
        </w:rPr>
        <w:t xml:space="preserve">).  </w:t>
      </w:r>
      <w:r>
        <w:rPr>
          <w:sz w:val="24"/>
          <w:szCs w:val="24"/>
        </w:rPr>
        <w:t>NMFS calculated the time and cost of entry filing</w:t>
      </w:r>
      <w:r w:rsidR="00AC08C2">
        <w:rPr>
          <w:sz w:val="24"/>
          <w:szCs w:val="24"/>
        </w:rPr>
        <w:t xml:space="preserve"> the header record</w:t>
      </w:r>
      <w:r>
        <w:rPr>
          <w:sz w:val="24"/>
          <w:szCs w:val="24"/>
        </w:rPr>
        <w:t xml:space="preserve"> </w:t>
      </w:r>
      <w:r w:rsidR="000503FA">
        <w:rPr>
          <w:sz w:val="24"/>
          <w:szCs w:val="24"/>
        </w:rPr>
        <w:t xml:space="preserve">only </w:t>
      </w:r>
      <w:r w:rsidR="00AD532E">
        <w:rPr>
          <w:sz w:val="24"/>
          <w:szCs w:val="24"/>
        </w:rPr>
        <w:t xml:space="preserve">(IFTP number and species codes) </w:t>
      </w:r>
      <w:r w:rsidR="00AC08C2">
        <w:rPr>
          <w:sz w:val="24"/>
          <w:szCs w:val="24"/>
        </w:rPr>
        <w:t xml:space="preserve">for the CTTP </w:t>
      </w:r>
      <w:r>
        <w:rPr>
          <w:sz w:val="24"/>
          <w:szCs w:val="24"/>
        </w:rPr>
        <w:t xml:space="preserve">to be 12 minutes at $25 per hour, for a cost per entry of $5. </w:t>
      </w:r>
      <w:r w:rsidR="00AC08C2">
        <w:rPr>
          <w:sz w:val="24"/>
          <w:szCs w:val="24"/>
        </w:rPr>
        <w:t xml:space="preserve">A SIMP filing (header and vessel records) is estimated to take 36 minutes at $25 per hour, for a cost per entry of $15. </w:t>
      </w:r>
      <w:r>
        <w:rPr>
          <w:sz w:val="24"/>
          <w:szCs w:val="24"/>
        </w:rPr>
        <w:t xml:space="preserve">Using available data from 2014, the average number of entries for the 216 importers filing 250 or more entries, which is the point at which NMFS believes an entity would likely choose to become a CTT, is </w:t>
      </w:r>
      <w:r w:rsidR="0081408F">
        <w:rPr>
          <w:sz w:val="24"/>
          <w:szCs w:val="24"/>
        </w:rPr>
        <w:t>750</w:t>
      </w:r>
      <w:r>
        <w:rPr>
          <w:sz w:val="24"/>
          <w:szCs w:val="24"/>
        </w:rPr>
        <w:t>.</w:t>
      </w:r>
      <w:r w:rsidRPr="00D5001F">
        <w:rPr>
          <w:sz w:val="24"/>
          <w:szCs w:val="24"/>
        </w:rPr>
        <w:t xml:space="preserve"> </w:t>
      </w:r>
      <w:r w:rsidR="00D5001F" w:rsidRPr="00D5001F">
        <w:rPr>
          <w:sz w:val="24"/>
          <w:szCs w:val="24"/>
        </w:rPr>
        <w:t xml:space="preserve">The 216 filers have an average of 750 filings each (162,000 total filings), at 12 minutes (0.2 hour) per filing, which is </w:t>
      </w:r>
      <w:r w:rsidR="000503FA">
        <w:rPr>
          <w:sz w:val="24"/>
          <w:szCs w:val="24"/>
        </w:rPr>
        <w:t>64,8</w:t>
      </w:r>
      <w:r w:rsidR="00D5001F" w:rsidRPr="00D5001F">
        <w:rPr>
          <w:sz w:val="24"/>
          <w:szCs w:val="24"/>
        </w:rPr>
        <w:t xml:space="preserve">00 hours total saved by not having to file </w:t>
      </w:r>
      <w:r w:rsidR="000503FA">
        <w:rPr>
          <w:sz w:val="24"/>
          <w:szCs w:val="24"/>
        </w:rPr>
        <w:t xml:space="preserve">the complete harvest and vessel record set </w:t>
      </w:r>
      <w:r w:rsidR="00D5001F" w:rsidRPr="00D5001F">
        <w:rPr>
          <w:sz w:val="24"/>
          <w:szCs w:val="24"/>
        </w:rPr>
        <w:t>prior to entry</w:t>
      </w:r>
      <w:r w:rsidR="00D5001F">
        <w:rPr>
          <w:sz w:val="24"/>
          <w:szCs w:val="24"/>
        </w:rPr>
        <w:t xml:space="preserve">. </w:t>
      </w:r>
      <w:r w:rsidR="00F63FED">
        <w:rPr>
          <w:sz w:val="24"/>
          <w:szCs w:val="24"/>
        </w:rPr>
        <w:t>The total reduction</w:t>
      </w:r>
      <w:r w:rsidR="002F1C20">
        <w:rPr>
          <w:sz w:val="24"/>
          <w:szCs w:val="24"/>
        </w:rPr>
        <w:t xml:space="preserve"> from 144,880</w:t>
      </w:r>
      <w:r w:rsidR="00B36DE0">
        <w:rPr>
          <w:sz w:val="24"/>
          <w:szCs w:val="24"/>
        </w:rPr>
        <w:t>, relative to the baseline originally calculated for SIMP,</w:t>
      </w:r>
      <w:r>
        <w:rPr>
          <w:sz w:val="24"/>
          <w:szCs w:val="24"/>
        </w:rPr>
        <w:t xml:space="preserve"> would be </w:t>
      </w:r>
      <w:r w:rsidR="000503FA">
        <w:rPr>
          <w:sz w:val="24"/>
          <w:szCs w:val="24"/>
        </w:rPr>
        <w:t>64,8</w:t>
      </w:r>
      <w:r>
        <w:rPr>
          <w:sz w:val="24"/>
          <w:szCs w:val="24"/>
        </w:rPr>
        <w:t xml:space="preserve">00 hours at a </w:t>
      </w:r>
      <w:r w:rsidR="00D5001F">
        <w:rPr>
          <w:sz w:val="24"/>
          <w:szCs w:val="24"/>
        </w:rPr>
        <w:t xml:space="preserve">labor </w:t>
      </w:r>
      <w:r>
        <w:rPr>
          <w:sz w:val="24"/>
          <w:szCs w:val="24"/>
        </w:rPr>
        <w:t>cost savings of $</w:t>
      </w:r>
      <w:r w:rsidR="000503FA">
        <w:rPr>
          <w:sz w:val="24"/>
          <w:szCs w:val="24"/>
        </w:rPr>
        <w:t>1,620</w:t>
      </w:r>
      <w:r>
        <w:rPr>
          <w:sz w:val="24"/>
          <w:szCs w:val="24"/>
        </w:rPr>
        <w:t>,000 annually.</w:t>
      </w:r>
      <w:r w:rsidR="00003B59">
        <w:rPr>
          <w:sz w:val="24"/>
          <w:szCs w:val="24"/>
        </w:rPr>
        <w:t xml:space="preserve">  Roughly, this is a reduction of</w:t>
      </w:r>
      <w:r w:rsidR="0081408F">
        <w:rPr>
          <w:sz w:val="24"/>
          <w:szCs w:val="24"/>
        </w:rPr>
        <w:t xml:space="preserve"> </w:t>
      </w:r>
      <w:r w:rsidR="00B36DE0">
        <w:rPr>
          <w:sz w:val="24"/>
          <w:szCs w:val="24"/>
        </w:rPr>
        <w:t>22</w:t>
      </w:r>
      <w:r w:rsidR="00003B59">
        <w:rPr>
          <w:sz w:val="24"/>
          <w:szCs w:val="24"/>
        </w:rPr>
        <w:t>% for hours and labor costs</w:t>
      </w:r>
      <w:r w:rsidR="000E3442">
        <w:rPr>
          <w:sz w:val="24"/>
          <w:szCs w:val="24"/>
        </w:rPr>
        <w:t xml:space="preserve"> relative to that estimated f</w:t>
      </w:r>
      <w:r w:rsidR="00576187">
        <w:rPr>
          <w:sz w:val="24"/>
          <w:szCs w:val="24"/>
        </w:rPr>
        <w:t>o</w:t>
      </w:r>
      <w:r w:rsidR="000E3442">
        <w:rPr>
          <w:sz w:val="24"/>
          <w:szCs w:val="24"/>
        </w:rPr>
        <w:t>r SIMP</w:t>
      </w:r>
      <w:r w:rsidR="0081408F">
        <w:rPr>
          <w:sz w:val="24"/>
          <w:szCs w:val="24"/>
        </w:rPr>
        <w:t>.</w:t>
      </w:r>
      <w:r w:rsidR="00755FFF">
        <w:rPr>
          <w:sz w:val="24"/>
          <w:szCs w:val="24"/>
        </w:rPr>
        <w:t xml:space="preserve"> </w:t>
      </w:r>
      <w:r w:rsidR="00755FFF" w:rsidRPr="00755FFF">
        <w:rPr>
          <w:b/>
          <w:sz w:val="24"/>
          <w:szCs w:val="24"/>
        </w:rPr>
        <w:t>New total hours will be 80,080 and labor costs, $2,002,000.</w:t>
      </w:r>
    </w:p>
    <w:p w14:paraId="0C9F4A7D" w14:textId="2E35DC80" w:rsidR="00D06EC9" w:rsidRDefault="00D06EC9" w:rsidP="00D5001F">
      <w:pPr>
        <w:pStyle w:val="CommentText"/>
        <w:rPr>
          <w:sz w:val="24"/>
          <w:szCs w:val="24"/>
        </w:rPr>
      </w:pPr>
    </w:p>
    <w:p w14:paraId="567F3F15" w14:textId="77777777" w:rsidR="0081177D" w:rsidRDefault="0081177D" w:rsidP="00D5001F">
      <w:pPr>
        <w:pStyle w:val="CommentText"/>
        <w:rPr>
          <w:b/>
          <w:sz w:val="24"/>
          <w:szCs w:val="24"/>
        </w:rPr>
      </w:pPr>
    </w:p>
    <w:p w14:paraId="6AA3E1F1" w14:textId="77777777" w:rsidR="0081177D" w:rsidRDefault="0081177D" w:rsidP="00D5001F">
      <w:pPr>
        <w:pStyle w:val="CommentText"/>
        <w:rPr>
          <w:b/>
          <w:sz w:val="24"/>
          <w:szCs w:val="24"/>
        </w:rPr>
      </w:pPr>
    </w:p>
    <w:p w14:paraId="6358F3AA" w14:textId="660ED924" w:rsidR="000E3442" w:rsidRPr="0035098B" w:rsidRDefault="000E3442" w:rsidP="00D5001F">
      <w:pPr>
        <w:pStyle w:val="CommentText"/>
        <w:rPr>
          <w:b/>
          <w:sz w:val="24"/>
          <w:szCs w:val="24"/>
        </w:rPr>
      </w:pPr>
      <w:r w:rsidRPr="0035098B">
        <w:rPr>
          <w:b/>
          <w:sz w:val="24"/>
          <w:szCs w:val="24"/>
        </w:rPr>
        <w:t>Requested Burden Adjustments for the CTTP</w:t>
      </w:r>
    </w:p>
    <w:p w14:paraId="0E1BCD96" w14:textId="77777777" w:rsidR="00153819" w:rsidRDefault="00153819" w:rsidP="00D5001F">
      <w:pPr>
        <w:pStyle w:val="CommentText"/>
        <w:rPr>
          <w:sz w:val="24"/>
          <w:szCs w:val="24"/>
        </w:rPr>
      </w:pPr>
    </w:p>
    <w:p w14:paraId="6D9F3317" w14:textId="4BC7583A" w:rsidR="00BC064B" w:rsidRDefault="00D06EC9" w:rsidP="00D5001F">
      <w:pPr>
        <w:pStyle w:val="CommentText"/>
        <w:rPr>
          <w:sz w:val="24"/>
          <w:szCs w:val="24"/>
        </w:rPr>
      </w:pPr>
      <w:r>
        <w:rPr>
          <w:sz w:val="24"/>
          <w:szCs w:val="24"/>
        </w:rPr>
        <w:t xml:space="preserve">When NMFS analyzed the SIMP reporting requirements, it also </w:t>
      </w:r>
      <w:r w:rsidR="00153819">
        <w:rPr>
          <w:sz w:val="24"/>
          <w:szCs w:val="24"/>
        </w:rPr>
        <w:t>developed</w:t>
      </w:r>
      <w:r>
        <w:rPr>
          <w:sz w:val="24"/>
          <w:szCs w:val="24"/>
        </w:rPr>
        <w:t xml:space="preserve"> an </w:t>
      </w:r>
      <w:r w:rsidR="000E3442">
        <w:rPr>
          <w:sz w:val="24"/>
          <w:szCs w:val="24"/>
        </w:rPr>
        <w:t>a</w:t>
      </w:r>
      <w:r w:rsidR="00A7524D">
        <w:rPr>
          <w:sz w:val="24"/>
          <w:szCs w:val="24"/>
        </w:rPr>
        <w:t>lternative Upper Bound Estimate</w:t>
      </w:r>
      <w:r w:rsidR="00CB6696">
        <w:rPr>
          <w:sz w:val="24"/>
          <w:szCs w:val="24"/>
        </w:rPr>
        <w:t xml:space="preserve"> based on costs per container versus costs per entry</w:t>
      </w:r>
      <w:r w:rsidR="00A7524D">
        <w:rPr>
          <w:sz w:val="24"/>
          <w:szCs w:val="24"/>
        </w:rPr>
        <w:t>.  See Supporting Statement for OMB Control No. 0648-</w:t>
      </w:r>
      <w:r w:rsidR="00153819">
        <w:rPr>
          <w:sz w:val="24"/>
          <w:szCs w:val="24"/>
        </w:rPr>
        <w:t xml:space="preserve"> </w:t>
      </w:r>
      <w:r w:rsidR="00A7524D">
        <w:rPr>
          <w:sz w:val="24"/>
          <w:szCs w:val="24"/>
        </w:rPr>
        <w:t>073</w:t>
      </w:r>
      <w:r w:rsidR="00153819">
        <w:rPr>
          <w:sz w:val="24"/>
          <w:szCs w:val="24"/>
        </w:rPr>
        <w:t>9 [</w:t>
      </w:r>
      <w:hyperlink r:id="rId12" w:history="1">
        <w:r w:rsidR="00937D12" w:rsidRPr="0081408F">
          <w:rPr>
            <w:rStyle w:val="Hyperlink"/>
            <w:sz w:val="24"/>
            <w:szCs w:val="24"/>
          </w:rPr>
          <w:t>https://www.reginfo.gov/public/do/PRAViewICR?ref_nbr=201612-0648-004</w:t>
        </w:r>
      </w:hyperlink>
      <w:r w:rsidR="00153819">
        <w:rPr>
          <w:sz w:val="24"/>
          <w:szCs w:val="24"/>
        </w:rPr>
        <w:t>]</w:t>
      </w:r>
      <w:r w:rsidR="00BC581C">
        <w:rPr>
          <w:sz w:val="24"/>
          <w:szCs w:val="24"/>
        </w:rPr>
        <w:t xml:space="preserve"> and </w:t>
      </w:r>
      <w:r w:rsidR="00153819">
        <w:rPr>
          <w:sz w:val="24"/>
          <w:szCs w:val="24"/>
        </w:rPr>
        <w:t xml:space="preserve">the Final Regulatory Impact Review/Final Regulatory Flexibility Analysis </w:t>
      </w:r>
      <w:r w:rsidR="00BC581C">
        <w:rPr>
          <w:sz w:val="24"/>
          <w:szCs w:val="24"/>
        </w:rPr>
        <w:t>[</w:t>
      </w:r>
      <w:hyperlink r:id="rId13" w:history="1">
        <w:r w:rsidR="00B36DE0" w:rsidRPr="0081408F">
          <w:rPr>
            <w:rStyle w:val="Hyperlink"/>
            <w:sz w:val="24"/>
            <w:szCs w:val="24"/>
          </w:rPr>
          <w:t>https://www.regulations.gov/document?D=NOAA-NMFS-2015-0122-0112</w:t>
        </w:r>
      </w:hyperlink>
      <w:r w:rsidR="00BC581C">
        <w:rPr>
          <w:sz w:val="24"/>
          <w:szCs w:val="24"/>
        </w:rPr>
        <w:t>]</w:t>
      </w:r>
      <w:r w:rsidR="00A7524D">
        <w:rPr>
          <w:sz w:val="24"/>
          <w:szCs w:val="24"/>
        </w:rPr>
        <w:t>.</w:t>
      </w:r>
      <w:r w:rsidR="000D7A9B">
        <w:rPr>
          <w:sz w:val="24"/>
          <w:szCs w:val="24"/>
        </w:rPr>
        <w:t xml:space="preserve">  </w:t>
      </w:r>
      <w:r w:rsidR="00BC581C">
        <w:rPr>
          <w:sz w:val="24"/>
          <w:szCs w:val="24"/>
        </w:rPr>
        <w:t xml:space="preserve">The </w:t>
      </w:r>
      <w:r w:rsidR="000E3442">
        <w:rPr>
          <w:sz w:val="24"/>
          <w:szCs w:val="24"/>
        </w:rPr>
        <w:t>alternative Upper B</w:t>
      </w:r>
      <w:r w:rsidR="00BC064B">
        <w:rPr>
          <w:sz w:val="24"/>
          <w:szCs w:val="24"/>
        </w:rPr>
        <w:t xml:space="preserve">ound </w:t>
      </w:r>
      <w:r w:rsidR="000E3442">
        <w:rPr>
          <w:sz w:val="24"/>
          <w:szCs w:val="24"/>
        </w:rPr>
        <w:t>E</w:t>
      </w:r>
      <w:r w:rsidR="00BC581C">
        <w:rPr>
          <w:sz w:val="24"/>
          <w:szCs w:val="24"/>
        </w:rPr>
        <w:t>stimate was based on an analytical approach submitted during public comment on the SIMP proposed rule by the National Fisheries Institute (NFI). For th</w:t>
      </w:r>
      <w:r w:rsidR="00153819">
        <w:rPr>
          <w:sz w:val="24"/>
          <w:szCs w:val="24"/>
        </w:rPr>
        <w:t>e Upper Bound Estimate</w:t>
      </w:r>
      <w:r w:rsidR="00BC581C">
        <w:rPr>
          <w:sz w:val="24"/>
          <w:szCs w:val="24"/>
        </w:rPr>
        <w:t xml:space="preserve"> analysis, NMFS adopted NFI’s assumption that a container corresponds to an entry filing.  However, a single entry filing could contain multiple containers with the same product (single HTS code), and</w:t>
      </w:r>
      <w:r w:rsidR="00BC064B">
        <w:rPr>
          <w:sz w:val="24"/>
          <w:szCs w:val="24"/>
        </w:rPr>
        <w:t>/or</w:t>
      </w:r>
      <w:r w:rsidR="00BC581C">
        <w:rPr>
          <w:sz w:val="24"/>
          <w:szCs w:val="24"/>
        </w:rPr>
        <w:t xml:space="preserve"> multiple entry lines may pertain to a single container with different products declared under multiple HTS codes.  [</w:t>
      </w:r>
      <w:r w:rsidR="00BC064B">
        <w:rPr>
          <w:sz w:val="24"/>
          <w:szCs w:val="24"/>
        </w:rPr>
        <w:t>See</w:t>
      </w:r>
      <w:r w:rsidR="00BC581C">
        <w:rPr>
          <w:sz w:val="24"/>
          <w:szCs w:val="24"/>
        </w:rPr>
        <w:t xml:space="preserve"> SIMP final rule RIR</w:t>
      </w:r>
      <w:r w:rsidR="00153819">
        <w:rPr>
          <w:sz w:val="24"/>
          <w:szCs w:val="24"/>
        </w:rPr>
        <w:t>/FRFA</w:t>
      </w:r>
      <w:r w:rsidR="00BC581C">
        <w:rPr>
          <w:sz w:val="24"/>
          <w:szCs w:val="24"/>
        </w:rPr>
        <w:t xml:space="preserve"> at page 13].</w:t>
      </w:r>
      <w:r w:rsidR="00BC064B">
        <w:rPr>
          <w:sz w:val="24"/>
          <w:szCs w:val="24"/>
        </w:rPr>
        <w:t xml:space="preserve">  Data are not available to estimate the likelihood of cost savings for CTTs based on the number of containers imported annually. Therefore</w:t>
      </w:r>
      <w:r w:rsidR="00D74892">
        <w:rPr>
          <w:sz w:val="24"/>
          <w:szCs w:val="24"/>
        </w:rPr>
        <w:t>,</w:t>
      </w:r>
      <w:r w:rsidR="00BC064B">
        <w:rPr>
          <w:sz w:val="24"/>
          <w:szCs w:val="24"/>
        </w:rPr>
        <w:t xml:space="preserve"> NMFS estimated the burden reductions </w:t>
      </w:r>
      <w:r w:rsidR="000E3442">
        <w:rPr>
          <w:sz w:val="24"/>
          <w:szCs w:val="24"/>
        </w:rPr>
        <w:t xml:space="preserve">for the CTTP </w:t>
      </w:r>
      <w:r w:rsidR="00BC064B">
        <w:rPr>
          <w:sz w:val="24"/>
          <w:szCs w:val="24"/>
        </w:rPr>
        <w:t>using actual</w:t>
      </w:r>
      <w:r w:rsidR="000E3442">
        <w:rPr>
          <w:sz w:val="24"/>
          <w:szCs w:val="24"/>
        </w:rPr>
        <w:t xml:space="preserve"> entry filing data and assumed</w:t>
      </w:r>
      <w:r w:rsidR="00BC064B">
        <w:rPr>
          <w:sz w:val="24"/>
          <w:szCs w:val="24"/>
        </w:rPr>
        <w:t xml:space="preserve"> a linear relationship with the burden</w:t>
      </w:r>
      <w:r w:rsidR="000E3442">
        <w:rPr>
          <w:sz w:val="24"/>
          <w:szCs w:val="24"/>
        </w:rPr>
        <w:t xml:space="preserve"> estimate previously</w:t>
      </w:r>
      <w:r w:rsidR="00BC064B">
        <w:rPr>
          <w:sz w:val="24"/>
          <w:szCs w:val="24"/>
        </w:rPr>
        <w:t xml:space="preserve"> calculated</w:t>
      </w:r>
      <w:r w:rsidR="00D74892">
        <w:rPr>
          <w:sz w:val="24"/>
          <w:szCs w:val="24"/>
        </w:rPr>
        <w:t xml:space="preserve"> on a per container basis.  </w:t>
      </w:r>
      <w:r w:rsidR="00BC064B">
        <w:rPr>
          <w:sz w:val="24"/>
          <w:szCs w:val="24"/>
        </w:rPr>
        <w:t xml:space="preserve"> </w:t>
      </w:r>
      <w:r w:rsidR="00D74892">
        <w:rPr>
          <w:sz w:val="24"/>
          <w:szCs w:val="24"/>
        </w:rPr>
        <w:t>The percent reductions in hours and costs for the per entry analysis were thus applied to the totals previously calculated for t</w:t>
      </w:r>
      <w:r w:rsidR="000E3442">
        <w:rPr>
          <w:sz w:val="24"/>
          <w:szCs w:val="24"/>
        </w:rPr>
        <w:t>he per container analysis (Upper Bound E</w:t>
      </w:r>
      <w:r w:rsidR="00D74892">
        <w:rPr>
          <w:sz w:val="24"/>
          <w:szCs w:val="24"/>
        </w:rPr>
        <w:t>stimate).</w:t>
      </w:r>
    </w:p>
    <w:p w14:paraId="783E530C" w14:textId="77777777" w:rsidR="00BC064B" w:rsidRDefault="00BC064B" w:rsidP="00D5001F">
      <w:pPr>
        <w:pStyle w:val="CommentText"/>
        <w:rPr>
          <w:sz w:val="24"/>
          <w:szCs w:val="24"/>
        </w:rPr>
      </w:pPr>
    </w:p>
    <w:p w14:paraId="51011AEA" w14:textId="40DE0C2A" w:rsidR="00153819" w:rsidRDefault="009B23C8" w:rsidP="00CC411C">
      <w:pPr>
        <w:pStyle w:val="CommentText"/>
        <w:rPr>
          <w:sz w:val="24"/>
          <w:szCs w:val="24"/>
        </w:rPr>
      </w:pPr>
      <w:r>
        <w:rPr>
          <w:sz w:val="24"/>
          <w:szCs w:val="24"/>
        </w:rPr>
        <w:t xml:space="preserve">Under the Upper Bound Estimate approach, the </w:t>
      </w:r>
      <w:r w:rsidR="00EF041E">
        <w:rPr>
          <w:sz w:val="24"/>
          <w:szCs w:val="24"/>
        </w:rPr>
        <w:t>direct</w:t>
      </w:r>
      <w:r>
        <w:rPr>
          <w:sz w:val="24"/>
          <w:szCs w:val="24"/>
        </w:rPr>
        <w:t xml:space="preserve"> cost per year was </w:t>
      </w:r>
      <w:r w:rsidR="00153819">
        <w:rPr>
          <w:sz w:val="24"/>
          <w:szCs w:val="24"/>
        </w:rPr>
        <w:t xml:space="preserve">estimated at </w:t>
      </w:r>
      <w:r>
        <w:rPr>
          <w:sz w:val="24"/>
          <w:szCs w:val="24"/>
        </w:rPr>
        <w:t>$</w:t>
      </w:r>
      <w:r w:rsidR="00153819">
        <w:rPr>
          <w:sz w:val="24"/>
          <w:szCs w:val="24"/>
        </w:rPr>
        <w:t>1</w:t>
      </w:r>
      <w:r>
        <w:rPr>
          <w:sz w:val="24"/>
          <w:szCs w:val="24"/>
        </w:rPr>
        <w:t>,</w:t>
      </w:r>
      <w:r w:rsidR="00153819">
        <w:rPr>
          <w:sz w:val="24"/>
          <w:szCs w:val="24"/>
        </w:rPr>
        <w:t>091</w:t>
      </w:r>
      <w:r>
        <w:rPr>
          <w:sz w:val="24"/>
          <w:szCs w:val="24"/>
        </w:rPr>
        <w:t>,</w:t>
      </w:r>
      <w:r w:rsidR="00153819">
        <w:rPr>
          <w:sz w:val="24"/>
          <w:szCs w:val="24"/>
        </w:rPr>
        <w:t>6</w:t>
      </w:r>
      <w:r>
        <w:rPr>
          <w:sz w:val="24"/>
          <w:szCs w:val="24"/>
        </w:rPr>
        <w:t>3</w:t>
      </w:r>
      <w:r w:rsidR="00153819">
        <w:rPr>
          <w:sz w:val="24"/>
          <w:szCs w:val="24"/>
        </w:rPr>
        <w:t>0</w:t>
      </w:r>
      <w:r>
        <w:rPr>
          <w:sz w:val="24"/>
          <w:szCs w:val="24"/>
        </w:rPr>
        <w:t xml:space="preserve">.  See id. at page 13.  As noted above, NMFS anticipates that the CTTP proposed rule could reduce </w:t>
      </w:r>
      <w:r w:rsidR="00BC064B">
        <w:rPr>
          <w:sz w:val="24"/>
          <w:szCs w:val="24"/>
        </w:rPr>
        <w:t xml:space="preserve">burden hour and </w:t>
      </w:r>
      <w:r>
        <w:rPr>
          <w:sz w:val="24"/>
          <w:szCs w:val="24"/>
        </w:rPr>
        <w:t xml:space="preserve">labor costs </w:t>
      </w:r>
      <w:r w:rsidR="00BC064B">
        <w:rPr>
          <w:sz w:val="24"/>
          <w:szCs w:val="24"/>
        </w:rPr>
        <w:t xml:space="preserve">for reporting for 216 CTTs </w:t>
      </w:r>
      <w:r>
        <w:rPr>
          <w:sz w:val="24"/>
          <w:szCs w:val="24"/>
        </w:rPr>
        <w:t xml:space="preserve">by </w:t>
      </w:r>
      <w:r w:rsidR="00E62FC4">
        <w:rPr>
          <w:sz w:val="24"/>
          <w:szCs w:val="24"/>
        </w:rPr>
        <w:t xml:space="preserve">up to </w:t>
      </w:r>
      <w:r w:rsidR="00BC064B">
        <w:rPr>
          <w:sz w:val="24"/>
          <w:szCs w:val="24"/>
        </w:rPr>
        <w:t>22</w:t>
      </w:r>
      <w:r>
        <w:rPr>
          <w:sz w:val="24"/>
          <w:szCs w:val="24"/>
        </w:rPr>
        <w:t>%</w:t>
      </w:r>
      <w:r w:rsidR="00BC064B">
        <w:rPr>
          <w:sz w:val="24"/>
          <w:szCs w:val="24"/>
        </w:rPr>
        <w:t xml:space="preserve"> from that of </w:t>
      </w:r>
      <w:r w:rsidR="00D74892">
        <w:rPr>
          <w:sz w:val="24"/>
          <w:szCs w:val="24"/>
        </w:rPr>
        <w:t>fully</w:t>
      </w:r>
      <w:r w:rsidR="000260E9">
        <w:rPr>
          <w:sz w:val="24"/>
          <w:szCs w:val="24"/>
        </w:rPr>
        <w:t xml:space="preserve"> </w:t>
      </w:r>
      <w:r w:rsidR="00BC064B">
        <w:rPr>
          <w:sz w:val="24"/>
          <w:szCs w:val="24"/>
        </w:rPr>
        <w:t>complying with SIMP</w:t>
      </w:r>
      <w:r>
        <w:rPr>
          <w:sz w:val="24"/>
          <w:szCs w:val="24"/>
        </w:rPr>
        <w:t>.  Applied to the</w:t>
      </w:r>
      <w:r w:rsidR="00BC064B">
        <w:rPr>
          <w:sz w:val="24"/>
          <w:szCs w:val="24"/>
        </w:rPr>
        <w:t xml:space="preserve"> previously approved burden estimates of hours and costs</w:t>
      </w:r>
      <w:r>
        <w:rPr>
          <w:sz w:val="24"/>
          <w:szCs w:val="24"/>
        </w:rPr>
        <w:t>, this means a</w:t>
      </w:r>
      <w:r w:rsidR="00BC064B">
        <w:rPr>
          <w:sz w:val="24"/>
          <w:szCs w:val="24"/>
        </w:rPr>
        <w:t>n adjusted hou</w:t>
      </w:r>
      <w:r w:rsidR="00D74892">
        <w:rPr>
          <w:sz w:val="24"/>
          <w:szCs w:val="24"/>
        </w:rPr>
        <w:t>r</w:t>
      </w:r>
      <w:r w:rsidR="00BC064B">
        <w:rPr>
          <w:sz w:val="24"/>
          <w:szCs w:val="24"/>
        </w:rPr>
        <w:t>ly burden</w:t>
      </w:r>
      <w:r w:rsidR="000260E9">
        <w:rPr>
          <w:sz w:val="24"/>
          <w:szCs w:val="24"/>
        </w:rPr>
        <w:t xml:space="preserve"> of </w:t>
      </w:r>
      <w:r w:rsidR="00B23AFF">
        <w:rPr>
          <w:sz w:val="24"/>
          <w:szCs w:val="24"/>
        </w:rPr>
        <w:t>274,497</w:t>
      </w:r>
      <w:r w:rsidR="00AA4ADE">
        <w:rPr>
          <w:sz w:val="24"/>
          <w:szCs w:val="24"/>
        </w:rPr>
        <w:t xml:space="preserve"> </w:t>
      </w:r>
      <w:r w:rsidR="00BC064B">
        <w:rPr>
          <w:sz w:val="24"/>
          <w:szCs w:val="24"/>
        </w:rPr>
        <w:t>hours and an adjusted</w:t>
      </w:r>
      <w:r>
        <w:rPr>
          <w:sz w:val="24"/>
          <w:szCs w:val="24"/>
        </w:rPr>
        <w:t xml:space="preserve"> labor cost of $</w:t>
      </w:r>
      <w:r w:rsidR="00B23AFF">
        <w:rPr>
          <w:sz w:val="24"/>
          <w:szCs w:val="24"/>
        </w:rPr>
        <w:t>1,033,533</w:t>
      </w:r>
      <w:r>
        <w:rPr>
          <w:sz w:val="24"/>
          <w:szCs w:val="24"/>
        </w:rPr>
        <w:t>.</w:t>
      </w:r>
      <w:r w:rsidR="000E3442">
        <w:rPr>
          <w:sz w:val="24"/>
          <w:szCs w:val="24"/>
        </w:rPr>
        <w:t xml:space="preserve">  Applied to the previously approved burden estimate of responses</w:t>
      </w:r>
      <w:r w:rsidR="00A657F3">
        <w:rPr>
          <w:sz w:val="24"/>
          <w:szCs w:val="24"/>
        </w:rPr>
        <w:t xml:space="preserve"> based on containers</w:t>
      </w:r>
      <w:r w:rsidR="000E3442">
        <w:rPr>
          <w:sz w:val="24"/>
          <w:szCs w:val="24"/>
        </w:rPr>
        <w:t xml:space="preserve">, this means an adjusted </w:t>
      </w:r>
      <w:r w:rsidR="00A657F3">
        <w:rPr>
          <w:sz w:val="24"/>
          <w:szCs w:val="24"/>
        </w:rPr>
        <w:t xml:space="preserve">annual response </w:t>
      </w:r>
      <w:r w:rsidR="00AA4ADE">
        <w:rPr>
          <w:sz w:val="24"/>
          <w:szCs w:val="24"/>
        </w:rPr>
        <w:t xml:space="preserve">number </w:t>
      </w:r>
      <w:r w:rsidR="00A657F3">
        <w:rPr>
          <w:sz w:val="24"/>
          <w:szCs w:val="24"/>
        </w:rPr>
        <w:t xml:space="preserve">of </w:t>
      </w:r>
      <w:r w:rsidR="00B23AFF">
        <w:rPr>
          <w:sz w:val="24"/>
          <w:szCs w:val="24"/>
        </w:rPr>
        <w:t>25,268.</w:t>
      </w:r>
    </w:p>
    <w:p w14:paraId="57BDD05A" w14:textId="7C2E7979" w:rsidR="00D06EC9" w:rsidRPr="00990D59" w:rsidRDefault="00D06EC9" w:rsidP="0035098B">
      <w:pPr>
        <w:pStyle w:val="CommentText"/>
        <w:ind w:firstLine="720"/>
        <w:rPr>
          <w:sz w:val="24"/>
          <w:szCs w:val="24"/>
        </w:rPr>
      </w:pPr>
    </w:p>
    <w:tbl>
      <w:tblPr>
        <w:tblStyle w:val="TableGrid"/>
        <w:tblW w:w="0" w:type="auto"/>
        <w:tblInd w:w="108" w:type="dxa"/>
        <w:tblLook w:val="04A0" w:firstRow="1" w:lastRow="0" w:firstColumn="1" w:lastColumn="0" w:noHBand="0" w:noVBand="1"/>
      </w:tblPr>
      <w:tblGrid>
        <w:gridCol w:w="3577"/>
        <w:gridCol w:w="1980"/>
        <w:gridCol w:w="1890"/>
        <w:gridCol w:w="1795"/>
      </w:tblGrid>
      <w:tr w:rsidR="004F5008" w14:paraId="4FB4C50A" w14:textId="77777777" w:rsidTr="00CC411C">
        <w:tc>
          <w:tcPr>
            <w:tcW w:w="3577" w:type="dxa"/>
          </w:tcPr>
          <w:p w14:paraId="138111F6" w14:textId="77777777" w:rsidR="004F5008" w:rsidRPr="00CC411C" w:rsidRDefault="004F5008" w:rsidP="007030A3">
            <w:pPr>
              <w:rPr>
                <w:b/>
              </w:rPr>
            </w:pPr>
          </w:p>
        </w:tc>
        <w:tc>
          <w:tcPr>
            <w:tcW w:w="1980" w:type="dxa"/>
            <w:vAlign w:val="center"/>
          </w:tcPr>
          <w:p w14:paraId="599AB394" w14:textId="1C0E8623" w:rsidR="004F5008" w:rsidRPr="00CC411C" w:rsidRDefault="004F5008" w:rsidP="00CC411C">
            <w:pPr>
              <w:jc w:val="center"/>
              <w:rPr>
                <w:b/>
              </w:rPr>
            </w:pPr>
            <w:r w:rsidRPr="00CC411C">
              <w:rPr>
                <w:b/>
              </w:rPr>
              <w:t>Responses</w:t>
            </w:r>
          </w:p>
        </w:tc>
        <w:tc>
          <w:tcPr>
            <w:tcW w:w="1890" w:type="dxa"/>
            <w:vAlign w:val="center"/>
          </w:tcPr>
          <w:p w14:paraId="1EE80ADC" w14:textId="3BC489ED" w:rsidR="004F5008" w:rsidRPr="00CC411C" w:rsidRDefault="004F5008" w:rsidP="00CC411C">
            <w:pPr>
              <w:jc w:val="center"/>
              <w:rPr>
                <w:b/>
              </w:rPr>
            </w:pPr>
            <w:r w:rsidRPr="00CC411C">
              <w:rPr>
                <w:b/>
              </w:rPr>
              <w:t>Hours</w:t>
            </w:r>
          </w:p>
        </w:tc>
        <w:tc>
          <w:tcPr>
            <w:tcW w:w="1795" w:type="dxa"/>
            <w:vAlign w:val="center"/>
          </w:tcPr>
          <w:p w14:paraId="46F56872" w14:textId="4EF4C010" w:rsidR="004F5008" w:rsidRPr="00CC411C" w:rsidRDefault="003C0337" w:rsidP="00CC411C">
            <w:pPr>
              <w:jc w:val="center"/>
              <w:rPr>
                <w:b/>
              </w:rPr>
            </w:pPr>
            <w:r w:rsidRPr="00CC411C">
              <w:rPr>
                <w:b/>
              </w:rPr>
              <w:t xml:space="preserve">Labor </w:t>
            </w:r>
            <w:r w:rsidR="004F5008" w:rsidRPr="00CC411C">
              <w:rPr>
                <w:b/>
              </w:rPr>
              <w:t>Costs</w:t>
            </w:r>
          </w:p>
        </w:tc>
      </w:tr>
      <w:tr w:rsidR="004F5008" w14:paraId="039BCE20" w14:textId="77777777" w:rsidTr="00CC411C">
        <w:tc>
          <w:tcPr>
            <w:tcW w:w="3577" w:type="dxa"/>
          </w:tcPr>
          <w:p w14:paraId="089C4444" w14:textId="245C702C" w:rsidR="004F5008" w:rsidRPr="00CC411C" w:rsidRDefault="004F5008" w:rsidP="007030A3">
            <w:pPr>
              <w:rPr>
                <w:b/>
              </w:rPr>
            </w:pPr>
            <w:r w:rsidRPr="00CC411C">
              <w:rPr>
                <w:b/>
              </w:rPr>
              <w:t>SIMP Approved Burden</w:t>
            </w:r>
          </w:p>
        </w:tc>
        <w:tc>
          <w:tcPr>
            <w:tcW w:w="1980" w:type="dxa"/>
            <w:vAlign w:val="center"/>
          </w:tcPr>
          <w:p w14:paraId="6DF3A1B1" w14:textId="14F0B791" w:rsidR="004F5008" w:rsidRPr="00CC411C" w:rsidRDefault="004F5008" w:rsidP="00CC411C">
            <w:pPr>
              <w:jc w:val="center"/>
              <w:rPr>
                <w:b/>
              </w:rPr>
            </w:pPr>
            <w:r w:rsidRPr="00CC411C">
              <w:rPr>
                <w:b/>
              </w:rPr>
              <w:t>24</w:t>
            </w:r>
            <w:r w:rsidR="00E749D2" w:rsidRPr="00CC411C">
              <w:rPr>
                <w:b/>
              </w:rPr>
              <w:t>,</w:t>
            </w:r>
            <w:r w:rsidRPr="00CC411C">
              <w:rPr>
                <w:b/>
              </w:rPr>
              <w:t>764</w:t>
            </w:r>
          </w:p>
        </w:tc>
        <w:tc>
          <w:tcPr>
            <w:tcW w:w="1890" w:type="dxa"/>
            <w:vAlign w:val="center"/>
          </w:tcPr>
          <w:p w14:paraId="368EFDF6" w14:textId="46B34468" w:rsidR="004F5008" w:rsidRPr="00CC411C" w:rsidRDefault="00E749D2" w:rsidP="00CC411C">
            <w:pPr>
              <w:jc w:val="center"/>
              <w:rPr>
                <w:b/>
              </w:rPr>
            </w:pPr>
            <w:r w:rsidRPr="00CC411C">
              <w:rPr>
                <w:b/>
              </w:rPr>
              <w:t>289,927</w:t>
            </w:r>
          </w:p>
        </w:tc>
        <w:tc>
          <w:tcPr>
            <w:tcW w:w="1795" w:type="dxa"/>
            <w:vAlign w:val="center"/>
          </w:tcPr>
          <w:p w14:paraId="26B1872F" w14:textId="47A98054" w:rsidR="004F5008" w:rsidRPr="00CC411C" w:rsidRDefault="00E749D2" w:rsidP="00CC411C">
            <w:pPr>
              <w:jc w:val="center"/>
              <w:rPr>
                <w:b/>
              </w:rPr>
            </w:pPr>
            <w:r w:rsidRPr="00CC411C">
              <w:rPr>
                <w:b/>
              </w:rPr>
              <w:t>1,091,630</w:t>
            </w:r>
          </w:p>
        </w:tc>
      </w:tr>
      <w:tr w:rsidR="004F5008" w14:paraId="27CD09D6" w14:textId="77777777" w:rsidTr="00CC411C">
        <w:tc>
          <w:tcPr>
            <w:tcW w:w="3577" w:type="dxa"/>
          </w:tcPr>
          <w:p w14:paraId="0B3F5002" w14:textId="1CCAA765" w:rsidR="004F5008" w:rsidRPr="00CC411C" w:rsidRDefault="00B23AFF" w:rsidP="00B23AFF">
            <w:pPr>
              <w:rPr>
                <w:b/>
              </w:rPr>
            </w:pPr>
            <w:r>
              <w:rPr>
                <w:b/>
              </w:rPr>
              <w:t>Net Changes</w:t>
            </w:r>
            <w:r w:rsidR="004F5008" w:rsidRPr="00CC411C">
              <w:rPr>
                <w:b/>
              </w:rPr>
              <w:t xml:space="preserve"> due to CTTP</w:t>
            </w:r>
          </w:p>
        </w:tc>
        <w:tc>
          <w:tcPr>
            <w:tcW w:w="1980" w:type="dxa"/>
            <w:vAlign w:val="center"/>
          </w:tcPr>
          <w:p w14:paraId="16ED20EA" w14:textId="64263AF8" w:rsidR="004F5008" w:rsidRPr="00CC411C" w:rsidRDefault="00B23AFF" w:rsidP="00CC411C">
            <w:pPr>
              <w:pStyle w:val="ListParagraph"/>
              <w:ind w:left="546" w:right="398"/>
              <w:jc w:val="center"/>
              <w:rPr>
                <w:b/>
                <w:sz w:val="20"/>
                <w:szCs w:val="20"/>
              </w:rPr>
            </w:pPr>
            <w:r>
              <w:rPr>
                <w:rFonts w:ascii="Times New Roman" w:hAnsi="Times New Roman"/>
                <w:b/>
                <w:sz w:val="20"/>
                <w:szCs w:val="20"/>
              </w:rPr>
              <w:t>504</w:t>
            </w:r>
          </w:p>
        </w:tc>
        <w:tc>
          <w:tcPr>
            <w:tcW w:w="1890" w:type="dxa"/>
            <w:vAlign w:val="center"/>
          </w:tcPr>
          <w:p w14:paraId="22146FBA" w14:textId="7428F22C" w:rsidR="004F5008" w:rsidRPr="00CC411C" w:rsidRDefault="003C0337" w:rsidP="00B23AFF">
            <w:pPr>
              <w:ind w:left="360" w:right="234"/>
              <w:jc w:val="center"/>
              <w:rPr>
                <w:b/>
              </w:rPr>
            </w:pPr>
            <w:r w:rsidRPr="00CC411C">
              <w:rPr>
                <w:b/>
              </w:rPr>
              <w:t>(</w:t>
            </w:r>
            <w:r w:rsidR="00B23AFF">
              <w:rPr>
                <w:b/>
              </w:rPr>
              <w:t>15,430</w:t>
            </w:r>
            <w:r w:rsidRPr="00CC411C">
              <w:rPr>
                <w:b/>
              </w:rPr>
              <w:t>)</w:t>
            </w:r>
          </w:p>
        </w:tc>
        <w:tc>
          <w:tcPr>
            <w:tcW w:w="1795" w:type="dxa"/>
            <w:vAlign w:val="center"/>
          </w:tcPr>
          <w:p w14:paraId="050EE753" w14:textId="21402DA3" w:rsidR="004F5008" w:rsidRPr="00CC411C" w:rsidRDefault="00B23AFF" w:rsidP="00CC411C">
            <w:pPr>
              <w:pStyle w:val="ListParagraph"/>
              <w:ind w:left="534" w:right="270"/>
              <w:jc w:val="right"/>
              <w:rPr>
                <w:b/>
                <w:sz w:val="20"/>
                <w:szCs w:val="20"/>
              </w:rPr>
            </w:pPr>
            <w:r>
              <w:rPr>
                <w:rFonts w:ascii="Times New Roman" w:hAnsi="Times New Roman"/>
                <w:b/>
                <w:sz w:val="20"/>
                <w:szCs w:val="20"/>
              </w:rPr>
              <w:t>(58,097)</w:t>
            </w:r>
          </w:p>
        </w:tc>
      </w:tr>
      <w:tr w:rsidR="004F5008" w14:paraId="74174BCD" w14:textId="77777777" w:rsidTr="00CC411C">
        <w:tc>
          <w:tcPr>
            <w:tcW w:w="3577" w:type="dxa"/>
          </w:tcPr>
          <w:p w14:paraId="7FFF106F" w14:textId="62BB8ED2" w:rsidR="004F5008" w:rsidRPr="00CC411C" w:rsidRDefault="004F5008" w:rsidP="007030A3">
            <w:pPr>
              <w:rPr>
                <w:b/>
              </w:rPr>
            </w:pPr>
            <w:r w:rsidRPr="00CC411C">
              <w:rPr>
                <w:b/>
              </w:rPr>
              <w:t>Adjusted Burden</w:t>
            </w:r>
          </w:p>
        </w:tc>
        <w:tc>
          <w:tcPr>
            <w:tcW w:w="1980" w:type="dxa"/>
            <w:vAlign w:val="center"/>
          </w:tcPr>
          <w:p w14:paraId="77266D47" w14:textId="71EF198E" w:rsidR="004F5008" w:rsidRPr="00CC411C" w:rsidRDefault="00B23AFF" w:rsidP="00CC411C">
            <w:pPr>
              <w:jc w:val="center"/>
              <w:rPr>
                <w:b/>
              </w:rPr>
            </w:pPr>
            <w:r>
              <w:rPr>
                <w:b/>
              </w:rPr>
              <w:t>25,268</w:t>
            </w:r>
          </w:p>
        </w:tc>
        <w:tc>
          <w:tcPr>
            <w:tcW w:w="1890" w:type="dxa"/>
            <w:vAlign w:val="center"/>
          </w:tcPr>
          <w:p w14:paraId="183B3FD8" w14:textId="41B11E2E" w:rsidR="004F5008" w:rsidRPr="00CC411C" w:rsidRDefault="00B23AFF" w:rsidP="00CC411C">
            <w:pPr>
              <w:jc w:val="center"/>
              <w:rPr>
                <w:b/>
              </w:rPr>
            </w:pPr>
            <w:r>
              <w:rPr>
                <w:b/>
              </w:rPr>
              <w:t>274,497</w:t>
            </w:r>
          </w:p>
        </w:tc>
        <w:tc>
          <w:tcPr>
            <w:tcW w:w="1795" w:type="dxa"/>
            <w:vAlign w:val="center"/>
          </w:tcPr>
          <w:p w14:paraId="340D0F78" w14:textId="05897B44" w:rsidR="004F5008" w:rsidRPr="00CC411C" w:rsidRDefault="00B23AFF" w:rsidP="00B23AFF">
            <w:pPr>
              <w:jc w:val="center"/>
              <w:rPr>
                <w:b/>
              </w:rPr>
            </w:pPr>
            <w:r>
              <w:rPr>
                <w:b/>
              </w:rPr>
              <w:t>1,033,533</w:t>
            </w:r>
          </w:p>
        </w:tc>
      </w:tr>
    </w:tbl>
    <w:p w14:paraId="744EEA46" w14:textId="473CAC73" w:rsidR="00A657F3" w:rsidRPr="00CC411C" w:rsidRDefault="003C0337" w:rsidP="007030A3">
      <w:pPr>
        <w:rPr>
          <w:b/>
        </w:rPr>
      </w:pPr>
      <w:r w:rsidRPr="00CC411C">
        <w:rPr>
          <w:b/>
        </w:rPr>
        <w:t>*However, net increase of 4,620,870.</w:t>
      </w:r>
    </w:p>
    <w:p w14:paraId="29D46190" w14:textId="77777777" w:rsidR="005D0365" w:rsidRDefault="005D0365">
      <w:pPr>
        <w:rPr>
          <w:sz w:val="24"/>
          <w:szCs w:val="24"/>
          <w:highlight w:val="yellow"/>
        </w:rPr>
      </w:pPr>
    </w:p>
    <w:p w14:paraId="53AFA455" w14:textId="77777777"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440349D" w14:textId="77777777" w:rsidR="00CA038B" w:rsidRDefault="00CA038B">
      <w:pPr>
        <w:rPr>
          <w:b/>
          <w:bCs/>
          <w:sz w:val="24"/>
          <w:szCs w:val="24"/>
        </w:rPr>
      </w:pPr>
    </w:p>
    <w:p w14:paraId="31B78829" w14:textId="10791522" w:rsidR="00755FFF" w:rsidRDefault="00755FFF">
      <w:pPr>
        <w:rPr>
          <w:sz w:val="24"/>
          <w:szCs w:val="24"/>
        </w:rPr>
      </w:pPr>
      <w:r>
        <w:rPr>
          <w:sz w:val="24"/>
          <w:szCs w:val="24"/>
        </w:rPr>
        <w:t>The annualized permit fee cost is $</w:t>
      </w:r>
      <w:r w:rsidR="006B5345">
        <w:rPr>
          <w:sz w:val="24"/>
          <w:szCs w:val="24"/>
        </w:rPr>
        <w:t>2,160</w:t>
      </w:r>
      <w:r>
        <w:rPr>
          <w:sz w:val="24"/>
          <w:szCs w:val="24"/>
        </w:rPr>
        <w:t>.</w:t>
      </w:r>
    </w:p>
    <w:p w14:paraId="42733569" w14:textId="77777777" w:rsidR="00755FFF" w:rsidRDefault="00755FFF">
      <w:pPr>
        <w:rPr>
          <w:sz w:val="24"/>
          <w:szCs w:val="24"/>
        </w:rPr>
      </w:pPr>
    </w:p>
    <w:p w14:paraId="1A2727C5" w14:textId="77777777" w:rsidR="00AA4ADE" w:rsidRDefault="00AA4ADE" w:rsidP="00AA4ADE">
      <w:pPr>
        <w:rPr>
          <w:color w:val="000000"/>
          <w:sz w:val="24"/>
          <w:szCs w:val="24"/>
        </w:rPr>
      </w:pPr>
      <w:r w:rsidRPr="00EE6A36">
        <w:rPr>
          <w:color w:val="000000"/>
          <w:sz w:val="24"/>
          <w:szCs w:val="24"/>
        </w:rPr>
        <w:t xml:space="preserve">Based on audits performed by NMFS personnel in the Seafood Inspection Program, it is estimated that the annual </w:t>
      </w:r>
      <w:r>
        <w:rPr>
          <w:color w:val="000000"/>
          <w:sz w:val="24"/>
          <w:szCs w:val="24"/>
        </w:rPr>
        <w:t xml:space="preserve">third-party </w:t>
      </w:r>
      <w:r w:rsidRPr="00EE6A36">
        <w:rPr>
          <w:color w:val="000000"/>
          <w:sz w:val="24"/>
          <w:szCs w:val="24"/>
        </w:rPr>
        <w:t xml:space="preserve">audit </w:t>
      </w:r>
      <w:r>
        <w:rPr>
          <w:color w:val="000000"/>
          <w:sz w:val="24"/>
          <w:szCs w:val="24"/>
        </w:rPr>
        <w:t xml:space="preserve">itself </w:t>
      </w:r>
      <w:r w:rsidRPr="00EE6A36">
        <w:rPr>
          <w:color w:val="000000"/>
          <w:sz w:val="24"/>
          <w:szCs w:val="24"/>
        </w:rPr>
        <w:t>would require from 4-8 hours of the auditor’s time.  Based on market research, it is estimated that qualified auditors would charge from $280 to $450 per hour for auditing services. Combining time and hourly rate estimates yields a cost for the annual audit of between $1,120 and $3,600, with a mid-range estimate of $2,190</w:t>
      </w:r>
      <w:r>
        <w:rPr>
          <w:color w:val="000000"/>
          <w:sz w:val="24"/>
          <w:szCs w:val="24"/>
        </w:rPr>
        <w:t xml:space="preserve"> per audit and total of $473,040. </w:t>
      </w:r>
    </w:p>
    <w:p w14:paraId="6B2D6F34" w14:textId="77777777" w:rsidR="00AA4ADE" w:rsidRDefault="00AA4ADE">
      <w:pPr>
        <w:rPr>
          <w:sz w:val="24"/>
          <w:szCs w:val="24"/>
        </w:rPr>
      </w:pPr>
    </w:p>
    <w:p w14:paraId="6F5688E8" w14:textId="63A698BF" w:rsidR="00034159" w:rsidRDefault="007A79E7">
      <w:pPr>
        <w:rPr>
          <w:sz w:val="24"/>
          <w:szCs w:val="24"/>
        </w:rPr>
      </w:pPr>
      <w:r>
        <w:rPr>
          <w:sz w:val="24"/>
          <w:szCs w:val="24"/>
        </w:rPr>
        <w:t>M</w:t>
      </w:r>
      <w:r w:rsidR="007030A3">
        <w:rPr>
          <w:sz w:val="24"/>
          <w:szCs w:val="24"/>
        </w:rPr>
        <w:t>ost seafood dealers already have systems in place for supply chain records to meet food safety and business management requirements.</w:t>
      </w:r>
      <w:r w:rsidR="00A61C7C">
        <w:rPr>
          <w:sz w:val="24"/>
          <w:szCs w:val="24"/>
        </w:rPr>
        <w:t xml:space="preserve">  Once the harves</w:t>
      </w:r>
      <w:r w:rsidR="002F7FCC">
        <w:rPr>
          <w:sz w:val="24"/>
          <w:szCs w:val="24"/>
        </w:rPr>
        <w:t xml:space="preserve">t event information is recorded, </w:t>
      </w:r>
      <w:r w:rsidR="00A61C7C">
        <w:rPr>
          <w:sz w:val="24"/>
          <w:szCs w:val="24"/>
        </w:rPr>
        <w:t>these existing systems for passing commercial documents along the supply chain</w:t>
      </w:r>
      <w:r w:rsidR="002F7FCC">
        <w:rPr>
          <w:sz w:val="24"/>
          <w:szCs w:val="24"/>
        </w:rPr>
        <w:t>, either electronical</w:t>
      </w:r>
      <w:r w:rsidR="00096F86">
        <w:rPr>
          <w:sz w:val="24"/>
          <w:szCs w:val="24"/>
        </w:rPr>
        <w:t>ly or in paper form</w:t>
      </w:r>
      <w:r w:rsidR="002F7FCC">
        <w:rPr>
          <w:sz w:val="24"/>
          <w:szCs w:val="24"/>
        </w:rPr>
        <w:t xml:space="preserve">, can be used to enable the importer </w:t>
      </w:r>
      <w:r w:rsidR="0006005E">
        <w:rPr>
          <w:sz w:val="24"/>
          <w:szCs w:val="24"/>
        </w:rPr>
        <w:t>to maintain control of the supply chain records for the required minimum of two years.</w:t>
      </w:r>
      <w:r w:rsidR="001F3EBB">
        <w:rPr>
          <w:sz w:val="24"/>
          <w:szCs w:val="24"/>
        </w:rPr>
        <w:t xml:space="preserve"> </w:t>
      </w:r>
      <w:r w:rsidR="00E90466">
        <w:rPr>
          <w:sz w:val="24"/>
          <w:szCs w:val="24"/>
        </w:rPr>
        <w:t>The proposed rule gives importers who are approved under the CTTP greater flexibility in their</w:t>
      </w:r>
      <w:r w:rsidR="003200F8">
        <w:rPr>
          <w:sz w:val="24"/>
          <w:szCs w:val="24"/>
        </w:rPr>
        <w:t xml:space="preserve"> approach</w:t>
      </w:r>
      <w:r w:rsidR="00E90466">
        <w:rPr>
          <w:sz w:val="24"/>
          <w:szCs w:val="24"/>
        </w:rPr>
        <w:t xml:space="preserve"> </w:t>
      </w:r>
      <w:r w:rsidR="00434A37">
        <w:rPr>
          <w:sz w:val="24"/>
          <w:szCs w:val="24"/>
        </w:rPr>
        <w:t xml:space="preserve">to </w:t>
      </w:r>
      <w:r w:rsidR="00E90466">
        <w:rPr>
          <w:sz w:val="24"/>
          <w:szCs w:val="24"/>
        </w:rPr>
        <w:t xml:space="preserve">recordkeeping.  </w:t>
      </w:r>
      <w:r w:rsidR="001F3EBB">
        <w:rPr>
          <w:sz w:val="24"/>
          <w:szCs w:val="24"/>
        </w:rPr>
        <w:t xml:space="preserve">There is no additional burden </w:t>
      </w:r>
      <w:r w:rsidR="003200F8">
        <w:rPr>
          <w:sz w:val="24"/>
          <w:szCs w:val="24"/>
        </w:rPr>
        <w:t xml:space="preserve">for recordkeeping </w:t>
      </w:r>
      <w:r w:rsidR="00031002">
        <w:rPr>
          <w:sz w:val="24"/>
          <w:szCs w:val="24"/>
        </w:rPr>
        <w:t xml:space="preserve">from this proposed rule </w:t>
      </w:r>
      <w:r w:rsidR="001F3EBB">
        <w:rPr>
          <w:sz w:val="24"/>
          <w:szCs w:val="24"/>
        </w:rPr>
        <w:t>relative to the SIMP rule.</w:t>
      </w:r>
      <w:r w:rsidR="003200F8">
        <w:rPr>
          <w:sz w:val="24"/>
          <w:szCs w:val="24"/>
        </w:rPr>
        <w:t xml:space="preserve"> While cost savings are likely, it is not possible to estimate the likely responses of all CTTs.</w:t>
      </w:r>
      <w:r w:rsidR="00755FFF">
        <w:rPr>
          <w:sz w:val="24"/>
          <w:szCs w:val="24"/>
        </w:rPr>
        <w:t xml:space="preserve"> </w:t>
      </w:r>
      <w:r w:rsidR="00B315AE">
        <w:rPr>
          <w:sz w:val="24"/>
          <w:szCs w:val="24"/>
        </w:rPr>
        <w:t>The additional costs associated with the CTTP application and annual third-party audit are more than offset by the reduction in reporting costs.</w:t>
      </w:r>
    </w:p>
    <w:p w14:paraId="486B2185" w14:textId="77777777" w:rsidR="001925DF" w:rsidRDefault="001925DF">
      <w:pPr>
        <w:rPr>
          <w:sz w:val="24"/>
          <w:szCs w:val="24"/>
        </w:rPr>
      </w:pPr>
    </w:p>
    <w:p w14:paraId="50F1BC2A" w14:textId="7A1D5FD3" w:rsidR="001925DF" w:rsidRDefault="001925DF">
      <w:pPr>
        <w:rPr>
          <w:sz w:val="24"/>
          <w:szCs w:val="24"/>
        </w:rPr>
      </w:pPr>
      <w:r>
        <w:rPr>
          <w:sz w:val="24"/>
          <w:szCs w:val="24"/>
        </w:rPr>
        <w:t>The 216 trusted traders will no longer have recordkeeping/reporting cost for submission of harvest event data. This will reduce that cost, previously an annualized $600,000, by 22%, to $468,000.</w:t>
      </w:r>
    </w:p>
    <w:p w14:paraId="21857470" w14:textId="77777777" w:rsidR="00E62FC4" w:rsidRDefault="00E62FC4">
      <w:pPr>
        <w:rPr>
          <w:sz w:val="24"/>
          <w:szCs w:val="24"/>
        </w:rPr>
      </w:pPr>
    </w:p>
    <w:p w14:paraId="17D0A39D" w14:textId="68B504AE" w:rsidR="00E62FC4" w:rsidRPr="00E62FC4" w:rsidRDefault="00366D58">
      <w:pPr>
        <w:rPr>
          <w:b/>
          <w:sz w:val="24"/>
          <w:szCs w:val="24"/>
        </w:rPr>
      </w:pPr>
      <w:r>
        <w:rPr>
          <w:b/>
          <w:sz w:val="24"/>
          <w:szCs w:val="24"/>
        </w:rPr>
        <w:t>Reducing the $600,000 to $4</w:t>
      </w:r>
      <w:r w:rsidR="002B2177">
        <w:rPr>
          <w:b/>
          <w:sz w:val="24"/>
          <w:szCs w:val="24"/>
        </w:rPr>
        <w:t>6</w:t>
      </w:r>
      <w:r>
        <w:rPr>
          <w:b/>
          <w:sz w:val="24"/>
          <w:szCs w:val="24"/>
        </w:rPr>
        <w:t xml:space="preserve">8,000, adding the </w:t>
      </w:r>
      <w:r w:rsidR="002B2177">
        <w:rPr>
          <w:b/>
          <w:sz w:val="24"/>
          <w:szCs w:val="24"/>
        </w:rPr>
        <w:t xml:space="preserve">CTTP </w:t>
      </w:r>
      <w:r>
        <w:rPr>
          <w:b/>
          <w:sz w:val="24"/>
          <w:szCs w:val="24"/>
        </w:rPr>
        <w:t>permit costs of $2,160 and the auditing costs of $473,040</w:t>
      </w:r>
      <w:r w:rsidR="002B2177">
        <w:rPr>
          <w:b/>
          <w:sz w:val="24"/>
          <w:szCs w:val="24"/>
        </w:rPr>
        <w:t>,</w:t>
      </w:r>
      <w:r>
        <w:rPr>
          <w:b/>
          <w:sz w:val="24"/>
          <w:szCs w:val="24"/>
        </w:rPr>
        <w:t xml:space="preserve"> results in a new total cost of </w:t>
      </w:r>
      <w:r w:rsidR="00112E20">
        <w:rPr>
          <w:b/>
          <w:sz w:val="24"/>
          <w:szCs w:val="24"/>
        </w:rPr>
        <w:t>$</w:t>
      </w:r>
      <w:r w:rsidR="00A65B5B">
        <w:rPr>
          <w:b/>
          <w:sz w:val="24"/>
          <w:szCs w:val="24"/>
        </w:rPr>
        <w:t>1,091,630</w:t>
      </w:r>
      <w:r w:rsidR="00E62FC4" w:rsidRPr="00E62FC4">
        <w:rPr>
          <w:b/>
          <w:sz w:val="24"/>
          <w:szCs w:val="24"/>
        </w:rPr>
        <w:t>, $1,434,830</w:t>
      </w:r>
      <w:r>
        <w:rPr>
          <w:b/>
          <w:sz w:val="24"/>
          <w:szCs w:val="24"/>
        </w:rPr>
        <w:t>, a net increase of $343,200 from $1,091,630</w:t>
      </w:r>
      <w:r w:rsidR="00E62FC4" w:rsidRPr="00E62FC4">
        <w:rPr>
          <w:b/>
          <w:sz w:val="24"/>
          <w:szCs w:val="24"/>
        </w:rPr>
        <w:t xml:space="preserve"> </w:t>
      </w:r>
      <w:r w:rsidR="00A65B5B">
        <w:rPr>
          <w:b/>
          <w:sz w:val="24"/>
          <w:szCs w:val="24"/>
        </w:rPr>
        <w:t>(as shown in ROCIS)</w:t>
      </w:r>
      <w:r w:rsidR="00E62FC4" w:rsidRPr="00E62FC4">
        <w:rPr>
          <w:b/>
          <w:sz w:val="24"/>
          <w:szCs w:val="24"/>
        </w:rPr>
        <w:t>.</w:t>
      </w:r>
    </w:p>
    <w:p w14:paraId="49101866" w14:textId="77777777" w:rsidR="00AA4ADE" w:rsidRDefault="00AA4ADE">
      <w:pPr>
        <w:rPr>
          <w:sz w:val="24"/>
          <w:szCs w:val="24"/>
        </w:rPr>
      </w:pPr>
    </w:p>
    <w:p w14:paraId="65CF2C08" w14:textId="77777777" w:rsidR="0021080E" w:rsidRDefault="0021080E" w:rsidP="00034159">
      <w:pPr>
        <w:rPr>
          <w:color w:val="000000"/>
          <w:sz w:val="24"/>
          <w:szCs w:val="24"/>
        </w:rPr>
      </w:pPr>
    </w:p>
    <w:p w14:paraId="57D92392" w14:textId="77777777" w:rsidR="004F26E9" w:rsidRPr="00695D5B" w:rsidRDefault="004F26E9">
      <w:pPr>
        <w:rPr>
          <w:sz w:val="24"/>
          <w:szCs w:val="24"/>
        </w:rPr>
      </w:pPr>
      <w:r w:rsidRPr="00695D5B">
        <w:rPr>
          <w:b/>
          <w:bCs/>
          <w:sz w:val="24"/>
          <w:szCs w:val="24"/>
        </w:rPr>
        <w:t xml:space="preserve">14.  </w:t>
      </w:r>
      <w:r w:rsidRPr="00695D5B">
        <w:rPr>
          <w:b/>
          <w:bCs/>
          <w:sz w:val="24"/>
          <w:szCs w:val="24"/>
          <w:u w:val="single"/>
        </w:rPr>
        <w:t>Provide estimates of annualized cost to the Federal government</w:t>
      </w:r>
      <w:r w:rsidRPr="00695D5B">
        <w:rPr>
          <w:b/>
          <w:bCs/>
          <w:sz w:val="24"/>
          <w:szCs w:val="24"/>
        </w:rPr>
        <w:t>.</w:t>
      </w:r>
    </w:p>
    <w:p w14:paraId="40366AC3" w14:textId="77777777" w:rsidR="004F26E9" w:rsidRPr="00695D5B" w:rsidRDefault="004F26E9">
      <w:pPr>
        <w:rPr>
          <w:sz w:val="24"/>
          <w:szCs w:val="24"/>
        </w:rPr>
      </w:pPr>
    </w:p>
    <w:p w14:paraId="02AA82B3" w14:textId="6F9E662A" w:rsidR="009823F8" w:rsidRPr="00695D5B" w:rsidRDefault="00B5267F" w:rsidP="00B5267F">
      <w:pPr>
        <w:ind w:right="432"/>
        <w:rPr>
          <w:sz w:val="24"/>
          <w:szCs w:val="24"/>
        </w:rPr>
      </w:pPr>
      <w:r w:rsidRPr="00695D5B">
        <w:rPr>
          <w:spacing w:val="-2"/>
          <w:sz w:val="24"/>
          <w:szCs w:val="24"/>
        </w:rPr>
        <w:t xml:space="preserve">The cost </w:t>
      </w:r>
      <w:r w:rsidR="00C75C99" w:rsidRPr="00695D5B">
        <w:rPr>
          <w:spacing w:val="-2"/>
          <w:sz w:val="24"/>
          <w:szCs w:val="24"/>
        </w:rPr>
        <w:t xml:space="preserve">for </w:t>
      </w:r>
      <w:r w:rsidR="002B03FE" w:rsidRPr="00695D5B">
        <w:rPr>
          <w:spacing w:val="-2"/>
          <w:sz w:val="24"/>
          <w:szCs w:val="24"/>
        </w:rPr>
        <w:t>approving an importer</w:t>
      </w:r>
      <w:r w:rsidR="00136F81">
        <w:rPr>
          <w:spacing w:val="-2"/>
          <w:sz w:val="24"/>
          <w:szCs w:val="24"/>
        </w:rPr>
        <w:t>’s application</w:t>
      </w:r>
      <w:r w:rsidR="002B03FE" w:rsidRPr="00695D5B">
        <w:rPr>
          <w:spacing w:val="-2"/>
          <w:sz w:val="24"/>
          <w:szCs w:val="24"/>
        </w:rPr>
        <w:t xml:space="preserve"> </w:t>
      </w:r>
      <w:r w:rsidR="00136F81">
        <w:rPr>
          <w:spacing w:val="-2"/>
          <w:sz w:val="24"/>
          <w:szCs w:val="24"/>
        </w:rPr>
        <w:t>to the</w:t>
      </w:r>
      <w:r w:rsidR="002B03FE" w:rsidRPr="00695D5B">
        <w:rPr>
          <w:spacing w:val="-2"/>
          <w:sz w:val="24"/>
          <w:szCs w:val="24"/>
        </w:rPr>
        <w:t xml:space="preserve"> Commerce Trusted Trader</w:t>
      </w:r>
      <w:r w:rsidRPr="00695D5B">
        <w:rPr>
          <w:spacing w:val="-2"/>
          <w:sz w:val="24"/>
          <w:szCs w:val="24"/>
        </w:rPr>
        <w:t xml:space="preserve"> </w:t>
      </w:r>
      <w:r w:rsidR="00136F81">
        <w:rPr>
          <w:spacing w:val="-2"/>
          <w:sz w:val="24"/>
          <w:szCs w:val="24"/>
        </w:rPr>
        <w:t xml:space="preserve">Program </w:t>
      </w:r>
      <w:r w:rsidRPr="00695D5B">
        <w:rPr>
          <w:spacing w:val="-2"/>
          <w:sz w:val="24"/>
          <w:szCs w:val="24"/>
        </w:rPr>
        <w:t xml:space="preserve">will be </w:t>
      </w:r>
      <w:r w:rsidR="00C75C99" w:rsidRPr="00695D5B">
        <w:rPr>
          <w:spacing w:val="-2"/>
          <w:sz w:val="24"/>
          <w:szCs w:val="24"/>
        </w:rPr>
        <w:t>covered</w:t>
      </w:r>
      <w:r w:rsidRPr="00695D5B">
        <w:rPr>
          <w:spacing w:val="-2"/>
          <w:sz w:val="24"/>
          <w:szCs w:val="24"/>
        </w:rPr>
        <w:t xml:space="preserve"> by an administrative cost recovery fee</w:t>
      </w:r>
      <w:r w:rsidR="00696912" w:rsidRPr="00695D5B">
        <w:rPr>
          <w:spacing w:val="-2"/>
          <w:sz w:val="24"/>
          <w:szCs w:val="24"/>
        </w:rPr>
        <w:t xml:space="preserve"> of $</w:t>
      </w:r>
      <w:r w:rsidR="00190EFC">
        <w:rPr>
          <w:spacing w:val="-2"/>
          <w:sz w:val="24"/>
          <w:szCs w:val="24"/>
        </w:rPr>
        <w:t>3</w:t>
      </w:r>
      <w:r w:rsidR="00190EFC" w:rsidRPr="00695D5B">
        <w:rPr>
          <w:spacing w:val="-2"/>
          <w:sz w:val="24"/>
          <w:szCs w:val="24"/>
        </w:rPr>
        <w:t xml:space="preserve">0 </w:t>
      </w:r>
      <w:r w:rsidR="00696912" w:rsidRPr="00695D5B">
        <w:rPr>
          <w:spacing w:val="-2"/>
          <w:sz w:val="24"/>
          <w:szCs w:val="24"/>
        </w:rPr>
        <w:t xml:space="preserve">per </w:t>
      </w:r>
      <w:r w:rsidR="002B03FE" w:rsidRPr="00695D5B">
        <w:rPr>
          <w:spacing w:val="-2"/>
          <w:sz w:val="24"/>
          <w:szCs w:val="24"/>
        </w:rPr>
        <w:t>application</w:t>
      </w:r>
      <w:r w:rsidR="002F7FCC" w:rsidRPr="00695D5B">
        <w:rPr>
          <w:spacing w:val="-2"/>
          <w:sz w:val="24"/>
          <w:szCs w:val="24"/>
        </w:rPr>
        <w:t xml:space="preserve">, </w:t>
      </w:r>
      <w:r w:rsidR="00C75C99" w:rsidRPr="00695D5B">
        <w:rPr>
          <w:spacing w:val="-2"/>
          <w:sz w:val="24"/>
          <w:szCs w:val="24"/>
        </w:rPr>
        <w:t xml:space="preserve">thus </w:t>
      </w:r>
      <w:r w:rsidRPr="00695D5B">
        <w:rPr>
          <w:spacing w:val="-2"/>
          <w:sz w:val="24"/>
          <w:szCs w:val="24"/>
        </w:rPr>
        <w:t>there</w:t>
      </w:r>
      <w:r w:rsidRPr="00695D5B">
        <w:rPr>
          <w:sz w:val="24"/>
          <w:szCs w:val="24"/>
        </w:rPr>
        <w:t xml:space="preserve"> will be no</w:t>
      </w:r>
      <w:r w:rsidR="002F7FCC" w:rsidRPr="00695D5B">
        <w:rPr>
          <w:sz w:val="24"/>
          <w:szCs w:val="24"/>
        </w:rPr>
        <w:t xml:space="preserve"> incremental</w:t>
      </w:r>
      <w:r w:rsidRPr="00695D5B">
        <w:rPr>
          <w:sz w:val="24"/>
          <w:szCs w:val="24"/>
        </w:rPr>
        <w:t xml:space="preserve"> cost to the Federal government.</w:t>
      </w:r>
      <w:r w:rsidR="00751816" w:rsidRPr="00695D5B">
        <w:rPr>
          <w:sz w:val="24"/>
          <w:szCs w:val="24"/>
        </w:rPr>
        <w:t xml:space="preserve"> </w:t>
      </w:r>
    </w:p>
    <w:p w14:paraId="6264C7EB" w14:textId="77777777" w:rsidR="009823F8" w:rsidRPr="00695D5B" w:rsidRDefault="009823F8" w:rsidP="00B5267F">
      <w:pPr>
        <w:ind w:right="432"/>
        <w:rPr>
          <w:sz w:val="24"/>
          <w:szCs w:val="24"/>
        </w:rPr>
      </w:pPr>
    </w:p>
    <w:p w14:paraId="4F5679BC" w14:textId="471A3EDC" w:rsidR="009823F8" w:rsidRDefault="009823F8" w:rsidP="009823F8">
      <w:pPr>
        <w:rPr>
          <w:sz w:val="24"/>
          <w:szCs w:val="24"/>
        </w:rPr>
      </w:pPr>
      <w:r w:rsidRPr="00695D5B">
        <w:rPr>
          <w:sz w:val="24"/>
          <w:szCs w:val="24"/>
        </w:rPr>
        <w:t>Additional costs to government are attributable to monitoring imports, auditing entries</w:t>
      </w:r>
      <w:r w:rsidR="007C71D5" w:rsidRPr="00695D5B">
        <w:rPr>
          <w:sz w:val="24"/>
          <w:szCs w:val="24"/>
        </w:rPr>
        <w:t xml:space="preserve"> and audit reports</w:t>
      </w:r>
      <w:r w:rsidRPr="00695D5B">
        <w:rPr>
          <w:sz w:val="24"/>
          <w:szCs w:val="24"/>
        </w:rPr>
        <w:t xml:space="preserve">, consulting with foreign government counterparts regarding lawful acquisition, and addressing violations of the recordkeeping </w:t>
      </w:r>
      <w:r w:rsidR="007C71D5" w:rsidRPr="00695D5B">
        <w:rPr>
          <w:sz w:val="24"/>
          <w:szCs w:val="24"/>
        </w:rPr>
        <w:t xml:space="preserve">and auditing </w:t>
      </w:r>
      <w:r w:rsidRPr="00695D5B">
        <w:rPr>
          <w:sz w:val="24"/>
          <w:szCs w:val="24"/>
        </w:rPr>
        <w:t xml:space="preserve">requirements of this rule.  </w:t>
      </w:r>
      <w:r w:rsidR="00136F81">
        <w:rPr>
          <w:sz w:val="24"/>
          <w:szCs w:val="24"/>
        </w:rPr>
        <w:t xml:space="preserve">NMFS believes that this </w:t>
      </w:r>
      <w:r w:rsidR="00D13C56">
        <w:rPr>
          <w:sz w:val="24"/>
          <w:szCs w:val="24"/>
        </w:rPr>
        <w:t xml:space="preserve">work </w:t>
      </w:r>
      <w:r w:rsidR="00136F81">
        <w:rPr>
          <w:sz w:val="24"/>
          <w:szCs w:val="24"/>
        </w:rPr>
        <w:t>can be accomplished with 1,040 hours</w:t>
      </w:r>
      <w:r w:rsidR="00D13C56">
        <w:rPr>
          <w:sz w:val="24"/>
          <w:szCs w:val="24"/>
        </w:rPr>
        <w:t xml:space="preserve"> of labor</w:t>
      </w:r>
      <w:r w:rsidR="00136F81">
        <w:rPr>
          <w:sz w:val="24"/>
          <w:szCs w:val="24"/>
        </w:rPr>
        <w:t xml:space="preserve">, the equivalent of one part-time </w:t>
      </w:r>
      <w:r w:rsidRPr="00695D5B">
        <w:rPr>
          <w:sz w:val="24"/>
          <w:szCs w:val="24"/>
        </w:rPr>
        <w:t>position</w:t>
      </w:r>
      <w:r w:rsidR="00D13C56">
        <w:rPr>
          <w:sz w:val="24"/>
          <w:szCs w:val="24"/>
        </w:rPr>
        <w:t>.</w:t>
      </w:r>
      <w:r w:rsidRPr="00695D5B">
        <w:rPr>
          <w:sz w:val="24"/>
          <w:szCs w:val="24"/>
        </w:rPr>
        <w:t xml:space="preserve"> </w:t>
      </w:r>
      <w:r w:rsidR="00D13C56">
        <w:rPr>
          <w:sz w:val="24"/>
          <w:szCs w:val="24"/>
        </w:rPr>
        <w:t>A</w:t>
      </w:r>
      <w:r w:rsidRPr="00695D5B">
        <w:rPr>
          <w:sz w:val="24"/>
          <w:szCs w:val="24"/>
        </w:rPr>
        <w:t xml:space="preserve">t an average </w:t>
      </w:r>
      <w:r w:rsidR="00D13C56">
        <w:rPr>
          <w:sz w:val="24"/>
          <w:szCs w:val="24"/>
        </w:rPr>
        <w:t xml:space="preserve">hourly </w:t>
      </w:r>
      <w:r w:rsidRPr="00695D5B">
        <w:rPr>
          <w:sz w:val="24"/>
          <w:szCs w:val="24"/>
        </w:rPr>
        <w:t>labor cost of $</w:t>
      </w:r>
      <w:r w:rsidR="00190EFC">
        <w:rPr>
          <w:sz w:val="24"/>
          <w:szCs w:val="24"/>
        </w:rPr>
        <w:t>61</w:t>
      </w:r>
      <w:r w:rsidRPr="00695D5B">
        <w:rPr>
          <w:sz w:val="24"/>
          <w:szCs w:val="24"/>
        </w:rPr>
        <w:t xml:space="preserve">, the ongoing </w:t>
      </w:r>
      <w:r w:rsidR="00D13C56">
        <w:rPr>
          <w:sz w:val="24"/>
          <w:szCs w:val="24"/>
        </w:rPr>
        <w:t xml:space="preserve">annual </w:t>
      </w:r>
      <w:r w:rsidRPr="00695D5B">
        <w:rPr>
          <w:sz w:val="24"/>
          <w:szCs w:val="24"/>
        </w:rPr>
        <w:t>costs would amount to $</w:t>
      </w:r>
      <w:r w:rsidR="00190EFC">
        <w:rPr>
          <w:sz w:val="24"/>
          <w:szCs w:val="24"/>
        </w:rPr>
        <w:t>63,440</w:t>
      </w:r>
      <w:r w:rsidRPr="00695D5B">
        <w:rPr>
          <w:sz w:val="24"/>
          <w:szCs w:val="24"/>
        </w:rPr>
        <w:t>.</w:t>
      </w:r>
      <w:r w:rsidR="00D13C56">
        <w:rPr>
          <w:sz w:val="24"/>
          <w:szCs w:val="24"/>
        </w:rPr>
        <w:t xml:space="preserve"> Given that the duties required of NMFS would be spread among multiple disciplines (inspection, auditing, enforcement), we believe that the necessary resources can be drawn from among existing staff, and no separate hiring will be necessary specific to this program.</w:t>
      </w:r>
    </w:p>
    <w:p w14:paraId="56C3DB56" w14:textId="77777777" w:rsidR="00563A90" w:rsidRPr="009823F8" w:rsidRDefault="00563A90" w:rsidP="009823F8">
      <w:pPr>
        <w:rPr>
          <w:sz w:val="24"/>
          <w:szCs w:val="24"/>
        </w:rPr>
      </w:pPr>
    </w:p>
    <w:p w14:paraId="78D2427D"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354DA4FB" w14:textId="77777777" w:rsidR="004F26E9" w:rsidRDefault="004F26E9">
      <w:pPr>
        <w:rPr>
          <w:sz w:val="24"/>
          <w:szCs w:val="24"/>
        </w:rPr>
      </w:pPr>
    </w:p>
    <w:p w14:paraId="53379447" w14:textId="77777777" w:rsidR="00BE4327" w:rsidRPr="00BE4327" w:rsidRDefault="005F5737" w:rsidP="00BE4327">
      <w:pPr>
        <w:rPr>
          <w:spacing w:val="-2"/>
          <w:sz w:val="24"/>
          <w:szCs w:val="24"/>
        </w:rPr>
      </w:pPr>
      <w:r>
        <w:rPr>
          <w:spacing w:val="-2"/>
          <w:sz w:val="24"/>
          <w:szCs w:val="24"/>
        </w:rPr>
        <w:t>This is a</w:t>
      </w:r>
      <w:r w:rsidR="007C71D5">
        <w:rPr>
          <w:spacing w:val="-2"/>
          <w:sz w:val="24"/>
          <w:szCs w:val="24"/>
        </w:rPr>
        <w:t>n enhancement to</w:t>
      </w:r>
      <w:r>
        <w:rPr>
          <w:spacing w:val="-2"/>
          <w:sz w:val="24"/>
          <w:szCs w:val="24"/>
        </w:rPr>
        <w:t xml:space="preserve"> </w:t>
      </w:r>
      <w:r w:rsidR="007C71D5">
        <w:rPr>
          <w:spacing w:val="-2"/>
          <w:sz w:val="24"/>
          <w:szCs w:val="24"/>
        </w:rPr>
        <w:t>the Seafood Import Monitoring Program</w:t>
      </w:r>
      <w:r w:rsidR="000E3360">
        <w:rPr>
          <w:spacing w:val="-2"/>
          <w:sz w:val="24"/>
          <w:szCs w:val="24"/>
        </w:rPr>
        <w:t>,</w:t>
      </w:r>
      <w:r w:rsidR="007C71D5">
        <w:rPr>
          <w:spacing w:val="-2"/>
          <w:sz w:val="24"/>
          <w:szCs w:val="24"/>
        </w:rPr>
        <w:t xml:space="preserve"> designed specifically to reduce the burden of reporting and recordkeeping requirements and </w:t>
      </w:r>
      <w:r w:rsidR="00FB7FA4">
        <w:rPr>
          <w:spacing w:val="-2"/>
          <w:sz w:val="24"/>
          <w:szCs w:val="24"/>
        </w:rPr>
        <w:t xml:space="preserve">provide </w:t>
      </w:r>
      <w:r w:rsidR="007C71D5">
        <w:rPr>
          <w:spacing w:val="-2"/>
          <w:sz w:val="24"/>
          <w:szCs w:val="24"/>
        </w:rPr>
        <w:t xml:space="preserve">streamlined entry into U.S. commerce </w:t>
      </w:r>
      <w:r w:rsidR="00FB7FA4">
        <w:rPr>
          <w:spacing w:val="-2"/>
          <w:sz w:val="24"/>
          <w:szCs w:val="24"/>
        </w:rPr>
        <w:t xml:space="preserve">for seafood imports subject to SIMP </w:t>
      </w:r>
      <w:r w:rsidR="007C71D5">
        <w:rPr>
          <w:spacing w:val="-2"/>
          <w:sz w:val="24"/>
          <w:szCs w:val="24"/>
        </w:rPr>
        <w:t xml:space="preserve">for </w:t>
      </w:r>
      <w:r w:rsidR="003200F8">
        <w:rPr>
          <w:spacing w:val="-2"/>
          <w:sz w:val="24"/>
          <w:szCs w:val="24"/>
        </w:rPr>
        <w:t xml:space="preserve">importers </w:t>
      </w:r>
      <w:r w:rsidR="00434A37">
        <w:rPr>
          <w:spacing w:val="-2"/>
          <w:sz w:val="24"/>
          <w:szCs w:val="24"/>
        </w:rPr>
        <w:t>approved as</w:t>
      </w:r>
      <w:r w:rsidR="003200F8">
        <w:rPr>
          <w:spacing w:val="-2"/>
          <w:sz w:val="24"/>
          <w:szCs w:val="24"/>
        </w:rPr>
        <w:t xml:space="preserve"> CTT</w:t>
      </w:r>
      <w:r w:rsidR="00434A37">
        <w:rPr>
          <w:spacing w:val="-2"/>
          <w:sz w:val="24"/>
          <w:szCs w:val="24"/>
        </w:rPr>
        <w:t>s</w:t>
      </w:r>
      <w:r w:rsidR="007C71D5">
        <w:rPr>
          <w:spacing w:val="-2"/>
          <w:sz w:val="24"/>
          <w:szCs w:val="24"/>
        </w:rPr>
        <w:t xml:space="preserve">. </w:t>
      </w:r>
      <w:r w:rsidR="00BE4327" w:rsidRPr="00BE4327">
        <w:rPr>
          <w:spacing w:val="-2"/>
          <w:sz w:val="24"/>
          <w:szCs w:val="24"/>
        </w:rPr>
        <w:t>Importers who would likely apply for the CTTP are importers for whom the CTTP implementation costs (e.g., annual third-party audit) would offset the costs of SIMP requirements (e.g., cost of reporting each entry of fish or fish products).  NMFS examined 2014 import data to determine the average annual number of entries for which there would be net savings.</w:t>
      </w:r>
    </w:p>
    <w:p w14:paraId="16404947" w14:textId="77777777" w:rsidR="00BE4327" w:rsidRPr="00BE4327" w:rsidRDefault="00BE4327" w:rsidP="00BE4327">
      <w:pPr>
        <w:rPr>
          <w:spacing w:val="-2"/>
          <w:sz w:val="24"/>
          <w:szCs w:val="24"/>
        </w:rPr>
      </w:pPr>
    </w:p>
    <w:p w14:paraId="3B47E855" w14:textId="77777777" w:rsidR="00BE4327" w:rsidRPr="00BE4327" w:rsidRDefault="00BE4327" w:rsidP="00BE4327">
      <w:pPr>
        <w:rPr>
          <w:spacing w:val="-2"/>
          <w:sz w:val="24"/>
          <w:szCs w:val="24"/>
        </w:rPr>
      </w:pPr>
      <w:r w:rsidRPr="00BE4327">
        <w:rPr>
          <w:spacing w:val="-2"/>
          <w:sz w:val="24"/>
          <w:szCs w:val="24"/>
        </w:rPr>
        <w:t>In the SIMP final rule, NMFS estimated annual compliance costs of $6,075,000 including permit fees, reporting, recordkeeping, and data storage for 2,000 importers who, combined, filed 215,000 entries through the International Trade Data System (ITDS). There were 216 importers who filed more than 250 entries in 2014 (comprising roughly 72% of all entries). NMFS considers these 216 importers to be “high volume”, and based on the compliance cost of both SIMP and CTTP, they are expected to benefit financially from the CTTP.</w:t>
      </w:r>
    </w:p>
    <w:p w14:paraId="50A8DFEB" w14:textId="77777777" w:rsidR="00BE4327" w:rsidRPr="00BE4327" w:rsidRDefault="00BE4327" w:rsidP="00BE4327">
      <w:pPr>
        <w:rPr>
          <w:spacing w:val="-2"/>
          <w:sz w:val="24"/>
          <w:szCs w:val="24"/>
        </w:rPr>
      </w:pPr>
    </w:p>
    <w:p w14:paraId="79A30871" w14:textId="77777777" w:rsidR="00BE4327" w:rsidRPr="00BE4327" w:rsidRDefault="00BE4327" w:rsidP="00BE4327">
      <w:pPr>
        <w:rPr>
          <w:spacing w:val="-2"/>
          <w:sz w:val="24"/>
          <w:szCs w:val="24"/>
        </w:rPr>
      </w:pPr>
      <w:r w:rsidRPr="00BE4327">
        <w:rPr>
          <w:spacing w:val="-2"/>
          <w:sz w:val="24"/>
          <w:szCs w:val="24"/>
        </w:rPr>
        <w:t>For the 216 importers with over 250 entries filed per year, the cost savings for reduced reporting will outweigh the costs of contracting for an independent audit annually in compliance with CTTP requirements.  Importers who apply for and are approved under the CTTP would have the following incremental costs. First, the CTTs would be subject to $30 each for a one-time CTTP application fee. Second, to the extent that the importer has an existing internal control plan that includes procedures to meet current food safety and SIMP requirements, making revisions to the plan to comply with CTTP requirements for a Compliance Plan, including an internal control plan, may not require significant time, e.g., no more than 8 hours.  If that is not the case and the importer must develop Trusted Trader Compliance Plan from square one, NMFS estimates that it could take up to 24 hours.  At an hourly rate of $50, this results in a total one-time labor cost of between $86,400 and $259,200, with a mid-range of $172,800. Third, it is estimated that the 216 CTTs combined would incur labor costs of $10,800 to contract for an annual audit, assuming $50 for one hour of time of a relatively high level employee to procure services of an auditing firm. Finally, NOAA estimates between $1,120 and $3,600 for auditing costs charged by a third party auditor.  NOAA has assumed a mid-range estimate of $2,190 as the likely cost of an audit so a total of 216 CTTs would incur direct costs of $483,840 annually (contracting for the audit plus the actual audit itself).</w:t>
      </w:r>
    </w:p>
    <w:p w14:paraId="7E87E197" w14:textId="77777777" w:rsidR="00BE4327" w:rsidRPr="00BE4327" w:rsidRDefault="00BE4327" w:rsidP="00BE4327">
      <w:pPr>
        <w:rPr>
          <w:spacing w:val="-2"/>
          <w:sz w:val="24"/>
          <w:szCs w:val="24"/>
        </w:rPr>
      </w:pPr>
    </w:p>
    <w:p w14:paraId="78341E90" w14:textId="56F7CE0F" w:rsidR="003C0337" w:rsidRDefault="00BE4327" w:rsidP="00BE4327">
      <w:pPr>
        <w:rPr>
          <w:spacing w:val="-2"/>
          <w:sz w:val="24"/>
          <w:szCs w:val="24"/>
        </w:rPr>
      </w:pPr>
      <w:r w:rsidRPr="00BE4327">
        <w:rPr>
          <w:spacing w:val="-2"/>
          <w:sz w:val="24"/>
          <w:szCs w:val="24"/>
        </w:rPr>
        <w:t>In contrast to these incremental costs, there would be a significant reduction in reporting costs for the entry filings (average of 750 filings per importer at $5 data entry cost for each CTTP filing versus $15 data entry cost for each SIMP filing).  A CTTP filing would contain only the header record (IFTP number, product and species codes) while a SIMP filing would contain the header record and all harvest and vessel records. Total savings for all 216 importers are estimated at $1.21 million at the low estimates for audit cost and Compliance Plan development and $0.50 million at the high estimates for audit cost and Compliance Plan development per year.</w:t>
      </w:r>
      <w:r>
        <w:rPr>
          <w:spacing w:val="-2"/>
          <w:sz w:val="24"/>
          <w:szCs w:val="24"/>
        </w:rPr>
        <w:t xml:space="preserve"> The table below assumes the mid-range figure for Compliance Plan development and third-party audit costs.</w:t>
      </w:r>
    </w:p>
    <w:p w14:paraId="1D7D1AD4" w14:textId="39D59F97" w:rsidR="00563A90" w:rsidRDefault="00563A90">
      <w:pPr>
        <w:rPr>
          <w:spacing w:val="-2"/>
          <w:sz w:val="24"/>
          <w:szCs w:val="24"/>
        </w:rPr>
      </w:pPr>
    </w:p>
    <w:p w14:paraId="1F4D71F2" w14:textId="77777777" w:rsidR="00563A90" w:rsidRDefault="00563A90">
      <w:pPr>
        <w:rPr>
          <w:spacing w:val="-2"/>
          <w:sz w:val="24"/>
          <w:szCs w:val="24"/>
        </w:rPr>
      </w:pPr>
    </w:p>
    <w:p w14:paraId="40F1F04F" w14:textId="635CBA79" w:rsidR="00563A90" w:rsidRDefault="00563A90">
      <w:pPr>
        <w:rPr>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756"/>
        <w:gridCol w:w="1729"/>
        <w:gridCol w:w="1536"/>
        <w:gridCol w:w="2056"/>
        <w:gridCol w:w="1722"/>
      </w:tblGrid>
      <w:tr w:rsidR="00563A90" w:rsidRPr="00EA6E9E" w14:paraId="4C1AAFA5" w14:textId="77777777" w:rsidTr="002815F2">
        <w:tc>
          <w:tcPr>
            <w:tcW w:w="1669" w:type="dxa"/>
            <w:shd w:val="clear" w:color="auto" w:fill="auto"/>
            <w:vAlign w:val="bottom"/>
          </w:tcPr>
          <w:p w14:paraId="2C85DEFB" w14:textId="77777777" w:rsidR="00563A90" w:rsidRPr="00335F52" w:rsidRDefault="00563A90" w:rsidP="002815F2"/>
        </w:tc>
        <w:tc>
          <w:tcPr>
            <w:tcW w:w="756" w:type="dxa"/>
            <w:shd w:val="clear" w:color="auto" w:fill="auto"/>
            <w:vAlign w:val="bottom"/>
          </w:tcPr>
          <w:p w14:paraId="26C81C6D" w14:textId="77777777" w:rsidR="00563A90" w:rsidRPr="00335F52" w:rsidRDefault="00563A90" w:rsidP="002815F2"/>
        </w:tc>
        <w:tc>
          <w:tcPr>
            <w:tcW w:w="1729" w:type="dxa"/>
            <w:shd w:val="clear" w:color="auto" w:fill="auto"/>
            <w:vAlign w:val="bottom"/>
          </w:tcPr>
          <w:p w14:paraId="65F741E2" w14:textId="77777777" w:rsidR="00563A90" w:rsidRPr="00335F52" w:rsidDel="00D762C5" w:rsidRDefault="00563A90" w:rsidP="002815F2">
            <w:r>
              <w:t>Scenario I: None Become Trusted Traders</w:t>
            </w:r>
          </w:p>
        </w:tc>
        <w:tc>
          <w:tcPr>
            <w:tcW w:w="1536" w:type="dxa"/>
            <w:tcBorders>
              <w:right w:val="double" w:sz="4" w:space="0" w:color="auto"/>
            </w:tcBorders>
            <w:shd w:val="clear" w:color="auto" w:fill="auto"/>
          </w:tcPr>
          <w:p w14:paraId="59A77575" w14:textId="77777777" w:rsidR="00563A90" w:rsidRDefault="00563A90" w:rsidP="002815F2">
            <w:r>
              <w:t xml:space="preserve">Scenario II: </w:t>
            </w:r>
            <w:r w:rsidRPr="00335F52">
              <w:t>All Become Trusted Traders</w:t>
            </w:r>
          </w:p>
        </w:tc>
        <w:tc>
          <w:tcPr>
            <w:tcW w:w="3778" w:type="dxa"/>
            <w:gridSpan w:val="2"/>
            <w:tcBorders>
              <w:left w:val="double" w:sz="4" w:space="0" w:color="auto"/>
            </w:tcBorders>
            <w:shd w:val="clear" w:color="auto" w:fill="auto"/>
          </w:tcPr>
          <w:p w14:paraId="0851FB19" w14:textId="77777777" w:rsidR="00563A90" w:rsidRPr="00335F52" w:rsidDel="00D762C5" w:rsidRDefault="00563A90" w:rsidP="002815F2">
            <w:r>
              <w:t xml:space="preserve">Scenario III: </w:t>
            </w:r>
            <w:r w:rsidRPr="00335F52">
              <w:t>Greater than 250 Entries Become Trusted Traders</w:t>
            </w:r>
          </w:p>
        </w:tc>
      </w:tr>
      <w:tr w:rsidR="00563A90" w:rsidRPr="00EA6E9E" w14:paraId="1DFD8CAF" w14:textId="77777777" w:rsidTr="002815F2">
        <w:tc>
          <w:tcPr>
            <w:tcW w:w="1669" w:type="dxa"/>
            <w:shd w:val="clear" w:color="auto" w:fill="auto"/>
            <w:vAlign w:val="bottom"/>
          </w:tcPr>
          <w:p w14:paraId="36D1244F" w14:textId="77777777" w:rsidR="00563A90" w:rsidRPr="00335F52" w:rsidRDefault="00563A90" w:rsidP="002815F2">
            <w:r w:rsidRPr="00335F52">
              <w:t>SIMP Costs</w:t>
            </w:r>
          </w:p>
        </w:tc>
        <w:tc>
          <w:tcPr>
            <w:tcW w:w="756" w:type="dxa"/>
            <w:shd w:val="clear" w:color="auto" w:fill="auto"/>
            <w:vAlign w:val="bottom"/>
          </w:tcPr>
          <w:p w14:paraId="106ABC99" w14:textId="77777777" w:rsidR="00563A90" w:rsidRPr="00335F52" w:rsidRDefault="00563A90" w:rsidP="002815F2">
            <w:r w:rsidRPr="00335F52">
              <w:t>Unit Cost</w:t>
            </w:r>
          </w:p>
        </w:tc>
        <w:tc>
          <w:tcPr>
            <w:tcW w:w="1729" w:type="dxa"/>
            <w:shd w:val="clear" w:color="auto" w:fill="auto"/>
            <w:vAlign w:val="bottom"/>
          </w:tcPr>
          <w:p w14:paraId="69D20183" w14:textId="77777777" w:rsidR="00563A90" w:rsidRPr="00335F52" w:rsidRDefault="00563A90" w:rsidP="002815F2">
            <w:r>
              <w:t>SIMP Compliance</w:t>
            </w:r>
          </w:p>
        </w:tc>
        <w:tc>
          <w:tcPr>
            <w:tcW w:w="1536" w:type="dxa"/>
            <w:tcBorders>
              <w:right w:val="double" w:sz="4" w:space="0" w:color="auto"/>
            </w:tcBorders>
            <w:shd w:val="clear" w:color="auto" w:fill="auto"/>
          </w:tcPr>
          <w:p w14:paraId="3890E6D1" w14:textId="77777777" w:rsidR="00563A90" w:rsidRPr="00335F52" w:rsidRDefault="00563A90" w:rsidP="002815F2">
            <w:r>
              <w:t>CTTP Compliance</w:t>
            </w:r>
          </w:p>
        </w:tc>
        <w:tc>
          <w:tcPr>
            <w:tcW w:w="2056" w:type="dxa"/>
            <w:tcBorders>
              <w:left w:val="double" w:sz="4" w:space="0" w:color="auto"/>
            </w:tcBorders>
            <w:shd w:val="clear" w:color="auto" w:fill="auto"/>
          </w:tcPr>
          <w:p w14:paraId="29F3ACCE" w14:textId="77777777" w:rsidR="00563A90" w:rsidRPr="00335F52" w:rsidRDefault="00563A90" w:rsidP="002815F2">
            <w:r>
              <w:t>CTTP Compliance</w:t>
            </w:r>
          </w:p>
        </w:tc>
        <w:tc>
          <w:tcPr>
            <w:tcW w:w="1722" w:type="dxa"/>
            <w:shd w:val="clear" w:color="auto" w:fill="auto"/>
          </w:tcPr>
          <w:p w14:paraId="04391C41" w14:textId="77777777" w:rsidR="00563A90" w:rsidRPr="00335F52" w:rsidRDefault="00563A90" w:rsidP="002815F2">
            <w:r>
              <w:t xml:space="preserve">SIMP Compliance </w:t>
            </w:r>
          </w:p>
        </w:tc>
      </w:tr>
      <w:tr w:rsidR="00563A90" w:rsidRPr="00EA6E9E" w14:paraId="1A9B8B57" w14:textId="77777777" w:rsidTr="002815F2">
        <w:tc>
          <w:tcPr>
            <w:tcW w:w="1669" w:type="dxa"/>
            <w:shd w:val="clear" w:color="auto" w:fill="auto"/>
            <w:vAlign w:val="bottom"/>
          </w:tcPr>
          <w:p w14:paraId="230AC95A" w14:textId="77777777" w:rsidR="00563A90" w:rsidRPr="00335F52" w:rsidRDefault="00563A90" w:rsidP="002815F2">
            <w:r>
              <w:t>Number of IFTP holders</w:t>
            </w:r>
          </w:p>
        </w:tc>
        <w:tc>
          <w:tcPr>
            <w:tcW w:w="756" w:type="dxa"/>
            <w:shd w:val="clear" w:color="auto" w:fill="auto"/>
            <w:vAlign w:val="bottom"/>
          </w:tcPr>
          <w:p w14:paraId="6FDB48E0" w14:textId="77777777" w:rsidR="00563A90" w:rsidRPr="00335F52" w:rsidRDefault="00563A90" w:rsidP="002815F2"/>
        </w:tc>
        <w:tc>
          <w:tcPr>
            <w:tcW w:w="1729" w:type="dxa"/>
            <w:shd w:val="clear" w:color="auto" w:fill="auto"/>
            <w:vAlign w:val="bottom"/>
          </w:tcPr>
          <w:p w14:paraId="4A87A8A5" w14:textId="77777777" w:rsidR="00563A90" w:rsidRPr="00335F52" w:rsidRDefault="00563A90" w:rsidP="002815F2">
            <w:r w:rsidRPr="00335F52">
              <w:t>2,000</w:t>
            </w:r>
          </w:p>
        </w:tc>
        <w:tc>
          <w:tcPr>
            <w:tcW w:w="1536" w:type="dxa"/>
            <w:tcBorders>
              <w:right w:val="double" w:sz="4" w:space="0" w:color="auto"/>
            </w:tcBorders>
            <w:shd w:val="clear" w:color="auto" w:fill="auto"/>
            <w:vAlign w:val="bottom"/>
          </w:tcPr>
          <w:p w14:paraId="515D91BD" w14:textId="77777777" w:rsidR="00563A90" w:rsidRPr="00335F52" w:rsidRDefault="00563A90" w:rsidP="002815F2">
            <w:r w:rsidRPr="00335F52">
              <w:t>2,000</w:t>
            </w:r>
          </w:p>
        </w:tc>
        <w:tc>
          <w:tcPr>
            <w:tcW w:w="2056" w:type="dxa"/>
            <w:tcBorders>
              <w:left w:val="double" w:sz="4" w:space="0" w:color="auto"/>
            </w:tcBorders>
            <w:shd w:val="clear" w:color="auto" w:fill="auto"/>
            <w:vAlign w:val="bottom"/>
          </w:tcPr>
          <w:p w14:paraId="0DACEAA9" w14:textId="77777777" w:rsidR="00563A90" w:rsidRPr="00335F52" w:rsidRDefault="00563A90" w:rsidP="002815F2">
            <w:r w:rsidRPr="00335F52">
              <w:t>216</w:t>
            </w:r>
          </w:p>
        </w:tc>
        <w:tc>
          <w:tcPr>
            <w:tcW w:w="1722" w:type="dxa"/>
            <w:shd w:val="clear" w:color="auto" w:fill="auto"/>
            <w:vAlign w:val="bottom"/>
          </w:tcPr>
          <w:p w14:paraId="3DB3178F" w14:textId="77777777" w:rsidR="00563A90" w:rsidRPr="00335F52" w:rsidRDefault="00563A90" w:rsidP="002815F2">
            <w:r w:rsidRPr="00335F52">
              <w:t>1,784</w:t>
            </w:r>
          </w:p>
        </w:tc>
      </w:tr>
      <w:tr w:rsidR="00563A90" w:rsidRPr="00EA6E9E" w14:paraId="08C6710C" w14:textId="77777777" w:rsidTr="002815F2">
        <w:tc>
          <w:tcPr>
            <w:tcW w:w="1669" w:type="dxa"/>
            <w:shd w:val="clear" w:color="auto" w:fill="auto"/>
            <w:vAlign w:val="bottom"/>
          </w:tcPr>
          <w:p w14:paraId="5C3D3988" w14:textId="77777777" w:rsidR="00563A90" w:rsidRPr="00335F52" w:rsidRDefault="00563A90" w:rsidP="002815F2">
            <w:r w:rsidRPr="00335F52">
              <w:t>IFTP Application</w:t>
            </w:r>
          </w:p>
        </w:tc>
        <w:tc>
          <w:tcPr>
            <w:tcW w:w="756" w:type="dxa"/>
            <w:shd w:val="clear" w:color="auto" w:fill="auto"/>
            <w:vAlign w:val="bottom"/>
          </w:tcPr>
          <w:p w14:paraId="33D507B3" w14:textId="77777777" w:rsidR="00563A90" w:rsidRPr="00335F52" w:rsidRDefault="00563A90" w:rsidP="002815F2">
            <w:r w:rsidRPr="00335F52">
              <w:t>30</w:t>
            </w:r>
          </w:p>
        </w:tc>
        <w:tc>
          <w:tcPr>
            <w:tcW w:w="1729" w:type="dxa"/>
            <w:shd w:val="clear" w:color="auto" w:fill="auto"/>
            <w:vAlign w:val="bottom"/>
          </w:tcPr>
          <w:p w14:paraId="0E952A15" w14:textId="77777777" w:rsidR="00563A90" w:rsidRPr="00335F52" w:rsidRDefault="00563A90" w:rsidP="002815F2">
            <w:r w:rsidRPr="00335F52">
              <w:t>60,000</w:t>
            </w:r>
          </w:p>
        </w:tc>
        <w:tc>
          <w:tcPr>
            <w:tcW w:w="1536" w:type="dxa"/>
            <w:tcBorders>
              <w:right w:val="double" w:sz="4" w:space="0" w:color="auto"/>
            </w:tcBorders>
            <w:shd w:val="clear" w:color="auto" w:fill="auto"/>
            <w:vAlign w:val="bottom"/>
          </w:tcPr>
          <w:p w14:paraId="0B7C291F" w14:textId="77777777" w:rsidR="00563A90" w:rsidRPr="00335F52" w:rsidRDefault="00563A90" w:rsidP="002815F2">
            <w:r w:rsidRPr="00335F52">
              <w:t>60,000</w:t>
            </w:r>
          </w:p>
        </w:tc>
        <w:tc>
          <w:tcPr>
            <w:tcW w:w="2056" w:type="dxa"/>
            <w:tcBorders>
              <w:left w:val="double" w:sz="4" w:space="0" w:color="auto"/>
            </w:tcBorders>
            <w:shd w:val="clear" w:color="auto" w:fill="auto"/>
            <w:vAlign w:val="bottom"/>
          </w:tcPr>
          <w:p w14:paraId="3542344C" w14:textId="77777777" w:rsidR="00563A90" w:rsidRPr="00335F52" w:rsidRDefault="00563A90" w:rsidP="002815F2">
            <w:r w:rsidRPr="00335F52">
              <w:t>6,480</w:t>
            </w:r>
          </w:p>
        </w:tc>
        <w:tc>
          <w:tcPr>
            <w:tcW w:w="1722" w:type="dxa"/>
            <w:shd w:val="clear" w:color="auto" w:fill="auto"/>
            <w:vAlign w:val="bottom"/>
          </w:tcPr>
          <w:p w14:paraId="47DD1DA0" w14:textId="77777777" w:rsidR="00563A90" w:rsidRPr="00335F52" w:rsidRDefault="00563A90" w:rsidP="002815F2">
            <w:r w:rsidRPr="00335F52">
              <w:t>53,520</w:t>
            </w:r>
          </w:p>
        </w:tc>
      </w:tr>
      <w:tr w:rsidR="00563A90" w:rsidRPr="00EA6E9E" w14:paraId="67CF0E0F" w14:textId="77777777" w:rsidTr="002815F2">
        <w:tc>
          <w:tcPr>
            <w:tcW w:w="1669" w:type="dxa"/>
            <w:shd w:val="clear" w:color="auto" w:fill="auto"/>
            <w:vAlign w:val="bottom"/>
          </w:tcPr>
          <w:p w14:paraId="3FEB9EBE" w14:textId="77777777" w:rsidR="00563A90" w:rsidRPr="00335F52" w:rsidRDefault="00563A90" w:rsidP="002815F2">
            <w:r w:rsidRPr="00335F52">
              <w:t>CTT Application</w:t>
            </w:r>
          </w:p>
        </w:tc>
        <w:tc>
          <w:tcPr>
            <w:tcW w:w="756" w:type="dxa"/>
            <w:shd w:val="clear" w:color="auto" w:fill="auto"/>
            <w:vAlign w:val="bottom"/>
          </w:tcPr>
          <w:p w14:paraId="4D35C081" w14:textId="77777777" w:rsidR="00563A90" w:rsidRPr="00335F52" w:rsidRDefault="00563A90" w:rsidP="002815F2">
            <w:r>
              <w:t>30</w:t>
            </w:r>
          </w:p>
        </w:tc>
        <w:tc>
          <w:tcPr>
            <w:tcW w:w="1729" w:type="dxa"/>
            <w:shd w:val="clear" w:color="auto" w:fill="auto"/>
            <w:vAlign w:val="bottom"/>
          </w:tcPr>
          <w:p w14:paraId="2226FAC5" w14:textId="77777777" w:rsidR="00563A90" w:rsidRPr="00335F52" w:rsidRDefault="00563A90" w:rsidP="002815F2">
            <w:r w:rsidRPr="00335F52">
              <w:t>-</w:t>
            </w:r>
          </w:p>
        </w:tc>
        <w:tc>
          <w:tcPr>
            <w:tcW w:w="1536" w:type="dxa"/>
            <w:tcBorders>
              <w:right w:val="double" w:sz="4" w:space="0" w:color="auto"/>
            </w:tcBorders>
            <w:shd w:val="clear" w:color="auto" w:fill="auto"/>
            <w:vAlign w:val="bottom"/>
          </w:tcPr>
          <w:p w14:paraId="4C6F0C3E" w14:textId="77777777" w:rsidR="00563A90" w:rsidRPr="00335F52" w:rsidRDefault="00563A90" w:rsidP="002815F2">
            <w:r>
              <w:t>6</w:t>
            </w:r>
            <w:r w:rsidRPr="00335F52">
              <w:t>0,000</w:t>
            </w:r>
          </w:p>
        </w:tc>
        <w:tc>
          <w:tcPr>
            <w:tcW w:w="2056" w:type="dxa"/>
            <w:tcBorders>
              <w:left w:val="double" w:sz="4" w:space="0" w:color="auto"/>
            </w:tcBorders>
            <w:shd w:val="clear" w:color="auto" w:fill="auto"/>
            <w:vAlign w:val="bottom"/>
          </w:tcPr>
          <w:p w14:paraId="5B357499" w14:textId="77777777" w:rsidR="00563A90" w:rsidRPr="00335F52" w:rsidRDefault="00563A90" w:rsidP="002815F2">
            <w:r>
              <w:t>6,480</w:t>
            </w:r>
          </w:p>
        </w:tc>
        <w:tc>
          <w:tcPr>
            <w:tcW w:w="1722" w:type="dxa"/>
            <w:shd w:val="clear" w:color="auto" w:fill="auto"/>
            <w:vAlign w:val="bottom"/>
          </w:tcPr>
          <w:p w14:paraId="2CC6F5C3" w14:textId="77777777" w:rsidR="00563A90" w:rsidRPr="00335F52" w:rsidRDefault="00563A90" w:rsidP="002815F2">
            <w:r w:rsidRPr="00335F52">
              <w:t>-</w:t>
            </w:r>
          </w:p>
        </w:tc>
      </w:tr>
      <w:tr w:rsidR="00563A90" w:rsidRPr="00EA6E9E" w14:paraId="7FB423A5" w14:textId="77777777" w:rsidTr="002815F2">
        <w:tc>
          <w:tcPr>
            <w:tcW w:w="1669" w:type="dxa"/>
            <w:shd w:val="clear" w:color="auto" w:fill="auto"/>
            <w:vAlign w:val="bottom"/>
          </w:tcPr>
          <w:p w14:paraId="0D5B3596" w14:textId="77777777" w:rsidR="00563A90" w:rsidRPr="00BB6639" w:rsidRDefault="00563A90" w:rsidP="002815F2">
            <w:r>
              <w:t>Compliance Plan development</w:t>
            </w:r>
          </w:p>
        </w:tc>
        <w:tc>
          <w:tcPr>
            <w:tcW w:w="756" w:type="dxa"/>
            <w:shd w:val="clear" w:color="auto" w:fill="auto"/>
            <w:vAlign w:val="bottom"/>
          </w:tcPr>
          <w:p w14:paraId="7F2370B0" w14:textId="77777777" w:rsidR="00563A90" w:rsidRPr="00BB6639" w:rsidRDefault="00563A90" w:rsidP="002815F2">
            <w:r>
              <w:t>800</w:t>
            </w:r>
          </w:p>
        </w:tc>
        <w:tc>
          <w:tcPr>
            <w:tcW w:w="1729" w:type="dxa"/>
            <w:shd w:val="clear" w:color="auto" w:fill="auto"/>
            <w:vAlign w:val="bottom"/>
          </w:tcPr>
          <w:p w14:paraId="0DA70ECB" w14:textId="77777777" w:rsidR="00563A90" w:rsidRPr="00BB6639" w:rsidRDefault="00563A90" w:rsidP="002815F2">
            <w:r>
              <w:t>-</w:t>
            </w:r>
          </w:p>
        </w:tc>
        <w:tc>
          <w:tcPr>
            <w:tcW w:w="1536" w:type="dxa"/>
            <w:tcBorders>
              <w:right w:val="double" w:sz="4" w:space="0" w:color="auto"/>
            </w:tcBorders>
            <w:shd w:val="clear" w:color="auto" w:fill="auto"/>
            <w:vAlign w:val="bottom"/>
          </w:tcPr>
          <w:p w14:paraId="5CEF4927" w14:textId="77777777" w:rsidR="00563A90" w:rsidRPr="004C1235" w:rsidRDefault="00563A90" w:rsidP="002815F2">
            <w:r>
              <w:t>1,600,000</w:t>
            </w:r>
          </w:p>
        </w:tc>
        <w:tc>
          <w:tcPr>
            <w:tcW w:w="2056" w:type="dxa"/>
            <w:tcBorders>
              <w:left w:val="double" w:sz="4" w:space="0" w:color="auto"/>
            </w:tcBorders>
            <w:shd w:val="clear" w:color="auto" w:fill="auto"/>
            <w:vAlign w:val="bottom"/>
          </w:tcPr>
          <w:p w14:paraId="62D63AFA" w14:textId="77777777" w:rsidR="00563A90" w:rsidRPr="004C1235" w:rsidRDefault="00563A90" w:rsidP="002815F2">
            <w:r>
              <w:t>172,800</w:t>
            </w:r>
          </w:p>
        </w:tc>
        <w:tc>
          <w:tcPr>
            <w:tcW w:w="1722" w:type="dxa"/>
            <w:shd w:val="clear" w:color="auto" w:fill="auto"/>
            <w:vAlign w:val="bottom"/>
          </w:tcPr>
          <w:p w14:paraId="4FA1728B" w14:textId="77777777" w:rsidR="00563A90" w:rsidRPr="004C1235" w:rsidRDefault="00563A90" w:rsidP="002815F2">
            <w:r>
              <w:t>-</w:t>
            </w:r>
          </w:p>
        </w:tc>
      </w:tr>
      <w:tr w:rsidR="00563A90" w:rsidRPr="00EA6E9E" w14:paraId="66E3B892" w14:textId="77777777" w:rsidTr="002815F2">
        <w:tc>
          <w:tcPr>
            <w:tcW w:w="1669" w:type="dxa"/>
            <w:shd w:val="clear" w:color="auto" w:fill="auto"/>
            <w:vAlign w:val="bottom"/>
          </w:tcPr>
          <w:p w14:paraId="3CC87963" w14:textId="77777777" w:rsidR="00563A90" w:rsidRPr="00335F52" w:rsidRDefault="00563A90" w:rsidP="002815F2">
            <w:r w:rsidRPr="00335F52">
              <w:t xml:space="preserve">Reporting per </w:t>
            </w:r>
            <w:r>
              <w:t xml:space="preserve">SIMP </w:t>
            </w:r>
            <w:r w:rsidRPr="00335F52">
              <w:t>Entry</w:t>
            </w:r>
          </w:p>
        </w:tc>
        <w:tc>
          <w:tcPr>
            <w:tcW w:w="756" w:type="dxa"/>
            <w:shd w:val="clear" w:color="auto" w:fill="auto"/>
            <w:vAlign w:val="bottom"/>
          </w:tcPr>
          <w:p w14:paraId="71E59BF6" w14:textId="77777777" w:rsidR="00563A90" w:rsidRPr="00335F52" w:rsidRDefault="00563A90" w:rsidP="002815F2">
            <w:r w:rsidRPr="00335F52">
              <w:t>15</w:t>
            </w:r>
          </w:p>
        </w:tc>
        <w:tc>
          <w:tcPr>
            <w:tcW w:w="1729" w:type="dxa"/>
            <w:shd w:val="clear" w:color="auto" w:fill="auto"/>
            <w:vAlign w:val="bottom"/>
          </w:tcPr>
          <w:p w14:paraId="109D13C5" w14:textId="77777777" w:rsidR="00563A90" w:rsidRPr="00335F52" w:rsidRDefault="00563A90" w:rsidP="002815F2">
            <w:r w:rsidRPr="00335F52">
              <w:t>3,225,000</w:t>
            </w:r>
          </w:p>
        </w:tc>
        <w:tc>
          <w:tcPr>
            <w:tcW w:w="1536" w:type="dxa"/>
            <w:tcBorders>
              <w:right w:val="double" w:sz="4" w:space="0" w:color="auto"/>
            </w:tcBorders>
            <w:shd w:val="clear" w:color="auto" w:fill="auto"/>
            <w:vAlign w:val="bottom"/>
          </w:tcPr>
          <w:p w14:paraId="750C3984" w14:textId="77777777" w:rsidR="00563A90" w:rsidRPr="00335F52" w:rsidRDefault="00563A90" w:rsidP="002815F2">
            <w:r w:rsidRPr="00335F52">
              <w:t>-</w:t>
            </w:r>
          </w:p>
        </w:tc>
        <w:tc>
          <w:tcPr>
            <w:tcW w:w="2056" w:type="dxa"/>
            <w:tcBorders>
              <w:left w:val="double" w:sz="4" w:space="0" w:color="auto"/>
            </w:tcBorders>
            <w:shd w:val="clear" w:color="auto" w:fill="auto"/>
            <w:vAlign w:val="bottom"/>
          </w:tcPr>
          <w:p w14:paraId="71076BB2" w14:textId="77777777" w:rsidR="00563A90" w:rsidRPr="00335F52" w:rsidRDefault="00563A90" w:rsidP="002815F2">
            <w:r w:rsidRPr="00335F52">
              <w:t>-</w:t>
            </w:r>
          </w:p>
        </w:tc>
        <w:tc>
          <w:tcPr>
            <w:tcW w:w="1722" w:type="dxa"/>
            <w:shd w:val="clear" w:color="auto" w:fill="auto"/>
            <w:vAlign w:val="bottom"/>
          </w:tcPr>
          <w:p w14:paraId="44BB777C" w14:textId="77777777" w:rsidR="00563A90" w:rsidRPr="00335F52" w:rsidRDefault="00563A90" w:rsidP="002815F2">
            <w:r w:rsidRPr="00335F52">
              <w:t>890,505</w:t>
            </w:r>
          </w:p>
        </w:tc>
      </w:tr>
      <w:tr w:rsidR="00563A90" w:rsidRPr="00EA6E9E" w14:paraId="508A8EF4" w14:textId="77777777" w:rsidTr="002815F2">
        <w:trPr>
          <w:trHeight w:val="70"/>
        </w:trPr>
        <w:tc>
          <w:tcPr>
            <w:tcW w:w="1669" w:type="dxa"/>
            <w:shd w:val="clear" w:color="auto" w:fill="auto"/>
            <w:vAlign w:val="bottom"/>
          </w:tcPr>
          <w:p w14:paraId="492CA1CA" w14:textId="77777777" w:rsidR="00563A90" w:rsidRPr="00335F52" w:rsidRDefault="00563A90" w:rsidP="002815F2">
            <w:r>
              <w:t>Reporting per CTTP Entry</w:t>
            </w:r>
          </w:p>
        </w:tc>
        <w:tc>
          <w:tcPr>
            <w:tcW w:w="756" w:type="dxa"/>
            <w:shd w:val="clear" w:color="auto" w:fill="auto"/>
            <w:vAlign w:val="bottom"/>
          </w:tcPr>
          <w:p w14:paraId="504799AC" w14:textId="77777777" w:rsidR="00563A90" w:rsidRPr="00335F52" w:rsidRDefault="00563A90" w:rsidP="002815F2">
            <w:r>
              <w:t>5</w:t>
            </w:r>
          </w:p>
        </w:tc>
        <w:tc>
          <w:tcPr>
            <w:tcW w:w="1729" w:type="dxa"/>
            <w:shd w:val="clear" w:color="auto" w:fill="auto"/>
            <w:vAlign w:val="bottom"/>
          </w:tcPr>
          <w:p w14:paraId="65DF4CC6" w14:textId="77777777" w:rsidR="00563A90" w:rsidRPr="00335F52" w:rsidRDefault="00563A90" w:rsidP="002815F2">
            <w:r>
              <w:t>-</w:t>
            </w:r>
          </w:p>
        </w:tc>
        <w:tc>
          <w:tcPr>
            <w:tcW w:w="1536" w:type="dxa"/>
            <w:tcBorders>
              <w:right w:val="double" w:sz="4" w:space="0" w:color="auto"/>
            </w:tcBorders>
            <w:shd w:val="clear" w:color="auto" w:fill="auto"/>
            <w:vAlign w:val="bottom"/>
          </w:tcPr>
          <w:p w14:paraId="42913A58" w14:textId="77777777" w:rsidR="00563A90" w:rsidRPr="00335F52" w:rsidRDefault="00563A90" w:rsidP="002815F2">
            <w:r>
              <w:t>1,075,000</w:t>
            </w:r>
          </w:p>
        </w:tc>
        <w:tc>
          <w:tcPr>
            <w:tcW w:w="2056" w:type="dxa"/>
            <w:tcBorders>
              <w:left w:val="double" w:sz="4" w:space="0" w:color="auto"/>
            </w:tcBorders>
            <w:shd w:val="clear" w:color="auto" w:fill="auto"/>
            <w:vAlign w:val="bottom"/>
          </w:tcPr>
          <w:p w14:paraId="587829D1" w14:textId="77777777" w:rsidR="00563A90" w:rsidRPr="00335F52" w:rsidRDefault="00563A90" w:rsidP="002815F2">
            <w:r>
              <w:t>778,165</w:t>
            </w:r>
          </w:p>
        </w:tc>
        <w:tc>
          <w:tcPr>
            <w:tcW w:w="1722" w:type="dxa"/>
            <w:shd w:val="clear" w:color="auto" w:fill="auto"/>
            <w:vAlign w:val="bottom"/>
          </w:tcPr>
          <w:p w14:paraId="14E92DB1" w14:textId="77777777" w:rsidR="00563A90" w:rsidRPr="00335F52" w:rsidRDefault="00563A90" w:rsidP="002815F2">
            <w:r>
              <w:t>-</w:t>
            </w:r>
          </w:p>
        </w:tc>
      </w:tr>
      <w:tr w:rsidR="00563A90" w:rsidRPr="00EA6E9E" w14:paraId="143BDC65" w14:textId="77777777" w:rsidTr="002815F2">
        <w:trPr>
          <w:trHeight w:val="70"/>
        </w:trPr>
        <w:tc>
          <w:tcPr>
            <w:tcW w:w="1669" w:type="dxa"/>
            <w:shd w:val="clear" w:color="auto" w:fill="auto"/>
            <w:vAlign w:val="bottom"/>
          </w:tcPr>
          <w:p w14:paraId="6E9B148F" w14:textId="77777777" w:rsidR="00563A90" w:rsidRPr="00335F52" w:rsidRDefault="00563A90" w:rsidP="002815F2">
            <w:r w:rsidRPr="00335F52">
              <w:t>Recordkeeping per Entry</w:t>
            </w:r>
          </w:p>
        </w:tc>
        <w:tc>
          <w:tcPr>
            <w:tcW w:w="756" w:type="dxa"/>
            <w:shd w:val="clear" w:color="auto" w:fill="auto"/>
            <w:vAlign w:val="bottom"/>
          </w:tcPr>
          <w:p w14:paraId="4E709DB2" w14:textId="77777777" w:rsidR="00563A90" w:rsidRPr="00335F52" w:rsidRDefault="00563A90" w:rsidP="002815F2">
            <w:r w:rsidRPr="00335F52">
              <w:t>10</w:t>
            </w:r>
          </w:p>
        </w:tc>
        <w:tc>
          <w:tcPr>
            <w:tcW w:w="1729" w:type="dxa"/>
            <w:shd w:val="clear" w:color="auto" w:fill="auto"/>
            <w:vAlign w:val="bottom"/>
          </w:tcPr>
          <w:p w14:paraId="515E974B" w14:textId="77777777" w:rsidR="00563A90" w:rsidRPr="00335F52" w:rsidRDefault="00563A90" w:rsidP="002815F2">
            <w:r w:rsidRPr="00335F52">
              <w:t>2,150,000</w:t>
            </w:r>
          </w:p>
        </w:tc>
        <w:tc>
          <w:tcPr>
            <w:tcW w:w="1536" w:type="dxa"/>
            <w:tcBorders>
              <w:right w:val="double" w:sz="4" w:space="0" w:color="auto"/>
            </w:tcBorders>
            <w:shd w:val="clear" w:color="auto" w:fill="auto"/>
            <w:vAlign w:val="bottom"/>
          </w:tcPr>
          <w:p w14:paraId="34DF0C16" w14:textId="77777777" w:rsidR="00563A90" w:rsidRPr="00335F52" w:rsidRDefault="00563A90" w:rsidP="002815F2">
            <w:r w:rsidRPr="00335F52">
              <w:t>2,150,000</w:t>
            </w:r>
          </w:p>
        </w:tc>
        <w:tc>
          <w:tcPr>
            <w:tcW w:w="2056" w:type="dxa"/>
            <w:tcBorders>
              <w:left w:val="double" w:sz="4" w:space="0" w:color="auto"/>
            </w:tcBorders>
            <w:shd w:val="clear" w:color="auto" w:fill="auto"/>
            <w:vAlign w:val="bottom"/>
          </w:tcPr>
          <w:p w14:paraId="6BDF7AC9" w14:textId="77777777" w:rsidR="00563A90" w:rsidRPr="00335F52" w:rsidRDefault="00563A90" w:rsidP="002815F2">
            <w:r w:rsidRPr="00335F52">
              <w:t>1,556,330</w:t>
            </w:r>
          </w:p>
        </w:tc>
        <w:tc>
          <w:tcPr>
            <w:tcW w:w="1722" w:type="dxa"/>
            <w:shd w:val="clear" w:color="auto" w:fill="auto"/>
            <w:vAlign w:val="bottom"/>
          </w:tcPr>
          <w:p w14:paraId="77766634" w14:textId="77777777" w:rsidR="00563A90" w:rsidRPr="00335F52" w:rsidRDefault="00563A90" w:rsidP="002815F2">
            <w:r w:rsidRPr="00335F52">
              <w:t>593,670</w:t>
            </w:r>
          </w:p>
        </w:tc>
      </w:tr>
      <w:tr w:rsidR="00563A90" w:rsidRPr="00EA6E9E" w14:paraId="409DDD25" w14:textId="77777777" w:rsidTr="002815F2">
        <w:tc>
          <w:tcPr>
            <w:tcW w:w="1669" w:type="dxa"/>
            <w:shd w:val="clear" w:color="auto" w:fill="auto"/>
            <w:vAlign w:val="bottom"/>
          </w:tcPr>
          <w:p w14:paraId="5782B9C6" w14:textId="77777777" w:rsidR="00563A90" w:rsidRPr="00335F52" w:rsidRDefault="00563A90" w:rsidP="002815F2">
            <w:r w:rsidRPr="00335F52">
              <w:t>Data Storage per Importer</w:t>
            </w:r>
          </w:p>
        </w:tc>
        <w:tc>
          <w:tcPr>
            <w:tcW w:w="756" w:type="dxa"/>
            <w:shd w:val="clear" w:color="auto" w:fill="auto"/>
            <w:vAlign w:val="bottom"/>
          </w:tcPr>
          <w:p w14:paraId="4D1DCBC7" w14:textId="77777777" w:rsidR="00563A90" w:rsidRPr="00335F52" w:rsidRDefault="00563A90" w:rsidP="002815F2">
            <w:r w:rsidRPr="00335F52">
              <w:t>320</w:t>
            </w:r>
          </w:p>
        </w:tc>
        <w:tc>
          <w:tcPr>
            <w:tcW w:w="1729" w:type="dxa"/>
            <w:shd w:val="clear" w:color="auto" w:fill="auto"/>
            <w:vAlign w:val="bottom"/>
          </w:tcPr>
          <w:p w14:paraId="0B1F6BE3" w14:textId="77777777" w:rsidR="00563A90" w:rsidRPr="00335F52" w:rsidRDefault="00563A90" w:rsidP="002815F2">
            <w:r w:rsidRPr="00335F52">
              <w:t>640,000</w:t>
            </w:r>
          </w:p>
        </w:tc>
        <w:tc>
          <w:tcPr>
            <w:tcW w:w="1536" w:type="dxa"/>
            <w:tcBorders>
              <w:right w:val="double" w:sz="4" w:space="0" w:color="auto"/>
            </w:tcBorders>
            <w:shd w:val="clear" w:color="auto" w:fill="auto"/>
            <w:vAlign w:val="bottom"/>
          </w:tcPr>
          <w:p w14:paraId="4F7A87BB" w14:textId="77777777" w:rsidR="00563A90" w:rsidRPr="00335F52" w:rsidRDefault="00563A90" w:rsidP="002815F2">
            <w:r w:rsidRPr="00335F52">
              <w:t>640,000</w:t>
            </w:r>
          </w:p>
        </w:tc>
        <w:tc>
          <w:tcPr>
            <w:tcW w:w="2056" w:type="dxa"/>
            <w:tcBorders>
              <w:left w:val="double" w:sz="4" w:space="0" w:color="auto"/>
            </w:tcBorders>
            <w:shd w:val="clear" w:color="auto" w:fill="auto"/>
            <w:vAlign w:val="bottom"/>
          </w:tcPr>
          <w:p w14:paraId="2AB5E77A" w14:textId="77777777" w:rsidR="00563A90" w:rsidRPr="00335F52" w:rsidRDefault="00563A90" w:rsidP="002815F2">
            <w:r w:rsidRPr="00335F52">
              <w:t>69,120</w:t>
            </w:r>
          </w:p>
        </w:tc>
        <w:tc>
          <w:tcPr>
            <w:tcW w:w="1722" w:type="dxa"/>
            <w:shd w:val="clear" w:color="auto" w:fill="auto"/>
            <w:vAlign w:val="bottom"/>
          </w:tcPr>
          <w:p w14:paraId="1F7E054B" w14:textId="77777777" w:rsidR="00563A90" w:rsidRPr="00335F52" w:rsidRDefault="00563A90" w:rsidP="002815F2">
            <w:r w:rsidRPr="00335F52">
              <w:t>570,880</w:t>
            </w:r>
          </w:p>
        </w:tc>
      </w:tr>
      <w:tr w:rsidR="00563A90" w:rsidRPr="00EA6E9E" w14:paraId="181690B1" w14:textId="77777777" w:rsidTr="002815F2">
        <w:tc>
          <w:tcPr>
            <w:tcW w:w="1669" w:type="dxa"/>
            <w:shd w:val="clear" w:color="auto" w:fill="auto"/>
            <w:vAlign w:val="bottom"/>
          </w:tcPr>
          <w:p w14:paraId="0339B88D" w14:textId="77777777" w:rsidR="00563A90" w:rsidRPr="00BB6639" w:rsidRDefault="00563A90" w:rsidP="002815F2">
            <w:r>
              <w:t>Contracting a 3</w:t>
            </w:r>
            <w:r w:rsidRPr="00C829F5">
              <w:rPr>
                <w:vertAlign w:val="superscript"/>
              </w:rPr>
              <w:t>rd</w:t>
            </w:r>
            <w:r>
              <w:t xml:space="preserve"> Party Auditor</w:t>
            </w:r>
          </w:p>
        </w:tc>
        <w:tc>
          <w:tcPr>
            <w:tcW w:w="756" w:type="dxa"/>
            <w:shd w:val="clear" w:color="auto" w:fill="auto"/>
            <w:vAlign w:val="bottom"/>
          </w:tcPr>
          <w:p w14:paraId="5869A01C" w14:textId="77777777" w:rsidR="00563A90" w:rsidRPr="004C1235" w:rsidRDefault="00563A90" w:rsidP="002815F2">
            <w:r>
              <w:t>50</w:t>
            </w:r>
          </w:p>
        </w:tc>
        <w:tc>
          <w:tcPr>
            <w:tcW w:w="1729" w:type="dxa"/>
            <w:shd w:val="clear" w:color="auto" w:fill="auto"/>
            <w:vAlign w:val="bottom"/>
          </w:tcPr>
          <w:p w14:paraId="6730366D" w14:textId="77777777" w:rsidR="00563A90" w:rsidRPr="004C1235" w:rsidRDefault="00563A90" w:rsidP="002815F2">
            <w:r>
              <w:t>-</w:t>
            </w:r>
          </w:p>
        </w:tc>
        <w:tc>
          <w:tcPr>
            <w:tcW w:w="1536" w:type="dxa"/>
            <w:tcBorders>
              <w:right w:val="double" w:sz="4" w:space="0" w:color="auto"/>
            </w:tcBorders>
            <w:shd w:val="clear" w:color="auto" w:fill="auto"/>
            <w:vAlign w:val="bottom"/>
          </w:tcPr>
          <w:p w14:paraId="3FA4E5CA" w14:textId="77777777" w:rsidR="00563A90" w:rsidRPr="004C1235" w:rsidRDefault="00563A90" w:rsidP="002815F2">
            <w:r>
              <w:t>100,000</w:t>
            </w:r>
          </w:p>
        </w:tc>
        <w:tc>
          <w:tcPr>
            <w:tcW w:w="2056" w:type="dxa"/>
            <w:tcBorders>
              <w:left w:val="double" w:sz="4" w:space="0" w:color="auto"/>
            </w:tcBorders>
            <w:shd w:val="clear" w:color="auto" w:fill="auto"/>
            <w:vAlign w:val="bottom"/>
          </w:tcPr>
          <w:p w14:paraId="34104954" w14:textId="77777777" w:rsidR="00563A90" w:rsidRPr="004C1235" w:rsidRDefault="00563A90" w:rsidP="002815F2">
            <w:r>
              <w:t>10,800</w:t>
            </w:r>
          </w:p>
        </w:tc>
        <w:tc>
          <w:tcPr>
            <w:tcW w:w="1722" w:type="dxa"/>
            <w:shd w:val="clear" w:color="auto" w:fill="auto"/>
            <w:vAlign w:val="bottom"/>
          </w:tcPr>
          <w:p w14:paraId="6FD9F846" w14:textId="77777777" w:rsidR="00563A90" w:rsidRPr="004C1235" w:rsidRDefault="00563A90" w:rsidP="002815F2">
            <w:r>
              <w:t>-</w:t>
            </w:r>
          </w:p>
        </w:tc>
      </w:tr>
      <w:tr w:rsidR="00563A90" w:rsidRPr="00EA6E9E" w14:paraId="4F8C5DB8" w14:textId="77777777" w:rsidTr="002815F2">
        <w:tc>
          <w:tcPr>
            <w:tcW w:w="1669" w:type="dxa"/>
            <w:shd w:val="clear" w:color="auto" w:fill="auto"/>
            <w:vAlign w:val="bottom"/>
          </w:tcPr>
          <w:p w14:paraId="34B98223" w14:textId="77777777" w:rsidR="00563A90" w:rsidRPr="00335F52" w:rsidRDefault="00563A90" w:rsidP="002815F2">
            <w:r>
              <w:t>Conducting 3</w:t>
            </w:r>
            <w:r w:rsidRPr="00C829F5">
              <w:rPr>
                <w:vertAlign w:val="superscript"/>
              </w:rPr>
              <w:t>rd</w:t>
            </w:r>
            <w:r>
              <w:t xml:space="preserve"> Party Audits</w:t>
            </w:r>
          </w:p>
        </w:tc>
        <w:tc>
          <w:tcPr>
            <w:tcW w:w="756" w:type="dxa"/>
            <w:shd w:val="clear" w:color="auto" w:fill="auto"/>
            <w:vAlign w:val="bottom"/>
          </w:tcPr>
          <w:p w14:paraId="4BC23628" w14:textId="77777777" w:rsidR="00563A90" w:rsidRPr="00335F52" w:rsidRDefault="00563A90" w:rsidP="002815F2">
            <w:r>
              <w:t>2,190</w:t>
            </w:r>
          </w:p>
        </w:tc>
        <w:tc>
          <w:tcPr>
            <w:tcW w:w="1729" w:type="dxa"/>
            <w:shd w:val="clear" w:color="auto" w:fill="auto"/>
            <w:vAlign w:val="bottom"/>
          </w:tcPr>
          <w:p w14:paraId="74A47445" w14:textId="77777777" w:rsidR="00563A90" w:rsidRPr="00335F52" w:rsidRDefault="00563A90" w:rsidP="002815F2">
            <w:r w:rsidRPr="00335F52">
              <w:t>-</w:t>
            </w:r>
          </w:p>
        </w:tc>
        <w:tc>
          <w:tcPr>
            <w:tcW w:w="1536" w:type="dxa"/>
            <w:tcBorders>
              <w:right w:val="double" w:sz="4" w:space="0" w:color="auto"/>
            </w:tcBorders>
            <w:shd w:val="clear" w:color="auto" w:fill="auto"/>
            <w:vAlign w:val="bottom"/>
          </w:tcPr>
          <w:p w14:paraId="640D6FCE" w14:textId="77777777" w:rsidR="00563A90" w:rsidRPr="00335F52" w:rsidRDefault="00563A90" w:rsidP="002815F2">
            <w:r>
              <w:t>4,380,000</w:t>
            </w:r>
          </w:p>
        </w:tc>
        <w:tc>
          <w:tcPr>
            <w:tcW w:w="2056" w:type="dxa"/>
            <w:tcBorders>
              <w:left w:val="double" w:sz="4" w:space="0" w:color="auto"/>
            </w:tcBorders>
            <w:shd w:val="clear" w:color="auto" w:fill="auto"/>
            <w:vAlign w:val="bottom"/>
          </w:tcPr>
          <w:p w14:paraId="72870BAC" w14:textId="77777777" w:rsidR="00563A90" w:rsidRDefault="00563A90" w:rsidP="002815F2">
            <w:r>
              <w:t>473,040</w:t>
            </w:r>
          </w:p>
          <w:p w14:paraId="41D7BD85" w14:textId="77777777" w:rsidR="00563A90" w:rsidRPr="00335F52" w:rsidRDefault="00563A90" w:rsidP="002815F2"/>
        </w:tc>
        <w:tc>
          <w:tcPr>
            <w:tcW w:w="1722" w:type="dxa"/>
            <w:shd w:val="clear" w:color="auto" w:fill="auto"/>
            <w:vAlign w:val="bottom"/>
          </w:tcPr>
          <w:p w14:paraId="0C8E70DC" w14:textId="77777777" w:rsidR="00563A90" w:rsidRPr="00335F52" w:rsidRDefault="00563A90" w:rsidP="002815F2">
            <w:r w:rsidRPr="00335F52">
              <w:t>-</w:t>
            </w:r>
          </w:p>
        </w:tc>
      </w:tr>
      <w:tr w:rsidR="00563A90" w:rsidRPr="00EA6E9E" w14:paraId="53DA6797" w14:textId="77777777" w:rsidTr="002815F2">
        <w:tc>
          <w:tcPr>
            <w:tcW w:w="1669" w:type="dxa"/>
            <w:shd w:val="clear" w:color="auto" w:fill="auto"/>
            <w:vAlign w:val="bottom"/>
          </w:tcPr>
          <w:p w14:paraId="56F445B7" w14:textId="77777777" w:rsidR="00563A90" w:rsidRPr="00335F52" w:rsidRDefault="00563A90" w:rsidP="002815F2"/>
        </w:tc>
        <w:tc>
          <w:tcPr>
            <w:tcW w:w="756" w:type="dxa"/>
            <w:shd w:val="clear" w:color="auto" w:fill="auto"/>
            <w:vAlign w:val="bottom"/>
          </w:tcPr>
          <w:p w14:paraId="74237091" w14:textId="77777777" w:rsidR="00563A90" w:rsidRPr="00335F52" w:rsidRDefault="00563A90" w:rsidP="002815F2"/>
        </w:tc>
        <w:tc>
          <w:tcPr>
            <w:tcW w:w="1729" w:type="dxa"/>
            <w:shd w:val="clear" w:color="auto" w:fill="auto"/>
            <w:vAlign w:val="bottom"/>
          </w:tcPr>
          <w:p w14:paraId="0EA26AE2" w14:textId="77777777" w:rsidR="00563A90" w:rsidRPr="00335F52" w:rsidRDefault="00563A90" w:rsidP="002815F2"/>
        </w:tc>
        <w:tc>
          <w:tcPr>
            <w:tcW w:w="1536" w:type="dxa"/>
            <w:tcBorders>
              <w:right w:val="double" w:sz="4" w:space="0" w:color="auto"/>
            </w:tcBorders>
            <w:shd w:val="clear" w:color="auto" w:fill="auto"/>
            <w:vAlign w:val="bottom"/>
          </w:tcPr>
          <w:p w14:paraId="07EB0B7D" w14:textId="77777777" w:rsidR="00563A90" w:rsidRPr="00335F52" w:rsidRDefault="00563A90" w:rsidP="002815F2"/>
        </w:tc>
        <w:tc>
          <w:tcPr>
            <w:tcW w:w="2056" w:type="dxa"/>
            <w:tcBorders>
              <w:left w:val="double" w:sz="4" w:space="0" w:color="auto"/>
            </w:tcBorders>
            <w:shd w:val="clear" w:color="auto" w:fill="auto"/>
            <w:vAlign w:val="bottom"/>
          </w:tcPr>
          <w:p w14:paraId="5F247467" w14:textId="77777777" w:rsidR="00563A90" w:rsidRPr="00335F52" w:rsidRDefault="00563A90" w:rsidP="002815F2"/>
        </w:tc>
        <w:tc>
          <w:tcPr>
            <w:tcW w:w="1722" w:type="dxa"/>
            <w:shd w:val="clear" w:color="auto" w:fill="auto"/>
            <w:vAlign w:val="bottom"/>
          </w:tcPr>
          <w:p w14:paraId="149283E3" w14:textId="77777777" w:rsidR="00563A90" w:rsidRPr="00335F52" w:rsidRDefault="00563A90" w:rsidP="002815F2"/>
        </w:tc>
      </w:tr>
      <w:tr w:rsidR="00563A90" w:rsidRPr="00EA6E9E" w14:paraId="5DEA9B5D" w14:textId="77777777" w:rsidTr="002815F2">
        <w:tc>
          <w:tcPr>
            <w:tcW w:w="1669" w:type="dxa"/>
            <w:shd w:val="clear" w:color="auto" w:fill="auto"/>
            <w:vAlign w:val="bottom"/>
          </w:tcPr>
          <w:p w14:paraId="7CC4FAAC" w14:textId="77777777" w:rsidR="00563A90" w:rsidRPr="00335F52" w:rsidRDefault="00563A90" w:rsidP="002815F2">
            <w:r w:rsidRPr="00335F52">
              <w:t>Total Costs</w:t>
            </w:r>
          </w:p>
        </w:tc>
        <w:tc>
          <w:tcPr>
            <w:tcW w:w="756" w:type="dxa"/>
            <w:shd w:val="clear" w:color="auto" w:fill="auto"/>
            <w:vAlign w:val="bottom"/>
          </w:tcPr>
          <w:p w14:paraId="2BD18B20" w14:textId="77777777" w:rsidR="00563A90" w:rsidRPr="00335F52" w:rsidRDefault="00563A90" w:rsidP="002815F2"/>
        </w:tc>
        <w:tc>
          <w:tcPr>
            <w:tcW w:w="1729" w:type="dxa"/>
            <w:shd w:val="clear" w:color="auto" w:fill="auto"/>
            <w:vAlign w:val="bottom"/>
          </w:tcPr>
          <w:p w14:paraId="20D3212B" w14:textId="77777777" w:rsidR="00563A90" w:rsidRPr="00335F52" w:rsidRDefault="00563A90" w:rsidP="002815F2">
            <w:r w:rsidRPr="00335F52">
              <w:t>$    6,075,000</w:t>
            </w:r>
          </w:p>
        </w:tc>
        <w:tc>
          <w:tcPr>
            <w:tcW w:w="1536" w:type="dxa"/>
            <w:tcBorders>
              <w:right w:val="double" w:sz="4" w:space="0" w:color="auto"/>
            </w:tcBorders>
            <w:shd w:val="clear" w:color="auto" w:fill="auto"/>
            <w:vAlign w:val="bottom"/>
          </w:tcPr>
          <w:p w14:paraId="5EAC4097" w14:textId="77777777" w:rsidR="00563A90" w:rsidRPr="00335F52" w:rsidRDefault="00563A90" w:rsidP="002815F2">
            <w:r w:rsidRPr="00335F52">
              <w:t xml:space="preserve">$   </w:t>
            </w:r>
            <w:r>
              <w:t>10,065,000</w:t>
            </w:r>
          </w:p>
        </w:tc>
        <w:tc>
          <w:tcPr>
            <w:tcW w:w="2056" w:type="dxa"/>
            <w:tcBorders>
              <w:left w:val="double" w:sz="4" w:space="0" w:color="auto"/>
            </w:tcBorders>
            <w:shd w:val="clear" w:color="auto" w:fill="auto"/>
            <w:vAlign w:val="bottom"/>
          </w:tcPr>
          <w:p w14:paraId="1136D61F" w14:textId="77777777" w:rsidR="00563A90" w:rsidRDefault="00563A90" w:rsidP="002815F2">
            <w:r w:rsidRPr="00335F52">
              <w:t xml:space="preserve">$ </w:t>
            </w:r>
            <w:r>
              <w:t>3,073,215</w:t>
            </w:r>
          </w:p>
          <w:p w14:paraId="7FC12100" w14:textId="77777777" w:rsidR="00563A90" w:rsidRPr="00335F52" w:rsidRDefault="00563A90" w:rsidP="002815F2"/>
        </w:tc>
        <w:tc>
          <w:tcPr>
            <w:tcW w:w="1722" w:type="dxa"/>
            <w:shd w:val="clear" w:color="auto" w:fill="auto"/>
            <w:vAlign w:val="bottom"/>
          </w:tcPr>
          <w:p w14:paraId="2F1BF09E" w14:textId="77777777" w:rsidR="00563A90" w:rsidRPr="00335F52" w:rsidRDefault="00563A90" w:rsidP="002815F2">
            <w:r w:rsidRPr="00335F52">
              <w:t>$  2,108,575</w:t>
            </w:r>
          </w:p>
        </w:tc>
      </w:tr>
      <w:tr w:rsidR="00563A90" w:rsidRPr="00EA6E9E" w14:paraId="4D75C104" w14:textId="77777777" w:rsidTr="002815F2">
        <w:tc>
          <w:tcPr>
            <w:tcW w:w="1669" w:type="dxa"/>
            <w:shd w:val="clear" w:color="auto" w:fill="auto"/>
            <w:vAlign w:val="bottom"/>
          </w:tcPr>
          <w:p w14:paraId="0C5720F2" w14:textId="77777777" w:rsidR="00563A90" w:rsidRPr="00335F52" w:rsidRDefault="00563A90" w:rsidP="002815F2">
            <w:r w:rsidRPr="00335F52">
              <w:t>Cost Change</w:t>
            </w:r>
          </w:p>
        </w:tc>
        <w:tc>
          <w:tcPr>
            <w:tcW w:w="756" w:type="dxa"/>
            <w:shd w:val="clear" w:color="auto" w:fill="auto"/>
            <w:vAlign w:val="bottom"/>
          </w:tcPr>
          <w:p w14:paraId="05979572" w14:textId="77777777" w:rsidR="00563A90" w:rsidRPr="00335F52" w:rsidRDefault="00563A90" w:rsidP="002815F2"/>
        </w:tc>
        <w:tc>
          <w:tcPr>
            <w:tcW w:w="1729" w:type="dxa"/>
            <w:shd w:val="clear" w:color="auto" w:fill="auto"/>
            <w:vAlign w:val="bottom"/>
          </w:tcPr>
          <w:p w14:paraId="234CEC5D" w14:textId="77777777" w:rsidR="00563A90" w:rsidRPr="00335F52" w:rsidRDefault="00563A90" w:rsidP="002815F2">
            <w:r w:rsidRPr="00335F52">
              <w:t>-</w:t>
            </w:r>
          </w:p>
        </w:tc>
        <w:tc>
          <w:tcPr>
            <w:tcW w:w="1536" w:type="dxa"/>
            <w:tcBorders>
              <w:right w:val="double" w:sz="4" w:space="0" w:color="auto"/>
            </w:tcBorders>
            <w:shd w:val="clear" w:color="auto" w:fill="auto"/>
            <w:vAlign w:val="bottom"/>
          </w:tcPr>
          <w:p w14:paraId="59147D3B" w14:textId="77777777" w:rsidR="00563A90" w:rsidRPr="00335F52" w:rsidRDefault="00563A90" w:rsidP="002815F2">
            <w:r>
              <w:t>$3,990,000</w:t>
            </w:r>
          </w:p>
        </w:tc>
        <w:tc>
          <w:tcPr>
            <w:tcW w:w="2056" w:type="dxa"/>
            <w:tcBorders>
              <w:left w:val="double" w:sz="4" w:space="0" w:color="auto"/>
            </w:tcBorders>
            <w:shd w:val="clear" w:color="auto" w:fill="auto"/>
            <w:vAlign w:val="bottom"/>
          </w:tcPr>
          <w:p w14:paraId="02152B49" w14:textId="77777777" w:rsidR="00563A90" w:rsidRPr="00335F52" w:rsidRDefault="00563A90" w:rsidP="002815F2">
            <w:r>
              <w:t>$</w:t>
            </w:r>
            <w:r w:rsidRPr="00335F52">
              <w:t>(</w:t>
            </w:r>
            <w:r>
              <w:t>893,210</w:t>
            </w:r>
            <w:r w:rsidRPr="00335F52">
              <w:t>)</w:t>
            </w:r>
          </w:p>
        </w:tc>
        <w:tc>
          <w:tcPr>
            <w:tcW w:w="1722" w:type="dxa"/>
            <w:shd w:val="clear" w:color="auto" w:fill="auto"/>
            <w:vAlign w:val="bottom"/>
          </w:tcPr>
          <w:p w14:paraId="012A43C0" w14:textId="77777777" w:rsidR="00563A90" w:rsidRPr="00335F52" w:rsidRDefault="00563A90" w:rsidP="002815F2">
            <w:r w:rsidRPr="00335F52">
              <w:t>-</w:t>
            </w:r>
          </w:p>
        </w:tc>
      </w:tr>
    </w:tbl>
    <w:p w14:paraId="776AA65F" w14:textId="4C10A002" w:rsidR="00563A90" w:rsidRDefault="00563A90">
      <w:pPr>
        <w:rPr>
          <w:spacing w:val="-2"/>
          <w:sz w:val="24"/>
          <w:szCs w:val="24"/>
        </w:rPr>
      </w:pPr>
    </w:p>
    <w:p w14:paraId="34D756FA" w14:textId="6EDD5097" w:rsidR="00563A90" w:rsidRDefault="006335E4">
      <w:pPr>
        <w:rPr>
          <w:spacing w:val="-2"/>
          <w:sz w:val="24"/>
          <w:szCs w:val="24"/>
        </w:rPr>
      </w:pPr>
      <w:r>
        <w:rPr>
          <w:spacing w:val="-2"/>
          <w:sz w:val="24"/>
          <w:szCs w:val="24"/>
        </w:rPr>
        <w:t>Burden and cost comparison from ROCIS</w:t>
      </w:r>
    </w:p>
    <w:p w14:paraId="06DA44BE" w14:textId="77777777" w:rsidR="00563A90" w:rsidRPr="00B5267F" w:rsidRDefault="00563A90">
      <w:pPr>
        <w:rPr>
          <w:spacing w:val="-2"/>
          <w:sz w:val="24"/>
          <w:szCs w:val="24"/>
        </w:rPr>
      </w:pPr>
    </w:p>
    <w:tbl>
      <w:tblPr>
        <w:tblStyle w:val="TableGrid"/>
        <w:tblW w:w="0" w:type="auto"/>
        <w:tblLook w:val="04A0" w:firstRow="1" w:lastRow="0" w:firstColumn="1" w:lastColumn="0" w:noHBand="0" w:noVBand="1"/>
      </w:tblPr>
      <w:tblGrid>
        <w:gridCol w:w="1512"/>
        <w:gridCol w:w="1490"/>
        <w:gridCol w:w="1412"/>
        <w:gridCol w:w="1412"/>
        <w:gridCol w:w="1250"/>
        <w:gridCol w:w="1250"/>
        <w:gridCol w:w="1250"/>
      </w:tblGrid>
      <w:tr w:rsidR="006335E4" w14:paraId="60D14220" w14:textId="70F95F1E" w:rsidTr="006335E4">
        <w:tc>
          <w:tcPr>
            <w:tcW w:w="1512" w:type="dxa"/>
          </w:tcPr>
          <w:p w14:paraId="10851511" w14:textId="4F9C63C3" w:rsidR="006335E4" w:rsidRPr="006335E4" w:rsidRDefault="006335E4">
            <w:pPr>
              <w:rPr>
                <w:rFonts w:ascii="Arial" w:hAnsi="Arial" w:cs="Arial"/>
                <w:b/>
                <w:bCs/>
                <w:sz w:val="18"/>
                <w:szCs w:val="18"/>
              </w:rPr>
            </w:pPr>
            <w:r w:rsidRPr="006335E4">
              <w:rPr>
                <w:rFonts w:ascii="Arial" w:hAnsi="Arial" w:cs="Arial"/>
                <w:b/>
                <w:bCs/>
                <w:sz w:val="18"/>
                <w:szCs w:val="18"/>
              </w:rPr>
              <w:t>IC</w:t>
            </w:r>
          </w:p>
        </w:tc>
        <w:tc>
          <w:tcPr>
            <w:tcW w:w="1490" w:type="dxa"/>
          </w:tcPr>
          <w:p w14:paraId="5C85DC87" w14:textId="0A24BF19" w:rsidR="006335E4" w:rsidRPr="006335E4" w:rsidRDefault="006335E4">
            <w:pPr>
              <w:rPr>
                <w:rFonts w:ascii="Arial" w:hAnsi="Arial" w:cs="Arial"/>
                <w:b/>
                <w:bCs/>
                <w:sz w:val="18"/>
                <w:szCs w:val="18"/>
              </w:rPr>
            </w:pPr>
            <w:r w:rsidRPr="006335E4">
              <w:rPr>
                <w:rFonts w:ascii="Arial" w:hAnsi="Arial" w:cs="Arial"/>
                <w:b/>
                <w:bCs/>
                <w:sz w:val="18"/>
                <w:szCs w:val="18"/>
              </w:rPr>
              <w:t>Current Responses</w:t>
            </w:r>
          </w:p>
        </w:tc>
        <w:tc>
          <w:tcPr>
            <w:tcW w:w="1412" w:type="dxa"/>
          </w:tcPr>
          <w:p w14:paraId="166A1F75" w14:textId="3EC3C66C" w:rsidR="006335E4" w:rsidRPr="006335E4" w:rsidRDefault="006335E4">
            <w:pPr>
              <w:rPr>
                <w:rFonts w:ascii="Arial" w:hAnsi="Arial" w:cs="Arial"/>
                <w:b/>
                <w:bCs/>
                <w:sz w:val="18"/>
                <w:szCs w:val="18"/>
              </w:rPr>
            </w:pPr>
            <w:r w:rsidRPr="006335E4">
              <w:rPr>
                <w:rFonts w:ascii="Arial" w:hAnsi="Arial" w:cs="Arial"/>
                <w:b/>
                <w:bCs/>
                <w:sz w:val="18"/>
                <w:szCs w:val="18"/>
              </w:rPr>
              <w:t>Current Hours</w:t>
            </w:r>
          </w:p>
        </w:tc>
        <w:tc>
          <w:tcPr>
            <w:tcW w:w="1412" w:type="dxa"/>
          </w:tcPr>
          <w:p w14:paraId="00457B03" w14:textId="44207976" w:rsidR="006335E4" w:rsidRPr="006335E4" w:rsidRDefault="006335E4">
            <w:pPr>
              <w:rPr>
                <w:rFonts w:ascii="Arial" w:hAnsi="Arial" w:cs="Arial"/>
                <w:b/>
                <w:bCs/>
                <w:sz w:val="18"/>
                <w:szCs w:val="18"/>
              </w:rPr>
            </w:pPr>
            <w:r w:rsidRPr="006335E4">
              <w:rPr>
                <w:rFonts w:ascii="Arial" w:hAnsi="Arial" w:cs="Arial"/>
                <w:b/>
                <w:bCs/>
                <w:sz w:val="18"/>
                <w:szCs w:val="18"/>
              </w:rPr>
              <w:t>Current Costs</w:t>
            </w:r>
            <w:r>
              <w:rPr>
                <w:rFonts w:ascii="Arial" w:hAnsi="Arial" w:cs="Arial"/>
                <w:b/>
                <w:bCs/>
                <w:sz w:val="18"/>
                <w:szCs w:val="18"/>
              </w:rPr>
              <w:t>*</w:t>
            </w:r>
          </w:p>
        </w:tc>
        <w:tc>
          <w:tcPr>
            <w:tcW w:w="1250" w:type="dxa"/>
          </w:tcPr>
          <w:p w14:paraId="048CDBB7" w14:textId="7D1AC38F" w:rsidR="006335E4" w:rsidRPr="006335E4" w:rsidRDefault="006335E4">
            <w:pPr>
              <w:rPr>
                <w:rFonts w:ascii="Arial" w:hAnsi="Arial" w:cs="Arial"/>
                <w:b/>
                <w:bCs/>
                <w:sz w:val="18"/>
                <w:szCs w:val="18"/>
              </w:rPr>
            </w:pPr>
            <w:r w:rsidRPr="006335E4">
              <w:rPr>
                <w:rFonts w:ascii="Arial" w:hAnsi="Arial" w:cs="Arial"/>
                <w:b/>
                <w:bCs/>
                <w:sz w:val="18"/>
                <w:szCs w:val="18"/>
              </w:rPr>
              <w:t>Proposed Responses</w:t>
            </w:r>
          </w:p>
        </w:tc>
        <w:tc>
          <w:tcPr>
            <w:tcW w:w="1250" w:type="dxa"/>
          </w:tcPr>
          <w:p w14:paraId="2AD5A2BF" w14:textId="17D51243" w:rsidR="006335E4" w:rsidRPr="006335E4" w:rsidRDefault="006335E4">
            <w:pPr>
              <w:rPr>
                <w:rFonts w:ascii="Arial" w:hAnsi="Arial" w:cs="Arial"/>
                <w:b/>
                <w:bCs/>
                <w:sz w:val="18"/>
                <w:szCs w:val="18"/>
              </w:rPr>
            </w:pPr>
            <w:r>
              <w:rPr>
                <w:rFonts w:ascii="Arial" w:hAnsi="Arial" w:cs="Arial"/>
                <w:b/>
                <w:bCs/>
                <w:sz w:val="18"/>
                <w:szCs w:val="18"/>
              </w:rPr>
              <w:t>Proposed Hours</w:t>
            </w:r>
          </w:p>
        </w:tc>
        <w:tc>
          <w:tcPr>
            <w:tcW w:w="1250" w:type="dxa"/>
          </w:tcPr>
          <w:p w14:paraId="29C2E6FA" w14:textId="2CE07E28" w:rsidR="006335E4" w:rsidRPr="006335E4" w:rsidRDefault="006335E4">
            <w:pPr>
              <w:rPr>
                <w:rFonts w:ascii="Arial" w:hAnsi="Arial" w:cs="Arial"/>
                <w:b/>
                <w:bCs/>
                <w:sz w:val="18"/>
                <w:szCs w:val="18"/>
              </w:rPr>
            </w:pPr>
            <w:r>
              <w:rPr>
                <w:rFonts w:ascii="Arial" w:hAnsi="Arial" w:cs="Arial"/>
                <w:b/>
                <w:bCs/>
                <w:sz w:val="18"/>
                <w:szCs w:val="18"/>
              </w:rPr>
              <w:t>Proposed Costs*</w:t>
            </w:r>
          </w:p>
        </w:tc>
      </w:tr>
      <w:tr w:rsidR="006335E4" w14:paraId="3743C9B8" w14:textId="3523E002" w:rsidTr="00494430">
        <w:trPr>
          <w:trHeight w:val="287"/>
        </w:trPr>
        <w:tc>
          <w:tcPr>
            <w:tcW w:w="1512" w:type="dxa"/>
          </w:tcPr>
          <w:p w14:paraId="56E2BD3F" w14:textId="5F138446" w:rsidR="006335E4" w:rsidRPr="006335E4" w:rsidRDefault="006335E4">
            <w:pPr>
              <w:rPr>
                <w:rFonts w:ascii="Arial" w:hAnsi="Arial" w:cs="Arial"/>
                <w:b/>
                <w:bCs/>
                <w:sz w:val="18"/>
                <w:szCs w:val="18"/>
              </w:rPr>
            </w:pPr>
            <w:r w:rsidRPr="006335E4">
              <w:rPr>
                <w:rFonts w:ascii="Arial" w:hAnsi="Arial" w:cs="Arial"/>
                <w:b/>
                <w:bCs/>
                <w:sz w:val="18"/>
                <w:szCs w:val="18"/>
              </w:rPr>
              <w:t>IFTP requirement</w:t>
            </w:r>
          </w:p>
        </w:tc>
        <w:tc>
          <w:tcPr>
            <w:tcW w:w="1490" w:type="dxa"/>
          </w:tcPr>
          <w:p w14:paraId="53830688" w14:textId="2AAB96FF" w:rsidR="006335E4" w:rsidRPr="00494430" w:rsidRDefault="00494430">
            <w:pPr>
              <w:rPr>
                <w:rFonts w:ascii="Arial" w:hAnsi="Arial" w:cs="Arial"/>
                <w:b/>
                <w:bCs/>
                <w:sz w:val="18"/>
                <w:szCs w:val="18"/>
              </w:rPr>
            </w:pPr>
            <w:r w:rsidRPr="00494430">
              <w:rPr>
                <w:rFonts w:ascii="Arial" w:hAnsi="Arial" w:cs="Arial"/>
                <w:b/>
                <w:bCs/>
                <w:sz w:val="18"/>
                <w:szCs w:val="18"/>
              </w:rPr>
              <w:t>2000</w:t>
            </w:r>
          </w:p>
        </w:tc>
        <w:tc>
          <w:tcPr>
            <w:tcW w:w="1412" w:type="dxa"/>
          </w:tcPr>
          <w:p w14:paraId="649E77C8" w14:textId="13CC6C29" w:rsidR="006335E4" w:rsidRPr="00494430" w:rsidRDefault="00494430">
            <w:pPr>
              <w:rPr>
                <w:rFonts w:ascii="Arial" w:hAnsi="Arial" w:cs="Arial"/>
                <w:b/>
                <w:bCs/>
                <w:sz w:val="18"/>
                <w:szCs w:val="18"/>
              </w:rPr>
            </w:pPr>
            <w:r w:rsidRPr="00494430">
              <w:rPr>
                <w:rFonts w:ascii="Arial" w:hAnsi="Arial" w:cs="Arial"/>
                <w:b/>
                <w:bCs/>
                <w:sz w:val="18"/>
                <w:szCs w:val="18"/>
              </w:rPr>
              <w:t>167</w:t>
            </w:r>
          </w:p>
        </w:tc>
        <w:tc>
          <w:tcPr>
            <w:tcW w:w="1412" w:type="dxa"/>
          </w:tcPr>
          <w:p w14:paraId="2E660E79" w14:textId="245E2B3A" w:rsidR="006335E4" w:rsidRPr="00494430" w:rsidRDefault="00494430">
            <w:pPr>
              <w:rPr>
                <w:rFonts w:ascii="Arial" w:hAnsi="Arial" w:cs="Arial"/>
                <w:b/>
                <w:bCs/>
                <w:sz w:val="18"/>
                <w:szCs w:val="18"/>
              </w:rPr>
            </w:pPr>
            <w:r w:rsidRPr="00494430">
              <w:rPr>
                <w:rFonts w:ascii="Arial" w:hAnsi="Arial" w:cs="Arial"/>
                <w:b/>
                <w:bCs/>
                <w:sz w:val="18"/>
                <w:szCs w:val="18"/>
              </w:rPr>
              <w:t>6000</w:t>
            </w:r>
          </w:p>
        </w:tc>
        <w:tc>
          <w:tcPr>
            <w:tcW w:w="1250" w:type="dxa"/>
          </w:tcPr>
          <w:p w14:paraId="1C45F121" w14:textId="4BAD0ABD" w:rsidR="006335E4" w:rsidRPr="00494430" w:rsidRDefault="00494430">
            <w:pPr>
              <w:rPr>
                <w:rFonts w:ascii="Arial" w:hAnsi="Arial" w:cs="Arial"/>
                <w:b/>
                <w:bCs/>
                <w:sz w:val="18"/>
                <w:szCs w:val="18"/>
              </w:rPr>
            </w:pPr>
            <w:r w:rsidRPr="00494430">
              <w:rPr>
                <w:rFonts w:ascii="Arial" w:hAnsi="Arial" w:cs="Arial"/>
                <w:b/>
                <w:bCs/>
                <w:sz w:val="18"/>
                <w:szCs w:val="18"/>
              </w:rPr>
              <w:t>2000</w:t>
            </w:r>
          </w:p>
        </w:tc>
        <w:tc>
          <w:tcPr>
            <w:tcW w:w="1250" w:type="dxa"/>
          </w:tcPr>
          <w:p w14:paraId="4240492B" w14:textId="4881D71E" w:rsidR="006335E4" w:rsidRPr="00494430" w:rsidRDefault="00494430">
            <w:pPr>
              <w:rPr>
                <w:rFonts w:ascii="Arial" w:hAnsi="Arial" w:cs="Arial"/>
                <w:b/>
                <w:bCs/>
                <w:sz w:val="18"/>
                <w:szCs w:val="18"/>
              </w:rPr>
            </w:pPr>
            <w:r w:rsidRPr="00494430">
              <w:rPr>
                <w:rFonts w:ascii="Arial" w:hAnsi="Arial" w:cs="Arial"/>
                <w:b/>
                <w:bCs/>
                <w:sz w:val="18"/>
                <w:szCs w:val="18"/>
              </w:rPr>
              <w:t>167</w:t>
            </w:r>
          </w:p>
        </w:tc>
        <w:tc>
          <w:tcPr>
            <w:tcW w:w="1250" w:type="dxa"/>
          </w:tcPr>
          <w:p w14:paraId="3C5588BD" w14:textId="68FE0173" w:rsidR="006335E4" w:rsidRPr="00494430" w:rsidRDefault="00494430">
            <w:pPr>
              <w:rPr>
                <w:rFonts w:ascii="Arial" w:hAnsi="Arial" w:cs="Arial"/>
                <w:b/>
                <w:bCs/>
                <w:sz w:val="18"/>
                <w:szCs w:val="18"/>
              </w:rPr>
            </w:pPr>
            <w:r>
              <w:rPr>
                <w:rFonts w:ascii="Arial" w:hAnsi="Arial" w:cs="Arial"/>
                <w:b/>
                <w:bCs/>
                <w:sz w:val="18"/>
                <w:szCs w:val="18"/>
              </w:rPr>
              <w:t>6,000</w:t>
            </w:r>
          </w:p>
        </w:tc>
      </w:tr>
      <w:tr w:rsidR="006335E4" w14:paraId="0D51E602" w14:textId="386B9699" w:rsidTr="00577947">
        <w:trPr>
          <w:trHeight w:val="683"/>
        </w:trPr>
        <w:tc>
          <w:tcPr>
            <w:tcW w:w="1512" w:type="dxa"/>
          </w:tcPr>
          <w:p w14:paraId="3E9E5C2E" w14:textId="350CF8E8" w:rsidR="006335E4" w:rsidRPr="006335E4" w:rsidRDefault="006335E4">
            <w:pPr>
              <w:rPr>
                <w:rFonts w:ascii="Arial" w:hAnsi="Arial" w:cs="Arial"/>
                <w:b/>
                <w:bCs/>
                <w:sz w:val="18"/>
                <w:szCs w:val="18"/>
              </w:rPr>
            </w:pPr>
            <w:r w:rsidRPr="006335E4">
              <w:rPr>
                <w:rFonts w:ascii="Arial" w:hAnsi="Arial" w:cs="Arial"/>
                <w:b/>
                <w:bCs/>
                <w:sz w:val="18"/>
                <w:szCs w:val="18"/>
              </w:rPr>
              <w:t>Dataset submission requirement</w:t>
            </w:r>
          </w:p>
        </w:tc>
        <w:tc>
          <w:tcPr>
            <w:tcW w:w="1490" w:type="dxa"/>
          </w:tcPr>
          <w:p w14:paraId="5C431D5C" w14:textId="4A24DDAD" w:rsidR="006335E4" w:rsidRPr="00494430" w:rsidRDefault="00494430">
            <w:pPr>
              <w:rPr>
                <w:rFonts w:ascii="Arial" w:hAnsi="Arial" w:cs="Arial"/>
                <w:b/>
                <w:bCs/>
                <w:sz w:val="18"/>
                <w:szCs w:val="18"/>
              </w:rPr>
            </w:pPr>
            <w:r>
              <w:rPr>
                <w:rFonts w:ascii="Arial" w:hAnsi="Arial" w:cs="Arial"/>
                <w:b/>
                <w:bCs/>
                <w:sz w:val="18"/>
                <w:szCs w:val="18"/>
              </w:rPr>
              <w:t>11382</w:t>
            </w:r>
          </w:p>
        </w:tc>
        <w:tc>
          <w:tcPr>
            <w:tcW w:w="1412" w:type="dxa"/>
          </w:tcPr>
          <w:p w14:paraId="15CA4BA9" w14:textId="3E2977A9" w:rsidR="006335E4" w:rsidRPr="00494430" w:rsidRDefault="00494430">
            <w:pPr>
              <w:rPr>
                <w:rFonts w:ascii="Arial" w:hAnsi="Arial" w:cs="Arial"/>
                <w:b/>
                <w:bCs/>
                <w:sz w:val="18"/>
                <w:szCs w:val="18"/>
              </w:rPr>
            </w:pPr>
            <w:r>
              <w:rPr>
                <w:rFonts w:ascii="Arial" w:hAnsi="Arial" w:cs="Arial"/>
                <w:b/>
                <w:bCs/>
                <w:sz w:val="18"/>
                <w:szCs w:val="18"/>
              </w:rPr>
              <w:t>144,800</w:t>
            </w:r>
          </w:p>
        </w:tc>
        <w:tc>
          <w:tcPr>
            <w:tcW w:w="1412" w:type="dxa"/>
          </w:tcPr>
          <w:p w14:paraId="0CC541D4" w14:textId="228F7B3C" w:rsidR="006335E4" w:rsidRPr="00494430" w:rsidRDefault="00494430">
            <w:pPr>
              <w:rPr>
                <w:rFonts w:ascii="Arial" w:hAnsi="Arial" w:cs="Arial"/>
                <w:b/>
                <w:bCs/>
                <w:sz w:val="18"/>
                <w:szCs w:val="18"/>
              </w:rPr>
            </w:pPr>
            <w:r>
              <w:rPr>
                <w:rFonts w:ascii="Arial" w:hAnsi="Arial" w:cs="Arial"/>
                <w:b/>
                <w:bCs/>
                <w:sz w:val="18"/>
                <w:szCs w:val="18"/>
              </w:rPr>
              <w:t>600,000</w:t>
            </w:r>
          </w:p>
        </w:tc>
        <w:tc>
          <w:tcPr>
            <w:tcW w:w="1250" w:type="dxa"/>
          </w:tcPr>
          <w:p w14:paraId="067B14AC" w14:textId="738A7AA2" w:rsidR="006335E4" w:rsidRPr="00494430" w:rsidRDefault="00494430">
            <w:pPr>
              <w:rPr>
                <w:rFonts w:ascii="Arial" w:hAnsi="Arial" w:cs="Arial"/>
                <w:b/>
                <w:bCs/>
                <w:sz w:val="18"/>
                <w:szCs w:val="18"/>
              </w:rPr>
            </w:pPr>
            <w:r>
              <w:rPr>
                <w:rFonts w:ascii="Arial" w:hAnsi="Arial" w:cs="Arial"/>
                <w:b/>
                <w:bCs/>
                <w:sz w:val="18"/>
                <w:szCs w:val="18"/>
              </w:rPr>
              <w:t>11382</w:t>
            </w:r>
          </w:p>
        </w:tc>
        <w:tc>
          <w:tcPr>
            <w:tcW w:w="1250" w:type="dxa"/>
          </w:tcPr>
          <w:p w14:paraId="3AD4B5DE" w14:textId="34DDDB0E" w:rsidR="006335E4" w:rsidRPr="00494430" w:rsidRDefault="00494430">
            <w:pPr>
              <w:rPr>
                <w:rFonts w:ascii="Arial" w:hAnsi="Arial" w:cs="Arial"/>
                <w:b/>
                <w:bCs/>
                <w:sz w:val="18"/>
                <w:szCs w:val="18"/>
              </w:rPr>
            </w:pPr>
            <w:r>
              <w:rPr>
                <w:rFonts w:ascii="Arial" w:hAnsi="Arial" w:cs="Arial"/>
                <w:b/>
                <w:bCs/>
                <w:sz w:val="18"/>
                <w:szCs w:val="18"/>
              </w:rPr>
              <w:t>127,494</w:t>
            </w:r>
          </w:p>
        </w:tc>
        <w:tc>
          <w:tcPr>
            <w:tcW w:w="1250" w:type="dxa"/>
          </w:tcPr>
          <w:p w14:paraId="127D408E" w14:textId="30D34A80" w:rsidR="006335E4" w:rsidRPr="00494430" w:rsidRDefault="00494430">
            <w:pPr>
              <w:rPr>
                <w:rFonts w:ascii="Arial" w:hAnsi="Arial" w:cs="Arial"/>
                <w:b/>
                <w:bCs/>
                <w:sz w:val="18"/>
                <w:szCs w:val="18"/>
              </w:rPr>
            </w:pPr>
            <w:r>
              <w:rPr>
                <w:rFonts w:ascii="Arial" w:hAnsi="Arial" w:cs="Arial"/>
                <w:b/>
                <w:bCs/>
                <w:sz w:val="18"/>
                <w:szCs w:val="18"/>
              </w:rPr>
              <w:t>468,000</w:t>
            </w:r>
          </w:p>
        </w:tc>
      </w:tr>
      <w:tr w:rsidR="00577947" w14:paraId="7B72D9F7" w14:textId="6A223A4F" w:rsidTr="006335E4">
        <w:tc>
          <w:tcPr>
            <w:tcW w:w="1512" w:type="dxa"/>
          </w:tcPr>
          <w:p w14:paraId="19F1A4D5" w14:textId="04B96B4A" w:rsidR="00577947" w:rsidRPr="006335E4" w:rsidRDefault="00577947">
            <w:pPr>
              <w:rPr>
                <w:rFonts w:ascii="Arial" w:hAnsi="Arial" w:cs="Arial"/>
                <w:b/>
                <w:bCs/>
                <w:sz w:val="18"/>
                <w:szCs w:val="18"/>
              </w:rPr>
            </w:pPr>
            <w:r>
              <w:rPr>
                <w:rFonts w:ascii="Arial" w:hAnsi="Arial" w:cs="Arial"/>
                <w:b/>
                <w:bCs/>
                <w:sz w:val="18"/>
                <w:szCs w:val="18"/>
              </w:rPr>
              <w:t>Data storage</w:t>
            </w:r>
          </w:p>
        </w:tc>
        <w:tc>
          <w:tcPr>
            <w:tcW w:w="1490" w:type="dxa"/>
          </w:tcPr>
          <w:p w14:paraId="664D4B81" w14:textId="41A08A88" w:rsidR="00577947" w:rsidRPr="00494430" w:rsidRDefault="00577947">
            <w:pPr>
              <w:rPr>
                <w:rFonts w:ascii="Arial" w:hAnsi="Arial" w:cs="Arial"/>
                <w:b/>
                <w:bCs/>
                <w:sz w:val="18"/>
                <w:szCs w:val="18"/>
              </w:rPr>
            </w:pPr>
            <w:r>
              <w:rPr>
                <w:rFonts w:ascii="Arial" w:hAnsi="Arial" w:cs="Arial"/>
                <w:b/>
                <w:bCs/>
                <w:sz w:val="18"/>
                <w:szCs w:val="18"/>
              </w:rPr>
              <w:t>11382</w:t>
            </w:r>
          </w:p>
        </w:tc>
        <w:tc>
          <w:tcPr>
            <w:tcW w:w="1412" w:type="dxa"/>
          </w:tcPr>
          <w:p w14:paraId="3E5682AF" w14:textId="46EF5740" w:rsidR="00577947" w:rsidRPr="00494430" w:rsidRDefault="00577947">
            <w:pPr>
              <w:rPr>
                <w:rFonts w:ascii="Arial" w:hAnsi="Arial" w:cs="Arial"/>
                <w:b/>
                <w:bCs/>
                <w:sz w:val="18"/>
                <w:szCs w:val="18"/>
              </w:rPr>
            </w:pPr>
            <w:r>
              <w:rPr>
                <w:rFonts w:ascii="Arial" w:hAnsi="Arial" w:cs="Arial"/>
                <w:b/>
                <w:bCs/>
                <w:sz w:val="18"/>
                <w:szCs w:val="18"/>
              </w:rPr>
              <w:t>144,800</w:t>
            </w:r>
          </w:p>
        </w:tc>
        <w:tc>
          <w:tcPr>
            <w:tcW w:w="1412" w:type="dxa"/>
          </w:tcPr>
          <w:p w14:paraId="17E03FDB" w14:textId="4CADE6CF" w:rsidR="00577947" w:rsidRPr="00494430" w:rsidRDefault="00577947">
            <w:pPr>
              <w:rPr>
                <w:rFonts w:ascii="Arial" w:hAnsi="Arial" w:cs="Arial"/>
                <w:b/>
                <w:bCs/>
                <w:sz w:val="18"/>
                <w:szCs w:val="18"/>
              </w:rPr>
            </w:pPr>
            <w:r>
              <w:rPr>
                <w:rFonts w:ascii="Arial" w:hAnsi="Arial" w:cs="Arial"/>
                <w:b/>
                <w:bCs/>
                <w:sz w:val="18"/>
                <w:szCs w:val="18"/>
              </w:rPr>
              <w:t>431,630</w:t>
            </w:r>
          </w:p>
        </w:tc>
        <w:tc>
          <w:tcPr>
            <w:tcW w:w="1250" w:type="dxa"/>
          </w:tcPr>
          <w:p w14:paraId="10FE6497" w14:textId="114CA3D1" w:rsidR="00577947" w:rsidRPr="00494430" w:rsidRDefault="00577947">
            <w:pPr>
              <w:rPr>
                <w:rFonts w:ascii="Arial" w:hAnsi="Arial" w:cs="Arial"/>
                <w:b/>
                <w:bCs/>
                <w:sz w:val="18"/>
                <w:szCs w:val="18"/>
              </w:rPr>
            </w:pPr>
            <w:r>
              <w:rPr>
                <w:rFonts w:ascii="Arial" w:hAnsi="Arial" w:cs="Arial"/>
                <w:b/>
                <w:bCs/>
                <w:sz w:val="18"/>
                <w:szCs w:val="18"/>
              </w:rPr>
              <w:t>11382</w:t>
            </w:r>
          </w:p>
        </w:tc>
        <w:tc>
          <w:tcPr>
            <w:tcW w:w="1250" w:type="dxa"/>
          </w:tcPr>
          <w:p w14:paraId="0A65B8E5" w14:textId="44355295" w:rsidR="00577947" w:rsidRPr="00494430" w:rsidRDefault="00577947">
            <w:pPr>
              <w:rPr>
                <w:rFonts w:ascii="Arial" w:hAnsi="Arial" w:cs="Arial"/>
                <w:b/>
                <w:bCs/>
                <w:sz w:val="18"/>
                <w:szCs w:val="18"/>
              </w:rPr>
            </w:pPr>
            <w:r>
              <w:rPr>
                <w:rFonts w:ascii="Arial" w:hAnsi="Arial" w:cs="Arial"/>
                <w:b/>
                <w:bCs/>
                <w:sz w:val="18"/>
                <w:szCs w:val="18"/>
              </w:rPr>
              <w:t>144,800</w:t>
            </w:r>
          </w:p>
        </w:tc>
        <w:tc>
          <w:tcPr>
            <w:tcW w:w="1250" w:type="dxa"/>
          </w:tcPr>
          <w:p w14:paraId="3E23E7C7" w14:textId="2F899DA2" w:rsidR="00577947" w:rsidRPr="00494430" w:rsidRDefault="00577947">
            <w:pPr>
              <w:rPr>
                <w:rFonts w:ascii="Arial" w:hAnsi="Arial" w:cs="Arial"/>
                <w:b/>
                <w:bCs/>
                <w:sz w:val="18"/>
                <w:szCs w:val="18"/>
              </w:rPr>
            </w:pPr>
            <w:r>
              <w:rPr>
                <w:rFonts w:ascii="Arial" w:hAnsi="Arial" w:cs="Arial"/>
                <w:b/>
                <w:bCs/>
                <w:sz w:val="18"/>
                <w:szCs w:val="18"/>
              </w:rPr>
              <w:t>431,630</w:t>
            </w:r>
          </w:p>
        </w:tc>
      </w:tr>
      <w:tr w:rsidR="00577947" w14:paraId="270581AD" w14:textId="027F9989" w:rsidTr="006335E4">
        <w:tc>
          <w:tcPr>
            <w:tcW w:w="1512" w:type="dxa"/>
          </w:tcPr>
          <w:p w14:paraId="0020E274" w14:textId="6A62F3AD" w:rsidR="00577947" w:rsidRPr="006335E4" w:rsidRDefault="00577947">
            <w:pPr>
              <w:rPr>
                <w:rFonts w:ascii="Arial" w:hAnsi="Arial" w:cs="Arial"/>
                <w:b/>
                <w:bCs/>
                <w:sz w:val="18"/>
                <w:szCs w:val="18"/>
              </w:rPr>
            </w:pPr>
            <w:r>
              <w:rPr>
                <w:rFonts w:ascii="Arial" w:hAnsi="Arial" w:cs="Arial"/>
                <w:b/>
                <w:bCs/>
                <w:sz w:val="18"/>
                <w:szCs w:val="18"/>
              </w:rPr>
              <w:t>CTTP application</w:t>
            </w:r>
          </w:p>
        </w:tc>
        <w:tc>
          <w:tcPr>
            <w:tcW w:w="1490" w:type="dxa"/>
          </w:tcPr>
          <w:p w14:paraId="089C2A3A" w14:textId="5B9ACC06"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6A0C9B62" w14:textId="68844170"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00B1DC2F" w14:textId="4956E4A9" w:rsidR="00577947" w:rsidRPr="00494430" w:rsidRDefault="00577947">
            <w:pPr>
              <w:rPr>
                <w:rFonts w:ascii="Arial" w:hAnsi="Arial" w:cs="Arial"/>
                <w:b/>
                <w:bCs/>
                <w:sz w:val="18"/>
                <w:szCs w:val="18"/>
              </w:rPr>
            </w:pPr>
            <w:r>
              <w:rPr>
                <w:rFonts w:ascii="Arial" w:hAnsi="Arial" w:cs="Arial"/>
                <w:b/>
                <w:bCs/>
                <w:sz w:val="18"/>
                <w:szCs w:val="18"/>
              </w:rPr>
              <w:t>NA</w:t>
            </w:r>
          </w:p>
        </w:tc>
        <w:tc>
          <w:tcPr>
            <w:tcW w:w="1250" w:type="dxa"/>
          </w:tcPr>
          <w:p w14:paraId="4258963F" w14:textId="50EFF6CE" w:rsidR="00577947" w:rsidRPr="00494430" w:rsidRDefault="00577947">
            <w:pPr>
              <w:rPr>
                <w:rFonts w:ascii="Arial" w:hAnsi="Arial" w:cs="Arial"/>
                <w:b/>
                <w:bCs/>
                <w:sz w:val="18"/>
                <w:szCs w:val="18"/>
              </w:rPr>
            </w:pPr>
            <w:r>
              <w:rPr>
                <w:rFonts w:ascii="Arial" w:hAnsi="Arial" w:cs="Arial"/>
                <w:b/>
                <w:bCs/>
                <w:sz w:val="18"/>
                <w:szCs w:val="18"/>
              </w:rPr>
              <w:t>72</w:t>
            </w:r>
          </w:p>
        </w:tc>
        <w:tc>
          <w:tcPr>
            <w:tcW w:w="1250" w:type="dxa"/>
          </w:tcPr>
          <w:p w14:paraId="5B88B7F1" w14:textId="20DC0F42" w:rsidR="00577947" w:rsidRPr="00494430" w:rsidRDefault="00577947">
            <w:pPr>
              <w:rPr>
                <w:rFonts w:ascii="Arial" w:hAnsi="Arial" w:cs="Arial"/>
                <w:b/>
                <w:bCs/>
                <w:sz w:val="18"/>
                <w:szCs w:val="18"/>
              </w:rPr>
            </w:pPr>
            <w:r>
              <w:rPr>
                <w:rFonts w:ascii="Arial" w:hAnsi="Arial" w:cs="Arial"/>
                <w:b/>
                <w:bCs/>
                <w:sz w:val="18"/>
                <w:szCs w:val="18"/>
              </w:rPr>
              <w:t>12</w:t>
            </w:r>
          </w:p>
        </w:tc>
        <w:tc>
          <w:tcPr>
            <w:tcW w:w="1250" w:type="dxa"/>
          </w:tcPr>
          <w:p w14:paraId="7431C0E2" w14:textId="35422953" w:rsidR="00577947" w:rsidRPr="00494430" w:rsidRDefault="00577947">
            <w:pPr>
              <w:rPr>
                <w:rFonts w:ascii="Arial" w:hAnsi="Arial" w:cs="Arial"/>
                <w:b/>
                <w:bCs/>
                <w:sz w:val="18"/>
                <w:szCs w:val="18"/>
              </w:rPr>
            </w:pPr>
            <w:r>
              <w:rPr>
                <w:rFonts w:ascii="Arial" w:hAnsi="Arial" w:cs="Arial"/>
                <w:b/>
                <w:bCs/>
                <w:sz w:val="18"/>
                <w:szCs w:val="18"/>
              </w:rPr>
              <w:t>2,160</w:t>
            </w:r>
          </w:p>
        </w:tc>
      </w:tr>
      <w:tr w:rsidR="00577947" w14:paraId="3073A1D0" w14:textId="33C18D13" w:rsidTr="006335E4">
        <w:tc>
          <w:tcPr>
            <w:tcW w:w="1512" w:type="dxa"/>
          </w:tcPr>
          <w:p w14:paraId="194C9D9F" w14:textId="2B385A3B" w:rsidR="00577947" w:rsidRPr="006335E4" w:rsidRDefault="00577947">
            <w:pPr>
              <w:rPr>
                <w:rFonts w:ascii="Arial" w:hAnsi="Arial" w:cs="Arial"/>
                <w:b/>
                <w:bCs/>
                <w:sz w:val="18"/>
                <w:szCs w:val="18"/>
              </w:rPr>
            </w:pPr>
            <w:r>
              <w:rPr>
                <w:rFonts w:ascii="Arial" w:hAnsi="Arial" w:cs="Arial"/>
                <w:b/>
                <w:bCs/>
                <w:sz w:val="18"/>
                <w:szCs w:val="18"/>
              </w:rPr>
              <w:t>TT Compliance Plan</w:t>
            </w:r>
          </w:p>
        </w:tc>
        <w:tc>
          <w:tcPr>
            <w:tcW w:w="1490" w:type="dxa"/>
          </w:tcPr>
          <w:p w14:paraId="2B479316" w14:textId="65223DA2"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73E280EA" w14:textId="073F4EF9"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53788D9D" w14:textId="3C4AFCFD" w:rsidR="00577947" w:rsidRPr="00494430" w:rsidRDefault="00577947">
            <w:pPr>
              <w:rPr>
                <w:rFonts w:ascii="Arial" w:hAnsi="Arial" w:cs="Arial"/>
                <w:b/>
                <w:bCs/>
                <w:sz w:val="18"/>
                <w:szCs w:val="18"/>
              </w:rPr>
            </w:pPr>
            <w:r>
              <w:rPr>
                <w:rFonts w:ascii="Arial" w:hAnsi="Arial" w:cs="Arial"/>
                <w:b/>
                <w:bCs/>
                <w:sz w:val="18"/>
                <w:szCs w:val="18"/>
              </w:rPr>
              <w:t>NA</w:t>
            </w:r>
          </w:p>
        </w:tc>
        <w:tc>
          <w:tcPr>
            <w:tcW w:w="1250" w:type="dxa"/>
          </w:tcPr>
          <w:p w14:paraId="52DD9C92" w14:textId="46382088" w:rsidR="00577947" w:rsidRPr="00494430" w:rsidRDefault="00577947">
            <w:pPr>
              <w:rPr>
                <w:rFonts w:ascii="Arial" w:hAnsi="Arial" w:cs="Arial"/>
                <w:b/>
                <w:bCs/>
                <w:sz w:val="18"/>
                <w:szCs w:val="18"/>
              </w:rPr>
            </w:pPr>
            <w:r>
              <w:rPr>
                <w:rFonts w:ascii="Arial" w:hAnsi="Arial" w:cs="Arial"/>
                <w:b/>
                <w:bCs/>
                <w:sz w:val="18"/>
                <w:szCs w:val="18"/>
              </w:rPr>
              <w:t>216</w:t>
            </w:r>
          </w:p>
        </w:tc>
        <w:tc>
          <w:tcPr>
            <w:tcW w:w="1250" w:type="dxa"/>
          </w:tcPr>
          <w:p w14:paraId="1ACC7365" w14:textId="550F2368" w:rsidR="00577947" w:rsidRPr="00494430" w:rsidRDefault="00577947">
            <w:pPr>
              <w:rPr>
                <w:rFonts w:ascii="Arial" w:hAnsi="Arial" w:cs="Arial"/>
                <w:b/>
                <w:bCs/>
                <w:sz w:val="18"/>
                <w:szCs w:val="18"/>
              </w:rPr>
            </w:pPr>
            <w:r>
              <w:rPr>
                <w:rFonts w:ascii="Arial" w:hAnsi="Arial" w:cs="Arial"/>
                <w:b/>
                <w:bCs/>
                <w:sz w:val="18"/>
                <w:szCs w:val="18"/>
              </w:rPr>
              <w:t>1,728</w:t>
            </w:r>
          </w:p>
        </w:tc>
        <w:tc>
          <w:tcPr>
            <w:tcW w:w="1250" w:type="dxa"/>
          </w:tcPr>
          <w:p w14:paraId="234DDCC2" w14:textId="7244D0E7" w:rsidR="00577947" w:rsidRPr="00494430" w:rsidRDefault="00577947">
            <w:pPr>
              <w:rPr>
                <w:rFonts w:ascii="Arial" w:hAnsi="Arial" w:cs="Arial"/>
                <w:b/>
                <w:bCs/>
                <w:sz w:val="18"/>
                <w:szCs w:val="18"/>
              </w:rPr>
            </w:pPr>
            <w:r>
              <w:rPr>
                <w:rFonts w:ascii="Arial" w:hAnsi="Arial" w:cs="Arial"/>
                <w:b/>
                <w:bCs/>
                <w:sz w:val="18"/>
                <w:szCs w:val="18"/>
              </w:rPr>
              <w:t>0</w:t>
            </w:r>
          </w:p>
        </w:tc>
      </w:tr>
      <w:tr w:rsidR="00577947" w14:paraId="06CCD7D8" w14:textId="77777777" w:rsidTr="006335E4">
        <w:tc>
          <w:tcPr>
            <w:tcW w:w="1512" w:type="dxa"/>
          </w:tcPr>
          <w:p w14:paraId="11304427" w14:textId="1D963CFA" w:rsidR="00577947" w:rsidRDefault="00577947">
            <w:pPr>
              <w:rPr>
                <w:rFonts w:ascii="Arial" w:hAnsi="Arial" w:cs="Arial"/>
                <w:b/>
                <w:bCs/>
                <w:sz w:val="18"/>
                <w:szCs w:val="18"/>
              </w:rPr>
            </w:pPr>
            <w:r>
              <w:rPr>
                <w:rFonts w:ascii="Arial" w:hAnsi="Arial" w:cs="Arial"/>
                <w:b/>
                <w:bCs/>
                <w:sz w:val="18"/>
                <w:szCs w:val="18"/>
              </w:rPr>
              <w:t>Third Party Auditor Contract</w:t>
            </w:r>
          </w:p>
        </w:tc>
        <w:tc>
          <w:tcPr>
            <w:tcW w:w="1490" w:type="dxa"/>
          </w:tcPr>
          <w:p w14:paraId="03B34592" w14:textId="04F9B1F0"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0F809B67" w14:textId="10CEC85B" w:rsidR="00577947" w:rsidRPr="00494430" w:rsidRDefault="00577947">
            <w:pPr>
              <w:rPr>
                <w:rFonts w:ascii="Arial" w:hAnsi="Arial" w:cs="Arial"/>
                <w:b/>
                <w:bCs/>
                <w:sz w:val="18"/>
                <w:szCs w:val="18"/>
              </w:rPr>
            </w:pPr>
            <w:r>
              <w:rPr>
                <w:rFonts w:ascii="Arial" w:hAnsi="Arial" w:cs="Arial"/>
                <w:b/>
                <w:bCs/>
                <w:sz w:val="18"/>
                <w:szCs w:val="18"/>
              </w:rPr>
              <w:t>NA</w:t>
            </w:r>
          </w:p>
        </w:tc>
        <w:tc>
          <w:tcPr>
            <w:tcW w:w="1412" w:type="dxa"/>
          </w:tcPr>
          <w:p w14:paraId="53D67C15" w14:textId="0C165CBA" w:rsidR="00577947" w:rsidRPr="00494430" w:rsidRDefault="00577947">
            <w:pPr>
              <w:rPr>
                <w:rFonts w:ascii="Arial" w:hAnsi="Arial" w:cs="Arial"/>
                <w:b/>
                <w:bCs/>
                <w:sz w:val="18"/>
                <w:szCs w:val="18"/>
              </w:rPr>
            </w:pPr>
            <w:r>
              <w:rPr>
                <w:rFonts w:ascii="Arial" w:hAnsi="Arial" w:cs="Arial"/>
                <w:b/>
                <w:bCs/>
                <w:sz w:val="18"/>
                <w:szCs w:val="18"/>
              </w:rPr>
              <w:t>NA</w:t>
            </w:r>
          </w:p>
        </w:tc>
        <w:tc>
          <w:tcPr>
            <w:tcW w:w="1250" w:type="dxa"/>
          </w:tcPr>
          <w:p w14:paraId="66631E46" w14:textId="40CE1F6D" w:rsidR="00577947" w:rsidRPr="00494430" w:rsidRDefault="00577947">
            <w:pPr>
              <w:rPr>
                <w:rFonts w:ascii="Arial" w:hAnsi="Arial" w:cs="Arial"/>
                <w:b/>
                <w:bCs/>
                <w:sz w:val="18"/>
                <w:szCs w:val="18"/>
              </w:rPr>
            </w:pPr>
            <w:r>
              <w:rPr>
                <w:rFonts w:ascii="Arial" w:hAnsi="Arial" w:cs="Arial"/>
                <w:b/>
                <w:bCs/>
                <w:sz w:val="18"/>
                <w:szCs w:val="18"/>
              </w:rPr>
              <w:t>216</w:t>
            </w:r>
          </w:p>
        </w:tc>
        <w:tc>
          <w:tcPr>
            <w:tcW w:w="1250" w:type="dxa"/>
          </w:tcPr>
          <w:p w14:paraId="038D4BCF" w14:textId="3E987FD9" w:rsidR="00577947" w:rsidRPr="00494430" w:rsidRDefault="00577947">
            <w:pPr>
              <w:rPr>
                <w:rFonts w:ascii="Arial" w:hAnsi="Arial" w:cs="Arial"/>
                <w:b/>
                <w:bCs/>
                <w:sz w:val="18"/>
                <w:szCs w:val="18"/>
              </w:rPr>
            </w:pPr>
            <w:r>
              <w:rPr>
                <w:rFonts w:ascii="Arial" w:hAnsi="Arial" w:cs="Arial"/>
                <w:b/>
                <w:bCs/>
                <w:sz w:val="18"/>
                <w:szCs w:val="18"/>
              </w:rPr>
              <w:t>216</w:t>
            </w:r>
          </w:p>
        </w:tc>
        <w:tc>
          <w:tcPr>
            <w:tcW w:w="1250" w:type="dxa"/>
          </w:tcPr>
          <w:p w14:paraId="5EA1F8A6" w14:textId="7B6D8D35" w:rsidR="00577947" w:rsidRPr="00494430" w:rsidRDefault="00577947">
            <w:pPr>
              <w:rPr>
                <w:rFonts w:ascii="Arial" w:hAnsi="Arial" w:cs="Arial"/>
                <w:b/>
                <w:bCs/>
                <w:sz w:val="18"/>
                <w:szCs w:val="18"/>
              </w:rPr>
            </w:pPr>
            <w:r>
              <w:rPr>
                <w:rFonts w:ascii="Arial" w:hAnsi="Arial" w:cs="Arial"/>
                <w:b/>
                <w:bCs/>
                <w:sz w:val="18"/>
                <w:szCs w:val="18"/>
              </w:rPr>
              <w:t>473,040</w:t>
            </w:r>
          </w:p>
        </w:tc>
      </w:tr>
      <w:tr w:rsidR="00577947" w14:paraId="1401A150" w14:textId="77777777" w:rsidTr="006335E4">
        <w:tc>
          <w:tcPr>
            <w:tcW w:w="1512" w:type="dxa"/>
          </w:tcPr>
          <w:p w14:paraId="7B811D48" w14:textId="27ADFE2A" w:rsidR="00577947" w:rsidRDefault="00577947">
            <w:pPr>
              <w:rPr>
                <w:rFonts w:ascii="Arial" w:hAnsi="Arial" w:cs="Arial"/>
                <w:b/>
                <w:bCs/>
                <w:sz w:val="18"/>
                <w:szCs w:val="18"/>
              </w:rPr>
            </w:pPr>
            <w:r>
              <w:rPr>
                <w:rFonts w:ascii="Arial" w:hAnsi="Arial" w:cs="Arial"/>
                <w:b/>
                <w:bCs/>
                <w:sz w:val="18"/>
                <w:szCs w:val="18"/>
              </w:rPr>
              <w:t>Totals</w:t>
            </w:r>
          </w:p>
        </w:tc>
        <w:tc>
          <w:tcPr>
            <w:tcW w:w="1490" w:type="dxa"/>
          </w:tcPr>
          <w:p w14:paraId="234D4C9E" w14:textId="0400AE77" w:rsidR="00577947" w:rsidRPr="00494430" w:rsidRDefault="00577947">
            <w:pPr>
              <w:rPr>
                <w:rFonts w:ascii="Arial" w:hAnsi="Arial" w:cs="Arial"/>
                <w:b/>
                <w:bCs/>
                <w:sz w:val="18"/>
                <w:szCs w:val="18"/>
              </w:rPr>
            </w:pPr>
            <w:r>
              <w:rPr>
                <w:rFonts w:ascii="Arial" w:hAnsi="Arial" w:cs="Arial"/>
                <w:b/>
                <w:bCs/>
                <w:sz w:val="18"/>
                <w:szCs w:val="18"/>
              </w:rPr>
              <w:t>24,764</w:t>
            </w:r>
          </w:p>
        </w:tc>
        <w:tc>
          <w:tcPr>
            <w:tcW w:w="1412" w:type="dxa"/>
          </w:tcPr>
          <w:p w14:paraId="67810DCE" w14:textId="2931C6E0" w:rsidR="00577947" w:rsidRPr="00494430" w:rsidRDefault="00577947">
            <w:pPr>
              <w:rPr>
                <w:rFonts w:ascii="Arial" w:hAnsi="Arial" w:cs="Arial"/>
                <w:b/>
                <w:bCs/>
                <w:sz w:val="18"/>
                <w:szCs w:val="18"/>
              </w:rPr>
            </w:pPr>
            <w:r>
              <w:rPr>
                <w:rFonts w:ascii="Arial" w:hAnsi="Arial" w:cs="Arial"/>
                <w:b/>
                <w:bCs/>
                <w:sz w:val="18"/>
                <w:szCs w:val="18"/>
              </w:rPr>
              <w:t>289,927</w:t>
            </w:r>
          </w:p>
        </w:tc>
        <w:tc>
          <w:tcPr>
            <w:tcW w:w="1412" w:type="dxa"/>
          </w:tcPr>
          <w:p w14:paraId="5CFB91D1" w14:textId="75A74954" w:rsidR="00577947" w:rsidRPr="00494430" w:rsidRDefault="00577947">
            <w:pPr>
              <w:rPr>
                <w:rFonts w:ascii="Arial" w:hAnsi="Arial" w:cs="Arial"/>
                <w:b/>
                <w:bCs/>
                <w:sz w:val="18"/>
                <w:szCs w:val="18"/>
              </w:rPr>
            </w:pPr>
            <w:r>
              <w:rPr>
                <w:rFonts w:ascii="Arial" w:hAnsi="Arial" w:cs="Arial"/>
                <w:b/>
                <w:bCs/>
                <w:sz w:val="18"/>
                <w:szCs w:val="18"/>
              </w:rPr>
              <w:t>1,091,630</w:t>
            </w:r>
          </w:p>
        </w:tc>
        <w:tc>
          <w:tcPr>
            <w:tcW w:w="1250" w:type="dxa"/>
          </w:tcPr>
          <w:p w14:paraId="3A15F40A" w14:textId="4E5DEAAC" w:rsidR="00577947" w:rsidRPr="00494430" w:rsidRDefault="00577947">
            <w:pPr>
              <w:rPr>
                <w:rFonts w:ascii="Arial" w:hAnsi="Arial" w:cs="Arial"/>
                <w:b/>
                <w:bCs/>
                <w:sz w:val="18"/>
                <w:szCs w:val="18"/>
              </w:rPr>
            </w:pPr>
            <w:r>
              <w:rPr>
                <w:rFonts w:ascii="Arial" w:hAnsi="Arial" w:cs="Arial"/>
                <w:b/>
                <w:bCs/>
                <w:sz w:val="18"/>
                <w:szCs w:val="18"/>
              </w:rPr>
              <w:t>25,268</w:t>
            </w:r>
          </w:p>
        </w:tc>
        <w:tc>
          <w:tcPr>
            <w:tcW w:w="1250" w:type="dxa"/>
          </w:tcPr>
          <w:p w14:paraId="773FF9CC" w14:textId="696390D4" w:rsidR="00577947" w:rsidRPr="00494430" w:rsidRDefault="00577947">
            <w:pPr>
              <w:rPr>
                <w:rFonts w:ascii="Arial" w:hAnsi="Arial" w:cs="Arial"/>
                <w:b/>
                <w:bCs/>
                <w:sz w:val="18"/>
                <w:szCs w:val="18"/>
              </w:rPr>
            </w:pPr>
            <w:r>
              <w:rPr>
                <w:rFonts w:ascii="Arial" w:hAnsi="Arial" w:cs="Arial"/>
                <w:b/>
                <w:bCs/>
                <w:sz w:val="18"/>
                <w:szCs w:val="18"/>
              </w:rPr>
              <w:t>274,497</w:t>
            </w:r>
          </w:p>
        </w:tc>
        <w:tc>
          <w:tcPr>
            <w:tcW w:w="1250" w:type="dxa"/>
          </w:tcPr>
          <w:p w14:paraId="6C5F02F7" w14:textId="394B6330" w:rsidR="00577947" w:rsidRPr="00494430" w:rsidRDefault="00577947">
            <w:pPr>
              <w:rPr>
                <w:rFonts w:ascii="Arial" w:hAnsi="Arial" w:cs="Arial"/>
                <w:b/>
                <w:bCs/>
                <w:sz w:val="18"/>
                <w:szCs w:val="18"/>
              </w:rPr>
            </w:pPr>
            <w:r>
              <w:rPr>
                <w:rFonts w:ascii="Arial" w:hAnsi="Arial" w:cs="Arial"/>
                <w:b/>
                <w:bCs/>
                <w:sz w:val="18"/>
                <w:szCs w:val="18"/>
              </w:rPr>
              <w:t>1,434,830</w:t>
            </w:r>
          </w:p>
        </w:tc>
      </w:tr>
    </w:tbl>
    <w:p w14:paraId="7F031A49" w14:textId="37975C55" w:rsidR="00D82BA0" w:rsidRPr="006335E4" w:rsidRDefault="006335E4">
      <w:pPr>
        <w:rPr>
          <w:rFonts w:ascii="Arial" w:hAnsi="Arial" w:cs="Arial"/>
          <w:bCs/>
          <w:sz w:val="16"/>
          <w:szCs w:val="16"/>
        </w:rPr>
      </w:pPr>
      <w:r w:rsidRPr="006335E4">
        <w:rPr>
          <w:rFonts w:ascii="Arial" w:hAnsi="Arial" w:cs="Arial"/>
          <w:bCs/>
          <w:sz w:val="16"/>
          <w:szCs w:val="16"/>
        </w:rPr>
        <w:t>*Recordkeeping/reporting costs</w:t>
      </w:r>
    </w:p>
    <w:p w14:paraId="3B5499A7" w14:textId="77777777" w:rsidR="006335E4" w:rsidRDefault="006335E4">
      <w:pPr>
        <w:rPr>
          <w:b/>
          <w:bCs/>
          <w:sz w:val="24"/>
          <w:szCs w:val="24"/>
        </w:rPr>
      </w:pPr>
    </w:p>
    <w:p w14:paraId="35144C8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66C94B3B" w14:textId="77777777" w:rsidR="004F26E9" w:rsidRDefault="004F26E9">
      <w:pPr>
        <w:rPr>
          <w:sz w:val="24"/>
          <w:szCs w:val="24"/>
        </w:rPr>
      </w:pPr>
    </w:p>
    <w:p w14:paraId="5358155C" w14:textId="501DC79C" w:rsidR="00B5267F" w:rsidRDefault="000E3360" w:rsidP="00B5267F">
      <w:pPr>
        <w:widowControl/>
        <w:rPr>
          <w:sz w:val="24"/>
          <w:szCs w:val="24"/>
        </w:rPr>
      </w:pPr>
      <w:r>
        <w:rPr>
          <w:sz w:val="24"/>
          <w:szCs w:val="24"/>
        </w:rPr>
        <w:t>There are no plans to publish any information collected from this program.</w:t>
      </w:r>
      <w:r w:rsidR="003200F8">
        <w:rPr>
          <w:sz w:val="24"/>
          <w:szCs w:val="24"/>
        </w:rPr>
        <w:t xml:space="preserve"> NOAA may report aggregate statistics on the number of approved CTTs and the number of annual entries filed under the CCTP.</w:t>
      </w:r>
    </w:p>
    <w:p w14:paraId="0EA4A1B7" w14:textId="77777777" w:rsidR="000900CF" w:rsidRPr="00F21F30" w:rsidRDefault="000900CF" w:rsidP="00B5267F">
      <w:pPr>
        <w:widowControl/>
      </w:pPr>
    </w:p>
    <w:p w14:paraId="5CDCB156"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198C1180" w14:textId="77777777" w:rsidR="004F26E9" w:rsidRDefault="004F26E9">
      <w:pPr>
        <w:rPr>
          <w:sz w:val="24"/>
          <w:szCs w:val="24"/>
        </w:rPr>
      </w:pPr>
    </w:p>
    <w:p w14:paraId="2D882C80" w14:textId="723EE59F" w:rsidR="005632BB" w:rsidRDefault="00CC411C">
      <w:pPr>
        <w:rPr>
          <w:sz w:val="24"/>
          <w:szCs w:val="24"/>
        </w:rPr>
      </w:pPr>
      <w:r>
        <w:rPr>
          <w:sz w:val="24"/>
          <w:szCs w:val="24"/>
        </w:rPr>
        <w:t>Not Applicable.</w:t>
      </w:r>
    </w:p>
    <w:p w14:paraId="4F9BDA15" w14:textId="77777777" w:rsidR="00D06877" w:rsidRDefault="00D06877">
      <w:pPr>
        <w:rPr>
          <w:b/>
          <w:bCs/>
          <w:sz w:val="24"/>
          <w:szCs w:val="24"/>
        </w:rPr>
      </w:pPr>
    </w:p>
    <w:p w14:paraId="0A3A9630"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04A06397" w14:textId="77777777" w:rsidR="004F26E9" w:rsidRDefault="004F26E9">
      <w:pPr>
        <w:rPr>
          <w:sz w:val="24"/>
          <w:szCs w:val="24"/>
        </w:rPr>
      </w:pPr>
    </w:p>
    <w:p w14:paraId="18195B85" w14:textId="77777777" w:rsidR="00B5267F" w:rsidRPr="00B5267F" w:rsidRDefault="00B5267F" w:rsidP="00B5267F">
      <w:pPr>
        <w:adjustRightInd/>
        <w:rPr>
          <w:spacing w:val="-2"/>
          <w:sz w:val="24"/>
          <w:szCs w:val="24"/>
        </w:rPr>
      </w:pPr>
      <w:r w:rsidRPr="00B5267F">
        <w:rPr>
          <w:sz w:val="24"/>
          <w:szCs w:val="24"/>
        </w:rPr>
        <w:t>There are no exceptions.</w:t>
      </w:r>
      <w:r>
        <w:rPr>
          <w:sz w:val="24"/>
          <w:szCs w:val="24"/>
        </w:rPr>
        <w:t xml:space="preserve">  </w:t>
      </w:r>
      <w:r w:rsidRPr="00B5267F">
        <w:rPr>
          <w:spacing w:val="-2"/>
          <w:sz w:val="24"/>
          <w:szCs w:val="24"/>
        </w:rPr>
        <w:t>Not applicable.</w:t>
      </w:r>
    </w:p>
    <w:p w14:paraId="1FD8B19E" w14:textId="77777777" w:rsidR="004F26E9" w:rsidRDefault="004F26E9">
      <w:pPr>
        <w:rPr>
          <w:sz w:val="24"/>
          <w:szCs w:val="24"/>
        </w:rPr>
      </w:pPr>
    </w:p>
    <w:p w14:paraId="5722CBFF" w14:textId="77777777" w:rsidR="000900CF" w:rsidRDefault="000900CF">
      <w:pPr>
        <w:rPr>
          <w:sz w:val="24"/>
          <w:szCs w:val="24"/>
        </w:rPr>
      </w:pPr>
    </w:p>
    <w:p w14:paraId="6CF8C80E" w14:textId="77777777" w:rsidR="004F26E9" w:rsidRDefault="004F26E9">
      <w:pPr>
        <w:rPr>
          <w:sz w:val="24"/>
          <w:szCs w:val="24"/>
        </w:rPr>
      </w:pPr>
      <w:r>
        <w:rPr>
          <w:b/>
          <w:bCs/>
          <w:sz w:val="24"/>
          <w:szCs w:val="24"/>
        </w:rPr>
        <w:t>B.  COLLECTIONS OF INFORMATION EMPLOYING STATISTICAL METHODS</w:t>
      </w:r>
    </w:p>
    <w:p w14:paraId="1F1FB9CC" w14:textId="77777777" w:rsidR="00E6654B" w:rsidRDefault="00E6654B" w:rsidP="00E6654B">
      <w:pPr>
        <w:pStyle w:val="Default"/>
        <w:rPr>
          <w:rFonts w:ascii="Times New Roman" w:hAnsi="Times New Roman"/>
          <w:szCs w:val="24"/>
        </w:rPr>
      </w:pPr>
    </w:p>
    <w:p w14:paraId="1F279291" w14:textId="77777777" w:rsidR="00E6654B" w:rsidRPr="00A03462" w:rsidRDefault="00E6654B" w:rsidP="00E6654B">
      <w:pPr>
        <w:pStyle w:val="Default"/>
        <w:rPr>
          <w:rFonts w:ascii="Times New Roman" w:hAnsi="Times New Roman"/>
          <w:szCs w:val="24"/>
        </w:rPr>
      </w:pPr>
      <w:r w:rsidRPr="00A03462">
        <w:rPr>
          <w:rFonts w:ascii="Times New Roman" w:hAnsi="Times New Roman"/>
          <w:szCs w:val="24"/>
        </w:rPr>
        <w:t xml:space="preserve">This collection does not employ statistical methods. </w:t>
      </w:r>
    </w:p>
    <w:sectPr w:rsidR="00E6654B" w:rsidRPr="00A03462">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2FD7A" w14:textId="77777777" w:rsidR="0028289C" w:rsidRDefault="0028289C">
      <w:r>
        <w:separator/>
      </w:r>
    </w:p>
  </w:endnote>
  <w:endnote w:type="continuationSeparator" w:id="0">
    <w:p w14:paraId="41D088A6" w14:textId="77777777" w:rsidR="0028289C" w:rsidRDefault="0028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5C495" w14:textId="77777777" w:rsidR="00324602" w:rsidRDefault="00324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F6C6" w14:textId="28A8B629" w:rsidR="003216D4" w:rsidRDefault="003216D4">
    <w:pPr>
      <w:pStyle w:val="Footer"/>
      <w:jc w:val="center"/>
    </w:pPr>
    <w:r>
      <w:fldChar w:fldCharType="begin"/>
    </w:r>
    <w:r>
      <w:instrText xml:space="preserve"> PAGE   \* MERGEFORMAT </w:instrText>
    </w:r>
    <w:r>
      <w:fldChar w:fldCharType="separate"/>
    </w:r>
    <w:r w:rsidR="00E27909">
      <w:rPr>
        <w:noProof/>
      </w:rPr>
      <w:t>1</w:t>
    </w:r>
    <w:r>
      <w:fldChar w:fldCharType="end"/>
    </w:r>
  </w:p>
  <w:p w14:paraId="20E7BF81" w14:textId="77777777" w:rsidR="003216D4" w:rsidRDefault="00321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FD6E1" w14:textId="77777777" w:rsidR="00324602" w:rsidRDefault="00324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70ECA" w14:textId="77777777" w:rsidR="0028289C" w:rsidRDefault="0028289C">
      <w:r>
        <w:separator/>
      </w:r>
    </w:p>
  </w:footnote>
  <w:footnote w:type="continuationSeparator" w:id="0">
    <w:p w14:paraId="60C091F1" w14:textId="77777777" w:rsidR="0028289C" w:rsidRDefault="00282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479E" w14:textId="77777777" w:rsidR="00324602" w:rsidRDefault="00324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5BEE9" w14:textId="77777777" w:rsidR="00324602" w:rsidRDefault="003246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1682" w14:textId="77777777" w:rsidR="00324602" w:rsidRDefault="00324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B1D17"/>
    <w:multiLevelType w:val="hybridMultilevel"/>
    <w:tmpl w:val="4A7A8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211EA"/>
    <w:multiLevelType w:val="hybridMultilevel"/>
    <w:tmpl w:val="7D6A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9264B5"/>
    <w:multiLevelType w:val="hybridMultilevel"/>
    <w:tmpl w:val="68DC49A2"/>
    <w:lvl w:ilvl="0" w:tplc="2298A9B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2C0"/>
    <w:rsid w:val="000034E5"/>
    <w:rsid w:val="00003B59"/>
    <w:rsid w:val="000042DB"/>
    <w:rsid w:val="00011D4E"/>
    <w:rsid w:val="000153B7"/>
    <w:rsid w:val="0001691F"/>
    <w:rsid w:val="0001753C"/>
    <w:rsid w:val="00025339"/>
    <w:rsid w:val="0002604F"/>
    <w:rsid w:val="000260E9"/>
    <w:rsid w:val="00031002"/>
    <w:rsid w:val="00034159"/>
    <w:rsid w:val="00040489"/>
    <w:rsid w:val="00041420"/>
    <w:rsid w:val="00042783"/>
    <w:rsid w:val="00043A24"/>
    <w:rsid w:val="00044DE2"/>
    <w:rsid w:val="00045A1B"/>
    <w:rsid w:val="00045EB2"/>
    <w:rsid w:val="000503FA"/>
    <w:rsid w:val="00051317"/>
    <w:rsid w:val="00053817"/>
    <w:rsid w:val="000545F4"/>
    <w:rsid w:val="00055166"/>
    <w:rsid w:val="00056DB5"/>
    <w:rsid w:val="0006005E"/>
    <w:rsid w:val="00060FC2"/>
    <w:rsid w:val="00062EE0"/>
    <w:rsid w:val="00066BF6"/>
    <w:rsid w:val="0007356F"/>
    <w:rsid w:val="000749A6"/>
    <w:rsid w:val="00077E1F"/>
    <w:rsid w:val="000801CB"/>
    <w:rsid w:val="00082547"/>
    <w:rsid w:val="000900CF"/>
    <w:rsid w:val="00090CCE"/>
    <w:rsid w:val="00096F86"/>
    <w:rsid w:val="0009744D"/>
    <w:rsid w:val="000A766E"/>
    <w:rsid w:val="000A7C4F"/>
    <w:rsid w:val="000B30FD"/>
    <w:rsid w:val="000B3BE8"/>
    <w:rsid w:val="000B6C0F"/>
    <w:rsid w:val="000B6EF5"/>
    <w:rsid w:val="000C33AC"/>
    <w:rsid w:val="000C5AC3"/>
    <w:rsid w:val="000D7A9B"/>
    <w:rsid w:val="000E3360"/>
    <w:rsid w:val="000E3442"/>
    <w:rsid w:val="000F0B7E"/>
    <w:rsid w:val="000F116F"/>
    <w:rsid w:val="000F1645"/>
    <w:rsid w:val="001059BA"/>
    <w:rsid w:val="00105A26"/>
    <w:rsid w:val="00106846"/>
    <w:rsid w:val="00107F5D"/>
    <w:rsid w:val="00112E20"/>
    <w:rsid w:val="0011414A"/>
    <w:rsid w:val="001152FE"/>
    <w:rsid w:val="001158EC"/>
    <w:rsid w:val="0012073B"/>
    <w:rsid w:val="00122051"/>
    <w:rsid w:val="001233F9"/>
    <w:rsid w:val="00125590"/>
    <w:rsid w:val="00127924"/>
    <w:rsid w:val="001316E9"/>
    <w:rsid w:val="00133D5C"/>
    <w:rsid w:val="0013406E"/>
    <w:rsid w:val="001340CF"/>
    <w:rsid w:val="00136EDF"/>
    <w:rsid w:val="00136F81"/>
    <w:rsid w:val="00137351"/>
    <w:rsid w:val="00153819"/>
    <w:rsid w:val="001601E3"/>
    <w:rsid w:val="00160D0B"/>
    <w:rsid w:val="00161508"/>
    <w:rsid w:val="00167441"/>
    <w:rsid w:val="00183721"/>
    <w:rsid w:val="00184D2C"/>
    <w:rsid w:val="0018501B"/>
    <w:rsid w:val="00186240"/>
    <w:rsid w:val="00190EFC"/>
    <w:rsid w:val="001925DF"/>
    <w:rsid w:val="001A431F"/>
    <w:rsid w:val="001A434A"/>
    <w:rsid w:val="001A68BE"/>
    <w:rsid w:val="001C0D30"/>
    <w:rsid w:val="001C37F9"/>
    <w:rsid w:val="001D3301"/>
    <w:rsid w:val="001D4693"/>
    <w:rsid w:val="001E3052"/>
    <w:rsid w:val="001E34B8"/>
    <w:rsid w:val="001E36EE"/>
    <w:rsid w:val="001E6F72"/>
    <w:rsid w:val="001F19F0"/>
    <w:rsid w:val="001F3EBB"/>
    <w:rsid w:val="001F428D"/>
    <w:rsid w:val="002024E6"/>
    <w:rsid w:val="00203DD4"/>
    <w:rsid w:val="0021080E"/>
    <w:rsid w:val="002153A0"/>
    <w:rsid w:val="002160CB"/>
    <w:rsid w:val="0022635C"/>
    <w:rsid w:val="002319B3"/>
    <w:rsid w:val="00237342"/>
    <w:rsid w:val="00247D7C"/>
    <w:rsid w:val="00253B36"/>
    <w:rsid w:val="002553F7"/>
    <w:rsid w:val="00255E9A"/>
    <w:rsid w:val="00264219"/>
    <w:rsid w:val="00267D47"/>
    <w:rsid w:val="00270FCE"/>
    <w:rsid w:val="0027112C"/>
    <w:rsid w:val="0027144B"/>
    <w:rsid w:val="00274FCB"/>
    <w:rsid w:val="002815F2"/>
    <w:rsid w:val="0028289C"/>
    <w:rsid w:val="00295557"/>
    <w:rsid w:val="00297735"/>
    <w:rsid w:val="002A271C"/>
    <w:rsid w:val="002B03FE"/>
    <w:rsid w:val="002B2177"/>
    <w:rsid w:val="002B27B0"/>
    <w:rsid w:val="002B3770"/>
    <w:rsid w:val="002B523D"/>
    <w:rsid w:val="002B595B"/>
    <w:rsid w:val="002C41E9"/>
    <w:rsid w:val="002C6158"/>
    <w:rsid w:val="002C7151"/>
    <w:rsid w:val="002D2A43"/>
    <w:rsid w:val="002D63C1"/>
    <w:rsid w:val="002E1917"/>
    <w:rsid w:val="002F1670"/>
    <w:rsid w:val="002F1C20"/>
    <w:rsid w:val="002F7FCC"/>
    <w:rsid w:val="00315C7E"/>
    <w:rsid w:val="003200F8"/>
    <w:rsid w:val="003216D4"/>
    <w:rsid w:val="00324602"/>
    <w:rsid w:val="00327165"/>
    <w:rsid w:val="003302DE"/>
    <w:rsid w:val="00331481"/>
    <w:rsid w:val="00332581"/>
    <w:rsid w:val="0035098B"/>
    <w:rsid w:val="00354D0C"/>
    <w:rsid w:val="00357CEF"/>
    <w:rsid w:val="00366D58"/>
    <w:rsid w:val="00374E59"/>
    <w:rsid w:val="003816E1"/>
    <w:rsid w:val="00383279"/>
    <w:rsid w:val="003847F1"/>
    <w:rsid w:val="00394169"/>
    <w:rsid w:val="003953D4"/>
    <w:rsid w:val="003971F2"/>
    <w:rsid w:val="003974D3"/>
    <w:rsid w:val="003A62F3"/>
    <w:rsid w:val="003A6FF0"/>
    <w:rsid w:val="003B1553"/>
    <w:rsid w:val="003B2468"/>
    <w:rsid w:val="003B3257"/>
    <w:rsid w:val="003B3FBE"/>
    <w:rsid w:val="003C0337"/>
    <w:rsid w:val="003C14C5"/>
    <w:rsid w:val="003D2336"/>
    <w:rsid w:val="003D621B"/>
    <w:rsid w:val="003E791D"/>
    <w:rsid w:val="003E7F56"/>
    <w:rsid w:val="003F5FB0"/>
    <w:rsid w:val="003F7A33"/>
    <w:rsid w:val="004007F0"/>
    <w:rsid w:val="00414CBE"/>
    <w:rsid w:val="0041684A"/>
    <w:rsid w:val="004237CA"/>
    <w:rsid w:val="00425D53"/>
    <w:rsid w:val="0042763E"/>
    <w:rsid w:val="0042798D"/>
    <w:rsid w:val="00434A37"/>
    <w:rsid w:val="00437D5C"/>
    <w:rsid w:val="00444299"/>
    <w:rsid w:val="00447883"/>
    <w:rsid w:val="00456AAB"/>
    <w:rsid w:val="00460CB8"/>
    <w:rsid w:val="00461EFA"/>
    <w:rsid w:val="00463182"/>
    <w:rsid w:val="004632C2"/>
    <w:rsid w:val="00463A24"/>
    <w:rsid w:val="00465745"/>
    <w:rsid w:val="00466DD3"/>
    <w:rsid w:val="00471861"/>
    <w:rsid w:val="0047272B"/>
    <w:rsid w:val="00485ECF"/>
    <w:rsid w:val="00486ABC"/>
    <w:rsid w:val="00494430"/>
    <w:rsid w:val="0049487C"/>
    <w:rsid w:val="004A2E90"/>
    <w:rsid w:val="004A380D"/>
    <w:rsid w:val="004A41BC"/>
    <w:rsid w:val="004A7DC8"/>
    <w:rsid w:val="004B6ADD"/>
    <w:rsid w:val="004C36DB"/>
    <w:rsid w:val="004C65BD"/>
    <w:rsid w:val="004D5675"/>
    <w:rsid w:val="004E2F7B"/>
    <w:rsid w:val="004F00AE"/>
    <w:rsid w:val="004F1478"/>
    <w:rsid w:val="004F26E9"/>
    <w:rsid w:val="004F333D"/>
    <w:rsid w:val="004F5008"/>
    <w:rsid w:val="004F56B3"/>
    <w:rsid w:val="00501F6C"/>
    <w:rsid w:val="00522C85"/>
    <w:rsid w:val="00532DD5"/>
    <w:rsid w:val="005362A6"/>
    <w:rsid w:val="00547C5F"/>
    <w:rsid w:val="00550EE3"/>
    <w:rsid w:val="00553509"/>
    <w:rsid w:val="005556CC"/>
    <w:rsid w:val="00562160"/>
    <w:rsid w:val="005632BB"/>
    <w:rsid w:val="00563A90"/>
    <w:rsid w:val="005707D9"/>
    <w:rsid w:val="00571A45"/>
    <w:rsid w:val="0057534F"/>
    <w:rsid w:val="00575D41"/>
    <w:rsid w:val="00576187"/>
    <w:rsid w:val="00577947"/>
    <w:rsid w:val="00582389"/>
    <w:rsid w:val="00582976"/>
    <w:rsid w:val="00585107"/>
    <w:rsid w:val="00593E22"/>
    <w:rsid w:val="005953D4"/>
    <w:rsid w:val="00595F0C"/>
    <w:rsid w:val="0059624C"/>
    <w:rsid w:val="005A1D57"/>
    <w:rsid w:val="005A3EFA"/>
    <w:rsid w:val="005B14E9"/>
    <w:rsid w:val="005B2C75"/>
    <w:rsid w:val="005B4345"/>
    <w:rsid w:val="005B76CC"/>
    <w:rsid w:val="005B7F70"/>
    <w:rsid w:val="005C1616"/>
    <w:rsid w:val="005C6FD6"/>
    <w:rsid w:val="005D0365"/>
    <w:rsid w:val="005D3675"/>
    <w:rsid w:val="005D42DD"/>
    <w:rsid w:val="005E152F"/>
    <w:rsid w:val="005E25A5"/>
    <w:rsid w:val="005E4FF0"/>
    <w:rsid w:val="005E6742"/>
    <w:rsid w:val="005F5737"/>
    <w:rsid w:val="005F62A8"/>
    <w:rsid w:val="005F6F98"/>
    <w:rsid w:val="0060153C"/>
    <w:rsid w:val="00602197"/>
    <w:rsid w:val="00612B32"/>
    <w:rsid w:val="00614A63"/>
    <w:rsid w:val="00617B7A"/>
    <w:rsid w:val="00620C42"/>
    <w:rsid w:val="00624187"/>
    <w:rsid w:val="006335E4"/>
    <w:rsid w:val="00640054"/>
    <w:rsid w:val="00640EA1"/>
    <w:rsid w:val="00643CCB"/>
    <w:rsid w:val="00645F12"/>
    <w:rsid w:val="0065176D"/>
    <w:rsid w:val="006572A8"/>
    <w:rsid w:val="00670C28"/>
    <w:rsid w:val="006829BB"/>
    <w:rsid w:val="00686143"/>
    <w:rsid w:val="00695D5B"/>
    <w:rsid w:val="00696912"/>
    <w:rsid w:val="006A429C"/>
    <w:rsid w:val="006A6F51"/>
    <w:rsid w:val="006A7B90"/>
    <w:rsid w:val="006B5345"/>
    <w:rsid w:val="006B70E0"/>
    <w:rsid w:val="006C0EF7"/>
    <w:rsid w:val="006C0F75"/>
    <w:rsid w:val="006C1C6F"/>
    <w:rsid w:val="006C47E8"/>
    <w:rsid w:val="006C6249"/>
    <w:rsid w:val="006D0B72"/>
    <w:rsid w:val="006D2AC0"/>
    <w:rsid w:val="006D3B4F"/>
    <w:rsid w:val="006E1D6A"/>
    <w:rsid w:val="006E2CE9"/>
    <w:rsid w:val="006E6065"/>
    <w:rsid w:val="006E7F38"/>
    <w:rsid w:val="006F2C70"/>
    <w:rsid w:val="006F40B8"/>
    <w:rsid w:val="006F49E3"/>
    <w:rsid w:val="007030A3"/>
    <w:rsid w:val="00703DEF"/>
    <w:rsid w:val="0070671A"/>
    <w:rsid w:val="00713A99"/>
    <w:rsid w:val="00713DCC"/>
    <w:rsid w:val="007169A7"/>
    <w:rsid w:val="00720FE0"/>
    <w:rsid w:val="007244F7"/>
    <w:rsid w:val="00725C5C"/>
    <w:rsid w:val="0073334E"/>
    <w:rsid w:val="0073654E"/>
    <w:rsid w:val="0075030C"/>
    <w:rsid w:val="00751816"/>
    <w:rsid w:val="00753EB2"/>
    <w:rsid w:val="00755FFF"/>
    <w:rsid w:val="007601FD"/>
    <w:rsid w:val="0076405B"/>
    <w:rsid w:val="007643B1"/>
    <w:rsid w:val="0076574C"/>
    <w:rsid w:val="00766DE6"/>
    <w:rsid w:val="007724D8"/>
    <w:rsid w:val="00772F65"/>
    <w:rsid w:val="00776DF2"/>
    <w:rsid w:val="007772DD"/>
    <w:rsid w:val="00781838"/>
    <w:rsid w:val="00785878"/>
    <w:rsid w:val="007925C7"/>
    <w:rsid w:val="0079423B"/>
    <w:rsid w:val="00796CB1"/>
    <w:rsid w:val="007A07D5"/>
    <w:rsid w:val="007A0951"/>
    <w:rsid w:val="007A0C3C"/>
    <w:rsid w:val="007A18C4"/>
    <w:rsid w:val="007A1A85"/>
    <w:rsid w:val="007A4C6D"/>
    <w:rsid w:val="007A5DB5"/>
    <w:rsid w:val="007A79E7"/>
    <w:rsid w:val="007B2C20"/>
    <w:rsid w:val="007B2E85"/>
    <w:rsid w:val="007B7775"/>
    <w:rsid w:val="007C71D5"/>
    <w:rsid w:val="007D1509"/>
    <w:rsid w:val="007D5FD4"/>
    <w:rsid w:val="007E02B5"/>
    <w:rsid w:val="007E10F8"/>
    <w:rsid w:val="007E387F"/>
    <w:rsid w:val="007E6D6E"/>
    <w:rsid w:val="008101B4"/>
    <w:rsid w:val="008105E3"/>
    <w:rsid w:val="0081177D"/>
    <w:rsid w:val="00813547"/>
    <w:rsid w:val="00813B09"/>
    <w:rsid w:val="0081408F"/>
    <w:rsid w:val="00816E9B"/>
    <w:rsid w:val="00821200"/>
    <w:rsid w:val="00821DEF"/>
    <w:rsid w:val="00821EE5"/>
    <w:rsid w:val="00822FBF"/>
    <w:rsid w:val="00823A73"/>
    <w:rsid w:val="008310D1"/>
    <w:rsid w:val="00831D74"/>
    <w:rsid w:val="00834C73"/>
    <w:rsid w:val="00843F84"/>
    <w:rsid w:val="00857F24"/>
    <w:rsid w:val="00862852"/>
    <w:rsid w:val="00862A69"/>
    <w:rsid w:val="008708BF"/>
    <w:rsid w:val="0088349A"/>
    <w:rsid w:val="00886314"/>
    <w:rsid w:val="008B4F86"/>
    <w:rsid w:val="008C7554"/>
    <w:rsid w:val="008D1304"/>
    <w:rsid w:val="008D1992"/>
    <w:rsid w:val="008D5C4B"/>
    <w:rsid w:val="008E4439"/>
    <w:rsid w:val="008E5C6F"/>
    <w:rsid w:val="008E5DB8"/>
    <w:rsid w:val="008E77C4"/>
    <w:rsid w:val="008F113A"/>
    <w:rsid w:val="008F38F1"/>
    <w:rsid w:val="008F3D91"/>
    <w:rsid w:val="008F4783"/>
    <w:rsid w:val="00900F8E"/>
    <w:rsid w:val="0090123E"/>
    <w:rsid w:val="009046B6"/>
    <w:rsid w:val="009062C4"/>
    <w:rsid w:val="00913F6A"/>
    <w:rsid w:val="00926025"/>
    <w:rsid w:val="009263D4"/>
    <w:rsid w:val="00930C07"/>
    <w:rsid w:val="00931D10"/>
    <w:rsid w:val="00935077"/>
    <w:rsid w:val="00937D12"/>
    <w:rsid w:val="00943FE9"/>
    <w:rsid w:val="00946F89"/>
    <w:rsid w:val="00952314"/>
    <w:rsid w:val="00953730"/>
    <w:rsid w:val="009546AD"/>
    <w:rsid w:val="00963AC6"/>
    <w:rsid w:val="00965E62"/>
    <w:rsid w:val="00966D01"/>
    <w:rsid w:val="00974D30"/>
    <w:rsid w:val="00977C45"/>
    <w:rsid w:val="00980FB9"/>
    <w:rsid w:val="00981392"/>
    <w:rsid w:val="00981636"/>
    <w:rsid w:val="00981FE3"/>
    <w:rsid w:val="009823F8"/>
    <w:rsid w:val="00986611"/>
    <w:rsid w:val="00987578"/>
    <w:rsid w:val="009903BB"/>
    <w:rsid w:val="00990D59"/>
    <w:rsid w:val="00992768"/>
    <w:rsid w:val="00994324"/>
    <w:rsid w:val="00995322"/>
    <w:rsid w:val="009964AD"/>
    <w:rsid w:val="0099713C"/>
    <w:rsid w:val="00997685"/>
    <w:rsid w:val="009A0C11"/>
    <w:rsid w:val="009A2085"/>
    <w:rsid w:val="009A2ED2"/>
    <w:rsid w:val="009A4C78"/>
    <w:rsid w:val="009B23C8"/>
    <w:rsid w:val="009B4CEA"/>
    <w:rsid w:val="009C7AD5"/>
    <w:rsid w:val="009D3BE1"/>
    <w:rsid w:val="009E29D8"/>
    <w:rsid w:val="009E43A3"/>
    <w:rsid w:val="009E5132"/>
    <w:rsid w:val="009E5BA5"/>
    <w:rsid w:val="009E7219"/>
    <w:rsid w:val="009F134D"/>
    <w:rsid w:val="009F2D91"/>
    <w:rsid w:val="009F7F7C"/>
    <w:rsid w:val="00A139B4"/>
    <w:rsid w:val="00A14FE4"/>
    <w:rsid w:val="00A23A20"/>
    <w:rsid w:val="00A25145"/>
    <w:rsid w:val="00A31152"/>
    <w:rsid w:val="00A3689C"/>
    <w:rsid w:val="00A36965"/>
    <w:rsid w:val="00A40A31"/>
    <w:rsid w:val="00A40A32"/>
    <w:rsid w:val="00A41830"/>
    <w:rsid w:val="00A51C01"/>
    <w:rsid w:val="00A52249"/>
    <w:rsid w:val="00A53E0E"/>
    <w:rsid w:val="00A57C2D"/>
    <w:rsid w:val="00A61C7C"/>
    <w:rsid w:val="00A657F2"/>
    <w:rsid w:val="00A657F3"/>
    <w:rsid w:val="00A65B5B"/>
    <w:rsid w:val="00A728DF"/>
    <w:rsid w:val="00A7524D"/>
    <w:rsid w:val="00A815A7"/>
    <w:rsid w:val="00A91D34"/>
    <w:rsid w:val="00A92A19"/>
    <w:rsid w:val="00A9315E"/>
    <w:rsid w:val="00A94F91"/>
    <w:rsid w:val="00A95B8F"/>
    <w:rsid w:val="00A971DF"/>
    <w:rsid w:val="00AA0171"/>
    <w:rsid w:val="00AA167F"/>
    <w:rsid w:val="00AA20D4"/>
    <w:rsid w:val="00AA4ADE"/>
    <w:rsid w:val="00AB30C5"/>
    <w:rsid w:val="00AC08C2"/>
    <w:rsid w:val="00AC6D5F"/>
    <w:rsid w:val="00AD0810"/>
    <w:rsid w:val="00AD3FC3"/>
    <w:rsid w:val="00AD532E"/>
    <w:rsid w:val="00AF4F75"/>
    <w:rsid w:val="00B00951"/>
    <w:rsid w:val="00B01715"/>
    <w:rsid w:val="00B074E5"/>
    <w:rsid w:val="00B22613"/>
    <w:rsid w:val="00B23AFF"/>
    <w:rsid w:val="00B3080F"/>
    <w:rsid w:val="00B3086F"/>
    <w:rsid w:val="00B315AE"/>
    <w:rsid w:val="00B3407D"/>
    <w:rsid w:val="00B36DE0"/>
    <w:rsid w:val="00B423D9"/>
    <w:rsid w:val="00B44864"/>
    <w:rsid w:val="00B45418"/>
    <w:rsid w:val="00B5267F"/>
    <w:rsid w:val="00B55E40"/>
    <w:rsid w:val="00B6102C"/>
    <w:rsid w:val="00B6597B"/>
    <w:rsid w:val="00B67819"/>
    <w:rsid w:val="00B75607"/>
    <w:rsid w:val="00B76B31"/>
    <w:rsid w:val="00B818CB"/>
    <w:rsid w:val="00B90358"/>
    <w:rsid w:val="00B92164"/>
    <w:rsid w:val="00B94E53"/>
    <w:rsid w:val="00B966BE"/>
    <w:rsid w:val="00BA2C99"/>
    <w:rsid w:val="00BA3E67"/>
    <w:rsid w:val="00BA4028"/>
    <w:rsid w:val="00BB03A9"/>
    <w:rsid w:val="00BB44F8"/>
    <w:rsid w:val="00BB5B1D"/>
    <w:rsid w:val="00BC064B"/>
    <w:rsid w:val="00BC142F"/>
    <w:rsid w:val="00BC2810"/>
    <w:rsid w:val="00BC581C"/>
    <w:rsid w:val="00BC647D"/>
    <w:rsid w:val="00BC7AB9"/>
    <w:rsid w:val="00BD5923"/>
    <w:rsid w:val="00BD6094"/>
    <w:rsid w:val="00BE21C6"/>
    <w:rsid w:val="00BE39FA"/>
    <w:rsid w:val="00BE4327"/>
    <w:rsid w:val="00BF578B"/>
    <w:rsid w:val="00C02003"/>
    <w:rsid w:val="00C0378E"/>
    <w:rsid w:val="00C11226"/>
    <w:rsid w:val="00C22579"/>
    <w:rsid w:val="00C4385B"/>
    <w:rsid w:val="00C60113"/>
    <w:rsid w:val="00C6674A"/>
    <w:rsid w:val="00C67B68"/>
    <w:rsid w:val="00C75C99"/>
    <w:rsid w:val="00C81FCA"/>
    <w:rsid w:val="00C83EC9"/>
    <w:rsid w:val="00C86BE6"/>
    <w:rsid w:val="00C875C2"/>
    <w:rsid w:val="00C87FDA"/>
    <w:rsid w:val="00C962DD"/>
    <w:rsid w:val="00C966FD"/>
    <w:rsid w:val="00C9775F"/>
    <w:rsid w:val="00CA038B"/>
    <w:rsid w:val="00CB26A1"/>
    <w:rsid w:val="00CB4AB5"/>
    <w:rsid w:val="00CB5680"/>
    <w:rsid w:val="00CB633B"/>
    <w:rsid w:val="00CB6696"/>
    <w:rsid w:val="00CB7FC4"/>
    <w:rsid w:val="00CC3CA2"/>
    <w:rsid w:val="00CC411C"/>
    <w:rsid w:val="00CD0381"/>
    <w:rsid w:val="00CD2150"/>
    <w:rsid w:val="00CD2582"/>
    <w:rsid w:val="00CE1E61"/>
    <w:rsid w:val="00CE4514"/>
    <w:rsid w:val="00CF1A3A"/>
    <w:rsid w:val="00CF1A40"/>
    <w:rsid w:val="00CF3E48"/>
    <w:rsid w:val="00CF6EA3"/>
    <w:rsid w:val="00D02B86"/>
    <w:rsid w:val="00D03E25"/>
    <w:rsid w:val="00D06877"/>
    <w:rsid w:val="00D06EC9"/>
    <w:rsid w:val="00D116BD"/>
    <w:rsid w:val="00D11EB7"/>
    <w:rsid w:val="00D13C56"/>
    <w:rsid w:val="00D160E6"/>
    <w:rsid w:val="00D171F1"/>
    <w:rsid w:val="00D210E1"/>
    <w:rsid w:val="00D24063"/>
    <w:rsid w:val="00D34156"/>
    <w:rsid w:val="00D4253A"/>
    <w:rsid w:val="00D4677B"/>
    <w:rsid w:val="00D46F8B"/>
    <w:rsid w:val="00D5001F"/>
    <w:rsid w:val="00D50D15"/>
    <w:rsid w:val="00D52D00"/>
    <w:rsid w:val="00D54333"/>
    <w:rsid w:val="00D572A4"/>
    <w:rsid w:val="00D62965"/>
    <w:rsid w:val="00D700E4"/>
    <w:rsid w:val="00D713BA"/>
    <w:rsid w:val="00D7397F"/>
    <w:rsid w:val="00D73AC4"/>
    <w:rsid w:val="00D74892"/>
    <w:rsid w:val="00D75C10"/>
    <w:rsid w:val="00D76D9B"/>
    <w:rsid w:val="00D82BA0"/>
    <w:rsid w:val="00D83019"/>
    <w:rsid w:val="00D9579F"/>
    <w:rsid w:val="00DA4953"/>
    <w:rsid w:val="00DB4C4E"/>
    <w:rsid w:val="00DB5AE0"/>
    <w:rsid w:val="00DC02BE"/>
    <w:rsid w:val="00DC2796"/>
    <w:rsid w:val="00DC5D40"/>
    <w:rsid w:val="00DD7739"/>
    <w:rsid w:val="00DE3E10"/>
    <w:rsid w:val="00DE4CA1"/>
    <w:rsid w:val="00DE550B"/>
    <w:rsid w:val="00DF0219"/>
    <w:rsid w:val="00DF0608"/>
    <w:rsid w:val="00DF06BA"/>
    <w:rsid w:val="00DF5F32"/>
    <w:rsid w:val="00DF7EA6"/>
    <w:rsid w:val="00E00DE9"/>
    <w:rsid w:val="00E05AA2"/>
    <w:rsid w:val="00E11726"/>
    <w:rsid w:val="00E14643"/>
    <w:rsid w:val="00E166E6"/>
    <w:rsid w:val="00E2017C"/>
    <w:rsid w:val="00E21574"/>
    <w:rsid w:val="00E23456"/>
    <w:rsid w:val="00E27909"/>
    <w:rsid w:val="00E3010B"/>
    <w:rsid w:val="00E3021E"/>
    <w:rsid w:val="00E30712"/>
    <w:rsid w:val="00E33B5A"/>
    <w:rsid w:val="00E40275"/>
    <w:rsid w:val="00E43532"/>
    <w:rsid w:val="00E45187"/>
    <w:rsid w:val="00E527E4"/>
    <w:rsid w:val="00E62FC4"/>
    <w:rsid w:val="00E641F3"/>
    <w:rsid w:val="00E6654B"/>
    <w:rsid w:val="00E724CC"/>
    <w:rsid w:val="00E72812"/>
    <w:rsid w:val="00E72DF2"/>
    <w:rsid w:val="00E730AB"/>
    <w:rsid w:val="00E749D2"/>
    <w:rsid w:val="00E82C6F"/>
    <w:rsid w:val="00E84D96"/>
    <w:rsid w:val="00E879C5"/>
    <w:rsid w:val="00E90466"/>
    <w:rsid w:val="00E929B3"/>
    <w:rsid w:val="00E95C20"/>
    <w:rsid w:val="00E96BCF"/>
    <w:rsid w:val="00EA5A4B"/>
    <w:rsid w:val="00EB20C8"/>
    <w:rsid w:val="00EB3F87"/>
    <w:rsid w:val="00EC084B"/>
    <w:rsid w:val="00EC4C86"/>
    <w:rsid w:val="00ED2EB8"/>
    <w:rsid w:val="00EE24F7"/>
    <w:rsid w:val="00EE6A36"/>
    <w:rsid w:val="00EF041E"/>
    <w:rsid w:val="00EF45C3"/>
    <w:rsid w:val="00F009CB"/>
    <w:rsid w:val="00F012F8"/>
    <w:rsid w:val="00F1082A"/>
    <w:rsid w:val="00F15A1B"/>
    <w:rsid w:val="00F1623A"/>
    <w:rsid w:val="00F16BFA"/>
    <w:rsid w:val="00F207CC"/>
    <w:rsid w:val="00F26BC2"/>
    <w:rsid w:val="00F33867"/>
    <w:rsid w:val="00F414F6"/>
    <w:rsid w:val="00F4203B"/>
    <w:rsid w:val="00F456E9"/>
    <w:rsid w:val="00F5072A"/>
    <w:rsid w:val="00F5180A"/>
    <w:rsid w:val="00F519F7"/>
    <w:rsid w:val="00F54C5A"/>
    <w:rsid w:val="00F55948"/>
    <w:rsid w:val="00F618F0"/>
    <w:rsid w:val="00F625F4"/>
    <w:rsid w:val="00F63FED"/>
    <w:rsid w:val="00F6416B"/>
    <w:rsid w:val="00F65A8B"/>
    <w:rsid w:val="00F66D2B"/>
    <w:rsid w:val="00F71C26"/>
    <w:rsid w:val="00F72E74"/>
    <w:rsid w:val="00F74B09"/>
    <w:rsid w:val="00F76A17"/>
    <w:rsid w:val="00F80B68"/>
    <w:rsid w:val="00F82851"/>
    <w:rsid w:val="00F85B88"/>
    <w:rsid w:val="00F86618"/>
    <w:rsid w:val="00F931A1"/>
    <w:rsid w:val="00F9343F"/>
    <w:rsid w:val="00F9751D"/>
    <w:rsid w:val="00FA11D8"/>
    <w:rsid w:val="00FA2048"/>
    <w:rsid w:val="00FA2E05"/>
    <w:rsid w:val="00FB003C"/>
    <w:rsid w:val="00FB316F"/>
    <w:rsid w:val="00FB34DC"/>
    <w:rsid w:val="00FB3783"/>
    <w:rsid w:val="00FB38F0"/>
    <w:rsid w:val="00FB7FA4"/>
    <w:rsid w:val="00FD06CF"/>
    <w:rsid w:val="00FD784E"/>
    <w:rsid w:val="00FE0C5B"/>
    <w:rsid w:val="00FE13CE"/>
    <w:rsid w:val="00FF0669"/>
    <w:rsid w:val="00FF2FBF"/>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55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21080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A2E90"/>
    <w:pPr>
      <w:keepNext/>
      <w:widowControl/>
      <w:autoSpaceDE/>
      <w:autoSpaceDN/>
      <w:adjustRightInd/>
      <w:spacing w:line="480" w:lineRule="auto"/>
      <w:outlineLvl w:val="3"/>
    </w:pPr>
    <w:rPr>
      <w:rFonts w:ascii="Courier New" w:hAnsi="Courier New"/>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110">
    <w:name w:val="CM110"/>
    <w:basedOn w:val="Normal"/>
    <w:next w:val="Normal"/>
    <w:rsid w:val="004A2E90"/>
    <w:pPr>
      <w:spacing w:after="295"/>
    </w:pPr>
    <w:rPr>
      <w:rFonts w:ascii="Arial" w:hAnsi="Arial"/>
      <w:sz w:val="24"/>
    </w:rPr>
  </w:style>
  <w:style w:type="character" w:styleId="Hyperlink">
    <w:name w:val="Hyperlink"/>
    <w:rsid w:val="004A2E90"/>
    <w:rPr>
      <w:color w:val="0000FF"/>
      <w:u w:val="single"/>
    </w:rPr>
  </w:style>
  <w:style w:type="character" w:customStyle="1" w:styleId="FooterChar">
    <w:name w:val="Footer Char"/>
    <w:link w:val="Footer"/>
    <w:locked/>
    <w:rsid w:val="004A2E90"/>
    <w:rPr>
      <w:lang w:val="en-US" w:eastAsia="en-US" w:bidi="ar-SA"/>
    </w:rPr>
  </w:style>
  <w:style w:type="paragraph" w:styleId="BalloonText">
    <w:name w:val="Balloon Text"/>
    <w:basedOn w:val="Normal"/>
    <w:semiHidden/>
    <w:rsid w:val="004A2E90"/>
    <w:rPr>
      <w:rFonts w:ascii="Tahoma" w:hAnsi="Tahoma" w:cs="Tahoma"/>
      <w:sz w:val="16"/>
      <w:szCs w:val="16"/>
    </w:rPr>
  </w:style>
  <w:style w:type="paragraph" w:customStyle="1" w:styleId="Default">
    <w:name w:val="Default"/>
    <w:rsid w:val="00B6597B"/>
    <w:pPr>
      <w:widowControl w:val="0"/>
      <w:autoSpaceDE w:val="0"/>
      <w:autoSpaceDN w:val="0"/>
      <w:adjustRightInd w:val="0"/>
    </w:pPr>
    <w:rPr>
      <w:rFonts w:ascii="Arial" w:hAnsi="Arial"/>
      <w:color w:val="000000"/>
      <w:sz w:val="24"/>
    </w:rPr>
  </w:style>
  <w:style w:type="paragraph" w:customStyle="1" w:styleId="CM105">
    <w:name w:val="CM105"/>
    <w:basedOn w:val="Default"/>
    <w:next w:val="Default"/>
    <w:rsid w:val="00B5267F"/>
    <w:pPr>
      <w:spacing w:after="460"/>
    </w:pPr>
    <w:rPr>
      <w:color w:val="auto"/>
    </w:rPr>
  </w:style>
  <w:style w:type="character" w:styleId="CommentReference">
    <w:name w:val="annotation reference"/>
    <w:uiPriority w:val="99"/>
    <w:rsid w:val="005D42DD"/>
    <w:rPr>
      <w:sz w:val="16"/>
      <w:szCs w:val="16"/>
    </w:rPr>
  </w:style>
  <w:style w:type="paragraph" w:styleId="CommentText">
    <w:name w:val="annotation text"/>
    <w:basedOn w:val="Normal"/>
    <w:link w:val="CommentTextChar"/>
    <w:uiPriority w:val="99"/>
    <w:rsid w:val="005D42DD"/>
  </w:style>
  <w:style w:type="character" w:customStyle="1" w:styleId="CommentTextChar">
    <w:name w:val="Comment Text Char"/>
    <w:basedOn w:val="DefaultParagraphFont"/>
    <w:link w:val="CommentText"/>
    <w:uiPriority w:val="99"/>
    <w:rsid w:val="005D42DD"/>
  </w:style>
  <w:style w:type="paragraph" w:styleId="CommentSubject">
    <w:name w:val="annotation subject"/>
    <w:basedOn w:val="CommentText"/>
    <w:next w:val="CommentText"/>
    <w:link w:val="CommentSubjectChar"/>
    <w:rsid w:val="005D42DD"/>
    <w:rPr>
      <w:b/>
      <w:bCs/>
      <w:lang w:val="x-none" w:eastAsia="x-none"/>
    </w:rPr>
  </w:style>
  <w:style w:type="character" w:customStyle="1" w:styleId="CommentSubjectChar">
    <w:name w:val="Comment Subject Char"/>
    <w:link w:val="CommentSubject"/>
    <w:rsid w:val="005D42DD"/>
    <w:rPr>
      <w:b/>
      <w:bCs/>
    </w:rPr>
  </w:style>
  <w:style w:type="character" w:styleId="FollowedHyperlink">
    <w:name w:val="FollowedHyperlink"/>
    <w:rsid w:val="000034E5"/>
    <w:rPr>
      <w:color w:val="800080"/>
      <w:u w:val="single"/>
    </w:rPr>
  </w:style>
  <w:style w:type="paragraph" w:styleId="NormalWeb">
    <w:name w:val="Normal (Web)"/>
    <w:basedOn w:val="Normal"/>
    <w:uiPriority w:val="99"/>
    <w:unhideWhenUsed/>
    <w:rsid w:val="00F33867"/>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rsid w:val="001A431F"/>
    <w:pPr>
      <w:widowControl/>
      <w:autoSpaceDE/>
      <w:autoSpaceDN/>
      <w:adjustRightInd/>
    </w:pPr>
    <w:rPr>
      <w:rFonts w:ascii="Cambria" w:eastAsia="Cambria" w:hAnsi="Cambria"/>
    </w:rPr>
  </w:style>
  <w:style w:type="character" w:customStyle="1" w:styleId="FootnoteTextChar">
    <w:name w:val="Footnote Text Char"/>
    <w:link w:val="FootnoteText"/>
    <w:uiPriority w:val="99"/>
    <w:rsid w:val="001A431F"/>
    <w:rPr>
      <w:rFonts w:ascii="Cambria" w:eastAsia="Cambria" w:hAnsi="Cambria"/>
    </w:rPr>
  </w:style>
  <w:style w:type="character" w:styleId="FootnoteReference">
    <w:name w:val="footnote reference"/>
    <w:uiPriority w:val="99"/>
    <w:rsid w:val="001A431F"/>
    <w:rPr>
      <w:vertAlign w:val="superscript"/>
    </w:rPr>
  </w:style>
  <w:style w:type="paragraph" w:customStyle="1" w:styleId="StyleHeading1TimesNewRoman12pt">
    <w:name w:val="Style Heading 1 + Times New Roman 12 pt"/>
    <w:basedOn w:val="Heading1"/>
    <w:autoRedefine/>
    <w:rsid w:val="0021080E"/>
    <w:pPr>
      <w:widowControl/>
      <w:tabs>
        <w:tab w:val="right" w:pos="8640"/>
      </w:tabs>
      <w:autoSpaceDE/>
      <w:autoSpaceDN/>
      <w:adjustRightInd/>
      <w:spacing w:before="0" w:after="0"/>
      <w:jc w:val="center"/>
    </w:pPr>
    <w:rPr>
      <w:rFonts w:ascii="Times New Roman" w:hAnsi="Times New Roman" w:cs="Arial"/>
      <w:b w:val="0"/>
      <w:caps/>
      <w:sz w:val="24"/>
      <w:szCs w:val="24"/>
    </w:rPr>
  </w:style>
  <w:style w:type="paragraph" w:styleId="ListParagraph">
    <w:name w:val="List Paragraph"/>
    <w:basedOn w:val="Normal"/>
    <w:uiPriority w:val="34"/>
    <w:qFormat/>
    <w:rsid w:val="0021080E"/>
    <w:pPr>
      <w:widowControl/>
      <w:autoSpaceDE/>
      <w:autoSpaceDN/>
      <w:adjustRightInd/>
      <w:ind w:left="720"/>
      <w:contextualSpacing/>
    </w:pPr>
    <w:rPr>
      <w:rFonts w:ascii="Cambria" w:eastAsia="Cambria" w:hAnsi="Cambria"/>
      <w:sz w:val="24"/>
      <w:szCs w:val="24"/>
    </w:rPr>
  </w:style>
  <w:style w:type="character" w:customStyle="1" w:styleId="Heading1Char">
    <w:name w:val="Heading 1 Char"/>
    <w:link w:val="Heading1"/>
    <w:rsid w:val="0021080E"/>
    <w:rPr>
      <w:rFonts w:ascii="Cambria" w:eastAsia="Times New Roman" w:hAnsi="Cambria" w:cs="Times New Roman"/>
      <w:b/>
      <w:bCs/>
      <w:kern w:val="32"/>
      <w:sz w:val="32"/>
      <w:szCs w:val="32"/>
    </w:rPr>
  </w:style>
  <w:style w:type="table" w:styleId="TableGrid">
    <w:name w:val="Table Grid"/>
    <w:basedOn w:val="TableNormal"/>
    <w:rsid w:val="00D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3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21080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A2E90"/>
    <w:pPr>
      <w:keepNext/>
      <w:widowControl/>
      <w:autoSpaceDE/>
      <w:autoSpaceDN/>
      <w:adjustRightInd/>
      <w:spacing w:line="480" w:lineRule="auto"/>
      <w:outlineLvl w:val="3"/>
    </w:pPr>
    <w:rPr>
      <w:rFonts w:ascii="Courier New" w:hAnsi="Courier New"/>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110">
    <w:name w:val="CM110"/>
    <w:basedOn w:val="Normal"/>
    <w:next w:val="Normal"/>
    <w:rsid w:val="004A2E90"/>
    <w:pPr>
      <w:spacing w:after="295"/>
    </w:pPr>
    <w:rPr>
      <w:rFonts w:ascii="Arial" w:hAnsi="Arial"/>
      <w:sz w:val="24"/>
    </w:rPr>
  </w:style>
  <w:style w:type="character" w:styleId="Hyperlink">
    <w:name w:val="Hyperlink"/>
    <w:rsid w:val="004A2E90"/>
    <w:rPr>
      <w:color w:val="0000FF"/>
      <w:u w:val="single"/>
    </w:rPr>
  </w:style>
  <w:style w:type="character" w:customStyle="1" w:styleId="FooterChar">
    <w:name w:val="Footer Char"/>
    <w:link w:val="Footer"/>
    <w:locked/>
    <w:rsid w:val="004A2E90"/>
    <w:rPr>
      <w:lang w:val="en-US" w:eastAsia="en-US" w:bidi="ar-SA"/>
    </w:rPr>
  </w:style>
  <w:style w:type="paragraph" w:styleId="BalloonText">
    <w:name w:val="Balloon Text"/>
    <w:basedOn w:val="Normal"/>
    <w:semiHidden/>
    <w:rsid w:val="004A2E90"/>
    <w:rPr>
      <w:rFonts w:ascii="Tahoma" w:hAnsi="Tahoma" w:cs="Tahoma"/>
      <w:sz w:val="16"/>
      <w:szCs w:val="16"/>
    </w:rPr>
  </w:style>
  <w:style w:type="paragraph" w:customStyle="1" w:styleId="Default">
    <w:name w:val="Default"/>
    <w:rsid w:val="00B6597B"/>
    <w:pPr>
      <w:widowControl w:val="0"/>
      <w:autoSpaceDE w:val="0"/>
      <w:autoSpaceDN w:val="0"/>
      <w:adjustRightInd w:val="0"/>
    </w:pPr>
    <w:rPr>
      <w:rFonts w:ascii="Arial" w:hAnsi="Arial"/>
      <w:color w:val="000000"/>
      <w:sz w:val="24"/>
    </w:rPr>
  </w:style>
  <w:style w:type="paragraph" w:customStyle="1" w:styleId="CM105">
    <w:name w:val="CM105"/>
    <w:basedOn w:val="Default"/>
    <w:next w:val="Default"/>
    <w:rsid w:val="00B5267F"/>
    <w:pPr>
      <w:spacing w:after="460"/>
    </w:pPr>
    <w:rPr>
      <w:color w:val="auto"/>
    </w:rPr>
  </w:style>
  <w:style w:type="character" w:styleId="CommentReference">
    <w:name w:val="annotation reference"/>
    <w:uiPriority w:val="99"/>
    <w:rsid w:val="005D42DD"/>
    <w:rPr>
      <w:sz w:val="16"/>
      <w:szCs w:val="16"/>
    </w:rPr>
  </w:style>
  <w:style w:type="paragraph" w:styleId="CommentText">
    <w:name w:val="annotation text"/>
    <w:basedOn w:val="Normal"/>
    <w:link w:val="CommentTextChar"/>
    <w:uiPriority w:val="99"/>
    <w:rsid w:val="005D42DD"/>
  </w:style>
  <w:style w:type="character" w:customStyle="1" w:styleId="CommentTextChar">
    <w:name w:val="Comment Text Char"/>
    <w:basedOn w:val="DefaultParagraphFont"/>
    <w:link w:val="CommentText"/>
    <w:uiPriority w:val="99"/>
    <w:rsid w:val="005D42DD"/>
  </w:style>
  <w:style w:type="paragraph" w:styleId="CommentSubject">
    <w:name w:val="annotation subject"/>
    <w:basedOn w:val="CommentText"/>
    <w:next w:val="CommentText"/>
    <w:link w:val="CommentSubjectChar"/>
    <w:rsid w:val="005D42DD"/>
    <w:rPr>
      <w:b/>
      <w:bCs/>
      <w:lang w:val="x-none" w:eastAsia="x-none"/>
    </w:rPr>
  </w:style>
  <w:style w:type="character" w:customStyle="1" w:styleId="CommentSubjectChar">
    <w:name w:val="Comment Subject Char"/>
    <w:link w:val="CommentSubject"/>
    <w:rsid w:val="005D42DD"/>
    <w:rPr>
      <w:b/>
      <w:bCs/>
    </w:rPr>
  </w:style>
  <w:style w:type="character" w:styleId="FollowedHyperlink">
    <w:name w:val="FollowedHyperlink"/>
    <w:rsid w:val="000034E5"/>
    <w:rPr>
      <w:color w:val="800080"/>
      <w:u w:val="single"/>
    </w:rPr>
  </w:style>
  <w:style w:type="paragraph" w:styleId="NormalWeb">
    <w:name w:val="Normal (Web)"/>
    <w:basedOn w:val="Normal"/>
    <w:uiPriority w:val="99"/>
    <w:unhideWhenUsed/>
    <w:rsid w:val="00F33867"/>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rsid w:val="001A431F"/>
    <w:pPr>
      <w:widowControl/>
      <w:autoSpaceDE/>
      <w:autoSpaceDN/>
      <w:adjustRightInd/>
    </w:pPr>
    <w:rPr>
      <w:rFonts w:ascii="Cambria" w:eastAsia="Cambria" w:hAnsi="Cambria"/>
    </w:rPr>
  </w:style>
  <w:style w:type="character" w:customStyle="1" w:styleId="FootnoteTextChar">
    <w:name w:val="Footnote Text Char"/>
    <w:link w:val="FootnoteText"/>
    <w:uiPriority w:val="99"/>
    <w:rsid w:val="001A431F"/>
    <w:rPr>
      <w:rFonts w:ascii="Cambria" w:eastAsia="Cambria" w:hAnsi="Cambria"/>
    </w:rPr>
  </w:style>
  <w:style w:type="character" w:styleId="FootnoteReference">
    <w:name w:val="footnote reference"/>
    <w:uiPriority w:val="99"/>
    <w:rsid w:val="001A431F"/>
    <w:rPr>
      <w:vertAlign w:val="superscript"/>
    </w:rPr>
  </w:style>
  <w:style w:type="paragraph" w:customStyle="1" w:styleId="StyleHeading1TimesNewRoman12pt">
    <w:name w:val="Style Heading 1 + Times New Roman 12 pt"/>
    <w:basedOn w:val="Heading1"/>
    <w:autoRedefine/>
    <w:rsid w:val="0021080E"/>
    <w:pPr>
      <w:widowControl/>
      <w:tabs>
        <w:tab w:val="right" w:pos="8640"/>
      </w:tabs>
      <w:autoSpaceDE/>
      <w:autoSpaceDN/>
      <w:adjustRightInd/>
      <w:spacing w:before="0" w:after="0"/>
      <w:jc w:val="center"/>
    </w:pPr>
    <w:rPr>
      <w:rFonts w:ascii="Times New Roman" w:hAnsi="Times New Roman" w:cs="Arial"/>
      <w:b w:val="0"/>
      <w:caps/>
      <w:sz w:val="24"/>
      <w:szCs w:val="24"/>
    </w:rPr>
  </w:style>
  <w:style w:type="paragraph" w:styleId="ListParagraph">
    <w:name w:val="List Paragraph"/>
    <w:basedOn w:val="Normal"/>
    <w:uiPriority w:val="34"/>
    <w:qFormat/>
    <w:rsid w:val="0021080E"/>
    <w:pPr>
      <w:widowControl/>
      <w:autoSpaceDE/>
      <w:autoSpaceDN/>
      <w:adjustRightInd/>
      <w:ind w:left="720"/>
      <w:contextualSpacing/>
    </w:pPr>
    <w:rPr>
      <w:rFonts w:ascii="Cambria" w:eastAsia="Cambria" w:hAnsi="Cambria"/>
      <w:sz w:val="24"/>
      <w:szCs w:val="24"/>
    </w:rPr>
  </w:style>
  <w:style w:type="character" w:customStyle="1" w:styleId="Heading1Char">
    <w:name w:val="Heading 1 Char"/>
    <w:link w:val="Heading1"/>
    <w:rsid w:val="0021080E"/>
    <w:rPr>
      <w:rFonts w:ascii="Cambria" w:eastAsia="Times New Roman" w:hAnsi="Cambria" w:cs="Times New Roman"/>
      <w:b/>
      <w:bCs/>
      <w:kern w:val="32"/>
      <w:sz w:val="32"/>
      <w:szCs w:val="32"/>
    </w:rPr>
  </w:style>
  <w:style w:type="table" w:styleId="TableGrid">
    <w:name w:val="Table Grid"/>
    <w:basedOn w:val="TableNormal"/>
    <w:rsid w:val="00D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3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491">
      <w:bodyDiv w:val="1"/>
      <w:marLeft w:val="0"/>
      <w:marRight w:val="0"/>
      <w:marTop w:val="0"/>
      <w:marBottom w:val="0"/>
      <w:divBdr>
        <w:top w:val="none" w:sz="0" w:space="0" w:color="auto"/>
        <w:left w:val="none" w:sz="0" w:space="0" w:color="auto"/>
        <w:bottom w:val="none" w:sz="0" w:space="0" w:color="auto"/>
        <w:right w:val="none" w:sz="0" w:space="0" w:color="auto"/>
      </w:divBdr>
      <w:divsChild>
        <w:div w:id="1075005684">
          <w:marLeft w:val="0"/>
          <w:marRight w:val="0"/>
          <w:marTop w:val="0"/>
          <w:marBottom w:val="0"/>
          <w:divBdr>
            <w:top w:val="none" w:sz="0" w:space="0" w:color="auto"/>
            <w:left w:val="none" w:sz="0" w:space="0" w:color="auto"/>
            <w:bottom w:val="none" w:sz="0" w:space="0" w:color="auto"/>
            <w:right w:val="none" w:sz="0" w:space="0" w:color="auto"/>
          </w:divBdr>
        </w:div>
        <w:div w:id="1216354923">
          <w:marLeft w:val="0"/>
          <w:marRight w:val="0"/>
          <w:marTop w:val="30"/>
          <w:marBottom w:val="0"/>
          <w:divBdr>
            <w:top w:val="none" w:sz="0" w:space="0" w:color="auto"/>
            <w:left w:val="none" w:sz="0" w:space="0" w:color="auto"/>
            <w:bottom w:val="none" w:sz="0" w:space="0" w:color="auto"/>
            <w:right w:val="none" w:sz="0" w:space="0" w:color="auto"/>
          </w:divBdr>
          <w:divsChild>
            <w:div w:id="1656109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6030174">
      <w:bodyDiv w:val="1"/>
      <w:marLeft w:val="0"/>
      <w:marRight w:val="0"/>
      <w:marTop w:val="0"/>
      <w:marBottom w:val="0"/>
      <w:divBdr>
        <w:top w:val="none" w:sz="0" w:space="0" w:color="auto"/>
        <w:left w:val="none" w:sz="0" w:space="0" w:color="auto"/>
        <w:bottom w:val="none" w:sz="0" w:space="0" w:color="auto"/>
        <w:right w:val="none" w:sz="0" w:space="0" w:color="auto"/>
      </w:divBdr>
    </w:div>
    <w:div w:id="1241140407">
      <w:bodyDiv w:val="1"/>
      <w:marLeft w:val="0"/>
      <w:marRight w:val="0"/>
      <w:marTop w:val="0"/>
      <w:marBottom w:val="0"/>
      <w:divBdr>
        <w:top w:val="none" w:sz="0" w:space="0" w:color="auto"/>
        <w:left w:val="none" w:sz="0" w:space="0" w:color="auto"/>
        <w:bottom w:val="none" w:sz="0" w:space="0" w:color="auto"/>
        <w:right w:val="none" w:sz="0" w:space="0" w:color="auto"/>
      </w:divBdr>
    </w:div>
    <w:div w:id="1401178028">
      <w:bodyDiv w:val="1"/>
      <w:marLeft w:val="0"/>
      <w:marRight w:val="0"/>
      <w:marTop w:val="0"/>
      <w:marBottom w:val="0"/>
      <w:divBdr>
        <w:top w:val="none" w:sz="0" w:space="0" w:color="auto"/>
        <w:left w:val="none" w:sz="0" w:space="0" w:color="auto"/>
        <w:bottom w:val="none" w:sz="0" w:space="0" w:color="auto"/>
        <w:right w:val="none" w:sz="0" w:space="0" w:color="auto"/>
      </w:divBdr>
    </w:div>
    <w:div w:id="1573079109">
      <w:bodyDiv w:val="1"/>
      <w:marLeft w:val="0"/>
      <w:marRight w:val="0"/>
      <w:marTop w:val="0"/>
      <w:marBottom w:val="0"/>
      <w:divBdr>
        <w:top w:val="none" w:sz="0" w:space="0" w:color="auto"/>
        <w:left w:val="none" w:sz="0" w:space="0" w:color="auto"/>
        <w:bottom w:val="none" w:sz="0" w:space="0" w:color="auto"/>
        <w:right w:val="none" w:sz="0" w:space="0" w:color="auto"/>
      </w:divBdr>
    </w:div>
    <w:div w:id="2119519357">
      <w:bodyDiv w:val="1"/>
      <w:marLeft w:val="0"/>
      <w:marRight w:val="0"/>
      <w:marTop w:val="0"/>
      <w:marBottom w:val="0"/>
      <w:divBdr>
        <w:top w:val="none" w:sz="0" w:space="0" w:color="auto"/>
        <w:left w:val="none" w:sz="0" w:space="0" w:color="auto"/>
        <w:bottom w:val="none" w:sz="0" w:space="0" w:color="auto"/>
        <w:right w:val="none" w:sz="0" w:space="0" w:color="auto"/>
      </w:divBdr>
      <w:divsChild>
        <w:div w:id="1677999842">
          <w:marLeft w:val="0"/>
          <w:marRight w:val="0"/>
          <w:marTop w:val="0"/>
          <w:marBottom w:val="0"/>
          <w:divBdr>
            <w:top w:val="none" w:sz="0" w:space="0" w:color="auto"/>
            <w:left w:val="none" w:sz="0" w:space="0" w:color="auto"/>
            <w:bottom w:val="none" w:sz="0" w:space="0" w:color="auto"/>
            <w:right w:val="none" w:sz="0" w:space="0" w:color="auto"/>
          </w:divBdr>
        </w:div>
        <w:div w:id="187873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ulations.gov/document?D=NOAA-NMFS-2015-0122-011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ginfo.gov/public/do/PRAViewICR?ref_nbr=201612-0648-00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info.gov/public/do/PRAViewICR?ref_nbr=201612-0648-004"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rporateservices.noaa.gov/ames/administrative_orders/chapter_216/216-100.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E1318-FF8F-4DE5-97A9-D559C1D1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4149</Words>
  <Characters>23651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27745</CharactersWithSpaces>
  <SharedDoc>false</SharedDoc>
  <HLinks>
    <vt:vector size="6" baseType="variant">
      <vt:variant>
        <vt:i4>7798847</vt:i4>
      </vt:variant>
      <vt:variant>
        <vt:i4>7</vt:i4>
      </vt:variant>
      <vt:variant>
        <vt:i4>0</vt:i4>
      </vt:variant>
      <vt:variant>
        <vt:i4>5</vt:i4>
      </vt:variant>
      <vt:variant>
        <vt:lpwstr>http://www.corporateservices.noaa.gov/ames/administrative_orders/chapter_216/216-100.html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2018-06-19T20:20:00Z</dcterms:created>
  <dcterms:modified xsi:type="dcterms:W3CDTF">2018-06-19T20:20:00Z</dcterms:modified>
</cp:coreProperties>
</file>