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98DC8" w14:textId="77777777" w:rsidR="002B2F9F" w:rsidRPr="002B2F9F" w:rsidRDefault="002B2F9F" w:rsidP="002B2F9F">
      <w:pPr>
        <w:ind w:left="5760"/>
        <w:jc w:val="center"/>
        <w:rPr>
          <w:b/>
          <w:sz w:val="20"/>
          <w:szCs w:val="20"/>
        </w:rPr>
      </w:pPr>
      <w:bookmarkStart w:id="0" w:name="_GoBack"/>
      <w:bookmarkEnd w:id="0"/>
      <w:r w:rsidRPr="002B2F9F">
        <w:rPr>
          <w:b/>
          <w:sz w:val="20"/>
          <w:szCs w:val="20"/>
        </w:rPr>
        <w:t>OMB Control No. 0648-0739</w:t>
      </w:r>
      <w:r w:rsidRPr="002B2F9F">
        <w:rPr>
          <w:b/>
          <w:sz w:val="20"/>
          <w:szCs w:val="20"/>
        </w:rPr>
        <w:br/>
        <w:t>Expiration Date: 12/</w:t>
      </w:r>
      <w:r>
        <w:rPr>
          <w:b/>
          <w:sz w:val="20"/>
          <w:szCs w:val="20"/>
        </w:rPr>
        <w:t>31</w:t>
      </w:r>
      <w:r w:rsidRPr="002B2F9F">
        <w:rPr>
          <w:b/>
          <w:sz w:val="20"/>
          <w:szCs w:val="20"/>
        </w:rPr>
        <w:t>/2019</w:t>
      </w:r>
    </w:p>
    <w:p w14:paraId="2A21372E" w14:textId="77777777" w:rsidR="002105CE" w:rsidRPr="00445C20" w:rsidRDefault="00CA2F74" w:rsidP="00CA2F74">
      <w:pPr>
        <w:jc w:val="center"/>
        <w:rPr>
          <w:b/>
          <w:sz w:val="24"/>
        </w:rPr>
      </w:pPr>
      <w:r w:rsidRPr="00445C20">
        <w:rPr>
          <w:b/>
          <w:sz w:val="24"/>
        </w:rPr>
        <w:t>Application for Commerce Trusted Trader Program</w:t>
      </w:r>
    </w:p>
    <w:p w14:paraId="574EAD8F" w14:textId="77777777" w:rsidR="008C682C" w:rsidRPr="00A64F96" w:rsidRDefault="00DB5717">
      <w:pPr>
        <w:rPr>
          <w:b/>
          <w:u w:val="single"/>
        </w:rPr>
      </w:pPr>
      <w:r>
        <w:rPr>
          <w:b/>
          <w:u w:val="single"/>
        </w:rPr>
        <w:t xml:space="preserve">IFTP Holder </w:t>
      </w:r>
      <w:r w:rsidR="008C682C" w:rsidRPr="00A64F96">
        <w:rPr>
          <w:b/>
          <w:u w:val="single"/>
        </w:rPr>
        <w:t>Information</w:t>
      </w:r>
    </w:p>
    <w:tbl>
      <w:tblPr>
        <w:tblStyle w:val="TableGrid"/>
        <w:tblW w:w="0" w:type="auto"/>
        <w:tblLook w:val="04A0" w:firstRow="1" w:lastRow="0" w:firstColumn="1" w:lastColumn="0" w:noHBand="0" w:noVBand="1"/>
      </w:tblPr>
      <w:tblGrid>
        <w:gridCol w:w="10345"/>
      </w:tblGrid>
      <w:tr w:rsidR="00445C20" w:rsidRPr="00445C20" w14:paraId="0731E2EB" w14:textId="77777777" w:rsidTr="005844AC">
        <w:tc>
          <w:tcPr>
            <w:tcW w:w="10345" w:type="dxa"/>
          </w:tcPr>
          <w:p w14:paraId="00653C97" w14:textId="77777777" w:rsidR="00445C20" w:rsidRDefault="00445C20" w:rsidP="004D18C3">
            <w:pPr>
              <w:rPr>
                <w:b/>
              </w:rPr>
            </w:pPr>
            <w:r w:rsidRPr="00445C20">
              <w:rPr>
                <w:b/>
              </w:rPr>
              <w:t>Name:</w:t>
            </w:r>
          </w:p>
          <w:p w14:paraId="46D22713" w14:textId="77777777" w:rsidR="001942B1" w:rsidRPr="00445C20" w:rsidRDefault="001942B1" w:rsidP="004D18C3">
            <w:pPr>
              <w:rPr>
                <w:b/>
              </w:rPr>
            </w:pPr>
          </w:p>
        </w:tc>
      </w:tr>
      <w:tr w:rsidR="00DB5717" w:rsidRPr="00445C20" w14:paraId="335E094F" w14:textId="77777777" w:rsidTr="005844AC">
        <w:tc>
          <w:tcPr>
            <w:tcW w:w="10345" w:type="dxa"/>
          </w:tcPr>
          <w:p w14:paraId="1FDAF929" w14:textId="77777777" w:rsidR="00DB5717" w:rsidRDefault="00DB5717" w:rsidP="00DB5717">
            <w:pPr>
              <w:rPr>
                <w:b/>
              </w:rPr>
            </w:pPr>
            <w:r>
              <w:rPr>
                <w:b/>
              </w:rPr>
              <w:t>Employer</w:t>
            </w:r>
            <w:r w:rsidRPr="00445C20">
              <w:rPr>
                <w:b/>
              </w:rPr>
              <w:t>:</w:t>
            </w:r>
          </w:p>
          <w:p w14:paraId="2E955EAE" w14:textId="77777777" w:rsidR="00DB5717" w:rsidRPr="00445C20" w:rsidRDefault="00DB5717" w:rsidP="004D18C3">
            <w:pPr>
              <w:rPr>
                <w:b/>
              </w:rPr>
            </w:pPr>
          </w:p>
        </w:tc>
      </w:tr>
      <w:tr w:rsidR="00445C20" w:rsidRPr="00445C20" w14:paraId="78DC087E" w14:textId="77777777" w:rsidTr="005844AC">
        <w:tc>
          <w:tcPr>
            <w:tcW w:w="10345" w:type="dxa"/>
          </w:tcPr>
          <w:p w14:paraId="3997FC35" w14:textId="77777777" w:rsidR="00445C20" w:rsidRDefault="00C361C0" w:rsidP="004D18C3">
            <w:pPr>
              <w:rPr>
                <w:b/>
              </w:rPr>
            </w:pPr>
            <w:r>
              <w:rPr>
                <w:b/>
              </w:rPr>
              <w:t xml:space="preserve">Business </w:t>
            </w:r>
            <w:r w:rsidR="00445C20" w:rsidRPr="00445C20">
              <w:rPr>
                <w:b/>
              </w:rPr>
              <w:t>Address:</w:t>
            </w:r>
          </w:p>
          <w:p w14:paraId="16B3554C" w14:textId="77777777" w:rsidR="001942B1" w:rsidRPr="00445C20" w:rsidRDefault="001942B1" w:rsidP="004D18C3">
            <w:pPr>
              <w:rPr>
                <w:b/>
              </w:rPr>
            </w:pPr>
          </w:p>
        </w:tc>
      </w:tr>
      <w:tr w:rsidR="00445C20" w:rsidRPr="00445C20" w14:paraId="60B7C04E" w14:textId="77777777" w:rsidTr="005844AC">
        <w:tc>
          <w:tcPr>
            <w:tcW w:w="10345" w:type="dxa"/>
          </w:tcPr>
          <w:p w14:paraId="2C3EB958" w14:textId="77777777" w:rsidR="00445C20" w:rsidRDefault="00C361C0" w:rsidP="004D18C3">
            <w:pPr>
              <w:rPr>
                <w:b/>
              </w:rPr>
            </w:pPr>
            <w:r>
              <w:rPr>
                <w:b/>
              </w:rPr>
              <w:t xml:space="preserve">Business </w:t>
            </w:r>
            <w:r w:rsidR="00445C20" w:rsidRPr="00445C20">
              <w:rPr>
                <w:b/>
              </w:rPr>
              <w:t>Phone Number</w:t>
            </w:r>
            <w:r w:rsidR="00DB5717">
              <w:rPr>
                <w:b/>
              </w:rPr>
              <w:t xml:space="preserve"> and Email Address</w:t>
            </w:r>
            <w:r w:rsidR="00445C20" w:rsidRPr="00445C20">
              <w:rPr>
                <w:b/>
              </w:rPr>
              <w:t>:</w:t>
            </w:r>
          </w:p>
          <w:p w14:paraId="7D592A46" w14:textId="77777777" w:rsidR="001942B1" w:rsidRPr="00445C20" w:rsidRDefault="001942B1" w:rsidP="004D18C3">
            <w:pPr>
              <w:rPr>
                <w:b/>
              </w:rPr>
            </w:pPr>
          </w:p>
        </w:tc>
      </w:tr>
      <w:tr w:rsidR="00445C20" w:rsidRPr="00445C20" w14:paraId="6FAF5B96" w14:textId="77777777" w:rsidTr="005844AC">
        <w:tc>
          <w:tcPr>
            <w:tcW w:w="10345" w:type="dxa"/>
          </w:tcPr>
          <w:p w14:paraId="04595A5D" w14:textId="77777777" w:rsidR="00445C20" w:rsidRDefault="00445C20" w:rsidP="004D18C3">
            <w:pPr>
              <w:rPr>
                <w:b/>
              </w:rPr>
            </w:pPr>
            <w:r w:rsidRPr="00445C20">
              <w:rPr>
                <w:b/>
              </w:rPr>
              <w:t>IFTP Number</w:t>
            </w:r>
            <w:r w:rsidR="00DB5717">
              <w:rPr>
                <w:b/>
              </w:rPr>
              <w:t xml:space="preserve"> and Expiration Date</w:t>
            </w:r>
            <w:r w:rsidRPr="00445C20">
              <w:rPr>
                <w:b/>
              </w:rPr>
              <w:t>:</w:t>
            </w:r>
          </w:p>
          <w:p w14:paraId="72EC5615" w14:textId="77777777" w:rsidR="001942B1" w:rsidRPr="00445C20" w:rsidRDefault="001942B1" w:rsidP="004D18C3">
            <w:pPr>
              <w:rPr>
                <w:b/>
              </w:rPr>
            </w:pPr>
          </w:p>
        </w:tc>
      </w:tr>
    </w:tbl>
    <w:p w14:paraId="3559825A" w14:textId="77777777" w:rsidR="00CA2F74" w:rsidRDefault="00CA2F74" w:rsidP="00CA2F74">
      <w:pPr>
        <w:tabs>
          <w:tab w:val="left" w:pos="7200"/>
          <w:tab w:val="left" w:pos="7920"/>
        </w:tabs>
      </w:pPr>
    </w:p>
    <w:p w14:paraId="45EA9016" w14:textId="77777777" w:rsidR="00445C20" w:rsidRPr="00A64F96" w:rsidRDefault="00A64F96" w:rsidP="00CA2F74">
      <w:pPr>
        <w:tabs>
          <w:tab w:val="left" w:pos="7200"/>
          <w:tab w:val="left" w:pos="7920"/>
        </w:tabs>
        <w:rPr>
          <w:b/>
          <w:u w:val="single"/>
        </w:rPr>
      </w:pPr>
      <w:r w:rsidRPr="00A64F96">
        <w:rPr>
          <w:b/>
          <w:u w:val="single"/>
        </w:rPr>
        <w:t>Attestations</w:t>
      </w:r>
    </w:p>
    <w:p w14:paraId="2EB1DB26" w14:textId="0A19C5C7" w:rsidR="00D77723" w:rsidRPr="00D77723" w:rsidRDefault="004F11D5" w:rsidP="000B76B0">
      <w:pPr>
        <w:tabs>
          <w:tab w:val="left" w:pos="7560"/>
          <w:tab w:val="left" w:pos="8280"/>
        </w:tabs>
        <w:contextualSpacing/>
        <w:rPr>
          <w:sz w:val="20"/>
          <w:szCs w:val="20"/>
        </w:rPr>
      </w:pPr>
      <w:r w:rsidRPr="000B76B0">
        <w:rPr>
          <w:sz w:val="20"/>
          <w:szCs w:val="20"/>
        </w:rPr>
        <w:t>1.</w:t>
      </w:r>
      <w:r w:rsidR="00445C20" w:rsidRPr="000B76B0">
        <w:rPr>
          <w:sz w:val="20"/>
          <w:szCs w:val="20"/>
        </w:rPr>
        <w:t xml:space="preserve"> </w:t>
      </w:r>
      <w:r w:rsidR="000B76B0">
        <w:rPr>
          <w:sz w:val="20"/>
          <w:szCs w:val="20"/>
        </w:rPr>
        <w:t>A</w:t>
      </w:r>
      <w:r w:rsidR="0084312A" w:rsidRPr="00C80032">
        <w:rPr>
          <w:rFonts w:cs="Times New Roman"/>
          <w:sz w:val="20"/>
          <w:szCs w:val="20"/>
        </w:rPr>
        <w:t xml:space="preserve">re you currently in compliance with all </w:t>
      </w:r>
      <w:r w:rsidR="000B76B0">
        <w:rPr>
          <w:rFonts w:cs="Times New Roman"/>
          <w:sz w:val="20"/>
          <w:szCs w:val="20"/>
        </w:rPr>
        <w:t>federal</w:t>
      </w:r>
      <w:r w:rsidR="00D77723">
        <w:rPr>
          <w:rFonts w:cs="Times New Roman"/>
          <w:sz w:val="20"/>
          <w:szCs w:val="20"/>
        </w:rPr>
        <w:t xml:space="preserve"> laws, including</w:t>
      </w:r>
      <w:r w:rsidR="000B76B0">
        <w:rPr>
          <w:rFonts w:cs="Times New Roman"/>
          <w:sz w:val="20"/>
          <w:szCs w:val="20"/>
        </w:rPr>
        <w:t xml:space="preserve"> </w:t>
      </w:r>
      <w:r w:rsidR="0084312A" w:rsidRPr="00C80032">
        <w:rPr>
          <w:rFonts w:cs="Times New Roman"/>
          <w:sz w:val="20"/>
          <w:szCs w:val="20"/>
        </w:rPr>
        <w:t>licensing, permitting, and reporting requirements</w:t>
      </w:r>
      <w:r w:rsidR="00D77723">
        <w:rPr>
          <w:rFonts w:cs="Times New Roman"/>
          <w:sz w:val="20"/>
          <w:szCs w:val="20"/>
        </w:rPr>
        <w:t>,</w:t>
      </w:r>
      <w:r w:rsidR="0084312A" w:rsidRPr="00C80032">
        <w:rPr>
          <w:rFonts w:cs="Times New Roman"/>
          <w:sz w:val="20"/>
          <w:szCs w:val="20"/>
        </w:rPr>
        <w:t xml:space="preserve"> applicable to the importation of fish and fish products</w:t>
      </w:r>
      <w:r w:rsidR="00C80032">
        <w:rPr>
          <w:rFonts w:cs="Times New Roman"/>
          <w:sz w:val="20"/>
          <w:szCs w:val="20"/>
        </w:rPr>
        <w:t>?</w:t>
      </w:r>
      <w:r w:rsidR="00D77723">
        <w:rPr>
          <w:rFonts w:cs="Times New Roman"/>
          <w:sz w:val="20"/>
          <w:szCs w:val="20"/>
        </w:rPr>
        <w:tab/>
        <w:t xml:space="preserve">                </w:t>
      </w:r>
      <w:r w:rsidR="00D77723" w:rsidRPr="000B76B0">
        <w:rPr>
          <w:sz w:val="20"/>
          <w:szCs w:val="20"/>
        </w:rPr>
        <w:t>⃝ Y</w:t>
      </w:r>
      <w:r w:rsidR="00D77723" w:rsidRPr="000B76B0">
        <w:rPr>
          <w:sz w:val="20"/>
          <w:szCs w:val="20"/>
        </w:rPr>
        <w:tab/>
      </w:r>
      <w:r w:rsidR="00D77723" w:rsidRPr="000B76B0">
        <w:rPr>
          <w:sz w:val="20"/>
          <w:szCs w:val="20"/>
        </w:rPr>
        <w:tab/>
        <w:t>⃝ N</w:t>
      </w:r>
    </w:p>
    <w:p w14:paraId="0E3FA479" w14:textId="77777777" w:rsidR="00D77723" w:rsidRDefault="00D77723" w:rsidP="000B76B0">
      <w:pPr>
        <w:tabs>
          <w:tab w:val="left" w:pos="7560"/>
          <w:tab w:val="left" w:pos="8280"/>
        </w:tabs>
        <w:contextualSpacing/>
        <w:rPr>
          <w:rFonts w:cs="Times New Roman"/>
          <w:sz w:val="20"/>
          <w:szCs w:val="20"/>
        </w:rPr>
      </w:pPr>
    </w:p>
    <w:p w14:paraId="6DCE350F" w14:textId="3F7B5780" w:rsidR="00CA2F74" w:rsidRPr="000B76B0" w:rsidRDefault="00004E0D" w:rsidP="000B76B0">
      <w:pPr>
        <w:tabs>
          <w:tab w:val="left" w:pos="7560"/>
          <w:tab w:val="left" w:pos="8280"/>
        </w:tabs>
        <w:contextualSpacing/>
        <w:rPr>
          <w:sz w:val="20"/>
          <w:szCs w:val="20"/>
        </w:rPr>
      </w:pPr>
      <w:r>
        <w:rPr>
          <w:rFonts w:cs="Times New Roman"/>
          <w:sz w:val="20"/>
          <w:szCs w:val="20"/>
        </w:rPr>
        <w:t xml:space="preserve">2. </w:t>
      </w:r>
      <w:r w:rsidR="00D77723">
        <w:rPr>
          <w:rFonts w:cs="Times New Roman"/>
          <w:sz w:val="20"/>
          <w:szCs w:val="20"/>
        </w:rPr>
        <w:t xml:space="preserve">Do you </w:t>
      </w:r>
      <w:r w:rsidR="000B76B0" w:rsidRPr="006A3732">
        <w:rPr>
          <w:rFonts w:cs="Times New Roman"/>
          <w:sz w:val="20"/>
          <w:szCs w:val="20"/>
        </w:rPr>
        <w:t xml:space="preserve">have </w:t>
      </w:r>
      <w:r w:rsidR="00D77723">
        <w:rPr>
          <w:rFonts w:cs="Times New Roman"/>
          <w:sz w:val="20"/>
          <w:szCs w:val="20"/>
        </w:rPr>
        <w:t>a</w:t>
      </w:r>
      <w:r>
        <w:rPr>
          <w:rFonts w:cs="Times New Roman"/>
          <w:sz w:val="20"/>
          <w:szCs w:val="20"/>
        </w:rPr>
        <w:t>n</w:t>
      </w:r>
      <w:r w:rsidR="00D77723">
        <w:rPr>
          <w:rFonts w:cs="Times New Roman"/>
          <w:sz w:val="20"/>
          <w:szCs w:val="20"/>
        </w:rPr>
        <w:t>y</w:t>
      </w:r>
      <w:r w:rsidR="000B76B0" w:rsidRPr="006A3732">
        <w:rPr>
          <w:rFonts w:cs="Times New Roman"/>
          <w:sz w:val="20"/>
          <w:szCs w:val="20"/>
        </w:rPr>
        <w:t xml:space="preserve"> history, during the previous five years, of noncompliance </w:t>
      </w:r>
      <w:r w:rsidR="00D77723">
        <w:rPr>
          <w:rFonts w:cs="Times New Roman"/>
          <w:sz w:val="20"/>
          <w:szCs w:val="20"/>
        </w:rPr>
        <w:t>with</w:t>
      </w:r>
      <w:r>
        <w:rPr>
          <w:rFonts w:cs="Times New Roman"/>
          <w:sz w:val="20"/>
          <w:szCs w:val="20"/>
        </w:rPr>
        <w:t xml:space="preserve"> state or</w:t>
      </w:r>
      <w:r w:rsidR="00D77723">
        <w:rPr>
          <w:rFonts w:cs="Times New Roman"/>
          <w:sz w:val="20"/>
          <w:szCs w:val="20"/>
        </w:rPr>
        <w:t xml:space="preserve"> federal laws related</w:t>
      </w:r>
      <w:r w:rsidR="00D77723" w:rsidRPr="00A82D52">
        <w:rPr>
          <w:rFonts w:cs="Times New Roman"/>
          <w:sz w:val="20"/>
          <w:szCs w:val="20"/>
        </w:rPr>
        <w:t xml:space="preserve"> to the importation of fish and fish products</w:t>
      </w:r>
      <w:r w:rsidR="00D77723" w:rsidRPr="006A3732">
        <w:rPr>
          <w:rFonts w:cs="Times New Roman"/>
          <w:sz w:val="20"/>
          <w:szCs w:val="20"/>
        </w:rPr>
        <w:t xml:space="preserve"> </w:t>
      </w:r>
      <w:r w:rsidR="000B76B0" w:rsidRPr="006A3732">
        <w:rPr>
          <w:rFonts w:cs="Times New Roman"/>
          <w:sz w:val="20"/>
          <w:szCs w:val="20"/>
        </w:rPr>
        <w:t>(</w:t>
      </w:r>
      <w:r w:rsidR="000B76B0" w:rsidRPr="006A3732">
        <w:rPr>
          <w:rFonts w:cs="Times New Roman"/>
          <w:i/>
          <w:sz w:val="20"/>
          <w:szCs w:val="20"/>
        </w:rPr>
        <w:t>i.e</w:t>
      </w:r>
      <w:r w:rsidR="000B76B0" w:rsidRPr="006A3732">
        <w:rPr>
          <w:rFonts w:cs="Times New Roman"/>
          <w:sz w:val="20"/>
          <w:szCs w:val="20"/>
        </w:rPr>
        <w:t>., violations that resulted in a finding of liability and assessment of a civil monetary fine or criminal penalty)</w:t>
      </w:r>
      <w:r w:rsidR="00CA2F74" w:rsidRPr="000B76B0">
        <w:rPr>
          <w:sz w:val="20"/>
          <w:szCs w:val="20"/>
        </w:rPr>
        <w:t>?</w:t>
      </w:r>
      <w:r w:rsidR="00CA2F74" w:rsidRPr="000B76B0">
        <w:rPr>
          <w:sz w:val="20"/>
          <w:szCs w:val="20"/>
        </w:rPr>
        <w:tab/>
      </w:r>
      <w:r w:rsidR="005844AC" w:rsidRPr="000B76B0">
        <w:rPr>
          <w:sz w:val="20"/>
          <w:szCs w:val="20"/>
        </w:rPr>
        <w:tab/>
      </w:r>
      <w:r w:rsidR="00445C20" w:rsidRPr="000B76B0">
        <w:rPr>
          <w:sz w:val="20"/>
          <w:szCs w:val="20"/>
        </w:rPr>
        <w:t xml:space="preserve">⃝ </w:t>
      </w:r>
      <w:r w:rsidR="00CA2F74" w:rsidRPr="000B76B0">
        <w:rPr>
          <w:sz w:val="20"/>
          <w:szCs w:val="20"/>
        </w:rPr>
        <w:t>Y</w:t>
      </w:r>
      <w:r w:rsidR="00CA2F74" w:rsidRPr="000B76B0">
        <w:rPr>
          <w:sz w:val="20"/>
          <w:szCs w:val="20"/>
        </w:rPr>
        <w:tab/>
      </w:r>
      <w:r w:rsidR="005844AC" w:rsidRPr="000B76B0">
        <w:rPr>
          <w:sz w:val="20"/>
          <w:szCs w:val="20"/>
        </w:rPr>
        <w:tab/>
      </w:r>
      <w:r w:rsidR="00445C20" w:rsidRPr="000B76B0">
        <w:rPr>
          <w:sz w:val="20"/>
          <w:szCs w:val="20"/>
        </w:rPr>
        <w:t xml:space="preserve">⃝ </w:t>
      </w:r>
      <w:r w:rsidR="00CA2F74" w:rsidRPr="000B76B0">
        <w:rPr>
          <w:sz w:val="20"/>
          <w:szCs w:val="20"/>
        </w:rPr>
        <w:t>N</w:t>
      </w:r>
    </w:p>
    <w:p w14:paraId="1AD66156" w14:textId="157765F3" w:rsidR="00EB26C2" w:rsidRPr="000B76B0" w:rsidRDefault="00EB26C2" w:rsidP="004857F5">
      <w:pPr>
        <w:tabs>
          <w:tab w:val="left" w:pos="7560"/>
          <w:tab w:val="left" w:pos="8280"/>
        </w:tabs>
        <w:contextualSpacing/>
        <w:rPr>
          <w:sz w:val="20"/>
          <w:szCs w:val="20"/>
        </w:rPr>
      </w:pPr>
    </w:p>
    <w:p w14:paraId="208ECE88" w14:textId="75AC1CC2" w:rsidR="0084312A" w:rsidRPr="000B76B0" w:rsidRDefault="0084312A" w:rsidP="004857F5">
      <w:pPr>
        <w:tabs>
          <w:tab w:val="left" w:pos="7560"/>
          <w:tab w:val="left" w:pos="8280"/>
        </w:tabs>
        <w:contextualSpacing/>
        <w:rPr>
          <w:sz w:val="20"/>
          <w:szCs w:val="20"/>
        </w:rPr>
      </w:pPr>
    </w:p>
    <w:p w14:paraId="2D60CE79" w14:textId="08110EBA" w:rsidR="00EB26C2" w:rsidRPr="000B76B0" w:rsidRDefault="0084312A" w:rsidP="004857F5">
      <w:pPr>
        <w:tabs>
          <w:tab w:val="left" w:pos="7560"/>
          <w:tab w:val="left" w:pos="8280"/>
        </w:tabs>
        <w:contextualSpacing/>
        <w:rPr>
          <w:sz w:val="20"/>
          <w:szCs w:val="20"/>
        </w:rPr>
      </w:pPr>
      <w:r w:rsidRPr="000B76B0">
        <w:rPr>
          <w:sz w:val="20"/>
          <w:szCs w:val="20"/>
        </w:rPr>
        <w:t>3</w:t>
      </w:r>
      <w:r w:rsidR="00445C20" w:rsidRPr="000B76B0">
        <w:rPr>
          <w:sz w:val="20"/>
          <w:szCs w:val="20"/>
        </w:rPr>
        <w:t xml:space="preserve">. </w:t>
      </w:r>
      <w:r w:rsidR="00F14C71" w:rsidRPr="000B76B0">
        <w:rPr>
          <w:sz w:val="20"/>
          <w:szCs w:val="20"/>
        </w:rPr>
        <w:t>Have you provided a</w:t>
      </w:r>
      <w:r w:rsidR="008C682C" w:rsidRPr="000B76B0">
        <w:rPr>
          <w:sz w:val="20"/>
          <w:szCs w:val="20"/>
        </w:rPr>
        <w:t xml:space="preserve"> Trusted Trader</w:t>
      </w:r>
      <w:r w:rsidR="00BD2E60" w:rsidRPr="000B76B0">
        <w:rPr>
          <w:sz w:val="20"/>
          <w:szCs w:val="20"/>
        </w:rPr>
        <w:t xml:space="preserve"> Compliance</w:t>
      </w:r>
      <w:r w:rsidR="008C682C" w:rsidRPr="000B76B0">
        <w:rPr>
          <w:sz w:val="20"/>
          <w:szCs w:val="20"/>
        </w:rPr>
        <w:t xml:space="preserve"> Plan</w:t>
      </w:r>
      <w:r w:rsidR="00DB5717" w:rsidRPr="000B76B0">
        <w:rPr>
          <w:sz w:val="20"/>
          <w:szCs w:val="20"/>
        </w:rPr>
        <w:t xml:space="preserve"> </w:t>
      </w:r>
      <w:r w:rsidR="00F14C71" w:rsidRPr="000B76B0">
        <w:rPr>
          <w:sz w:val="20"/>
          <w:szCs w:val="20"/>
        </w:rPr>
        <w:t xml:space="preserve">containing </w:t>
      </w:r>
    </w:p>
    <w:p w14:paraId="75DDD491" w14:textId="53A4CE5F" w:rsidR="008C682C" w:rsidRPr="000B76B0" w:rsidRDefault="00EB26C2" w:rsidP="004857F5">
      <w:pPr>
        <w:tabs>
          <w:tab w:val="left" w:pos="7560"/>
          <w:tab w:val="left" w:pos="8280"/>
        </w:tabs>
        <w:contextualSpacing/>
        <w:rPr>
          <w:sz w:val="20"/>
          <w:szCs w:val="20"/>
        </w:rPr>
      </w:pPr>
      <w:r w:rsidRPr="000B76B0">
        <w:rPr>
          <w:sz w:val="20"/>
          <w:szCs w:val="20"/>
        </w:rPr>
        <w:t>a</w:t>
      </w:r>
      <w:r w:rsidR="00F14C71" w:rsidRPr="000B76B0">
        <w:rPr>
          <w:sz w:val="20"/>
          <w:szCs w:val="20"/>
        </w:rPr>
        <w:t xml:space="preserve">ll of the required elements of an Internal Control System to this </w:t>
      </w:r>
      <w:r w:rsidR="000B76B0" w:rsidRPr="000B76B0">
        <w:rPr>
          <w:sz w:val="20"/>
          <w:szCs w:val="20"/>
        </w:rPr>
        <w:t>application? *</w:t>
      </w:r>
      <w:r w:rsidR="008C682C" w:rsidRPr="000B76B0">
        <w:rPr>
          <w:sz w:val="20"/>
          <w:szCs w:val="20"/>
        </w:rPr>
        <w:tab/>
      </w:r>
      <w:r w:rsidR="005844AC" w:rsidRPr="000B76B0">
        <w:rPr>
          <w:sz w:val="20"/>
          <w:szCs w:val="20"/>
        </w:rPr>
        <w:tab/>
      </w:r>
      <w:r w:rsidR="00445C20" w:rsidRPr="000B76B0">
        <w:rPr>
          <w:sz w:val="20"/>
          <w:szCs w:val="20"/>
        </w:rPr>
        <w:t xml:space="preserve">⃝ </w:t>
      </w:r>
      <w:r w:rsidR="008C682C" w:rsidRPr="000B76B0">
        <w:rPr>
          <w:sz w:val="20"/>
          <w:szCs w:val="20"/>
        </w:rPr>
        <w:t>Y</w:t>
      </w:r>
      <w:r w:rsidR="005844AC" w:rsidRPr="000B76B0">
        <w:rPr>
          <w:sz w:val="20"/>
          <w:szCs w:val="20"/>
        </w:rPr>
        <w:tab/>
      </w:r>
      <w:r w:rsidR="008C682C" w:rsidRPr="000B76B0">
        <w:rPr>
          <w:sz w:val="20"/>
          <w:szCs w:val="20"/>
        </w:rPr>
        <w:tab/>
      </w:r>
      <w:r w:rsidR="00445C20" w:rsidRPr="000B76B0">
        <w:rPr>
          <w:sz w:val="20"/>
          <w:szCs w:val="20"/>
        </w:rPr>
        <w:t xml:space="preserve">⃝ </w:t>
      </w:r>
      <w:r w:rsidR="008C682C" w:rsidRPr="000B76B0">
        <w:rPr>
          <w:sz w:val="20"/>
          <w:szCs w:val="20"/>
        </w:rPr>
        <w:t>N</w:t>
      </w:r>
    </w:p>
    <w:p w14:paraId="5A30ABFF" w14:textId="77777777" w:rsidR="005844AC" w:rsidRPr="003379F4" w:rsidRDefault="005844AC" w:rsidP="00635E92">
      <w:pPr>
        <w:tabs>
          <w:tab w:val="left" w:pos="7200"/>
          <w:tab w:val="left" w:pos="7920"/>
        </w:tabs>
        <w:rPr>
          <w:b/>
          <w:sz w:val="20"/>
          <w:szCs w:val="20"/>
        </w:rPr>
      </w:pPr>
    </w:p>
    <w:p w14:paraId="18433014" w14:textId="3DF393E1" w:rsidR="00EB26C2" w:rsidRPr="0022343F" w:rsidRDefault="005E2AC6" w:rsidP="00635E92">
      <w:pPr>
        <w:tabs>
          <w:tab w:val="left" w:pos="7200"/>
          <w:tab w:val="left" w:pos="7920"/>
        </w:tabs>
        <w:rPr>
          <w:b/>
          <w:sz w:val="20"/>
          <w:szCs w:val="20"/>
        </w:rPr>
      </w:pPr>
      <w:r w:rsidRPr="003379F4">
        <w:rPr>
          <w:b/>
          <w:sz w:val="20"/>
          <w:szCs w:val="20"/>
        </w:rPr>
        <w:t>*A copy of your Trusted Trader</w:t>
      </w:r>
      <w:r w:rsidR="00BD2E60" w:rsidRPr="003379F4">
        <w:rPr>
          <w:b/>
          <w:sz w:val="20"/>
          <w:szCs w:val="20"/>
        </w:rPr>
        <w:t xml:space="preserve"> Compliance</w:t>
      </w:r>
      <w:r w:rsidRPr="003379F4">
        <w:rPr>
          <w:b/>
          <w:sz w:val="20"/>
          <w:szCs w:val="20"/>
        </w:rPr>
        <w:t xml:space="preserve"> Plan must be submitted along with this application. </w:t>
      </w:r>
      <w:r w:rsidRPr="003379F4">
        <w:rPr>
          <w:b/>
          <w:sz w:val="20"/>
          <w:szCs w:val="20"/>
          <w:highlight w:val="yellow"/>
        </w:rPr>
        <w:t>Upload plan here.</w:t>
      </w:r>
      <w:r w:rsidRPr="003379F4">
        <w:rPr>
          <w:b/>
          <w:sz w:val="20"/>
          <w:szCs w:val="20"/>
        </w:rPr>
        <w:t xml:space="preserve"> In addition, an application fee of $</w:t>
      </w:r>
      <w:r w:rsidR="003379F4">
        <w:rPr>
          <w:b/>
          <w:sz w:val="20"/>
          <w:szCs w:val="20"/>
        </w:rPr>
        <w:t>3</w:t>
      </w:r>
      <w:r w:rsidR="003379F4" w:rsidRPr="003379F4">
        <w:rPr>
          <w:b/>
          <w:sz w:val="20"/>
          <w:szCs w:val="20"/>
        </w:rPr>
        <w:t xml:space="preserve">0 </w:t>
      </w:r>
      <w:r w:rsidRPr="003379F4">
        <w:rPr>
          <w:b/>
          <w:sz w:val="20"/>
          <w:szCs w:val="20"/>
        </w:rPr>
        <w:t xml:space="preserve">must also be included. </w:t>
      </w:r>
      <w:r w:rsidR="00AB5AB5" w:rsidRPr="003379F4">
        <w:rPr>
          <w:b/>
          <w:sz w:val="20"/>
          <w:szCs w:val="20"/>
          <w:highlight w:val="yellow"/>
        </w:rPr>
        <w:t>Pay fee here.</w:t>
      </w:r>
      <w:r w:rsidR="00AB5AB5" w:rsidRPr="003379F4">
        <w:rPr>
          <w:b/>
          <w:sz w:val="20"/>
          <w:szCs w:val="20"/>
        </w:rPr>
        <w:t xml:space="preserve"> </w:t>
      </w:r>
    </w:p>
    <w:p w14:paraId="64982BF5" w14:textId="77777777" w:rsidR="003B7276" w:rsidRDefault="003B7276">
      <w:pPr>
        <w:tabs>
          <w:tab w:val="left" w:pos="7200"/>
          <w:tab w:val="left" w:pos="7920"/>
        </w:tabs>
        <w:rPr>
          <w:b/>
        </w:rPr>
      </w:pPr>
    </w:p>
    <w:p w14:paraId="4084FA9B" w14:textId="79D88F08" w:rsidR="00C9359B" w:rsidRDefault="00445C20">
      <w:pPr>
        <w:tabs>
          <w:tab w:val="left" w:pos="7200"/>
          <w:tab w:val="left" w:pos="7920"/>
        </w:tabs>
      </w:pPr>
      <w:r w:rsidRPr="00A64F96">
        <w:rPr>
          <w:b/>
        </w:rPr>
        <w:lastRenderedPageBreak/>
        <w:t>I affirm that the information on this application is accurate and complete.</w:t>
      </w:r>
      <w:r w:rsidR="003B7276">
        <w:rPr>
          <w:noProof/>
        </w:rPr>
        <mc:AlternateContent>
          <mc:Choice Requires="wps">
            <w:drawing>
              <wp:anchor distT="45720" distB="45720" distL="114300" distR="114300" simplePos="0" relativeHeight="251659264" behindDoc="0" locked="0" layoutInCell="1" allowOverlap="1" wp14:anchorId="488EE240" wp14:editId="2C8A9834">
                <wp:simplePos x="0" y="0"/>
                <wp:positionH relativeFrom="column">
                  <wp:posOffset>-180975</wp:posOffset>
                </wp:positionH>
                <wp:positionV relativeFrom="paragraph">
                  <wp:posOffset>744855</wp:posOffset>
                </wp:positionV>
                <wp:extent cx="7267575" cy="2800985"/>
                <wp:effectExtent l="0" t="0" r="2857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2800985"/>
                        </a:xfrm>
                        <a:prstGeom prst="rect">
                          <a:avLst/>
                        </a:prstGeom>
                        <a:solidFill>
                          <a:srgbClr val="FFFFFF"/>
                        </a:solidFill>
                        <a:ln w="9525">
                          <a:solidFill>
                            <a:srgbClr val="000000"/>
                          </a:solidFill>
                          <a:miter lim="800000"/>
                          <a:headEnd/>
                          <a:tailEnd/>
                        </a:ln>
                      </wps:spPr>
                      <wps:txbx>
                        <w:txbxContent>
                          <w:p w14:paraId="21D7DDE2" w14:textId="77777777" w:rsidR="00C9359B" w:rsidRPr="005844AC" w:rsidRDefault="00C9359B" w:rsidP="00C9359B">
                            <w:pPr>
                              <w:rPr>
                                <w:sz w:val="16"/>
                                <w:szCs w:val="16"/>
                              </w:rPr>
                            </w:pPr>
                            <w:r w:rsidRPr="005844AC">
                              <w:rPr>
                                <w:b/>
                                <w:sz w:val="16"/>
                                <w:szCs w:val="16"/>
                              </w:rPr>
                              <w:t>Paperwork Reduction Act Notification</w:t>
                            </w:r>
                            <w:r w:rsidRPr="005844AC">
                              <w:rPr>
                                <w:sz w:val="16"/>
                                <w:szCs w:val="16"/>
                              </w:rPr>
                              <w:t>: The Commerce Trusted Trader Program application is an information collection subject to the Paperwork Reduction Act. This information collection was approved by the Office of Management and Budget under Control Number: 0648-0739 and expires on 12/31/2019. Public reporting burden for this collection of infor</w:t>
                            </w:r>
                            <w:r w:rsidR="003B7276">
                              <w:rPr>
                                <w:sz w:val="16"/>
                                <w:szCs w:val="16"/>
                              </w:rPr>
                              <w:t>mation is estimated to average 10</w:t>
                            </w:r>
                            <w:r w:rsidRPr="005844AC">
                              <w:rPr>
                                <w:sz w:val="16"/>
                                <w:szCs w:val="16"/>
                              </w:rPr>
                              <w:t xml:space="preserve"> minutes per response, including time for reviewing instructions, searching existing data sources, gathering and maintaining data needed, and completing and reviewing the information. Send comments regarding this burden estimate or suggestions for reducing this burden to: NMFS, Office for International Affairs and Seafood Inspection, 1315 East West Highway, Silver Spring, MD 20910.</w:t>
                            </w:r>
                          </w:p>
                          <w:p w14:paraId="7167F4CD" w14:textId="3C37B083" w:rsidR="00C9359B" w:rsidRPr="005844AC" w:rsidRDefault="00C9359B" w:rsidP="00C9359B">
                            <w:pPr>
                              <w:rPr>
                                <w:sz w:val="16"/>
                                <w:szCs w:val="16"/>
                              </w:rPr>
                            </w:pPr>
                            <w:r w:rsidRPr="005844AC">
                              <w:rPr>
                                <w:sz w:val="16"/>
                                <w:szCs w:val="16"/>
                              </w:rPr>
                              <w:t>The Paperwork Reduction Act requires potential respondents for the Commerce Trusted Trader Program to be notified of certain information regarding their rights and the burden associated with applying for the program. One of the regulatory steps taken by NMFS to carry out conservation and management objectives is the requirement of a permit and reporting and recordkeeping for importers of the fishery products subject to trade monitoring programs. Section 307(1)(Q) of the Magnuson-Stevens Fishery Conservation and Management Act authorizes the promulgation of regulations as may be necessary and appropriate to prevent the import and export of fishery products taken in violation of the Magnuson-Stevens Act, a foreign law or regulation, or a binding conservation measure of a regional fisheries organization to which the United States is a contracting party.</w:t>
                            </w:r>
                          </w:p>
                          <w:p w14:paraId="3C27442D" w14:textId="77777777" w:rsidR="00C9359B" w:rsidRPr="005844AC" w:rsidRDefault="00C9359B">
                            <w:pPr>
                              <w:rPr>
                                <w:sz w:val="16"/>
                                <w:szCs w:val="16"/>
                              </w:rPr>
                            </w:pPr>
                            <w:r w:rsidRPr="005844AC">
                              <w:rPr>
                                <w:sz w:val="16"/>
                                <w:szCs w:val="16"/>
                              </w:rPr>
                              <w:t>Name and address information of permit holders may be released via a NOAA website. Pursuant to Section 402(b) of the Magnuson-Stevens Act, and consistent with NOAA Administrative Order 216-100 (Confidentiality of Fisheries Statistics), the Agency does not release confidential information submitted in compliance with provisions of the Act, other than in aggregate form and under circumstances required or authorized by law. Whenever data are requested or released to the general public, the Agency ensures that information on the pecuniary business activity of a permit holder is not identified.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25pt;margin-top:58.65pt;width:572.25pt;height:220.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">
                <v:textbox>
                  <w:txbxContent>
                    <w:p w14:paraId="21D7DDE2" w14:textId="77777777" w:rsidR="00C9359B" w:rsidRPr="005844AC" w:rsidRDefault="00C9359B" w:rsidP="00C9359B">
                      <w:pPr>
                        <w:rPr>
                          <w:sz w:val="16"/>
                          <w:szCs w:val="16"/>
                        </w:rPr>
                      </w:pPr>
                      <w:r w:rsidRPr="005844AC">
                        <w:rPr>
                          <w:b/>
                          <w:sz w:val="16"/>
                          <w:szCs w:val="16"/>
                        </w:rPr>
                        <w:t>Paperwork Reduction Act Notification</w:t>
                      </w:r>
                      <w:r w:rsidRPr="005844AC">
                        <w:rPr>
                          <w:sz w:val="16"/>
                          <w:szCs w:val="16"/>
                        </w:rPr>
                        <w:t>: The Commerce Trusted Trader Program application is an information collection subject to the Paperwork Reduction Act. This information collection was approved by the Office of Management and Budget under Control Number: 0648-0739 and expires on 12/31/2019. Public reporting burden for this collection of infor</w:t>
                      </w:r>
                      <w:r w:rsidR="003B7276">
                        <w:rPr>
                          <w:sz w:val="16"/>
                          <w:szCs w:val="16"/>
                        </w:rPr>
                        <w:t>mation is estimated to average 10</w:t>
                      </w:r>
                      <w:r w:rsidRPr="005844AC">
                        <w:rPr>
                          <w:sz w:val="16"/>
                          <w:szCs w:val="16"/>
                        </w:rPr>
                        <w:t xml:space="preserve"> minutes per response, including time for reviewing instructions, searching existing data sources, gathering and maintaining data needed, and completing and reviewing the information. Send comments regarding this burden estimate or suggestions for reducing this burden to: NMFS, Office for International Affairs and Seafood Inspection, 1315 East West Highway, Silver Spring, MD 20910.</w:t>
                      </w:r>
                    </w:p>
                    <w:p w14:paraId="7167F4CD" w14:textId="3C37B083" w:rsidR="00C9359B" w:rsidRPr="005844AC" w:rsidRDefault="00C9359B" w:rsidP="00C9359B">
                      <w:pPr>
                        <w:rPr>
                          <w:sz w:val="16"/>
                          <w:szCs w:val="16"/>
                        </w:rPr>
                      </w:pPr>
                      <w:r w:rsidRPr="005844AC">
                        <w:rPr>
                          <w:sz w:val="16"/>
                          <w:szCs w:val="16"/>
                        </w:rPr>
                        <w:t>The Paperwork Reduction Act requires potential respondents for the Commerce Trusted Trader Program to be notified of certain information regarding their rights and the burden associated with applying for the program. One of the regulatory steps taken by NMFS to carry out conservation and management objectives is the requirement of a permit and reporting and recordkeeping for importers of the fishery products subject to trade monitoring programs. Section 307(1)(Q) of the Magnuson-Stevens Fishery Conservation and Management Act authorizes the promulgation of regulations as may be necessary and appropriate to prevent the import and export of fishery products taken in violation of the Magnuson-Stevens Act, a foreign law or regulation, or a binding conservation measure of a regional fisheries organization to which the United States is a contracting party.</w:t>
                      </w:r>
                    </w:p>
                    <w:p w14:paraId="3C27442D" w14:textId="77777777" w:rsidR="00C9359B" w:rsidRPr="005844AC" w:rsidRDefault="00C9359B">
                      <w:pPr>
                        <w:rPr>
                          <w:sz w:val="16"/>
                          <w:szCs w:val="16"/>
                        </w:rPr>
                      </w:pPr>
                      <w:r w:rsidRPr="005844AC">
                        <w:rPr>
                          <w:sz w:val="16"/>
                          <w:szCs w:val="16"/>
                        </w:rPr>
                        <w:t>Name and address information of permit holders may be released via a NOAA website. Pursuant to Section 402(b) of the Magnuson-Stevens Act, and consistent with NOAA Administrative Order 216-100 (Confidentiality of Fisheries Statistics), the Agency does not release confidential information submitted in compliance with provisions of the Act, other than in aggregate form and under circumstances required or authorized by law. Whenever data are requested or released to the general public, the Agency ensures that information on the pecuniary business activity of a permit holder is not identified.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txbxContent>
                </v:textbox>
                <w10:wrap type="square"/>
              </v:shape>
            </w:pict>
          </mc:Fallback>
        </mc:AlternateContent>
      </w:r>
      <w:r>
        <w:t>Signature: _____________________________________________________</w:t>
      </w:r>
      <w:r>
        <w:tab/>
        <w:t>Date: _____________</w:t>
      </w:r>
    </w:p>
    <w:sectPr w:rsidR="00C9359B" w:rsidSect="005844A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892BF8" w14:textId="77777777" w:rsidR="0055723B" w:rsidRDefault="0055723B" w:rsidP="00F14C71">
      <w:pPr>
        <w:spacing w:after="0" w:line="240" w:lineRule="auto"/>
      </w:pPr>
      <w:r>
        <w:separator/>
      </w:r>
    </w:p>
  </w:endnote>
  <w:endnote w:type="continuationSeparator" w:id="0">
    <w:p w14:paraId="0F92564B" w14:textId="77777777" w:rsidR="0055723B" w:rsidRDefault="0055723B" w:rsidP="00F14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23F18" w14:textId="77777777" w:rsidR="00F14C71" w:rsidRDefault="00F14C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C3FAA" w14:textId="77777777" w:rsidR="00F14C71" w:rsidRDefault="00F14C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4ED25" w14:textId="77777777" w:rsidR="00F14C71" w:rsidRDefault="00F14C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62C9AB" w14:textId="77777777" w:rsidR="0055723B" w:rsidRDefault="0055723B" w:rsidP="00F14C71">
      <w:pPr>
        <w:spacing w:after="0" w:line="240" w:lineRule="auto"/>
      </w:pPr>
      <w:r>
        <w:separator/>
      </w:r>
    </w:p>
  </w:footnote>
  <w:footnote w:type="continuationSeparator" w:id="0">
    <w:p w14:paraId="47146EB8" w14:textId="77777777" w:rsidR="0055723B" w:rsidRDefault="0055723B" w:rsidP="00F14C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D19CB" w14:textId="77777777" w:rsidR="00F14C71" w:rsidRDefault="00F14C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FC949" w14:textId="019721E0" w:rsidR="00F14C71" w:rsidRDefault="00F14C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F6EBC" w14:textId="77777777" w:rsidR="00F14C71" w:rsidRDefault="00F14C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F74"/>
    <w:rsid w:val="00004E0D"/>
    <w:rsid w:val="0002339D"/>
    <w:rsid w:val="000B76B0"/>
    <w:rsid w:val="000B777F"/>
    <w:rsid w:val="000C028E"/>
    <w:rsid w:val="000C3032"/>
    <w:rsid w:val="001942B1"/>
    <w:rsid w:val="002105CE"/>
    <w:rsid w:val="002159E7"/>
    <w:rsid w:val="0022343F"/>
    <w:rsid w:val="0024423B"/>
    <w:rsid w:val="0028413D"/>
    <w:rsid w:val="002B2F9F"/>
    <w:rsid w:val="003379F4"/>
    <w:rsid w:val="003447A6"/>
    <w:rsid w:val="003A34DA"/>
    <w:rsid w:val="003B7276"/>
    <w:rsid w:val="00433AB9"/>
    <w:rsid w:val="00445C20"/>
    <w:rsid w:val="004665EE"/>
    <w:rsid w:val="004857F5"/>
    <w:rsid w:val="004B2B05"/>
    <w:rsid w:val="004F11D5"/>
    <w:rsid w:val="00542321"/>
    <w:rsid w:val="00547107"/>
    <w:rsid w:val="0055723B"/>
    <w:rsid w:val="005844AC"/>
    <w:rsid w:val="005E2349"/>
    <w:rsid w:val="005E2AC6"/>
    <w:rsid w:val="005F03FF"/>
    <w:rsid w:val="00626369"/>
    <w:rsid w:val="00635E92"/>
    <w:rsid w:val="00645F03"/>
    <w:rsid w:val="00683D40"/>
    <w:rsid w:val="00727764"/>
    <w:rsid w:val="00761DE0"/>
    <w:rsid w:val="007E7513"/>
    <w:rsid w:val="0084312A"/>
    <w:rsid w:val="00855B0F"/>
    <w:rsid w:val="008C682C"/>
    <w:rsid w:val="009F6A79"/>
    <w:rsid w:val="00A17136"/>
    <w:rsid w:val="00A64F96"/>
    <w:rsid w:val="00AB5AB5"/>
    <w:rsid w:val="00AD3A33"/>
    <w:rsid w:val="00B16168"/>
    <w:rsid w:val="00B9459E"/>
    <w:rsid w:val="00BD2E60"/>
    <w:rsid w:val="00BF031B"/>
    <w:rsid w:val="00C361C0"/>
    <w:rsid w:val="00C80032"/>
    <w:rsid w:val="00C9359B"/>
    <w:rsid w:val="00CA2F74"/>
    <w:rsid w:val="00CD575D"/>
    <w:rsid w:val="00D36239"/>
    <w:rsid w:val="00D47DE9"/>
    <w:rsid w:val="00D77723"/>
    <w:rsid w:val="00D87122"/>
    <w:rsid w:val="00DB5717"/>
    <w:rsid w:val="00DF7A34"/>
    <w:rsid w:val="00E44031"/>
    <w:rsid w:val="00E836B8"/>
    <w:rsid w:val="00E86D3A"/>
    <w:rsid w:val="00EB26C2"/>
    <w:rsid w:val="00ED0D8C"/>
    <w:rsid w:val="00F14C71"/>
    <w:rsid w:val="00FD2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6D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C20"/>
    <w:pPr>
      <w:ind w:left="720"/>
      <w:contextualSpacing/>
    </w:pPr>
  </w:style>
  <w:style w:type="paragraph" w:styleId="Header">
    <w:name w:val="header"/>
    <w:basedOn w:val="Normal"/>
    <w:link w:val="HeaderChar"/>
    <w:uiPriority w:val="99"/>
    <w:unhideWhenUsed/>
    <w:rsid w:val="00F14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C71"/>
  </w:style>
  <w:style w:type="paragraph" w:styleId="Footer">
    <w:name w:val="footer"/>
    <w:basedOn w:val="Normal"/>
    <w:link w:val="FooterChar"/>
    <w:uiPriority w:val="99"/>
    <w:unhideWhenUsed/>
    <w:rsid w:val="00F14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C71"/>
  </w:style>
  <w:style w:type="paragraph" w:styleId="BalloonText">
    <w:name w:val="Balloon Text"/>
    <w:basedOn w:val="Normal"/>
    <w:link w:val="BalloonTextChar"/>
    <w:uiPriority w:val="99"/>
    <w:semiHidden/>
    <w:unhideWhenUsed/>
    <w:rsid w:val="00AD3A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A33"/>
    <w:rPr>
      <w:rFonts w:ascii="Segoe UI" w:hAnsi="Segoe UI" w:cs="Segoe UI"/>
      <w:sz w:val="18"/>
      <w:szCs w:val="18"/>
    </w:rPr>
  </w:style>
  <w:style w:type="character" w:styleId="CommentReference">
    <w:name w:val="annotation reference"/>
    <w:basedOn w:val="DefaultParagraphFont"/>
    <w:uiPriority w:val="99"/>
    <w:semiHidden/>
    <w:unhideWhenUsed/>
    <w:rsid w:val="00C361C0"/>
    <w:rPr>
      <w:sz w:val="16"/>
      <w:szCs w:val="16"/>
    </w:rPr>
  </w:style>
  <w:style w:type="paragraph" w:styleId="CommentText">
    <w:name w:val="annotation text"/>
    <w:basedOn w:val="Normal"/>
    <w:link w:val="CommentTextChar"/>
    <w:uiPriority w:val="99"/>
    <w:semiHidden/>
    <w:unhideWhenUsed/>
    <w:rsid w:val="00C361C0"/>
    <w:pPr>
      <w:spacing w:line="240" w:lineRule="auto"/>
    </w:pPr>
    <w:rPr>
      <w:sz w:val="20"/>
      <w:szCs w:val="20"/>
    </w:rPr>
  </w:style>
  <w:style w:type="character" w:customStyle="1" w:styleId="CommentTextChar">
    <w:name w:val="Comment Text Char"/>
    <w:basedOn w:val="DefaultParagraphFont"/>
    <w:link w:val="CommentText"/>
    <w:uiPriority w:val="99"/>
    <w:semiHidden/>
    <w:rsid w:val="00C361C0"/>
    <w:rPr>
      <w:sz w:val="20"/>
      <w:szCs w:val="20"/>
    </w:rPr>
  </w:style>
  <w:style w:type="paragraph" w:styleId="CommentSubject">
    <w:name w:val="annotation subject"/>
    <w:basedOn w:val="CommentText"/>
    <w:next w:val="CommentText"/>
    <w:link w:val="CommentSubjectChar"/>
    <w:uiPriority w:val="99"/>
    <w:semiHidden/>
    <w:unhideWhenUsed/>
    <w:rsid w:val="00C361C0"/>
    <w:rPr>
      <w:b/>
      <w:bCs/>
    </w:rPr>
  </w:style>
  <w:style w:type="character" w:customStyle="1" w:styleId="CommentSubjectChar">
    <w:name w:val="Comment Subject Char"/>
    <w:basedOn w:val="CommentTextChar"/>
    <w:link w:val="CommentSubject"/>
    <w:uiPriority w:val="99"/>
    <w:semiHidden/>
    <w:rsid w:val="00C361C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C20"/>
    <w:pPr>
      <w:ind w:left="720"/>
      <w:contextualSpacing/>
    </w:pPr>
  </w:style>
  <w:style w:type="paragraph" w:styleId="Header">
    <w:name w:val="header"/>
    <w:basedOn w:val="Normal"/>
    <w:link w:val="HeaderChar"/>
    <w:uiPriority w:val="99"/>
    <w:unhideWhenUsed/>
    <w:rsid w:val="00F14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C71"/>
  </w:style>
  <w:style w:type="paragraph" w:styleId="Footer">
    <w:name w:val="footer"/>
    <w:basedOn w:val="Normal"/>
    <w:link w:val="FooterChar"/>
    <w:uiPriority w:val="99"/>
    <w:unhideWhenUsed/>
    <w:rsid w:val="00F14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C71"/>
  </w:style>
  <w:style w:type="paragraph" w:styleId="BalloonText">
    <w:name w:val="Balloon Text"/>
    <w:basedOn w:val="Normal"/>
    <w:link w:val="BalloonTextChar"/>
    <w:uiPriority w:val="99"/>
    <w:semiHidden/>
    <w:unhideWhenUsed/>
    <w:rsid w:val="00AD3A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A33"/>
    <w:rPr>
      <w:rFonts w:ascii="Segoe UI" w:hAnsi="Segoe UI" w:cs="Segoe UI"/>
      <w:sz w:val="18"/>
      <w:szCs w:val="18"/>
    </w:rPr>
  </w:style>
  <w:style w:type="character" w:styleId="CommentReference">
    <w:name w:val="annotation reference"/>
    <w:basedOn w:val="DefaultParagraphFont"/>
    <w:uiPriority w:val="99"/>
    <w:semiHidden/>
    <w:unhideWhenUsed/>
    <w:rsid w:val="00C361C0"/>
    <w:rPr>
      <w:sz w:val="16"/>
      <w:szCs w:val="16"/>
    </w:rPr>
  </w:style>
  <w:style w:type="paragraph" w:styleId="CommentText">
    <w:name w:val="annotation text"/>
    <w:basedOn w:val="Normal"/>
    <w:link w:val="CommentTextChar"/>
    <w:uiPriority w:val="99"/>
    <w:semiHidden/>
    <w:unhideWhenUsed/>
    <w:rsid w:val="00C361C0"/>
    <w:pPr>
      <w:spacing w:line="240" w:lineRule="auto"/>
    </w:pPr>
    <w:rPr>
      <w:sz w:val="20"/>
      <w:szCs w:val="20"/>
    </w:rPr>
  </w:style>
  <w:style w:type="character" w:customStyle="1" w:styleId="CommentTextChar">
    <w:name w:val="Comment Text Char"/>
    <w:basedOn w:val="DefaultParagraphFont"/>
    <w:link w:val="CommentText"/>
    <w:uiPriority w:val="99"/>
    <w:semiHidden/>
    <w:rsid w:val="00C361C0"/>
    <w:rPr>
      <w:sz w:val="20"/>
      <w:szCs w:val="20"/>
    </w:rPr>
  </w:style>
  <w:style w:type="paragraph" w:styleId="CommentSubject">
    <w:name w:val="annotation subject"/>
    <w:basedOn w:val="CommentText"/>
    <w:next w:val="CommentText"/>
    <w:link w:val="CommentSubjectChar"/>
    <w:uiPriority w:val="99"/>
    <w:semiHidden/>
    <w:unhideWhenUsed/>
    <w:rsid w:val="00C361C0"/>
    <w:rPr>
      <w:b/>
      <w:bCs/>
    </w:rPr>
  </w:style>
  <w:style w:type="character" w:customStyle="1" w:styleId="CommentSubjectChar">
    <w:name w:val="Comment Subject Char"/>
    <w:basedOn w:val="CommentTextChar"/>
    <w:link w:val="CommentSubject"/>
    <w:uiPriority w:val="99"/>
    <w:semiHidden/>
    <w:rsid w:val="00C361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C1DF0-7AF4-4F07-99F9-7A27B4A9B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2018-01-18T15:37:00Z</dcterms:created>
  <dcterms:modified xsi:type="dcterms:W3CDTF">2018-01-18T15:37:00Z</dcterms:modified>
</cp:coreProperties>
</file>