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1E621" w14:textId="77777777" w:rsidR="00D90AE2" w:rsidRDefault="00D90AE2" w:rsidP="00D90AE2">
      <w:pPr>
        <w:pStyle w:val="C1-CtrBoldHd"/>
      </w:pPr>
      <w:bookmarkStart w:id="0" w:name="_Toc316309682"/>
      <w:bookmarkStart w:id="1" w:name="_Toc315969086"/>
      <w:bookmarkStart w:id="2" w:name="_Toc316312714"/>
      <w:bookmarkStart w:id="3" w:name="_Toc318292704"/>
      <w:bookmarkStart w:id="4" w:name="_Toc320539717"/>
      <w:bookmarkStart w:id="5" w:name="_Toc406768945"/>
      <w:r w:rsidRPr="00B3142C">
        <w:t xml:space="preserve">Supporting </w:t>
      </w:r>
      <w:r>
        <w:t>Statement – Part B</w:t>
      </w:r>
      <w:r>
        <w:br/>
        <w:t>for</w:t>
      </w:r>
      <w:r>
        <w:br/>
        <w:t>OMB Control Number 0584-0530</w:t>
      </w:r>
    </w:p>
    <w:p w14:paraId="36267806" w14:textId="122C5DC8" w:rsidR="00D90AE2" w:rsidRPr="00B3142C" w:rsidRDefault="007C3038" w:rsidP="00D90AE2">
      <w:pPr>
        <w:pStyle w:val="C1-CtrBoldHd"/>
      </w:pPr>
      <w:r>
        <w:t xml:space="preserve">Third </w:t>
      </w:r>
      <w:r w:rsidR="00D90AE2">
        <w:t>Access</w:t>
      </w:r>
      <w:r w:rsidR="00CD3D5F">
        <w:t>,</w:t>
      </w:r>
      <w:r w:rsidR="00D90AE2">
        <w:t xml:space="preserve"> Participation</w:t>
      </w:r>
      <w:r w:rsidR="00CD3D5F">
        <w:t>,</w:t>
      </w:r>
      <w:r w:rsidR="00D90AE2">
        <w:t xml:space="preserve"> Eligibility and Certification Study Series (APEC III)</w:t>
      </w:r>
    </w:p>
    <w:p w14:paraId="7CD757B7" w14:textId="77777777" w:rsidR="00D90AE2" w:rsidRDefault="00D90AE2" w:rsidP="00D90AE2">
      <w:pPr>
        <w:pStyle w:val="C1-CtrBoldHd"/>
      </w:pPr>
      <w:bookmarkStart w:id="6" w:name="RepTitle"/>
      <w:bookmarkStart w:id="7" w:name="RepType"/>
      <w:bookmarkStart w:id="8" w:name="DateMark"/>
      <w:bookmarkEnd w:id="6"/>
      <w:bookmarkEnd w:id="7"/>
      <w:bookmarkEnd w:id="8"/>
    </w:p>
    <w:p w14:paraId="6C4D0A01" w14:textId="77777777" w:rsidR="00D90AE2" w:rsidRDefault="00D90AE2" w:rsidP="00D90AE2">
      <w:pPr>
        <w:pStyle w:val="C1-CtrBoldHd"/>
      </w:pPr>
    </w:p>
    <w:p w14:paraId="6285B263" w14:textId="272488FE" w:rsidR="00D90AE2" w:rsidRDefault="005B538C" w:rsidP="00D90AE2">
      <w:pPr>
        <w:pStyle w:val="C1-CtrBoldHd"/>
      </w:pPr>
      <w:r>
        <w:t xml:space="preserve">May </w:t>
      </w:r>
      <w:r w:rsidR="00D90AE2">
        <w:t>2017</w:t>
      </w:r>
    </w:p>
    <w:p w14:paraId="3E195AB4" w14:textId="77777777" w:rsidR="00D90AE2" w:rsidRDefault="00D90AE2" w:rsidP="00D90AE2">
      <w:pPr>
        <w:pStyle w:val="C1-CtrBoldHd"/>
      </w:pPr>
    </w:p>
    <w:p w14:paraId="6DB983F4" w14:textId="77777777" w:rsidR="00D90AE2" w:rsidRDefault="00D90AE2" w:rsidP="00D90AE2">
      <w:pPr>
        <w:pStyle w:val="C1-CtrBoldHd"/>
      </w:pPr>
    </w:p>
    <w:p w14:paraId="01081C4F" w14:textId="77777777" w:rsidR="00D90AE2" w:rsidRPr="003952F4" w:rsidRDefault="00D90AE2" w:rsidP="00D90AE2">
      <w:pPr>
        <w:pStyle w:val="C1-CtrBoldHd"/>
        <w:spacing w:after="0" w:line="240" w:lineRule="auto"/>
        <w:rPr>
          <w:szCs w:val="28"/>
        </w:rPr>
      </w:pPr>
      <w:r w:rsidRPr="003952F4">
        <w:rPr>
          <w:szCs w:val="28"/>
        </w:rPr>
        <w:t>Devin Wallace-Williams, PhD</w:t>
      </w:r>
    </w:p>
    <w:p w14:paraId="2F32AF22" w14:textId="77777777" w:rsidR="00D90AE2" w:rsidRPr="003952F4" w:rsidRDefault="00D90AE2" w:rsidP="00D90AE2">
      <w:pPr>
        <w:pStyle w:val="C1-CtrBoldHd"/>
        <w:spacing w:after="0" w:line="240" w:lineRule="auto"/>
        <w:rPr>
          <w:szCs w:val="28"/>
        </w:rPr>
      </w:pPr>
      <w:r w:rsidRPr="003952F4">
        <w:rPr>
          <w:szCs w:val="28"/>
        </w:rPr>
        <w:t>Social Science Research Analyst</w:t>
      </w:r>
    </w:p>
    <w:p w14:paraId="46757A2D" w14:textId="77777777" w:rsidR="00D90AE2" w:rsidRPr="003952F4" w:rsidRDefault="00D90AE2" w:rsidP="00D90AE2">
      <w:pPr>
        <w:pStyle w:val="C1-CtrBoldHd"/>
        <w:spacing w:after="0" w:line="240" w:lineRule="auto"/>
        <w:rPr>
          <w:szCs w:val="28"/>
        </w:rPr>
      </w:pPr>
      <w:r w:rsidRPr="003952F4">
        <w:rPr>
          <w:szCs w:val="28"/>
        </w:rPr>
        <w:t>Office of Policy Support</w:t>
      </w:r>
    </w:p>
    <w:p w14:paraId="23DCF8FD" w14:textId="77777777" w:rsidR="00D90AE2" w:rsidRPr="003952F4" w:rsidRDefault="00D90AE2" w:rsidP="00D90AE2">
      <w:pPr>
        <w:pStyle w:val="C1-CtrBoldHd"/>
        <w:spacing w:after="0" w:line="240" w:lineRule="auto"/>
        <w:rPr>
          <w:szCs w:val="28"/>
        </w:rPr>
      </w:pPr>
      <w:r w:rsidRPr="003952F4">
        <w:rPr>
          <w:szCs w:val="28"/>
        </w:rPr>
        <w:t>Food and Nutrition Service</w:t>
      </w:r>
    </w:p>
    <w:p w14:paraId="6F48BB9A" w14:textId="77777777" w:rsidR="00D90AE2" w:rsidRPr="003952F4" w:rsidRDefault="00D90AE2" w:rsidP="00D90AE2">
      <w:pPr>
        <w:pStyle w:val="C1-CtrBoldHd"/>
        <w:spacing w:after="0" w:line="240" w:lineRule="auto"/>
        <w:rPr>
          <w:szCs w:val="28"/>
        </w:rPr>
      </w:pPr>
      <w:r w:rsidRPr="003952F4">
        <w:rPr>
          <w:szCs w:val="28"/>
        </w:rPr>
        <w:t>United States Department of Agriculture</w:t>
      </w:r>
    </w:p>
    <w:p w14:paraId="5451FDE7" w14:textId="77777777" w:rsidR="00D90AE2" w:rsidRPr="003952F4" w:rsidRDefault="00D90AE2" w:rsidP="00D90AE2">
      <w:pPr>
        <w:pStyle w:val="C1-CtrBoldHd"/>
        <w:spacing w:after="0" w:line="240" w:lineRule="auto"/>
        <w:rPr>
          <w:szCs w:val="28"/>
        </w:rPr>
      </w:pPr>
      <w:r w:rsidRPr="003952F4">
        <w:rPr>
          <w:szCs w:val="28"/>
        </w:rPr>
        <w:t>3101 Park Center Drive</w:t>
      </w:r>
    </w:p>
    <w:p w14:paraId="6886639A" w14:textId="77777777" w:rsidR="00D90AE2" w:rsidRPr="003952F4" w:rsidRDefault="00D90AE2" w:rsidP="00D90AE2">
      <w:pPr>
        <w:pStyle w:val="C1-CtrBoldHd"/>
        <w:spacing w:after="0" w:line="240" w:lineRule="auto"/>
        <w:rPr>
          <w:szCs w:val="28"/>
        </w:rPr>
      </w:pPr>
      <w:r w:rsidRPr="003952F4">
        <w:rPr>
          <w:szCs w:val="28"/>
        </w:rPr>
        <w:t>Alexandria, Virginia 22302</w:t>
      </w:r>
    </w:p>
    <w:p w14:paraId="06A7FF3D" w14:textId="77777777" w:rsidR="00D90AE2" w:rsidRPr="003952F4" w:rsidRDefault="00D90AE2" w:rsidP="00D90AE2">
      <w:pPr>
        <w:pStyle w:val="C1-CtrBoldHd"/>
        <w:spacing w:after="0" w:line="240" w:lineRule="auto"/>
        <w:rPr>
          <w:szCs w:val="28"/>
        </w:rPr>
      </w:pPr>
      <w:r w:rsidRPr="003952F4">
        <w:rPr>
          <w:szCs w:val="28"/>
        </w:rPr>
        <w:t>Phone: 703-457-6791</w:t>
      </w:r>
    </w:p>
    <w:p w14:paraId="75F77709" w14:textId="77777777" w:rsidR="00D90AE2" w:rsidRPr="003952F4" w:rsidRDefault="00D90AE2" w:rsidP="00D90AE2">
      <w:pPr>
        <w:pStyle w:val="C1-CtrBoldHd"/>
        <w:spacing w:after="0" w:line="240" w:lineRule="auto"/>
        <w:rPr>
          <w:szCs w:val="28"/>
        </w:rPr>
      </w:pPr>
      <w:r w:rsidRPr="003952F4">
        <w:rPr>
          <w:szCs w:val="28"/>
        </w:rPr>
        <w:t xml:space="preserve">Email: </w:t>
      </w:r>
      <w:hyperlink r:id="rId9" w:history="1">
        <w:r w:rsidRPr="003952F4">
          <w:rPr>
            <w:rStyle w:val="Hyperlink"/>
            <w:szCs w:val="28"/>
          </w:rPr>
          <w:t>Devin.Wallace-Williams@fns.usda.gov</w:t>
        </w:r>
      </w:hyperlink>
    </w:p>
    <w:p w14:paraId="319E9718" w14:textId="77777777" w:rsidR="00D90AE2" w:rsidRPr="00715322" w:rsidRDefault="00D90AE2" w:rsidP="00D90AE2">
      <w:pPr>
        <w:spacing w:before="144" w:after="288" w:line="360" w:lineRule="exact"/>
        <w:ind w:right="360"/>
        <w:jc w:val="center"/>
        <w:rPr>
          <w:rFonts w:ascii="Lucida Sans" w:hAnsi="Lucida Sans"/>
          <w:sz w:val="22"/>
          <w:szCs w:val="22"/>
        </w:rPr>
      </w:pPr>
    </w:p>
    <w:p w14:paraId="2C175341" w14:textId="77777777" w:rsidR="00D90AE2" w:rsidRPr="006E3562" w:rsidRDefault="00D90AE2" w:rsidP="00D90AE2">
      <w:pPr>
        <w:spacing w:line="280" w:lineRule="exact"/>
        <w:ind w:left="5225"/>
        <w:rPr>
          <w:rFonts w:ascii="Lucida Sans" w:hAnsi="Lucida Sans"/>
          <w:sz w:val="20"/>
        </w:rPr>
      </w:pPr>
      <w:bookmarkStart w:id="9" w:name="StartingPoint"/>
      <w:bookmarkEnd w:id="9"/>
    </w:p>
    <w:p w14:paraId="15E1AECC" w14:textId="77777777" w:rsidR="00D90AE2" w:rsidRPr="006E3562" w:rsidRDefault="00D90AE2" w:rsidP="00D90AE2">
      <w:pPr>
        <w:spacing w:line="264" w:lineRule="auto"/>
        <w:ind w:left="5040"/>
        <w:rPr>
          <w:rFonts w:ascii="Lucida Sans" w:hAnsi="Lucida Sans"/>
          <w:sz w:val="20"/>
        </w:rPr>
        <w:sectPr w:rsidR="00D90AE2" w:rsidRPr="006E3562" w:rsidSect="00D90AE2">
          <w:type w:val="continuous"/>
          <w:pgSz w:w="12240" w:h="15840"/>
          <w:pgMar w:top="1440" w:right="1440" w:bottom="1440" w:left="1440" w:header="720" w:footer="576" w:gutter="0"/>
          <w:cols w:space="720"/>
          <w:titlePg/>
          <w:docGrid w:linePitch="326"/>
        </w:sectPr>
      </w:pPr>
    </w:p>
    <w:bookmarkEnd w:id="0"/>
    <w:p w14:paraId="0DFB74D8" w14:textId="77777777" w:rsidR="00D90AE2" w:rsidRPr="00FD55DE" w:rsidRDefault="00D90AE2" w:rsidP="00D90AE2">
      <w:pPr>
        <w:pStyle w:val="C2-CtrSglSp"/>
      </w:pPr>
      <w:r w:rsidRPr="00FD55DE">
        <w:lastRenderedPageBreak/>
        <w:t xml:space="preserve">This page is </w:t>
      </w:r>
      <w:r w:rsidR="00025218">
        <w:t>i</w:t>
      </w:r>
      <w:r w:rsidR="00025218" w:rsidRPr="00FD55DE">
        <w:t xml:space="preserve">ntentionally </w:t>
      </w:r>
      <w:r w:rsidRPr="00FD55DE">
        <w:t>blank</w:t>
      </w:r>
      <w:r>
        <w:t>.</w:t>
      </w:r>
    </w:p>
    <w:p w14:paraId="02BE46CF" w14:textId="77777777" w:rsidR="00D90AE2" w:rsidRDefault="00D90AE2" w:rsidP="00D90AE2">
      <w:pPr>
        <w:spacing w:line="240" w:lineRule="auto"/>
        <w:rPr>
          <w:rFonts w:ascii="Lucida Sans" w:hAnsi="Lucida Sans" w:cs="Lucida Sans"/>
          <w:b/>
          <w:szCs w:val="24"/>
        </w:rPr>
      </w:pPr>
      <w:r>
        <w:rPr>
          <w:rFonts w:ascii="Lucida Sans" w:hAnsi="Lucida Sans" w:cs="Lucida Sans"/>
          <w:b/>
          <w:szCs w:val="24"/>
        </w:rPr>
        <w:br w:type="page"/>
      </w:r>
    </w:p>
    <w:p w14:paraId="58AF197D" w14:textId="77777777" w:rsidR="00D90AE2" w:rsidRDefault="00D90AE2" w:rsidP="00D90AE2">
      <w:pPr>
        <w:tabs>
          <w:tab w:val="left" w:pos="360"/>
          <w:tab w:val="center" w:pos="4680"/>
        </w:tabs>
        <w:spacing w:line="480" w:lineRule="auto"/>
        <w:jc w:val="both"/>
        <w:rPr>
          <w:rFonts w:ascii="Lucida Sans" w:hAnsi="Lucida Sans"/>
          <w:b/>
          <w:sz w:val="22"/>
          <w:szCs w:val="22"/>
        </w:rPr>
      </w:pPr>
    </w:p>
    <w:p w14:paraId="5071A348" w14:textId="77777777" w:rsidR="00D90AE2" w:rsidRPr="0010255D" w:rsidRDefault="007B308A" w:rsidP="007B308A">
      <w:pPr>
        <w:pStyle w:val="TC-TableofContentsHeading"/>
      </w:pPr>
      <w:r w:rsidRPr="0010255D">
        <w:t>Table of Contents</w:t>
      </w:r>
    </w:p>
    <w:p w14:paraId="3291EDF4" w14:textId="77777777" w:rsidR="00A91312" w:rsidRPr="00911303" w:rsidRDefault="00A91312" w:rsidP="00A91312">
      <w:pPr>
        <w:pStyle w:val="TOC1"/>
        <w:rPr>
          <w:rFonts w:eastAsiaTheme="minorEastAsia"/>
        </w:rPr>
      </w:pPr>
      <w:r w:rsidRPr="00911303">
        <w:t>PART B. COLLECTION OF INFORMATION USING STATISTICAL METHODS</w:t>
      </w:r>
      <w:r w:rsidRPr="00911303">
        <w:tab/>
      </w:r>
      <w:r>
        <w:tab/>
      </w:r>
      <w:r w:rsidRPr="00911303">
        <w:t>1</w:t>
      </w:r>
    </w:p>
    <w:p w14:paraId="23627997" w14:textId="77777777" w:rsidR="00A91312" w:rsidRDefault="00A91312" w:rsidP="00A91312">
      <w:pPr>
        <w:pStyle w:val="TOC2"/>
      </w:pPr>
    </w:p>
    <w:p w14:paraId="13DF686E" w14:textId="77777777" w:rsidR="00A91312" w:rsidRPr="00911303" w:rsidRDefault="00A91312" w:rsidP="00A91312">
      <w:pPr>
        <w:pStyle w:val="TOC2"/>
        <w:rPr>
          <w:rFonts w:eastAsiaTheme="minorEastAsia"/>
        </w:rPr>
      </w:pPr>
      <w:r w:rsidRPr="00911303">
        <w:t>1.</w:t>
      </w:r>
      <w:r w:rsidRPr="00911303">
        <w:rPr>
          <w:rFonts w:eastAsiaTheme="minorEastAsia"/>
        </w:rPr>
        <w:tab/>
      </w:r>
      <w:r w:rsidRPr="00911303">
        <w:t>Respondent Universe and Sampling Methods</w:t>
      </w:r>
      <w:r w:rsidRPr="00911303">
        <w:tab/>
      </w:r>
      <w:r>
        <w:tab/>
      </w:r>
      <w:r w:rsidRPr="00911303">
        <w:t>1</w:t>
      </w:r>
    </w:p>
    <w:p w14:paraId="7CB5FDE1" w14:textId="77777777" w:rsidR="00A91312" w:rsidRPr="00911303" w:rsidRDefault="00A91312" w:rsidP="00A91312">
      <w:pPr>
        <w:pStyle w:val="TOC2"/>
        <w:rPr>
          <w:rFonts w:eastAsiaTheme="minorEastAsia"/>
        </w:rPr>
      </w:pPr>
      <w:r w:rsidRPr="00911303">
        <w:t>2.</w:t>
      </w:r>
      <w:r w:rsidRPr="00911303">
        <w:rPr>
          <w:rFonts w:eastAsiaTheme="minorEastAsia"/>
        </w:rPr>
        <w:tab/>
      </w:r>
      <w:r w:rsidRPr="00911303">
        <w:t>Procedures for the Collection of Information</w:t>
      </w:r>
      <w:r w:rsidRPr="00911303">
        <w:tab/>
      </w:r>
      <w:r>
        <w:tab/>
      </w:r>
      <w:r w:rsidRPr="00911303">
        <w:t>6</w:t>
      </w:r>
    </w:p>
    <w:p w14:paraId="6CD98A3C" w14:textId="0D6ADC2D" w:rsidR="00A91312" w:rsidRPr="00911303" w:rsidRDefault="00A91312" w:rsidP="00A91312">
      <w:pPr>
        <w:pStyle w:val="TOC2"/>
        <w:rPr>
          <w:rFonts w:eastAsiaTheme="minorEastAsia"/>
        </w:rPr>
      </w:pPr>
      <w:r w:rsidRPr="00911303">
        <w:t>3.</w:t>
      </w:r>
      <w:r w:rsidRPr="00911303">
        <w:rPr>
          <w:rFonts w:eastAsiaTheme="minorEastAsia"/>
        </w:rPr>
        <w:tab/>
      </w:r>
      <w:r w:rsidRPr="00911303">
        <w:t>Methods to Maximize the Response Rates and to Deal With Nonresponse</w:t>
      </w:r>
      <w:r w:rsidRPr="00911303">
        <w:tab/>
      </w:r>
      <w:r>
        <w:tab/>
      </w:r>
      <w:r w:rsidR="000B023D">
        <w:t>28</w:t>
      </w:r>
    </w:p>
    <w:p w14:paraId="70991668" w14:textId="74DEEAF2" w:rsidR="00A91312" w:rsidRPr="00911303" w:rsidRDefault="00A91312" w:rsidP="00A91312">
      <w:pPr>
        <w:pStyle w:val="TOC2"/>
        <w:rPr>
          <w:rFonts w:eastAsiaTheme="minorEastAsia"/>
        </w:rPr>
      </w:pPr>
      <w:r w:rsidRPr="00911303">
        <w:t>4.</w:t>
      </w:r>
      <w:r w:rsidRPr="00911303">
        <w:rPr>
          <w:rFonts w:eastAsiaTheme="minorEastAsia"/>
        </w:rPr>
        <w:tab/>
      </w:r>
      <w:r w:rsidRPr="00911303">
        <w:t>Test of Procedures or Methods to be Undertaken</w:t>
      </w:r>
      <w:r>
        <w:tab/>
      </w:r>
      <w:r w:rsidR="000B023D">
        <w:tab/>
        <w:t>30</w:t>
      </w:r>
    </w:p>
    <w:p w14:paraId="3BFD824D" w14:textId="17F28161" w:rsidR="00A91312" w:rsidRDefault="00A91312" w:rsidP="00A91312">
      <w:pPr>
        <w:pStyle w:val="TOC2"/>
      </w:pPr>
      <w:r w:rsidRPr="00911303">
        <w:t>5.</w:t>
      </w:r>
      <w:r w:rsidRPr="00911303">
        <w:rPr>
          <w:rFonts w:eastAsiaTheme="minorEastAsia"/>
        </w:rPr>
        <w:tab/>
      </w:r>
      <w:r w:rsidRPr="00911303">
        <w:t>Individuals Consulted on Statistical Aspects of the Design &amp; Individuals Collecting and/or Analyzing Data</w:t>
      </w:r>
      <w:r>
        <w:tab/>
      </w:r>
      <w:r w:rsidRPr="00911303">
        <w:tab/>
        <w:t>3</w:t>
      </w:r>
      <w:r w:rsidR="000B023D">
        <w:t>1</w:t>
      </w:r>
    </w:p>
    <w:p w14:paraId="077C9AD1" w14:textId="77777777" w:rsidR="00A91312" w:rsidRDefault="00A91312" w:rsidP="00A91312">
      <w:pPr>
        <w:pStyle w:val="TOC2"/>
      </w:pPr>
    </w:p>
    <w:p w14:paraId="524C0B68" w14:textId="77777777" w:rsidR="00D90AE2" w:rsidRDefault="00A91312" w:rsidP="00A91312">
      <w:pPr>
        <w:pStyle w:val="T0-ChapPgHd"/>
        <w:rPr>
          <w:rFonts w:eastAsiaTheme="minorEastAsia"/>
          <w:noProof/>
          <w:u w:val="single"/>
        </w:rPr>
      </w:pPr>
      <w:r w:rsidRPr="0010255D">
        <w:rPr>
          <w:rFonts w:eastAsiaTheme="minorEastAsia"/>
          <w:noProof/>
          <w:u w:val="single"/>
        </w:rPr>
        <w:t>Table</w:t>
      </w:r>
    </w:p>
    <w:p w14:paraId="4A5E798F" w14:textId="77777777" w:rsidR="00A91312" w:rsidRPr="0010255D" w:rsidRDefault="00A91312" w:rsidP="00A91312">
      <w:pPr>
        <w:pStyle w:val="T0-ChapPgHd"/>
        <w:rPr>
          <w:rFonts w:eastAsiaTheme="minorEastAsia"/>
          <w:noProof/>
        </w:rPr>
      </w:pPr>
    </w:p>
    <w:p w14:paraId="256A488E" w14:textId="77777777" w:rsidR="00A91312" w:rsidRPr="00911303" w:rsidRDefault="00A91312" w:rsidP="00A91312">
      <w:pPr>
        <w:pStyle w:val="TOC5"/>
        <w:rPr>
          <w:rFonts w:eastAsiaTheme="minorEastAsia"/>
        </w:rPr>
      </w:pPr>
      <w:bookmarkStart w:id="10" w:name="_Toc409608403"/>
      <w:r>
        <w:t>B1-1</w:t>
      </w:r>
      <w:r w:rsidRPr="00911303">
        <w:rPr>
          <w:rFonts w:eastAsiaTheme="minorEastAsia"/>
        </w:rPr>
        <w:tab/>
      </w:r>
      <w:r w:rsidRPr="00911303">
        <w:t>Respondent universe, samples, and expected response rates</w:t>
      </w:r>
      <w:r>
        <w:tab/>
      </w:r>
      <w:r w:rsidRPr="00911303">
        <w:tab/>
        <w:t>2</w:t>
      </w:r>
    </w:p>
    <w:p w14:paraId="796E2EBF" w14:textId="77777777" w:rsidR="00A91312" w:rsidRDefault="00A91312" w:rsidP="00A91312">
      <w:pPr>
        <w:pStyle w:val="TOC5"/>
      </w:pPr>
    </w:p>
    <w:p w14:paraId="13045A50" w14:textId="77777777" w:rsidR="00A91312" w:rsidRPr="00911303" w:rsidRDefault="00A91312" w:rsidP="00A91312">
      <w:pPr>
        <w:pStyle w:val="TOC5"/>
        <w:rPr>
          <w:rFonts w:eastAsiaTheme="minorEastAsia"/>
        </w:rPr>
      </w:pPr>
      <w:r>
        <w:t>B2-1</w:t>
      </w:r>
      <w:r w:rsidRPr="00911303">
        <w:rPr>
          <w:rFonts w:eastAsiaTheme="minorEastAsia"/>
        </w:rPr>
        <w:tab/>
      </w:r>
      <w:r w:rsidRPr="00911303">
        <w:t>School-level weights to be constructed for analysis of non-certification errors</w:t>
      </w:r>
      <w:r w:rsidRPr="00911303">
        <w:tab/>
      </w:r>
      <w:r>
        <w:tab/>
      </w:r>
      <w:r w:rsidRPr="00911303">
        <w:t>17</w:t>
      </w:r>
    </w:p>
    <w:p w14:paraId="29096B88" w14:textId="77777777" w:rsidR="00A91312" w:rsidRDefault="00A91312" w:rsidP="00A91312">
      <w:pPr>
        <w:pStyle w:val="TOC5"/>
      </w:pPr>
    </w:p>
    <w:p w14:paraId="696F0A49" w14:textId="77777777" w:rsidR="00A91312" w:rsidRPr="00911303" w:rsidRDefault="00A91312" w:rsidP="00A91312">
      <w:pPr>
        <w:pStyle w:val="TOC5"/>
        <w:rPr>
          <w:rFonts w:eastAsiaTheme="minorEastAsia"/>
        </w:rPr>
      </w:pPr>
      <w:r>
        <w:t>B2-2</w:t>
      </w:r>
      <w:r w:rsidRPr="00911303">
        <w:rPr>
          <w:rFonts w:eastAsiaTheme="minorEastAsia"/>
        </w:rPr>
        <w:tab/>
      </w:r>
      <w:r w:rsidRPr="00911303">
        <w:t>Example of the effect of increased sample sizes on the confidence intervals of SFA- and school-level estimates</w:t>
      </w:r>
      <w:r>
        <w:tab/>
      </w:r>
      <w:r w:rsidRPr="00911303">
        <w:tab/>
        <w:t>22</w:t>
      </w:r>
    </w:p>
    <w:p w14:paraId="63EA701A" w14:textId="77777777" w:rsidR="00A91312" w:rsidRDefault="00A91312" w:rsidP="00A91312">
      <w:pPr>
        <w:pStyle w:val="TOC5"/>
      </w:pPr>
    </w:p>
    <w:p w14:paraId="33DB90A1" w14:textId="7E444C08" w:rsidR="00A91312" w:rsidRPr="00911303" w:rsidRDefault="00A91312" w:rsidP="00A91312">
      <w:pPr>
        <w:pStyle w:val="TOC5"/>
        <w:rPr>
          <w:rFonts w:eastAsiaTheme="minorEastAsia"/>
        </w:rPr>
      </w:pPr>
      <w:r>
        <w:t>B2-3</w:t>
      </w:r>
      <w:r w:rsidRPr="00911303">
        <w:rPr>
          <w:rFonts w:eastAsiaTheme="minorEastAsia"/>
        </w:rPr>
        <w:tab/>
      </w:r>
      <w:r w:rsidRPr="00911303">
        <w:t xml:space="preserve">Expected 90% confidence bounds around error rate estimated </w:t>
      </w:r>
      <w:r w:rsidR="00D8277D">
        <w:t>for</w:t>
      </w:r>
      <w:r w:rsidRPr="00911303">
        <w:t xml:space="preserve"> APEC III</w:t>
      </w:r>
      <w:r w:rsidRPr="00911303">
        <w:tab/>
      </w:r>
      <w:r>
        <w:tab/>
      </w:r>
      <w:r w:rsidRPr="00911303">
        <w:t>23</w:t>
      </w:r>
    </w:p>
    <w:p w14:paraId="09483BA5" w14:textId="77777777" w:rsidR="00A91312" w:rsidRDefault="00A91312" w:rsidP="00A91312">
      <w:pPr>
        <w:pStyle w:val="TOC5"/>
      </w:pPr>
    </w:p>
    <w:p w14:paraId="3324E389" w14:textId="46666CDF" w:rsidR="00A91312" w:rsidRPr="00911303" w:rsidRDefault="00A91312" w:rsidP="00A91312">
      <w:pPr>
        <w:pStyle w:val="TOC5"/>
        <w:rPr>
          <w:rFonts w:eastAsiaTheme="minorEastAsia"/>
        </w:rPr>
      </w:pPr>
      <w:r>
        <w:t>B5-1</w:t>
      </w:r>
      <w:r w:rsidRPr="00911303">
        <w:rPr>
          <w:rFonts w:eastAsiaTheme="minorEastAsia"/>
        </w:rPr>
        <w:tab/>
      </w:r>
      <w:r w:rsidRPr="00911303">
        <w:t>Individuals consulted on data collection or analysis</w:t>
      </w:r>
      <w:r>
        <w:tab/>
      </w:r>
      <w:r w:rsidR="00526DD9">
        <w:tab/>
        <w:t>31</w:t>
      </w:r>
    </w:p>
    <w:p w14:paraId="2939DA42" w14:textId="77777777" w:rsidR="00A91312" w:rsidRDefault="00A91312"/>
    <w:p w14:paraId="2B76E780" w14:textId="77777777" w:rsidR="00A91312" w:rsidRDefault="00A91312"/>
    <w:p w14:paraId="0B9BE4F5" w14:textId="77777777" w:rsidR="00A91312" w:rsidRDefault="00A91312" w:rsidP="00A91312">
      <w:pPr>
        <w:pStyle w:val="T0-ChapPgHd"/>
      </w:pPr>
      <w:r>
        <w:t>Figure</w:t>
      </w:r>
    </w:p>
    <w:p w14:paraId="76AB3B1B" w14:textId="77777777" w:rsidR="00A91312" w:rsidRDefault="00A91312" w:rsidP="00A91312">
      <w:pPr>
        <w:pStyle w:val="T0-ChapPgHd"/>
      </w:pPr>
    </w:p>
    <w:p w14:paraId="22076C2D" w14:textId="19F8A576" w:rsidR="00A91312" w:rsidRPr="00911303" w:rsidRDefault="00A91312" w:rsidP="00A91312">
      <w:pPr>
        <w:pStyle w:val="TOC5"/>
        <w:rPr>
          <w:rFonts w:eastAsiaTheme="minorEastAsia"/>
        </w:rPr>
      </w:pPr>
      <w:r>
        <w:t>B1-1</w:t>
      </w:r>
      <w:r w:rsidRPr="00911303">
        <w:rPr>
          <w:rFonts w:eastAsiaTheme="minorEastAsia"/>
        </w:rPr>
        <w:tab/>
      </w:r>
      <w:r w:rsidRPr="00911303">
        <w:t xml:space="preserve">Overview of school sampling </w:t>
      </w:r>
      <w:r>
        <w:tab/>
      </w:r>
      <w:r w:rsidRPr="00911303">
        <w:tab/>
        <w:t>5</w:t>
      </w:r>
    </w:p>
    <w:p w14:paraId="11CDCD72" w14:textId="77777777" w:rsidR="00A91312" w:rsidRDefault="00A91312"/>
    <w:p w14:paraId="1F4F52C0" w14:textId="77777777" w:rsidR="00A91312" w:rsidRDefault="00A91312" w:rsidP="00A91312">
      <w:pPr>
        <w:pStyle w:val="C2-CtrSglSp"/>
        <w:rPr>
          <w:b/>
        </w:rPr>
      </w:pPr>
      <w:r>
        <w:rPr>
          <w:rFonts w:ascii="Franklin Gothic Medium" w:hAnsi="Franklin Gothic Medium"/>
          <w:u w:val="words"/>
        </w:rPr>
        <w:br w:type="page"/>
      </w:r>
      <w:r w:rsidRPr="008D3EB6">
        <w:rPr>
          <w:b/>
        </w:rPr>
        <w:lastRenderedPageBreak/>
        <w:t>LIST OF APPENDICES TO APEC III OMB SUPPORTING STATEMENT</w:t>
      </w:r>
      <w:r>
        <w:rPr>
          <w:b/>
        </w:rPr>
        <w:br/>
      </w:r>
    </w:p>
    <w:p w14:paraId="41265C67" w14:textId="77777777" w:rsidR="00A91312" w:rsidRPr="008D3EB6" w:rsidRDefault="00A91312" w:rsidP="00A91312">
      <w:pPr>
        <w:pStyle w:val="C2-CtrSglSp"/>
        <w:rPr>
          <w:b/>
        </w:rPr>
      </w:pPr>
    </w:p>
    <w:p w14:paraId="77B3AE49" w14:textId="77777777" w:rsidR="00A91312" w:rsidRDefault="00A91312" w:rsidP="00A91312">
      <w:pPr>
        <w:pStyle w:val="T0-ChapPgHd"/>
      </w:pPr>
      <w:r>
        <w:t>Appendix</w:t>
      </w:r>
    </w:p>
    <w:p w14:paraId="433222AD" w14:textId="77777777" w:rsidR="00A91312" w:rsidRPr="00F15490" w:rsidRDefault="00A91312" w:rsidP="00A91312">
      <w:pPr>
        <w:pStyle w:val="T0-ChapPgHd"/>
      </w:pPr>
    </w:p>
    <w:p w14:paraId="75691FEF" w14:textId="77777777" w:rsidR="00A91312" w:rsidRPr="00D5560D" w:rsidRDefault="00A91312" w:rsidP="00A91312">
      <w:pPr>
        <w:pStyle w:val="TOC1"/>
        <w:rPr>
          <w:b/>
        </w:rPr>
      </w:pPr>
      <w:r w:rsidRPr="00D5560D">
        <w:rPr>
          <w:b/>
        </w:rPr>
        <w:t>A</w:t>
      </w:r>
      <w:r w:rsidRPr="00D5560D">
        <w:rPr>
          <w:b/>
        </w:rPr>
        <w:tab/>
        <w:t>Applicable Statutes, Regulations</w:t>
      </w:r>
      <w:r w:rsidR="00BF7DC9">
        <w:rPr>
          <w:b/>
        </w:rPr>
        <w:t>,</w:t>
      </w:r>
      <w:r w:rsidRPr="00D5560D">
        <w:rPr>
          <w:b/>
        </w:rPr>
        <w:t xml:space="preserve"> and Reference Documents</w:t>
      </w:r>
    </w:p>
    <w:p w14:paraId="5CFB12E7" w14:textId="77777777" w:rsidR="00A91312" w:rsidRPr="00132FCE" w:rsidRDefault="00A91312" w:rsidP="00A91312">
      <w:pPr>
        <w:pStyle w:val="TOC1"/>
        <w:rPr>
          <w:b/>
        </w:rPr>
      </w:pPr>
    </w:p>
    <w:p w14:paraId="27110428" w14:textId="77777777" w:rsidR="00A91312" w:rsidRPr="00C643C0" w:rsidRDefault="00A91312" w:rsidP="00A91312">
      <w:pPr>
        <w:pStyle w:val="SP-SglSpPara"/>
      </w:pPr>
      <w:r w:rsidRPr="00C643C0">
        <w:t>A1.</w:t>
      </w:r>
      <w:r w:rsidRPr="00C643C0">
        <w:tab/>
      </w:r>
      <w:r w:rsidRPr="004E041D">
        <w:rPr>
          <w:rFonts w:eastAsia="Calibri"/>
        </w:rPr>
        <w:t>Richard B. Russell National School Lunch Act</w:t>
      </w:r>
      <w:r w:rsidRPr="004E041D">
        <w:rPr>
          <w:rFonts w:eastAsia="Calibri"/>
          <w:b/>
        </w:rPr>
        <w:t xml:space="preserve"> </w:t>
      </w:r>
      <w:r w:rsidRPr="004E041D">
        <w:rPr>
          <w:rFonts w:eastAsia="Calibri"/>
        </w:rPr>
        <w:t>(as amended through P.L. 113–79, Enacted February 07, 2014)</w:t>
      </w:r>
    </w:p>
    <w:p w14:paraId="52D93D02" w14:textId="77777777" w:rsidR="00A91312" w:rsidRPr="00C643C0" w:rsidRDefault="00A91312" w:rsidP="00A91312">
      <w:pPr>
        <w:pStyle w:val="SP-SglSpPara"/>
      </w:pPr>
      <w:r w:rsidRPr="00C643C0">
        <w:t>A2.</w:t>
      </w:r>
      <w:r w:rsidRPr="00C643C0">
        <w:tab/>
        <w:t xml:space="preserve">Improper Payments Information Act </w:t>
      </w:r>
      <w:r w:rsidR="00514C47">
        <w:t xml:space="preserve">(IPIA) </w:t>
      </w:r>
      <w:r w:rsidRPr="00C643C0">
        <w:t>of 2002 (P.L. 107-300)</w:t>
      </w:r>
    </w:p>
    <w:p w14:paraId="730664B1" w14:textId="77777777" w:rsidR="00A91312" w:rsidRDefault="00A91312" w:rsidP="00A91312">
      <w:pPr>
        <w:pStyle w:val="SP-SglSpPara"/>
      </w:pPr>
      <w:r w:rsidRPr="00C643C0">
        <w:t>A3.</w:t>
      </w:r>
      <w:r>
        <w:tab/>
        <w:t xml:space="preserve">2009 </w:t>
      </w:r>
      <w:r w:rsidRPr="00C643C0">
        <w:t>Executive Order 13520—Reducing Improper Payments</w:t>
      </w:r>
    </w:p>
    <w:p w14:paraId="5751DAE0" w14:textId="77777777" w:rsidR="00A91312" w:rsidRPr="00C643C0" w:rsidRDefault="00A91312" w:rsidP="00A91312">
      <w:pPr>
        <w:pStyle w:val="SP-SglSpPara"/>
      </w:pPr>
      <w:r w:rsidRPr="00C643C0">
        <w:t>A4.</w:t>
      </w:r>
      <w:r w:rsidRPr="00C643C0">
        <w:tab/>
        <w:t>Improper Payments Elimination and Recovery Act (IPERA) of 2010 (P.L. 111-204)</w:t>
      </w:r>
    </w:p>
    <w:p w14:paraId="7A46B7E3" w14:textId="77777777" w:rsidR="00A91312" w:rsidRPr="00C643C0" w:rsidRDefault="00A91312" w:rsidP="00A91312">
      <w:pPr>
        <w:pStyle w:val="SP-SglSpPara"/>
      </w:pPr>
      <w:r>
        <w:t>A5.</w:t>
      </w:r>
      <w:r>
        <w:tab/>
      </w:r>
      <w:r w:rsidRPr="00C643C0">
        <w:t>Improper Payments Elimination and Recovery Improvement Act (IPERIA) of 2012 (P.L. 112-248)</w:t>
      </w:r>
    </w:p>
    <w:p w14:paraId="06096A9E" w14:textId="77777777" w:rsidR="00A91312" w:rsidRPr="00C643C0" w:rsidRDefault="00A91312" w:rsidP="00A91312">
      <w:pPr>
        <w:pStyle w:val="SP-SglSpPara"/>
      </w:pPr>
      <w:r w:rsidRPr="00C643C0">
        <w:t>A6.</w:t>
      </w:r>
      <w:r w:rsidRPr="00C643C0">
        <w:tab/>
        <w:t>Office of Inspector General (OIG) USDA</w:t>
      </w:r>
      <w:r w:rsidR="00703835">
        <w:t>’</w:t>
      </w:r>
      <w:r w:rsidRPr="00C643C0">
        <w:t xml:space="preserve">S FY 2014 Compliance </w:t>
      </w:r>
      <w:r w:rsidR="00CD2468">
        <w:t>w</w:t>
      </w:r>
      <w:r w:rsidRPr="00C643C0">
        <w:t>ith Improper Payment Requirements</w:t>
      </w:r>
    </w:p>
    <w:p w14:paraId="57803210" w14:textId="72F05344" w:rsidR="00434798" w:rsidRDefault="00434798" w:rsidP="00434798">
      <w:pPr>
        <w:pStyle w:val="SP-SglSpPara"/>
      </w:pPr>
      <w:r w:rsidRPr="00C643C0">
        <w:t>A</w:t>
      </w:r>
      <w:r>
        <w:t>7</w:t>
      </w:r>
      <w:r w:rsidRPr="00C643C0">
        <w:t>.</w:t>
      </w:r>
      <w:r w:rsidRPr="00C643C0">
        <w:tab/>
        <w:t xml:space="preserve">M-15-02 – Appendix C to Circular No. A-123, </w:t>
      </w:r>
      <w:r w:rsidRPr="006F6280">
        <w:rPr>
          <w:i/>
        </w:rPr>
        <w:t>Requirements for Effective Estimation and Remediation of Improper Payments</w:t>
      </w:r>
    </w:p>
    <w:p w14:paraId="324BD949" w14:textId="08B748C6" w:rsidR="00A91312" w:rsidRDefault="00A91312" w:rsidP="00A91312">
      <w:pPr>
        <w:pStyle w:val="SP-SglSpPara"/>
      </w:pPr>
      <w:r w:rsidRPr="00C643C0">
        <w:t>A</w:t>
      </w:r>
      <w:r w:rsidR="00434798">
        <w:t>8</w:t>
      </w:r>
      <w:r w:rsidRPr="00C643C0">
        <w:t>.</w:t>
      </w:r>
      <w:r w:rsidRPr="00C643C0">
        <w:tab/>
        <w:t>FNS FY 2014 Research and Evaluation Plan</w:t>
      </w:r>
    </w:p>
    <w:p w14:paraId="22DB8D9A" w14:textId="7A6F8B26" w:rsidR="00A91312" w:rsidRPr="00C643C0" w:rsidRDefault="00A91312" w:rsidP="00A91312">
      <w:pPr>
        <w:pStyle w:val="SP-SglSpPara"/>
      </w:pPr>
      <w:r w:rsidRPr="00C643C0">
        <w:t>A</w:t>
      </w:r>
      <w:r w:rsidR="00434798">
        <w:t>9</w:t>
      </w:r>
      <w:r w:rsidRPr="00C643C0">
        <w:t>.</w:t>
      </w:r>
      <w:r>
        <w:tab/>
      </w:r>
      <w:r w:rsidRPr="00C643C0">
        <w:t>Healthy Hunger-Free Kids Act 2010 (P.L. 111-296)</w:t>
      </w:r>
    </w:p>
    <w:p w14:paraId="735F9005" w14:textId="77777777" w:rsidR="00A91312" w:rsidRDefault="00A91312" w:rsidP="00A91312">
      <w:pPr>
        <w:pStyle w:val="SP-SglSpPara"/>
      </w:pPr>
    </w:p>
    <w:p w14:paraId="3424F858" w14:textId="77777777" w:rsidR="00A91312" w:rsidRPr="00D5560D" w:rsidRDefault="00A91312" w:rsidP="00A91312">
      <w:pPr>
        <w:pStyle w:val="TOC5"/>
        <w:rPr>
          <w:b/>
        </w:rPr>
      </w:pPr>
      <w:r w:rsidRPr="00D5560D">
        <w:rPr>
          <w:b/>
        </w:rPr>
        <w:t>B</w:t>
      </w:r>
      <w:r w:rsidRPr="00D5560D">
        <w:rPr>
          <w:b/>
        </w:rPr>
        <w:tab/>
        <w:t>SFA/State Data Collection</w:t>
      </w:r>
      <w:r w:rsidRPr="00D5560D">
        <w:rPr>
          <w:b/>
          <w:i/>
        </w:rPr>
        <w:t xml:space="preserve"> </w:t>
      </w:r>
      <w:r w:rsidRPr="00D5560D">
        <w:rPr>
          <w:b/>
        </w:rPr>
        <w:t>Forms</w:t>
      </w:r>
    </w:p>
    <w:p w14:paraId="09580A6F" w14:textId="77777777" w:rsidR="00A91312" w:rsidRDefault="00A91312" w:rsidP="00A91312">
      <w:pPr>
        <w:tabs>
          <w:tab w:val="left" w:pos="432"/>
        </w:tabs>
        <w:spacing w:line="240" w:lineRule="auto"/>
        <w:ind w:left="1800" w:hanging="1800"/>
        <w:rPr>
          <w:rFonts w:ascii="Lucida Sans" w:hAnsi="Lucida Sans"/>
          <w:sz w:val="22"/>
          <w:szCs w:val="22"/>
        </w:rPr>
      </w:pPr>
    </w:p>
    <w:p w14:paraId="1194FC39" w14:textId="077E91EB" w:rsidR="00A91312" w:rsidRDefault="00A91312" w:rsidP="00A91312">
      <w:pPr>
        <w:pStyle w:val="SP-SglSpPara"/>
      </w:pPr>
      <w:r>
        <w:t>B1</w:t>
      </w:r>
      <w:r w:rsidRPr="00894F71">
        <w:t>.</w:t>
      </w:r>
      <w:r>
        <w:tab/>
      </w:r>
      <w:r w:rsidRPr="00894F71">
        <w:t xml:space="preserve">SFA Request for </w:t>
      </w:r>
      <w:r>
        <w:t>E-Records (Non-CEP Schools for Household Sampling)</w:t>
      </w:r>
    </w:p>
    <w:p w14:paraId="1B9CDD84" w14:textId="3D93080B" w:rsidR="00A91312" w:rsidRDefault="00A91312" w:rsidP="00A91312">
      <w:pPr>
        <w:pStyle w:val="SP-SglSpPara"/>
      </w:pPr>
      <w:r>
        <w:t>B2</w:t>
      </w:r>
      <w:r w:rsidRPr="00894F71">
        <w:t>.</w:t>
      </w:r>
      <w:r>
        <w:tab/>
      </w:r>
      <w:r w:rsidRPr="00894F71">
        <w:t xml:space="preserve">SFA Reminder for </w:t>
      </w:r>
      <w:r>
        <w:t>E-Records (Non-CEP Schools for Household Sampling)</w:t>
      </w:r>
    </w:p>
    <w:p w14:paraId="6BEADD61" w14:textId="72147F70" w:rsidR="00A91312" w:rsidRDefault="00A91312" w:rsidP="00A91312">
      <w:pPr>
        <w:pStyle w:val="SP-SglSpPara"/>
      </w:pPr>
      <w:r>
        <w:t>B3.</w:t>
      </w:r>
      <w:r>
        <w:tab/>
        <w:t>SFA Request for E-Records (CEP Schools for ISP Data Abstraction)</w:t>
      </w:r>
    </w:p>
    <w:p w14:paraId="2C3BB692" w14:textId="1947F103" w:rsidR="00A91312" w:rsidRDefault="00A91312" w:rsidP="00A91312">
      <w:pPr>
        <w:pStyle w:val="SP-SglSpPara"/>
      </w:pPr>
      <w:r>
        <w:t>B4.</w:t>
      </w:r>
      <w:r>
        <w:tab/>
        <w:t>SFA Reminder for E-Records (CEP Schools for ISP Data Abstraction)</w:t>
      </w:r>
    </w:p>
    <w:p w14:paraId="09D7BAE9" w14:textId="77777777" w:rsidR="00A91312" w:rsidRDefault="00A91312" w:rsidP="00A91312">
      <w:pPr>
        <w:pStyle w:val="SP-SglSpPara"/>
      </w:pPr>
      <w:r>
        <w:t>B5.</w:t>
      </w:r>
      <w:r>
        <w:tab/>
      </w:r>
      <w:r w:rsidRPr="00894F71">
        <w:t>SFA Pre-Visit Interview</w:t>
      </w:r>
    </w:p>
    <w:p w14:paraId="342A3524" w14:textId="77777777" w:rsidR="00A91312" w:rsidRDefault="00A91312" w:rsidP="00A91312">
      <w:pPr>
        <w:pStyle w:val="SP-SglSpPara"/>
      </w:pPr>
      <w:r>
        <w:t>B6.</w:t>
      </w:r>
      <w:r>
        <w:tab/>
        <w:t>SFA Data Collection Visit Reminder Email</w:t>
      </w:r>
    </w:p>
    <w:p w14:paraId="52457E45" w14:textId="77777777" w:rsidR="00A91312" w:rsidRDefault="00A91312" w:rsidP="00A91312">
      <w:pPr>
        <w:pStyle w:val="SP-SglSpPara"/>
      </w:pPr>
      <w:r>
        <w:t>B7.</w:t>
      </w:r>
      <w:r>
        <w:tab/>
      </w:r>
      <w:r w:rsidRPr="00D1336C">
        <w:t xml:space="preserve">Application </w:t>
      </w:r>
      <w:r>
        <w:t xml:space="preserve">Data </w:t>
      </w:r>
      <w:r w:rsidRPr="00D1336C">
        <w:t>Abstraction Form</w:t>
      </w:r>
    </w:p>
    <w:p w14:paraId="4F09EEE3" w14:textId="77777777" w:rsidR="00A91312" w:rsidRDefault="00A91312" w:rsidP="00A91312">
      <w:pPr>
        <w:pStyle w:val="SP-SglSpPara"/>
      </w:pPr>
      <w:r>
        <w:t>B8.</w:t>
      </w:r>
      <w:r>
        <w:tab/>
        <w:t>Round 2 &amp; 3 Application Data Abstraction Scheduling Email</w:t>
      </w:r>
    </w:p>
    <w:p w14:paraId="4B1E61CA" w14:textId="77777777" w:rsidR="00A91312" w:rsidRDefault="00A91312" w:rsidP="00A91312">
      <w:pPr>
        <w:pStyle w:val="SP-SglSpPara"/>
      </w:pPr>
      <w:r>
        <w:t>B9.</w:t>
      </w:r>
      <w:r>
        <w:tab/>
        <w:t>SFA Reimbursement Claim Verification Form—Sampled Schools</w:t>
      </w:r>
    </w:p>
    <w:p w14:paraId="679A6EBA" w14:textId="77777777" w:rsidR="00A91312" w:rsidRDefault="00A91312" w:rsidP="00A91312">
      <w:pPr>
        <w:pStyle w:val="SP-SglSpPara"/>
      </w:pPr>
      <w:r>
        <w:t>B10.</w:t>
      </w:r>
      <w:r>
        <w:tab/>
        <w:t>SFA Reimbursement Consolidation and Claim Verification Form</w:t>
      </w:r>
      <w:r w:rsidR="00D73725">
        <w:t>―</w:t>
      </w:r>
      <w:r>
        <w:t>All Schools</w:t>
      </w:r>
    </w:p>
    <w:p w14:paraId="2A96C870" w14:textId="77777777" w:rsidR="00A91312" w:rsidRDefault="00A91312" w:rsidP="00A91312">
      <w:pPr>
        <w:pStyle w:val="SP-SglSpPara"/>
      </w:pPr>
      <w:r>
        <w:t>B11.</w:t>
      </w:r>
      <w:r>
        <w:tab/>
        <w:t>SFA Director Survey (</w:t>
      </w:r>
      <w:r w:rsidR="00D73725">
        <w:t>web based</w:t>
      </w:r>
      <w:r>
        <w:t>)</w:t>
      </w:r>
    </w:p>
    <w:p w14:paraId="7594359E" w14:textId="77777777" w:rsidR="00A91312" w:rsidRDefault="00A91312" w:rsidP="00A91312">
      <w:pPr>
        <w:pStyle w:val="SP-SglSpPara"/>
      </w:pPr>
      <w:r>
        <w:t>B12.</w:t>
      </w:r>
      <w:r>
        <w:tab/>
        <w:t xml:space="preserve">SFA Director Interview (by </w:t>
      </w:r>
      <w:r w:rsidR="00D73725">
        <w:t>phone</w:t>
      </w:r>
      <w:r>
        <w:t>)</w:t>
      </w:r>
    </w:p>
    <w:p w14:paraId="51D9F2CC" w14:textId="77777777" w:rsidR="00A91312" w:rsidRDefault="00A91312" w:rsidP="00A91312">
      <w:pPr>
        <w:pStyle w:val="SP-SglSpPara"/>
      </w:pPr>
      <w:r>
        <w:t>B13.</w:t>
      </w:r>
      <w:r>
        <w:tab/>
        <w:t>SFA Meal Participation Data Request</w:t>
      </w:r>
    </w:p>
    <w:p w14:paraId="31445473" w14:textId="2C6112BB" w:rsidR="00A91312" w:rsidRDefault="00A91312" w:rsidP="00A91312">
      <w:pPr>
        <w:pStyle w:val="SP-SglSpPara"/>
      </w:pPr>
      <w:r>
        <w:t>B14.</w:t>
      </w:r>
      <w:r>
        <w:tab/>
        <w:t xml:space="preserve">State Meal Claim </w:t>
      </w:r>
      <w:r w:rsidR="00F23605">
        <w:t xml:space="preserve">Data </w:t>
      </w:r>
      <w:r>
        <w:t>Request</w:t>
      </w:r>
    </w:p>
    <w:p w14:paraId="25689F8A" w14:textId="77777777" w:rsidR="00A91312" w:rsidRDefault="00A91312" w:rsidP="00A91312">
      <w:pPr>
        <w:pStyle w:val="SP-SglSpPara"/>
      </w:pPr>
    </w:p>
    <w:p w14:paraId="39BD29DB" w14:textId="77777777" w:rsidR="00A91312" w:rsidRPr="00D5560D" w:rsidRDefault="00A91312" w:rsidP="00A91312">
      <w:pPr>
        <w:pStyle w:val="TOC1"/>
        <w:rPr>
          <w:b/>
        </w:rPr>
      </w:pPr>
      <w:r w:rsidRPr="00D5560D">
        <w:rPr>
          <w:b/>
        </w:rPr>
        <w:t>C</w:t>
      </w:r>
      <w:r w:rsidRPr="00D5560D">
        <w:rPr>
          <w:b/>
        </w:rPr>
        <w:tab/>
        <w:t>School Data Collection Forms</w:t>
      </w:r>
    </w:p>
    <w:p w14:paraId="28FB7D4B" w14:textId="77777777" w:rsidR="00A91312" w:rsidRDefault="00A91312" w:rsidP="00A91312">
      <w:pPr>
        <w:pStyle w:val="SP-SglSpPara"/>
      </w:pPr>
    </w:p>
    <w:p w14:paraId="53026BB4" w14:textId="77777777" w:rsidR="00A91312" w:rsidRDefault="00A91312" w:rsidP="00A91312">
      <w:pPr>
        <w:pStyle w:val="SP-SglSpPara"/>
      </w:pPr>
      <w:r>
        <w:t>C1.</w:t>
      </w:r>
      <w:r>
        <w:tab/>
        <w:t>School</w:t>
      </w:r>
      <w:r w:rsidRPr="00D1336C">
        <w:t xml:space="preserve"> Pre-Visit Interview</w:t>
      </w:r>
    </w:p>
    <w:p w14:paraId="1EEAC0D8" w14:textId="77777777" w:rsidR="00A91312" w:rsidRDefault="00A91312" w:rsidP="00A91312">
      <w:pPr>
        <w:pStyle w:val="SP-SglSpPara"/>
      </w:pPr>
      <w:r>
        <w:t>C2.</w:t>
      </w:r>
      <w:r>
        <w:tab/>
        <w:t>School Data Collection Visit Reminder Email</w:t>
      </w:r>
    </w:p>
    <w:p w14:paraId="2EF4D9E3" w14:textId="77777777" w:rsidR="00A91312" w:rsidRDefault="00A91312" w:rsidP="00A91312">
      <w:pPr>
        <w:pStyle w:val="SP-SglSpPara"/>
      </w:pPr>
      <w:r>
        <w:t>C3.</w:t>
      </w:r>
      <w:r>
        <w:tab/>
        <w:t>Meal Transaction Observation Form</w:t>
      </w:r>
    </w:p>
    <w:p w14:paraId="0257B4E2" w14:textId="77777777" w:rsidR="00A91312" w:rsidRDefault="00A91312" w:rsidP="00A91312">
      <w:pPr>
        <w:pStyle w:val="SP-SglSpPara"/>
      </w:pPr>
      <w:r>
        <w:t>C4.</w:t>
      </w:r>
      <w:r>
        <w:tab/>
        <w:t>Example of Meal Transaction Sampling</w:t>
      </w:r>
    </w:p>
    <w:p w14:paraId="79C2E64A" w14:textId="77777777" w:rsidR="00A91312" w:rsidRDefault="00A91312" w:rsidP="00A91312">
      <w:pPr>
        <w:pStyle w:val="SP-SglSpPara"/>
      </w:pPr>
      <w:r>
        <w:t>C5.</w:t>
      </w:r>
      <w:r>
        <w:tab/>
        <w:t>Cafeteria Manager Interview</w:t>
      </w:r>
    </w:p>
    <w:p w14:paraId="4279164B" w14:textId="5096CCFE" w:rsidR="00A91312" w:rsidRDefault="00A91312" w:rsidP="009D07F9">
      <w:pPr>
        <w:pStyle w:val="SP-SglSpPara"/>
        <w:rPr>
          <w:szCs w:val="22"/>
        </w:rPr>
      </w:pPr>
      <w:r>
        <w:t>C6.</w:t>
      </w:r>
      <w:r>
        <w:tab/>
        <w:t>School Meal Count Verification Form</w:t>
      </w:r>
      <w:r>
        <w:br w:type="page"/>
      </w:r>
    </w:p>
    <w:p w14:paraId="3A591F93" w14:textId="77777777" w:rsidR="00A91312" w:rsidRDefault="00A91312" w:rsidP="00A91312">
      <w:pPr>
        <w:pStyle w:val="C2-CtrSglSp"/>
        <w:rPr>
          <w:b/>
        </w:rPr>
      </w:pPr>
      <w:r w:rsidRPr="008D3EB6">
        <w:rPr>
          <w:b/>
        </w:rPr>
        <w:lastRenderedPageBreak/>
        <w:t>LIST OF APPENDICES TO APEC III OMB SUPPORTING STATEMENT</w:t>
      </w:r>
      <w:r>
        <w:rPr>
          <w:b/>
        </w:rPr>
        <w:t xml:space="preserve"> (continued)</w:t>
      </w:r>
    </w:p>
    <w:p w14:paraId="081D2C90" w14:textId="77777777" w:rsidR="00A91312" w:rsidRPr="008D3EB6" w:rsidRDefault="00A91312" w:rsidP="00A91312">
      <w:pPr>
        <w:pStyle w:val="C2-CtrSglSp"/>
        <w:rPr>
          <w:b/>
        </w:rPr>
      </w:pPr>
    </w:p>
    <w:p w14:paraId="624341D7" w14:textId="77777777" w:rsidR="00A91312" w:rsidRDefault="00A91312" w:rsidP="00A91312">
      <w:pPr>
        <w:pStyle w:val="T0-ChapPgHd"/>
      </w:pPr>
      <w:r>
        <w:t>Appendix</w:t>
      </w:r>
    </w:p>
    <w:p w14:paraId="4941B16B" w14:textId="77777777" w:rsidR="00A91312" w:rsidRPr="00F15490" w:rsidRDefault="00A91312" w:rsidP="00A91312">
      <w:pPr>
        <w:pStyle w:val="T0-ChapPgHd"/>
      </w:pPr>
    </w:p>
    <w:p w14:paraId="78402751" w14:textId="77777777" w:rsidR="00A91312" w:rsidRPr="00D5560D" w:rsidRDefault="00A91312" w:rsidP="00A91312">
      <w:pPr>
        <w:pStyle w:val="TOC1"/>
        <w:rPr>
          <w:b/>
        </w:rPr>
      </w:pPr>
      <w:r w:rsidRPr="00D5560D">
        <w:rPr>
          <w:b/>
        </w:rPr>
        <w:t>D</w:t>
      </w:r>
      <w:r w:rsidRPr="00D5560D">
        <w:rPr>
          <w:b/>
        </w:rPr>
        <w:tab/>
        <w:t>Household Data Collection Forms</w:t>
      </w:r>
    </w:p>
    <w:p w14:paraId="50313946" w14:textId="77777777" w:rsidR="00A91312" w:rsidRPr="00D5560D" w:rsidRDefault="00A91312" w:rsidP="00A91312">
      <w:pPr>
        <w:pStyle w:val="SP-SglSpPara"/>
      </w:pPr>
    </w:p>
    <w:p w14:paraId="0B6F0D2C" w14:textId="77777777" w:rsidR="00A91312" w:rsidRDefault="00A91312" w:rsidP="00A91312">
      <w:pPr>
        <w:pStyle w:val="SP-SglSpPara"/>
      </w:pPr>
      <w:r>
        <w:t>D1.</w:t>
      </w:r>
      <w:r>
        <w:tab/>
        <w:t xml:space="preserve">Household Survey </w:t>
      </w:r>
      <w:r w:rsidRPr="00D1336C">
        <w:t>Appointment Reminder Letter</w:t>
      </w:r>
    </w:p>
    <w:p w14:paraId="3E590330" w14:textId="77777777" w:rsidR="00A91312" w:rsidRPr="00D1336C" w:rsidRDefault="00A91312" w:rsidP="00A91312">
      <w:pPr>
        <w:pStyle w:val="SP-SglSpPara"/>
      </w:pPr>
      <w:r>
        <w:t>D2.</w:t>
      </w:r>
      <w:r>
        <w:tab/>
        <w:t xml:space="preserve">Household Survey </w:t>
      </w:r>
      <w:r w:rsidRPr="00132FCE">
        <w:t>Appointment</w:t>
      </w:r>
      <w:r>
        <w:t xml:space="preserve"> Reminder Letter</w:t>
      </w:r>
      <w:r w:rsidR="00D73725">
        <w:t>―</w:t>
      </w:r>
      <w:r>
        <w:t>Spanish</w:t>
      </w:r>
    </w:p>
    <w:p w14:paraId="77DC16BC" w14:textId="77777777" w:rsidR="00A91312" w:rsidRDefault="00A91312" w:rsidP="00A91312">
      <w:pPr>
        <w:pStyle w:val="SP-SglSpPara"/>
      </w:pPr>
      <w:r>
        <w:t>D3</w:t>
      </w:r>
      <w:r w:rsidRPr="00D1336C">
        <w:t>.</w:t>
      </w:r>
      <w:r>
        <w:tab/>
        <w:t>Household</w:t>
      </w:r>
      <w:r w:rsidRPr="00132FCE">
        <w:t xml:space="preserve"> </w:t>
      </w:r>
      <w:r>
        <w:t xml:space="preserve">Survey </w:t>
      </w:r>
      <w:r w:rsidRPr="00132FCE">
        <w:t>Income Worksheet</w:t>
      </w:r>
    </w:p>
    <w:p w14:paraId="51612361" w14:textId="77777777" w:rsidR="00A91312" w:rsidRDefault="00A91312" w:rsidP="00A91312">
      <w:pPr>
        <w:pStyle w:val="SP-SglSpPara"/>
      </w:pPr>
      <w:r>
        <w:t>D</w:t>
      </w:r>
      <w:r w:rsidRPr="00DF20EA">
        <w:t>4.</w:t>
      </w:r>
      <w:r>
        <w:tab/>
      </w:r>
      <w:r w:rsidRPr="00DF20EA">
        <w:t>Household Survey Income Worksheet</w:t>
      </w:r>
      <w:r w:rsidR="00D73725">
        <w:t>―</w:t>
      </w:r>
      <w:r w:rsidRPr="00DF20EA">
        <w:t>Spanish</w:t>
      </w:r>
    </w:p>
    <w:p w14:paraId="16972E76" w14:textId="77777777" w:rsidR="00A91312" w:rsidRPr="00DF20EA" w:rsidRDefault="00A91312" w:rsidP="00A91312">
      <w:pPr>
        <w:pStyle w:val="SP-SglSpPara"/>
      </w:pPr>
      <w:r>
        <w:t>D5</w:t>
      </w:r>
      <w:r w:rsidRPr="00DF20EA">
        <w:t>.</w:t>
      </w:r>
      <w:r>
        <w:tab/>
      </w:r>
      <w:r w:rsidRPr="00DF20EA">
        <w:t>Household Survey</w:t>
      </w:r>
    </w:p>
    <w:p w14:paraId="40DE1FC3" w14:textId="77777777" w:rsidR="00A91312" w:rsidRDefault="00A91312" w:rsidP="00A91312">
      <w:pPr>
        <w:pStyle w:val="SP-SglSpPara"/>
      </w:pPr>
      <w:r>
        <w:t>D6</w:t>
      </w:r>
      <w:r w:rsidRPr="00DF20EA">
        <w:t>.</w:t>
      </w:r>
      <w:r>
        <w:tab/>
      </w:r>
      <w:r w:rsidRPr="00DF20EA">
        <w:t>Household Survey</w:t>
      </w:r>
      <w:r w:rsidR="00D73725">
        <w:t>―</w:t>
      </w:r>
      <w:r w:rsidRPr="00DF20EA">
        <w:t>Spanish</w:t>
      </w:r>
    </w:p>
    <w:p w14:paraId="24754CD7" w14:textId="77777777" w:rsidR="00A91312" w:rsidRPr="00DF20EA" w:rsidRDefault="00A91312" w:rsidP="00A91312">
      <w:pPr>
        <w:pStyle w:val="SP-SglSpPara"/>
      </w:pPr>
      <w:r>
        <w:t>D7.</w:t>
      </w:r>
      <w:r>
        <w:tab/>
      </w:r>
      <w:r w:rsidRPr="00DF20EA">
        <w:t>Household Survey Income Source Show Card</w:t>
      </w:r>
    </w:p>
    <w:p w14:paraId="43119525" w14:textId="77777777" w:rsidR="00A91312" w:rsidRDefault="00A91312" w:rsidP="00A91312">
      <w:pPr>
        <w:pStyle w:val="SP-SglSpPara"/>
      </w:pPr>
      <w:r>
        <w:t>D8.</w:t>
      </w:r>
      <w:r>
        <w:tab/>
      </w:r>
      <w:r w:rsidRPr="00DF20EA">
        <w:t>Household Survey Income Source Show Card</w:t>
      </w:r>
      <w:r w:rsidR="00D73725">
        <w:t>―</w:t>
      </w:r>
      <w:r w:rsidRPr="00DF20EA">
        <w:t>Spanish</w:t>
      </w:r>
    </w:p>
    <w:p w14:paraId="14937965" w14:textId="77777777" w:rsidR="00A91312" w:rsidRDefault="00A91312" w:rsidP="00A91312">
      <w:pPr>
        <w:pStyle w:val="SP-SglSpPara"/>
      </w:pPr>
      <w:r>
        <w:t>D9.</w:t>
      </w:r>
      <w:r>
        <w:tab/>
        <w:t>Household Survey Incentives Received Form</w:t>
      </w:r>
    </w:p>
    <w:p w14:paraId="78A4E012" w14:textId="77777777" w:rsidR="00A91312" w:rsidRDefault="00A91312" w:rsidP="00A91312">
      <w:pPr>
        <w:pStyle w:val="SP-SglSpPara"/>
      </w:pPr>
      <w:r>
        <w:t>D10.</w:t>
      </w:r>
      <w:r>
        <w:tab/>
        <w:t>Household Survey Incentives Received Form</w:t>
      </w:r>
      <w:r w:rsidR="00D73725">
        <w:t>―</w:t>
      </w:r>
      <w:r>
        <w:t>Spanish</w:t>
      </w:r>
    </w:p>
    <w:p w14:paraId="6834FE35" w14:textId="77777777" w:rsidR="00A91312" w:rsidRDefault="00A91312" w:rsidP="00A91312">
      <w:pPr>
        <w:pStyle w:val="SP-SglSpPara"/>
      </w:pPr>
      <w:r>
        <w:t>D11.</w:t>
      </w:r>
      <w:r>
        <w:tab/>
        <w:t>Household Interview Appointment Reminder Letter</w:t>
      </w:r>
    </w:p>
    <w:p w14:paraId="54093834" w14:textId="77777777" w:rsidR="00A91312" w:rsidRDefault="00A91312" w:rsidP="00A91312">
      <w:pPr>
        <w:pStyle w:val="SP-SglSpPara"/>
      </w:pPr>
      <w:r>
        <w:t>D12.</w:t>
      </w:r>
      <w:r>
        <w:tab/>
        <w:t>Household Interview Appointment Reminder Letter</w:t>
      </w:r>
      <w:r w:rsidR="00D73725">
        <w:t>―</w:t>
      </w:r>
      <w:r>
        <w:t>Spanish</w:t>
      </w:r>
    </w:p>
    <w:p w14:paraId="00BE13E3" w14:textId="77777777" w:rsidR="00A91312" w:rsidRDefault="00A91312" w:rsidP="00A91312">
      <w:pPr>
        <w:pStyle w:val="SP-SglSpPara"/>
      </w:pPr>
      <w:r>
        <w:t>D13.</w:t>
      </w:r>
      <w:r>
        <w:tab/>
        <w:t>Household Interview</w:t>
      </w:r>
    </w:p>
    <w:p w14:paraId="170D9BA6" w14:textId="77777777" w:rsidR="00A91312" w:rsidRDefault="00A91312" w:rsidP="00A91312">
      <w:pPr>
        <w:pStyle w:val="SP-SglSpPara"/>
      </w:pPr>
      <w:r>
        <w:t>D14.</w:t>
      </w:r>
      <w:r>
        <w:tab/>
        <w:t>Household Interview</w:t>
      </w:r>
      <w:r w:rsidR="00D73725">
        <w:t>―</w:t>
      </w:r>
      <w:r>
        <w:t>Spanish</w:t>
      </w:r>
    </w:p>
    <w:p w14:paraId="0018DAEB" w14:textId="77777777" w:rsidR="00A91312" w:rsidRDefault="00A91312" w:rsidP="00A91312">
      <w:pPr>
        <w:pStyle w:val="SP-SglSpPara"/>
      </w:pPr>
      <w:r>
        <w:t>D15.</w:t>
      </w:r>
      <w:r>
        <w:tab/>
        <w:t>Household Interview Incentives Received Form</w:t>
      </w:r>
    </w:p>
    <w:p w14:paraId="54931D68" w14:textId="77777777" w:rsidR="00A91312" w:rsidRDefault="00A91312" w:rsidP="00A91312">
      <w:pPr>
        <w:pStyle w:val="SP-SglSpPara"/>
      </w:pPr>
      <w:r>
        <w:t>D16.</w:t>
      </w:r>
      <w:r>
        <w:tab/>
        <w:t>Household Interview Incentives Received Form</w:t>
      </w:r>
      <w:r w:rsidR="00D73725">
        <w:t>―</w:t>
      </w:r>
      <w:r>
        <w:t>Spanish</w:t>
      </w:r>
    </w:p>
    <w:p w14:paraId="2ADC1189" w14:textId="77777777" w:rsidR="00A91312" w:rsidRDefault="00A91312" w:rsidP="00A91312">
      <w:pPr>
        <w:pStyle w:val="SP-SglSpPara"/>
      </w:pPr>
    </w:p>
    <w:p w14:paraId="5799901B" w14:textId="77777777" w:rsidR="00A91312" w:rsidRDefault="00A91312" w:rsidP="00A91312">
      <w:pPr>
        <w:pStyle w:val="TOC1"/>
        <w:rPr>
          <w:b/>
        </w:rPr>
      </w:pPr>
      <w:r w:rsidRPr="001D29F8">
        <w:rPr>
          <w:b/>
        </w:rPr>
        <w:t>E</w:t>
      </w:r>
      <w:r w:rsidRPr="001D29F8">
        <w:rPr>
          <w:b/>
        </w:rPr>
        <w:tab/>
        <w:t>Summary of Public Comments</w:t>
      </w:r>
    </w:p>
    <w:p w14:paraId="393A45C2" w14:textId="77777777" w:rsidR="00A91312" w:rsidRPr="001D29F8" w:rsidRDefault="00A91312" w:rsidP="00A91312">
      <w:pPr>
        <w:pStyle w:val="TOC1"/>
        <w:rPr>
          <w:b/>
        </w:rPr>
      </w:pPr>
    </w:p>
    <w:p w14:paraId="0B92F72D" w14:textId="77777777" w:rsidR="00A91312" w:rsidRDefault="00A91312" w:rsidP="00A91312">
      <w:pPr>
        <w:pStyle w:val="SP-SglSpPara"/>
      </w:pPr>
      <w:r>
        <w:t>E1.</w:t>
      </w:r>
      <w:r>
        <w:tab/>
        <w:t>School Nutrition Association Comments</w:t>
      </w:r>
    </w:p>
    <w:p w14:paraId="202128B4" w14:textId="77777777" w:rsidR="00A91312" w:rsidRDefault="00A91312" w:rsidP="00A91312">
      <w:pPr>
        <w:pStyle w:val="SP-SglSpPara"/>
      </w:pPr>
      <w:r>
        <w:t>E2.</w:t>
      </w:r>
      <w:r>
        <w:tab/>
        <w:t>Food Research and Action Center Comments</w:t>
      </w:r>
    </w:p>
    <w:p w14:paraId="33235370" w14:textId="77777777" w:rsidR="00A91312" w:rsidRDefault="00A91312" w:rsidP="00A91312">
      <w:pPr>
        <w:pStyle w:val="SP-SglSpPara"/>
      </w:pPr>
    </w:p>
    <w:p w14:paraId="6D44C58E" w14:textId="77777777" w:rsidR="00A91312" w:rsidRDefault="00A91312" w:rsidP="00A91312">
      <w:pPr>
        <w:pStyle w:val="TOC1"/>
        <w:rPr>
          <w:b/>
        </w:rPr>
      </w:pPr>
      <w:r w:rsidRPr="001D29F8">
        <w:rPr>
          <w:b/>
        </w:rPr>
        <w:t>F</w:t>
      </w:r>
      <w:r w:rsidRPr="001D29F8">
        <w:rPr>
          <w:b/>
        </w:rPr>
        <w:tab/>
        <w:t>Response to Public Comments</w:t>
      </w:r>
    </w:p>
    <w:p w14:paraId="025BB893" w14:textId="77777777" w:rsidR="00A91312" w:rsidRPr="001D29F8" w:rsidRDefault="00A91312" w:rsidP="00A91312">
      <w:pPr>
        <w:pStyle w:val="TOC1"/>
        <w:rPr>
          <w:b/>
        </w:rPr>
      </w:pPr>
    </w:p>
    <w:p w14:paraId="13C486BE" w14:textId="77777777" w:rsidR="00A91312" w:rsidRDefault="00A91312" w:rsidP="00A91312">
      <w:pPr>
        <w:pStyle w:val="SP-SglSpPara"/>
      </w:pPr>
      <w:r>
        <w:t>F1.</w:t>
      </w:r>
      <w:r>
        <w:tab/>
        <w:t>FNS Response to School Nutrition Association Comments</w:t>
      </w:r>
    </w:p>
    <w:p w14:paraId="7571E85C" w14:textId="77777777" w:rsidR="00A91312" w:rsidRDefault="00A91312" w:rsidP="00A91312">
      <w:pPr>
        <w:pStyle w:val="SP-SglSpPara"/>
      </w:pPr>
      <w:r>
        <w:t>F2.</w:t>
      </w:r>
      <w:r>
        <w:tab/>
        <w:t>FNS Response to Food Research and Action Center Comments</w:t>
      </w:r>
    </w:p>
    <w:p w14:paraId="2DEC1140" w14:textId="77777777" w:rsidR="00A91312" w:rsidRDefault="00A91312" w:rsidP="00A91312">
      <w:pPr>
        <w:pStyle w:val="TOC1"/>
      </w:pPr>
    </w:p>
    <w:p w14:paraId="545E9998" w14:textId="77777777" w:rsidR="00A91312" w:rsidRPr="001D29F8" w:rsidRDefault="00A91312" w:rsidP="00A91312">
      <w:pPr>
        <w:pStyle w:val="TOC1"/>
        <w:rPr>
          <w:b/>
        </w:rPr>
      </w:pPr>
      <w:r w:rsidRPr="001D29F8">
        <w:rPr>
          <w:b/>
        </w:rPr>
        <w:t>G</w:t>
      </w:r>
      <w:r w:rsidRPr="001D29F8">
        <w:rPr>
          <w:b/>
        </w:rPr>
        <w:tab/>
        <w:t>National Agricultural Statistics Service (NASS) Comments</w:t>
      </w:r>
    </w:p>
    <w:p w14:paraId="4C3731C9" w14:textId="77777777" w:rsidR="00A91312" w:rsidRDefault="00A91312" w:rsidP="00A91312">
      <w:pPr>
        <w:pStyle w:val="TOC1"/>
        <w:ind w:right="0"/>
        <w:rPr>
          <w:b/>
        </w:rPr>
      </w:pPr>
    </w:p>
    <w:p w14:paraId="7C7DD67D" w14:textId="77777777" w:rsidR="00A91312" w:rsidRPr="001D29F8" w:rsidRDefault="00A91312" w:rsidP="00A91312">
      <w:pPr>
        <w:pStyle w:val="TOC1"/>
        <w:ind w:right="0"/>
        <w:rPr>
          <w:b/>
        </w:rPr>
      </w:pPr>
      <w:r w:rsidRPr="001D29F8">
        <w:rPr>
          <w:b/>
        </w:rPr>
        <w:t>H</w:t>
      </w:r>
      <w:r w:rsidRPr="001D29F8">
        <w:rPr>
          <w:b/>
        </w:rPr>
        <w:tab/>
        <w:t>Response to National Agricultural Statistics Service (NASS) Comments</w:t>
      </w:r>
    </w:p>
    <w:p w14:paraId="029A7DE3" w14:textId="77777777" w:rsidR="00A91312" w:rsidRDefault="00A91312" w:rsidP="00A91312">
      <w:pPr>
        <w:pStyle w:val="TOC1"/>
        <w:rPr>
          <w:b/>
        </w:rPr>
      </w:pPr>
    </w:p>
    <w:p w14:paraId="7BDC2655" w14:textId="77777777" w:rsidR="00A91312" w:rsidRPr="001D29F8" w:rsidRDefault="00A91312" w:rsidP="00A91312">
      <w:pPr>
        <w:pStyle w:val="TOC1"/>
        <w:rPr>
          <w:b/>
        </w:rPr>
      </w:pPr>
      <w:r w:rsidRPr="001D29F8">
        <w:rPr>
          <w:b/>
        </w:rPr>
        <w:t>I</w:t>
      </w:r>
      <w:r w:rsidRPr="001D29F8">
        <w:rPr>
          <w:b/>
        </w:rPr>
        <w:tab/>
        <w:t>Household Survey Consent Forms</w:t>
      </w:r>
    </w:p>
    <w:p w14:paraId="47B785EA" w14:textId="77777777" w:rsidR="00A91312" w:rsidRDefault="00A91312" w:rsidP="00A91312">
      <w:pPr>
        <w:pStyle w:val="TOC1"/>
      </w:pPr>
    </w:p>
    <w:p w14:paraId="6699364D" w14:textId="77777777" w:rsidR="00A91312" w:rsidRPr="00DF20EA" w:rsidRDefault="00A91312" w:rsidP="00A91312">
      <w:pPr>
        <w:pStyle w:val="SP-SglSpPara"/>
      </w:pPr>
      <w:r>
        <w:t>I1.</w:t>
      </w:r>
      <w:r>
        <w:tab/>
      </w:r>
      <w:r w:rsidRPr="00DF20EA">
        <w:t>Household Survey Consent Form</w:t>
      </w:r>
    </w:p>
    <w:p w14:paraId="1EC50F14" w14:textId="77777777" w:rsidR="00A91312" w:rsidRDefault="00A91312" w:rsidP="00A91312">
      <w:pPr>
        <w:pStyle w:val="SP-SglSpPara"/>
      </w:pPr>
      <w:r>
        <w:t>I2.</w:t>
      </w:r>
      <w:r>
        <w:tab/>
      </w:r>
      <w:r w:rsidRPr="00DF20EA">
        <w:t>Household Survey Consent Form</w:t>
      </w:r>
      <w:r w:rsidR="00D73725">
        <w:t>―</w:t>
      </w:r>
      <w:r w:rsidRPr="00DF20EA">
        <w:t>Spanish</w:t>
      </w:r>
    </w:p>
    <w:p w14:paraId="08E02359" w14:textId="77777777" w:rsidR="00A91312" w:rsidRDefault="00A91312" w:rsidP="00A91312">
      <w:pPr>
        <w:pStyle w:val="SP-SglSpPara"/>
      </w:pPr>
    </w:p>
    <w:p w14:paraId="19B8BFD6" w14:textId="77777777" w:rsidR="00A91312" w:rsidRPr="001D29F8" w:rsidRDefault="00A91312" w:rsidP="00A91312">
      <w:pPr>
        <w:pStyle w:val="TOC1"/>
        <w:rPr>
          <w:b/>
        </w:rPr>
      </w:pPr>
      <w:r w:rsidRPr="001D29F8">
        <w:rPr>
          <w:b/>
        </w:rPr>
        <w:t>J</w:t>
      </w:r>
      <w:r w:rsidRPr="001D29F8">
        <w:rPr>
          <w:b/>
        </w:rPr>
        <w:tab/>
        <w:t>Westat Confidentiality Pledge</w:t>
      </w:r>
    </w:p>
    <w:p w14:paraId="5FA4388D" w14:textId="77777777" w:rsidR="00A91312" w:rsidRDefault="00A91312" w:rsidP="00A91312">
      <w:pPr>
        <w:pStyle w:val="TOC1"/>
        <w:rPr>
          <w:b/>
        </w:rPr>
      </w:pPr>
    </w:p>
    <w:p w14:paraId="3A1A61D3" w14:textId="77777777" w:rsidR="00A91312" w:rsidRPr="001D29F8" w:rsidRDefault="00A91312" w:rsidP="00A91312">
      <w:pPr>
        <w:pStyle w:val="TOC1"/>
        <w:rPr>
          <w:b/>
        </w:rPr>
      </w:pPr>
      <w:r w:rsidRPr="001D29F8">
        <w:rPr>
          <w:b/>
        </w:rPr>
        <w:t>K</w:t>
      </w:r>
      <w:r w:rsidRPr="001D29F8">
        <w:rPr>
          <w:b/>
        </w:rPr>
        <w:tab/>
        <w:t>Westat Federal-Wide Assurance</w:t>
      </w:r>
    </w:p>
    <w:p w14:paraId="2127A502" w14:textId="77777777" w:rsidR="00A91312" w:rsidRDefault="00A91312" w:rsidP="00A91312">
      <w:pPr>
        <w:pStyle w:val="TOC1"/>
        <w:rPr>
          <w:b/>
        </w:rPr>
      </w:pPr>
    </w:p>
    <w:p w14:paraId="08F210E7" w14:textId="77777777" w:rsidR="00A91312" w:rsidRDefault="00A91312" w:rsidP="00A91312">
      <w:pPr>
        <w:pStyle w:val="C2-CtrSglSp"/>
        <w:rPr>
          <w:b/>
        </w:rPr>
      </w:pPr>
      <w:r>
        <w:rPr>
          <w:b/>
        </w:rPr>
        <w:br w:type="page"/>
      </w:r>
      <w:r w:rsidRPr="008D3EB6">
        <w:rPr>
          <w:b/>
        </w:rPr>
        <w:lastRenderedPageBreak/>
        <w:t>LIST OF APPENDICES TO APEC III OMB SUPPORTING STATEMENT</w:t>
      </w:r>
      <w:r>
        <w:rPr>
          <w:b/>
        </w:rPr>
        <w:t xml:space="preserve"> (continued)</w:t>
      </w:r>
    </w:p>
    <w:p w14:paraId="497F12DB" w14:textId="77777777" w:rsidR="00A91312" w:rsidRPr="008D3EB6" w:rsidRDefault="00A91312" w:rsidP="00A91312">
      <w:pPr>
        <w:pStyle w:val="C2-CtrSglSp"/>
        <w:rPr>
          <w:b/>
        </w:rPr>
      </w:pPr>
    </w:p>
    <w:p w14:paraId="2B034A74" w14:textId="77777777" w:rsidR="00A91312" w:rsidRDefault="00A91312" w:rsidP="00A91312">
      <w:pPr>
        <w:pStyle w:val="T0-ChapPgHd"/>
      </w:pPr>
      <w:r>
        <w:t>Appendix</w:t>
      </w:r>
    </w:p>
    <w:p w14:paraId="384C1763" w14:textId="77777777" w:rsidR="00A91312" w:rsidRPr="00F15490" w:rsidRDefault="00A91312" w:rsidP="00A91312">
      <w:pPr>
        <w:pStyle w:val="T0-ChapPgHd"/>
      </w:pPr>
    </w:p>
    <w:p w14:paraId="5A2A033C" w14:textId="77777777" w:rsidR="00703835" w:rsidRDefault="00A91312" w:rsidP="00A91312">
      <w:pPr>
        <w:pStyle w:val="TOC1"/>
        <w:ind w:right="0"/>
        <w:rPr>
          <w:b/>
        </w:rPr>
      </w:pPr>
      <w:r w:rsidRPr="001D29F8">
        <w:rPr>
          <w:b/>
        </w:rPr>
        <w:t>L</w:t>
      </w:r>
      <w:r w:rsidRPr="001D29F8">
        <w:rPr>
          <w:b/>
        </w:rPr>
        <w:tab/>
        <w:t>Westat APEC III IRB Approval Letters</w:t>
      </w:r>
    </w:p>
    <w:p w14:paraId="18CAFF93" w14:textId="77777777" w:rsidR="00A91312" w:rsidRDefault="00A91312" w:rsidP="00A91312">
      <w:pPr>
        <w:pStyle w:val="TOC1"/>
        <w:ind w:right="0"/>
        <w:rPr>
          <w:b/>
        </w:rPr>
      </w:pPr>
    </w:p>
    <w:p w14:paraId="3EBB57A9" w14:textId="77777777" w:rsidR="00A91312" w:rsidRPr="001D29F8" w:rsidRDefault="00A91312" w:rsidP="00A91312">
      <w:pPr>
        <w:pStyle w:val="TOC1"/>
        <w:ind w:right="0"/>
        <w:rPr>
          <w:b/>
        </w:rPr>
      </w:pPr>
      <w:r w:rsidRPr="001D29F8">
        <w:rPr>
          <w:b/>
        </w:rPr>
        <w:t>M</w:t>
      </w:r>
      <w:r w:rsidRPr="001D29F8">
        <w:rPr>
          <w:b/>
        </w:rPr>
        <w:tab/>
        <w:t xml:space="preserve">Westat Information Technology </w:t>
      </w:r>
      <w:r>
        <w:rPr>
          <w:b/>
        </w:rPr>
        <w:t>a</w:t>
      </w:r>
      <w:r w:rsidRPr="001D29F8">
        <w:rPr>
          <w:b/>
        </w:rPr>
        <w:t xml:space="preserve">nd Systems Security Policy </w:t>
      </w:r>
      <w:r>
        <w:rPr>
          <w:b/>
        </w:rPr>
        <w:t>a</w:t>
      </w:r>
      <w:r w:rsidRPr="001D29F8">
        <w:rPr>
          <w:b/>
        </w:rPr>
        <w:t>nd Best Practices</w:t>
      </w:r>
    </w:p>
    <w:p w14:paraId="341EBD25" w14:textId="77777777" w:rsidR="00A91312" w:rsidRDefault="00A91312" w:rsidP="00A91312">
      <w:pPr>
        <w:pStyle w:val="TOC1"/>
        <w:rPr>
          <w:b/>
        </w:rPr>
      </w:pPr>
    </w:p>
    <w:p w14:paraId="1A4B0A9D" w14:textId="77777777" w:rsidR="00A91312" w:rsidRPr="001D29F8" w:rsidRDefault="00A91312" w:rsidP="00A91312">
      <w:pPr>
        <w:pStyle w:val="TOC1"/>
        <w:rPr>
          <w:b/>
        </w:rPr>
      </w:pPr>
      <w:r w:rsidRPr="001D29F8">
        <w:rPr>
          <w:b/>
        </w:rPr>
        <w:t>N</w:t>
      </w:r>
      <w:r w:rsidRPr="001D29F8">
        <w:rPr>
          <w:b/>
        </w:rPr>
        <w:tab/>
        <w:t>APEC III Burden Table</w:t>
      </w:r>
    </w:p>
    <w:p w14:paraId="4BE2D82A" w14:textId="77777777" w:rsidR="00A91312" w:rsidRDefault="00A91312" w:rsidP="00A91312">
      <w:pPr>
        <w:pStyle w:val="TOC1"/>
        <w:rPr>
          <w:b/>
        </w:rPr>
      </w:pPr>
    </w:p>
    <w:p w14:paraId="588BA6C3" w14:textId="77777777" w:rsidR="00A91312" w:rsidRDefault="00A91312" w:rsidP="00A91312">
      <w:pPr>
        <w:pStyle w:val="TOC1"/>
        <w:rPr>
          <w:b/>
        </w:rPr>
      </w:pPr>
      <w:r w:rsidRPr="001D29F8">
        <w:rPr>
          <w:b/>
        </w:rPr>
        <w:t>O</w:t>
      </w:r>
      <w:r w:rsidRPr="001D29F8">
        <w:rPr>
          <w:b/>
        </w:rPr>
        <w:tab/>
        <w:t>Sam</w:t>
      </w:r>
      <w:r>
        <w:rPr>
          <w:b/>
        </w:rPr>
        <w:t>p</w:t>
      </w:r>
      <w:r w:rsidRPr="001D29F8">
        <w:rPr>
          <w:b/>
        </w:rPr>
        <w:t xml:space="preserve">le Frame Development </w:t>
      </w:r>
      <w:r>
        <w:rPr>
          <w:b/>
        </w:rPr>
        <w:t>a</w:t>
      </w:r>
      <w:r w:rsidRPr="001D29F8">
        <w:rPr>
          <w:b/>
        </w:rPr>
        <w:t>nd Selection Process</w:t>
      </w:r>
    </w:p>
    <w:p w14:paraId="00896913" w14:textId="77777777" w:rsidR="00A91312" w:rsidRPr="001D29F8" w:rsidRDefault="00A91312" w:rsidP="00A91312">
      <w:pPr>
        <w:pStyle w:val="TOC1"/>
        <w:rPr>
          <w:b/>
        </w:rPr>
      </w:pPr>
    </w:p>
    <w:p w14:paraId="3290B666" w14:textId="77777777" w:rsidR="00A91312" w:rsidRDefault="00A91312" w:rsidP="00A91312">
      <w:pPr>
        <w:pStyle w:val="SP-SglSpPara"/>
      </w:pPr>
      <w:r>
        <w:t>O1.</w:t>
      </w:r>
      <w:r>
        <w:tab/>
        <w:t>Sample Frame Development and Selection Procedures</w:t>
      </w:r>
    </w:p>
    <w:p w14:paraId="74B23F3E" w14:textId="4040F891" w:rsidR="00A91312" w:rsidRDefault="00A91312" w:rsidP="00A91312">
      <w:pPr>
        <w:pStyle w:val="SP-SglSpPara"/>
      </w:pPr>
      <w:r>
        <w:t>O2.</w:t>
      </w:r>
      <w:r>
        <w:tab/>
      </w:r>
      <w:r w:rsidR="008327DB">
        <w:t>Template E-Letter f</w:t>
      </w:r>
      <w:r w:rsidRPr="00D6281A">
        <w:t>rom FNS Regional Lia</w:t>
      </w:r>
      <w:r>
        <w:t>i</w:t>
      </w:r>
      <w:r w:rsidRPr="00D6281A">
        <w:t xml:space="preserve">son </w:t>
      </w:r>
      <w:r>
        <w:t>t</w:t>
      </w:r>
      <w:r w:rsidRPr="00D6281A">
        <w:t>o State Child Nutrition Director</w:t>
      </w:r>
    </w:p>
    <w:p w14:paraId="75313135" w14:textId="77777777" w:rsidR="00A91312" w:rsidRDefault="00A91312" w:rsidP="00A91312">
      <w:pPr>
        <w:pStyle w:val="SP-SglSpPara"/>
      </w:pPr>
      <w:r>
        <w:t>O3.</w:t>
      </w:r>
      <w:r>
        <w:tab/>
        <w:t>State Follow Up Contact Guide</w:t>
      </w:r>
    </w:p>
    <w:p w14:paraId="7B39B443" w14:textId="77777777" w:rsidR="00A91312" w:rsidRDefault="00A91312" w:rsidP="00A91312">
      <w:pPr>
        <w:pStyle w:val="SP-SglSpPara"/>
      </w:pPr>
      <w:r>
        <w:t>O4.</w:t>
      </w:r>
      <w:r>
        <w:tab/>
      </w:r>
      <w:r w:rsidRPr="00D6281A">
        <w:t>SFA Study Notification and School Data Verification E-Letter</w:t>
      </w:r>
    </w:p>
    <w:p w14:paraId="6FC571D6" w14:textId="77777777" w:rsidR="00A91312" w:rsidRDefault="00A91312" w:rsidP="00A91312">
      <w:pPr>
        <w:pStyle w:val="SP-SglSpPara"/>
      </w:pPr>
      <w:r>
        <w:t>O5.</w:t>
      </w:r>
      <w:r>
        <w:tab/>
      </w:r>
      <w:r w:rsidRPr="00D6281A">
        <w:t>SFA Follow Up Contact Guide (Study Notification and School Data Verification)</w:t>
      </w:r>
    </w:p>
    <w:p w14:paraId="04AD168E" w14:textId="77777777" w:rsidR="00A91312" w:rsidRDefault="00A91312" w:rsidP="00A91312">
      <w:pPr>
        <w:pStyle w:val="SP-SglSpPara"/>
      </w:pPr>
      <w:r>
        <w:t>O6.</w:t>
      </w:r>
      <w:r>
        <w:tab/>
      </w:r>
      <w:r w:rsidRPr="00D6281A">
        <w:t>SFA Automated Email</w:t>
      </w:r>
      <w:r w:rsidR="00D73725">
        <w:t>―</w:t>
      </w:r>
      <w:r w:rsidRPr="00D6281A">
        <w:t>Receipt of Verification of School Data</w:t>
      </w:r>
    </w:p>
    <w:p w14:paraId="7F470A24" w14:textId="77777777" w:rsidR="00A91312" w:rsidRDefault="00A91312" w:rsidP="00A91312">
      <w:pPr>
        <w:pStyle w:val="SP-SglSpPara"/>
      </w:pPr>
      <w:r>
        <w:t>O7.</w:t>
      </w:r>
      <w:r>
        <w:tab/>
      </w:r>
      <w:r w:rsidRPr="00D6281A">
        <w:t>SFA Confirmation and Next Steps Email</w:t>
      </w:r>
    </w:p>
    <w:p w14:paraId="635D0EFF" w14:textId="77777777" w:rsidR="00A91312" w:rsidRDefault="00A91312" w:rsidP="00A91312">
      <w:pPr>
        <w:pStyle w:val="SP-SglSpPara"/>
      </w:pPr>
      <w:r>
        <w:t>O8.</w:t>
      </w:r>
      <w:r>
        <w:tab/>
      </w:r>
      <w:r w:rsidRPr="00D6281A">
        <w:t>SFA School Sample Notification E-Letter</w:t>
      </w:r>
    </w:p>
    <w:p w14:paraId="041539A9" w14:textId="77777777" w:rsidR="00A91312" w:rsidRDefault="00A91312" w:rsidP="00A91312">
      <w:pPr>
        <w:pStyle w:val="SP-SglSpPara"/>
      </w:pPr>
      <w:r>
        <w:t>O9.</w:t>
      </w:r>
      <w:r>
        <w:tab/>
      </w:r>
      <w:r w:rsidRPr="004829FA">
        <w:t>School Study Notification E-Letter</w:t>
      </w:r>
    </w:p>
    <w:p w14:paraId="3D51C6E3" w14:textId="77777777" w:rsidR="00A91312" w:rsidRDefault="00A91312" w:rsidP="00A91312">
      <w:pPr>
        <w:pStyle w:val="SP-SglSpPara"/>
      </w:pPr>
      <w:r>
        <w:t>O10.</w:t>
      </w:r>
      <w:r>
        <w:tab/>
        <w:t>APEC III Fact Sheet (for SFAs</w:t>
      </w:r>
      <w:r w:rsidRPr="004829FA">
        <w:t xml:space="preserve"> and Schools)</w:t>
      </w:r>
    </w:p>
    <w:p w14:paraId="0547B8AD" w14:textId="77777777" w:rsidR="00A91312" w:rsidRDefault="00A91312" w:rsidP="00A91312">
      <w:pPr>
        <w:pStyle w:val="TOC1"/>
      </w:pPr>
    </w:p>
    <w:p w14:paraId="2B847FE5" w14:textId="77777777" w:rsidR="00A91312" w:rsidRPr="001D29F8" w:rsidRDefault="00A91312" w:rsidP="00A91312">
      <w:pPr>
        <w:pStyle w:val="TOC1"/>
        <w:rPr>
          <w:b/>
        </w:rPr>
      </w:pPr>
      <w:r w:rsidRPr="001D29F8">
        <w:rPr>
          <w:b/>
        </w:rPr>
        <w:t>P</w:t>
      </w:r>
      <w:r w:rsidRPr="001D29F8">
        <w:rPr>
          <w:b/>
        </w:rPr>
        <w:tab/>
        <w:t>APEC III SFA Sample Selection Memo</w:t>
      </w:r>
    </w:p>
    <w:p w14:paraId="152B2CC4" w14:textId="77777777" w:rsidR="00A91312" w:rsidRDefault="00A91312" w:rsidP="00A91312">
      <w:pPr>
        <w:pStyle w:val="TOC1"/>
        <w:rPr>
          <w:b/>
        </w:rPr>
      </w:pPr>
    </w:p>
    <w:p w14:paraId="34611400" w14:textId="77777777" w:rsidR="00A91312" w:rsidRPr="001D29F8" w:rsidRDefault="00A91312" w:rsidP="00A91312">
      <w:pPr>
        <w:pStyle w:val="TOC1"/>
        <w:rPr>
          <w:b/>
        </w:rPr>
      </w:pPr>
      <w:r w:rsidRPr="001D29F8">
        <w:rPr>
          <w:b/>
        </w:rPr>
        <w:t>Q</w:t>
      </w:r>
      <w:r w:rsidRPr="001D29F8">
        <w:rPr>
          <w:b/>
        </w:rPr>
        <w:tab/>
        <w:t>APEC III School Sample Selection Memo</w:t>
      </w:r>
    </w:p>
    <w:p w14:paraId="0B4911B4" w14:textId="77777777" w:rsidR="00A91312" w:rsidRDefault="00A91312" w:rsidP="00A91312">
      <w:pPr>
        <w:pStyle w:val="TOC1"/>
        <w:rPr>
          <w:b/>
        </w:rPr>
      </w:pPr>
    </w:p>
    <w:p w14:paraId="0D38E7BB" w14:textId="77777777" w:rsidR="00A91312" w:rsidRPr="001D29F8" w:rsidRDefault="00A91312" w:rsidP="00A91312">
      <w:pPr>
        <w:pStyle w:val="TOC1"/>
        <w:rPr>
          <w:b/>
        </w:rPr>
      </w:pPr>
      <w:r w:rsidRPr="001D29F8">
        <w:rPr>
          <w:b/>
        </w:rPr>
        <w:t>R</w:t>
      </w:r>
      <w:r w:rsidRPr="001D29F8">
        <w:rPr>
          <w:b/>
        </w:rPr>
        <w:tab/>
        <w:t>Special School Weights for Non-Certification Errors</w:t>
      </w:r>
    </w:p>
    <w:p w14:paraId="5B1EB365" w14:textId="77777777" w:rsidR="00A91312" w:rsidRDefault="00A91312" w:rsidP="00A91312">
      <w:pPr>
        <w:pStyle w:val="TOC1"/>
        <w:rPr>
          <w:b/>
        </w:rPr>
      </w:pPr>
    </w:p>
    <w:p w14:paraId="43D507F4" w14:textId="77777777" w:rsidR="00A91312" w:rsidRPr="001D29F8" w:rsidRDefault="00A91312" w:rsidP="00A91312">
      <w:pPr>
        <w:pStyle w:val="TOC1"/>
        <w:rPr>
          <w:b/>
        </w:rPr>
      </w:pPr>
      <w:r w:rsidRPr="001D29F8">
        <w:rPr>
          <w:b/>
        </w:rPr>
        <w:t>S</w:t>
      </w:r>
      <w:r w:rsidRPr="001D29F8">
        <w:rPr>
          <w:b/>
        </w:rPr>
        <w:tab/>
        <w:t>Data Collection Summary</w:t>
      </w:r>
    </w:p>
    <w:p w14:paraId="5E9EE272" w14:textId="77777777" w:rsidR="00A91312" w:rsidRDefault="00A91312" w:rsidP="00A91312">
      <w:pPr>
        <w:pStyle w:val="TOC1"/>
        <w:rPr>
          <w:b/>
        </w:rPr>
      </w:pPr>
    </w:p>
    <w:p w14:paraId="10622235" w14:textId="77777777" w:rsidR="00A91312" w:rsidRDefault="00A91312" w:rsidP="00A91312">
      <w:pPr>
        <w:pStyle w:val="TOC1"/>
        <w:rPr>
          <w:b/>
        </w:rPr>
      </w:pPr>
      <w:r w:rsidRPr="001D29F8">
        <w:rPr>
          <w:b/>
        </w:rPr>
        <w:t>T</w:t>
      </w:r>
      <w:r w:rsidRPr="001D29F8">
        <w:rPr>
          <w:b/>
        </w:rPr>
        <w:tab/>
        <w:t>Household Recruitment</w:t>
      </w:r>
    </w:p>
    <w:p w14:paraId="1FC70939" w14:textId="77777777" w:rsidR="00A91312" w:rsidRPr="001D29F8" w:rsidRDefault="00A91312" w:rsidP="00A91312">
      <w:pPr>
        <w:pStyle w:val="TOC1"/>
        <w:rPr>
          <w:b/>
          <w:u w:val="single"/>
        </w:rPr>
      </w:pPr>
    </w:p>
    <w:p w14:paraId="31B98B80" w14:textId="77777777" w:rsidR="00A91312" w:rsidRDefault="00A91312" w:rsidP="00A91312">
      <w:pPr>
        <w:pStyle w:val="SP-SglSpPara"/>
      </w:pPr>
      <w:r>
        <w:t>T1.</w:t>
      </w:r>
      <w:r>
        <w:tab/>
        <w:t>Household Survey Recruitment</w:t>
      </w:r>
      <w:r w:rsidRPr="00D1336C">
        <w:t xml:space="preserve"> Letter</w:t>
      </w:r>
    </w:p>
    <w:p w14:paraId="36298564" w14:textId="77777777" w:rsidR="00A91312" w:rsidRPr="00132FCE" w:rsidRDefault="00A91312" w:rsidP="00A91312">
      <w:pPr>
        <w:pStyle w:val="SP-SglSpPara"/>
      </w:pPr>
      <w:r>
        <w:t>T2.</w:t>
      </w:r>
      <w:r>
        <w:tab/>
        <w:t>Household Survey Recruitment Letter—Spanish</w:t>
      </w:r>
    </w:p>
    <w:p w14:paraId="71EF29A3" w14:textId="77777777" w:rsidR="00A91312" w:rsidRPr="00132FCE" w:rsidRDefault="00A91312" w:rsidP="00A91312">
      <w:pPr>
        <w:pStyle w:val="SP-SglSpPara"/>
      </w:pPr>
      <w:r>
        <w:t>T3.</w:t>
      </w:r>
      <w:r>
        <w:tab/>
        <w:t>Household Survey Brochure</w:t>
      </w:r>
    </w:p>
    <w:p w14:paraId="7F1D4A06" w14:textId="77777777" w:rsidR="00A91312" w:rsidRDefault="00A91312" w:rsidP="00A91312">
      <w:pPr>
        <w:pStyle w:val="SP-SglSpPara"/>
      </w:pPr>
      <w:r>
        <w:t>T4.</w:t>
      </w:r>
      <w:r>
        <w:tab/>
        <w:t xml:space="preserve">Household Survey </w:t>
      </w:r>
      <w:r w:rsidRPr="00132FCE">
        <w:t>Broc</w:t>
      </w:r>
      <w:r>
        <w:t>hure—Spanish</w:t>
      </w:r>
    </w:p>
    <w:p w14:paraId="21ADB31B" w14:textId="77777777" w:rsidR="00A91312" w:rsidRDefault="00A91312" w:rsidP="00A91312">
      <w:pPr>
        <w:pStyle w:val="SP-SglSpPara"/>
      </w:pPr>
      <w:r>
        <w:t>T5.</w:t>
      </w:r>
      <w:r>
        <w:tab/>
        <w:t>Household Survey Recruitment Contact Guide</w:t>
      </w:r>
    </w:p>
    <w:p w14:paraId="1FBCCE14" w14:textId="77777777" w:rsidR="00A91312" w:rsidRDefault="00A91312" w:rsidP="00A91312">
      <w:pPr>
        <w:pStyle w:val="SP-SglSpPara"/>
      </w:pPr>
      <w:r>
        <w:t>T6.</w:t>
      </w:r>
      <w:r>
        <w:tab/>
        <w:t>Household Survey Recruitment Contact Guide—Spanish</w:t>
      </w:r>
    </w:p>
    <w:p w14:paraId="293AA2BE" w14:textId="77777777" w:rsidR="00A91312" w:rsidRDefault="00A91312" w:rsidP="00A91312">
      <w:pPr>
        <w:pStyle w:val="SP-SglSpPara"/>
      </w:pPr>
      <w:r>
        <w:t>T7.</w:t>
      </w:r>
      <w:r>
        <w:tab/>
        <w:t>Household Interview Recruitment Contact Guide</w:t>
      </w:r>
    </w:p>
    <w:p w14:paraId="498225D2" w14:textId="77777777" w:rsidR="00A91312" w:rsidRDefault="00A91312" w:rsidP="00A91312">
      <w:pPr>
        <w:pStyle w:val="SP-SglSpPara"/>
      </w:pPr>
      <w:r>
        <w:t>T8.</w:t>
      </w:r>
      <w:r>
        <w:tab/>
        <w:t>Household Interview Recruitment Contact Guide—Spanish</w:t>
      </w:r>
    </w:p>
    <w:p w14:paraId="20F1B81E" w14:textId="77777777" w:rsidR="00A91312" w:rsidRDefault="00A91312" w:rsidP="00A91312">
      <w:pPr>
        <w:pStyle w:val="TOC1"/>
      </w:pPr>
    </w:p>
    <w:p w14:paraId="74310DAB" w14:textId="77777777" w:rsidR="00A91312" w:rsidRPr="00A91312" w:rsidRDefault="00A91312" w:rsidP="00A91312">
      <w:pPr>
        <w:pStyle w:val="TOC1"/>
        <w:rPr>
          <w:b/>
        </w:rPr>
      </w:pPr>
      <w:r w:rsidRPr="00A91312">
        <w:rPr>
          <w:b/>
        </w:rPr>
        <w:t>U</w:t>
      </w:r>
      <w:r w:rsidRPr="00A91312">
        <w:rPr>
          <w:b/>
        </w:rPr>
        <w:tab/>
        <w:t>APEC III Cognitive Pretest Findings Report</w:t>
      </w:r>
    </w:p>
    <w:p w14:paraId="18E650DC" w14:textId="77777777" w:rsidR="00A91312" w:rsidRPr="00B64B4C" w:rsidRDefault="00A91312" w:rsidP="00A91312">
      <w:pPr>
        <w:pStyle w:val="TOC1"/>
      </w:pPr>
    </w:p>
    <w:p w14:paraId="56B8C596" w14:textId="77777777" w:rsidR="001F15B8" w:rsidRPr="0010255D" w:rsidRDefault="001F15B8" w:rsidP="00D90AE2">
      <w:pPr>
        <w:tabs>
          <w:tab w:val="left" w:pos="540"/>
          <w:tab w:val="right" w:leader="dot" w:pos="9360"/>
        </w:tabs>
        <w:spacing w:after="240" w:line="240" w:lineRule="auto"/>
        <w:ind w:right="1080"/>
        <w:rPr>
          <w:rFonts w:ascii="Lucida Sans" w:hAnsi="Lucida Sans"/>
          <w:noProof/>
          <w:sz w:val="22"/>
          <w:szCs w:val="22"/>
        </w:rPr>
      </w:pPr>
    </w:p>
    <w:p w14:paraId="0980F824" w14:textId="77777777" w:rsidR="001F15B8" w:rsidRDefault="001F15B8" w:rsidP="00D90AE2">
      <w:pPr>
        <w:tabs>
          <w:tab w:val="left" w:pos="432"/>
        </w:tabs>
        <w:spacing w:before="240" w:after="240" w:line="240" w:lineRule="auto"/>
        <w:outlineLvl w:val="0"/>
        <w:rPr>
          <w:rFonts w:ascii="Lucida Sans" w:hAnsi="Lucida Sans"/>
          <w:sz w:val="22"/>
          <w:szCs w:val="22"/>
        </w:rPr>
        <w:sectPr w:rsidR="001F15B8" w:rsidSect="00F30358">
          <w:headerReference w:type="default" r:id="rId10"/>
          <w:footerReference w:type="default" r:id="rId11"/>
          <w:pgSz w:w="12240" w:h="15840"/>
          <w:pgMar w:top="1440" w:right="1440" w:bottom="1440" w:left="1440" w:header="720" w:footer="576" w:gutter="0"/>
          <w:pgNumType w:fmt="lowerRoman" w:start="1"/>
          <w:cols w:space="720"/>
          <w:docGrid w:linePitch="360"/>
        </w:sectPr>
      </w:pPr>
    </w:p>
    <w:p w14:paraId="33BC3F17" w14:textId="77777777" w:rsidR="001F15B8" w:rsidRDefault="001F15B8" w:rsidP="00186A08">
      <w:pPr>
        <w:pStyle w:val="Heading1"/>
        <w:sectPr w:rsidR="001F15B8" w:rsidSect="007B308A">
          <w:headerReference w:type="default" r:id="rId12"/>
          <w:footerReference w:type="default" r:id="rId13"/>
          <w:endnotePr>
            <w:numFmt w:val="decimal"/>
          </w:endnotePr>
          <w:type w:val="continuous"/>
          <w:pgSz w:w="12240" w:h="15840" w:code="1"/>
          <w:pgMar w:top="1440" w:right="1440" w:bottom="1440" w:left="1440" w:header="720" w:footer="576" w:gutter="0"/>
          <w:pgNumType w:start="1"/>
          <w:cols w:space="720"/>
          <w:docGrid w:linePitch="326"/>
        </w:sectPr>
      </w:pPr>
      <w:bookmarkStart w:id="11" w:name="_Toc320539716"/>
      <w:bookmarkStart w:id="12" w:name="_Toc318292703"/>
      <w:bookmarkStart w:id="13" w:name="_Toc316312713"/>
    </w:p>
    <w:p w14:paraId="57CD302B" w14:textId="77777777" w:rsidR="00186A08" w:rsidRDefault="00186A08" w:rsidP="00186A08">
      <w:pPr>
        <w:pStyle w:val="Heading1"/>
      </w:pPr>
      <w:r>
        <w:lastRenderedPageBreak/>
        <w:t xml:space="preserve">PART B. COLLECTION OF INFORMATION </w:t>
      </w:r>
      <w:r>
        <w:br/>
        <w:t>USING STATISTICAL METHODS</w:t>
      </w:r>
      <w:bookmarkEnd w:id="11"/>
      <w:bookmarkEnd w:id="12"/>
      <w:bookmarkEnd w:id="13"/>
    </w:p>
    <w:p w14:paraId="75BDC127" w14:textId="77777777" w:rsidR="00186A08" w:rsidRDefault="00186A08" w:rsidP="00186A08">
      <w:pPr>
        <w:pStyle w:val="Heading1"/>
      </w:pPr>
    </w:p>
    <w:p w14:paraId="0BA7E5B7" w14:textId="77777777" w:rsidR="00186A08" w:rsidRDefault="00D90AE2" w:rsidP="00F30358">
      <w:pPr>
        <w:pStyle w:val="Heading2"/>
      </w:pPr>
      <w:r w:rsidRPr="0083161E">
        <w:t>1.</w:t>
      </w:r>
      <w:r w:rsidRPr="0083161E">
        <w:tab/>
        <w:t>Respondent Universe and Sampling Methods</w:t>
      </w:r>
      <w:bookmarkEnd w:id="1"/>
      <w:bookmarkEnd w:id="2"/>
      <w:bookmarkEnd w:id="3"/>
      <w:bookmarkEnd w:id="4"/>
      <w:bookmarkEnd w:id="5"/>
      <w:bookmarkEnd w:id="10"/>
    </w:p>
    <w:p w14:paraId="43244A5D" w14:textId="77777777" w:rsidR="00D90AE2" w:rsidRPr="00BA4712" w:rsidRDefault="00005DFA" w:rsidP="00F30358">
      <w:pPr>
        <w:pStyle w:val="Heading5"/>
      </w:pPr>
      <w:r>
        <w:tab/>
      </w:r>
      <w:r w:rsidR="00D90AE2" w:rsidRPr="00BA4712">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245A40E" w14:textId="77777777" w:rsidR="00D90AE2" w:rsidRDefault="00D90AE2" w:rsidP="005305E5">
      <w:pPr>
        <w:pStyle w:val="Heading4"/>
      </w:pPr>
      <w:r w:rsidRPr="00F30358">
        <w:t>Respondent Universe</w:t>
      </w:r>
    </w:p>
    <w:p w14:paraId="24B397DC" w14:textId="31AD79EC" w:rsidR="005305E5" w:rsidRDefault="00D90AE2" w:rsidP="00F30358">
      <w:pPr>
        <w:pStyle w:val="P1-StandPara"/>
      </w:pPr>
      <w:r w:rsidRPr="00BA4712">
        <w:t>T</w:t>
      </w:r>
      <w:r>
        <w:t xml:space="preserve">he respondent universe for the </w:t>
      </w:r>
      <w:r w:rsidR="00E464AB">
        <w:t xml:space="preserve">Third </w:t>
      </w:r>
      <w:r>
        <w:t>Access, Participation</w:t>
      </w:r>
      <w:r w:rsidR="00025218">
        <w:t>,</w:t>
      </w:r>
      <w:r>
        <w:t xml:space="preserve"> Eligibility</w:t>
      </w:r>
      <w:r w:rsidR="00025218">
        <w:t>,</w:t>
      </w:r>
      <w:r>
        <w:t xml:space="preserve"> and Certification Study </w:t>
      </w:r>
      <w:r w:rsidR="00025218">
        <w:t>S</w:t>
      </w:r>
      <w:r>
        <w:t>eries (APEC</w:t>
      </w:r>
      <w:r w:rsidR="00BF7DC9">
        <w:t xml:space="preserve"> </w:t>
      </w:r>
      <w:r>
        <w:t>III)</w:t>
      </w:r>
      <w:r>
        <w:rPr>
          <w:rStyle w:val="FootnoteReference"/>
          <w:szCs w:val="24"/>
        </w:rPr>
        <w:footnoteReference w:id="1"/>
      </w:r>
      <w:r w:rsidRPr="00BA4712">
        <w:t xml:space="preserve"> includes </w:t>
      </w:r>
      <w:r w:rsidR="00B34D69">
        <w:t xml:space="preserve">(a) </w:t>
      </w:r>
      <w:r>
        <w:t xml:space="preserve">School Food Authorities (SFAs) (and their corresponding 46 State </w:t>
      </w:r>
      <w:r w:rsidR="00BF7DC9">
        <w:t>child nutrition a</w:t>
      </w:r>
      <w:r>
        <w:t>gencies</w:t>
      </w:r>
      <w:r w:rsidR="00C234C8">
        <w:rPr>
          <w:rStyle w:val="FootnoteReference"/>
        </w:rPr>
        <w:footnoteReference w:id="2"/>
      </w:r>
      <w:r>
        <w:t xml:space="preserve">), </w:t>
      </w:r>
      <w:r w:rsidR="00B34D69">
        <w:t xml:space="preserve">(b) </w:t>
      </w:r>
      <w:r>
        <w:t>schools</w:t>
      </w:r>
      <w:r>
        <w:rPr>
          <w:spacing w:val="-5"/>
        </w:rPr>
        <w:t xml:space="preserve"> (both Community Eligibility Provision (CEP) schools and </w:t>
      </w:r>
      <w:r w:rsidR="00E464AB">
        <w:rPr>
          <w:spacing w:val="-5"/>
        </w:rPr>
        <w:t>non-</w:t>
      </w:r>
      <w:r>
        <w:rPr>
          <w:spacing w:val="-5"/>
        </w:rPr>
        <w:t xml:space="preserve">CEP schools) </w:t>
      </w:r>
      <w:r>
        <w:t>within</w:t>
      </w:r>
      <w:r>
        <w:rPr>
          <w:spacing w:val="-3"/>
        </w:rPr>
        <w:t xml:space="preserve"> </w:t>
      </w:r>
      <w:r>
        <w:t>SFAs,</w:t>
      </w:r>
      <w:r>
        <w:rPr>
          <w:spacing w:val="-3"/>
        </w:rPr>
        <w:t xml:space="preserve"> </w:t>
      </w:r>
      <w:r>
        <w:t>and</w:t>
      </w:r>
      <w:r>
        <w:rPr>
          <w:spacing w:val="-3"/>
        </w:rPr>
        <w:t xml:space="preserve"> </w:t>
      </w:r>
      <w:r w:rsidR="00B34D69">
        <w:rPr>
          <w:spacing w:val="-3"/>
        </w:rPr>
        <w:t xml:space="preserve">(c) </w:t>
      </w:r>
      <w:r>
        <w:t>students (households)</w:t>
      </w:r>
      <w:r>
        <w:rPr>
          <w:spacing w:val="-4"/>
        </w:rPr>
        <w:t xml:space="preserve"> </w:t>
      </w:r>
      <w:r>
        <w:t>who applied for, or were directly certified, for meal benefits in School Year (SY) 2017-</w:t>
      </w:r>
      <w:r w:rsidR="00025218">
        <w:t>20</w:t>
      </w:r>
      <w:r>
        <w:t>18</w:t>
      </w:r>
      <w:r w:rsidR="007608AB" w:rsidRPr="007608AB">
        <w:t xml:space="preserve"> </w:t>
      </w:r>
      <w:r w:rsidR="007608AB">
        <w:t>within the sampled schools</w:t>
      </w:r>
      <w:r>
        <w:t>.</w:t>
      </w:r>
      <w:r w:rsidRPr="001E55B4">
        <w:t xml:space="preserve"> </w:t>
      </w:r>
      <w:r>
        <w:t>APEC III includes the same respondent universe as APEC II and will follow the same design</w:t>
      </w:r>
      <w:r w:rsidR="007E34B7">
        <w:t xml:space="preserve"> described herein</w:t>
      </w:r>
      <w:r>
        <w:t>, with some enhancements (</w:t>
      </w:r>
      <w:r w:rsidR="00837A89">
        <w:t xml:space="preserve">e.g., </w:t>
      </w:r>
      <w:r>
        <w:t>increased sample sizes and addition of qualitative data)</w:t>
      </w:r>
      <w:r w:rsidR="00025218">
        <w:t>.</w:t>
      </w:r>
      <w:r>
        <w:rPr>
          <w:rStyle w:val="FootnoteReference"/>
          <w:szCs w:val="24"/>
        </w:rPr>
        <w:footnoteReference w:id="3"/>
      </w:r>
    </w:p>
    <w:p w14:paraId="18D5A68B" w14:textId="253144BB" w:rsidR="005305E5" w:rsidRDefault="00D90AE2" w:rsidP="00F30358">
      <w:pPr>
        <w:pStyle w:val="P1-StandPara"/>
      </w:pPr>
      <w:r w:rsidRPr="00311A70">
        <w:t>Table B1-1</w:t>
      </w:r>
      <w:r w:rsidR="00025218">
        <w:t xml:space="preserve"> </w:t>
      </w:r>
      <w:r w:rsidRPr="00BA4712">
        <w:t>presents a summary of the universe, samples, expected response rate for each respondent type</w:t>
      </w:r>
      <w:r>
        <w:t>, and overall</w:t>
      </w:r>
      <w:r w:rsidR="00857889">
        <w:t xml:space="preserve"> response rate</w:t>
      </w:r>
      <w:r w:rsidRPr="00BA4712">
        <w:t xml:space="preserve">. </w:t>
      </w:r>
      <w:r>
        <w:t xml:space="preserve">A description of the efforts that have (or will) be </w:t>
      </w:r>
      <w:r>
        <w:lastRenderedPageBreak/>
        <w:t>implemented to ensure a high response rate is described in response to Question 3 of this Supporting Statement Part B. The response rate for</w:t>
      </w:r>
      <w:r w:rsidR="005305E5">
        <w:t xml:space="preserve"> </w:t>
      </w:r>
      <w:r>
        <w:t xml:space="preserve">SFA participation </w:t>
      </w:r>
      <w:r w:rsidRPr="00B8093E">
        <w:t>ha</w:t>
      </w:r>
      <w:r w:rsidR="00025218">
        <w:t>s</w:t>
      </w:r>
      <w:r w:rsidRPr="00B8093E">
        <w:t xml:space="preserve"> ex</w:t>
      </w:r>
      <w:r>
        <w:t>ceeded the minimum expected</w:t>
      </w:r>
      <w:r w:rsidR="00025218">
        <w:t>.</w:t>
      </w:r>
      <w:r>
        <w:rPr>
          <w:rStyle w:val="FootnoteReference"/>
          <w:szCs w:val="24"/>
        </w:rPr>
        <w:footnoteReference w:id="4"/>
      </w:r>
      <w:r w:rsidR="005305E5">
        <w:t xml:space="preserve"> </w:t>
      </w:r>
      <w:r w:rsidRPr="00B8093E">
        <w:t xml:space="preserve">With the confirmation of </w:t>
      </w:r>
      <w:r>
        <w:t>participation from 96</w:t>
      </w:r>
      <w:r w:rsidR="00186A08">
        <w:t xml:space="preserve"> percent</w:t>
      </w:r>
      <w:r>
        <w:t xml:space="preserve"> of </w:t>
      </w:r>
      <w:r w:rsidRPr="00B8093E">
        <w:t>the SFAs, it is expected that the school response rate will meet or exceed the m</w:t>
      </w:r>
      <w:r w:rsidR="007B4CE1">
        <w:t>inimum because the SFAs</w:t>
      </w:r>
      <w:r w:rsidRPr="00B8093E">
        <w:t xml:space="preserve"> </w:t>
      </w:r>
      <w:r w:rsidR="007B4CE1">
        <w:t xml:space="preserve">direct and </w:t>
      </w:r>
      <w:r>
        <w:t>encourage</w:t>
      </w:r>
      <w:r w:rsidRPr="00B8093E">
        <w:t xml:space="preserve"> the participation of the</w:t>
      </w:r>
      <w:r>
        <w:t>ir</w:t>
      </w:r>
      <w:r w:rsidRPr="00B8093E">
        <w:t xml:space="preserve"> schools.</w:t>
      </w:r>
      <w:r w:rsidR="005305E5">
        <w:t xml:space="preserve"> </w:t>
      </w:r>
      <w:r w:rsidR="005B538C">
        <w:t xml:space="preserve">The CEP student records </w:t>
      </w:r>
      <w:proofErr w:type="gramStart"/>
      <w:r w:rsidR="005B538C">
        <w:t xml:space="preserve">are </w:t>
      </w:r>
      <w:bookmarkStart w:id="14" w:name="_GoBack"/>
      <w:bookmarkEnd w:id="14"/>
      <w:r w:rsidRPr="00B8093E">
        <w:t>existing</w:t>
      </w:r>
      <w:proofErr w:type="gramEnd"/>
      <w:r w:rsidRPr="00B8093E">
        <w:t xml:space="preserve"> and required records</w:t>
      </w:r>
      <w:r w:rsidR="00025218">
        <w:t>;</w:t>
      </w:r>
      <w:r w:rsidRPr="00B8093E">
        <w:t xml:space="preserve"> hence the </w:t>
      </w:r>
      <w:r>
        <w:t xml:space="preserve">response rate will be </w:t>
      </w:r>
      <w:r w:rsidRPr="00B8093E">
        <w:t>100</w:t>
      </w:r>
      <w:r w:rsidR="00186A08">
        <w:t xml:space="preserve"> percent</w:t>
      </w:r>
      <w:r>
        <w:t>.</w:t>
      </w:r>
      <w:r w:rsidR="005305E5">
        <w:t xml:space="preserve"> </w:t>
      </w:r>
      <w:r>
        <w:t>The response rate of 75</w:t>
      </w:r>
      <w:r w:rsidR="00186A08">
        <w:t xml:space="preserve"> percent</w:t>
      </w:r>
      <w:r>
        <w:t xml:space="preserve"> for the student/household sample is a conservative minimum that is expected to be exceed</w:t>
      </w:r>
      <w:r w:rsidR="00025218">
        <w:t>ed</w:t>
      </w:r>
      <w:r>
        <w:t xml:space="preserve"> based on APEC II response rates and targeted efforts to maximize response rates (described in Question 3).</w:t>
      </w:r>
      <w:r w:rsidR="005305E5">
        <w:t xml:space="preserve"> </w:t>
      </w:r>
      <w:r>
        <w:t>However, i</w:t>
      </w:r>
      <w:r w:rsidRPr="00B8093E">
        <w:t xml:space="preserve">f the minimum response rate for the student/household sample </w:t>
      </w:r>
      <w:r>
        <w:t>is not met</w:t>
      </w:r>
      <w:r w:rsidR="00BF7DC9">
        <w:t>,</w:t>
      </w:r>
      <w:r>
        <w:t xml:space="preserve"> we will conduct</w:t>
      </w:r>
      <w:r w:rsidRPr="00B8093E">
        <w:t xml:space="preserve"> nonresponse bias analyses</w:t>
      </w:r>
      <w:r>
        <w:t xml:space="preserve"> (described in Question 2)</w:t>
      </w:r>
      <w:r w:rsidRPr="00B8093E">
        <w:t>.</w:t>
      </w:r>
      <w:r w:rsidR="00806D8D">
        <w:t xml:space="preserve">  The overall response rate for APEC III is expected to be at least 84%.</w:t>
      </w:r>
    </w:p>
    <w:p w14:paraId="09CDD40F" w14:textId="67AAE9B9" w:rsidR="00F30358" w:rsidRPr="00BA4712" w:rsidRDefault="00D90AE2" w:rsidP="00207CF0">
      <w:pPr>
        <w:pStyle w:val="TT-TableTitle"/>
      </w:pPr>
      <w:r w:rsidRPr="003778DC">
        <w:t>Table B1-1.</w:t>
      </w:r>
      <w:r w:rsidRPr="003778DC">
        <w:tab/>
        <w:t xml:space="preserve">Respondent </w:t>
      </w:r>
      <w:r w:rsidR="00F30358" w:rsidRPr="003778DC">
        <w:t>universe, samples, and expected response rates</w:t>
      </w:r>
    </w:p>
    <w:tbl>
      <w:tblPr>
        <w:tblStyle w:val="TableWestatStandardFormat1"/>
        <w:tblW w:w="9826" w:type="dxa"/>
        <w:tblLayout w:type="fixed"/>
        <w:tblLook w:val="04A0" w:firstRow="1" w:lastRow="0" w:firstColumn="1" w:lastColumn="0" w:noHBand="0" w:noVBand="1"/>
      </w:tblPr>
      <w:tblGrid>
        <w:gridCol w:w="3798"/>
        <w:gridCol w:w="1350"/>
        <w:gridCol w:w="900"/>
        <w:gridCol w:w="1348"/>
        <w:gridCol w:w="1215"/>
        <w:gridCol w:w="1215"/>
      </w:tblGrid>
      <w:tr w:rsidR="00D90AE2" w:rsidRPr="00BA4712" w14:paraId="1C21DA97" w14:textId="77777777" w:rsidTr="005305E5">
        <w:trPr>
          <w:cnfStyle w:val="100000000000" w:firstRow="1" w:lastRow="0" w:firstColumn="0" w:lastColumn="0" w:oddVBand="0" w:evenVBand="0" w:oddHBand="0" w:evenHBand="0" w:firstRowFirstColumn="0" w:firstRowLastColumn="0" w:lastRowFirstColumn="0" w:lastRowLastColumn="0"/>
        </w:trPr>
        <w:tc>
          <w:tcPr>
            <w:tcW w:w="3798" w:type="dxa"/>
            <w:vAlign w:val="bottom"/>
          </w:tcPr>
          <w:p w14:paraId="384CF294" w14:textId="77777777" w:rsidR="00D90AE2" w:rsidRPr="00BA4712" w:rsidRDefault="00D90AE2" w:rsidP="00F30358">
            <w:pPr>
              <w:pStyle w:val="TH-TableHeading"/>
            </w:pPr>
            <w:r w:rsidRPr="00BA4712">
              <w:t>Respondent</w:t>
            </w:r>
          </w:p>
        </w:tc>
        <w:tc>
          <w:tcPr>
            <w:tcW w:w="1350" w:type="dxa"/>
            <w:vAlign w:val="bottom"/>
          </w:tcPr>
          <w:p w14:paraId="7B02FB44" w14:textId="77777777" w:rsidR="00D90AE2" w:rsidRPr="00BA4712" w:rsidRDefault="00D90AE2" w:rsidP="00F30358">
            <w:pPr>
              <w:pStyle w:val="TH-TableHeading"/>
            </w:pPr>
            <w:r w:rsidRPr="00BA4712">
              <w:t>Universe</w:t>
            </w:r>
            <w:r w:rsidRPr="003778DC">
              <w:rPr>
                <w:vertAlign w:val="superscript"/>
              </w:rPr>
              <w:t>1</w:t>
            </w:r>
          </w:p>
        </w:tc>
        <w:tc>
          <w:tcPr>
            <w:tcW w:w="900" w:type="dxa"/>
            <w:vAlign w:val="bottom"/>
          </w:tcPr>
          <w:p w14:paraId="3C6E684C" w14:textId="77777777" w:rsidR="00D90AE2" w:rsidRPr="00BA4712" w:rsidRDefault="00D90AE2" w:rsidP="00F30358">
            <w:pPr>
              <w:pStyle w:val="TH-TableHeading"/>
            </w:pPr>
            <w:r w:rsidRPr="00BA4712">
              <w:t xml:space="preserve">Initial </w:t>
            </w:r>
            <w:r w:rsidR="00F30358" w:rsidRPr="00BA4712">
              <w:t>sample</w:t>
            </w:r>
          </w:p>
        </w:tc>
        <w:tc>
          <w:tcPr>
            <w:tcW w:w="1348" w:type="dxa"/>
            <w:vAlign w:val="bottom"/>
          </w:tcPr>
          <w:p w14:paraId="72A40A8A" w14:textId="77777777" w:rsidR="00D90AE2" w:rsidRPr="00BA4712" w:rsidRDefault="00D90AE2" w:rsidP="00F30358">
            <w:pPr>
              <w:pStyle w:val="TH-TableHeading"/>
            </w:pPr>
            <w:r>
              <w:t xml:space="preserve">Minimum </w:t>
            </w:r>
            <w:r w:rsidR="00F30358" w:rsidRPr="00BA4712">
              <w:t>expected response ra</w:t>
            </w:r>
            <w:r w:rsidRPr="00BA4712">
              <w:t>te</w:t>
            </w:r>
          </w:p>
        </w:tc>
        <w:tc>
          <w:tcPr>
            <w:tcW w:w="1215" w:type="dxa"/>
            <w:vAlign w:val="bottom"/>
          </w:tcPr>
          <w:p w14:paraId="1A3555A8" w14:textId="77777777" w:rsidR="00D90AE2" w:rsidRPr="00BA4712" w:rsidRDefault="00D90AE2" w:rsidP="00F30358">
            <w:pPr>
              <w:pStyle w:val="TH-TableHeading"/>
            </w:pPr>
            <w:r w:rsidRPr="00BA4712">
              <w:t xml:space="preserve">Targeted </w:t>
            </w:r>
            <w:r w:rsidR="00F30358" w:rsidRPr="00BA4712">
              <w:t>completed c</w:t>
            </w:r>
            <w:r w:rsidRPr="00BA4712">
              <w:t>ases</w:t>
            </w:r>
          </w:p>
        </w:tc>
        <w:tc>
          <w:tcPr>
            <w:tcW w:w="1215" w:type="dxa"/>
            <w:vAlign w:val="bottom"/>
          </w:tcPr>
          <w:p w14:paraId="0B23DBE3" w14:textId="77777777" w:rsidR="00D90AE2" w:rsidRDefault="00D90AE2" w:rsidP="00F30358">
            <w:pPr>
              <w:pStyle w:val="TH-TableHeading"/>
            </w:pPr>
            <w:r>
              <w:t>APEC II</w:t>
            </w:r>
          </w:p>
          <w:p w14:paraId="79B73C5F" w14:textId="77777777" w:rsidR="005305E5" w:rsidRDefault="00F30358" w:rsidP="00F30358">
            <w:pPr>
              <w:pStyle w:val="TH-TableHeading"/>
            </w:pPr>
            <w:r>
              <w:t>response</w:t>
            </w:r>
          </w:p>
          <w:p w14:paraId="05940F76" w14:textId="77777777" w:rsidR="00D90AE2" w:rsidRPr="00BA4712" w:rsidRDefault="00F30358" w:rsidP="00F30358">
            <w:pPr>
              <w:pStyle w:val="TH-TableHeading"/>
            </w:pPr>
            <w:r>
              <w:t>r</w:t>
            </w:r>
            <w:r w:rsidR="00D90AE2">
              <w:t>ates</w:t>
            </w:r>
            <w:r w:rsidR="00D90AE2">
              <w:rPr>
                <w:vertAlign w:val="superscript"/>
              </w:rPr>
              <w:t>2</w:t>
            </w:r>
          </w:p>
        </w:tc>
      </w:tr>
      <w:tr w:rsidR="00D90AE2" w:rsidRPr="00BA4712" w14:paraId="6A6EBEA5" w14:textId="77777777" w:rsidTr="005305E5">
        <w:tc>
          <w:tcPr>
            <w:tcW w:w="3798" w:type="dxa"/>
          </w:tcPr>
          <w:p w14:paraId="59CB9996" w14:textId="23AF26DA" w:rsidR="00D90AE2" w:rsidRPr="00BA4712" w:rsidRDefault="00D90AE2" w:rsidP="00F30358">
            <w:pPr>
              <w:pStyle w:val="TX-TableText"/>
            </w:pPr>
            <w:r>
              <w:t>SFAs</w:t>
            </w:r>
            <w:r w:rsidR="00693EDE" w:rsidRPr="00693EDE">
              <w:rPr>
                <w:vertAlign w:val="superscript"/>
              </w:rPr>
              <w:t>3</w:t>
            </w:r>
            <w:r w:rsidRPr="00BA4712">
              <w:t>:</w:t>
            </w:r>
          </w:p>
        </w:tc>
        <w:tc>
          <w:tcPr>
            <w:tcW w:w="1350" w:type="dxa"/>
          </w:tcPr>
          <w:p w14:paraId="72CFFB50" w14:textId="77777777" w:rsidR="00D90AE2" w:rsidRPr="003778DC" w:rsidRDefault="00D90AE2" w:rsidP="00F30358">
            <w:pPr>
              <w:pStyle w:val="TX-TableText"/>
              <w:jc w:val="right"/>
            </w:pPr>
            <w:r w:rsidRPr="003778DC">
              <w:t>17,854</w:t>
            </w:r>
          </w:p>
        </w:tc>
        <w:tc>
          <w:tcPr>
            <w:tcW w:w="900" w:type="dxa"/>
          </w:tcPr>
          <w:p w14:paraId="2FE91484" w14:textId="14B74376" w:rsidR="00D90AE2" w:rsidRPr="00BA4712" w:rsidRDefault="00D90AE2" w:rsidP="002503E1">
            <w:pPr>
              <w:pStyle w:val="TX-TableText"/>
              <w:jc w:val="right"/>
            </w:pPr>
            <w:r>
              <w:t>33</w:t>
            </w:r>
            <w:r w:rsidR="002503E1">
              <w:t>6</w:t>
            </w:r>
          </w:p>
        </w:tc>
        <w:tc>
          <w:tcPr>
            <w:tcW w:w="1348" w:type="dxa"/>
          </w:tcPr>
          <w:p w14:paraId="1BC4C786" w14:textId="77777777" w:rsidR="00D90AE2" w:rsidRPr="00CD661A" w:rsidRDefault="00D90AE2" w:rsidP="00F30358">
            <w:pPr>
              <w:pStyle w:val="TX-TableText"/>
              <w:tabs>
                <w:tab w:val="decimal" w:pos="679"/>
              </w:tabs>
            </w:pPr>
            <w:r>
              <w:t>81%</w:t>
            </w:r>
          </w:p>
        </w:tc>
        <w:tc>
          <w:tcPr>
            <w:tcW w:w="1215" w:type="dxa"/>
          </w:tcPr>
          <w:p w14:paraId="672722AA" w14:textId="77777777" w:rsidR="00D90AE2" w:rsidRPr="00BA4712" w:rsidRDefault="00D90AE2" w:rsidP="005305E5">
            <w:pPr>
              <w:pStyle w:val="TX-TableText"/>
              <w:tabs>
                <w:tab w:val="decimal" w:pos="780"/>
              </w:tabs>
            </w:pPr>
            <w:r>
              <w:t>275</w:t>
            </w:r>
          </w:p>
        </w:tc>
        <w:tc>
          <w:tcPr>
            <w:tcW w:w="1215" w:type="dxa"/>
          </w:tcPr>
          <w:p w14:paraId="6369BC6E" w14:textId="77777777" w:rsidR="00D90AE2" w:rsidRDefault="00D90AE2" w:rsidP="005305E5">
            <w:pPr>
              <w:pStyle w:val="TX-TableText"/>
              <w:tabs>
                <w:tab w:val="decimal" w:pos="514"/>
              </w:tabs>
            </w:pPr>
          </w:p>
        </w:tc>
      </w:tr>
      <w:tr w:rsidR="00D90AE2" w:rsidRPr="00BA4712" w14:paraId="5704C59E" w14:textId="77777777" w:rsidTr="005305E5">
        <w:tc>
          <w:tcPr>
            <w:tcW w:w="3798" w:type="dxa"/>
          </w:tcPr>
          <w:p w14:paraId="3594B55B" w14:textId="77777777" w:rsidR="00D90AE2" w:rsidRPr="00BA4712" w:rsidRDefault="00D90AE2" w:rsidP="00F30358">
            <w:pPr>
              <w:pStyle w:val="TX-TableText"/>
            </w:pPr>
            <w:r>
              <w:t>Non-CEP SFAs</w:t>
            </w:r>
          </w:p>
        </w:tc>
        <w:tc>
          <w:tcPr>
            <w:tcW w:w="1350" w:type="dxa"/>
          </w:tcPr>
          <w:p w14:paraId="24FE2FBD" w14:textId="77777777" w:rsidR="00D90AE2" w:rsidRPr="003778DC" w:rsidRDefault="00D90AE2" w:rsidP="00F30358">
            <w:pPr>
              <w:pStyle w:val="TX-TableText"/>
              <w:jc w:val="right"/>
            </w:pPr>
            <w:r w:rsidRPr="003778DC">
              <w:t>14,881</w:t>
            </w:r>
          </w:p>
        </w:tc>
        <w:tc>
          <w:tcPr>
            <w:tcW w:w="900" w:type="dxa"/>
          </w:tcPr>
          <w:p w14:paraId="467A2AAB" w14:textId="77777777" w:rsidR="00D90AE2" w:rsidRPr="00BA4712" w:rsidRDefault="00D90AE2" w:rsidP="00F30358">
            <w:pPr>
              <w:pStyle w:val="TX-TableText"/>
              <w:jc w:val="right"/>
            </w:pPr>
            <w:r>
              <w:t>192</w:t>
            </w:r>
          </w:p>
        </w:tc>
        <w:tc>
          <w:tcPr>
            <w:tcW w:w="1348" w:type="dxa"/>
          </w:tcPr>
          <w:p w14:paraId="57C3C720" w14:textId="77777777" w:rsidR="00D90AE2" w:rsidRPr="00CD661A" w:rsidRDefault="00D90AE2" w:rsidP="00F30358">
            <w:pPr>
              <w:pStyle w:val="TX-TableText"/>
              <w:tabs>
                <w:tab w:val="decimal" w:pos="679"/>
              </w:tabs>
            </w:pPr>
            <w:r>
              <w:t>81%</w:t>
            </w:r>
          </w:p>
        </w:tc>
        <w:tc>
          <w:tcPr>
            <w:tcW w:w="1215" w:type="dxa"/>
          </w:tcPr>
          <w:p w14:paraId="0CBAEAC6" w14:textId="77777777" w:rsidR="00D90AE2" w:rsidRPr="00BA4712" w:rsidRDefault="00D90AE2" w:rsidP="005305E5">
            <w:pPr>
              <w:pStyle w:val="TX-TableText"/>
              <w:tabs>
                <w:tab w:val="decimal" w:pos="780"/>
              </w:tabs>
            </w:pPr>
            <w:r>
              <w:t>155</w:t>
            </w:r>
          </w:p>
        </w:tc>
        <w:tc>
          <w:tcPr>
            <w:tcW w:w="1215" w:type="dxa"/>
          </w:tcPr>
          <w:p w14:paraId="79CD60BA" w14:textId="77777777" w:rsidR="00D90AE2" w:rsidRDefault="00D90AE2" w:rsidP="005305E5">
            <w:pPr>
              <w:pStyle w:val="TX-TableText"/>
              <w:tabs>
                <w:tab w:val="decimal" w:pos="514"/>
              </w:tabs>
            </w:pPr>
            <w:r>
              <w:t>96%</w:t>
            </w:r>
          </w:p>
        </w:tc>
      </w:tr>
      <w:tr w:rsidR="00D90AE2" w:rsidRPr="00BA4712" w14:paraId="675D72CD" w14:textId="77777777" w:rsidTr="005305E5">
        <w:tc>
          <w:tcPr>
            <w:tcW w:w="3798" w:type="dxa"/>
          </w:tcPr>
          <w:p w14:paraId="6D1E1696" w14:textId="77777777" w:rsidR="00D90AE2" w:rsidRPr="00BA4712" w:rsidRDefault="00D90AE2" w:rsidP="00F30358">
            <w:pPr>
              <w:pStyle w:val="TX-TableText"/>
            </w:pPr>
            <w:r>
              <w:t>CEP SFAs</w:t>
            </w:r>
          </w:p>
        </w:tc>
        <w:tc>
          <w:tcPr>
            <w:tcW w:w="1350" w:type="dxa"/>
          </w:tcPr>
          <w:p w14:paraId="365570AE" w14:textId="77777777" w:rsidR="00D90AE2" w:rsidRPr="003778DC" w:rsidRDefault="00D90AE2" w:rsidP="00F30358">
            <w:pPr>
              <w:pStyle w:val="TX-TableText"/>
              <w:jc w:val="right"/>
            </w:pPr>
            <w:r w:rsidRPr="003778DC">
              <w:t>2,973</w:t>
            </w:r>
          </w:p>
        </w:tc>
        <w:tc>
          <w:tcPr>
            <w:tcW w:w="900" w:type="dxa"/>
          </w:tcPr>
          <w:p w14:paraId="06D0842D" w14:textId="55A3C029" w:rsidR="00D90AE2" w:rsidRPr="00BA4712" w:rsidRDefault="00D90AE2" w:rsidP="00F30358">
            <w:pPr>
              <w:pStyle w:val="TX-TableText"/>
              <w:jc w:val="right"/>
            </w:pPr>
            <w:r>
              <w:t>14</w:t>
            </w:r>
            <w:r w:rsidR="006B6A03">
              <w:t>4</w:t>
            </w:r>
          </w:p>
        </w:tc>
        <w:tc>
          <w:tcPr>
            <w:tcW w:w="1348" w:type="dxa"/>
          </w:tcPr>
          <w:p w14:paraId="086B7856" w14:textId="77777777" w:rsidR="00D90AE2" w:rsidRPr="00CD661A" w:rsidRDefault="00D90AE2" w:rsidP="00F30358">
            <w:pPr>
              <w:pStyle w:val="TX-TableText"/>
              <w:tabs>
                <w:tab w:val="decimal" w:pos="679"/>
              </w:tabs>
            </w:pPr>
            <w:r>
              <w:t>83%</w:t>
            </w:r>
          </w:p>
        </w:tc>
        <w:tc>
          <w:tcPr>
            <w:tcW w:w="1215" w:type="dxa"/>
          </w:tcPr>
          <w:p w14:paraId="1DF42162" w14:textId="77777777" w:rsidR="00D90AE2" w:rsidRPr="00BA4712" w:rsidRDefault="00D90AE2" w:rsidP="005305E5">
            <w:pPr>
              <w:pStyle w:val="TX-TableText"/>
              <w:tabs>
                <w:tab w:val="decimal" w:pos="780"/>
              </w:tabs>
            </w:pPr>
            <w:r>
              <w:t>120</w:t>
            </w:r>
          </w:p>
        </w:tc>
        <w:tc>
          <w:tcPr>
            <w:tcW w:w="1215" w:type="dxa"/>
          </w:tcPr>
          <w:p w14:paraId="39B17189" w14:textId="77777777" w:rsidR="00D90AE2" w:rsidRDefault="00D90AE2" w:rsidP="005305E5">
            <w:pPr>
              <w:pStyle w:val="TX-TableText"/>
              <w:tabs>
                <w:tab w:val="decimal" w:pos="514"/>
              </w:tabs>
            </w:pPr>
            <w:r>
              <w:t>100%</w:t>
            </w:r>
          </w:p>
        </w:tc>
      </w:tr>
      <w:tr w:rsidR="00D90AE2" w:rsidRPr="00BA4712" w14:paraId="5F2A37E5" w14:textId="77777777" w:rsidTr="005305E5">
        <w:tc>
          <w:tcPr>
            <w:tcW w:w="3798" w:type="dxa"/>
          </w:tcPr>
          <w:p w14:paraId="070A211B" w14:textId="77777777" w:rsidR="00D90AE2" w:rsidRDefault="00D90AE2" w:rsidP="00F30358">
            <w:pPr>
              <w:pStyle w:val="TX-TableText"/>
            </w:pPr>
          </w:p>
        </w:tc>
        <w:tc>
          <w:tcPr>
            <w:tcW w:w="1350" w:type="dxa"/>
          </w:tcPr>
          <w:p w14:paraId="2AA4BB3D" w14:textId="77777777" w:rsidR="00D90AE2" w:rsidRDefault="00D90AE2" w:rsidP="00F30358">
            <w:pPr>
              <w:pStyle w:val="TX-TableText"/>
              <w:jc w:val="right"/>
            </w:pPr>
          </w:p>
        </w:tc>
        <w:tc>
          <w:tcPr>
            <w:tcW w:w="900" w:type="dxa"/>
          </w:tcPr>
          <w:p w14:paraId="0CAFD001" w14:textId="77777777" w:rsidR="00D90AE2" w:rsidRDefault="00D90AE2" w:rsidP="00F30358">
            <w:pPr>
              <w:pStyle w:val="TX-TableText"/>
              <w:jc w:val="right"/>
            </w:pPr>
          </w:p>
        </w:tc>
        <w:tc>
          <w:tcPr>
            <w:tcW w:w="1348" w:type="dxa"/>
          </w:tcPr>
          <w:p w14:paraId="4FCB7CB8" w14:textId="77777777" w:rsidR="00D90AE2" w:rsidRPr="00CD661A" w:rsidRDefault="00D90AE2" w:rsidP="00F30358">
            <w:pPr>
              <w:pStyle w:val="TX-TableText"/>
              <w:tabs>
                <w:tab w:val="decimal" w:pos="679"/>
              </w:tabs>
            </w:pPr>
          </w:p>
        </w:tc>
        <w:tc>
          <w:tcPr>
            <w:tcW w:w="1215" w:type="dxa"/>
          </w:tcPr>
          <w:p w14:paraId="4C7C8E30" w14:textId="77777777" w:rsidR="00D90AE2" w:rsidRPr="00BA4712" w:rsidRDefault="00D90AE2" w:rsidP="005305E5">
            <w:pPr>
              <w:pStyle w:val="TX-TableText"/>
              <w:tabs>
                <w:tab w:val="decimal" w:pos="780"/>
              </w:tabs>
            </w:pPr>
          </w:p>
        </w:tc>
        <w:tc>
          <w:tcPr>
            <w:tcW w:w="1215" w:type="dxa"/>
          </w:tcPr>
          <w:p w14:paraId="61679E21" w14:textId="77777777" w:rsidR="00D90AE2" w:rsidRPr="00BA4712" w:rsidRDefault="00D90AE2" w:rsidP="005305E5">
            <w:pPr>
              <w:pStyle w:val="TX-TableText"/>
              <w:tabs>
                <w:tab w:val="decimal" w:pos="514"/>
              </w:tabs>
            </w:pPr>
          </w:p>
        </w:tc>
      </w:tr>
      <w:tr w:rsidR="00D90AE2" w:rsidRPr="00BA4712" w14:paraId="58FE154E" w14:textId="77777777" w:rsidTr="005305E5">
        <w:tc>
          <w:tcPr>
            <w:tcW w:w="3798" w:type="dxa"/>
          </w:tcPr>
          <w:p w14:paraId="71AF3936" w14:textId="77777777" w:rsidR="00D90AE2" w:rsidRPr="00BA4712" w:rsidRDefault="00D90AE2" w:rsidP="00F30358">
            <w:pPr>
              <w:pStyle w:val="TX-TableText"/>
            </w:pPr>
            <w:r>
              <w:t>Schools:</w:t>
            </w:r>
          </w:p>
        </w:tc>
        <w:tc>
          <w:tcPr>
            <w:tcW w:w="1350" w:type="dxa"/>
          </w:tcPr>
          <w:p w14:paraId="6A32B178" w14:textId="77777777" w:rsidR="00D90AE2" w:rsidRPr="005F4D12" w:rsidRDefault="00D90AE2" w:rsidP="00F30358">
            <w:pPr>
              <w:pStyle w:val="TX-TableText"/>
              <w:jc w:val="right"/>
              <w:rPr>
                <w:vertAlign w:val="superscript"/>
              </w:rPr>
            </w:pPr>
            <w:r>
              <w:t>93,990</w:t>
            </w:r>
          </w:p>
        </w:tc>
        <w:tc>
          <w:tcPr>
            <w:tcW w:w="900" w:type="dxa"/>
          </w:tcPr>
          <w:p w14:paraId="35CF3551" w14:textId="77777777" w:rsidR="00D90AE2" w:rsidRPr="00BA4712" w:rsidRDefault="00D90AE2" w:rsidP="00F30358">
            <w:pPr>
              <w:pStyle w:val="TX-TableText"/>
              <w:jc w:val="right"/>
            </w:pPr>
            <w:r>
              <w:t>782</w:t>
            </w:r>
          </w:p>
        </w:tc>
        <w:tc>
          <w:tcPr>
            <w:tcW w:w="1348" w:type="dxa"/>
          </w:tcPr>
          <w:p w14:paraId="693D2D67" w14:textId="77777777" w:rsidR="00D90AE2" w:rsidRPr="00CD661A" w:rsidRDefault="00D90AE2" w:rsidP="00F30358">
            <w:pPr>
              <w:pStyle w:val="TX-TableText"/>
              <w:tabs>
                <w:tab w:val="decimal" w:pos="679"/>
              </w:tabs>
            </w:pPr>
            <w:r w:rsidRPr="00CD661A">
              <w:t>80%</w:t>
            </w:r>
          </w:p>
        </w:tc>
        <w:tc>
          <w:tcPr>
            <w:tcW w:w="1215" w:type="dxa"/>
          </w:tcPr>
          <w:p w14:paraId="6B03C579" w14:textId="77777777" w:rsidR="00D90AE2" w:rsidRPr="00BA4712" w:rsidRDefault="00D90AE2" w:rsidP="005305E5">
            <w:pPr>
              <w:pStyle w:val="TX-TableText"/>
              <w:tabs>
                <w:tab w:val="decimal" w:pos="780"/>
              </w:tabs>
            </w:pPr>
            <w:r w:rsidRPr="00CD661A">
              <w:t>62</w:t>
            </w:r>
            <w:r>
              <w:t>6</w:t>
            </w:r>
          </w:p>
        </w:tc>
        <w:tc>
          <w:tcPr>
            <w:tcW w:w="1215" w:type="dxa"/>
          </w:tcPr>
          <w:p w14:paraId="0ABB92DE" w14:textId="77777777" w:rsidR="00D90AE2" w:rsidRDefault="00D90AE2" w:rsidP="005305E5">
            <w:pPr>
              <w:pStyle w:val="TX-TableText"/>
              <w:tabs>
                <w:tab w:val="decimal" w:pos="514"/>
              </w:tabs>
            </w:pPr>
            <w:r>
              <w:t>95%</w:t>
            </w:r>
          </w:p>
        </w:tc>
      </w:tr>
      <w:tr w:rsidR="00D90AE2" w:rsidRPr="00BA4712" w14:paraId="4920E616" w14:textId="77777777" w:rsidTr="005305E5">
        <w:tc>
          <w:tcPr>
            <w:tcW w:w="3798" w:type="dxa"/>
          </w:tcPr>
          <w:p w14:paraId="26843631" w14:textId="77777777" w:rsidR="00D90AE2" w:rsidRPr="00BA4712" w:rsidRDefault="00D90AE2" w:rsidP="008A6D63">
            <w:pPr>
              <w:pStyle w:val="TX-TableText"/>
              <w:ind w:left="288"/>
            </w:pPr>
            <w:r>
              <w:t>Non-CEP Schools (Non-CEP SFAs)</w:t>
            </w:r>
          </w:p>
        </w:tc>
        <w:tc>
          <w:tcPr>
            <w:tcW w:w="1350" w:type="dxa"/>
          </w:tcPr>
          <w:p w14:paraId="391FBC02" w14:textId="77777777" w:rsidR="00D90AE2" w:rsidRPr="00BA4712" w:rsidRDefault="00D90AE2" w:rsidP="00F30358">
            <w:pPr>
              <w:pStyle w:val="TX-TableText"/>
              <w:jc w:val="right"/>
            </w:pPr>
            <w:r>
              <w:t>64,831</w:t>
            </w:r>
          </w:p>
        </w:tc>
        <w:tc>
          <w:tcPr>
            <w:tcW w:w="900" w:type="dxa"/>
          </w:tcPr>
          <w:p w14:paraId="117C7A23" w14:textId="059C06AA" w:rsidR="00D90AE2" w:rsidRPr="00BA4712" w:rsidRDefault="00693EDE" w:rsidP="00F30358">
            <w:pPr>
              <w:pStyle w:val="TX-TableText"/>
              <w:jc w:val="right"/>
            </w:pPr>
            <w:r>
              <w:t>437</w:t>
            </w:r>
          </w:p>
        </w:tc>
        <w:tc>
          <w:tcPr>
            <w:tcW w:w="1348" w:type="dxa"/>
          </w:tcPr>
          <w:p w14:paraId="6F664948" w14:textId="77777777" w:rsidR="00D90AE2" w:rsidRPr="00CD661A" w:rsidRDefault="00D90AE2" w:rsidP="00F30358">
            <w:pPr>
              <w:pStyle w:val="TX-TableText"/>
              <w:tabs>
                <w:tab w:val="decimal" w:pos="679"/>
              </w:tabs>
            </w:pPr>
            <w:r>
              <w:t>80%</w:t>
            </w:r>
          </w:p>
        </w:tc>
        <w:tc>
          <w:tcPr>
            <w:tcW w:w="1215" w:type="dxa"/>
          </w:tcPr>
          <w:p w14:paraId="421654AE" w14:textId="77777777" w:rsidR="00D90AE2" w:rsidRPr="00BA4712" w:rsidRDefault="00D90AE2" w:rsidP="005305E5">
            <w:pPr>
              <w:pStyle w:val="TX-TableText"/>
              <w:tabs>
                <w:tab w:val="decimal" w:pos="780"/>
              </w:tabs>
            </w:pPr>
            <w:r>
              <w:t>353</w:t>
            </w:r>
          </w:p>
        </w:tc>
        <w:tc>
          <w:tcPr>
            <w:tcW w:w="1215" w:type="dxa"/>
          </w:tcPr>
          <w:p w14:paraId="6DBB650F" w14:textId="77777777" w:rsidR="00D90AE2" w:rsidRDefault="00D90AE2" w:rsidP="005305E5">
            <w:pPr>
              <w:pStyle w:val="TX-TableText"/>
              <w:tabs>
                <w:tab w:val="decimal" w:pos="514"/>
              </w:tabs>
            </w:pPr>
          </w:p>
        </w:tc>
      </w:tr>
      <w:tr w:rsidR="00D90AE2" w:rsidRPr="00BA4712" w14:paraId="34EEB642" w14:textId="77777777" w:rsidTr="005305E5">
        <w:tc>
          <w:tcPr>
            <w:tcW w:w="3798" w:type="dxa"/>
          </w:tcPr>
          <w:p w14:paraId="0E27BABA" w14:textId="77777777" w:rsidR="00D90AE2" w:rsidRPr="00BA4712" w:rsidRDefault="00D90AE2" w:rsidP="008A6D63">
            <w:pPr>
              <w:pStyle w:val="TX-TableText"/>
              <w:ind w:left="288"/>
            </w:pPr>
            <w:r>
              <w:t>Non-CEP Schools (CEP SFAs)</w:t>
            </w:r>
          </w:p>
        </w:tc>
        <w:tc>
          <w:tcPr>
            <w:tcW w:w="1350" w:type="dxa"/>
          </w:tcPr>
          <w:p w14:paraId="25333828" w14:textId="77777777" w:rsidR="00D90AE2" w:rsidRPr="00BA4712" w:rsidRDefault="00D90AE2" w:rsidP="00F30358">
            <w:pPr>
              <w:pStyle w:val="TX-TableText"/>
              <w:jc w:val="right"/>
            </w:pPr>
            <w:r>
              <w:t>11,759</w:t>
            </w:r>
          </w:p>
        </w:tc>
        <w:tc>
          <w:tcPr>
            <w:tcW w:w="900" w:type="dxa"/>
          </w:tcPr>
          <w:p w14:paraId="38FE0E0E" w14:textId="642B381C" w:rsidR="00D90AE2" w:rsidRPr="00BA4712" w:rsidRDefault="00693EDE" w:rsidP="00F30358">
            <w:pPr>
              <w:pStyle w:val="TX-TableText"/>
              <w:jc w:val="right"/>
            </w:pPr>
            <w:r>
              <w:t>111</w:t>
            </w:r>
          </w:p>
        </w:tc>
        <w:tc>
          <w:tcPr>
            <w:tcW w:w="1348" w:type="dxa"/>
          </w:tcPr>
          <w:p w14:paraId="056DF96B" w14:textId="77777777" w:rsidR="00D90AE2" w:rsidRPr="00CD661A" w:rsidRDefault="00D90AE2" w:rsidP="00F30358">
            <w:pPr>
              <w:pStyle w:val="TX-TableText"/>
              <w:tabs>
                <w:tab w:val="decimal" w:pos="679"/>
              </w:tabs>
            </w:pPr>
            <w:r>
              <w:t>80%</w:t>
            </w:r>
          </w:p>
        </w:tc>
        <w:tc>
          <w:tcPr>
            <w:tcW w:w="1215" w:type="dxa"/>
          </w:tcPr>
          <w:p w14:paraId="6706388A" w14:textId="77777777" w:rsidR="00D90AE2" w:rsidRPr="00BA4712" w:rsidRDefault="00D90AE2" w:rsidP="005305E5">
            <w:pPr>
              <w:pStyle w:val="TX-TableText"/>
              <w:tabs>
                <w:tab w:val="decimal" w:pos="780"/>
              </w:tabs>
            </w:pPr>
            <w:r>
              <w:t>85</w:t>
            </w:r>
          </w:p>
        </w:tc>
        <w:tc>
          <w:tcPr>
            <w:tcW w:w="1215" w:type="dxa"/>
          </w:tcPr>
          <w:p w14:paraId="74B3E896" w14:textId="77777777" w:rsidR="00D90AE2" w:rsidRDefault="00D90AE2" w:rsidP="005305E5">
            <w:pPr>
              <w:pStyle w:val="TX-TableText"/>
              <w:tabs>
                <w:tab w:val="decimal" w:pos="514"/>
              </w:tabs>
            </w:pPr>
          </w:p>
        </w:tc>
      </w:tr>
      <w:tr w:rsidR="00D90AE2" w:rsidRPr="00BA4712" w14:paraId="0CF82B3A" w14:textId="77777777" w:rsidTr="005305E5">
        <w:tc>
          <w:tcPr>
            <w:tcW w:w="3798" w:type="dxa"/>
          </w:tcPr>
          <w:p w14:paraId="44D2CDE1" w14:textId="77777777" w:rsidR="00D90AE2" w:rsidRPr="00BA4712" w:rsidRDefault="00D90AE2" w:rsidP="008A6D63">
            <w:pPr>
              <w:pStyle w:val="TX-TableText"/>
              <w:ind w:left="288"/>
            </w:pPr>
            <w:r>
              <w:t>CEP Schools (CEP SFAs)</w:t>
            </w:r>
          </w:p>
        </w:tc>
        <w:tc>
          <w:tcPr>
            <w:tcW w:w="1350" w:type="dxa"/>
          </w:tcPr>
          <w:p w14:paraId="66310AA6" w14:textId="77777777" w:rsidR="00D90AE2" w:rsidRPr="00BA4712" w:rsidRDefault="00D90AE2" w:rsidP="00F30358">
            <w:pPr>
              <w:pStyle w:val="TX-TableText"/>
              <w:jc w:val="right"/>
            </w:pPr>
            <w:r>
              <w:t>17,400</w:t>
            </w:r>
          </w:p>
        </w:tc>
        <w:tc>
          <w:tcPr>
            <w:tcW w:w="900" w:type="dxa"/>
          </w:tcPr>
          <w:p w14:paraId="02728150" w14:textId="77777777" w:rsidR="00D90AE2" w:rsidRPr="00BA4712" w:rsidRDefault="00D90AE2" w:rsidP="00F30358">
            <w:pPr>
              <w:pStyle w:val="TX-TableText"/>
              <w:jc w:val="right"/>
            </w:pPr>
            <w:r>
              <w:t>234</w:t>
            </w:r>
          </w:p>
        </w:tc>
        <w:tc>
          <w:tcPr>
            <w:tcW w:w="1348" w:type="dxa"/>
          </w:tcPr>
          <w:p w14:paraId="7DD788F7" w14:textId="77777777" w:rsidR="00D90AE2" w:rsidRPr="00CD661A" w:rsidRDefault="00D90AE2" w:rsidP="00F30358">
            <w:pPr>
              <w:pStyle w:val="TX-TableText"/>
              <w:tabs>
                <w:tab w:val="decimal" w:pos="679"/>
              </w:tabs>
            </w:pPr>
            <w:r>
              <w:t>80%</w:t>
            </w:r>
          </w:p>
        </w:tc>
        <w:tc>
          <w:tcPr>
            <w:tcW w:w="1215" w:type="dxa"/>
          </w:tcPr>
          <w:p w14:paraId="50AE60B2" w14:textId="2FD79932" w:rsidR="00D90AE2" w:rsidRPr="00BA4712" w:rsidRDefault="00D90AE2" w:rsidP="00693EDE">
            <w:pPr>
              <w:pStyle w:val="TX-TableText"/>
              <w:tabs>
                <w:tab w:val="decimal" w:pos="780"/>
              </w:tabs>
            </w:pPr>
            <w:r>
              <w:t>18</w:t>
            </w:r>
            <w:r w:rsidR="00693EDE">
              <w:t>8</w:t>
            </w:r>
          </w:p>
        </w:tc>
        <w:tc>
          <w:tcPr>
            <w:tcW w:w="1215" w:type="dxa"/>
          </w:tcPr>
          <w:p w14:paraId="4CC06BE6" w14:textId="77777777" w:rsidR="00D90AE2" w:rsidRDefault="00D90AE2" w:rsidP="005305E5">
            <w:pPr>
              <w:pStyle w:val="TX-TableText"/>
              <w:tabs>
                <w:tab w:val="decimal" w:pos="514"/>
              </w:tabs>
            </w:pPr>
          </w:p>
        </w:tc>
      </w:tr>
      <w:tr w:rsidR="00D90AE2" w:rsidRPr="00BA4712" w14:paraId="2581C363" w14:textId="77777777" w:rsidTr="005305E5">
        <w:tc>
          <w:tcPr>
            <w:tcW w:w="3798" w:type="dxa"/>
          </w:tcPr>
          <w:p w14:paraId="279F0D4A" w14:textId="77777777" w:rsidR="00D90AE2" w:rsidRPr="00BA4712" w:rsidRDefault="00D90AE2" w:rsidP="00F30358">
            <w:pPr>
              <w:pStyle w:val="TX-TableText"/>
            </w:pPr>
          </w:p>
        </w:tc>
        <w:tc>
          <w:tcPr>
            <w:tcW w:w="1350" w:type="dxa"/>
          </w:tcPr>
          <w:p w14:paraId="1BCD92B9" w14:textId="77777777" w:rsidR="00D90AE2" w:rsidRDefault="00D90AE2" w:rsidP="00F30358">
            <w:pPr>
              <w:pStyle w:val="TX-TableText"/>
              <w:jc w:val="right"/>
            </w:pPr>
          </w:p>
        </w:tc>
        <w:tc>
          <w:tcPr>
            <w:tcW w:w="900" w:type="dxa"/>
          </w:tcPr>
          <w:p w14:paraId="38827795" w14:textId="77777777" w:rsidR="00D90AE2" w:rsidRPr="00F17431" w:rsidRDefault="00D90AE2" w:rsidP="00F30358">
            <w:pPr>
              <w:pStyle w:val="TX-TableText"/>
              <w:jc w:val="right"/>
              <w:rPr>
                <w:highlight w:val="cyan"/>
              </w:rPr>
            </w:pPr>
          </w:p>
        </w:tc>
        <w:tc>
          <w:tcPr>
            <w:tcW w:w="1348" w:type="dxa"/>
          </w:tcPr>
          <w:p w14:paraId="003267B3" w14:textId="77777777" w:rsidR="00D90AE2" w:rsidRPr="00CD661A" w:rsidRDefault="00D90AE2" w:rsidP="00F30358">
            <w:pPr>
              <w:pStyle w:val="TX-TableText"/>
              <w:tabs>
                <w:tab w:val="decimal" w:pos="679"/>
              </w:tabs>
            </w:pPr>
          </w:p>
        </w:tc>
        <w:tc>
          <w:tcPr>
            <w:tcW w:w="1215" w:type="dxa"/>
          </w:tcPr>
          <w:p w14:paraId="28C0E5F7" w14:textId="77777777" w:rsidR="00D90AE2" w:rsidRDefault="00D90AE2" w:rsidP="005305E5">
            <w:pPr>
              <w:pStyle w:val="TX-TableText"/>
              <w:tabs>
                <w:tab w:val="decimal" w:pos="780"/>
              </w:tabs>
            </w:pPr>
          </w:p>
        </w:tc>
        <w:tc>
          <w:tcPr>
            <w:tcW w:w="1215" w:type="dxa"/>
          </w:tcPr>
          <w:p w14:paraId="0B430775" w14:textId="77777777" w:rsidR="00D90AE2" w:rsidRDefault="00D90AE2" w:rsidP="005305E5">
            <w:pPr>
              <w:pStyle w:val="TX-TableText"/>
              <w:tabs>
                <w:tab w:val="decimal" w:pos="514"/>
              </w:tabs>
            </w:pPr>
          </w:p>
        </w:tc>
      </w:tr>
      <w:tr w:rsidR="00D90AE2" w:rsidRPr="00BA4712" w14:paraId="1E2D600F" w14:textId="77777777" w:rsidTr="005305E5">
        <w:tc>
          <w:tcPr>
            <w:tcW w:w="3798" w:type="dxa"/>
          </w:tcPr>
          <w:p w14:paraId="7E31630F" w14:textId="77777777" w:rsidR="00D90AE2" w:rsidRPr="00BA4712" w:rsidRDefault="00D90AE2" w:rsidP="00F30358">
            <w:pPr>
              <w:pStyle w:val="TX-TableText"/>
            </w:pPr>
            <w:r>
              <w:t>Student/</w:t>
            </w:r>
            <w:r w:rsidRPr="00BA4712">
              <w:t>Households:</w:t>
            </w:r>
          </w:p>
        </w:tc>
        <w:tc>
          <w:tcPr>
            <w:tcW w:w="1350" w:type="dxa"/>
          </w:tcPr>
          <w:p w14:paraId="47B23C32" w14:textId="77777777" w:rsidR="00D90AE2" w:rsidRPr="00BA4712" w:rsidRDefault="00D90AE2" w:rsidP="00F30358">
            <w:pPr>
              <w:pStyle w:val="TX-TableText"/>
              <w:jc w:val="right"/>
            </w:pPr>
            <w:r>
              <w:t>23,653,919</w:t>
            </w:r>
          </w:p>
        </w:tc>
        <w:tc>
          <w:tcPr>
            <w:tcW w:w="900" w:type="dxa"/>
          </w:tcPr>
          <w:p w14:paraId="1BBC2CD9" w14:textId="77777777" w:rsidR="00D90AE2" w:rsidRPr="00BA4712" w:rsidRDefault="00D90AE2" w:rsidP="00F30358">
            <w:pPr>
              <w:pStyle w:val="TX-TableText"/>
              <w:jc w:val="right"/>
            </w:pPr>
            <w:r>
              <w:t>6,424</w:t>
            </w:r>
          </w:p>
        </w:tc>
        <w:tc>
          <w:tcPr>
            <w:tcW w:w="1348" w:type="dxa"/>
          </w:tcPr>
          <w:p w14:paraId="1D113CC7" w14:textId="77777777" w:rsidR="00D90AE2" w:rsidRPr="00CD661A" w:rsidRDefault="00D90AE2" w:rsidP="00F30358">
            <w:pPr>
              <w:pStyle w:val="TX-TableText"/>
              <w:tabs>
                <w:tab w:val="decimal" w:pos="679"/>
              </w:tabs>
            </w:pPr>
            <w:r w:rsidRPr="00CD661A">
              <w:t>75%</w:t>
            </w:r>
          </w:p>
        </w:tc>
        <w:tc>
          <w:tcPr>
            <w:tcW w:w="1215" w:type="dxa"/>
          </w:tcPr>
          <w:p w14:paraId="39555DC2" w14:textId="77777777" w:rsidR="00D90AE2" w:rsidRPr="00BA4712" w:rsidRDefault="00D90AE2" w:rsidP="005305E5">
            <w:pPr>
              <w:pStyle w:val="TX-TableText"/>
              <w:tabs>
                <w:tab w:val="decimal" w:pos="780"/>
              </w:tabs>
            </w:pPr>
            <w:r>
              <w:t>4,818</w:t>
            </w:r>
          </w:p>
        </w:tc>
        <w:tc>
          <w:tcPr>
            <w:tcW w:w="1215" w:type="dxa"/>
          </w:tcPr>
          <w:p w14:paraId="1AFAAF8C" w14:textId="77777777" w:rsidR="00D90AE2" w:rsidRPr="00BA4712" w:rsidRDefault="00D90AE2" w:rsidP="005305E5">
            <w:pPr>
              <w:pStyle w:val="TX-TableText"/>
              <w:tabs>
                <w:tab w:val="decimal" w:pos="514"/>
              </w:tabs>
            </w:pPr>
            <w:r>
              <w:t>83%</w:t>
            </w:r>
          </w:p>
        </w:tc>
      </w:tr>
      <w:tr w:rsidR="00D90AE2" w:rsidRPr="00BA4712" w14:paraId="67CCF019" w14:textId="77777777" w:rsidTr="005305E5">
        <w:tc>
          <w:tcPr>
            <w:tcW w:w="3798" w:type="dxa"/>
          </w:tcPr>
          <w:p w14:paraId="4DCADCE4" w14:textId="77777777" w:rsidR="00D90AE2" w:rsidRPr="00BA4712" w:rsidRDefault="00D90AE2" w:rsidP="008A6D63">
            <w:pPr>
              <w:pStyle w:val="TX-TableText"/>
              <w:ind w:left="288"/>
            </w:pPr>
            <w:r>
              <w:t>Non-CEP Student Households (Non-CEP SFAs)</w:t>
            </w:r>
          </w:p>
        </w:tc>
        <w:tc>
          <w:tcPr>
            <w:tcW w:w="1350" w:type="dxa"/>
          </w:tcPr>
          <w:p w14:paraId="7A88EE91" w14:textId="77777777" w:rsidR="00D90AE2" w:rsidRPr="00BA4712" w:rsidRDefault="00D90AE2" w:rsidP="00F30358">
            <w:pPr>
              <w:pStyle w:val="TX-TableText"/>
              <w:jc w:val="right"/>
            </w:pPr>
            <w:r>
              <w:t>15,489,495</w:t>
            </w:r>
          </w:p>
        </w:tc>
        <w:tc>
          <w:tcPr>
            <w:tcW w:w="900" w:type="dxa"/>
          </w:tcPr>
          <w:p w14:paraId="72352569" w14:textId="77777777" w:rsidR="00D90AE2" w:rsidRPr="00BA4712" w:rsidRDefault="00D90AE2" w:rsidP="00F30358">
            <w:pPr>
              <w:pStyle w:val="TX-TableText"/>
              <w:jc w:val="right"/>
            </w:pPr>
            <w:r>
              <w:t>5,177</w:t>
            </w:r>
          </w:p>
        </w:tc>
        <w:tc>
          <w:tcPr>
            <w:tcW w:w="1348" w:type="dxa"/>
          </w:tcPr>
          <w:p w14:paraId="7BE92D58" w14:textId="77777777" w:rsidR="00D90AE2" w:rsidRPr="00CD661A" w:rsidRDefault="00D90AE2" w:rsidP="00F30358">
            <w:pPr>
              <w:pStyle w:val="TX-TableText"/>
              <w:tabs>
                <w:tab w:val="decimal" w:pos="679"/>
              </w:tabs>
            </w:pPr>
            <w:r>
              <w:t>75%</w:t>
            </w:r>
          </w:p>
        </w:tc>
        <w:tc>
          <w:tcPr>
            <w:tcW w:w="1215" w:type="dxa"/>
          </w:tcPr>
          <w:p w14:paraId="3B7D8114" w14:textId="77777777" w:rsidR="00D90AE2" w:rsidRPr="00BA4712" w:rsidRDefault="00D90AE2" w:rsidP="005305E5">
            <w:pPr>
              <w:pStyle w:val="TX-TableText"/>
              <w:tabs>
                <w:tab w:val="decimal" w:pos="780"/>
              </w:tabs>
            </w:pPr>
            <w:r>
              <w:t>3,883</w:t>
            </w:r>
          </w:p>
        </w:tc>
        <w:tc>
          <w:tcPr>
            <w:tcW w:w="1215" w:type="dxa"/>
          </w:tcPr>
          <w:p w14:paraId="58CDBCB2" w14:textId="77777777" w:rsidR="00D90AE2" w:rsidRDefault="00D90AE2" w:rsidP="005305E5">
            <w:pPr>
              <w:pStyle w:val="TX-TableText"/>
              <w:tabs>
                <w:tab w:val="decimal" w:pos="514"/>
              </w:tabs>
            </w:pPr>
          </w:p>
        </w:tc>
      </w:tr>
      <w:tr w:rsidR="00D90AE2" w:rsidRPr="00BA4712" w14:paraId="4D63119D" w14:textId="77777777" w:rsidTr="005305E5">
        <w:tc>
          <w:tcPr>
            <w:tcW w:w="3798" w:type="dxa"/>
          </w:tcPr>
          <w:p w14:paraId="3C23DD74" w14:textId="77777777" w:rsidR="00D90AE2" w:rsidRPr="00BA4712" w:rsidRDefault="00D90AE2" w:rsidP="008A6D63">
            <w:pPr>
              <w:pStyle w:val="TX-TableText"/>
              <w:ind w:left="288"/>
            </w:pPr>
            <w:r>
              <w:t>Non-CEP Student Households (CEP SFAs)</w:t>
            </w:r>
          </w:p>
        </w:tc>
        <w:tc>
          <w:tcPr>
            <w:tcW w:w="1350" w:type="dxa"/>
          </w:tcPr>
          <w:p w14:paraId="46F373F9" w14:textId="77777777" w:rsidR="00D90AE2" w:rsidRPr="00BA4712" w:rsidRDefault="00D90AE2" w:rsidP="00F30358">
            <w:pPr>
              <w:pStyle w:val="TX-TableText"/>
              <w:jc w:val="right"/>
            </w:pPr>
            <w:r>
              <w:t>8,164,424</w:t>
            </w:r>
          </w:p>
        </w:tc>
        <w:tc>
          <w:tcPr>
            <w:tcW w:w="900" w:type="dxa"/>
          </w:tcPr>
          <w:p w14:paraId="04B4E037" w14:textId="77777777" w:rsidR="00D90AE2" w:rsidRPr="00BA4712" w:rsidRDefault="00D90AE2" w:rsidP="00F30358">
            <w:pPr>
              <w:pStyle w:val="TX-TableText"/>
              <w:jc w:val="right"/>
            </w:pPr>
            <w:r>
              <w:t>1,247</w:t>
            </w:r>
          </w:p>
        </w:tc>
        <w:tc>
          <w:tcPr>
            <w:tcW w:w="1348" w:type="dxa"/>
          </w:tcPr>
          <w:p w14:paraId="2A0A5FC5" w14:textId="77777777" w:rsidR="00D90AE2" w:rsidRPr="00CD661A" w:rsidRDefault="00D90AE2" w:rsidP="00F30358">
            <w:pPr>
              <w:pStyle w:val="TX-TableText"/>
              <w:tabs>
                <w:tab w:val="decimal" w:pos="679"/>
              </w:tabs>
            </w:pPr>
            <w:r>
              <w:t>75%</w:t>
            </w:r>
          </w:p>
        </w:tc>
        <w:tc>
          <w:tcPr>
            <w:tcW w:w="1215" w:type="dxa"/>
          </w:tcPr>
          <w:p w14:paraId="6B08CE79" w14:textId="77777777" w:rsidR="00D90AE2" w:rsidRPr="00BA4712" w:rsidRDefault="00D90AE2" w:rsidP="005305E5">
            <w:pPr>
              <w:pStyle w:val="TX-TableText"/>
              <w:tabs>
                <w:tab w:val="decimal" w:pos="780"/>
              </w:tabs>
            </w:pPr>
            <w:r>
              <w:t>935</w:t>
            </w:r>
          </w:p>
        </w:tc>
        <w:tc>
          <w:tcPr>
            <w:tcW w:w="1215" w:type="dxa"/>
          </w:tcPr>
          <w:p w14:paraId="4BE5E3DA" w14:textId="77777777" w:rsidR="00D90AE2" w:rsidRDefault="00D90AE2" w:rsidP="005305E5">
            <w:pPr>
              <w:pStyle w:val="TX-TableText"/>
              <w:tabs>
                <w:tab w:val="decimal" w:pos="514"/>
              </w:tabs>
            </w:pPr>
          </w:p>
        </w:tc>
      </w:tr>
      <w:tr w:rsidR="00D90AE2" w:rsidRPr="00BA4712" w14:paraId="2FE55292" w14:textId="77777777" w:rsidTr="005305E5">
        <w:tc>
          <w:tcPr>
            <w:tcW w:w="3798" w:type="dxa"/>
          </w:tcPr>
          <w:p w14:paraId="6CA791B1" w14:textId="77777777" w:rsidR="00D90AE2" w:rsidRDefault="00D90AE2" w:rsidP="00F30358">
            <w:pPr>
              <w:pStyle w:val="TX-TableText"/>
            </w:pPr>
          </w:p>
        </w:tc>
        <w:tc>
          <w:tcPr>
            <w:tcW w:w="1350" w:type="dxa"/>
          </w:tcPr>
          <w:p w14:paraId="738D3573" w14:textId="77777777" w:rsidR="00D90AE2" w:rsidRPr="00170DD6" w:rsidRDefault="00D90AE2" w:rsidP="00F30358">
            <w:pPr>
              <w:pStyle w:val="TX-TableText"/>
              <w:jc w:val="right"/>
            </w:pPr>
          </w:p>
        </w:tc>
        <w:tc>
          <w:tcPr>
            <w:tcW w:w="900" w:type="dxa"/>
          </w:tcPr>
          <w:p w14:paraId="0B486A40" w14:textId="77777777" w:rsidR="00D90AE2" w:rsidRDefault="00D90AE2" w:rsidP="00F30358">
            <w:pPr>
              <w:pStyle w:val="TX-TableText"/>
              <w:jc w:val="right"/>
            </w:pPr>
          </w:p>
        </w:tc>
        <w:tc>
          <w:tcPr>
            <w:tcW w:w="1348" w:type="dxa"/>
          </w:tcPr>
          <w:p w14:paraId="7420DB42" w14:textId="77777777" w:rsidR="00D90AE2" w:rsidRPr="00CD661A" w:rsidRDefault="00D90AE2" w:rsidP="00F30358">
            <w:pPr>
              <w:pStyle w:val="TX-TableText"/>
              <w:tabs>
                <w:tab w:val="decimal" w:pos="679"/>
              </w:tabs>
            </w:pPr>
          </w:p>
        </w:tc>
        <w:tc>
          <w:tcPr>
            <w:tcW w:w="1215" w:type="dxa"/>
          </w:tcPr>
          <w:p w14:paraId="2B887428" w14:textId="77777777" w:rsidR="00D90AE2" w:rsidRDefault="00D90AE2" w:rsidP="005305E5">
            <w:pPr>
              <w:pStyle w:val="TX-TableText"/>
              <w:tabs>
                <w:tab w:val="decimal" w:pos="780"/>
              </w:tabs>
            </w:pPr>
          </w:p>
        </w:tc>
        <w:tc>
          <w:tcPr>
            <w:tcW w:w="1215" w:type="dxa"/>
          </w:tcPr>
          <w:p w14:paraId="2CDCDBB4" w14:textId="77777777" w:rsidR="00D90AE2" w:rsidRDefault="00D90AE2" w:rsidP="005305E5">
            <w:pPr>
              <w:pStyle w:val="TX-TableText"/>
              <w:tabs>
                <w:tab w:val="decimal" w:pos="514"/>
              </w:tabs>
            </w:pPr>
          </w:p>
        </w:tc>
      </w:tr>
      <w:tr w:rsidR="00D90AE2" w:rsidRPr="00BA4712" w14:paraId="7FDAB7C8" w14:textId="77777777" w:rsidTr="005305E5">
        <w:tc>
          <w:tcPr>
            <w:tcW w:w="3798" w:type="dxa"/>
          </w:tcPr>
          <w:p w14:paraId="0B9D7E23" w14:textId="77777777" w:rsidR="00D90AE2" w:rsidRPr="00BA4712" w:rsidRDefault="00D90AE2" w:rsidP="00F30358">
            <w:pPr>
              <w:pStyle w:val="TX-TableText"/>
            </w:pPr>
            <w:r>
              <w:t>CEP School Student Records</w:t>
            </w:r>
          </w:p>
        </w:tc>
        <w:tc>
          <w:tcPr>
            <w:tcW w:w="1350" w:type="dxa"/>
          </w:tcPr>
          <w:p w14:paraId="33FCC90D" w14:textId="77777777" w:rsidR="00D90AE2" w:rsidRDefault="00D90AE2" w:rsidP="00F30358">
            <w:pPr>
              <w:pStyle w:val="TX-TableText"/>
              <w:jc w:val="right"/>
            </w:pPr>
            <w:r>
              <w:t>5,009,556</w:t>
            </w:r>
          </w:p>
        </w:tc>
        <w:tc>
          <w:tcPr>
            <w:tcW w:w="900" w:type="dxa"/>
          </w:tcPr>
          <w:p w14:paraId="03B9C461" w14:textId="77777777" w:rsidR="00D90AE2" w:rsidRDefault="00D90AE2" w:rsidP="00F30358">
            <w:pPr>
              <w:pStyle w:val="TX-TableText"/>
              <w:jc w:val="right"/>
            </w:pPr>
            <w:r>
              <w:t>4,488</w:t>
            </w:r>
          </w:p>
        </w:tc>
        <w:tc>
          <w:tcPr>
            <w:tcW w:w="1348" w:type="dxa"/>
          </w:tcPr>
          <w:p w14:paraId="08AF69C0" w14:textId="77777777" w:rsidR="00D90AE2" w:rsidRPr="00CD661A" w:rsidRDefault="00D90AE2" w:rsidP="00F30358">
            <w:pPr>
              <w:pStyle w:val="TX-TableText"/>
              <w:tabs>
                <w:tab w:val="decimal" w:pos="679"/>
              </w:tabs>
            </w:pPr>
            <w:r w:rsidRPr="00CD661A">
              <w:t>100%</w:t>
            </w:r>
          </w:p>
        </w:tc>
        <w:tc>
          <w:tcPr>
            <w:tcW w:w="1215" w:type="dxa"/>
          </w:tcPr>
          <w:p w14:paraId="4C789A2E" w14:textId="77777777" w:rsidR="00D90AE2" w:rsidRDefault="00D90AE2" w:rsidP="005305E5">
            <w:pPr>
              <w:pStyle w:val="TX-TableText"/>
              <w:tabs>
                <w:tab w:val="decimal" w:pos="780"/>
              </w:tabs>
            </w:pPr>
            <w:r>
              <w:t>4,488</w:t>
            </w:r>
          </w:p>
        </w:tc>
        <w:tc>
          <w:tcPr>
            <w:tcW w:w="1215" w:type="dxa"/>
          </w:tcPr>
          <w:p w14:paraId="49BFAFBA" w14:textId="77777777" w:rsidR="00D90AE2" w:rsidRDefault="00D90AE2" w:rsidP="005305E5">
            <w:pPr>
              <w:pStyle w:val="TX-TableText"/>
              <w:tabs>
                <w:tab w:val="decimal" w:pos="514"/>
              </w:tabs>
            </w:pPr>
            <w:r>
              <w:t>N/A</w:t>
            </w:r>
          </w:p>
          <w:p w14:paraId="59C54451" w14:textId="77777777" w:rsidR="00D90AE2" w:rsidRDefault="00D90AE2" w:rsidP="005305E5">
            <w:pPr>
              <w:pStyle w:val="TX-TableText"/>
              <w:tabs>
                <w:tab w:val="decimal" w:pos="514"/>
              </w:tabs>
            </w:pPr>
          </w:p>
        </w:tc>
      </w:tr>
      <w:tr w:rsidR="00D90AE2" w:rsidRPr="00BA4712" w14:paraId="244EBB34" w14:textId="77777777" w:rsidTr="005305E5">
        <w:tc>
          <w:tcPr>
            <w:tcW w:w="3798" w:type="dxa"/>
          </w:tcPr>
          <w:p w14:paraId="04C96421" w14:textId="77777777" w:rsidR="00D90AE2" w:rsidRPr="002D389D" w:rsidRDefault="00D90AE2" w:rsidP="00F30358">
            <w:pPr>
              <w:pStyle w:val="TX-TableText"/>
            </w:pPr>
            <w:r w:rsidRPr="002D389D">
              <w:t>TOTAL</w:t>
            </w:r>
          </w:p>
        </w:tc>
        <w:tc>
          <w:tcPr>
            <w:tcW w:w="1350" w:type="dxa"/>
          </w:tcPr>
          <w:p w14:paraId="3D12EBD4" w14:textId="77777777" w:rsidR="00D90AE2" w:rsidRDefault="00D90AE2" w:rsidP="00F30358">
            <w:pPr>
              <w:pStyle w:val="TX-TableText"/>
              <w:jc w:val="right"/>
            </w:pPr>
            <w:r>
              <w:t>28,775,319</w:t>
            </w:r>
          </w:p>
        </w:tc>
        <w:tc>
          <w:tcPr>
            <w:tcW w:w="900" w:type="dxa"/>
          </w:tcPr>
          <w:p w14:paraId="19EDF371" w14:textId="77777777" w:rsidR="00D90AE2" w:rsidRDefault="00D90AE2" w:rsidP="00F30358">
            <w:pPr>
              <w:pStyle w:val="TX-TableText"/>
              <w:jc w:val="right"/>
            </w:pPr>
            <w:r>
              <w:t>12,030</w:t>
            </w:r>
          </w:p>
        </w:tc>
        <w:tc>
          <w:tcPr>
            <w:tcW w:w="1348" w:type="dxa"/>
          </w:tcPr>
          <w:p w14:paraId="58A0FE35" w14:textId="77777777" w:rsidR="00D90AE2" w:rsidRPr="00CD661A" w:rsidRDefault="00D90AE2" w:rsidP="00F30358">
            <w:pPr>
              <w:pStyle w:val="TX-TableText"/>
              <w:tabs>
                <w:tab w:val="decimal" w:pos="679"/>
              </w:tabs>
            </w:pPr>
            <w:r>
              <w:t>84%</w:t>
            </w:r>
          </w:p>
        </w:tc>
        <w:tc>
          <w:tcPr>
            <w:tcW w:w="1215" w:type="dxa"/>
          </w:tcPr>
          <w:p w14:paraId="33450E06" w14:textId="77777777" w:rsidR="00D90AE2" w:rsidRDefault="00D90AE2" w:rsidP="005305E5">
            <w:pPr>
              <w:pStyle w:val="TX-TableText"/>
              <w:tabs>
                <w:tab w:val="decimal" w:pos="780"/>
              </w:tabs>
            </w:pPr>
            <w:r>
              <w:t>10,206</w:t>
            </w:r>
          </w:p>
        </w:tc>
        <w:tc>
          <w:tcPr>
            <w:tcW w:w="1215" w:type="dxa"/>
          </w:tcPr>
          <w:p w14:paraId="7B37BCB1" w14:textId="77777777" w:rsidR="00D90AE2" w:rsidRDefault="00D90AE2" w:rsidP="005305E5">
            <w:pPr>
              <w:pStyle w:val="TX-TableText"/>
              <w:tabs>
                <w:tab w:val="decimal" w:pos="514"/>
              </w:tabs>
            </w:pPr>
            <w:r>
              <w:t>83%</w:t>
            </w:r>
          </w:p>
        </w:tc>
      </w:tr>
    </w:tbl>
    <w:p w14:paraId="7B7078C1" w14:textId="77777777" w:rsidR="005305E5" w:rsidRPr="009D07F9" w:rsidRDefault="00D90AE2" w:rsidP="005305E5">
      <w:pPr>
        <w:pStyle w:val="TF-TblFN"/>
        <w:rPr>
          <w:sz w:val="18"/>
          <w:szCs w:val="18"/>
        </w:rPr>
      </w:pPr>
      <w:r w:rsidRPr="009D07F9">
        <w:rPr>
          <w:sz w:val="20"/>
          <w:vertAlign w:val="superscript"/>
        </w:rPr>
        <w:t xml:space="preserve">1 </w:t>
      </w:r>
      <w:r w:rsidRPr="009D07F9">
        <w:t xml:space="preserve">Based on data from APEC II sampling frame drawn from FNS 742 </w:t>
      </w:r>
      <w:r w:rsidR="00025218" w:rsidRPr="009D07F9">
        <w:t>d</w:t>
      </w:r>
      <w:r w:rsidRPr="009D07F9">
        <w:t>ata</w:t>
      </w:r>
      <w:r w:rsidR="00025218" w:rsidRPr="009D07F9">
        <w:t>,</w:t>
      </w:r>
      <w:r w:rsidRPr="009D07F9">
        <w:t xml:space="preserve"> including FY</w:t>
      </w:r>
      <w:r w:rsidR="00025218" w:rsidRPr="009D07F9">
        <w:t xml:space="preserve"> </w:t>
      </w:r>
      <w:r w:rsidRPr="009D07F9">
        <w:t>15 FNS-742 SFA File (version dated 2-22-2016) and CEP SY</w:t>
      </w:r>
      <w:r w:rsidR="00025218" w:rsidRPr="009D07F9">
        <w:t xml:space="preserve"> </w:t>
      </w:r>
      <w:r w:rsidRPr="009D07F9">
        <w:t>15-16 National Elections Data</w:t>
      </w:r>
      <w:r w:rsidR="00025218" w:rsidRPr="009D07F9">
        <w:rPr>
          <w:rFonts w:ascii="Calibri" w:hAnsi="Calibri"/>
        </w:rPr>
        <w:t>‒</w:t>
      </w:r>
      <w:r w:rsidRPr="009D07F9">
        <w:t>September 2015 (version dated 3-25-2016).</w:t>
      </w:r>
    </w:p>
    <w:p w14:paraId="24D56D2A" w14:textId="77777777" w:rsidR="00D90AE2" w:rsidRPr="009D07F9" w:rsidRDefault="00D90AE2" w:rsidP="005305E5">
      <w:pPr>
        <w:pStyle w:val="TF-TblFN"/>
      </w:pPr>
      <w:r w:rsidRPr="009D07F9">
        <w:rPr>
          <w:vertAlign w:val="superscript"/>
        </w:rPr>
        <w:lastRenderedPageBreak/>
        <w:t>2</w:t>
      </w:r>
      <w:r w:rsidRPr="009D07F9">
        <w:t xml:space="preserve"> Per Table II.3 APEC II Response Rates, APEC II Final Report Volume I, pg. 29.</w:t>
      </w:r>
    </w:p>
    <w:p w14:paraId="2C665519" w14:textId="6CDB5B20" w:rsidR="00806D8D" w:rsidRDefault="00D90AE2" w:rsidP="00806D8D">
      <w:pPr>
        <w:pStyle w:val="TF-TblFN"/>
      </w:pPr>
      <w:r w:rsidRPr="005305E5">
        <w:rPr>
          <w:vertAlign w:val="superscript"/>
        </w:rPr>
        <w:t>3</w:t>
      </w:r>
      <w:r w:rsidRPr="005305E5">
        <w:t xml:space="preserve"> The sampling unit was the </w:t>
      </w:r>
      <w:proofErr w:type="gramStart"/>
      <w:r w:rsidRPr="005305E5">
        <w:t>SFAs,</w:t>
      </w:r>
      <w:proofErr w:type="gramEnd"/>
      <w:r w:rsidRPr="005305E5">
        <w:t xml:space="preserve"> and their State Child Nutrition Agencies (46 States).</w:t>
      </w:r>
    </w:p>
    <w:p w14:paraId="3643B98F" w14:textId="77777777" w:rsidR="00806D8D" w:rsidRDefault="00806D8D" w:rsidP="00806D8D">
      <w:pPr>
        <w:pStyle w:val="TF-TblFN"/>
      </w:pPr>
    </w:p>
    <w:p w14:paraId="16A02D00" w14:textId="77777777" w:rsidR="00D90AE2" w:rsidRDefault="00D90AE2" w:rsidP="005305E5">
      <w:pPr>
        <w:pStyle w:val="Heading4"/>
      </w:pPr>
      <w:r w:rsidRPr="00BA4712">
        <w:t>Sampling Overview</w:t>
      </w:r>
    </w:p>
    <w:p w14:paraId="19EB1E50" w14:textId="77777777" w:rsidR="005305E5" w:rsidRDefault="00D90AE2" w:rsidP="005305E5">
      <w:pPr>
        <w:pStyle w:val="P1-StandPara"/>
      </w:pPr>
      <w:r>
        <w:t xml:space="preserve">The sampling plan for APEC </w:t>
      </w:r>
      <w:r w:rsidRPr="00A44A3B">
        <w:t xml:space="preserve">III is a multistage stratified probability sampling design where the first-stage sampling units (FSUs) are </w:t>
      </w:r>
      <w:r w:rsidR="00AA282A">
        <w:t>composed</w:t>
      </w:r>
      <w:r w:rsidR="00AA282A" w:rsidRPr="00A44A3B">
        <w:t xml:space="preserve"> </w:t>
      </w:r>
      <w:r w:rsidRPr="00A44A3B">
        <w:t xml:space="preserve">of a nationally representative sample of SFAs, the second-stage sampling units (SSUs) are </w:t>
      </w:r>
      <w:r w:rsidR="00AA282A">
        <w:t>composed</w:t>
      </w:r>
      <w:r w:rsidR="00AA282A" w:rsidRPr="00A44A3B">
        <w:t xml:space="preserve"> </w:t>
      </w:r>
      <w:r w:rsidRPr="00A44A3B">
        <w:t xml:space="preserve">of stratified samples of schools within SFAs, and the third-stage sampling units (TSUs) are </w:t>
      </w:r>
      <w:r w:rsidR="00AA282A">
        <w:t>composed</w:t>
      </w:r>
      <w:r w:rsidR="00AA282A" w:rsidRPr="00A44A3B">
        <w:t xml:space="preserve"> </w:t>
      </w:r>
      <w:r w:rsidRPr="00A44A3B">
        <w:t>of students (households) within schools.</w:t>
      </w:r>
    </w:p>
    <w:p w14:paraId="6BF69736" w14:textId="7AD51CC4" w:rsidR="00D90AE2" w:rsidRDefault="00D90AE2" w:rsidP="005305E5">
      <w:pPr>
        <w:pStyle w:val="P1-StandPara"/>
      </w:pPr>
      <w:r>
        <w:t>Appendix O</w:t>
      </w:r>
      <w:r w:rsidR="002C46DB">
        <w:t>1</w:t>
      </w:r>
      <w:r>
        <w:t xml:space="preserve"> describes the sample frame development and selection process.</w:t>
      </w:r>
      <w:r w:rsidR="005305E5">
        <w:t xml:space="preserve"> </w:t>
      </w:r>
      <w:r>
        <w:t xml:space="preserve">This </w:t>
      </w:r>
      <w:r w:rsidR="00B62780">
        <w:t xml:space="preserve">was </w:t>
      </w:r>
      <w:r>
        <w:t>a multistep process that began with use of FNS administrative data</w:t>
      </w:r>
      <w:r w:rsidR="00BF53BB">
        <w:rPr>
          <w:rStyle w:val="FootnoteReference"/>
        </w:rPr>
        <w:footnoteReference w:id="5"/>
      </w:r>
      <w:r>
        <w:t xml:space="preserve"> and public records from the National Center for Education Statistics (NCES).</w:t>
      </w:r>
      <w:r w:rsidR="005305E5">
        <w:t xml:space="preserve"> </w:t>
      </w:r>
      <w:r>
        <w:t xml:space="preserve">FNS </w:t>
      </w:r>
      <w:r w:rsidR="00AA282A">
        <w:t xml:space="preserve">regional directors </w:t>
      </w:r>
      <w:r>
        <w:t xml:space="preserve">and </w:t>
      </w:r>
      <w:r w:rsidR="00AA282A">
        <w:t xml:space="preserve">regional liaisons </w:t>
      </w:r>
      <w:r>
        <w:t xml:space="preserve">supported this process with study notification to State </w:t>
      </w:r>
      <w:r w:rsidR="00AA282A">
        <w:t>child nutrition directors</w:t>
      </w:r>
      <w:r>
        <w:t>.</w:t>
      </w:r>
      <w:r w:rsidR="005305E5">
        <w:t xml:space="preserve"> </w:t>
      </w:r>
      <w:r>
        <w:t>Later, sampled SFAs were notified and engaged to review, verify, and provide updates if needed to the sample frame data.</w:t>
      </w:r>
      <w:r w:rsidR="005305E5">
        <w:t xml:space="preserve"> </w:t>
      </w:r>
      <w:r w:rsidR="00B62780">
        <w:t>Finally,</w:t>
      </w:r>
      <w:r>
        <w:t xml:space="preserve"> SFAs and schools will be notified and informed that they will be contacted later for data collection.</w:t>
      </w:r>
      <w:r w:rsidR="005305E5">
        <w:t xml:space="preserve"> </w:t>
      </w:r>
      <w:r>
        <w:t>The study materials used during the</w:t>
      </w:r>
      <w:r w:rsidR="00E55A82">
        <w:t xml:space="preserve"> sample frame development and selection </w:t>
      </w:r>
      <w:r>
        <w:t>process are included in Appendices O2</w:t>
      </w:r>
      <w:r w:rsidR="00AA282A">
        <w:rPr>
          <w:rFonts w:ascii="Calibri" w:hAnsi="Calibri"/>
        </w:rPr>
        <w:t>‒</w:t>
      </w:r>
      <w:r>
        <w:t>O10.</w:t>
      </w:r>
    </w:p>
    <w:p w14:paraId="6E13DCA3" w14:textId="793827CC" w:rsidR="00D90AE2" w:rsidRDefault="00D90AE2" w:rsidP="005305E5">
      <w:pPr>
        <w:pStyle w:val="P1-StandPara"/>
      </w:pPr>
      <w:r w:rsidRPr="00A44A3B">
        <w:t>The sampling plan generally follow</w:t>
      </w:r>
      <w:r w:rsidR="00B62780">
        <w:t>ed</w:t>
      </w:r>
      <w:r>
        <w:t xml:space="preserve"> </w:t>
      </w:r>
      <w:r w:rsidRPr="00A44A3B">
        <w:t>the approach used in APEC I and II</w:t>
      </w:r>
      <w:r>
        <w:t xml:space="preserve"> </w:t>
      </w:r>
      <w:r w:rsidRPr="00A44A3B">
        <w:t>but with</w:t>
      </w:r>
      <w:r>
        <w:t xml:space="preserve"> </w:t>
      </w:r>
      <w:r w:rsidRPr="00A44A3B">
        <w:t>additional SFA, school, and househ</w:t>
      </w:r>
      <w:r>
        <w:t>old samples</w:t>
      </w:r>
      <w:r w:rsidR="005D78C1">
        <w:t>,</w:t>
      </w:r>
      <w:r>
        <w:t xml:space="preserve"> as </w:t>
      </w:r>
      <w:r w:rsidRPr="00B80131">
        <w:t>shown in Figure B1-1.</w:t>
      </w:r>
      <w:r w:rsidRPr="00A44A3B">
        <w:t xml:space="preserve"> </w:t>
      </w:r>
      <w:r>
        <w:t xml:space="preserve">The APEC III SFA Sample Selection </w:t>
      </w:r>
      <w:r w:rsidR="00AA282A">
        <w:t>M</w:t>
      </w:r>
      <w:r>
        <w:t xml:space="preserve">emo (Appendix P) and the APEC III School </w:t>
      </w:r>
      <w:r w:rsidR="00FB7064">
        <w:t xml:space="preserve">Sample </w:t>
      </w:r>
      <w:r>
        <w:t>Selection Memo (Appendix Q) provide details on the sampling procedures and results.</w:t>
      </w:r>
      <w:r w:rsidR="005305E5">
        <w:t xml:space="preserve"> </w:t>
      </w:r>
      <w:r w:rsidRPr="00A44A3B">
        <w:t xml:space="preserve">Because certification </w:t>
      </w:r>
      <w:r w:rsidR="00C64FC7">
        <w:t xml:space="preserve">for school meals </w:t>
      </w:r>
      <w:r>
        <w:t xml:space="preserve">occurs </w:t>
      </w:r>
      <w:r w:rsidRPr="00A44A3B">
        <w:t>differ</w:t>
      </w:r>
      <w:r w:rsidR="00C64FC7">
        <w:t>ently</w:t>
      </w:r>
      <w:r w:rsidRPr="00A44A3B">
        <w:t xml:space="preserve"> between CEP and non-CEP schools, </w:t>
      </w:r>
      <w:r>
        <w:t xml:space="preserve">CEP </w:t>
      </w:r>
      <w:r w:rsidRPr="00A44A3B">
        <w:t xml:space="preserve">schools </w:t>
      </w:r>
      <w:r w:rsidR="007C3D39">
        <w:t>were</w:t>
      </w:r>
      <w:r w:rsidRPr="00A44A3B">
        <w:t xml:space="preserve"> sampled separately</w:t>
      </w:r>
      <w:r>
        <w:t>.</w:t>
      </w:r>
      <w:r w:rsidR="001A528B">
        <w:rPr>
          <w:rStyle w:val="FootnoteReference"/>
        </w:rPr>
        <w:footnoteReference w:id="6"/>
      </w:r>
      <w:r w:rsidR="005305E5">
        <w:t xml:space="preserve"> </w:t>
      </w:r>
      <w:r>
        <w:t>SFAs</w:t>
      </w:r>
      <w:r w:rsidR="007543F9">
        <w:t xml:space="preserve"> </w:t>
      </w:r>
      <w:r w:rsidR="007C3D39">
        <w:t>were</w:t>
      </w:r>
      <w:r w:rsidR="007543F9">
        <w:t xml:space="preserve"> </w:t>
      </w:r>
      <w:r>
        <w:t xml:space="preserve">divided into those with no CEP schools and those with at least one CEP school. Among SFAs </w:t>
      </w:r>
      <w:r>
        <w:lastRenderedPageBreak/>
        <w:t>with at least one CEP school, we sample</w:t>
      </w:r>
      <w:r w:rsidR="007C3D39">
        <w:t>d</w:t>
      </w:r>
      <w:r>
        <w:t xml:space="preserve"> both CEP schools and non-CEP schools. </w:t>
      </w:r>
      <w:r w:rsidRPr="00990BC3">
        <w:t xml:space="preserve">For sampled SFAs implementing CEP districtwide, only CEP schools </w:t>
      </w:r>
      <w:r w:rsidR="007C3D39">
        <w:t>were</w:t>
      </w:r>
      <w:r w:rsidRPr="00990BC3">
        <w:t xml:space="preserve"> sampled. </w:t>
      </w:r>
      <w:r w:rsidRPr="00AF6D0B">
        <w:t xml:space="preserve">The current allocation of the SFA sample is proportional to the number of </w:t>
      </w:r>
      <w:r>
        <w:t xml:space="preserve">certified </w:t>
      </w:r>
      <w:r w:rsidRPr="00AF6D0B">
        <w:t>students to be selected for APEC III in the two SFA categories</w:t>
      </w:r>
      <w:r w:rsidR="00C64FC7">
        <w:t xml:space="preserve"> (i.e., CEP and non-CEP SFAs)</w:t>
      </w:r>
      <w:r w:rsidRPr="00AF6D0B">
        <w:t xml:space="preserve">. In the case of the </w:t>
      </w:r>
      <w:r>
        <w:t>non-CEP</w:t>
      </w:r>
      <w:r w:rsidRPr="00AF6D0B">
        <w:t xml:space="preserve"> SFAs, the number of students eligible to be selected for APEC III is the number of students </w:t>
      </w:r>
      <w:r>
        <w:t>approved</w:t>
      </w:r>
      <w:r w:rsidRPr="00AF6D0B">
        <w:t xml:space="preserve"> for free</w:t>
      </w:r>
      <w:r w:rsidR="005D78C1">
        <w:t xml:space="preserve"> or </w:t>
      </w:r>
      <w:r w:rsidRPr="00AF6D0B">
        <w:t>reduced</w:t>
      </w:r>
      <w:r w:rsidR="005D78C1">
        <w:t>-</w:t>
      </w:r>
      <w:r w:rsidRPr="00AF6D0B">
        <w:t>price meals. In the case of the CEP SFAs, the number of students eligible to be selected for APEC III is the sum of (a)</w:t>
      </w:r>
      <w:r w:rsidR="00186A08">
        <w:t> </w:t>
      </w:r>
      <w:r w:rsidRPr="00AF6D0B">
        <w:t xml:space="preserve">the </w:t>
      </w:r>
      <w:r>
        <w:t>number of students certified for free</w:t>
      </w:r>
      <w:r w:rsidR="00AA282A">
        <w:t xml:space="preserve"> or </w:t>
      </w:r>
      <w:r>
        <w:t>reduced</w:t>
      </w:r>
      <w:r w:rsidR="00AA282A">
        <w:t>-</w:t>
      </w:r>
      <w:r>
        <w:t>priced meals (i.e.</w:t>
      </w:r>
      <w:r w:rsidR="00AA282A">
        <w:t>,</w:t>
      </w:r>
      <w:r>
        <w:t xml:space="preserve"> enrollment of the school multiplied by the identified student percentage (ISP) multiplied by 1.6)</w:t>
      </w:r>
      <w:r w:rsidR="001A528B">
        <w:rPr>
          <w:rStyle w:val="FootnoteReference"/>
        </w:rPr>
        <w:footnoteReference w:id="7"/>
      </w:r>
      <w:r w:rsidR="00AA282A">
        <w:t>;</w:t>
      </w:r>
      <w:r w:rsidRPr="00AF6D0B">
        <w:t xml:space="preserve"> and (b)</w:t>
      </w:r>
      <w:r w:rsidR="00186A08">
        <w:t> </w:t>
      </w:r>
      <w:r w:rsidRPr="00AF6D0B">
        <w:t xml:space="preserve">the number of students </w:t>
      </w:r>
      <w:r>
        <w:t>approved or certified</w:t>
      </w:r>
      <w:r w:rsidRPr="00AF6D0B">
        <w:t xml:space="preserve"> for free</w:t>
      </w:r>
      <w:r w:rsidR="00AA282A">
        <w:t xml:space="preserve"> or </w:t>
      </w:r>
      <w:r w:rsidRPr="00AF6D0B">
        <w:t>reduced</w:t>
      </w:r>
      <w:r w:rsidR="00AA282A">
        <w:t>-</w:t>
      </w:r>
      <w:r w:rsidRPr="00AF6D0B">
        <w:t xml:space="preserve">price meals in the </w:t>
      </w:r>
      <w:r>
        <w:t>non-CEP</w:t>
      </w:r>
      <w:r w:rsidRPr="00AF6D0B">
        <w:t xml:space="preserve"> schools in the SFA.</w:t>
      </w:r>
    </w:p>
    <w:p w14:paraId="0B045A52" w14:textId="09F9D25B" w:rsidR="005305E5" w:rsidRDefault="00D90AE2" w:rsidP="005305E5">
      <w:pPr>
        <w:pStyle w:val="P1-StandPara"/>
      </w:pPr>
      <w:r w:rsidRPr="00C114C0">
        <w:t xml:space="preserve">Table </w:t>
      </w:r>
      <w:r>
        <w:t>B1</w:t>
      </w:r>
      <w:r w:rsidRPr="00C114C0">
        <w:t>-1 summarizes the target sample size of 626 schools for APEC III</w:t>
      </w:r>
      <w:r>
        <w:t>.</w:t>
      </w:r>
      <w:r w:rsidRPr="00C114C0">
        <w:t xml:space="preserve"> The numbers refer to the desired number of schools (participating schools) for subsequent household/application sampling. </w:t>
      </w:r>
      <w:r w:rsidR="00AA282A">
        <w:t>T</w:t>
      </w:r>
      <w:r w:rsidRPr="00C114C0">
        <w:t xml:space="preserve">o ensure that these sample sizes </w:t>
      </w:r>
      <w:r w:rsidR="00E464AB">
        <w:t>could</w:t>
      </w:r>
      <w:r w:rsidR="00E464AB" w:rsidRPr="00C114C0">
        <w:t xml:space="preserve"> </w:t>
      </w:r>
      <w:r w:rsidRPr="00C114C0">
        <w:t xml:space="preserve">be achieved, a larger sample </w:t>
      </w:r>
      <w:r w:rsidR="00D53293">
        <w:t xml:space="preserve">was projected to </w:t>
      </w:r>
      <w:r w:rsidRPr="00C114C0">
        <w:t>be selected</w:t>
      </w:r>
      <w:r w:rsidR="00AA282A" w:rsidRPr="00AA282A">
        <w:t xml:space="preserve"> </w:t>
      </w:r>
      <w:r w:rsidR="00AA282A" w:rsidRPr="00C114C0">
        <w:t>initially</w:t>
      </w:r>
      <w:r w:rsidRPr="00C114C0">
        <w:t>. For sampling purposes</w:t>
      </w:r>
      <w:r w:rsidR="00D53293">
        <w:t xml:space="preserve"> when developing the sampling plan</w:t>
      </w:r>
      <w:r w:rsidRPr="00C114C0">
        <w:t>, we assume</w:t>
      </w:r>
      <w:r w:rsidR="002F1E91">
        <w:t>d</w:t>
      </w:r>
      <w:r w:rsidRPr="00C114C0">
        <w:t xml:space="preserve"> that the response rate among the selected schools w</w:t>
      </w:r>
      <w:r w:rsidR="002F1E91">
        <w:t>ould</w:t>
      </w:r>
      <w:r w:rsidR="007543F9">
        <w:t xml:space="preserve"> </w:t>
      </w:r>
      <w:r w:rsidRPr="00C114C0">
        <w:t xml:space="preserve">be at least 80 percent. Thus, </w:t>
      </w:r>
      <w:r w:rsidR="00D53293" w:rsidRPr="00C114C0">
        <w:t>approximately</w:t>
      </w:r>
      <w:r w:rsidRPr="00C114C0">
        <w:t xml:space="preserve"> 782 schools </w:t>
      </w:r>
      <w:r w:rsidR="002F1E91">
        <w:t>were</w:t>
      </w:r>
      <w:r w:rsidRPr="00C114C0">
        <w:t xml:space="preserve"> sampled to yield 626 participating schools, of which approximately 548</w:t>
      </w:r>
      <w:r w:rsidR="002F1E91">
        <w:t xml:space="preserve"> are</w:t>
      </w:r>
      <w:r w:rsidRPr="00C114C0">
        <w:t xml:space="preserve"> non-CEP schools and 234 </w:t>
      </w:r>
      <w:r w:rsidR="002F1E91">
        <w:t>are</w:t>
      </w:r>
      <w:r w:rsidRPr="00C114C0">
        <w:t xml:space="preserve"> CEP schools</w:t>
      </w:r>
      <w:r w:rsidR="00D53293">
        <w:rPr>
          <w:rStyle w:val="FootnoteReference"/>
        </w:rPr>
        <w:footnoteReference w:id="8"/>
      </w:r>
      <w:r w:rsidRPr="00C114C0">
        <w:t xml:space="preserve">. </w:t>
      </w:r>
      <w:r w:rsidRPr="00FE5AB4">
        <w:t>Note that the actual numbers selected differ</w:t>
      </w:r>
      <w:r w:rsidR="00D53293">
        <w:t>ed</w:t>
      </w:r>
      <w:r w:rsidRPr="00FE5AB4">
        <w:t xml:space="preserve"> slightly from those shown in Table B1-1 due to </w:t>
      </w:r>
      <w:r w:rsidR="00D53293">
        <w:t xml:space="preserve">updated school data and the </w:t>
      </w:r>
      <w:r w:rsidRPr="00FE5AB4">
        <w:t>implementation of the one- or three- schools per SFA requirement described in the APEC III School Sample Selection Memo (Appendix Q).</w:t>
      </w:r>
      <w:r w:rsidRPr="00C114C0">
        <w:t xml:space="preserve"> Figure </w:t>
      </w:r>
      <w:r>
        <w:t>B1</w:t>
      </w:r>
      <w:r w:rsidRPr="00C114C0">
        <w:t>-1 provides a summary of the number</w:t>
      </w:r>
      <w:r w:rsidR="00E464AB">
        <w:t>s</w:t>
      </w:r>
      <w:r w:rsidRPr="00C114C0">
        <w:t xml:space="preserve"> of </w:t>
      </w:r>
      <w:r w:rsidRPr="00C114C0">
        <w:lastRenderedPageBreak/>
        <w:t>schools sampled</w:t>
      </w:r>
      <w:r w:rsidR="00D4171D">
        <w:t>.</w:t>
      </w:r>
      <w:r w:rsidR="00655832">
        <w:t xml:space="preserve"> </w:t>
      </w:r>
      <w:r w:rsidR="00E464AB">
        <w:t xml:space="preserve">Whereas </w:t>
      </w:r>
      <w:r w:rsidR="00655832">
        <w:t xml:space="preserve">Table B1-1 provides the summary of the </w:t>
      </w:r>
      <w:r w:rsidR="00E464AB">
        <w:t xml:space="preserve">sampling </w:t>
      </w:r>
      <w:r w:rsidR="00655832">
        <w:t>plan, Figure B1-1 provides</w:t>
      </w:r>
      <w:r w:rsidR="00375542">
        <w:t xml:space="preserve"> the </w:t>
      </w:r>
      <w:r w:rsidR="00E464AB">
        <w:t xml:space="preserve">final </w:t>
      </w:r>
      <w:r w:rsidR="004C6BE5">
        <w:t>results</w:t>
      </w:r>
      <w:r w:rsidR="00375542">
        <w:t xml:space="preserve"> of school sample selection. </w:t>
      </w:r>
      <w:r w:rsidR="00655832">
        <w:t xml:space="preserve"> </w:t>
      </w:r>
    </w:p>
    <w:p w14:paraId="4109AE11" w14:textId="7D1B4ADA" w:rsidR="00D90AE2" w:rsidRDefault="00D90AE2" w:rsidP="005305E5">
      <w:pPr>
        <w:pStyle w:val="TT-TableTitle"/>
      </w:pPr>
      <w:r>
        <w:t>Figure B1-1.</w:t>
      </w:r>
      <w:r>
        <w:tab/>
        <w:t xml:space="preserve">Overview of </w:t>
      </w:r>
      <w:r w:rsidR="00E464AB">
        <w:t xml:space="preserve">school </w:t>
      </w:r>
      <w:r w:rsidR="005305E5">
        <w:t>sampling</w:t>
      </w:r>
      <w:r w:rsidR="005305E5">
        <w:rPr>
          <w:spacing w:val="-2"/>
        </w:rPr>
        <w:t xml:space="preserve"> </w:t>
      </w:r>
    </w:p>
    <w:p w14:paraId="2B679772" w14:textId="77777777" w:rsidR="00D90AE2" w:rsidRDefault="00D90AE2" w:rsidP="005305E5">
      <w:pPr>
        <w:pStyle w:val="TT-TableTitle"/>
      </w:pPr>
    </w:p>
    <w:p w14:paraId="4029BF04" w14:textId="7BBF675D" w:rsidR="00D90AE2" w:rsidRDefault="002503E1" w:rsidP="005305E5">
      <w:pPr>
        <w:pStyle w:val="C2-CtrSglSp"/>
      </w:pPr>
      <w:r>
        <w:object w:dxaOrig="15160" w:dyaOrig="11335" w14:anchorId="18164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350pt" o:ole="">
            <v:imagedata r:id="rId14" o:title=""/>
          </v:shape>
          <o:OLEObject Type="Embed" ProgID="Visio.Drawing.15" ShapeID="_x0000_i1025" DrawAspect="Content" ObjectID="_1555852004" r:id="rId15"/>
        </w:object>
      </w:r>
    </w:p>
    <w:p w14:paraId="1C91C4B0" w14:textId="13AD14E8" w:rsidR="005305E5" w:rsidRDefault="002503E1" w:rsidP="005305E5">
      <w:pPr>
        <w:pStyle w:val="TF-TblFN"/>
      </w:pPr>
      <w:r>
        <w:t>NOTES</w:t>
      </w:r>
    </w:p>
    <w:p w14:paraId="4EC463D4" w14:textId="16776FA3" w:rsidR="002503E1" w:rsidRDefault="002503E1" w:rsidP="002503E1">
      <w:pPr>
        <w:pStyle w:val="TF-TblFN"/>
        <w:ind w:left="0" w:firstLine="0"/>
      </w:pPr>
      <w:r>
        <w:rPr>
          <w:vertAlign w:val="superscript"/>
        </w:rPr>
        <w:t xml:space="preserve">* </w:t>
      </w:r>
      <w:r>
        <w:t>Of the 336 SFAs that were sampled, 323 (96%) confirmed participation. This exceeded the expected response rate</w:t>
      </w:r>
      <w:r w:rsidR="004C6BE5">
        <w:t>, resulting in a surplus of SFAs (323 instead of 275)</w:t>
      </w:r>
      <w:r>
        <w:t xml:space="preserve">. As a result, </w:t>
      </w:r>
      <w:r w:rsidR="004C6BE5">
        <w:t xml:space="preserve">a random sample of 302 of the 323 SFAs were selected for subsequent school sampling. The remaining SFAs could potentially be used to provide a reserve sample of schools in the unlikely event that it becomes necessary. </w:t>
      </w:r>
    </w:p>
    <w:p w14:paraId="1F334B50" w14:textId="27CEE09E" w:rsidR="005305E5" w:rsidRDefault="002503E1" w:rsidP="002503E1">
      <w:pPr>
        <w:pStyle w:val="TF-TblFN"/>
        <w:ind w:left="0" w:firstLine="0"/>
      </w:pPr>
      <w:r>
        <w:rPr>
          <w:vertAlign w:val="superscript"/>
        </w:rPr>
        <w:t>**</w:t>
      </w:r>
      <w:r w:rsidR="00D90AE2" w:rsidRPr="000C55B0">
        <w:t>These numbers reflect the original designation of the SFA type (non-CEP or CEP) during sampling.</w:t>
      </w:r>
      <w:r w:rsidR="005305E5">
        <w:t xml:space="preserve"> </w:t>
      </w:r>
      <w:r w:rsidR="00D90AE2" w:rsidRPr="000C55B0">
        <w:t xml:space="preserve">During SFA </w:t>
      </w:r>
      <w:r w:rsidR="00AA282A">
        <w:t>c</w:t>
      </w:r>
      <w:r w:rsidR="00AA282A" w:rsidRPr="000C55B0">
        <w:t xml:space="preserve">onfirmation </w:t>
      </w:r>
      <w:r w:rsidR="00D90AE2" w:rsidRPr="000C55B0">
        <w:t xml:space="preserve">and </w:t>
      </w:r>
      <w:r w:rsidR="00AA282A">
        <w:t>v</w:t>
      </w:r>
      <w:r w:rsidR="00AA282A" w:rsidRPr="000C55B0">
        <w:t>erification</w:t>
      </w:r>
      <w:r w:rsidR="00D90AE2" w:rsidRPr="000C55B0">
        <w:t>, some SFAs were found to fall into a different category.</w:t>
      </w:r>
      <w:r w:rsidR="005305E5">
        <w:t xml:space="preserve"> </w:t>
      </w:r>
      <w:r w:rsidR="00D90AE2" w:rsidRPr="000C55B0">
        <w:t>The original sampling status was maintained, but we sampled according to their true status. As a result, some CEP schools are sampled from SFAs originally designated as non</w:t>
      </w:r>
      <w:r w:rsidR="00AA282A">
        <w:t>-</w:t>
      </w:r>
      <w:r w:rsidR="00D90AE2" w:rsidRPr="000C55B0">
        <w:t>CEP.</w:t>
      </w:r>
    </w:p>
    <w:p w14:paraId="0DDCF875" w14:textId="77777777" w:rsidR="00D90AE2" w:rsidRPr="005305E5" w:rsidRDefault="00D90AE2" w:rsidP="005305E5">
      <w:pPr>
        <w:pStyle w:val="L1-FlLSp12"/>
        <w:rPr>
          <w:rFonts w:eastAsia="Franklin Gothic Medium"/>
        </w:rPr>
      </w:pPr>
    </w:p>
    <w:p w14:paraId="7134636A" w14:textId="091D6579" w:rsidR="00D90AE2" w:rsidRDefault="00D90AE2" w:rsidP="005305E5">
      <w:pPr>
        <w:pStyle w:val="P1-StandPara"/>
      </w:pPr>
      <w:r w:rsidRPr="0089282E">
        <w:t>For the household survey</w:t>
      </w:r>
      <w:r>
        <w:t>,</w:t>
      </w:r>
      <w:r w:rsidRPr="0089282E">
        <w:t xml:space="preserve"> we </w:t>
      </w:r>
      <w:r>
        <w:t xml:space="preserve">expect a minimum response rate of </w:t>
      </w:r>
      <w:r w:rsidRPr="0089282E">
        <w:t>75</w:t>
      </w:r>
      <w:r w:rsidR="00186A08">
        <w:t xml:space="preserve"> percent</w:t>
      </w:r>
      <w:r w:rsidRPr="0089282E">
        <w:t xml:space="preserve"> among the sampled student households. </w:t>
      </w:r>
      <w:r w:rsidR="00886D14">
        <w:t>It is possible that the response rate will be s</w:t>
      </w:r>
      <w:r>
        <w:t xml:space="preserve">lightly lower compared to APEC II because in APEC III we will provide households with advance notice and guidance about </w:t>
      </w:r>
      <w:r>
        <w:lastRenderedPageBreak/>
        <w:t>the income documentation that will be requested during the survey. This approach will result in a higher response in providing income documentation, which should result in more accurate income data.</w:t>
      </w:r>
      <w:r>
        <w:rPr>
          <w:rStyle w:val="FootnoteReference"/>
          <w:szCs w:val="24"/>
        </w:rPr>
        <w:footnoteReference w:id="9"/>
      </w:r>
      <w:r w:rsidR="005305E5">
        <w:t xml:space="preserve"> </w:t>
      </w:r>
      <w:r>
        <w:t>However, the advance notification about income documentation requests may result in some potential respondents being more hesitant about participation</w:t>
      </w:r>
      <w:r w:rsidR="00807694">
        <w:t>, lowering the overall response rate</w:t>
      </w:r>
      <w:r>
        <w:t>. During recruitment these concerns will be addressed as part of refusal aversion. However, sampled households will also be informed that they can still participate without providing income documentation</w:t>
      </w:r>
      <w:r w:rsidR="00AA282A">
        <w:t>.</w:t>
      </w:r>
      <w:r>
        <w:rPr>
          <w:rStyle w:val="FootnoteReference"/>
          <w:szCs w:val="24"/>
        </w:rPr>
        <w:footnoteReference w:id="10"/>
      </w:r>
      <w:r>
        <w:t xml:space="preserve"> </w:t>
      </w:r>
      <w:r w:rsidRPr="0089282E">
        <w:t xml:space="preserve">Thus, we will select 6,424 eligible applications </w:t>
      </w:r>
      <w:r w:rsidR="00C67649">
        <w:t xml:space="preserve">in order </w:t>
      </w:r>
      <w:r w:rsidRPr="0089282E">
        <w:t>to obtain 4,818 completed household surveys. The study anticipates a 100</w:t>
      </w:r>
      <w:r w:rsidR="00186A08">
        <w:t xml:space="preserve"> percent</w:t>
      </w:r>
      <w:r w:rsidRPr="0089282E">
        <w:t xml:space="preserve"> response rate with CEP school student records</w:t>
      </w:r>
      <w:r>
        <w:t xml:space="preserve"> because SFAs are required to maintain the documentation</w:t>
      </w:r>
      <w:r w:rsidRPr="0089282E">
        <w:t>. Nonresponse bias analysis will be conducted to address statistical considerations regarding the response rate</w:t>
      </w:r>
      <w:r>
        <w:t xml:space="preserve"> (described in Question 2).</w:t>
      </w:r>
    </w:p>
    <w:p w14:paraId="01D6BB38" w14:textId="77777777" w:rsidR="00186A08" w:rsidRDefault="00D90AE2" w:rsidP="005305E5">
      <w:pPr>
        <w:pStyle w:val="Heading2"/>
      </w:pPr>
      <w:bookmarkStart w:id="15" w:name="_Toc315969087"/>
      <w:bookmarkStart w:id="16" w:name="_Toc316312715"/>
      <w:bookmarkStart w:id="17" w:name="_Toc318292705"/>
      <w:bookmarkStart w:id="18" w:name="_Toc320539718"/>
      <w:bookmarkStart w:id="19" w:name="_Toc406768946"/>
      <w:bookmarkStart w:id="20" w:name="_Toc409608404"/>
      <w:r w:rsidRPr="00BA4712">
        <w:t>2.</w:t>
      </w:r>
      <w:r w:rsidRPr="00BA4712">
        <w:tab/>
        <w:t>Procedures for the Collection of Information</w:t>
      </w:r>
      <w:bookmarkEnd w:id="15"/>
      <w:bookmarkEnd w:id="16"/>
      <w:bookmarkEnd w:id="17"/>
      <w:bookmarkEnd w:id="18"/>
      <w:bookmarkEnd w:id="19"/>
      <w:bookmarkEnd w:id="20"/>
    </w:p>
    <w:p w14:paraId="25D9016D" w14:textId="77777777" w:rsidR="00D90AE2" w:rsidRPr="00BA4712" w:rsidRDefault="00005DFA" w:rsidP="005305E5">
      <w:pPr>
        <w:pStyle w:val="Heading5"/>
      </w:pPr>
      <w:r>
        <w:tab/>
      </w:r>
      <w:r w:rsidR="00D90AE2" w:rsidRPr="00BA4712">
        <w:t>Describe the procedures for the collection of information</w:t>
      </w:r>
      <w:r w:rsidR="00AA282A">
        <w:t>,</w:t>
      </w:r>
      <w:r w:rsidR="00D90AE2" w:rsidRPr="00BA4712">
        <w:t xml:space="preserve"> including:</w:t>
      </w:r>
    </w:p>
    <w:p w14:paraId="11188147" w14:textId="77777777" w:rsidR="00D90AE2" w:rsidRPr="005305E5" w:rsidRDefault="00D90AE2" w:rsidP="005305E5">
      <w:pPr>
        <w:pStyle w:val="N2-2ndBullet"/>
        <w:spacing w:after="120"/>
        <w:rPr>
          <w:rFonts w:ascii="Franklin Gothic Medium" w:hAnsi="Franklin Gothic Medium"/>
          <w:b/>
        </w:rPr>
      </w:pPr>
      <w:r w:rsidRPr="005305E5">
        <w:rPr>
          <w:rFonts w:ascii="Franklin Gothic Medium" w:hAnsi="Franklin Gothic Medium"/>
          <w:b/>
        </w:rPr>
        <w:t>Statistical methodology for stratification and sample selection,</w:t>
      </w:r>
    </w:p>
    <w:p w14:paraId="742440A1" w14:textId="77777777" w:rsidR="00D90AE2" w:rsidRPr="005305E5" w:rsidRDefault="00D90AE2" w:rsidP="005305E5">
      <w:pPr>
        <w:pStyle w:val="N2-2ndBullet"/>
        <w:spacing w:after="120"/>
        <w:rPr>
          <w:rFonts w:ascii="Franklin Gothic Medium" w:hAnsi="Franklin Gothic Medium"/>
          <w:b/>
        </w:rPr>
      </w:pPr>
      <w:r w:rsidRPr="005305E5">
        <w:rPr>
          <w:rFonts w:ascii="Franklin Gothic Medium" w:hAnsi="Franklin Gothic Medium"/>
          <w:b/>
        </w:rPr>
        <w:t>Estimation procedure,</w:t>
      </w:r>
    </w:p>
    <w:p w14:paraId="2DD05767" w14:textId="77777777" w:rsidR="00D90AE2" w:rsidRPr="005305E5" w:rsidRDefault="00D90AE2" w:rsidP="005305E5">
      <w:pPr>
        <w:pStyle w:val="N2-2ndBullet"/>
        <w:spacing w:after="120"/>
        <w:rPr>
          <w:rFonts w:ascii="Franklin Gothic Medium" w:hAnsi="Franklin Gothic Medium"/>
          <w:b/>
        </w:rPr>
      </w:pPr>
      <w:r w:rsidRPr="005305E5">
        <w:rPr>
          <w:rFonts w:ascii="Franklin Gothic Medium" w:hAnsi="Franklin Gothic Medium"/>
          <w:b/>
        </w:rPr>
        <w:t>Degree of accuracy needed for the purpose described in the justification,</w:t>
      </w:r>
    </w:p>
    <w:p w14:paraId="2CB5C816" w14:textId="77777777" w:rsidR="00D90AE2" w:rsidRPr="005305E5" w:rsidRDefault="00D90AE2" w:rsidP="005305E5">
      <w:pPr>
        <w:pStyle w:val="N2-2ndBullet"/>
        <w:spacing w:after="120"/>
        <w:rPr>
          <w:rFonts w:ascii="Franklin Gothic Medium" w:hAnsi="Franklin Gothic Medium"/>
          <w:b/>
        </w:rPr>
      </w:pPr>
      <w:r w:rsidRPr="005305E5">
        <w:rPr>
          <w:rFonts w:ascii="Franklin Gothic Medium" w:hAnsi="Franklin Gothic Medium"/>
          <w:b/>
        </w:rPr>
        <w:t>Unusual problems requiring specialized sampling procedures, and</w:t>
      </w:r>
    </w:p>
    <w:p w14:paraId="54C9BA46" w14:textId="77777777" w:rsidR="00D90AE2" w:rsidRPr="005305E5" w:rsidRDefault="00D90AE2" w:rsidP="005305E5">
      <w:pPr>
        <w:pStyle w:val="N2-2ndBullet"/>
        <w:spacing w:after="120"/>
        <w:rPr>
          <w:rFonts w:ascii="Franklin Gothic Medium" w:hAnsi="Franklin Gothic Medium"/>
          <w:b/>
        </w:rPr>
      </w:pPr>
      <w:r w:rsidRPr="005305E5">
        <w:rPr>
          <w:rFonts w:ascii="Franklin Gothic Medium" w:hAnsi="Franklin Gothic Medium"/>
          <w:b/>
        </w:rPr>
        <w:t>Any use of periodic (less frequent than annual) data collection cycles to reduce burden.</w:t>
      </w:r>
    </w:p>
    <w:p w14:paraId="59FBF7CE" w14:textId="41C44E44" w:rsidR="005305E5" w:rsidRDefault="00D90AE2" w:rsidP="00566D6F">
      <w:pPr>
        <w:pStyle w:val="P1-StandPara"/>
      </w:pPr>
      <w:r w:rsidRPr="006773A9">
        <w:t xml:space="preserve">APEC III follows the same design and </w:t>
      </w:r>
      <w:r w:rsidR="00E464AB" w:rsidRPr="006773A9">
        <w:t>analys</w:t>
      </w:r>
      <w:r w:rsidR="00E464AB">
        <w:t>i</w:t>
      </w:r>
      <w:r w:rsidR="00E464AB" w:rsidRPr="006773A9">
        <w:t xml:space="preserve">s </w:t>
      </w:r>
      <w:r w:rsidRPr="006773A9">
        <w:t>methods as APEC II.</w:t>
      </w:r>
      <w:r w:rsidR="005305E5">
        <w:t xml:space="preserve"> </w:t>
      </w:r>
      <w:r>
        <w:t xml:space="preserve">In addition to being a replication study, APEC III includes  design enhancements to </w:t>
      </w:r>
      <w:r w:rsidR="009B2D0A">
        <w:t xml:space="preserve">include </w:t>
      </w:r>
      <w:r w:rsidR="00186A08">
        <w:t>(</w:t>
      </w:r>
      <w:r>
        <w:t>1)</w:t>
      </w:r>
      <w:r w:rsidR="00186A08">
        <w:t> </w:t>
      </w:r>
      <w:r w:rsidR="005D78C1">
        <w:t xml:space="preserve">an </w:t>
      </w:r>
      <w:r>
        <w:t xml:space="preserve">increased sample of SFAs; </w:t>
      </w:r>
      <w:r w:rsidR="00186A08">
        <w:t>(</w:t>
      </w:r>
      <w:r>
        <w:t>2)</w:t>
      </w:r>
      <w:r w:rsidR="00186A08">
        <w:t> </w:t>
      </w:r>
      <w:r>
        <w:t xml:space="preserve">an increased sample of schools due to the increase of SFAs; </w:t>
      </w:r>
      <w:r w:rsidR="00186A08">
        <w:t>(</w:t>
      </w:r>
      <w:r>
        <w:t>3)</w:t>
      </w:r>
      <w:r w:rsidR="00186A08">
        <w:t> </w:t>
      </w:r>
      <w:r>
        <w:t xml:space="preserve">expansion of the SFA director survey; </w:t>
      </w:r>
      <w:r w:rsidR="00186A08">
        <w:t>(</w:t>
      </w:r>
      <w:r>
        <w:t>4)</w:t>
      </w:r>
      <w:r w:rsidR="00186A08">
        <w:t> </w:t>
      </w:r>
      <w:r>
        <w:t>addition of an SFA director qualitative interview (for a sub</w:t>
      </w:r>
      <w:r w:rsidR="009B2D0A">
        <w:t>-</w:t>
      </w:r>
      <w:r>
        <w:t xml:space="preserve">sample only); </w:t>
      </w:r>
      <w:r w:rsidR="00186A08">
        <w:t>(</w:t>
      </w:r>
      <w:r>
        <w:t>5)</w:t>
      </w:r>
      <w:r w:rsidR="00186A08">
        <w:t> </w:t>
      </w:r>
      <w:r>
        <w:t>addition of a cafeteria manager interview (for a sub</w:t>
      </w:r>
      <w:r w:rsidR="009B2D0A">
        <w:t>-</w:t>
      </w:r>
      <w:r>
        <w:t xml:space="preserve">sample only); </w:t>
      </w:r>
      <w:r w:rsidR="00186A08">
        <w:t>(</w:t>
      </w:r>
      <w:r>
        <w:t>6)</w:t>
      </w:r>
      <w:r w:rsidR="00186A08">
        <w:t> </w:t>
      </w:r>
      <w:r w:rsidR="005D78C1">
        <w:t xml:space="preserve">an </w:t>
      </w:r>
      <w:r>
        <w:t>increase</w:t>
      </w:r>
      <w:r w:rsidR="005D78C1">
        <w:t>d</w:t>
      </w:r>
      <w:r>
        <w:t xml:space="preserve"> sample </w:t>
      </w:r>
      <w:r>
        <w:lastRenderedPageBreak/>
        <w:t>of households due to the increase in number of</w:t>
      </w:r>
      <w:r w:rsidR="008A7C43">
        <w:t xml:space="preserve"> sampled</w:t>
      </w:r>
      <w:r>
        <w:t xml:space="preserve"> schools; </w:t>
      </w:r>
      <w:r w:rsidR="00186A08">
        <w:t>(</w:t>
      </w:r>
      <w:r>
        <w:t>7)</w:t>
      </w:r>
      <w:r w:rsidR="00186A08">
        <w:t> </w:t>
      </w:r>
      <w:r>
        <w:t xml:space="preserve">expansion of the household survey to better understand reasons for errors; and </w:t>
      </w:r>
      <w:r w:rsidR="00186A08">
        <w:t>(</w:t>
      </w:r>
      <w:r>
        <w:t>8)</w:t>
      </w:r>
      <w:r w:rsidR="00186A08">
        <w:t> </w:t>
      </w:r>
      <w:r>
        <w:t>addition of a household interview (with a sub</w:t>
      </w:r>
      <w:r w:rsidR="009B2D0A">
        <w:t>-</w:t>
      </w:r>
      <w:r>
        <w:t>sample only).</w:t>
      </w:r>
      <w:r w:rsidR="005305E5">
        <w:t xml:space="preserve"> </w:t>
      </w:r>
      <w:r w:rsidR="000B4A9E">
        <w:t xml:space="preserve">These are reflected in the discussion that follows. </w:t>
      </w:r>
    </w:p>
    <w:p w14:paraId="325E74A6" w14:textId="77777777" w:rsidR="00D90AE2" w:rsidRPr="00BA4712" w:rsidRDefault="00D90AE2" w:rsidP="005305E5">
      <w:pPr>
        <w:pStyle w:val="Heading4"/>
      </w:pPr>
      <w:r w:rsidRPr="00BA4712">
        <w:t xml:space="preserve">Statistical Methodology for Stratification and </w:t>
      </w:r>
      <w:r>
        <w:t>S</w:t>
      </w:r>
      <w:r w:rsidRPr="00BA4712">
        <w:t xml:space="preserve">ample </w:t>
      </w:r>
      <w:r>
        <w:t>S</w:t>
      </w:r>
      <w:r w:rsidRPr="00BA4712">
        <w:t>election</w:t>
      </w:r>
    </w:p>
    <w:p w14:paraId="6CADE3D6" w14:textId="05D78636" w:rsidR="00D90AE2" w:rsidRPr="00B624A8" w:rsidRDefault="00D90AE2" w:rsidP="005305E5">
      <w:pPr>
        <w:pStyle w:val="P1-StandPara"/>
        <w:rPr>
          <w:spacing w:val="-2"/>
        </w:rPr>
      </w:pPr>
      <w:r w:rsidRPr="006B172C">
        <w:rPr>
          <w:b/>
        </w:rPr>
        <w:t>SFA Sample Selection.</w:t>
      </w:r>
      <w:r w:rsidR="005305E5" w:rsidRPr="006B172C">
        <w:rPr>
          <w:b/>
        </w:rPr>
        <w:t xml:space="preserve"> </w:t>
      </w:r>
      <w:r>
        <w:t xml:space="preserve">The </w:t>
      </w:r>
      <w:r w:rsidR="002520FA">
        <w:t>APEC</w:t>
      </w:r>
      <w:r w:rsidR="00315D46">
        <w:t xml:space="preserve"> </w:t>
      </w:r>
      <w:r w:rsidR="002520FA">
        <w:t xml:space="preserve">III </w:t>
      </w:r>
      <w:r>
        <w:t>SFA Sample Selection Memo (Appendix P</w:t>
      </w:r>
      <w:r w:rsidRPr="004D78A7">
        <w:t>) provides</w:t>
      </w:r>
      <w:r>
        <w:t xml:space="preserve"> details on the sample selection of SFAs. The</w:t>
      </w:r>
      <w:r>
        <w:rPr>
          <w:spacing w:val="-3"/>
        </w:rPr>
        <w:t xml:space="preserve"> </w:t>
      </w:r>
      <w:r>
        <w:t>Form FNS-742</w:t>
      </w:r>
      <w:r>
        <w:rPr>
          <w:spacing w:val="-2"/>
        </w:rPr>
        <w:t xml:space="preserve"> </w:t>
      </w:r>
      <w:r>
        <w:t>SFA Verification</w:t>
      </w:r>
      <w:r>
        <w:rPr>
          <w:spacing w:val="-4"/>
        </w:rPr>
        <w:t xml:space="preserve"> Collection Report </w:t>
      </w:r>
      <w:r>
        <w:t>Data (approved under OMB # 0584-0594 Food Programs Reporting System (FPRS), expiration date 9/30/2019), which covers all SFAs in the United States,</w:t>
      </w:r>
      <w:r>
        <w:rPr>
          <w:spacing w:val="-3"/>
        </w:rPr>
        <w:t xml:space="preserve"> </w:t>
      </w:r>
      <w:r>
        <w:t>served</w:t>
      </w:r>
      <w:r>
        <w:rPr>
          <w:spacing w:val="-3"/>
        </w:rPr>
        <w:t xml:space="preserve"> </w:t>
      </w:r>
      <w:r>
        <w:t>as</w:t>
      </w:r>
      <w:r>
        <w:rPr>
          <w:spacing w:val="-5"/>
        </w:rPr>
        <w:t xml:space="preserve"> </w:t>
      </w:r>
      <w:r>
        <w:t>the</w:t>
      </w:r>
      <w:r>
        <w:rPr>
          <w:spacing w:val="-3"/>
        </w:rPr>
        <w:t xml:space="preserve"> </w:t>
      </w:r>
      <w:r>
        <w:t>frame</w:t>
      </w:r>
      <w:r>
        <w:rPr>
          <w:spacing w:val="-3"/>
        </w:rPr>
        <w:t xml:space="preserve"> for selecting the sample </w:t>
      </w:r>
      <w:r>
        <w:t>of</w:t>
      </w:r>
      <w:r>
        <w:rPr>
          <w:spacing w:val="-4"/>
        </w:rPr>
        <w:t xml:space="preserve"> </w:t>
      </w:r>
      <w:r>
        <w:t>SFAs.</w:t>
      </w:r>
      <w:r>
        <w:rPr>
          <w:spacing w:val="-2"/>
        </w:rPr>
        <w:t xml:space="preserve"> SFA-level data available from the </w:t>
      </w:r>
      <w:r>
        <w:t>FNS-742 frame</w:t>
      </w:r>
      <w:r>
        <w:rPr>
          <w:spacing w:val="-3"/>
        </w:rPr>
        <w:t xml:space="preserve"> </w:t>
      </w:r>
      <w:r>
        <w:t>included</w:t>
      </w:r>
      <w:r w:rsidR="009B2D0A">
        <w:t xml:space="preserve"> the</w:t>
      </w:r>
      <w:r>
        <w:t xml:space="preserve"> number of schools participating in NSLP/SBP, number of students with access to NSLP/SBP, and total</w:t>
      </w:r>
      <w:r>
        <w:rPr>
          <w:spacing w:val="-2"/>
        </w:rPr>
        <w:t xml:space="preserve"> </w:t>
      </w:r>
      <w:r>
        <w:t>number</w:t>
      </w:r>
      <w:r>
        <w:rPr>
          <w:spacing w:val="-4"/>
        </w:rPr>
        <w:t xml:space="preserve"> </w:t>
      </w:r>
      <w:r>
        <w:t>of</w:t>
      </w:r>
      <w:r>
        <w:rPr>
          <w:spacing w:val="-4"/>
        </w:rPr>
        <w:t xml:space="preserve"> </w:t>
      </w:r>
      <w:proofErr w:type="gramStart"/>
      <w:r>
        <w:rPr>
          <w:spacing w:val="-4"/>
        </w:rPr>
        <w:t>students</w:t>
      </w:r>
      <w:proofErr w:type="gramEnd"/>
      <w:r>
        <w:rPr>
          <w:spacing w:val="-4"/>
        </w:rPr>
        <w:t xml:space="preserve"> certified for </w:t>
      </w:r>
      <w:r>
        <w:t>free</w:t>
      </w:r>
      <w:r>
        <w:rPr>
          <w:spacing w:val="-2"/>
        </w:rPr>
        <w:t xml:space="preserve"> </w:t>
      </w:r>
      <w:r>
        <w:t>or</w:t>
      </w:r>
      <w:r>
        <w:rPr>
          <w:spacing w:val="-3"/>
        </w:rPr>
        <w:t xml:space="preserve"> </w:t>
      </w:r>
      <w:r>
        <w:t>reduced-price</w:t>
      </w:r>
      <w:r>
        <w:rPr>
          <w:spacing w:val="-4"/>
        </w:rPr>
        <w:t xml:space="preserve"> </w:t>
      </w:r>
      <w:r>
        <w:t xml:space="preserve">lunch. </w:t>
      </w:r>
      <w:r>
        <w:rPr>
          <w:spacing w:val="-2"/>
        </w:rPr>
        <w:t>A</w:t>
      </w:r>
      <w:r w:rsidRPr="00B624A8">
        <w:rPr>
          <w:spacing w:val="-2"/>
        </w:rPr>
        <w:t xml:space="preserve"> probability sample of CEP and non-CEP SFAs from a sample frame derived from Form FNS-742 SFA Verification Collection Report </w:t>
      </w:r>
      <w:r w:rsidR="00E75A2E">
        <w:rPr>
          <w:spacing w:val="-2"/>
        </w:rPr>
        <w:t>D</w:t>
      </w:r>
      <w:r w:rsidRPr="00B624A8">
        <w:rPr>
          <w:spacing w:val="-2"/>
        </w:rPr>
        <w:t xml:space="preserve">ata </w:t>
      </w:r>
      <w:r>
        <w:rPr>
          <w:spacing w:val="-2"/>
        </w:rPr>
        <w:t>were selected</w:t>
      </w:r>
      <w:r w:rsidRPr="00B624A8">
        <w:rPr>
          <w:spacing w:val="-2"/>
        </w:rPr>
        <w:t>. To be eligible for selection, the SFAs must have at least one school participatin</w:t>
      </w:r>
      <w:r>
        <w:rPr>
          <w:spacing w:val="-2"/>
        </w:rPr>
        <w:t>g</w:t>
      </w:r>
      <w:r w:rsidRPr="00B624A8">
        <w:rPr>
          <w:spacing w:val="-2"/>
        </w:rPr>
        <w:t xml:space="preserve"> in the NSLP or SBP. In addition, 2015 CEP elections data </w:t>
      </w:r>
      <w:r w:rsidR="00E75A2E">
        <w:rPr>
          <w:spacing w:val="-2"/>
        </w:rPr>
        <w:t xml:space="preserve">(provided by FNS) </w:t>
      </w:r>
      <w:r w:rsidR="008A7C43">
        <w:rPr>
          <w:spacing w:val="-2"/>
        </w:rPr>
        <w:t>were</w:t>
      </w:r>
      <w:r w:rsidR="008A7C43" w:rsidRPr="00B624A8">
        <w:rPr>
          <w:spacing w:val="-2"/>
        </w:rPr>
        <w:t xml:space="preserve"> </w:t>
      </w:r>
      <w:r w:rsidRPr="00B624A8">
        <w:rPr>
          <w:spacing w:val="-2"/>
        </w:rPr>
        <w:t>used to develop a measure of size for SFAs and schools that implemented CEP.</w:t>
      </w:r>
    </w:p>
    <w:p w14:paraId="660A7948" w14:textId="490D694E" w:rsidR="005305E5" w:rsidRDefault="00D90AE2" w:rsidP="005305E5">
      <w:pPr>
        <w:pStyle w:val="P1-StandPara"/>
        <w:rPr>
          <w:spacing w:val="-2"/>
        </w:rPr>
      </w:pPr>
      <w:r w:rsidRPr="00B624A8">
        <w:rPr>
          <w:spacing w:val="-2"/>
        </w:rPr>
        <w:t xml:space="preserve">Prior to selecting the SFAs, SFAs in the frame </w:t>
      </w:r>
      <w:r>
        <w:rPr>
          <w:spacing w:val="-2"/>
        </w:rPr>
        <w:t>were assigned to</w:t>
      </w:r>
      <w:r w:rsidRPr="00B624A8">
        <w:rPr>
          <w:spacing w:val="-2"/>
        </w:rPr>
        <w:t xml:space="preserve"> one of two strata</w:t>
      </w:r>
      <w:r w:rsidR="00186A08">
        <w:rPr>
          <w:spacing w:val="-2"/>
        </w:rPr>
        <w:t>:</w:t>
      </w:r>
      <w:r>
        <w:rPr>
          <w:spacing w:val="-2"/>
        </w:rPr>
        <w:t xml:space="preserve"> </w:t>
      </w:r>
      <w:r w:rsidR="00186A08">
        <w:rPr>
          <w:spacing w:val="-2"/>
        </w:rPr>
        <w:t>(</w:t>
      </w:r>
      <w:r>
        <w:rPr>
          <w:spacing w:val="-2"/>
        </w:rPr>
        <w:t>a)</w:t>
      </w:r>
      <w:r w:rsidR="00186A08">
        <w:rPr>
          <w:spacing w:val="-2"/>
        </w:rPr>
        <w:t> </w:t>
      </w:r>
      <w:r>
        <w:rPr>
          <w:spacing w:val="-2"/>
        </w:rPr>
        <w:t xml:space="preserve">the CEP stratum </w:t>
      </w:r>
      <w:r w:rsidRPr="00B624A8">
        <w:rPr>
          <w:spacing w:val="-2"/>
        </w:rPr>
        <w:t>consist</w:t>
      </w:r>
      <w:r>
        <w:rPr>
          <w:spacing w:val="-2"/>
        </w:rPr>
        <w:t>ing</w:t>
      </w:r>
      <w:r w:rsidRPr="00B624A8">
        <w:rPr>
          <w:spacing w:val="-2"/>
        </w:rPr>
        <w:t xml:space="preserve"> of any SFA with at least one CEP school</w:t>
      </w:r>
      <w:r w:rsidR="009B2D0A">
        <w:rPr>
          <w:spacing w:val="-2"/>
        </w:rPr>
        <w:t>;</w:t>
      </w:r>
      <w:r>
        <w:rPr>
          <w:spacing w:val="-2"/>
        </w:rPr>
        <w:t xml:space="preserve"> and </w:t>
      </w:r>
      <w:r w:rsidR="00186A08">
        <w:rPr>
          <w:spacing w:val="-2"/>
        </w:rPr>
        <w:t>(</w:t>
      </w:r>
      <w:r>
        <w:rPr>
          <w:spacing w:val="-2"/>
        </w:rPr>
        <w:t>b)</w:t>
      </w:r>
      <w:r w:rsidR="00186A08">
        <w:rPr>
          <w:spacing w:val="-2"/>
        </w:rPr>
        <w:t> </w:t>
      </w:r>
      <w:r>
        <w:rPr>
          <w:spacing w:val="-2"/>
        </w:rPr>
        <w:t>t</w:t>
      </w:r>
      <w:r w:rsidRPr="00B624A8">
        <w:rPr>
          <w:spacing w:val="-2"/>
        </w:rPr>
        <w:t>he non-CEP stratum consist</w:t>
      </w:r>
      <w:r>
        <w:rPr>
          <w:spacing w:val="-2"/>
        </w:rPr>
        <w:t>ing</w:t>
      </w:r>
      <w:r w:rsidRPr="00B624A8">
        <w:rPr>
          <w:spacing w:val="-2"/>
        </w:rPr>
        <w:t xml:space="preserve"> of all remaining SFAs. Within each stratum, prior to sample selection, SFAs </w:t>
      </w:r>
      <w:r>
        <w:rPr>
          <w:spacing w:val="-2"/>
        </w:rPr>
        <w:t>were</w:t>
      </w:r>
      <w:r w:rsidRPr="00B624A8">
        <w:rPr>
          <w:spacing w:val="-2"/>
        </w:rPr>
        <w:t xml:space="preserve"> sorted by selected variables to achieve an implicit stratific</w:t>
      </w:r>
      <w:r>
        <w:rPr>
          <w:spacing w:val="-2"/>
        </w:rPr>
        <w:t>ation of the sample. S</w:t>
      </w:r>
      <w:r w:rsidRPr="00B624A8">
        <w:rPr>
          <w:spacing w:val="-2"/>
        </w:rPr>
        <w:t>orting variables include</w:t>
      </w:r>
      <w:r>
        <w:rPr>
          <w:spacing w:val="-2"/>
        </w:rPr>
        <w:t>d</w:t>
      </w:r>
      <w:r w:rsidRPr="00B624A8">
        <w:rPr>
          <w:spacing w:val="-2"/>
        </w:rPr>
        <w:t xml:space="preserve"> FNS region, </w:t>
      </w:r>
      <w:r w:rsidR="0007208B">
        <w:rPr>
          <w:spacing w:val="-2"/>
        </w:rPr>
        <w:t>S</w:t>
      </w:r>
      <w:r w:rsidRPr="00B624A8">
        <w:rPr>
          <w:spacing w:val="-2"/>
        </w:rPr>
        <w:t xml:space="preserve">tate, type of control (public/private), SFA enrollment, </w:t>
      </w:r>
      <w:r>
        <w:rPr>
          <w:spacing w:val="-2"/>
        </w:rPr>
        <w:t xml:space="preserve">and </w:t>
      </w:r>
      <w:r w:rsidRPr="00B624A8">
        <w:rPr>
          <w:spacing w:val="-2"/>
        </w:rPr>
        <w:t>percent</w:t>
      </w:r>
      <w:r w:rsidR="009B2D0A">
        <w:rPr>
          <w:spacing w:val="-2"/>
        </w:rPr>
        <w:t>age</w:t>
      </w:r>
      <w:r w:rsidRPr="00B624A8">
        <w:rPr>
          <w:spacing w:val="-2"/>
        </w:rPr>
        <w:t xml:space="preserve"> of students eligible for free</w:t>
      </w:r>
      <w:r w:rsidR="009B2D0A">
        <w:rPr>
          <w:spacing w:val="-2"/>
        </w:rPr>
        <w:t xml:space="preserve"> or </w:t>
      </w:r>
      <w:r w:rsidRPr="00B624A8">
        <w:rPr>
          <w:spacing w:val="-2"/>
        </w:rPr>
        <w:t>reduced</w:t>
      </w:r>
      <w:r w:rsidR="009B2D0A">
        <w:rPr>
          <w:spacing w:val="-2"/>
        </w:rPr>
        <w:t>-</w:t>
      </w:r>
      <w:r w:rsidRPr="00B624A8">
        <w:rPr>
          <w:spacing w:val="-2"/>
        </w:rPr>
        <w:t>price meals</w:t>
      </w:r>
      <w:r>
        <w:rPr>
          <w:spacing w:val="-2"/>
        </w:rPr>
        <w:t xml:space="preserve">. </w:t>
      </w:r>
      <w:r w:rsidRPr="00B624A8">
        <w:rPr>
          <w:spacing w:val="-2"/>
        </w:rPr>
        <w:t xml:space="preserve">After sorting within each </w:t>
      </w:r>
      <w:r w:rsidR="00703835">
        <w:rPr>
          <w:spacing w:val="-2"/>
        </w:rPr>
        <w:t>“</w:t>
      </w:r>
      <w:r w:rsidRPr="00B624A8">
        <w:rPr>
          <w:spacing w:val="-2"/>
        </w:rPr>
        <w:t>CEP status</w:t>
      </w:r>
      <w:r w:rsidR="00703835">
        <w:rPr>
          <w:spacing w:val="-2"/>
        </w:rPr>
        <w:t>”</w:t>
      </w:r>
      <w:r w:rsidRPr="00B624A8">
        <w:rPr>
          <w:spacing w:val="-2"/>
        </w:rPr>
        <w:t xml:space="preserve"> stratum separately, a sample of SFAs </w:t>
      </w:r>
      <w:r w:rsidR="009B2D0A">
        <w:rPr>
          <w:spacing w:val="-2"/>
        </w:rPr>
        <w:t>was</w:t>
      </w:r>
      <w:r w:rsidR="009B2D0A" w:rsidRPr="00B624A8">
        <w:rPr>
          <w:spacing w:val="-2"/>
        </w:rPr>
        <w:t xml:space="preserve"> </w:t>
      </w:r>
      <w:r w:rsidRPr="00B624A8">
        <w:rPr>
          <w:spacing w:val="-2"/>
        </w:rPr>
        <w:t>selected with probability proportionate to size (PPS) where</w:t>
      </w:r>
      <w:r w:rsidR="009B2D0A">
        <w:rPr>
          <w:spacing w:val="-2"/>
        </w:rPr>
        <w:t>,</w:t>
      </w:r>
      <w:r w:rsidRPr="00B624A8">
        <w:rPr>
          <w:spacing w:val="-2"/>
        </w:rPr>
        <w:t xml:space="preserve"> depending on the status of the SFA</w:t>
      </w:r>
      <w:r>
        <w:rPr>
          <w:spacing w:val="-2"/>
        </w:rPr>
        <w:t>,</w:t>
      </w:r>
      <w:r w:rsidRPr="00B624A8">
        <w:rPr>
          <w:spacing w:val="-2"/>
        </w:rPr>
        <w:t xml:space="preserve"> the sampling measure of size </w:t>
      </w:r>
      <w:r w:rsidR="00E464AB">
        <w:rPr>
          <w:spacing w:val="-2"/>
        </w:rPr>
        <w:t>wa</w:t>
      </w:r>
      <w:r w:rsidR="00E464AB" w:rsidRPr="00B624A8">
        <w:rPr>
          <w:spacing w:val="-2"/>
        </w:rPr>
        <w:t xml:space="preserve">s </w:t>
      </w:r>
      <w:r w:rsidRPr="00B624A8">
        <w:rPr>
          <w:spacing w:val="-2"/>
        </w:rPr>
        <w:t>either (a)</w:t>
      </w:r>
      <w:r w:rsidR="00186A08">
        <w:rPr>
          <w:spacing w:val="-2"/>
        </w:rPr>
        <w:t> </w:t>
      </w:r>
      <w:r w:rsidRPr="00B624A8">
        <w:rPr>
          <w:spacing w:val="-2"/>
        </w:rPr>
        <w:t>the number of students eligible for free</w:t>
      </w:r>
      <w:r w:rsidR="009B2D0A">
        <w:rPr>
          <w:spacing w:val="-2"/>
        </w:rPr>
        <w:t xml:space="preserve"> or </w:t>
      </w:r>
      <w:r w:rsidRPr="00B624A8">
        <w:rPr>
          <w:spacing w:val="-2"/>
        </w:rPr>
        <w:t>reduced</w:t>
      </w:r>
      <w:r w:rsidR="009B2D0A">
        <w:rPr>
          <w:spacing w:val="-2"/>
        </w:rPr>
        <w:t>-</w:t>
      </w:r>
      <w:r w:rsidRPr="00B624A8">
        <w:rPr>
          <w:spacing w:val="-2"/>
        </w:rPr>
        <w:t xml:space="preserve">price meals as reported in the FNS-742 frame </w:t>
      </w:r>
      <w:r>
        <w:rPr>
          <w:spacing w:val="-2"/>
        </w:rPr>
        <w:t>(for</w:t>
      </w:r>
      <w:r w:rsidRPr="00B624A8">
        <w:rPr>
          <w:spacing w:val="-2"/>
        </w:rPr>
        <w:t xml:space="preserve"> the non-CEP SFAs</w:t>
      </w:r>
      <w:r>
        <w:rPr>
          <w:spacing w:val="-2"/>
        </w:rPr>
        <w:t>)</w:t>
      </w:r>
      <w:r w:rsidRPr="00B624A8">
        <w:rPr>
          <w:spacing w:val="-2"/>
        </w:rPr>
        <w:t xml:space="preserve"> or (b)</w:t>
      </w:r>
      <w:r w:rsidR="00186A08">
        <w:rPr>
          <w:spacing w:val="-2"/>
        </w:rPr>
        <w:t> </w:t>
      </w:r>
      <w:r w:rsidRPr="00B624A8">
        <w:rPr>
          <w:spacing w:val="-2"/>
        </w:rPr>
        <w:t xml:space="preserve">a composite measure of </w:t>
      </w:r>
      <w:r w:rsidRPr="00B624A8">
        <w:rPr>
          <w:spacing w:val="-2"/>
        </w:rPr>
        <w:lastRenderedPageBreak/>
        <w:t xml:space="preserve">size developed from the estimated number of students in CEP schools and the number of students </w:t>
      </w:r>
      <w:r>
        <w:rPr>
          <w:spacing w:val="-2"/>
        </w:rPr>
        <w:t>certified for free</w:t>
      </w:r>
      <w:r w:rsidR="009B2D0A">
        <w:rPr>
          <w:spacing w:val="-2"/>
        </w:rPr>
        <w:t xml:space="preserve"> or </w:t>
      </w:r>
      <w:r>
        <w:rPr>
          <w:spacing w:val="-2"/>
        </w:rPr>
        <w:t>reduced-</w:t>
      </w:r>
      <w:r w:rsidRPr="00B624A8">
        <w:rPr>
          <w:spacing w:val="-2"/>
        </w:rPr>
        <w:t xml:space="preserve">price meals in non-CEP schools </w:t>
      </w:r>
      <w:r>
        <w:rPr>
          <w:spacing w:val="-2"/>
        </w:rPr>
        <w:t xml:space="preserve">(for </w:t>
      </w:r>
      <w:r w:rsidRPr="00B624A8">
        <w:rPr>
          <w:spacing w:val="-2"/>
        </w:rPr>
        <w:t>CEP SFAs</w:t>
      </w:r>
      <w:r>
        <w:rPr>
          <w:spacing w:val="-2"/>
        </w:rPr>
        <w:t>)</w:t>
      </w:r>
      <w:r w:rsidR="004C6BE5">
        <w:rPr>
          <w:rStyle w:val="FootnoteReference"/>
          <w:spacing w:val="-2"/>
        </w:rPr>
        <w:footnoteReference w:id="11"/>
      </w:r>
      <w:r w:rsidRPr="00B624A8">
        <w:rPr>
          <w:spacing w:val="-2"/>
        </w:rPr>
        <w:t xml:space="preserve">. </w:t>
      </w:r>
      <w:r w:rsidR="0007208B">
        <w:rPr>
          <w:spacing w:val="-2"/>
        </w:rPr>
        <w:t>Because</w:t>
      </w:r>
      <w:r w:rsidR="0007208B" w:rsidRPr="00B624A8">
        <w:rPr>
          <w:spacing w:val="-2"/>
        </w:rPr>
        <w:t xml:space="preserve"> </w:t>
      </w:r>
      <w:r w:rsidRPr="00B624A8">
        <w:rPr>
          <w:spacing w:val="-2"/>
        </w:rPr>
        <w:t>CEP SFAs can contain both CEP and non-CEP schools, the measure of size to</w:t>
      </w:r>
      <w:r>
        <w:rPr>
          <w:spacing w:val="-2"/>
        </w:rPr>
        <w:t xml:space="preserve"> be used for sampling purposes was a</w:t>
      </w:r>
      <w:r w:rsidRPr="00B624A8">
        <w:rPr>
          <w:spacing w:val="-2"/>
        </w:rPr>
        <w:t xml:space="preserve"> composite measure of size based on the appropriate measure of size for the two types of schools. Let M1 = an estimate of the number of students in the CEP schools and M2 = an estimate of the number of students eligible for free</w:t>
      </w:r>
      <w:r w:rsidR="009B2D0A">
        <w:rPr>
          <w:spacing w:val="-2"/>
        </w:rPr>
        <w:t xml:space="preserve"> or </w:t>
      </w:r>
      <w:r w:rsidRPr="00B624A8">
        <w:rPr>
          <w:spacing w:val="-2"/>
        </w:rPr>
        <w:t>reduced</w:t>
      </w:r>
      <w:r w:rsidR="009B2D0A">
        <w:rPr>
          <w:spacing w:val="-2"/>
        </w:rPr>
        <w:t>-</w:t>
      </w:r>
      <w:r w:rsidRPr="00B624A8">
        <w:rPr>
          <w:spacing w:val="-2"/>
        </w:rPr>
        <w:t xml:space="preserve">price meals in the non-CEP schools. The composite measure of size used to select the CEP SFAs </w:t>
      </w:r>
      <w:r>
        <w:rPr>
          <w:spacing w:val="-2"/>
        </w:rPr>
        <w:t>was</w:t>
      </w:r>
      <w:r w:rsidRPr="00B624A8">
        <w:rPr>
          <w:spacing w:val="-2"/>
        </w:rPr>
        <w:t xml:space="preserve"> computed as CMOS = r1*M1 + r2*M2, where r1 and r2 are composite weighting factors designed to yield approximately self-weighting samples of students (records) from each type of school while controlling the numbers of sampled student records per sampled CEP SFA to the extent feasible.</w:t>
      </w:r>
    </w:p>
    <w:p w14:paraId="3ADBB8C4" w14:textId="3A331859" w:rsidR="005305E5" w:rsidRDefault="00D90AE2" w:rsidP="005305E5">
      <w:pPr>
        <w:pStyle w:val="P1-StandPara"/>
        <w:rPr>
          <w:spacing w:val="-2"/>
        </w:rPr>
      </w:pPr>
      <w:r w:rsidRPr="00B624A8">
        <w:rPr>
          <w:spacing w:val="-2"/>
        </w:rPr>
        <w:t xml:space="preserve">The </w:t>
      </w:r>
      <w:r w:rsidR="00480728">
        <w:rPr>
          <w:spacing w:val="-2"/>
        </w:rPr>
        <w:t xml:space="preserve">initial </w:t>
      </w:r>
      <w:r w:rsidRPr="00B624A8">
        <w:rPr>
          <w:spacing w:val="-2"/>
        </w:rPr>
        <w:t xml:space="preserve">sample of 192 non-CEP SFAs </w:t>
      </w:r>
      <w:r w:rsidR="00480728">
        <w:rPr>
          <w:spacing w:val="-2"/>
        </w:rPr>
        <w:t>was</w:t>
      </w:r>
      <w:r w:rsidR="00480728" w:rsidRPr="00B624A8">
        <w:rPr>
          <w:spacing w:val="-2"/>
        </w:rPr>
        <w:t xml:space="preserve"> </w:t>
      </w:r>
      <w:r w:rsidRPr="00B624A8">
        <w:rPr>
          <w:spacing w:val="-2"/>
        </w:rPr>
        <w:t>selected systematically with probabilities proportionate to</w:t>
      </w:r>
      <w:r w:rsidR="00D14E0C">
        <w:rPr>
          <w:spacing w:val="-2"/>
        </w:rPr>
        <w:t xml:space="preserve"> the</w:t>
      </w:r>
      <w:r w:rsidRPr="00B624A8">
        <w:rPr>
          <w:spacing w:val="-2"/>
        </w:rPr>
        <w:t xml:space="preserve"> number of students eligible for free</w:t>
      </w:r>
      <w:r w:rsidR="009B2D0A">
        <w:rPr>
          <w:spacing w:val="-2"/>
        </w:rPr>
        <w:t xml:space="preserve"> or </w:t>
      </w:r>
      <w:r w:rsidRPr="00B624A8">
        <w:rPr>
          <w:spacing w:val="-2"/>
        </w:rPr>
        <w:t>reduced</w:t>
      </w:r>
      <w:r w:rsidR="009B2D0A">
        <w:rPr>
          <w:spacing w:val="-2"/>
        </w:rPr>
        <w:t>-</w:t>
      </w:r>
      <w:r w:rsidRPr="00B624A8">
        <w:rPr>
          <w:spacing w:val="-2"/>
        </w:rPr>
        <w:t xml:space="preserve">price meals from the sorted sampling frame using a random start. Similar to the non-CEP sample, the </w:t>
      </w:r>
      <w:r w:rsidR="00480728">
        <w:rPr>
          <w:spacing w:val="-2"/>
        </w:rPr>
        <w:t xml:space="preserve">initial </w:t>
      </w:r>
      <w:r w:rsidRPr="00B624A8">
        <w:rPr>
          <w:spacing w:val="-2"/>
        </w:rPr>
        <w:t>sample of 14</w:t>
      </w:r>
      <w:r w:rsidR="0006754F">
        <w:rPr>
          <w:spacing w:val="-2"/>
        </w:rPr>
        <w:t>4</w:t>
      </w:r>
      <w:r w:rsidRPr="00B624A8">
        <w:rPr>
          <w:spacing w:val="-2"/>
        </w:rPr>
        <w:t xml:space="preserve"> CEP SFAs </w:t>
      </w:r>
      <w:r>
        <w:rPr>
          <w:spacing w:val="-2"/>
        </w:rPr>
        <w:t>was</w:t>
      </w:r>
      <w:r w:rsidRPr="00B624A8">
        <w:rPr>
          <w:spacing w:val="-2"/>
        </w:rPr>
        <w:t xml:space="preserve"> selected systematically with probabilities proportionate to an app</w:t>
      </w:r>
      <w:r>
        <w:rPr>
          <w:spacing w:val="-2"/>
        </w:rPr>
        <w:t xml:space="preserve">ropriate measure of size </w:t>
      </w:r>
      <w:r w:rsidRPr="00B624A8">
        <w:rPr>
          <w:spacing w:val="-2"/>
        </w:rPr>
        <w:t>from the sorted sampling frame using a random start. After the 14</w:t>
      </w:r>
      <w:r w:rsidR="00B53450">
        <w:rPr>
          <w:spacing w:val="-2"/>
        </w:rPr>
        <w:t>4</w:t>
      </w:r>
      <w:r w:rsidRPr="00B624A8">
        <w:rPr>
          <w:spacing w:val="-2"/>
        </w:rPr>
        <w:t xml:space="preserve"> CEP SFAs</w:t>
      </w:r>
      <w:r>
        <w:rPr>
          <w:spacing w:val="-2"/>
        </w:rPr>
        <w:t xml:space="preserve"> were</w:t>
      </w:r>
      <w:r w:rsidRPr="00B624A8">
        <w:rPr>
          <w:spacing w:val="-2"/>
        </w:rPr>
        <w:t xml:space="preserve"> selected, those that were selected with probability less than 1 (the </w:t>
      </w:r>
      <w:r w:rsidR="00703835">
        <w:rPr>
          <w:spacing w:val="-2"/>
        </w:rPr>
        <w:t>“</w:t>
      </w:r>
      <w:proofErr w:type="spellStart"/>
      <w:r w:rsidRPr="00B624A8">
        <w:rPr>
          <w:spacing w:val="-2"/>
        </w:rPr>
        <w:t>noncertainty</w:t>
      </w:r>
      <w:proofErr w:type="spellEnd"/>
      <w:r w:rsidR="00703835">
        <w:rPr>
          <w:spacing w:val="-2"/>
        </w:rPr>
        <w:t>”</w:t>
      </w:r>
      <w:r w:rsidRPr="00B624A8">
        <w:rPr>
          <w:spacing w:val="-2"/>
        </w:rPr>
        <w:t xml:space="preserve"> SFAs) </w:t>
      </w:r>
      <w:r>
        <w:rPr>
          <w:spacing w:val="-2"/>
        </w:rPr>
        <w:t>wer</w:t>
      </w:r>
      <w:r w:rsidRPr="00B624A8">
        <w:rPr>
          <w:spacing w:val="-2"/>
        </w:rPr>
        <w:t>e sub</w:t>
      </w:r>
      <w:r w:rsidR="009B2D0A">
        <w:rPr>
          <w:spacing w:val="-2"/>
        </w:rPr>
        <w:t>-</w:t>
      </w:r>
      <w:r w:rsidRPr="00B624A8">
        <w:rPr>
          <w:spacing w:val="-2"/>
        </w:rPr>
        <w:t>sampled.</w:t>
      </w:r>
      <w:r>
        <w:rPr>
          <w:spacing w:val="-2"/>
        </w:rPr>
        <w:t xml:space="preserve"> </w:t>
      </w:r>
      <w:r w:rsidRPr="00B624A8">
        <w:rPr>
          <w:spacing w:val="-2"/>
        </w:rPr>
        <w:t xml:space="preserve">As </w:t>
      </w:r>
      <w:r w:rsidRPr="00AB2FF5">
        <w:rPr>
          <w:spacing w:val="-2"/>
        </w:rPr>
        <w:t>indicated in Figure B1-1,</w:t>
      </w:r>
      <w:r w:rsidRPr="00B624A8">
        <w:rPr>
          <w:spacing w:val="-2"/>
        </w:rPr>
        <w:t xml:space="preserve"> both CEP and non-CEP schools w</w:t>
      </w:r>
      <w:r w:rsidR="00807694">
        <w:rPr>
          <w:spacing w:val="-2"/>
        </w:rPr>
        <w:t>ere</w:t>
      </w:r>
      <w:r w:rsidR="007543F9">
        <w:rPr>
          <w:spacing w:val="-2"/>
        </w:rPr>
        <w:t xml:space="preserve"> </w:t>
      </w:r>
      <w:r w:rsidRPr="00B624A8">
        <w:rPr>
          <w:spacing w:val="-2"/>
        </w:rPr>
        <w:t xml:space="preserve">selected within the CEP SFA sample. </w:t>
      </w:r>
      <w:r>
        <w:rPr>
          <w:spacing w:val="-2"/>
        </w:rPr>
        <w:t xml:space="preserve">The </w:t>
      </w:r>
      <w:r w:rsidR="00944C3D">
        <w:rPr>
          <w:spacing w:val="-2"/>
        </w:rPr>
        <w:t xml:space="preserve">APEC-III </w:t>
      </w:r>
      <w:r>
        <w:rPr>
          <w:spacing w:val="-2"/>
        </w:rPr>
        <w:t xml:space="preserve">SFA </w:t>
      </w:r>
      <w:r w:rsidR="009B2D0A">
        <w:rPr>
          <w:spacing w:val="-2"/>
        </w:rPr>
        <w:t>S</w:t>
      </w:r>
      <w:r>
        <w:rPr>
          <w:spacing w:val="-2"/>
        </w:rPr>
        <w:t xml:space="preserve">ample </w:t>
      </w:r>
      <w:r w:rsidR="009B2D0A">
        <w:rPr>
          <w:spacing w:val="-2"/>
        </w:rPr>
        <w:t>S</w:t>
      </w:r>
      <w:r>
        <w:rPr>
          <w:spacing w:val="-2"/>
        </w:rPr>
        <w:t xml:space="preserve">election </w:t>
      </w:r>
      <w:r w:rsidR="009B2D0A">
        <w:rPr>
          <w:spacing w:val="-2"/>
        </w:rPr>
        <w:t>M</w:t>
      </w:r>
      <w:r>
        <w:rPr>
          <w:spacing w:val="-2"/>
        </w:rPr>
        <w:t xml:space="preserve">emo (Appendix </w:t>
      </w:r>
      <w:r w:rsidR="00AE3CE0">
        <w:rPr>
          <w:spacing w:val="-2"/>
        </w:rPr>
        <w:t>P</w:t>
      </w:r>
      <w:r>
        <w:rPr>
          <w:spacing w:val="-2"/>
        </w:rPr>
        <w:t>) provides more details on the sample selection of non-CEP and CEP SFAs.</w:t>
      </w:r>
    </w:p>
    <w:p w14:paraId="1A4C097A" w14:textId="049A4D29" w:rsidR="005305E5" w:rsidRDefault="00D90AE2" w:rsidP="005305E5">
      <w:pPr>
        <w:pStyle w:val="P1-StandPara"/>
        <w:rPr>
          <w:spacing w:val="-1"/>
        </w:rPr>
      </w:pPr>
      <w:r w:rsidRPr="006B172C">
        <w:rPr>
          <w:b/>
        </w:rPr>
        <w:t xml:space="preserve">Sample Selection of Schools. </w:t>
      </w:r>
      <w:r>
        <w:t>We</w:t>
      </w:r>
      <w:r>
        <w:rPr>
          <w:spacing w:val="-3"/>
        </w:rPr>
        <w:t xml:space="preserve"> </w:t>
      </w:r>
      <w:r>
        <w:rPr>
          <w:spacing w:val="-2"/>
        </w:rPr>
        <w:t>develop</w:t>
      </w:r>
      <w:r w:rsidR="00300AB1">
        <w:rPr>
          <w:spacing w:val="-2"/>
        </w:rPr>
        <w:t>ed</w:t>
      </w:r>
      <w:r>
        <w:rPr>
          <w:spacing w:val="-3"/>
        </w:rPr>
        <w:t xml:space="preserve"> </w:t>
      </w:r>
      <w:r>
        <w:rPr>
          <w:spacing w:val="-1"/>
        </w:rPr>
        <w:t>lists</w:t>
      </w:r>
      <w:r>
        <w:rPr>
          <w:spacing w:val="-4"/>
        </w:rPr>
        <w:t xml:space="preserve"> </w:t>
      </w:r>
      <w:r>
        <w:rPr>
          <w:spacing w:val="-1"/>
        </w:rPr>
        <w:t>of</w:t>
      </w:r>
      <w:r>
        <w:rPr>
          <w:spacing w:val="-3"/>
        </w:rPr>
        <w:t xml:space="preserve"> </w:t>
      </w:r>
      <w:r>
        <w:rPr>
          <w:spacing w:val="-1"/>
        </w:rPr>
        <w:t>schools</w:t>
      </w:r>
      <w:r>
        <w:rPr>
          <w:spacing w:val="-4"/>
        </w:rPr>
        <w:t xml:space="preserve"> </w:t>
      </w:r>
      <w:r>
        <w:rPr>
          <w:spacing w:val="-1"/>
        </w:rPr>
        <w:t>from</w:t>
      </w:r>
      <w:r>
        <w:rPr>
          <w:spacing w:val="-3"/>
        </w:rPr>
        <w:t xml:space="preserve"> </w:t>
      </w:r>
      <w:r>
        <w:t>each</w:t>
      </w:r>
      <w:r>
        <w:rPr>
          <w:spacing w:val="-3"/>
        </w:rPr>
        <w:t xml:space="preserve"> </w:t>
      </w:r>
      <w:r>
        <w:rPr>
          <w:spacing w:val="-1"/>
        </w:rPr>
        <w:t>selected</w:t>
      </w:r>
      <w:r>
        <w:rPr>
          <w:spacing w:val="-2"/>
        </w:rPr>
        <w:t xml:space="preserve"> </w:t>
      </w:r>
      <w:r>
        <w:rPr>
          <w:spacing w:val="-1"/>
        </w:rPr>
        <w:t>(responding)</w:t>
      </w:r>
      <w:r>
        <w:rPr>
          <w:spacing w:val="-3"/>
        </w:rPr>
        <w:t xml:space="preserve"> </w:t>
      </w:r>
      <w:r>
        <w:rPr>
          <w:spacing w:val="-1"/>
        </w:rPr>
        <w:t>SFA to</w:t>
      </w:r>
      <w:r>
        <w:rPr>
          <w:spacing w:val="-3"/>
        </w:rPr>
        <w:t xml:space="preserve"> </w:t>
      </w:r>
      <w:r>
        <w:rPr>
          <w:spacing w:val="-1"/>
        </w:rPr>
        <w:t>form</w:t>
      </w:r>
      <w:r>
        <w:rPr>
          <w:spacing w:val="-3"/>
        </w:rPr>
        <w:t xml:space="preserve"> </w:t>
      </w:r>
      <w:r>
        <w:rPr>
          <w:spacing w:val="-1"/>
        </w:rPr>
        <w:t>and</w:t>
      </w:r>
      <w:r>
        <w:rPr>
          <w:spacing w:val="-2"/>
        </w:rPr>
        <w:t xml:space="preserve"> </w:t>
      </w:r>
      <w:r>
        <w:rPr>
          <w:spacing w:val="-1"/>
        </w:rPr>
        <w:t>stratify</w:t>
      </w:r>
      <w:r>
        <w:rPr>
          <w:spacing w:val="-2"/>
        </w:rPr>
        <w:t xml:space="preserve"> </w:t>
      </w:r>
      <w:r>
        <w:t>the</w:t>
      </w:r>
      <w:r>
        <w:rPr>
          <w:spacing w:val="-2"/>
        </w:rPr>
        <w:t xml:space="preserve"> </w:t>
      </w:r>
      <w:r>
        <w:rPr>
          <w:spacing w:val="-1"/>
        </w:rPr>
        <w:t>sample</w:t>
      </w:r>
      <w:r>
        <w:rPr>
          <w:spacing w:val="-2"/>
        </w:rPr>
        <w:t xml:space="preserve"> </w:t>
      </w:r>
      <w:r>
        <w:rPr>
          <w:spacing w:val="-1"/>
        </w:rPr>
        <w:t>frame</w:t>
      </w:r>
      <w:r>
        <w:rPr>
          <w:spacing w:val="-2"/>
        </w:rPr>
        <w:t xml:space="preserve"> </w:t>
      </w:r>
      <w:r>
        <w:rPr>
          <w:spacing w:val="-1"/>
        </w:rPr>
        <w:t>of</w:t>
      </w:r>
      <w:r>
        <w:rPr>
          <w:spacing w:val="-3"/>
        </w:rPr>
        <w:t xml:space="preserve"> </w:t>
      </w:r>
      <w:r>
        <w:rPr>
          <w:spacing w:val="-1"/>
        </w:rPr>
        <w:t>schools.</w:t>
      </w:r>
      <w:r>
        <w:t xml:space="preserve"> In those cases where the SFA </w:t>
      </w:r>
      <w:r w:rsidR="000B7EFC">
        <w:t xml:space="preserve">could </w:t>
      </w:r>
      <w:r>
        <w:t xml:space="preserve">be linked to the Common Core of Data (CCD) </w:t>
      </w:r>
      <w:r w:rsidR="00D14E0C">
        <w:t xml:space="preserve">local education agency </w:t>
      </w:r>
      <w:r>
        <w:t xml:space="preserve">universe files </w:t>
      </w:r>
      <w:r>
        <w:lastRenderedPageBreak/>
        <w:t xml:space="preserve">maintained by NCES, an initial list of schools </w:t>
      </w:r>
      <w:r w:rsidR="000B7EFC">
        <w:t>was</w:t>
      </w:r>
      <w:r>
        <w:t xml:space="preserve"> prepared and included with the SFA study notification materials for verification and updating. Using these </w:t>
      </w:r>
      <w:r w:rsidR="000B7EFC">
        <w:t xml:space="preserve">verified and/or updated </w:t>
      </w:r>
      <w:r>
        <w:t>lists, we</w:t>
      </w:r>
      <w:r>
        <w:rPr>
          <w:spacing w:val="-2"/>
        </w:rPr>
        <w:t xml:space="preserve"> </w:t>
      </w:r>
      <w:r>
        <w:rPr>
          <w:spacing w:val="-1"/>
        </w:rPr>
        <w:t>select</w:t>
      </w:r>
      <w:r w:rsidR="000B7EFC">
        <w:rPr>
          <w:spacing w:val="-1"/>
        </w:rPr>
        <w:t>ed</w:t>
      </w:r>
      <w:r>
        <w:rPr>
          <w:spacing w:val="-1"/>
        </w:rPr>
        <w:t xml:space="preserve"> schools</w:t>
      </w:r>
      <w:r>
        <w:rPr>
          <w:spacing w:val="-5"/>
        </w:rPr>
        <w:t xml:space="preserve"> </w:t>
      </w:r>
      <w:r>
        <w:t>as</w:t>
      </w:r>
      <w:r>
        <w:rPr>
          <w:spacing w:val="-5"/>
        </w:rPr>
        <w:t xml:space="preserve"> </w:t>
      </w:r>
      <w:r>
        <w:rPr>
          <w:spacing w:val="-1"/>
        </w:rPr>
        <w:t>described</w:t>
      </w:r>
      <w:r>
        <w:rPr>
          <w:spacing w:val="-3"/>
        </w:rPr>
        <w:t xml:space="preserve"> </w:t>
      </w:r>
      <w:r>
        <w:rPr>
          <w:spacing w:val="-1"/>
        </w:rPr>
        <w:t>below. The resulting</w:t>
      </w:r>
      <w:r>
        <w:rPr>
          <w:spacing w:val="-2"/>
        </w:rPr>
        <w:t xml:space="preserve"> </w:t>
      </w:r>
      <w:r>
        <w:rPr>
          <w:spacing w:val="-1"/>
        </w:rPr>
        <w:t>probability</w:t>
      </w:r>
      <w:r>
        <w:rPr>
          <w:spacing w:val="-3"/>
        </w:rPr>
        <w:t xml:space="preserve"> </w:t>
      </w:r>
      <w:r w:rsidRPr="00703091">
        <w:rPr>
          <w:spacing w:val="-1"/>
        </w:rPr>
        <w:t>sample</w:t>
      </w:r>
      <w:r w:rsidRPr="00703091">
        <w:rPr>
          <w:spacing w:val="-3"/>
        </w:rPr>
        <w:t xml:space="preserve"> </w:t>
      </w:r>
      <w:r w:rsidRPr="00703091">
        <w:rPr>
          <w:spacing w:val="-1"/>
        </w:rPr>
        <w:t>of</w:t>
      </w:r>
      <w:r w:rsidRPr="00703091">
        <w:rPr>
          <w:spacing w:val="-4"/>
        </w:rPr>
        <w:t xml:space="preserve"> </w:t>
      </w:r>
      <w:r w:rsidR="000B7EFC">
        <w:t>777</w:t>
      </w:r>
      <w:r w:rsidR="000B7EFC" w:rsidRPr="00703091">
        <w:rPr>
          <w:spacing w:val="-3"/>
        </w:rPr>
        <w:t xml:space="preserve"> </w:t>
      </w:r>
      <w:r w:rsidRPr="00703091">
        <w:rPr>
          <w:spacing w:val="-1"/>
        </w:rPr>
        <w:t>schools</w:t>
      </w:r>
      <w:r w:rsidRPr="00703091">
        <w:rPr>
          <w:spacing w:val="-5"/>
        </w:rPr>
        <w:t xml:space="preserve"> </w:t>
      </w:r>
      <w:r w:rsidRPr="00703091">
        <w:rPr>
          <w:spacing w:val="-1"/>
        </w:rPr>
        <w:t>from</w:t>
      </w:r>
      <w:r w:rsidRPr="00703091">
        <w:rPr>
          <w:spacing w:val="-4"/>
        </w:rPr>
        <w:t xml:space="preserve"> </w:t>
      </w:r>
      <w:r w:rsidRPr="00703091">
        <w:rPr>
          <w:spacing w:val="-1"/>
        </w:rPr>
        <w:t>the</w:t>
      </w:r>
      <w:r w:rsidRPr="00703091">
        <w:rPr>
          <w:spacing w:val="44"/>
          <w:w w:val="99"/>
        </w:rPr>
        <w:t xml:space="preserve"> </w:t>
      </w:r>
      <w:r w:rsidRPr="00703091">
        <w:rPr>
          <w:spacing w:val="-1"/>
        </w:rPr>
        <w:t>participating</w:t>
      </w:r>
      <w:r w:rsidRPr="00703091">
        <w:rPr>
          <w:spacing w:val="-3"/>
        </w:rPr>
        <w:t xml:space="preserve"> </w:t>
      </w:r>
      <w:r w:rsidRPr="00703091">
        <w:rPr>
          <w:spacing w:val="-1"/>
        </w:rPr>
        <w:t xml:space="preserve">SFAs </w:t>
      </w:r>
      <w:r w:rsidRPr="00703091">
        <w:t>will,</w:t>
      </w:r>
      <w:r w:rsidRPr="00703091">
        <w:rPr>
          <w:spacing w:val="-2"/>
        </w:rPr>
        <w:t xml:space="preserve"> </w:t>
      </w:r>
      <w:r w:rsidRPr="00703091">
        <w:rPr>
          <w:spacing w:val="-1"/>
        </w:rPr>
        <w:t>after appropriately</w:t>
      </w:r>
      <w:r w:rsidRPr="00703091">
        <w:rPr>
          <w:spacing w:val="-4"/>
        </w:rPr>
        <w:t xml:space="preserve"> </w:t>
      </w:r>
      <w:r w:rsidRPr="00703091">
        <w:rPr>
          <w:spacing w:val="-1"/>
        </w:rPr>
        <w:t>accounting</w:t>
      </w:r>
      <w:r w:rsidRPr="00703091">
        <w:rPr>
          <w:spacing w:val="-4"/>
        </w:rPr>
        <w:t xml:space="preserve"> </w:t>
      </w:r>
      <w:r w:rsidRPr="00703091">
        <w:rPr>
          <w:spacing w:val="-2"/>
        </w:rPr>
        <w:t>for</w:t>
      </w:r>
      <w:r w:rsidRPr="00703091">
        <w:rPr>
          <w:spacing w:val="-4"/>
        </w:rPr>
        <w:t xml:space="preserve"> </w:t>
      </w:r>
      <w:r w:rsidRPr="00703091">
        <w:rPr>
          <w:spacing w:val="-1"/>
        </w:rPr>
        <w:t>nonresponse</w:t>
      </w:r>
      <w:r w:rsidRPr="00703091">
        <w:rPr>
          <w:spacing w:val="-4"/>
        </w:rPr>
        <w:t xml:space="preserve"> </w:t>
      </w:r>
      <w:r w:rsidRPr="00703091">
        <w:t>in</w:t>
      </w:r>
      <w:r w:rsidRPr="00703091">
        <w:rPr>
          <w:spacing w:val="-4"/>
        </w:rPr>
        <w:t xml:space="preserve"> </w:t>
      </w:r>
      <w:r w:rsidRPr="00703091">
        <w:rPr>
          <w:spacing w:val="-1"/>
        </w:rPr>
        <w:t>sample</w:t>
      </w:r>
      <w:r w:rsidRPr="00703091">
        <w:rPr>
          <w:spacing w:val="-4"/>
        </w:rPr>
        <w:t xml:space="preserve"> </w:t>
      </w:r>
      <w:r w:rsidRPr="00703091">
        <w:rPr>
          <w:spacing w:val="-1"/>
        </w:rPr>
        <w:t>weighting</w:t>
      </w:r>
      <w:r>
        <w:rPr>
          <w:spacing w:val="-1"/>
        </w:rPr>
        <w:t xml:space="preserve">, </w:t>
      </w:r>
      <w:r>
        <w:rPr>
          <w:spacing w:val="-2"/>
        </w:rPr>
        <w:t>be</w:t>
      </w:r>
      <w:r>
        <w:rPr>
          <w:spacing w:val="-3"/>
        </w:rPr>
        <w:t xml:space="preserve"> </w:t>
      </w:r>
      <w:r>
        <w:rPr>
          <w:spacing w:val="-1"/>
        </w:rPr>
        <w:t>nationally</w:t>
      </w:r>
      <w:r>
        <w:rPr>
          <w:spacing w:val="-4"/>
        </w:rPr>
        <w:t xml:space="preserve"> </w:t>
      </w:r>
      <w:r>
        <w:rPr>
          <w:spacing w:val="-1"/>
        </w:rPr>
        <w:t>representative</w:t>
      </w:r>
      <w:r>
        <w:rPr>
          <w:spacing w:val="-4"/>
        </w:rPr>
        <w:t xml:space="preserve"> </w:t>
      </w:r>
      <w:r>
        <w:rPr>
          <w:spacing w:val="-1"/>
        </w:rPr>
        <w:t>of schools participating in the</w:t>
      </w:r>
      <w:r>
        <w:rPr>
          <w:spacing w:val="-2"/>
        </w:rPr>
        <w:t xml:space="preserve"> </w:t>
      </w:r>
      <w:r>
        <w:rPr>
          <w:spacing w:val="-1"/>
        </w:rPr>
        <w:t xml:space="preserve">NSLP/SBP </w:t>
      </w:r>
      <w:r>
        <w:t>in</w:t>
      </w:r>
      <w:r>
        <w:rPr>
          <w:spacing w:val="-3"/>
        </w:rPr>
        <w:t xml:space="preserve"> </w:t>
      </w:r>
      <w:r>
        <w:rPr>
          <w:spacing w:val="-1"/>
        </w:rPr>
        <w:t>the</w:t>
      </w:r>
      <w:r>
        <w:rPr>
          <w:spacing w:val="-2"/>
        </w:rPr>
        <w:t xml:space="preserve"> </w:t>
      </w:r>
      <w:r>
        <w:t>48</w:t>
      </w:r>
      <w:r>
        <w:rPr>
          <w:spacing w:val="-3"/>
        </w:rPr>
        <w:t xml:space="preserve"> </w:t>
      </w:r>
      <w:r>
        <w:rPr>
          <w:spacing w:val="-1"/>
        </w:rPr>
        <w:t>contiguous</w:t>
      </w:r>
      <w:r>
        <w:rPr>
          <w:spacing w:val="-4"/>
        </w:rPr>
        <w:t xml:space="preserve"> </w:t>
      </w:r>
      <w:r>
        <w:rPr>
          <w:spacing w:val="-1"/>
        </w:rPr>
        <w:t>states</w:t>
      </w:r>
      <w:r>
        <w:rPr>
          <w:spacing w:val="-4"/>
        </w:rPr>
        <w:t xml:space="preserve"> </w:t>
      </w:r>
      <w:r>
        <w:rPr>
          <w:spacing w:val="-1"/>
        </w:rPr>
        <w:t>and</w:t>
      </w:r>
      <w:r>
        <w:rPr>
          <w:spacing w:val="-2"/>
        </w:rPr>
        <w:t xml:space="preserve"> </w:t>
      </w:r>
      <w:r>
        <w:rPr>
          <w:spacing w:val="-1"/>
        </w:rPr>
        <w:t>Washington,</w:t>
      </w:r>
      <w:r>
        <w:rPr>
          <w:spacing w:val="-3"/>
        </w:rPr>
        <w:t xml:space="preserve"> </w:t>
      </w:r>
      <w:r>
        <w:rPr>
          <w:spacing w:val="-1"/>
        </w:rPr>
        <w:t>DC.</w:t>
      </w:r>
    </w:p>
    <w:p w14:paraId="721451BA" w14:textId="77777777" w:rsidR="00D90AE2" w:rsidRDefault="00D90AE2" w:rsidP="005305E5">
      <w:pPr>
        <w:pStyle w:val="P1-StandPara"/>
        <w:rPr>
          <w:spacing w:val="-2"/>
        </w:rPr>
      </w:pPr>
      <w:r>
        <w:rPr>
          <w:spacing w:val="-1"/>
        </w:rPr>
        <w:t>Even</w:t>
      </w:r>
      <w:r>
        <w:rPr>
          <w:spacing w:val="-4"/>
        </w:rPr>
        <w:t xml:space="preserve"> </w:t>
      </w:r>
      <w:r>
        <w:rPr>
          <w:spacing w:val="-1"/>
        </w:rPr>
        <w:t>though</w:t>
      </w:r>
      <w:r>
        <w:rPr>
          <w:spacing w:val="-3"/>
        </w:rPr>
        <w:t xml:space="preserve"> </w:t>
      </w:r>
      <w:r>
        <w:rPr>
          <w:spacing w:val="-1"/>
        </w:rPr>
        <w:t>the</w:t>
      </w:r>
      <w:r>
        <w:rPr>
          <w:spacing w:val="-3"/>
        </w:rPr>
        <w:t xml:space="preserve"> </w:t>
      </w:r>
      <w:r>
        <w:rPr>
          <w:spacing w:val="-1"/>
        </w:rPr>
        <w:t>rate</w:t>
      </w:r>
      <w:r>
        <w:rPr>
          <w:spacing w:val="-2"/>
        </w:rPr>
        <w:t xml:space="preserve"> at which schools participate </w:t>
      </w:r>
      <w:r>
        <w:t>in</w:t>
      </w:r>
      <w:r>
        <w:rPr>
          <w:spacing w:val="-4"/>
        </w:rPr>
        <w:t xml:space="preserve"> the </w:t>
      </w:r>
      <w:r>
        <w:rPr>
          <w:spacing w:val="-1"/>
        </w:rPr>
        <w:t>SBP</w:t>
      </w:r>
      <w:r>
        <w:rPr>
          <w:spacing w:val="-3"/>
        </w:rPr>
        <w:t xml:space="preserve"> </w:t>
      </w:r>
      <w:r>
        <w:t xml:space="preserve">is </w:t>
      </w:r>
      <w:r>
        <w:rPr>
          <w:spacing w:val="-1"/>
        </w:rPr>
        <w:t>lower</w:t>
      </w:r>
      <w:r>
        <w:rPr>
          <w:spacing w:val="-6"/>
        </w:rPr>
        <w:t xml:space="preserve"> </w:t>
      </w:r>
      <w:r>
        <w:rPr>
          <w:spacing w:val="-1"/>
        </w:rPr>
        <w:t>than</w:t>
      </w:r>
      <w:r>
        <w:rPr>
          <w:spacing w:val="-3"/>
        </w:rPr>
        <w:t xml:space="preserve"> </w:t>
      </w:r>
      <w:r w:rsidR="008F6A00">
        <w:rPr>
          <w:spacing w:val="-3"/>
        </w:rPr>
        <w:t xml:space="preserve">the </w:t>
      </w:r>
      <w:r>
        <w:rPr>
          <w:spacing w:val="-1"/>
        </w:rPr>
        <w:t>NSLP participation rate,</w:t>
      </w:r>
      <w:r>
        <w:rPr>
          <w:spacing w:val="-3"/>
        </w:rPr>
        <w:t xml:space="preserve"> </w:t>
      </w:r>
      <w:r>
        <w:rPr>
          <w:spacing w:val="-1"/>
        </w:rPr>
        <w:t>substantially unbiased national</w:t>
      </w:r>
      <w:r>
        <w:rPr>
          <w:spacing w:val="-6"/>
        </w:rPr>
        <w:t xml:space="preserve"> </w:t>
      </w:r>
      <w:r>
        <w:rPr>
          <w:spacing w:val="-1"/>
        </w:rPr>
        <w:t>estimates</w:t>
      </w:r>
      <w:r>
        <w:rPr>
          <w:spacing w:val="-4"/>
        </w:rPr>
        <w:t xml:space="preserve"> </w:t>
      </w:r>
      <w:r>
        <w:rPr>
          <w:spacing w:val="-1"/>
        </w:rPr>
        <w:t>for</w:t>
      </w:r>
      <w:r>
        <w:rPr>
          <w:spacing w:val="-4"/>
        </w:rPr>
        <w:t xml:space="preserve"> </w:t>
      </w:r>
      <w:r>
        <w:t>each</w:t>
      </w:r>
      <w:r>
        <w:rPr>
          <w:spacing w:val="-3"/>
        </w:rPr>
        <w:t xml:space="preserve"> </w:t>
      </w:r>
      <w:r>
        <w:rPr>
          <w:spacing w:val="-1"/>
        </w:rPr>
        <w:t>program</w:t>
      </w:r>
      <w:r>
        <w:rPr>
          <w:spacing w:val="-4"/>
        </w:rPr>
        <w:t xml:space="preserve"> </w:t>
      </w:r>
      <w:r>
        <w:rPr>
          <w:spacing w:val="-1"/>
        </w:rPr>
        <w:t>type can be derived.</w:t>
      </w:r>
      <w:r>
        <w:rPr>
          <w:spacing w:val="-2"/>
        </w:rPr>
        <w:t xml:space="preserve"> </w:t>
      </w:r>
      <w:r>
        <w:rPr>
          <w:spacing w:val="-1"/>
        </w:rPr>
        <w:t>Based on the standard</w:t>
      </w:r>
      <w:r>
        <w:rPr>
          <w:spacing w:val="-2"/>
        </w:rPr>
        <w:t xml:space="preserve"> </w:t>
      </w:r>
      <w:r>
        <w:rPr>
          <w:spacing w:val="-1"/>
        </w:rPr>
        <w:t>errors reported for APEC II</w:t>
      </w:r>
      <w:r>
        <w:t>,</w:t>
      </w:r>
      <w:r>
        <w:rPr>
          <w:spacing w:val="-2"/>
        </w:rPr>
        <w:t xml:space="preserve"> </w:t>
      </w:r>
      <w:r>
        <w:rPr>
          <w:spacing w:val="-1"/>
        </w:rPr>
        <w:t>we estimate that the APEC III</w:t>
      </w:r>
      <w:r>
        <w:rPr>
          <w:spacing w:val="-2"/>
        </w:rPr>
        <w:t xml:space="preserve"> </w:t>
      </w:r>
      <w:r>
        <w:rPr>
          <w:spacing w:val="-1"/>
        </w:rPr>
        <w:t>sample</w:t>
      </w:r>
      <w:r>
        <w:rPr>
          <w:spacing w:val="-3"/>
        </w:rPr>
        <w:t xml:space="preserve"> </w:t>
      </w:r>
      <w:r>
        <w:t>will be sufficient to provide</w:t>
      </w:r>
      <w:r>
        <w:rPr>
          <w:spacing w:val="-3"/>
        </w:rPr>
        <w:t xml:space="preserve"> </w:t>
      </w:r>
      <w:r>
        <w:rPr>
          <w:spacing w:val="-1"/>
        </w:rPr>
        <w:t>enough</w:t>
      </w:r>
      <w:r>
        <w:rPr>
          <w:spacing w:val="-3"/>
        </w:rPr>
        <w:t xml:space="preserve"> </w:t>
      </w:r>
      <w:r>
        <w:rPr>
          <w:spacing w:val="-1"/>
        </w:rPr>
        <w:t>schools</w:t>
      </w:r>
      <w:r>
        <w:rPr>
          <w:spacing w:val="-4"/>
        </w:rPr>
        <w:t xml:space="preserve"> </w:t>
      </w:r>
      <w:r>
        <w:t>in</w:t>
      </w:r>
      <w:r>
        <w:rPr>
          <w:spacing w:val="-3"/>
        </w:rPr>
        <w:t xml:space="preserve"> </w:t>
      </w:r>
      <w:r>
        <w:rPr>
          <w:spacing w:val="-1"/>
        </w:rPr>
        <w:t>SBP</w:t>
      </w:r>
      <w:r>
        <w:rPr>
          <w:spacing w:val="-3"/>
        </w:rPr>
        <w:t xml:space="preserve"> </w:t>
      </w:r>
      <w:r>
        <w:rPr>
          <w:spacing w:val="-1"/>
        </w:rPr>
        <w:t>to</w:t>
      </w:r>
      <w:r>
        <w:rPr>
          <w:spacing w:val="-3"/>
        </w:rPr>
        <w:t xml:space="preserve"> </w:t>
      </w:r>
      <w:r>
        <w:rPr>
          <w:spacing w:val="-1"/>
        </w:rPr>
        <w:t>meet</w:t>
      </w:r>
      <w:r>
        <w:rPr>
          <w:spacing w:val="-3"/>
        </w:rPr>
        <w:t xml:space="preserve"> </w:t>
      </w:r>
      <w:r>
        <w:rPr>
          <w:spacing w:val="-1"/>
        </w:rPr>
        <w:t>the</w:t>
      </w:r>
      <w:r>
        <w:rPr>
          <w:spacing w:val="-3"/>
        </w:rPr>
        <w:t xml:space="preserve"> </w:t>
      </w:r>
      <w:r>
        <w:t xml:space="preserve">IPERA </w:t>
      </w:r>
      <w:r>
        <w:rPr>
          <w:spacing w:val="-1"/>
        </w:rPr>
        <w:t>precision</w:t>
      </w:r>
      <w:r>
        <w:rPr>
          <w:spacing w:val="-5"/>
        </w:rPr>
        <w:t xml:space="preserve"> </w:t>
      </w:r>
      <w:r>
        <w:rPr>
          <w:spacing w:val="-1"/>
        </w:rPr>
        <w:t>requirements.</w:t>
      </w:r>
      <w:r>
        <w:rPr>
          <w:spacing w:val="-4"/>
        </w:rPr>
        <w:t xml:space="preserve"> </w:t>
      </w:r>
      <w:r>
        <w:rPr>
          <w:spacing w:val="-1"/>
        </w:rPr>
        <w:t>There</w:t>
      </w:r>
      <w:r>
        <w:rPr>
          <w:spacing w:val="-4"/>
        </w:rPr>
        <w:t xml:space="preserve"> </w:t>
      </w:r>
      <w:r>
        <w:t>is</w:t>
      </w:r>
      <w:r>
        <w:rPr>
          <w:spacing w:val="-6"/>
        </w:rPr>
        <w:t xml:space="preserve"> </w:t>
      </w:r>
      <w:r>
        <w:rPr>
          <w:spacing w:val="-1"/>
        </w:rPr>
        <w:t>no</w:t>
      </w:r>
      <w:r>
        <w:rPr>
          <w:spacing w:val="-4"/>
        </w:rPr>
        <w:t xml:space="preserve"> </w:t>
      </w:r>
      <w:r>
        <w:rPr>
          <w:spacing w:val="-1"/>
        </w:rPr>
        <w:t>need</w:t>
      </w:r>
      <w:r>
        <w:rPr>
          <w:spacing w:val="-4"/>
        </w:rPr>
        <w:t xml:space="preserve"> </w:t>
      </w:r>
      <w:r>
        <w:rPr>
          <w:spacing w:val="-1"/>
        </w:rPr>
        <w:t>to</w:t>
      </w:r>
      <w:r>
        <w:rPr>
          <w:spacing w:val="-5"/>
        </w:rPr>
        <w:t xml:space="preserve"> </w:t>
      </w:r>
      <w:r>
        <w:rPr>
          <w:spacing w:val="-1"/>
        </w:rPr>
        <w:t>oversample SBP</w:t>
      </w:r>
      <w:r>
        <w:rPr>
          <w:spacing w:val="-8"/>
        </w:rPr>
        <w:t xml:space="preserve"> </w:t>
      </w:r>
      <w:r>
        <w:rPr>
          <w:spacing w:val="-2"/>
        </w:rPr>
        <w:t>schools.</w:t>
      </w:r>
    </w:p>
    <w:p w14:paraId="1090468F" w14:textId="5B18C8A6" w:rsidR="00D90AE2" w:rsidRDefault="00D90AE2" w:rsidP="005305E5">
      <w:pPr>
        <w:pStyle w:val="P1-StandPara"/>
        <w:rPr>
          <w:rFonts w:cs="Garamond"/>
          <w:spacing w:val="-1"/>
        </w:rPr>
      </w:pPr>
      <w:r>
        <w:rPr>
          <w:spacing w:val="-1"/>
        </w:rPr>
        <w:t>The</w:t>
      </w:r>
      <w:r>
        <w:rPr>
          <w:spacing w:val="-3"/>
        </w:rPr>
        <w:t xml:space="preserve"> </w:t>
      </w:r>
      <w:r>
        <w:rPr>
          <w:spacing w:val="-1"/>
        </w:rPr>
        <w:t>basic</w:t>
      </w:r>
      <w:r>
        <w:rPr>
          <w:spacing w:val="-3"/>
        </w:rPr>
        <w:t xml:space="preserve"> </w:t>
      </w:r>
      <w:r>
        <w:rPr>
          <w:spacing w:val="-1"/>
        </w:rPr>
        <w:t>framework</w:t>
      </w:r>
      <w:r>
        <w:rPr>
          <w:spacing w:val="-3"/>
        </w:rPr>
        <w:t xml:space="preserve"> </w:t>
      </w:r>
      <w:r>
        <w:rPr>
          <w:spacing w:val="-1"/>
        </w:rPr>
        <w:t>for</w:t>
      </w:r>
      <w:r>
        <w:rPr>
          <w:spacing w:val="-4"/>
        </w:rPr>
        <w:t xml:space="preserve"> </w:t>
      </w:r>
      <w:r>
        <w:t>the</w:t>
      </w:r>
      <w:r>
        <w:rPr>
          <w:spacing w:val="-3"/>
        </w:rPr>
        <w:t xml:space="preserve"> </w:t>
      </w:r>
      <w:r>
        <w:rPr>
          <w:spacing w:val="-1"/>
        </w:rPr>
        <w:t>selection</w:t>
      </w:r>
      <w:r>
        <w:rPr>
          <w:spacing w:val="-3"/>
        </w:rPr>
        <w:t xml:space="preserve"> </w:t>
      </w:r>
      <w:r>
        <w:rPr>
          <w:spacing w:val="-1"/>
        </w:rPr>
        <w:t>of</w:t>
      </w:r>
      <w:r>
        <w:rPr>
          <w:spacing w:val="-4"/>
        </w:rPr>
        <w:t xml:space="preserve"> </w:t>
      </w:r>
      <w:r>
        <w:rPr>
          <w:spacing w:val="-1"/>
        </w:rPr>
        <w:t>schools</w:t>
      </w:r>
      <w:r>
        <w:rPr>
          <w:spacing w:val="-5"/>
        </w:rPr>
        <w:t xml:space="preserve"> </w:t>
      </w:r>
      <w:r>
        <w:rPr>
          <w:spacing w:val="-1"/>
        </w:rPr>
        <w:t>differ</w:t>
      </w:r>
      <w:r w:rsidR="000B7EFC">
        <w:rPr>
          <w:spacing w:val="-1"/>
        </w:rPr>
        <w:t>ed</w:t>
      </w:r>
      <w:r>
        <w:rPr>
          <w:spacing w:val="-5"/>
        </w:rPr>
        <w:t xml:space="preserve"> </w:t>
      </w:r>
      <w:r>
        <w:rPr>
          <w:spacing w:val="-1"/>
        </w:rPr>
        <w:t>between</w:t>
      </w:r>
      <w:r>
        <w:rPr>
          <w:spacing w:val="-4"/>
        </w:rPr>
        <w:t xml:space="preserve"> </w:t>
      </w:r>
      <w:r>
        <w:rPr>
          <w:spacing w:val="-1"/>
        </w:rPr>
        <w:t>non-CEP</w:t>
      </w:r>
      <w:r>
        <w:rPr>
          <w:spacing w:val="-3"/>
        </w:rPr>
        <w:t xml:space="preserve"> </w:t>
      </w:r>
      <w:r>
        <w:rPr>
          <w:spacing w:val="-1"/>
        </w:rPr>
        <w:t>and</w:t>
      </w:r>
      <w:r>
        <w:rPr>
          <w:spacing w:val="-3"/>
        </w:rPr>
        <w:t xml:space="preserve"> </w:t>
      </w:r>
      <w:r>
        <w:rPr>
          <w:spacing w:val="-1"/>
        </w:rPr>
        <w:t>CEP</w:t>
      </w:r>
      <w:r>
        <w:rPr>
          <w:spacing w:val="69"/>
          <w:w w:val="99"/>
        </w:rPr>
        <w:t xml:space="preserve"> </w:t>
      </w:r>
      <w:r>
        <w:rPr>
          <w:spacing w:val="-1"/>
        </w:rPr>
        <w:t>schools.</w:t>
      </w:r>
      <w:r>
        <w:rPr>
          <w:spacing w:val="-3"/>
        </w:rPr>
        <w:t xml:space="preserve"> </w:t>
      </w:r>
      <w:r>
        <w:rPr>
          <w:spacing w:val="-1"/>
        </w:rPr>
        <w:t>For</w:t>
      </w:r>
      <w:r>
        <w:rPr>
          <w:spacing w:val="-4"/>
        </w:rPr>
        <w:t xml:space="preserve"> </w:t>
      </w:r>
      <w:r>
        <w:rPr>
          <w:spacing w:val="-1"/>
        </w:rPr>
        <w:t>those</w:t>
      </w:r>
      <w:r>
        <w:rPr>
          <w:spacing w:val="-2"/>
        </w:rPr>
        <w:t xml:space="preserve"> </w:t>
      </w:r>
      <w:r>
        <w:rPr>
          <w:spacing w:val="-1"/>
        </w:rPr>
        <w:t>schools</w:t>
      </w:r>
      <w:r>
        <w:rPr>
          <w:spacing w:val="-4"/>
        </w:rPr>
        <w:t xml:space="preserve"> </w:t>
      </w:r>
      <w:r>
        <w:t>in</w:t>
      </w:r>
      <w:r>
        <w:rPr>
          <w:spacing w:val="-4"/>
        </w:rPr>
        <w:t xml:space="preserve"> </w:t>
      </w:r>
      <w:r>
        <w:rPr>
          <w:spacing w:val="-1"/>
        </w:rPr>
        <w:t>non-CEP</w:t>
      </w:r>
      <w:r>
        <w:rPr>
          <w:spacing w:val="-3"/>
        </w:rPr>
        <w:t xml:space="preserve"> </w:t>
      </w:r>
      <w:r>
        <w:rPr>
          <w:spacing w:val="-1"/>
        </w:rPr>
        <w:t>SFAs</w:t>
      </w:r>
      <w:r>
        <w:rPr>
          <w:spacing w:val="-4"/>
        </w:rPr>
        <w:t xml:space="preserve"> </w:t>
      </w:r>
      <w:r>
        <w:rPr>
          <w:spacing w:val="-1"/>
        </w:rPr>
        <w:t>where</w:t>
      </w:r>
      <w:r>
        <w:rPr>
          <w:spacing w:val="-3"/>
        </w:rPr>
        <w:t xml:space="preserve"> </w:t>
      </w:r>
      <w:r>
        <w:rPr>
          <w:spacing w:val="-1"/>
        </w:rPr>
        <w:t>three</w:t>
      </w:r>
      <w:r>
        <w:rPr>
          <w:spacing w:val="-3"/>
        </w:rPr>
        <w:t xml:space="preserve"> </w:t>
      </w:r>
      <w:r>
        <w:rPr>
          <w:spacing w:val="-1"/>
        </w:rPr>
        <w:t>schools</w:t>
      </w:r>
      <w:r>
        <w:rPr>
          <w:spacing w:val="-4"/>
        </w:rPr>
        <w:t xml:space="preserve"> </w:t>
      </w:r>
      <w:r w:rsidR="000B7EFC">
        <w:rPr>
          <w:spacing w:val="-1"/>
        </w:rPr>
        <w:t>were</w:t>
      </w:r>
      <w:r>
        <w:rPr>
          <w:spacing w:val="-3"/>
        </w:rPr>
        <w:t xml:space="preserve"> </w:t>
      </w:r>
      <w:r>
        <w:rPr>
          <w:spacing w:val="-1"/>
        </w:rPr>
        <w:t>selected,</w:t>
      </w:r>
      <w:r>
        <w:rPr>
          <w:spacing w:val="75"/>
          <w:w w:val="99"/>
        </w:rPr>
        <w:t xml:space="preserve"> </w:t>
      </w:r>
      <w:r>
        <w:rPr>
          <w:spacing w:val="-1"/>
        </w:rPr>
        <w:t>three</w:t>
      </w:r>
      <w:r>
        <w:rPr>
          <w:spacing w:val="-4"/>
        </w:rPr>
        <w:t xml:space="preserve"> </w:t>
      </w:r>
      <w:r w:rsidR="00703835">
        <w:rPr>
          <w:spacing w:val="-1"/>
        </w:rPr>
        <w:t>“</w:t>
      </w:r>
      <w:r>
        <w:rPr>
          <w:spacing w:val="-1"/>
        </w:rPr>
        <w:t>school</w:t>
      </w:r>
      <w:r>
        <w:rPr>
          <w:spacing w:val="-3"/>
        </w:rPr>
        <w:t xml:space="preserve"> </w:t>
      </w:r>
      <w:r>
        <w:rPr>
          <w:spacing w:val="-1"/>
        </w:rPr>
        <w:t>type</w:t>
      </w:r>
      <w:r w:rsidR="00703835">
        <w:rPr>
          <w:spacing w:val="-1"/>
        </w:rPr>
        <w:t>”</w:t>
      </w:r>
      <w:r>
        <w:rPr>
          <w:spacing w:val="-3"/>
        </w:rPr>
        <w:t xml:space="preserve"> </w:t>
      </w:r>
      <w:r>
        <w:rPr>
          <w:spacing w:val="-1"/>
        </w:rPr>
        <w:t>strata</w:t>
      </w:r>
      <w:r>
        <w:rPr>
          <w:spacing w:val="-6"/>
        </w:rPr>
        <w:t xml:space="preserve"> defined by grade level </w:t>
      </w:r>
      <w:r w:rsidR="000B7EFC">
        <w:t>were</w:t>
      </w:r>
      <w:r>
        <w:rPr>
          <w:spacing w:val="-3"/>
        </w:rPr>
        <w:t xml:space="preserve"> </w:t>
      </w:r>
      <w:r>
        <w:rPr>
          <w:spacing w:val="-1"/>
        </w:rPr>
        <w:t>formed</w:t>
      </w:r>
      <w:r>
        <w:rPr>
          <w:spacing w:val="-3"/>
        </w:rPr>
        <w:t xml:space="preserve"> </w:t>
      </w:r>
      <w:r>
        <w:rPr>
          <w:spacing w:val="-1"/>
        </w:rPr>
        <w:t>for</w:t>
      </w:r>
      <w:r>
        <w:rPr>
          <w:spacing w:val="-5"/>
        </w:rPr>
        <w:t xml:space="preserve"> </w:t>
      </w:r>
      <w:r>
        <w:rPr>
          <w:spacing w:val="-1"/>
        </w:rPr>
        <w:t>sampling</w:t>
      </w:r>
      <w:r>
        <w:rPr>
          <w:spacing w:val="-3"/>
        </w:rPr>
        <w:t xml:space="preserve"> </w:t>
      </w:r>
      <w:r>
        <w:rPr>
          <w:spacing w:val="-1"/>
        </w:rPr>
        <w:t>purposes:</w:t>
      </w:r>
      <w:r>
        <w:rPr>
          <w:spacing w:val="-3"/>
        </w:rPr>
        <w:t xml:space="preserve"> </w:t>
      </w:r>
      <w:r>
        <w:rPr>
          <w:spacing w:val="-1"/>
        </w:rPr>
        <w:t>elementary,</w:t>
      </w:r>
      <w:r>
        <w:rPr>
          <w:spacing w:val="-6"/>
        </w:rPr>
        <w:t xml:space="preserve"> </w:t>
      </w:r>
      <w:r>
        <w:rPr>
          <w:spacing w:val="-1"/>
        </w:rPr>
        <w:t>middle,</w:t>
      </w:r>
      <w:r>
        <w:rPr>
          <w:spacing w:val="-4"/>
        </w:rPr>
        <w:t xml:space="preserve"> </w:t>
      </w:r>
      <w:r>
        <w:rPr>
          <w:spacing w:val="-1"/>
        </w:rPr>
        <w:t xml:space="preserve">and secondary </w:t>
      </w:r>
      <w:r w:rsidRPr="00B12D08">
        <w:rPr>
          <w:spacing w:val="-1"/>
        </w:rPr>
        <w:t>(including schools with combined elementary and secondary grades)</w:t>
      </w:r>
      <w:r>
        <w:rPr>
          <w:spacing w:val="-1"/>
        </w:rPr>
        <w:t>. All s</w:t>
      </w:r>
      <w:r w:rsidRPr="00B12D08">
        <w:rPr>
          <w:spacing w:val="-1"/>
        </w:rPr>
        <w:t>chools</w:t>
      </w:r>
      <w:r w:rsidRPr="00B12D08">
        <w:rPr>
          <w:spacing w:val="-5"/>
        </w:rPr>
        <w:t xml:space="preserve"> </w:t>
      </w:r>
      <w:r>
        <w:rPr>
          <w:spacing w:val="-5"/>
        </w:rPr>
        <w:t xml:space="preserve">in the SFA </w:t>
      </w:r>
      <w:r w:rsidR="000B7EFC">
        <w:t>were</w:t>
      </w:r>
      <w:r w:rsidRPr="00B12D08">
        <w:rPr>
          <w:spacing w:val="-2"/>
        </w:rPr>
        <w:t xml:space="preserve"> </w:t>
      </w:r>
      <w:r w:rsidRPr="00B12D08">
        <w:rPr>
          <w:spacing w:val="-1"/>
        </w:rPr>
        <w:t>assigned</w:t>
      </w:r>
      <w:r w:rsidRPr="00B12D08">
        <w:rPr>
          <w:spacing w:val="-2"/>
        </w:rPr>
        <w:t xml:space="preserve"> to</w:t>
      </w:r>
      <w:r w:rsidRPr="00B12D08">
        <w:rPr>
          <w:spacing w:val="-4"/>
        </w:rPr>
        <w:t xml:space="preserve"> </w:t>
      </w:r>
      <w:r w:rsidRPr="00B12D08">
        <w:rPr>
          <w:spacing w:val="-1"/>
        </w:rPr>
        <w:t>one</w:t>
      </w:r>
      <w:r w:rsidRPr="00B12D08">
        <w:rPr>
          <w:spacing w:val="-2"/>
        </w:rPr>
        <w:t xml:space="preserve"> </w:t>
      </w:r>
      <w:r w:rsidRPr="00B12D08">
        <w:rPr>
          <w:spacing w:val="-1"/>
        </w:rPr>
        <w:t>of</w:t>
      </w:r>
      <w:r w:rsidRPr="00B12D08">
        <w:rPr>
          <w:spacing w:val="-3"/>
        </w:rPr>
        <w:t xml:space="preserve"> </w:t>
      </w:r>
      <w:r w:rsidRPr="00B12D08">
        <w:rPr>
          <w:spacing w:val="-1"/>
        </w:rPr>
        <w:t>the</w:t>
      </w:r>
      <w:r>
        <w:rPr>
          <w:spacing w:val="-1"/>
        </w:rPr>
        <w:t>se</w:t>
      </w:r>
      <w:r w:rsidRPr="00B12D08">
        <w:rPr>
          <w:spacing w:val="-2"/>
        </w:rPr>
        <w:t xml:space="preserve"> </w:t>
      </w:r>
      <w:r w:rsidRPr="00B12D08">
        <w:rPr>
          <w:spacing w:val="-1"/>
        </w:rPr>
        <w:t>three</w:t>
      </w:r>
      <w:r w:rsidRPr="00B12D08">
        <w:rPr>
          <w:spacing w:val="-2"/>
        </w:rPr>
        <w:t xml:space="preserve"> </w:t>
      </w:r>
      <w:r>
        <w:rPr>
          <w:spacing w:val="-1"/>
        </w:rPr>
        <w:t xml:space="preserve">strata; however, </w:t>
      </w:r>
      <w:r w:rsidR="000B7EFC">
        <w:rPr>
          <w:spacing w:val="-1"/>
        </w:rPr>
        <w:t>when</w:t>
      </w:r>
      <w:r w:rsidRPr="00B12D08">
        <w:rPr>
          <w:rFonts w:cs="Garamond"/>
          <w:spacing w:val="-3"/>
        </w:rPr>
        <w:t xml:space="preserve"> </w:t>
      </w:r>
      <w:r w:rsidRPr="00B12D08">
        <w:rPr>
          <w:rFonts w:cs="Garamond"/>
        </w:rPr>
        <w:t>schools</w:t>
      </w:r>
      <w:r w:rsidRPr="00B12D08">
        <w:rPr>
          <w:rFonts w:cs="Garamond"/>
          <w:spacing w:val="-5"/>
        </w:rPr>
        <w:t xml:space="preserve"> </w:t>
      </w:r>
      <w:r w:rsidRPr="00B12D08">
        <w:rPr>
          <w:rFonts w:cs="Garamond"/>
          <w:spacing w:val="-1"/>
        </w:rPr>
        <w:t>in</w:t>
      </w:r>
      <w:r w:rsidRPr="00B12D08">
        <w:rPr>
          <w:rFonts w:cs="Garamond"/>
          <w:spacing w:val="-2"/>
        </w:rPr>
        <w:t xml:space="preserve"> </w:t>
      </w:r>
      <w:r>
        <w:rPr>
          <w:rFonts w:cs="Garamond"/>
        </w:rPr>
        <w:t>the</w:t>
      </w:r>
      <w:r w:rsidRPr="00B12D08">
        <w:rPr>
          <w:rFonts w:cs="Garamond"/>
          <w:spacing w:val="-5"/>
        </w:rPr>
        <w:t xml:space="preserve"> </w:t>
      </w:r>
      <w:r w:rsidRPr="00B12D08">
        <w:rPr>
          <w:rFonts w:cs="Garamond"/>
        </w:rPr>
        <w:t>SFA</w:t>
      </w:r>
      <w:r w:rsidRPr="00B12D08">
        <w:rPr>
          <w:rFonts w:cs="Garamond"/>
          <w:spacing w:val="-5"/>
        </w:rPr>
        <w:t xml:space="preserve"> </w:t>
      </w:r>
      <w:r w:rsidR="000B7EFC">
        <w:rPr>
          <w:rFonts w:cs="Garamond"/>
        </w:rPr>
        <w:t>did</w:t>
      </w:r>
      <w:r w:rsidR="000B7EFC" w:rsidRPr="00B12D08">
        <w:rPr>
          <w:rFonts w:cs="Garamond"/>
          <w:spacing w:val="-4"/>
        </w:rPr>
        <w:t xml:space="preserve"> </w:t>
      </w:r>
      <w:r w:rsidRPr="00B12D08">
        <w:rPr>
          <w:rFonts w:cs="Garamond"/>
          <w:spacing w:val="-1"/>
        </w:rPr>
        <w:t>not</w:t>
      </w:r>
      <w:r w:rsidRPr="00B12D08">
        <w:rPr>
          <w:rFonts w:cs="Garamond"/>
          <w:spacing w:val="-5"/>
        </w:rPr>
        <w:t xml:space="preserve"> </w:t>
      </w:r>
      <w:r w:rsidRPr="00B12D08">
        <w:rPr>
          <w:rFonts w:cs="Garamond"/>
        </w:rPr>
        <w:t>readily</w:t>
      </w:r>
      <w:r w:rsidRPr="00B12D08">
        <w:rPr>
          <w:rFonts w:cs="Garamond"/>
          <w:spacing w:val="-3"/>
        </w:rPr>
        <w:t xml:space="preserve"> </w:t>
      </w:r>
      <w:r w:rsidRPr="00B12D08">
        <w:rPr>
          <w:rFonts w:cs="Garamond"/>
        </w:rPr>
        <w:t>fall</w:t>
      </w:r>
      <w:r w:rsidRPr="00B12D08">
        <w:rPr>
          <w:rFonts w:cs="Garamond"/>
          <w:spacing w:val="-3"/>
        </w:rPr>
        <w:t xml:space="preserve"> </w:t>
      </w:r>
      <w:r w:rsidRPr="00B12D08">
        <w:rPr>
          <w:rFonts w:cs="Garamond"/>
          <w:spacing w:val="-1"/>
        </w:rPr>
        <w:t>into</w:t>
      </w:r>
      <w:r w:rsidRPr="00B12D08">
        <w:rPr>
          <w:rFonts w:cs="Garamond"/>
          <w:spacing w:val="-3"/>
        </w:rPr>
        <w:t xml:space="preserve"> </w:t>
      </w:r>
      <w:r>
        <w:rPr>
          <w:rFonts w:cs="Garamond"/>
          <w:spacing w:val="-1"/>
        </w:rPr>
        <w:t>one of these</w:t>
      </w:r>
      <w:r>
        <w:rPr>
          <w:rFonts w:cs="Garamond"/>
          <w:spacing w:val="-4"/>
        </w:rPr>
        <w:t xml:space="preserve"> </w:t>
      </w:r>
      <w:r w:rsidRPr="00B12D08">
        <w:rPr>
          <w:rFonts w:cs="Garamond"/>
          <w:spacing w:val="-1"/>
        </w:rPr>
        <w:t>categories,</w:t>
      </w:r>
      <w:r w:rsidRPr="00B12D08">
        <w:rPr>
          <w:rFonts w:cs="Garamond"/>
          <w:spacing w:val="-3"/>
        </w:rPr>
        <w:t xml:space="preserve"> </w:t>
      </w:r>
      <w:r>
        <w:rPr>
          <w:rFonts w:cs="Garamond"/>
          <w:spacing w:val="-3"/>
        </w:rPr>
        <w:t xml:space="preserve">the </w:t>
      </w:r>
      <w:r>
        <w:rPr>
          <w:rFonts w:cs="Garamond"/>
        </w:rPr>
        <w:t>assignment</w:t>
      </w:r>
      <w:r w:rsidRPr="00B12D08">
        <w:rPr>
          <w:rFonts w:cs="Garamond"/>
          <w:spacing w:val="-5"/>
        </w:rPr>
        <w:t xml:space="preserve"> </w:t>
      </w:r>
      <w:r w:rsidR="000B7EFC">
        <w:rPr>
          <w:rFonts w:cs="Garamond"/>
          <w:spacing w:val="-1"/>
        </w:rPr>
        <w:t>was</w:t>
      </w:r>
      <w:r w:rsidRPr="00B12D08">
        <w:rPr>
          <w:rFonts w:cs="Garamond"/>
          <w:spacing w:val="-2"/>
        </w:rPr>
        <w:t xml:space="preserve"> </w:t>
      </w:r>
      <w:r w:rsidRPr="00B12D08">
        <w:rPr>
          <w:rFonts w:cs="Garamond"/>
        </w:rPr>
        <w:t>made</w:t>
      </w:r>
      <w:r w:rsidRPr="00B12D08">
        <w:rPr>
          <w:rFonts w:cs="Garamond"/>
          <w:spacing w:val="-3"/>
        </w:rPr>
        <w:t xml:space="preserve"> </w:t>
      </w:r>
      <w:r w:rsidRPr="00B12D08">
        <w:rPr>
          <w:rFonts w:cs="Garamond"/>
          <w:spacing w:val="-1"/>
        </w:rPr>
        <w:t>to</w:t>
      </w:r>
      <w:r w:rsidRPr="00B12D08">
        <w:rPr>
          <w:rFonts w:cs="Garamond"/>
          <w:spacing w:val="-5"/>
        </w:rPr>
        <w:t xml:space="preserve"> </w:t>
      </w:r>
      <w:r>
        <w:rPr>
          <w:rFonts w:cs="Garamond"/>
          <w:spacing w:val="-5"/>
        </w:rPr>
        <w:t xml:space="preserve">the </w:t>
      </w:r>
      <w:r>
        <w:rPr>
          <w:rFonts w:cs="Garamond"/>
        </w:rPr>
        <w:t xml:space="preserve">school </w:t>
      </w:r>
      <w:r>
        <w:rPr>
          <w:rFonts w:cs="Garamond"/>
          <w:spacing w:val="-1"/>
        </w:rPr>
        <w:t>stratum</w:t>
      </w:r>
      <w:r w:rsidRPr="00B12D08">
        <w:rPr>
          <w:rFonts w:cs="Garamond"/>
          <w:spacing w:val="-4"/>
        </w:rPr>
        <w:t xml:space="preserve"> </w:t>
      </w:r>
      <w:r>
        <w:rPr>
          <w:rFonts w:cs="Garamond"/>
          <w:spacing w:val="-1"/>
        </w:rPr>
        <w:t>that most closely matche</w:t>
      </w:r>
      <w:r w:rsidR="00C77357">
        <w:rPr>
          <w:rFonts w:cs="Garamond"/>
          <w:spacing w:val="-1"/>
        </w:rPr>
        <w:t>d</w:t>
      </w:r>
      <w:r>
        <w:rPr>
          <w:rFonts w:cs="Garamond"/>
          <w:spacing w:val="-1"/>
        </w:rPr>
        <w:t xml:space="preserve"> the </w:t>
      </w:r>
      <w:r w:rsidRPr="00B12D08">
        <w:rPr>
          <w:rFonts w:cs="Garamond"/>
        </w:rPr>
        <w:t>grade</w:t>
      </w:r>
      <w:r w:rsidRPr="00B12D08">
        <w:rPr>
          <w:rFonts w:cs="Garamond"/>
          <w:spacing w:val="-3"/>
        </w:rPr>
        <w:t xml:space="preserve"> </w:t>
      </w:r>
      <w:r w:rsidRPr="00B12D08">
        <w:rPr>
          <w:rFonts w:cs="Garamond"/>
          <w:spacing w:val="-1"/>
        </w:rPr>
        <w:t>range</w:t>
      </w:r>
      <w:r w:rsidRPr="00B12D08">
        <w:rPr>
          <w:rFonts w:cs="Garamond"/>
          <w:spacing w:val="-3"/>
        </w:rPr>
        <w:t xml:space="preserve"> </w:t>
      </w:r>
      <w:r w:rsidRPr="00B12D08">
        <w:rPr>
          <w:rFonts w:cs="Garamond"/>
        </w:rPr>
        <w:t>covered</w:t>
      </w:r>
      <w:r>
        <w:rPr>
          <w:rFonts w:cs="Garamond"/>
        </w:rPr>
        <w:t xml:space="preserve"> by the school. A</w:t>
      </w:r>
      <w:r w:rsidRPr="00B12D08">
        <w:rPr>
          <w:rFonts w:cs="Garamond"/>
        </w:rPr>
        <w:t>s</w:t>
      </w:r>
      <w:r w:rsidRPr="00B12D08">
        <w:rPr>
          <w:rFonts w:cs="Garamond"/>
          <w:spacing w:val="-5"/>
        </w:rPr>
        <w:t xml:space="preserve"> </w:t>
      </w:r>
      <w:r w:rsidRPr="00B12D08">
        <w:rPr>
          <w:rFonts w:cs="Garamond"/>
          <w:spacing w:val="-1"/>
        </w:rPr>
        <w:t>long</w:t>
      </w:r>
      <w:r w:rsidRPr="00B12D08">
        <w:rPr>
          <w:rFonts w:cs="Garamond"/>
          <w:spacing w:val="-4"/>
        </w:rPr>
        <w:t xml:space="preserve"> </w:t>
      </w:r>
      <w:r w:rsidRPr="00B12D08">
        <w:rPr>
          <w:rFonts w:cs="Garamond"/>
        </w:rPr>
        <w:t>as</w:t>
      </w:r>
      <w:r w:rsidRPr="00B12D08">
        <w:rPr>
          <w:rFonts w:cs="Garamond"/>
          <w:spacing w:val="-5"/>
        </w:rPr>
        <w:t xml:space="preserve"> </w:t>
      </w:r>
      <w:r w:rsidRPr="00B12D08">
        <w:rPr>
          <w:rFonts w:cs="Garamond"/>
        </w:rPr>
        <w:t>schools</w:t>
      </w:r>
      <w:r w:rsidRPr="00B12D08">
        <w:rPr>
          <w:rFonts w:cs="Garamond"/>
          <w:spacing w:val="-5"/>
        </w:rPr>
        <w:t xml:space="preserve"> </w:t>
      </w:r>
      <w:r w:rsidRPr="00B12D08">
        <w:rPr>
          <w:rFonts w:cs="Garamond"/>
          <w:spacing w:val="-1"/>
        </w:rPr>
        <w:t>ha</w:t>
      </w:r>
      <w:r w:rsidR="00C77357">
        <w:rPr>
          <w:rFonts w:cs="Garamond"/>
          <w:spacing w:val="-1"/>
        </w:rPr>
        <w:t>d</w:t>
      </w:r>
      <w:r w:rsidRPr="00B12D08">
        <w:rPr>
          <w:rFonts w:cs="Garamond"/>
          <w:spacing w:val="-3"/>
        </w:rPr>
        <w:t xml:space="preserve"> </w:t>
      </w:r>
      <w:r w:rsidRPr="00B12D08">
        <w:rPr>
          <w:rFonts w:cs="Garamond"/>
        </w:rPr>
        <w:t>a</w:t>
      </w:r>
      <w:r w:rsidRPr="00B12D08">
        <w:rPr>
          <w:rFonts w:cs="Garamond"/>
          <w:spacing w:val="-2"/>
        </w:rPr>
        <w:t xml:space="preserve"> </w:t>
      </w:r>
      <w:r w:rsidRPr="00B12D08">
        <w:rPr>
          <w:rFonts w:cs="Garamond"/>
          <w:spacing w:val="-1"/>
        </w:rPr>
        <w:t>known</w:t>
      </w:r>
      <w:r w:rsidRPr="00B12D08">
        <w:rPr>
          <w:rFonts w:cs="Garamond"/>
          <w:spacing w:val="-5"/>
        </w:rPr>
        <w:t xml:space="preserve"> </w:t>
      </w:r>
      <w:r w:rsidRPr="00B12D08">
        <w:rPr>
          <w:rFonts w:cs="Garamond"/>
        </w:rPr>
        <w:t>chance</w:t>
      </w:r>
      <w:r w:rsidRPr="00B12D08">
        <w:rPr>
          <w:rFonts w:cs="Garamond"/>
          <w:spacing w:val="-3"/>
        </w:rPr>
        <w:t xml:space="preserve"> </w:t>
      </w:r>
      <w:r w:rsidRPr="00B12D08">
        <w:rPr>
          <w:rFonts w:cs="Garamond"/>
          <w:spacing w:val="-1"/>
        </w:rPr>
        <w:t>of</w:t>
      </w:r>
      <w:r w:rsidRPr="00B12D08">
        <w:rPr>
          <w:rFonts w:cs="Garamond"/>
          <w:spacing w:val="-4"/>
        </w:rPr>
        <w:t xml:space="preserve"> </w:t>
      </w:r>
      <w:r w:rsidRPr="00B12D08">
        <w:rPr>
          <w:rFonts w:cs="Garamond"/>
        </w:rPr>
        <w:t>selection,</w:t>
      </w:r>
      <w:r w:rsidRPr="00B12D08">
        <w:rPr>
          <w:rFonts w:cs="Garamond"/>
          <w:spacing w:val="-4"/>
        </w:rPr>
        <w:t xml:space="preserve"> </w:t>
      </w:r>
      <w:r>
        <w:rPr>
          <w:rFonts w:cs="Garamond"/>
          <w:spacing w:val="-4"/>
        </w:rPr>
        <w:t xml:space="preserve">no bias </w:t>
      </w:r>
      <w:r w:rsidRPr="00B12D08">
        <w:rPr>
          <w:rFonts w:cs="Garamond"/>
        </w:rPr>
        <w:t>will</w:t>
      </w:r>
      <w:r w:rsidRPr="00B12D08">
        <w:rPr>
          <w:rFonts w:cs="Garamond"/>
          <w:spacing w:val="-4"/>
        </w:rPr>
        <w:t xml:space="preserve"> </w:t>
      </w:r>
      <w:r>
        <w:rPr>
          <w:rFonts w:cs="Garamond"/>
          <w:spacing w:val="-1"/>
        </w:rPr>
        <w:t xml:space="preserve">arise in </w:t>
      </w:r>
      <w:r w:rsidRPr="00B12D08">
        <w:rPr>
          <w:rFonts w:cs="Garamond"/>
          <w:spacing w:val="-1"/>
        </w:rPr>
        <w:t>analyses</w:t>
      </w:r>
      <w:r w:rsidR="008F6A00">
        <w:rPr>
          <w:rFonts w:cs="Garamond"/>
          <w:spacing w:val="-1"/>
        </w:rPr>
        <w:t>,</w:t>
      </w:r>
      <w:r w:rsidRPr="00B12D08">
        <w:rPr>
          <w:rFonts w:cs="Garamond"/>
          <w:spacing w:val="-6"/>
        </w:rPr>
        <w:t xml:space="preserve"> </w:t>
      </w:r>
      <w:r w:rsidRPr="00B12D08">
        <w:rPr>
          <w:rFonts w:cs="Garamond"/>
        </w:rPr>
        <w:t>although</w:t>
      </w:r>
      <w:r w:rsidRPr="00B12D08">
        <w:rPr>
          <w:rFonts w:cs="Garamond"/>
          <w:spacing w:val="-6"/>
        </w:rPr>
        <w:t xml:space="preserve"> </w:t>
      </w:r>
      <w:r>
        <w:rPr>
          <w:rFonts w:cs="Garamond"/>
          <w:spacing w:val="-6"/>
        </w:rPr>
        <w:t xml:space="preserve">the </w:t>
      </w:r>
      <w:r w:rsidRPr="00B12D08">
        <w:rPr>
          <w:rFonts w:cs="Garamond"/>
          <w:spacing w:val="-1"/>
        </w:rPr>
        <w:t>stratum</w:t>
      </w:r>
      <w:r w:rsidRPr="00B12D08">
        <w:rPr>
          <w:rFonts w:cs="Garamond"/>
          <w:spacing w:val="-5"/>
        </w:rPr>
        <w:t xml:space="preserve"> </w:t>
      </w:r>
      <w:r w:rsidRPr="00B12D08">
        <w:rPr>
          <w:rFonts w:cs="Garamond"/>
        </w:rPr>
        <w:t>assignments</w:t>
      </w:r>
      <w:r w:rsidRPr="00B12D08">
        <w:rPr>
          <w:rFonts w:cs="Garamond"/>
          <w:spacing w:val="-6"/>
        </w:rPr>
        <w:t xml:space="preserve"> </w:t>
      </w:r>
      <w:r w:rsidRPr="00B12D08">
        <w:rPr>
          <w:rFonts w:cs="Garamond"/>
        </w:rPr>
        <w:t>can</w:t>
      </w:r>
      <w:r w:rsidRPr="00B12D08">
        <w:rPr>
          <w:rFonts w:cs="Garamond"/>
          <w:spacing w:val="-6"/>
        </w:rPr>
        <w:t xml:space="preserve"> </w:t>
      </w:r>
      <w:r w:rsidRPr="00B12D08">
        <w:rPr>
          <w:rFonts w:cs="Garamond"/>
        </w:rPr>
        <w:t>affect</w:t>
      </w:r>
      <w:r w:rsidRPr="00B12D08">
        <w:rPr>
          <w:rFonts w:cs="Garamond"/>
          <w:spacing w:val="-5"/>
        </w:rPr>
        <w:t xml:space="preserve"> </w:t>
      </w:r>
      <w:r w:rsidRPr="00B12D08">
        <w:rPr>
          <w:rFonts w:cs="Garamond"/>
          <w:spacing w:val="-1"/>
        </w:rPr>
        <w:t>the</w:t>
      </w:r>
      <w:r w:rsidRPr="00B12D08">
        <w:rPr>
          <w:rFonts w:cs="Garamond"/>
          <w:spacing w:val="-4"/>
        </w:rPr>
        <w:t xml:space="preserve"> </w:t>
      </w:r>
      <w:r w:rsidRPr="00B12D08">
        <w:rPr>
          <w:rFonts w:cs="Garamond"/>
          <w:spacing w:val="-1"/>
        </w:rPr>
        <w:t>variability</w:t>
      </w:r>
      <w:r w:rsidRPr="00B12D08">
        <w:rPr>
          <w:rFonts w:cs="Garamond"/>
          <w:spacing w:val="-4"/>
        </w:rPr>
        <w:t xml:space="preserve"> </w:t>
      </w:r>
      <w:r w:rsidRPr="00B12D08">
        <w:rPr>
          <w:rFonts w:cs="Garamond"/>
          <w:spacing w:val="-1"/>
        </w:rPr>
        <w:t>of</w:t>
      </w:r>
      <w:r w:rsidRPr="00B12D08">
        <w:rPr>
          <w:rFonts w:cs="Garamond"/>
          <w:spacing w:val="-5"/>
        </w:rPr>
        <w:t xml:space="preserve"> </w:t>
      </w:r>
      <w:r w:rsidRPr="00B12D08">
        <w:rPr>
          <w:rFonts w:cs="Garamond"/>
          <w:spacing w:val="-1"/>
        </w:rPr>
        <w:t>weights</w:t>
      </w:r>
      <w:r w:rsidRPr="00B12D08">
        <w:rPr>
          <w:rFonts w:cs="Garamond"/>
          <w:spacing w:val="-4"/>
        </w:rPr>
        <w:t xml:space="preserve"> </w:t>
      </w:r>
      <w:r w:rsidRPr="00B12D08">
        <w:rPr>
          <w:rFonts w:cs="Garamond"/>
          <w:spacing w:val="-1"/>
        </w:rPr>
        <w:t>of</w:t>
      </w:r>
      <w:r w:rsidRPr="00B12D08">
        <w:rPr>
          <w:rFonts w:cs="Garamond"/>
          <w:spacing w:val="-4"/>
        </w:rPr>
        <w:t xml:space="preserve"> </w:t>
      </w:r>
      <w:r w:rsidRPr="00B12D08">
        <w:rPr>
          <w:rFonts w:cs="Garamond"/>
          <w:spacing w:val="-1"/>
        </w:rPr>
        <w:t>schools</w:t>
      </w:r>
      <w:r w:rsidRPr="00B12D08">
        <w:rPr>
          <w:rFonts w:cs="Garamond"/>
          <w:spacing w:val="-6"/>
        </w:rPr>
        <w:t xml:space="preserve"> </w:t>
      </w:r>
      <w:r w:rsidRPr="00B12D08">
        <w:rPr>
          <w:rFonts w:cs="Garamond"/>
        </w:rPr>
        <w:t>assigned</w:t>
      </w:r>
      <w:r w:rsidRPr="00B12D08">
        <w:rPr>
          <w:rFonts w:cs="Garamond"/>
          <w:spacing w:val="-4"/>
        </w:rPr>
        <w:t xml:space="preserve"> </w:t>
      </w:r>
      <w:r w:rsidRPr="00B12D08">
        <w:rPr>
          <w:rFonts w:cs="Garamond"/>
          <w:spacing w:val="-1"/>
        </w:rPr>
        <w:t>to</w:t>
      </w:r>
      <w:r w:rsidRPr="00B12D08">
        <w:rPr>
          <w:rFonts w:cs="Garamond"/>
          <w:spacing w:val="-6"/>
        </w:rPr>
        <w:t xml:space="preserve"> </w:t>
      </w:r>
      <w:r w:rsidR="005305E5" w:rsidRPr="00B12D08">
        <w:rPr>
          <w:rFonts w:cs="Garamond"/>
        </w:rPr>
        <w:t>a</w:t>
      </w:r>
      <w:r w:rsidR="005305E5" w:rsidRPr="00B12D08">
        <w:rPr>
          <w:rFonts w:cs="Garamond"/>
          <w:spacing w:val="-4"/>
        </w:rPr>
        <w:t xml:space="preserve"> </w:t>
      </w:r>
      <w:r w:rsidR="005305E5" w:rsidRPr="00B12D08">
        <w:rPr>
          <w:rFonts w:cs="Garamond"/>
          <w:spacing w:val="-1"/>
        </w:rPr>
        <w:t>particular</w:t>
      </w:r>
      <w:r w:rsidR="005305E5" w:rsidRPr="00B12D08">
        <w:rPr>
          <w:rFonts w:cs="Garamond"/>
          <w:spacing w:val="-4"/>
        </w:rPr>
        <w:t xml:space="preserve"> </w:t>
      </w:r>
      <w:r w:rsidR="005305E5">
        <w:rPr>
          <w:rFonts w:cs="Garamond"/>
          <w:spacing w:val="-1"/>
        </w:rPr>
        <w:t>stratum</w:t>
      </w:r>
      <w:r w:rsidRPr="00B12D08">
        <w:rPr>
          <w:rFonts w:cs="Garamond"/>
          <w:spacing w:val="-1"/>
        </w:rPr>
        <w:t>.</w:t>
      </w:r>
      <w:r>
        <w:rPr>
          <w:rFonts w:cs="Garamond"/>
          <w:spacing w:val="-1"/>
        </w:rPr>
        <w:t xml:space="preserve"> After the schools </w:t>
      </w:r>
      <w:r w:rsidR="000B7EFC">
        <w:rPr>
          <w:rFonts w:cs="Garamond"/>
          <w:spacing w:val="-1"/>
        </w:rPr>
        <w:t>were</w:t>
      </w:r>
      <w:r>
        <w:rPr>
          <w:rFonts w:cs="Garamond"/>
          <w:spacing w:val="-1"/>
        </w:rPr>
        <w:t xml:space="preserve"> assigned to the appropriate grade level stratum, the schools in the SFA </w:t>
      </w:r>
      <w:r w:rsidR="000B7EFC">
        <w:t>were</w:t>
      </w:r>
      <w:r w:rsidR="007543F9">
        <w:t xml:space="preserve"> </w:t>
      </w:r>
      <w:r>
        <w:rPr>
          <w:rFonts w:cs="Garamond"/>
          <w:spacing w:val="-1"/>
        </w:rPr>
        <w:t>sorted by grade level and then by a measure of size defined by the number of students certified for free</w:t>
      </w:r>
      <w:r w:rsidR="008F6A00">
        <w:rPr>
          <w:rFonts w:cs="Garamond"/>
          <w:spacing w:val="-1"/>
        </w:rPr>
        <w:t xml:space="preserve"> or </w:t>
      </w:r>
      <w:r>
        <w:rPr>
          <w:rFonts w:cs="Garamond"/>
          <w:spacing w:val="-1"/>
        </w:rPr>
        <w:t xml:space="preserve">reduced-price meals within grade level. A systematic sample of schools </w:t>
      </w:r>
      <w:r w:rsidR="000B7EFC">
        <w:rPr>
          <w:rFonts w:cs="Garamond"/>
          <w:spacing w:val="-1"/>
        </w:rPr>
        <w:t>was</w:t>
      </w:r>
      <w:r>
        <w:rPr>
          <w:rFonts w:cs="Garamond"/>
          <w:spacing w:val="-1"/>
        </w:rPr>
        <w:t xml:space="preserve"> selected from the sorted list of schools with probabilities proportionate to the </w:t>
      </w:r>
      <w:r w:rsidR="008F6A00">
        <w:rPr>
          <w:rFonts w:cs="Garamond"/>
          <w:spacing w:val="-1"/>
        </w:rPr>
        <w:t>measure of size</w:t>
      </w:r>
      <w:r>
        <w:rPr>
          <w:rFonts w:cs="Garamond"/>
          <w:spacing w:val="-1"/>
        </w:rPr>
        <w:t>.</w:t>
      </w:r>
      <w:r>
        <w:rPr>
          <w:spacing w:val="-1"/>
        </w:rPr>
        <w:t xml:space="preserve"> </w:t>
      </w:r>
      <w:r w:rsidRPr="00B12D08">
        <w:rPr>
          <w:spacing w:val="-1"/>
        </w:rPr>
        <w:t>S</w:t>
      </w:r>
      <w:r>
        <w:rPr>
          <w:spacing w:val="-1"/>
        </w:rPr>
        <w:t>imilarly, both CEP and non-CEP s</w:t>
      </w:r>
      <w:r w:rsidRPr="00B12D08">
        <w:rPr>
          <w:spacing w:val="-1"/>
        </w:rPr>
        <w:t>chools</w:t>
      </w:r>
      <w:r w:rsidRPr="00B12D08">
        <w:rPr>
          <w:spacing w:val="-4"/>
        </w:rPr>
        <w:t xml:space="preserve"> </w:t>
      </w:r>
      <w:r w:rsidR="000B7EFC">
        <w:t>were</w:t>
      </w:r>
      <w:r w:rsidR="007543F9">
        <w:t xml:space="preserve"> </w:t>
      </w:r>
      <w:r>
        <w:t>selected from</w:t>
      </w:r>
      <w:r w:rsidRPr="00B12D08">
        <w:rPr>
          <w:spacing w:val="-4"/>
        </w:rPr>
        <w:t xml:space="preserve"> </w:t>
      </w:r>
      <w:r w:rsidRPr="00B12D08">
        <w:rPr>
          <w:spacing w:val="-1"/>
        </w:rPr>
        <w:t>participating</w:t>
      </w:r>
      <w:r w:rsidRPr="00B12D08">
        <w:rPr>
          <w:spacing w:val="-2"/>
        </w:rPr>
        <w:t xml:space="preserve"> </w:t>
      </w:r>
      <w:r w:rsidRPr="00B12D08">
        <w:t>CEP</w:t>
      </w:r>
      <w:r w:rsidRPr="00B12D08">
        <w:rPr>
          <w:spacing w:val="-4"/>
        </w:rPr>
        <w:t xml:space="preserve"> </w:t>
      </w:r>
      <w:r w:rsidRPr="00B12D08">
        <w:rPr>
          <w:spacing w:val="-1"/>
        </w:rPr>
        <w:lastRenderedPageBreak/>
        <w:t>SFAs</w:t>
      </w:r>
      <w:r w:rsidRPr="008A67A8">
        <w:rPr>
          <w:spacing w:val="-1"/>
        </w:rPr>
        <w:t>. For</w:t>
      </w:r>
      <w:r w:rsidRPr="008A67A8">
        <w:rPr>
          <w:spacing w:val="-3"/>
        </w:rPr>
        <w:t xml:space="preserve"> </w:t>
      </w:r>
      <w:r w:rsidR="000B7EFC" w:rsidRPr="008A67A8">
        <w:rPr>
          <w:spacing w:val="-3"/>
        </w:rPr>
        <w:t xml:space="preserve">any </w:t>
      </w:r>
      <w:r w:rsidRPr="008A67A8">
        <w:rPr>
          <w:spacing w:val="-3"/>
        </w:rPr>
        <w:t xml:space="preserve">SFA in </w:t>
      </w:r>
      <w:r w:rsidRPr="008A67A8">
        <w:rPr>
          <w:spacing w:val="-1"/>
        </w:rPr>
        <w:t>which</w:t>
      </w:r>
      <w:r w:rsidRPr="008A67A8">
        <w:rPr>
          <w:spacing w:val="-4"/>
        </w:rPr>
        <w:t xml:space="preserve"> </w:t>
      </w:r>
      <w:r w:rsidRPr="008A67A8">
        <w:rPr>
          <w:spacing w:val="-1"/>
        </w:rPr>
        <w:t>three</w:t>
      </w:r>
      <w:r w:rsidRPr="008A67A8">
        <w:rPr>
          <w:spacing w:val="-2"/>
        </w:rPr>
        <w:t xml:space="preserve"> </w:t>
      </w:r>
      <w:r w:rsidRPr="008A67A8">
        <w:rPr>
          <w:spacing w:val="-1"/>
        </w:rPr>
        <w:t>schools</w:t>
      </w:r>
      <w:r w:rsidRPr="008A67A8">
        <w:rPr>
          <w:spacing w:val="-5"/>
        </w:rPr>
        <w:t xml:space="preserve"> </w:t>
      </w:r>
      <w:r w:rsidR="000B7EFC" w:rsidRPr="008A67A8">
        <w:t>were</w:t>
      </w:r>
      <w:r w:rsidR="007543F9" w:rsidRPr="008A67A8">
        <w:t xml:space="preserve"> </w:t>
      </w:r>
      <w:r w:rsidRPr="008A67A8">
        <w:rPr>
          <w:spacing w:val="-1"/>
        </w:rPr>
        <w:t>selected, the</w:t>
      </w:r>
      <w:r>
        <w:rPr>
          <w:spacing w:val="-1"/>
        </w:rPr>
        <w:t xml:space="preserve"> schools</w:t>
      </w:r>
      <w:r w:rsidRPr="00B12D08">
        <w:rPr>
          <w:spacing w:val="-2"/>
        </w:rPr>
        <w:t xml:space="preserve"> </w:t>
      </w:r>
      <w:r w:rsidR="000B7EFC">
        <w:t>were</w:t>
      </w:r>
      <w:r w:rsidR="007543F9">
        <w:t xml:space="preserve"> </w:t>
      </w:r>
      <w:r>
        <w:rPr>
          <w:spacing w:val="-1"/>
        </w:rPr>
        <w:t>sorted</w:t>
      </w:r>
      <w:r>
        <w:rPr>
          <w:spacing w:val="-3"/>
        </w:rPr>
        <w:t xml:space="preserve"> </w:t>
      </w:r>
      <w:r>
        <w:rPr>
          <w:spacing w:val="-1"/>
        </w:rPr>
        <w:t>by the</w:t>
      </w:r>
      <w:r>
        <w:rPr>
          <w:spacing w:val="-2"/>
        </w:rPr>
        <w:t xml:space="preserve"> </w:t>
      </w:r>
      <w:r>
        <w:rPr>
          <w:spacing w:val="-1"/>
        </w:rPr>
        <w:t>three grade-level</w:t>
      </w:r>
      <w:r>
        <w:rPr>
          <w:spacing w:val="-2"/>
        </w:rPr>
        <w:t xml:space="preserve"> </w:t>
      </w:r>
      <w:r>
        <w:rPr>
          <w:spacing w:val="-1"/>
        </w:rPr>
        <w:t xml:space="preserve">strata, and within these strata schools </w:t>
      </w:r>
      <w:r w:rsidR="000B7EFC">
        <w:t>were</w:t>
      </w:r>
      <w:r>
        <w:rPr>
          <w:spacing w:val="-1"/>
        </w:rPr>
        <w:t xml:space="preserve"> further sorted by the appropriate school-level </w:t>
      </w:r>
      <w:r>
        <w:rPr>
          <w:rFonts w:cs="Garamond"/>
          <w:spacing w:val="-1"/>
        </w:rPr>
        <w:t xml:space="preserve">measure of size. For the non-CEP schools in the SFA, the </w:t>
      </w:r>
      <w:r w:rsidR="008F6A00">
        <w:rPr>
          <w:rFonts w:cs="Garamond"/>
          <w:spacing w:val="-1"/>
        </w:rPr>
        <w:t xml:space="preserve">measure of size </w:t>
      </w:r>
      <w:r w:rsidR="000B7EFC">
        <w:rPr>
          <w:rFonts w:cs="Garamond"/>
          <w:spacing w:val="-1"/>
        </w:rPr>
        <w:t xml:space="preserve">was </w:t>
      </w:r>
      <w:r>
        <w:rPr>
          <w:rFonts w:cs="Garamond"/>
          <w:spacing w:val="-1"/>
        </w:rPr>
        <w:t>defined by the number of students certified for free</w:t>
      </w:r>
      <w:r w:rsidR="008F6A00">
        <w:rPr>
          <w:rFonts w:cs="Garamond"/>
          <w:spacing w:val="-1"/>
        </w:rPr>
        <w:t xml:space="preserve"> or </w:t>
      </w:r>
      <w:r>
        <w:rPr>
          <w:rFonts w:cs="Garamond"/>
          <w:spacing w:val="-1"/>
        </w:rPr>
        <w:t>reduced</w:t>
      </w:r>
      <w:r w:rsidR="008F6A00">
        <w:rPr>
          <w:rFonts w:cs="Garamond"/>
          <w:spacing w:val="-1"/>
        </w:rPr>
        <w:t>-</w:t>
      </w:r>
      <w:r>
        <w:rPr>
          <w:rFonts w:cs="Garamond"/>
          <w:spacing w:val="-1"/>
        </w:rPr>
        <w:t xml:space="preserve">price meals within grade level. For the CEP schools in the SFA, the </w:t>
      </w:r>
      <w:r w:rsidR="008F6A00">
        <w:rPr>
          <w:rFonts w:cs="Garamond"/>
          <w:spacing w:val="-1"/>
        </w:rPr>
        <w:t xml:space="preserve">measure of size </w:t>
      </w:r>
      <w:r w:rsidR="00956DB1">
        <w:rPr>
          <w:rFonts w:cs="Garamond"/>
          <w:spacing w:val="-1"/>
        </w:rPr>
        <w:t xml:space="preserve">was </w:t>
      </w:r>
      <w:r>
        <w:rPr>
          <w:rFonts w:cs="Garamond"/>
          <w:spacing w:val="-1"/>
        </w:rPr>
        <w:t xml:space="preserve">defined by the </w:t>
      </w:r>
      <w:r w:rsidR="00B612B7">
        <w:t>number of students certified for free or reduced-price meals (i.e., enrollment of the school multiplied by the identified student percentage (ISP) multiplied by 1.6)</w:t>
      </w:r>
      <w:r>
        <w:rPr>
          <w:rFonts w:cs="Garamond"/>
          <w:spacing w:val="-1"/>
        </w:rPr>
        <w:t xml:space="preserve"> A systematic sample of the specified number of schools </w:t>
      </w:r>
      <w:r w:rsidR="00956DB1">
        <w:rPr>
          <w:rFonts w:cs="Garamond"/>
          <w:spacing w:val="-1"/>
        </w:rPr>
        <w:t>was</w:t>
      </w:r>
      <w:r>
        <w:rPr>
          <w:rFonts w:cs="Garamond"/>
          <w:spacing w:val="-1"/>
        </w:rPr>
        <w:t xml:space="preserve"> selected from the sorted list with probabilities proportionate to the school-level </w:t>
      </w:r>
      <w:r w:rsidR="008F6A00">
        <w:rPr>
          <w:rFonts w:cs="Garamond"/>
          <w:spacing w:val="-1"/>
        </w:rPr>
        <w:t>measure of size</w:t>
      </w:r>
      <w:r>
        <w:rPr>
          <w:rFonts w:cs="Garamond"/>
          <w:spacing w:val="-1"/>
        </w:rPr>
        <w:t>.</w:t>
      </w:r>
    </w:p>
    <w:p w14:paraId="4663AF86" w14:textId="68B6C373" w:rsidR="001D71DA" w:rsidRDefault="00956DB1" w:rsidP="00FB0E38">
      <w:pPr>
        <w:pStyle w:val="P1-StandPara"/>
        <w:ind w:firstLine="720"/>
        <w:rPr>
          <w:spacing w:val="-4"/>
        </w:rPr>
      </w:pPr>
      <w:r>
        <w:rPr>
          <w:spacing w:val="-1"/>
        </w:rPr>
        <w:t xml:space="preserve">With some exceptions, the CEP SFAs were designated to supply either one or three sampled schools for the study where feasible. The number of SFAs assigned to each group depended on the number of schools of a particular type (i.e., CEP or non-CEP) in the SFA, and the approximately optimal sampling rate for selecting schools within the SFA. Details about the allocation of schools to SFAs </w:t>
      </w:r>
      <w:r w:rsidR="007543F9">
        <w:rPr>
          <w:spacing w:val="-1"/>
        </w:rPr>
        <w:t xml:space="preserve">are </w:t>
      </w:r>
      <w:r>
        <w:rPr>
          <w:spacing w:val="-1"/>
        </w:rPr>
        <w:t xml:space="preserve">described in the APEC III School Sample Selection memo (Appendix Q).  Once the number of schools to be selected was determined, </w:t>
      </w:r>
      <w:r>
        <w:rPr>
          <w:spacing w:val="-2"/>
        </w:rPr>
        <w:t xml:space="preserve">the approach to selecting schools was as follows: first, </w:t>
      </w:r>
      <w:r>
        <w:rPr>
          <w:spacing w:val="-1"/>
        </w:rPr>
        <w:t xml:space="preserve">prior to sampling, schools were sorted by CEP status. </w:t>
      </w:r>
      <w:r>
        <w:rPr>
          <w:spacing w:val="-2"/>
        </w:rPr>
        <w:t>Within the CEP stratum, schools were sorted</w:t>
      </w:r>
      <w:r>
        <w:rPr>
          <w:spacing w:val="-1"/>
        </w:rPr>
        <w:t xml:space="preserve"> by grade level category and by measure of size within grade level.</w:t>
      </w:r>
      <w:r>
        <w:rPr>
          <w:spacing w:val="-2"/>
        </w:rPr>
        <w:t xml:space="preserve"> The specified number of CEP schools was then selected from the sorted list with probabilities proportionate to the measure of size. The aim was to sample at least one CEP school from the CEP SFAs. The selection of the non-CEP schools was done in a similar fashion, except that sampling was done across all CEP SFAs.</w:t>
      </w:r>
      <w:r>
        <w:rPr>
          <w:rStyle w:val="FootnoteReference"/>
          <w:spacing w:val="-2"/>
        </w:rPr>
        <w:footnoteReference w:id="12"/>
      </w:r>
      <w:r>
        <w:rPr>
          <w:spacing w:val="-2"/>
        </w:rPr>
        <w:t xml:space="preserve"> </w:t>
      </w:r>
      <w:r>
        <w:t>In this way, all</w:t>
      </w:r>
      <w:r>
        <w:rPr>
          <w:spacing w:val="-2"/>
        </w:rPr>
        <w:t xml:space="preserve"> non-CEP </w:t>
      </w:r>
      <w:r>
        <w:rPr>
          <w:spacing w:val="-1"/>
        </w:rPr>
        <w:t>schools</w:t>
      </w:r>
      <w:r>
        <w:rPr>
          <w:spacing w:val="-4"/>
        </w:rPr>
        <w:t xml:space="preserve"> in CEP </w:t>
      </w:r>
      <w:r w:rsidR="00120470">
        <w:rPr>
          <w:spacing w:val="-4"/>
        </w:rPr>
        <w:t xml:space="preserve">SFAs have </w:t>
      </w:r>
      <w:r w:rsidR="00610EDB">
        <w:rPr>
          <w:spacing w:val="-4"/>
        </w:rPr>
        <w:t>an appropriate non-zero chance of selection.</w:t>
      </w:r>
    </w:p>
    <w:p w14:paraId="44B4AD69" w14:textId="185B24D8" w:rsidR="005305E5" w:rsidRDefault="005305E5" w:rsidP="00FB0E38">
      <w:pPr>
        <w:pStyle w:val="P1-StandPara"/>
        <w:ind w:firstLine="720"/>
        <w:rPr>
          <w:spacing w:val="-1"/>
        </w:rPr>
      </w:pPr>
    </w:p>
    <w:p w14:paraId="626D6AA3" w14:textId="76B154D6" w:rsidR="00D90AE2" w:rsidRDefault="00D90AE2" w:rsidP="005305E5">
      <w:pPr>
        <w:pStyle w:val="P1-StandPara"/>
        <w:rPr>
          <w:szCs w:val="24"/>
        </w:rPr>
      </w:pPr>
      <w:r w:rsidRPr="006B172C">
        <w:rPr>
          <w:b/>
        </w:rPr>
        <w:lastRenderedPageBreak/>
        <w:t xml:space="preserve">Sample Selection of Students. </w:t>
      </w:r>
      <w:r w:rsidRPr="00717718">
        <w:t>The targeted number of sampled students (respondents) per participating school is</w:t>
      </w:r>
      <w:r>
        <w:t xml:space="preserve"> approximately</w:t>
      </w:r>
      <w:r w:rsidRPr="00717718">
        <w:t xml:space="preserve"> </w:t>
      </w:r>
      <w:r>
        <w:t>11</w:t>
      </w:r>
      <w:r w:rsidRPr="00717718">
        <w:t xml:space="preserve"> i</w:t>
      </w:r>
      <w:r>
        <w:t>n non-CEP schools</w:t>
      </w:r>
      <w:r w:rsidR="008515F1">
        <w:rPr>
          <w:rStyle w:val="FootnoteReference"/>
        </w:rPr>
        <w:footnoteReference w:id="13"/>
      </w:r>
      <w:r>
        <w:t>. Assuming a 75</w:t>
      </w:r>
      <w:r w:rsidRPr="00717718">
        <w:t xml:space="preserve"> percent participation/eligibility rate, the sampling rate within schools will be determined so that an average of roughly </w:t>
      </w:r>
      <w:r>
        <w:t>16 students will be</w:t>
      </w:r>
      <w:r w:rsidRPr="00717718">
        <w:t xml:space="preserve"> sampled per school. Lists of study</w:t>
      </w:r>
      <w:r w:rsidR="0044268F">
        <w:t>-</w:t>
      </w:r>
      <w:r w:rsidRPr="00717718">
        <w:t>eligible students will be created for each participating school</w:t>
      </w:r>
      <w:r w:rsidR="0044268F">
        <w:t>,</w:t>
      </w:r>
      <w:r w:rsidRPr="00717718">
        <w:t xml:space="preserve"> including a flag distinguishing between those </w:t>
      </w:r>
      <w:r>
        <w:t>approved</w:t>
      </w:r>
      <w:r w:rsidRPr="00717718">
        <w:t xml:space="preserve"> for free or reduced-price meals </w:t>
      </w:r>
      <w:r>
        <w:t xml:space="preserve">and </w:t>
      </w:r>
      <w:r w:rsidRPr="00717718">
        <w:t xml:space="preserve">those whose application was denied. Prior to sample selection, we will sort the students by this certification status flag to ensure proportional representation on this characteristic within schools. An equal probability sample of students will then be selected from each non-CEP school at rates designed to achieve (to the extent feasible) an overall self-weighting sample of students among all non-CEP schools. </w:t>
      </w:r>
      <w:proofErr w:type="gramStart"/>
      <w:r w:rsidRPr="00717718">
        <w:t>Note that the non-CEP schools from which the students will be sampled can belong to either a non-CEP SFA or a CEP SFA.</w:t>
      </w:r>
      <w:proofErr w:type="gramEnd"/>
    </w:p>
    <w:p w14:paraId="1AA0D2B9" w14:textId="7A4153D2" w:rsidR="00D90AE2" w:rsidRDefault="00D90AE2" w:rsidP="005305E5">
      <w:pPr>
        <w:pStyle w:val="P1-StandPara"/>
        <w:rPr>
          <w:szCs w:val="24"/>
        </w:rPr>
      </w:pPr>
      <w:r w:rsidRPr="00717718">
        <w:t>Note that, unlike APEC</w:t>
      </w:r>
      <w:r w:rsidR="0044268F">
        <w:t xml:space="preserve"> </w:t>
      </w:r>
      <w:r w:rsidRPr="00717718">
        <w:t>II, no effort will be made to limit sampling to one sampled student per household. There is no need to do so, and there are ways to limit, even eliminate, the number of times more than one student is selected per household</w:t>
      </w:r>
      <w:r w:rsidR="0044268F">
        <w:t>.</w:t>
      </w:r>
      <w:r>
        <w:rPr>
          <w:rStyle w:val="FootnoteReference"/>
        </w:rPr>
        <w:footnoteReference w:id="14"/>
      </w:r>
      <w:r>
        <w:t xml:space="preserve"> </w:t>
      </w:r>
      <w:r w:rsidRPr="00717718">
        <w:t>In sampling student records within participating CEP schools, the targeted number of</w:t>
      </w:r>
      <w:r>
        <w:t xml:space="preserve"> </w:t>
      </w:r>
      <w:r w:rsidRPr="00717718">
        <w:t>student</w:t>
      </w:r>
      <w:r>
        <w:t xml:space="preserve"> records</w:t>
      </w:r>
      <w:r w:rsidRPr="00717718">
        <w:t xml:space="preserve"> is </w:t>
      </w:r>
      <w:r w:rsidRPr="002416B5">
        <w:t>24</w:t>
      </w:r>
      <w:r>
        <w:t xml:space="preserve"> per school</w:t>
      </w:r>
      <w:r w:rsidR="00FB7BF7">
        <w:rPr>
          <w:rStyle w:val="FootnoteReference"/>
        </w:rPr>
        <w:footnoteReference w:id="15"/>
      </w:r>
      <w:r w:rsidRPr="00717718">
        <w:t>.</w:t>
      </w:r>
      <w:r>
        <w:t xml:space="preserve"> Students will be assigned to two groups: </w:t>
      </w:r>
      <w:r w:rsidR="00031E21">
        <w:t xml:space="preserve">(a) </w:t>
      </w:r>
      <w:r>
        <w:t>identified students</w:t>
      </w:r>
      <w:r w:rsidR="00031E21">
        <w:t>,</w:t>
      </w:r>
      <w:r>
        <w:t xml:space="preserve"> and </w:t>
      </w:r>
      <w:r w:rsidR="00031E21">
        <w:t xml:space="preserve">(b) </w:t>
      </w:r>
      <w:r>
        <w:t>students who were not identified or certified for school meal benefits.</w:t>
      </w:r>
    </w:p>
    <w:p w14:paraId="26C0BF14" w14:textId="234A0D73" w:rsidR="005305E5" w:rsidRDefault="00D90AE2" w:rsidP="005305E5">
      <w:pPr>
        <w:pStyle w:val="P1-StandPara"/>
        <w:rPr>
          <w:szCs w:val="24"/>
        </w:rPr>
      </w:pPr>
      <w:r w:rsidRPr="009D2C45">
        <w:t>Finally, we note that the targeted student</w:t>
      </w:r>
      <w:r>
        <w:t xml:space="preserve"> record sample sizes summarized </w:t>
      </w:r>
      <w:r w:rsidRPr="000746CC">
        <w:t>in Table B1-1</w:t>
      </w:r>
      <w:r>
        <w:t xml:space="preserve"> refer to the total sample size across three rounds of data collection. </w:t>
      </w:r>
      <w:r>
        <w:rPr>
          <w:szCs w:val="24"/>
        </w:rPr>
        <w:t>Based on an analysis of application data by certification month from APEC II, we expect to allocate about 66</w:t>
      </w:r>
      <w:r w:rsidR="00186A08">
        <w:rPr>
          <w:szCs w:val="24"/>
        </w:rPr>
        <w:t xml:space="preserve"> percent</w:t>
      </w:r>
      <w:r>
        <w:rPr>
          <w:szCs w:val="24"/>
        </w:rPr>
        <w:t xml:space="preserve"> of the </w:t>
      </w:r>
      <w:r>
        <w:rPr>
          <w:szCs w:val="24"/>
        </w:rPr>
        <w:lastRenderedPageBreak/>
        <w:t xml:space="preserve">sampled households to the first data collection </w:t>
      </w:r>
      <w:r w:rsidR="00395EE9">
        <w:rPr>
          <w:szCs w:val="24"/>
        </w:rPr>
        <w:t xml:space="preserve">phase </w:t>
      </w:r>
      <w:r w:rsidR="004E7A33">
        <w:rPr>
          <w:szCs w:val="24"/>
        </w:rPr>
        <w:t>(</w:t>
      </w:r>
      <w:r w:rsidR="00395EE9">
        <w:rPr>
          <w:szCs w:val="24"/>
        </w:rPr>
        <w:t>August 2017 to November 2017</w:t>
      </w:r>
      <w:r w:rsidR="004E7A33">
        <w:rPr>
          <w:szCs w:val="24"/>
        </w:rPr>
        <w:t>)</w:t>
      </w:r>
      <w:r>
        <w:rPr>
          <w:szCs w:val="24"/>
        </w:rPr>
        <w:t>, 32</w:t>
      </w:r>
      <w:r w:rsidR="00186A08">
        <w:rPr>
          <w:szCs w:val="24"/>
        </w:rPr>
        <w:t xml:space="preserve"> percent</w:t>
      </w:r>
      <w:r>
        <w:rPr>
          <w:szCs w:val="24"/>
        </w:rPr>
        <w:t xml:space="preserve"> to the second data collection </w:t>
      </w:r>
      <w:r w:rsidR="00395EE9">
        <w:rPr>
          <w:szCs w:val="24"/>
        </w:rPr>
        <w:t xml:space="preserve">phase </w:t>
      </w:r>
      <w:r w:rsidR="004E7A33">
        <w:rPr>
          <w:szCs w:val="24"/>
        </w:rPr>
        <w:t>(</w:t>
      </w:r>
      <w:r w:rsidR="00395EE9">
        <w:rPr>
          <w:szCs w:val="24"/>
        </w:rPr>
        <w:t>December 2017 to February 2018</w:t>
      </w:r>
      <w:r w:rsidR="004E7A33">
        <w:rPr>
          <w:szCs w:val="24"/>
        </w:rPr>
        <w:t>)</w:t>
      </w:r>
      <w:r>
        <w:rPr>
          <w:szCs w:val="24"/>
        </w:rPr>
        <w:t>, and the remaining 2-3</w:t>
      </w:r>
      <w:r w:rsidR="00186A08">
        <w:rPr>
          <w:szCs w:val="24"/>
        </w:rPr>
        <w:t xml:space="preserve"> percent</w:t>
      </w:r>
      <w:r>
        <w:rPr>
          <w:szCs w:val="24"/>
        </w:rPr>
        <w:t xml:space="preserve"> to the third data collection </w:t>
      </w:r>
      <w:r w:rsidR="00395EE9">
        <w:rPr>
          <w:szCs w:val="24"/>
        </w:rPr>
        <w:t xml:space="preserve">phase </w:t>
      </w:r>
      <w:r w:rsidR="004E7A33">
        <w:rPr>
          <w:szCs w:val="24"/>
        </w:rPr>
        <w:t>(</w:t>
      </w:r>
      <w:r w:rsidR="00395EE9">
        <w:rPr>
          <w:szCs w:val="24"/>
        </w:rPr>
        <w:t>March 2018 to June 2018</w:t>
      </w:r>
      <w:r w:rsidR="004E7A33">
        <w:rPr>
          <w:szCs w:val="24"/>
        </w:rPr>
        <w:t>)</w:t>
      </w:r>
      <w:r>
        <w:rPr>
          <w:szCs w:val="24"/>
        </w:rPr>
        <w:t>.</w:t>
      </w:r>
      <w:r w:rsidR="004E7A33" w:rsidRPr="004E7A33">
        <w:t xml:space="preserve"> </w:t>
      </w:r>
      <w:r w:rsidR="004E7A33">
        <w:t xml:space="preserve">This will ensure that the </w:t>
      </w:r>
      <w:r w:rsidR="004E7A33">
        <w:rPr>
          <w:szCs w:val="24"/>
        </w:rPr>
        <w:t>sample represents all the applications for the school year and will eliminate any potential seasonal biases.</w:t>
      </w:r>
    </w:p>
    <w:p w14:paraId="4B6F1AC3" w14:textId="4ACA7986" w:rsidR="005305E5" w:rsidRDefault="00D90AE2" w:rsidP="005305E5">
      <w:pPr>
        <w:pStyle w:val="P1-StandPara"/>
        <w:rPr>
          <w:szCs w:val="24"/>
        </w:rPr>
      </w:pPr>
      <w:r w:rsidRPr="0058753E">
        <w:rPr>
          <w:b/>
        </w:rPr>
        <w:t xml:space="preserve">Case Selection for Qualitative Interviews. </w:t>
      </w:r>
      <w:r w:rsidRPr="00F23985">
        <w:rPr>
          <w:szCs w:val="24"/>
        </w:rPr>
        <w:t>APEC III will conduct three sets of qualitative</w:t>
      </w:r>
      <w:r w:rsidRPr="00130B94">
        <w:rPr>
          <w:szCs w:val="24"/>
        </w:rPr>
        <w:t xml:space="preserve"> interviews: interviews with SFA directors</w:t>
      </w:r>
      <w:r w:rsidR="005350BB">
        <w:rPr>
          <w:szCs w:val="24"/>
        </w:rPr>
        <w:t xml:space="preserve"> (Appendix B1</w:t>
      </w:r>
      <w:r w:rsidR="00C77357">
        <w:rPr>
          <w:szCs w:val="24"/>
        </w:rPr>
        <w:t>2</w:t>
      </w:r>
      <w:r w:rsidR="005350BB">
        <w:rPr>
          <w:szCs w:val="24"/>
        </w:rPr>
        <w:t>)</w:t>
      </w:r>
      <w:r w:rsidRPr="00130B94">
        <w:rPr>
          <w:szCs w:val="24"/>
        </w:rPr>
        <w:t>, cafeteria managers</w:t>
      </w:r>
      <w:r w:rsidR="005350BB">
        <w:rPr>
          <w:szCs w:val="24"/>
        </w:rPr>
        <w:t xml:space="preserve"> (Appendix C5)</w:t>
      </w:r>
      <w:r w:rsidRPr="00130B94">
        <w:rPr>
          <w:szCs w:val="24"/>
        </w:rPr>
        <w:t>, and parents/guardians</w:t>
      </w:r>
      <w:r w:rsidR="005350BB">
        <w:rPr>
          <w:szCs w:val="24"/>
        </w:rPr>
        <w:t xml:space="preserve"> (Appendix D13/D14)</w:t>
      </w:r>
      <w:r w:rsidRPr="00130B94">
        <w:rPr>
          <w:szCs w:val="24"/>
        </w:rPr>
        <w:t xml:space="preserve">. </w:t>
      </w:r>
      <w:r w:rsidR="005350BB">
        <w:rPr>
          <w:szCs w:val="24"/>
        </w:rPr>
        <w:t xml:space="preserve">The procedures for the qualitative interviews are summarized in the data collection procedures section </w:t>
      </w:r>
      <w:r w:rsidR="00E464AB">
        <w:rPr>
          <w:szCs w:val="24"/>
        </w:rPr>
        <w:t>of this Supporting Statement (page 25)</w:t>
      </w:r>
      <w:r w:rsidR="005350BB">
        <w:rPr>
          <w:szCs w:val="24"/>
        </w:rPr>
        <w:t xml:space="preserve">. </w:t>
      </w:r>
      <w:r w:rsidRPr="00130B94">
        <w:rPr>
          <w:szCs w:val="24"/>
        </w:rPr>
        <w:t xml:space="preserve">The samples for the qualitative interviews will be selected from the pool of respondents in the main APEC III sample. With a total of 60 SFA </w:t>
      </w:r>
      <w:r w:rsidR="0044268F">
        <w:rPr>
          <w:szCs w:val="24"/>
        </w:rPr>
        <w:t>d</w:t>
      </w:r>
      <w:r w:rsidR="0044268F" w:rsidRPr="00130B94">
        <w:rPr>
          <w:szCs w:val="24"/>
        </w:rPr>
        <w:t xml:space="preserve">irector </w:t>
      </w:r>
      <w:r w:rsidR="0044268F">
        <w:rPr>
          <w:szCs w:val="24"/>
        </w:rPr>
        <w:t>i</w:t>
      </w:r>
      <w:r w:rsidRPr="00130B94">
        <w:rPr>
          <w:szCs w:val="24"/>
        </w:rPr>
        <w:t xml:space="preserve">nterviews, we will select an equal number of SFA </w:t>
      </w:r>
      <w:r w:rsidR="0044268F">
        <w:rPr>
          <w:szCs w:val="24"/>
        </w:rPr>
        <w:t>d</w:t>
      </w:r>
      <w:r w:rsidRPr="00130B94">
        <w:rPr>
          <w:szCs w:val="24"/>
        </w:rPr>
        <w:t>irectors from small SFAs (1</w:t>
      </w:r>
      <w:r w:rsidR="0044268F">
        <w:rPr>
          <w:rFonts w:ascii="Calibri" w:hAnsi="Calibri"/>
          <w:szCs w:val="24"/>
        </w:rPr>
        <w:t>‒</w:t>
      </w:r>
      <w:r w:rsidRPr="00130B94">
        <w:rPr>
          <w:szCs w:val="24"/>
        </w:rPr>
        <w:t>999 students), medium SFAs (1,000</w:t>
      </w:r>
      <w:r w:rsidR="0044268F">
        <w:rPr>
          <w:rFonts w:ascii="Calibri" w:hAnsi="Calibri"/>
          <w:szCs w:val="24"/>
        </w:rPr>
        <w:t>‒</w:t>
      </w:r>
      <w:r w:rsidRPr="00130B94">
        <w:rPr>
          <w:szCs w:val="24"/>
        </w:rPr>
        <w:t>4,999 students), large SFAs (5,000</w:t>
      </w:r>
      <w:r w:rsidR="0044268F">
        <w:rPr>
          <w:rFonts w:ascii="Calibri" w:hAnsi="Calibri"/>
          <w:szCs w:val="24"/>
        </w:rPr>
        <w:t>‒</w:t>
      </w:r>
      <w:r w:rsidRPr="00130B94">
        <w:rPr>
          <w:szCs w:val="24"/>
        </w:rPr>
        <w:t>24,999), and ver</w:t>
      </w:r>
      <w:r>
        <w:rPr>
          <w:szCs w:val="24"/>
        </w:rPr>
        <w:t>y large SFAs (25,000+ students)</w:t>
      </w:r>
      <w:r w:rsidRPr="00130B94">
        <w:rPr>
          <w:szCs w:val="24"/>
        </w:rPr>
        <w:t xml:space="preserve"> to interview to capture the range of viewpoints and practices. The sample for SFA </w:t>
      </w:r>
      <w:r w:rsidR="0044268F">
        <w:rPr>
          <w:szCs w:val="24"/>
        </w:rPr>
        <w:t>d</w:t>
      </w:r>
      <w:r w:rsidR="0044268F" w:rsidRPr="00130B94">
        <w:rPr>
          <w:szCs w:val="24"/>
        </w:rPr>
        <w:t xml:space="preserve">irector </w:t>
      </w:r>
      <w:r w:rsidR="0044268F">
        <w:rPr>
          <w:szCs w:val="24"/>
        </w:rPr>
        <w:t>i</w:t>
      </w:r>
      <w:r w:rsidRPr="00130B94">
        <w:rPr>
          <w:szCs w:val="24"/>
        </w:rPr>
        <w:t xml:space="preserve">nterviews will include both CEP and non-CEP SFAs. SFA </w:t>
      </w:r>
      <w:r w:rsidR="0044268F">
        <w:rPr>
          <w:szCs w:val="24"/>
        </w:rPr>
        <w:t>d</w:t>
      </w:r>
      <w:r w:rsidRPr="00130B94">
        <w:rPr>
          <w:szCs w:val="24"/>
        </w:rPr>
        <w:t>irector</w:t>
      </w:r>
      <w:r>
        <w:rPr>
          <w:szCs w:val="24"/>
        </w:rPr>
        <w:t>s</w:t>
      </w:r>
      <w:r w:rsidRPr="00130B94">
        <w:rPr>
          <w:szCs w:val="24"/>
        </w:rPr>
        <w:t xml:space="preserve"> </w:t>
      </w:r>
      <w:r>
        <w:rPr>
          <w:szCs w:val="24"/>
        </w:rPr>
        <w:t>will be contacted to</w:t>
      </w:r>
      <w:r w:rsidRPr="00130B94">
        <w:rPr>
          <w:szCs w:val="24"/>
        </w:rPr>
        <w:t xml:space="preserve"> explain the purpose of the interview </w:t>
      </w:r>
      <w:r w:rsidR="00C77357">
        <w:rPr>
          <w:szCs w:val="24"/>
        </w:rPr>
        <w:t xml:space="preserve">(Appendix B12) </w:t>
      </w:r>
      <w:r w:rsidRPr="00130B94">
        <w:rPr>
          <w:szCs w:val="24"/>
        </w:rPr>
        <w:t>and provide the opportunity for other staff to participate, as there may be other staff more directly involved in the certifi</w:t>
      </w:r>
      <w:r>
        <w:rPr>
          <w:szCs w:val="24"/>
        </w:rPr>
        <w:t>cation and claiming processes.</w:t>
      </w:r>
    </w:p>
    <w:p w14:paraId="00628309" w14:textId="3085AEB0" w:rsidR="005305E5" w:rsidRDefault="00D90AE2" w:rsidP="005305E5">
      <w:pPr>
        <w:pStyle w:val="P1-StandPara"/>
        <w:rPr>
          <w:szCs w:val="24"/>
        </w:rPr>
      </w:pPr>
      <w:r>
        <w:rPr>
          <w:szCs w:val="24"/>
        </w:rPr>
        <w:t>APEC III</w:t>
      </w:r>
      <w:r w:rsidRPr="00130B94">
        <w:rPr>
          <w:szCs w:val="24"/>
        </w:rPr>
        <w:t xml:space="preserve"> will conduct 60 s</w:t>
      </w:r>
      <w:r>
        <w:rPr>
          <w:szCs w:val="24"/>
        </w:rPr>
        <w:t xml:space="preserve">emi-structured interviews with </w:t>
      </w:r>
      <w:r w:rsidRPr="00130B94">
        <w:rPr>
          <w:szCs w:val="24"/>
        </w:rPr>
        <w:t>cafeteria managers of participating schools during data collection visits. Criteria for selecting cafeteria managers will inclu</w:t>
      </w:r>
      <w:r>
        <w:rPr>
          <w:szCs w:val="24"/>
        </w:rPr>
        <w:t>de SFA size, school grade level,</w:t>
      </w:r>
      <w:r w:rsidRPr="00130B94">
        <w:rPr>
          <w:szCs w:val="24"/>
        </w:rPr>
        <w:t xml:space="preserve"> and CEP status. Qualitative analysis will be completed on a rolling basis. Interviews with cafeteria managers </w:t>
      </w:r>
      <w:r w:rsidR="00C77357">
        <w:rPr>
          <w:szCs w:val="24"/>
        </w:rPr>
        <w:t xml:space="preserve">(Appendix C5) </w:t>
      </w:r>
      <w:r w:rsidRPr="00130B94">
        <w:rPr>
          <w:szCs w:val="24"/>
        </w:rPr>
        <w:t>will offer additional insight on factors leading to meal claiming, counting</w:t>
      </w:r>
      <w:r>
        <w:rPr>
          <w:szCs w:val="24"/>
        </w:rPr>
        <w:t>,</w:t>
      </w:r>
      <w:r w:rsidRPr="00130B94">
        <w:rPr>
          <w:szCs w:val="24"/>
        </w:rPr>
        <w:t xml:space="preserve"> and reimbursable meal errors.</w:t>
      </w:r>
    </w:p>
    <w:p w14:paraId="5E499BBA" w14:textId="02BF4FE4" w:rsidR="005305E5" w:rsidRDefault="00D90AE2" w:rsidP="005305E5">
      <w:pPr>
        <w:pStyle w:val="P1-StandPara"/>
        <w:rPr>
          <w:szCs w:val="24"/>
        </w:rPr>
      </w:pPr>
      <w:r>
        <w:rPr>
          <w:szCs w:val="24"/>
        </w:rPr>
        <w:t>A</w:t>
      </w:r>
      <w:r w:rsidRPr="00130B94">
        <w:rPr>
          <w:szCs w:val="24"/>
        </w:rPr>
        <w:t xml:space="preserve"> </w:t>
      </w:r>
      <w:r w:rsidR="00610EDB">
        <w:rPr>
          <w:szCs w:val="24"/>
        </w:rPr>
        <w:t xml:space="preserve">random sample of </w:t>
      </w:r>
      <w:r w:rsidRPr="00130B94">
        <w:rPr>
          <w:szCs w:val="24"/>
        </w:rPr>
        <w:t xml:space="preserve">60 households </w:t>
      </w:r>
      <w:r>
        <w:rPr>
          <w:szCs w:val="24"/>
        </w:rPr>
        <w:t xml:space="preserve">will be contacted </w:t>
      </w:r>
      <w:r w:rsidRPr="00130B94">
        <w:rPr>
          <w:szCs w:val="24"/>
        </w:rPr>
        <w:t>for the qualitative interviews</w:t>
      </w:r>
      <w:r w:rsidR="00C77357">
        <w:rPr>
          <w:szCs w:val="24"/>
        </w:rPr>
        <w:t xml:space="preserve"> (Appendix D13/14)</w:t>
      </w:r>
      <w:r w:rsidR="0044268F">
        <w:rPr>
          <w:szCs w:val="24"/>
        </w:rPr>
        <w:t>:</w:t>
      </w:r>
      <w:r w:rsidRPr="00130B94">
        <w:rPr>
          <w:szCs w:val="24"/>
        </w:rPr>
        <w:t xml:space="preserve"> 30 households with application errors and 30 without application errors. </w:t>
      </w:r>
      <w:r w:rsidRPr="00130B94">
        <w:rPr>
          <w:szCs w:val="24"/>
        </w:rPr>
        <w:lastRenderedPageBreak/>
        <w:t>Application errors will be identified by analyzing income and household size variables from two sources: (1) application abstraction</w:t>
      </w:r>
      <w:r w:rsidR="00C01711">
        <w:rPr>
          <w:szCs w:val="24"/>
        </w:rPr>
        <w:t xml:space="preserve"> (Appendix B7)</w:t>
      </w:r>
      <w:r w:rsidR="0044268F">
        <w:rPr>
          <w:szCs w:val="24"/>
        </w:rPr>
        <w:t>;</w:t>
      </w:r>
      <w:r w:rsidRPr="00130B94">
        <w:rPr>
          <w:szCs w:val="24"/>
        </w:rPr>
        <w:t xml:space="preserve"> and (2) the household survey</w:t>
      </w:r>
      <w:r w:rsidR="00C01711">
        <w:rPr>
          <w:szCs w:val="24"/>
        </w:rPr>
        <w:t xml:space="preserve"> (Appendix D5/D6)</w:t>
      </w:r>
      <w:r w:rsidRPr="00130B94">
        <w:rPr>
          <w:szCs w:val="24"/>
        </w:rPr>
        <w:t xml:space="preserve">. Sampling will be </w:t>
      </w:r>
      <w:r w:rsidR="005350BB">
        <w:rPr>
          <w:szCs w:val="24"/>
        </w:rPr>
        <w:t xml:space="preserve">stratified by the two groups (with and without errors), and randomly selected </w:t>
      </w:r>
      <w:r w:rsidRPr="00130B94">
        <w:rPr>
          <w:szCs w:val="24"/>
        </w:rPr>
        <w:t>on a rolling basis over the course of the year and will only include households with student</w:t>
      </w:r>
      <w:r>
        <w:rPr>
          <w:szCs w:val="24"/>
        </w:rPr>
        <w:t>s that are in non-CEP schools</w:t>
      </w:r>
      <w:r w:rsidR="005350BB">
        <w:rPr>
          <w:rStyle w:val="FootnoteReference"/>
          <w:szCs w:val="24"/>
        </w:rPr>
        <w:footnoteReference w:id="16"/>
      </w:r>
      <w:r>
        <w:rPr>
          <w:szCs w:val="24"/>
        </w:rPr>
        <w:t>.</w:t>
      </w:r>
    </w:p>
    <w:p w14:paraId="48E815E6" w14:textId="77777777" w:rsidR="00186A08" w:rsidRDefault="00D90AE2" w:rsidP="00566D6F">
      <w:pPr>
        <w:pStyle w:val="Heading4"/>
      </w:pPr>
      <w:r w:rsidRPr="00BA4712">
        <w:t>Estimation Procedures</w:t>
      </w:r>
    </w:p>
    <w:p w14:paraId="0A9CECED" w14:textId="77777777" w:rsidR="00186A08" w:rsidRDefault="00D90AE2" w:rsidP="00566D6F">
      <w:pPr>
        <w:pStyle w:val="P1-StandPara"/>
      </w:pPr>
      <w:r w:rsidRPr="006B172C">
        <w:rPr>
          <w:b/>
        </w:rPr>
        <w:t xml:space="preserve">Weighting. </w:t>
      </w:r>
      <w:r>
        <w:t xml:space="preserve">The analysis of errors occurs at the student level for certification errors and the school level for meal claiming and aggregation errors. In addition, results from the SFA </w:t>
      </w:r>
      <w:r w:rsidR="0044268F">
        <w:t>d</w:t>
      </w:r>
      <w:r>
        <w:t xml:space="preserve">irector </w:t>
      </w:r>
      <w:r w:rsidR="0044268F">
        <w:t>s</w:t>
      </w:r>
      <w:r>
        <w:t>urvey will be used to derive nationally</w:t>
      </w:r>
      <w:r w:rsidR="0044268F">
        <w:t xml:space="preserve"> </w:t>
      </w:r>
      <w:r>
        <w:t>representative estimates of SFA and meal program characteristics. Thus, three sets of weights corresponding to the three levels of sampling and analysis (i.e., SFAs, schools, and students/households) will be constructed as described below. The construction of the required weights will be carried out sequentially starting with the SFA weights</w:t>
      </w:r>
      <w:r w:rsidR="00DF149A">
        <w:t xml:space="preserve"> because</w:t>
      </w:r>
      <w:r>
        <w:t xml:space="preserve"> the weights for each subsequent stage of analysis will build on the weights computed in the previous stage.</w:t>
      </w:r>
    </w:p>
    <w:p w14:paraId="413A07CE" w14:textId="77777777" w:rsidR="00186A08" w:rsidRDefault="00D90AE2" w:rsidP="00566D6F">
      <w:pPr>
        <w:pStyle w:val="P1-StandPara"/>
      </w:pPr>
      <w:r>
        <w:t>In general, sampling weights are required for analysis of complex survey data such as those obtained in APEC</w:t>
      </w:r>
      <w:r w:rsidR="00DF149A">
        <w:t xml:space="preserve"> </w:t>
      </w:r>
      <w:r>
        <w:t>III</w:t>
      </w:r>
      <w:r w:rsidRPr="00EE4FCF">
        <w:t xml:space="preserve"> to</w:t>
      </w:r>
      <w:r>
        <w:t xml:space="preserve"> (a)</w:t>
      </w:r>
      <w:r w:rsidR="00186A08">
        <w:t> </w:t>
      </w:r>
      <w:r w:rsidRPr="00EE4FCF">
        <w:t>reflect the probabilities of selection at the three stages of sampling</w:t>
      </w:r>
      <w:r>
        <w:t>−</w:t>
      </w:r>
      <w:r w:rsidRPr="00EE4FCF">
        <w:t>SFAs, schools, and students/households</w:t>
      </w:r>
      <w:r>
        <w:t>; (b)</w:t>
      </w:r>
      <w:r w:rsidR="00186A08">
        <w:t> </w:t>
      </w:r>
      <w:r w:rsidRPr="00EE4FCF">
        <w:t>compensate for differential rates of nonresponse</w:t>
      </w:r>
      <w:r>
        <w:t xml:space="preserve"> at the various stages of sampling; and (c)</w:t>
      </w:r>
      <w:r w:rsidR="00186A08">
        <w:t> </w:t>
      </w:r>
      <w:r>
        <w:t>adjust for sampling variability and potential under coverage through post stratification (calibration).</w:t>
      </w:r>
    </w:p>
    <w:p w14:paraId="6A4A3D27" w14:textId="77777777" w:rsidR="00D90AE2" w:rsidRDefault="00D90AE2" w:rsidP="00566D6F">
      <w:pPr>
        <w:pStyle w:val="P1-StandPara"/>
      </w:pPr>
      <w:r>
        <w:t>Because the w</w:t>
      </w:r>
      <w:r w:rsidRPr="00EE4FCF">
        <w:t xml:space="preserve">eights </w:t>
      </w:r>
      <w:r>
        <w:t xml:space="preserve">to be constructed </w:t>
      </w:r>
      <w:r w:rsidRPr="00EE4FCF">
        <w:t>at each level are n</w:t>
      </w:r>
      <w:r>
        <w:t>ot independent from each other, we begin with a description of the methodology for constructing the SFA weights, followed by the school weights, and finally the student/household weights.</w:t>
      </w:r>
    </w:p>
    <w:p w14:paraId="3D1900C5" w14:textId="77777777" w:rsidR="00186A08" w:rsidRDefault="00D90AE2" w:rsidP="00566D6F">
      <w:pPr>
        <w:pStyle w:val="P1-StandPara"/>
      </w:pPr>
      <w:r w:rsidRPr="006B172C">
        <w:rPr>
          <w:b/>
        </w:rPr>
        <w:lastRenderedPageBreak/>
        <w:t>SFA Weights.</w:t>
      </w:r>
      <w:r>
        <w:rPr>
          <w:b/>
        </w:rPr>
        <w:t xml:space="preserve"> </w:t>
      </w:r>
      <w:r>
        <w:t xml:space="preserve">An SFA-level weight is required for analysis of results from the SFA </w:t>
      </w:r>
      <w:r w:rsidR="00DF149A">
        <w:t>d</w:t>
      </w:r>
      <w:r>
        <w:t xml:space="preserve">irector </w:t>
      </w:r>
      <w:r w:rsidR="00DF149A">
        <w:t>s</w:t>
      </w:r>
      <w:r>
        <w:t xml:space="preserve">urvey such as those presented in Appendix D of </w:t>
      </w:r>
      <w:r w:rsidR="00DF149A">
        <w:t xml:space="preserve">the </w:t>
      </w:r>
      <w:r>
        <w:t>APEC</w:t>
      </w:r>
      <w:r w:rsidR="00DF149A">
        <w:t xml:space="preserve"> </w:t>
      </w:r>
      <w:r>
        <w:t xml:space="preserve">II </w:t>
      </w:r>
      <w:r w:rsidR="00DF149A">
        <w:t>f</w:t>
      </w:r>
      <w:r>
        <w:t xml:space="preserve">inal </w:t>
      </w:r>
      <w:r w:rsidR="00DF149A">
        <w:t>r</w:t>
      </w:r>
      <w:r>
        <w:t>eport</w:t>
      </w:r>
      <w:r w:rsidR="00DF149A">
        <w:t>.</w:t>
      </w:r>
      <w:r>
        <w:rPr>
          <w:rStyle w:val="FootnoteReference"/>
        </w:rPr>
        <w:footnoteReference w:id="17"/>
      </w:r>
      <w:r>
        <w:t xml:space="preserve"> Because the approach for selecting SFAs for APEC</w:t>
      </w:r>
      <w:r w:rsidR="00DF149A">
        <w:t xml:space="preserve"> </w:t>
      </w:r>
      <w:r>
        <w:t>III differs from that used in APEC</w:t>
      </w:r>
      <w:r w:rsidR="00DF149A">
        <w:t xml:space="preserve"> </w:t>
      </w:r>
      <w:r>
        <w:t>I</w:t>
      </w:r>
      <w:r w:rsidR="00DF149A">
        <w:t xml:space="preserve"> and </w:t>
      </w:r>
      <w:r>
        <w:t>II, the procedures for weighting the SFA sample will be simplified. First, a base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base</m:t>
            </m:r>
          </m:sup>
        </m:sSubSup>
      </m:oMath>
      <w:r>
        <w:t xml:space="preserve">, equal to the reciprocal of the probability of selection under the proposed sample design will be assigned to each sampled SFA </w:t>
      </w:r>
      <w:r w:rsidRPr="00197958">
        <w:rPr>
          <w:i/>
        </w:rPr>
        <w:t>i</w:t>
      </w:r>
      <w:r>
        <w:t xml:space="preserve"> in sampling stratum </w:t>
      </w:r>
      <w:r w:rsidRPr="00197958">
        <w:rPr>
          <w:i/>
        </w:rPr>
        <w:t>h</w:t>
      </w:r>
      <w:r w:rsidR="00DF149A">
        <w:t>,</w:t>
      </w:r>
      <w:r>
        <w:t xml:space="preserve"> i.e.,</w:t>
      </w:r>
    </w:p>
    <w:p w14:paraId="033F6C39" w14:textId="77777777" w:rsidR="00D90AE2" w:rsidRDefault="00566D6F" w:rsidP="00566D6F">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hi</m:t>
            </m:r>
          </m:sub>
          <m:sup>
            <m:r>
              <w:rPr>
                <w:rFonts w:ascii="Cambria Math" w:hAnsi="Cambria Math"/>
              </w:rPr>
              <m:t>base</m:t>
            </m:r>
          </m:sup>
        </m:sSubSup>
      </m:oMath>
      <w:r w:rsidR="00D90AE2">
        <w:t xml:space="preserve"> = 1 </w:t>
      </w:r>
      <w:proofErr w:type="gramStart"/>
      <w:r w:rsidR="00D90AE2">
        <w:t xml:space="preserve">/ </w:t>
      </w:r>
      <w:proofErr w:type="gramEnd"/>
      <m:oMath>
        <m:sSubSup>
          <m:sSubSupPr>
            <m:ctrlPr>
              <w:rPr>
                <w:rFonts w:ascii="Cambria Math" w:hAnsi="Cambria Math"/>
              </w:rPr>
            </m:ctrlPr>
          </m:sSubSupPr>
          <m:e>
            <m:r>
              <w:rPr>
                <w:rFonts w:ascii="Cambria Math" w:hAnsi="Cambria Math"/>
              </w:rPr>
              <m:t>P</m:t>
            </m:r>
          </m:e>
          <m:sub>
            <m:r>
              <w:rPr>
                <w:rFonts w:ascii="Cambria Math" w:hAnsi="Cambria Math"/>
              </w:rPr>
              <m:t>hi</m:t>
            </m:r>
          </m:sub>
          <m:sup>
            <m:r>
              <w:rPr>
                <w:rFonts w:ascii="Cambria Math" w:hAnsi="Cambria Math"/>
              </w:rPr>
              <m:t>SFA</m:t>
            </m:r>
          </m:sup>
        </m:sSubSup>
      </m:oMath>
      <w:r w:rsidR="00D90AE2">
        <w:t xml:space="preserve">, </w:t>
      </w:r>
      <w:r w:rsidR="00D90AE2">
        <w:tab/>
        <w:t>(1)</w:t>
      </w:r>
    </w:p>
    <w:p w14:paraId="33277457" w14:textId="77777777" w:rsidR="00566D6F" w:rsidRDefault="00566D6F" w:rsidP="00566D6F">
      <w:pPr>
        <w:pStyle w:val="E1-Equation"/>
      </w:pPr>
    </w:p>
    <w:p w14:paraId="0BA6F8D7" w14:textId="5F599561" w:rsidR="00186A08" w:rsidRDefault="00D90AE2" w:rsidP="00566D6F">
      <w:pPr>
        <w:pStyle w:val="L1-FlLSp12"/>
      </w:pPr>
      <w:proofErr w:type="gramStart"/>
      <w:r>
        <w:t>where</w:t>
      </w:r>
      <w:proofErr w:type="gramEnd"/>
      <w:r>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hi</m:t>
            </m:r>
          </m:sub>
          <m:sup>
            <m:r>
              <w:rPr>
                <w:rFonts w:ascii="Cambria Math" w:hAnsi="Cambria Math"/>
              </w:rPr>
              <m:t>SFA</m:t>
            </m:r>
          </m:sup>
        </m:sSubSup>
      </m:oMath>
      <w:r>
        <w:t xml:space="preserve"> = the probability of selecting SFA </w:t>
      </w:r>
      <w:r w:rsidRPr="00197958">
        <w:rPr>
          <w:i/>
        </w:rPr>
        <w:t>i</w:t>
      </w:r>
      <w:r>
        <w:t xml:space="preserve"> from stratum </w:t>
      </w:r>
      <w:r w:rsidRPr="00197958">
        <w:rPr>
          <w:i/>
        </w:rPr>
        <w:t>h</w:t>
      </w:r>
      <w:r>
        <w:t xml:space="preserve">. Note that the sampling strata denoted by </w:t>
      </w:r>
      <w:r w:rsidRPr="00197958">
        <w:rPr>
          <w:i/>
        </w:rPr>
        <w:t>h</w:t>
      </w:r>
      <w:r>
        <w:t xml:space="preserve"> are defined by CEP status (SFA has at least one CEP school v</w:t>
      </w:r>
      <w:r w:rsidR="00DF149A">
        <w:t>ersus</w:t>
      </w:r>
      <w:r>
        <w:t xml:space="preserve"> those with no CEP schools), and </w:t>
      </w:r>
      <m:oMath>
        <m:sSubSup>
          <m:sSubSupPr>
            <m:ctrlPr>
              <w:rPr>
                <w:rFonts w:ascii="Cambria Math" w:hAnsi="Cambria Math"/>
                <w:i/>
              </w:rPr>
            </m:ctrlPr>
          </m:sSubSupPr>
          <m:e>
            <m:r>
              <w:rPr>
                <w:rFonts w:ascii="Cambria Math" w:hAnsi="Cambria Math"/>
              </w:rPr>
              <m:t>P</m:t>
            </m:r>
          </m:e>
          <m:sub>
            <m:r>
              <w:rPr>
                <w:rFonts w:ascii="Cambria Math" w:hAnsi="Cambria Math"/>
              </w:rPr>
              <m:t>hi</m:t>
            </m:r>
          </m:sub>
          <m:sup>
            <m:r>
              <w:rPr>
                <w:rFonts w:ascii="Cambria Math" w:hAnsi="Cambria Math"/>
              </w:rPr>
              <m:t>SFA</m:t>
            </m:r>
          </m:sup>
        </m:sSubSup>
      </m:oMath>
      <w:r>
        <w:t xml:space="preserve"> is proportional to the estimated number </w:t>
      </w:r>
      <w:r w:rsidR="00DA736B">
        <w:t xml:space="preserve">of </w:t>
      </w:r>
      <w:r>
        <w:t>students eligible for free</w:t>
      </w:r>
      <w:r w:rsidR="00DF149A">
        <w:t xml:space="preserve"> or </w:t>
      </w:r>
      <w:r>
        <w:t>reduced</w:t>
      </w:r>
      <w:r w:rsidR="00DF149A">
        <w:t>-</w:t>
      </w:r>
      <w:r>
        <w:t>price lunch within the stratum. The base weights defined above are statistically unbiased in the sense that the sum of the base weights</w:t>
      </w:r>
      <w:proofErr w:type="gramStart"/>
      <w:r>
        <w:t xml:space="preserve">, </w:t>
      </w:r>
      <w:proofErr w:type="gramEnd"/>
      <m:oMath>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2</m:t>
            </m:r>
          </m:sup>
          <m:e>
            <m:r>
              <w:rPr>
                <w:rFonts w:ascii="Cambria Math" w:hAnsi="Cambria Math"/>
              </w:rPr>
              <m:t xml:space="preserve"> </m:t>
            </m:r>
          </m:e>
        </m:nary>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a</m:t>
                </m:r>
              </m:e>
              <m:sub>
                <m:r>
                  <w:rPr>
                    <w:rFonts w:ascii="Cambria Math" w:hAnsi="Cambria Math"/>
                  </w:rPr>
                  <m:t>h</m:t>
                </m:r>
              </m:sub>
            </m:sSub>
          </m:sup>
          <m:e>
            <m:r>
              <w:rPr>
                <w:rFonts w:ascii="Cambria Math" w:hAnsi="Cambria Math"/>
              </w:rPr>
              <m:t xml:space="preserve"> </m:t>
            </m:r>
          </m:e>
        </m:nary>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base</m:t>
            </m:r>
          </m:sup>
        </m:sSubSup>
      </m:oMath>
      <w:r>
        <w:t>, summed across all of the sampled SFAs, provides an unbiased estimate of the number of SFAs in the country.</w:t>
      </w:r>
    </w:p>
    <w:p w14:paraId="1FA5024F" w14:textId="77777777" w:rsidR="00186A08" w:rsidRDefault="00D90AE2" w:rsidP="00566D6F">
      <w:pPr>
        <w:pStyle w:val="P1-StandPara"/>
      </w:pPr>
      <w:r>
        <w:t xml:space="preserve">To the extent that any of the sampled SFAs do not participate in the study for any reason, the SFA base weights will be adjusted to compensate the loss of eligible SFAs in the sample. The adjustment will be made within weighting cells in which the predicted propensity to respond to the survey are similar. We will use </w:t>
      </w:r>
      <w:r w:rsidRPr="00470109">
        <w:t>Chi Square Automatic Interaction Detector</w:t>
      </w:r>
      <w:r>
        <w:t xml:space="preserve"> (CHAID)</w:t>
      </w:r>
      <w:r w:rsidRPr="001F16EC">
        <w:t xml:space="preserve"> to develop the weighting cells, using information available</w:t>
      </w:r>
      <w:r>
        <w:t xml:space="preserve"> in the sampling frame</w:t>
      </w:r>
      <w:r w:rsidRPr="001F16EC">
        <w:t xml:space="preserve"> </w:t>
      </w:r>
      <w:r>
        <w:t>for</w:t>
      </w:r>
      <w:r w:rsidRPr="001F16EC">
        <w:t xml:space="preserve"> the </w:t>
      </w:r>
      <w:r>
        <w:t>sampled SFAs such as FNS region, type of control (public/private), enrollment size class, percent</w:t>
      </w:r>
      <w:r w:rsidR="00DF149A">
        <w:t>age</w:t>
      </w:r>
      <w:r>
        <w:t xml:space="preserve"> of students eligible for free</w:t>
      </w:r>
      <w:r w:rsidR="00DF149A">
        <w:t xml:space="preserve"> or </w:t>
      </w:r>
      <w:r>
        <w:t>reduced</w:t>
      </w:r>
      <w:r w:rsidR="00DF149A">
        <w:t>-</w:t>
      </w:r>
      <w:r>
        <w:t xml:space="preserve">price lunch (in categories), </w:t>
      </w:r>
      <w:proofErr w:type="spellStart"/>
      <w:r>
        <w:t>urbanicity</w:t>
      </w:r>
      <w:proofErr w:type="spellEnd"/>
      <w:r>
        <w:t xml:space="preserve"> (if available from CCD), grade span (if available), and possibly others. The CHAID algorithm provides an effective and efficient way of </w:t>
      </w:r>
      <w:r>
        <w:lastRenderedPageBreak/>
        <w:t xml:space="preserve">identifying the significant predictors of SFA nonresponse. The primary output from the CHAID analysis will be a set of </w:t>
      </w:r>
      <w:r w:rsidRPr="00197958">
        <w:rPr>
          <w:i/>
        </w:rPr>
        <w:t>K</w:t>
      </w:r>
      <w:r>
        <w:t xml:space="preserve"> weighting cells (defined by a subset of the predictor variables entering into the analysis) with the property that the variation in expected response propensity across the weighting cells is maximized.</w:t>
      </w:r>
    </w:p>
    <w:p w14:paraId="18565F01" w14:textId="77777777" w:rsidR="00186A08" w:rsidRDefault="00D90AE2" w:rsidP="00566D6F">
      <w:pPr>
        <w:pStyle w:val="P1-StandPara"/>
      </w:pPr>
      <w:r>
        <w:t xml:space="preserve">Within each of the </w:t>
      </w:r>
      <w:r w:rsidRPr="00197958">
        <w:rPr>
          <w:i/>
        </w:rPr>
        <w:t>K</w:t>
      </w:r>
      <w:r>
        <w:t xml:space="preserve"> weighting cells determined by the CHAID analysis, an SFA-level adjustment factor</w:t>
      </w:r>
      <w:proofErr w:type="gramStart"/>
      <w:r>
        <w:t xml:space="preserve">, </w:t>
      </w:r>
      <w:proofErr w:type="gramEnd"/>
      <m:oMath>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SFA</m:t>
            </m:r>
          </m:sup>
        </m:sSubSup>
      </m:oMath>
      <w:r>
        <w:t>, will be computed as</w:t>
      </w:r>
    </w:p>
    <w:p w14:paraId="448755B9" w14:textId="77777777" w:rsidR="00D90AE2" w:rsidRDefault="00566D6F" w:rsidP="00566D6F">
      <w:pPr>
        <w:pStyle w:val="E1-Equation"/>
      </w:pPr>
      <w:r>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00D90AE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a</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00D90AE2">
        <w:t xml:space="preserve"> </w:t>
      </w:r>
      <w:proofErr w:type="gramStart"/>
      <w:r w:rsidR="00D90AE2">
        <w:t xml:space="preserve">/ </w:t>
      </w:r>
      <m:oMath>
        <m:nary>
          <m:naryPr>
            <m:chr m:val="∑"/>
            <m:limLoc m:val="undOvr"/>
            <m:ctrlPr>
              <w:rPr>
                <w:rFonts w:ascii="Cambria Math" w:hAnsi="Cambria Math"/>
              </w:rPr>
            </m:ctrlPr>
          </m:naryPr>
          <m:sub>
            <w:proofErr w:type="gramEnd"/>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a</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00D90AE2">
        <w:t xml:space="preserve"> ,</w:t>
      </w:r>
      <w:r w:rsidR="00D90AE2">
        <w:tab/>
        <w:t>(2)</w:t>
      </w:r>
    </w:p>
    <w:p w14:paraId="16F06211" w14:textId="77777777" w:rsidR="00D90AE2" w:rsidRDefault="00D90AE2" w:rsidP="00566D6F">
      <w:pPr>
        <w:pStyle w:val="E1-Equation"/>
      </w:pPr>
    </w:p>
    <w:p w14:paraId="1EEEE112" w14:textId="77777777" w:rsidR="00186A08" w:rsidRDefault="00D90AE2" w:rsidP="00566D6F">
      <w:pPr>
        <w:pStyle w:val="L1-FlLSp12"/>
      </w:pPr>
      <w:proofErr w:type="gramStart"/>
      <w:r>
        <w:t>where</w:t>
      </w:r>
      <w:proofErr w:type="gramEnd"/>
      <w:r>
        <w:t xml:space="preserve"> the summation in the numerator extends over all of the </w:t>
      </w:r>
      <w:r w:rsidRPr="00197958">
        <w:rPr>
          <w:i/>
        </w:rPr>
        <w:t>a</w:t>
      </w:r>
      <w:r>
        <w:t xml:space="preserve"> sampled SFAs in weighting cell </w:t>
      </w:r>
      <w:r w:rsidRPr="00197958">
        <w:rPr>
          <w:i/>
        </w:rPr>
        <w:t>k</w:t>
      </w:r>
      <w:r>
        <w:t xml:space="preserve">, whereas the summation in the denominator extends over all of the </w:t>
      </w:r>
      <m:oMath>
        <m:sSub>
          <m:sSubPr>
            <m:ctrlPr>
              <w:rPr>
                <w:rFonts w:ascii="Cambria Math" w:hAnsi="Cambria Math"/>
                <w:i/>
              </w:rPr>
            </m:ctrlPr>
          </m:sSubPr>
          <m:e>
            <m:r>
              <w:rPr>
                <w:rFonts w:ascii="Cambria Math" w:hAnsi="Cambria Math"/>
              </w:rPr>
              <m:t>a</m:t>
            </m:r>
          </m:e>
          <m:sub>
            <m:r>
              <w:rPr>
                <w:rFonts w:ascii="Cambria Math" w:hAnsi="Cambria Math"/>
              </w:rPr>
              <m:t>r</m:t>
            </m:r>
          </m:sub>
        </m:sSub>
      </m:oMath>
      <w:r>
        <w:t xml:space="preserve"> responding SFAs in the weighting cell. The final (nonresponse-adjusted)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ki</m:t>
            </m:r>
          </m:sub>
          <m:sup>
            <m:r>
              <w:rPr>
                <w:rFonts w:ascii="Cambria Math" w:hAnsi="Cambria Math"/>
              </w:rPr>
              <m:t>SFA</m:t>
            </m:r>
          </m:sup>
        </m:sSubSup>
      </m:oMath>
      <w:r>
        <w:t xml:space="preserve">, for SFA </w:t>
      </w:r>
      <w:r w:rsidRPr="00197958">
        <w:rPr>
          <w:i/>
        </w:rPr>
        <w:t>i</w:t>
      </w:r>
      <w:r>
        <w:t xml:space="preserve"> in weighting cell </w:t>
      </w:r>
      <w:r w:rsidRPr="00197958">
        <w:rPr>
          <w:i/>
        </w:rPr>
        <w:t>k</w:t>
      </w:r>
      <w:r>
        <w:t xml:space="preserve"> to be used for analysis will then be computed as</w:t>
      </w:r>
    </w:p>
    <w:p w14:paraId="4D3D4089"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SFA</m:t>
            </m:r>
          </m:sup>
        </m:sSubSup>
      </m:oMath>
      <w:r w:rsidR="00D90AE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00D90AE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00D90AE2">
        <w:t xml:space="preserve"> .</w:t>
      </w:r>
      <w:r w:rsidR="00D90AE2">
        <w:tab/>
        <w:t>(3)</w:t>
      </w:r>
    </w:p>
    <w:p w14:paraId="41E1AF2C" w14:textId="77777777" w:rsidR="00566D6F" w:rsidRDefault="00566D6F" w:rsidP="00D90AE2">
      <w:pPr>
        <w:pStyle w:val="E1-Equation"/>
      </w:pPr>
    </w:p>
    <w:p w14:paraId="0A09F7F0" w14:textId="77777777" w:rsidR="00D90AE2" w:rsidRDefault="00D90AE2" w:rsidP="00566D6F">
      <w:pPr>
        <w:pStyle w:val="P1-StandPara"/>
        <w:rPr>
          <w:b/>
          <w:u w:val="single"/>
        </w:rPr>
      </w:pPr>
      <w:r w:rsidRPr="006B172C">
        <w:rPr>
          <w:b/>
        </w:rPr>
        <w:t xml:space="preserve">School Weights. </w:t>
      </w:r>
      <w:r>
        <w:t>Following procedures similar to those used in APEC</w:t>
      </w:r>
      <w:r w:rsidR="00E55EA3">
        <w:t xml:space="preserve"> </w:t>
      </w:r>
      <w:r>
        <w:t>I</w:t>
      </w:r>
      <w:r w:rsidR="00E55EA3">
        <w:t xml:space="preserve"> and </w:t>
      </w:r>
      <w:r>
        <w:t xml:space="preserve">II, we will construct nine separate sets of school-level weights. The first set of weights (referred to as the </w:t>
      </w:r>
      <w:r w:rsidR="00703835">
        <w:t>“</w:t>
      </w:r>
      <w:r>
        <w:t>general</w:t>
      </w:r>
      <w:r w:rsidR="00703835">
        <w:t>”</w:t>
      </w:r>
      <w:r>
        <w:t xml:space="preserve"> school weights) will be used to develop national estimates of school-level characteristics and will also serve as the basis for constructing the student-level weights described in the next subsection. The remaining eight sets of school weights are specifically designed for analysis of the four types of non-certification error crossed by two meal types (lunch or breakfast).</w:t>
      </w:r>
    </w:p>
    <w:p w14:paraId="3B797A92" w14:textId="77777777" w:rsidR="00186A08" w:rsidRDefault="00D90AE2" w:rsidP="00566D6F">
      <w:pPr>
        <w:pStyle w:val="P1-StandPara"/>
        <w:rPr>
          <w:b/>
          <w:u w:val="single"/>
        </w:rPr>
      </w:pPr>
      <w:r w:rsidRPr="001C194E">
        <w:rPr>
          <w:b/>
          <w:i/>
        </w:rPr>
        <w:t>General School Weights for Analysis of School Characteristics</w:t>
      </w:r>
      <w:r>
        <w:rPr>
          <w:b/>
          <w:i/>
        </w:rPr>
        <w:t xml:space="preserve">. </w:t>
      </w:r>
      <w:r>
        <w:t>To construct the general school weights, an initial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init</m:t>
            </m:r>
          </m:sup>
        </m:sSubSup>
      </m:oMath>
      <w:r>
        <w:t xml:space="preserve">, representing the overall probability of selecting the school for the sample will be computed for sampled school </w:t>
      </w:r>
      <w:r w:rsidRPr="002858BE">
        <w:rPr>
          <w:i/>
        </w:rPr>
        <w:t>j</w:t>
      </w:r>
      <w:r>
        <w:t xml:space="preserve"> in SFA </w:t>
      </w:r>
      <w:r w:rsidRPr="002858BE">
        <w:rPr>
          <w:i/>
        </w:rPr>
        <w:t>i</w:t>
      </w:r>
      <w:r>
        <w:t xml:space="preserve"> in stratum </w:t>
      </w:r>
      <w:r w:rsidRPr="002858BE">
        <w:rPr>
          <w:i/>
        </w:rPr>
        <w:t>h</w:t>
      </w:r>
      <w:r>
        <w:t xml:space="preserve"> as</w:t>
      </w:r>
    </w:p>
    <w:p w14:paraId="3E5FF859"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init</m:t>
            </m:r>
          </m:sup>
        </m:sSubSup>
      </m:oMath>
      <w:r w:rsidR="00D90AE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m:t>
            </m:r>
          </m:sub>
          <m:sup>
            <m:r>
              <w:rPr>
                <w:rFonts w:ascii="Cambria Math" w:hAnsi="Cambria Math"/>
              </w:rPr>
              <m:t>SFA</m:t>
            </m:r>
          </m:sup>
        </m:sSubSup>
      </m:oMath>
      <w:r w:rsidR="00D90AE2">
        <w:t xml:space="preserve"> </w:t>
      </w:r>
      <w:proofErr w:type="gramStart"/>
      <w:r w:rsidR="00D90AE2">
        <w:t xml:space="preserve">/ </w:t>
      </w:r>
      <w:proofErr w:type="gramEnd"/>
      <m:oMath>
        <m:sSubSup>
          <m:sSubSupPr>
            <m:ctrlPr>
              <w:rPr>
                <w:rFonts w:ascii="Cambria Math" w:hAnsi="Cambria Math"/>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00AE3CE0">
        <w:t>,</w:t>
      </w:r>
      <w:r w:rsidR="00D90AE2">
        <w:tab/>
        <w:t>(4)</w:t>
      </w:r>
    </w:p>
    <w:p w14:paraId="02C748D9" w14:textId="77777777" w:rsidR="00566D6F" w:rsidRDefault="00566D6F" w:rsidP="00D90AE2">
      <w:pPr>
        <w:pStyle w:val="E1-Equation"/>
      </w:pPr>
    </w:p>
    <w:p w14:paraId="3242707E" w14:textId="77777777" w:rsidR="00186A08" w:rsidRDefault="00D90AE2" w:rsidP="00566D6F">
      <w:pPr>
        <w:pStyle w:val="L1-FlLSp12"/>
      </w:pPr>
      <w:r>
        <w:lastRenderedPageBreak/>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SFA</m:t>
            </m:r>
          </m:sup>
        </m:sSubSup>
      </m:oMath>
      <w:r>
        <w:t xml:space="preserve"> is the final SFA weight given by equation (3), and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t xml:space="preserve"> = the (conditional) probability of selecting school </w:t>
      </w:r>
      <w:r w:rsidRPr="00937FB2">
        <w:rPr>
          <w:i/>
        </w:rPr>
        <w:t>j</w:t>
      </w:r>
      <w:r>
        <w:t xml:space="preserve"> in SFA </w:t>
      </w:r>
      <w:r w:rsidRPr="00937FB2">
        <w:rPr>
          <w:i/>
        </w:rPr>
        <w:t>i</w:t>
      </w:r>
      <w:r>
        <w:t xml:space="preserve"> in sampling stratum </w:t>
      </w:r>
      <w:r w:rsidRPr="00937FB2">
        <w:rPr>
          <w:i/>
        </w:rPr>
        <w:t>h</w:t>
      </w:r>
      <w:r>
        <w:t xml:space="preserve">. Note that if the school is so large that it is selected with certainty within the SFA,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t xml:space="preserve"> = 1. Otherwise,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t xml:space="preserve"> is proportional to the expected number of students eligible for free</w:t>
      </w:r>
      <w:r w:rsidR="00DF149A">
        <w:t xml:space="preserve"> or </w:t>
      </w:r>
      <w:r>
        <w:t>reduced-price lunch in the school.</w:t>
      </w:r>
    </w:p>
    <w:p w14:paraId="39E26C71" w14:textId="0365438C" w:rsidR="00186A08" w:rsidRDefault="00D90AE2" w:rsidP="00566D6F">
      <w:pPr>
        <w:pStyle w:val="P1-StandPara"/>
      </w:pPr>
      <w:r>
        <w:t>To compensate for nonresponding schools, a weighting adjustment similar to that described earlier for SFAs, will be applied to the initial school weight given by equation (4). In this case, the types of school-level variables to be included in the CHAID analysis will include FNS region, CEP status of SFA, CEP status of school within SFA, type of control, and e</w:t>
      </w:r>
      <w:r w:rsidR="008A67A8">
        <w:t xml:space="preserve">nrollment size </w:t>
      </w:r>
      <w:r>
        <w:t xml:space="preserve">of school (e.g., under 500, 500 to 999, and 1000+). Based on the CHAID analysis, a set of </w:t>
      </w:r>
      <w:r w:rsidRPr="00937FB2">
        <w:rPr>
          <w:i/>
        </w:rPr>
        <w:t>K</w:t>
      </w:r>
      <w:r>
        <w:t xml:space="preserve"> weighting cells will be specified. Let </w:t>
      </w:r>
      <m:oMath>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sch</m:t>
            </m:r>
          </m:sup>
        </m:sSubSup>
      </m:oMath>
      <w:r>
        <w:t xml:space="preserve"> denote the nonresponse adjustment factor for the </w:t>
      </w:r>
      <w:r w:rsidRPr="007A4A30">
        <w:rPr>
          <w:i/>
        </w:rPr>
        <w:t>k</w:t>
      </w:r>
      <w:r w:rsidRPr="007A4A30">
        <w:rPr>
          <w:i/>
          <w:vertAlign w:val="superscript"/>
        </w:rPr>
        <w:t>th</w:t>
      </w:r>
      <w:r>
        <w:t xml:space="preserve"> (</w:t>
      </w:r>
      <w:r w:rsidRPr="00937FB2">
        <w:rPr>
          <w:i/>
        </w:rPr>
        <w:t>k</w:t>
      </w:r>
      <w:r>
        <w:t xml:space="preserve"> = 1, 2</w:t>
      </w:r>
      <w:proofErr w:type="gramStart"/>
      <w:r>
        <w:t>, ...,</w:t>
      </w:r>
      <w:proofErr w:type="gramEnd"/>
      <w:r>
        <w:t xml:space="preserve"> </w:t>
      </w:r>
      <w:r w:rsidRPr="00937FB2">
        <w:rPr>
          <w:i/>
        </w:rPr>
        <w:t>K</w:t>
      </w:r>
      <w:r>
        <w:t>) weighting cell defined by</w:t>
      </w:r>
    </w:p>
    <w:p w14:paraId="3E66ED4A"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00D90AE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00D90AE2">
        <w:t xml:space="preserve"> </w:t>
      </w:r>
      <w:proofErr w:type="gramStart"/>
      <w:r w:rsidR="00D90AE2">
        <w:t xml:space="preserve">/ </w:t>
      </w:r>
      <m:oMath>
        <m:nary>
          <m:naryPr>
            <m:chr m:val="∑"/>
            <m:limLoc m:val="undOvr"/>
            <m:ctrlPr>
              <w:rPr>
                <w:rFonts w:ascii="Cambria Math" w:hAnsi="Cambria Math"/>
              </w:rPr>
            </m:ctrlPr>
          </m:naryPr>
          <m:sub>
            <w:proofErr w:type="gramEnd"/>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00D90AE2">
        <w:t xml:space="preserve"> ,</w:t>
      </w:r>
      <w:r w:rsidR="00D90AE2">
        <w:tab/>
        <w:t>(5)</w:t>
      </w:r>
    </w:p>
    <w:p w14:paraId="0DA9F93E" w14:textId="77777777" w:rsidR="00566D6F" w:rsidRDefault="00566D6F" w:rsidP="00D90AE2">
      <w:pPr>
        <w:pStyle w:val="E1-Equation"/>
      </w:pPr>
    </w:p>
    <w:p w14:paraId="4CCB6C55" w14:textId="77777777" w:rsidR="00186A08" w:rsidRDefault="00D90AE2" w:rsidP="00566D6F">
      <w:pPr>
        <w:pStyle w:val="L1-FlLSp12"/>
      </w:pPr>
      <w:proofErr w:type="gramStart"/>
      <w:r>
        <w:t>where</w:t>
      </w:r>
      <w:proofErr w:type="gramEnd"/>
      <w:r>
        <w:t xml:space="preserve"> the summation in the numerator extends over all of the </w:t>
      </w:r>
      <w:r w:rsidRPr="00D8522D">
        <w:rPr>
          <w:i/>
        </w:rPr>
        <w:t>b</w:t>
      </w:r>
      <w:r>
        <w:t xml:space="preserve"> sampled schools in weighting cell </w:t>
      </w:r>
      <w:r w:rsidRPr="00937FB2">
        <w:rPr>
          <w:i/>
        </w:rPr>
        <w:t>k</w:t>
      </w:r>
      <w:r>
        <w:t xml:space="preserve">,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t xml:space="preserve"> responding schools in the weighting cell. The final (nonresponse-adjusted) school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kij</m:t>
            </m:r>
          </m:sub>
          <m:sup>
            <m:r>
              <w:rPr>
                <w:rFonts w:ascii="Cambria Math" w:hAnsi="Cambria Math"/>
              </w:rPr>
              <m:t>NR</m:t>
            </m:r>
          </m:sup>
        </m:sSubSup>
      </m:oMath>
      <w:r>
        <w:t xml:space="preserve">, for school </w:t>
      </w:r>
      <w:r w:rsidRPr="00937FB2">
        <w:rPr>
          <w:i/>
        </w:rPr>
        <w:t>j</w:t>
      </w:r>
      <w:r>
        <w:t xml:space="preserve"> in SFA </w:t>
      </w:r>
      <w:r w:rsidRPr="00937FB2">
        <w:rPr>
          <w:i/>
        </w:rPr>
        <w:t>i</w:t>
      </w:r>
      <w:r>
        <w:t xml:space="preserve"> in weighting cell </w:t>
      </w:r>
      <w:r w:rsidRPr="00937FB2">
        <w:rPr>
          <w:i/>
        </w:rPr>
        <w:t>k</w:t>
      </w:r>
      <w:r>
        <w:t xml:space="preserve"> will then be computed as</w:t>
      </w:r>
    </w:p>
    <w:p w14:paraId="3307C42F"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NR</m:t>
            </m:r>
          </m:sup>
        </m:sSubSup>
      </m:oMath>
      <w:r w:rsidR="00D90AE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00D90AE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00D90AE2">
        <w:t xml:space="preserve"> .</w:t>
      </w:r>
      <w:r w:rsidR="00D90AE2">
        <w:tab/>
        <w:t>(6)</w:t>
      </w:r>
    </w:p>
    <w:p w14:paraId="4BFE079B" w14:textId="77777777" w:rsidR="00566D6F" w:rsidRDefault="00566D6F" w:rsidP="00D90AE2">
      <w:pPr>
        <w:pStyle w:val="E1-Equation"/>
      </w:pPr>
    </w:p>
    <w:p w14:paraId="6B76988D" w14:textId="77777777" w:rsidR="00186A08" w:rsidRDefault="00D90AE2" w:rsidP="00566D6F">
      <w:pPr>
        <w:pStyle w:val="P1-StandPara"/>
      </w:pPr>
      <w:r w:rsidRPr="00A5402E">
        <w:rPr>
          <w:b/>
          <w:i/>
        </w:rPr>
        <w:t>Final Post</w:t>
      </w:r>
      <w:r w:rsidR="00382358">
        <w:rPr>
          <w:b/>
          <w:i/>
        </w:rPr>
        <w:t xml:space="preserve"> S</w:t>
      </w:r>
      <w:r w:rsidRPr="00A5402E">
        <w:rPr>
          <w:b/>
          <w:i/>
        </w:rPr>
        <w:t xml:space="preserve">tratified School Weights. </w:t>
      </w:r>
      <w:r>
        <w:t>In APEC</w:t>
      </w:r>
      <w:r w:rsidR="00DF149A">
        <w:t xml:space="preserve"> </w:t>
      </w:r>
      <w:r>
        <w:t>I</w:t>
      </w:r>
      <w:r w:rsidR="00DF149A">
        <w:t xml:space="preserve"> and </w:t>
      </w:r>
      <w:r>
        <w:t xml:space="preserve">II, the nonresponse adjustment was accomplished indirectly through post stratification to </w:t>
      </w:r>
      <w:r w:rsidR="00703835">
        <w:t>“</w:t>
      </w:r>
      <w:r>
        <w:t>best estimates</w:t>
      </w:r>
      <w:r w:rsidR="00703835">
        <w:t>”</w:t>
      </w:r>
      <w:r>
        <w:t xml:space="preserve"> of the numbers of study-eligible schools in SFAs. To implement such an adjustment, reliable independent estimates of the numbers of </w:t>
      </w:r>
      <w:r w:rsidRPr="002D6FF4">
        <w:rPr>
          <w:i/>
        </w:rPr>
        <w:t>study-eligible</w:t>
      </w:r>
      <w:r>
        <w:t xml:space="preserve"> schools are required to serve as control totals in post stratification. Assuming that such control totals are available from FNS administrative files (or can be estimated with high precision), let </w:t>
      </w:r>
      <m:oMath>
        <m:sSubSup>
          <m:sSubSupPr>
            <m:ctrlPr>
              <w:rPr>
                <w:rFonts w:ascii="Cambria Math" w:hAnsi="Cambria Math"/>
                <w:i/>
              </w:rPr>
            </m:ctrlPr>
          </m:sSubSupPr>
          <m:e>
            <m:r>
              <w:rPr>
                <w:rFonts w:ascii="Cambria Math" w:hAnsi="Cambria Math"/>
              </w:rPr>
              <m:t>N</m:t>
            </m:r>
          </m:e>
          <m:sub>
            <m:r>
              <w:rPr>
                <w:rFonts w:ascii="Cambria Math" w:hAnsi="Cambria Math"/>
              </w:rPr>
              <m:t>g</m:t>
            </m:r>
          </m:sub>
          <m:sup>
            <m:r>
              <w:rPr>
                <w:rFonts w:ascii="Cambria Math" w:hAnsi="Cambria Math"/>
              </w:rPr>
              <m:t xml:space="preserve"> </m:t>
            </m:r>
          </m:sup>
        </m:sSubSup>
      </m:oMath>
      <w:r>
        <w:t xml:space="preserve"> = the known number of study-eligible schools in the population for </w:t>
      </w:r>
      <w:proofErr w:type="spellStart"/>
      <w:r>
        <w:t>poststratum</w:t>
      </w:r>
      <w:proofErr w:type="spellEnd"/>
      <w:r>
        <w:t xml:space="preserve"> </w:t>
      </w:r>
      <w:r w:rsidRPr="00937FB2">
        <w:rPr>
          <w:i/>
        </w:rPr>
        <w:t>g</w:t>
      </w:r>
      <w:r>
        <w:t xml:space="preserve">, </w:t>
      </w:r>
      <w:r>
        <w:lastRenderedPageBreak/>
        <w:t xml:space="preserve">where the </w:t>
      </w:r>
      <w:proofErr w:type="spellStart"/>
      <w:r>
        <w:t>poststrata</w:t>
      </w:r>
      <w:proofErr w:type="spellEnd"/>
      <w:r>
        <w:t xml:space="preserve"> are the four subgroups of schools defined by (1) private schools; (2) public schools with enrollment under 500; (3) public schools with enrollment between 500 and 999</w:t>
      </w:r>
      <w:r w:rsidR="00D738EB">
        <w:t>;</w:t>
      </w:r>
      <w:r>
        <w:t xml:space="preserve"> and (4) public schools with enrollment of 1,000 or greater. Within </w:t>
      </w:r>
      <w:proofErr w:type="spellStart"/>
      <w:r>
        <w:t>poststratum</w:t>
      </w:r>
      <w:proofErr w:type="spellEnd"/>
      <w:r>
        <w:t xml:space="preserve"> </w:t>
      </w:r>
      <w:r w:rsidRPr="002D220B">
        <w:rPr>
          <w:i/>
        </w:rPr>
        <w:t>g</w:t>
      </w:r>
      <w:r>
        <w:t xml:space="preserve"> (</w:t>
      </w:r>
      <w:r w:rsidRPr="00937FB2">
        <w:rPr>
          <w:i/>
        </w:rPr>
        <w:t>g</w:t>
      </w:r>
      <w:r>
        <w:t xml:space="preserve"> = 1, 2</w:t>
      </w:r>
      <w:proofErr w:type="gramStart"/>
      <w:r>
        <w:t>, ...,</w:t>
      </w:r>
      <w:proofErr w:type="gramEnd"/>
      <w:r>
        <w:t xml:space="preserve"> 4), a post stratification adjustment factor,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PS</m:t>
            </m:r>
          </m:sup>
        </m:sSubSup>
      </m:oMath>
      <w:r>
        <w:t>, will be computed as</w:t>
      </w:r>
    </w:p>
    <w:p w14:paraId="3FC751DC"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00D90AE2">
        <w:t xml:space="preserve"> = </w:t>
      </w: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w:rPr>
                <w:rFonts w:ascii="Cambria Math" w:hAnsi="Cambria Math"/>
              </w:rPr>
              <m:t>g</m:t>
            </m:r>
          </m:sub>
          <m:sup>
            <m:r>
              <m:rPr>
                <m:sty m:val="p"/>
              </m:rPr>
              <w:rPr>
                <w:rFonts w:ascii="Cambria Math" w:hAnsi="Cambria Math"/>
              </w:rPr>
              <m:t xml:space="preserve"> </m:t>
            </m:r>
          </m:sup>
        </m:sSubSup>
      </m:oMath>
      <w:r w:rsidR="00D90AE2">
        <w:t xml:space="preserve"> </w:t>
      </w:r>
      <w:proofErr w:type="gramStart"/>
      <w:r w:rsidR="00D90AE2">
        <w:t xml:space="preserve">/ </w:t>
      </w:r>
      <m:oMath>
        <m:nary>
          <m:naryPr>
            <m:chr m:val="∑"/>
            <m:limLoc m:val="undOvr"/>
            <m:ctrlPr>
              <w:rPr>
                <w:rFonts w:ascii="Cambria Math" w:hAnsi="Cambria Math"/>
              </w:rPr>
            </m:ctrlPr>
          </m:naryPr>
          <m:sub>
            <w:proofErr w:type="gramEnd"/>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NR</m:t>
            </m:r>
          </m:sup>
        </m:sSubSup>
      </m:oMath>
      <w:r w:rsidR="00D90AE2">
        <w:t xml:space="preserve"> ,</w:t>
      </w:r>
      <w:r w:rsidR="00D90AE2">
        <w:tab/>
        <w:t>(7)</w:t>
      </w:r>
    </w:p>
    <w:p w14:paraId="5C9C297B" w14:textId="77777777" w:rsidR="00566D6F" w:rsidRDefault="00566D6F" w:rsidP="00D90AE2">
      <w:pPr>
        <w:pStyle w:val="E1-Equation"/>
      </w:pPr>
    </w:p>
    <w:p w14:paraId="6DF0353D" w14:textId="77777777" w:rsidR="00186A08" w:rsidRDefault="00D90AE2" w:rsidP="00566D6F">
      <w:pPr>
        <w:pStyle w:val="L1-FlLSp12"/>
      </w:pPr>
      <w:proofErr w:type="gramStart"/>
      <w:r>
        <w:t>where</w:t>
      </w:r>
      <w:proofErr w:type="gramEnd"/>
      <w:r>
        <w:t xml:space="preserve"> the summation in the denominator extends over all of the </w:t>
      </w:r>
      <m:oMath>
        <m:sSub>
          <m:sSubPr>
            <m:ctrlPr>
              <w:rPr>
                <w:rFonts w:ascii="Cambria Math" w:hAnsi="Cambria Math"/>
                <w:i/>
              </w:rPr>
            </m:ctrlPr>
          </m:sSubPr>
          <m:e>
            <m:r>
              <w:rPr>
                <w:rFonts w:ascii="Cambria Math" w:hAnsi="Cambria Math"/>
              </w:rPr>
              <m:t>c</m:t>
            </m:r>
          </m:e>
          <m:sub>
            <m:r>
              <w:rPr>
                <w:rFonts w:ascii="Cambria Math" w:hAnsi="Cambria Math"/>
              </w:rPr>
              <m:t>r</m:t>
            </m:r>
          </m:sub>
        </m:sSub>
      </m:oMath>
      <w:r>
        <w:t xml:space="preserve"> responding schools in </w:t>
      </w:r>
      <w:proofErr w:type="spellStart"/>
      <w:r>
        <w:t>poststratum</w:t>
      </w:r>
      <w:proofErr w:type="spellEnd"/>
      <w:r>
        <w:t xml:space="preserve"> </w:t>
      </w:r>
      <w:r w:rsidRPr="002D220B">
        <w:rPr>
          <w:i/>
        </w:rPr>
        <w:t>g</w:t>
      </w:r>
      <w:r>
        <w:t>. The final (</w:t>
      </w:r>
      <w:proofErr w:type="spellStart"/>
      <w:r>
        <w:t>poststratified</w:t>
      </w:r>
      <w:proofErr w:type="spellEnd"/>
      <w:r>
        <w:t>) general school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gen</m:t>
            </m:r>
          </m:sup>
        </m:sSubSup>
      </m:oMath>
      <w:r>
        <w:t xml:space="preserve">, for school </w:t>
      </w:r>
      <w:r w:rsidRPr="00937FB2">
        <w:rPr>
          <w:i/>
        </w:rPr>
        <w:t>j</w:t>
      </w:r>
      <w:r>
        <w:t xml:space="preserve"> in SFA </w:t>
      </w:r>
      <w:r w:rsidRPr="00937FB2">
        <w:rPr>
          <w:i/>
        </w:rPr>
        <w:t>i</w:t>
      </w:r>
      <w:r>
        <w:t xml:space="preserve"> in </w:t>
      </w:r>
      <w:proofErr w:type="spellStart"/>
      <w:r>
        <w:t>poststratum</w:t>
      </w:r>
      <w:proofErr w:type="spellEnd"/>
      <w:r>
        <w:t xml:space="preserve"> </w:t>
      </w:r>
      <w:r w:rsidRPr="00937FB2">
        <w:rPr>
          <w:i/>
        </w:rPr>
        <w:t>g</w:t>
      </w:r>
      <w:r>
        <w:t xml:space="preserve"> will then be computed as</w:t>
      </w:r>
    </w:p>
    <w:p w14:paraId="33375208"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gen</m:t>
            </m:r>
          </m:sup>
        </m:sSubSup>
      </m:oMath>
      <w:r w:rsidR="00D90AE2">
        <w:t xml:space="preserve"> = </w:t>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00D90AE2">
        <w:t xml:space="preserve"> </w:t>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NR</m:t>
            </m:r>
          </m:sup>
        </m:sSubSup>
      </m:oMath>
      <w:r w:rsidR="00D90AE2">
        <w:t xml:space="preserve"> .</w:t>
      </w:r>
      <w:r w:rsidR="00D90AE2">
        <w:tab/>
        <w:t>(8)</w:t>
      </w:r>
    </w:p>
    <w:p w14:paraId="6C52D3E5" w14:textId="77777777" w:rsidR="00566D6F" w:rsidRDefault="00566D6F" w:rsidP="00D90AE2">
      <w:pPr>
        <w:pStyle w:val="E1-Equation"/>
      </w:pPr>
    </w:p>
    <w:p w14:paraId="4097F3F9" w14:textId="77777777" w:rsidR="00D90AE2" w:rsidRPr="00566D6F" w:rsidRDefault="00D90AE2" w:rsidP="00566D6F">
      <w:pPr>
        <w:pStyle w:val="P1-StandPara"/>
      </w:pPr>
      <w:r w:rsidRPr="001C194E">
        <w:rPr>
          <w:b/>
          <w:i/>
        </w:rPr>
        <w:t>Special School Weights for Analysis of Non-Certification Errors</w:t>
      </w:r>
      <w:r>
        <w:rPr>
          <w:b/>
          <w:i/>
        </w:rPr>
        <w:t xml:space="preserve">. </w:t>
      </w:r>
      <w:r>
        <w:t>In addition to the general school weights, we will construct eight sets of special school weights for analysis of (a)</w:t>
      </w:r>
      <w:r w:rsidR="00186A08">
        <w:t> </w:t>
      </w:r>
      <w:r>
        <w:t>four types of non-certification error: meal claiming error, POS aggregation error, school-to-SFA report aggregation error</w:t>
      </w:r>
      <w:r w:rsidRPr="00201B8C">
        <w:t>, and SFA-to-State-agency meal claim aggregation error</w:t>
      </w:r>
      <w:r>
        <w:t>, crossed by (b)</w:t>
      </w:r>
      <w:r w:rsidR="00186A08">
        <w:t> </w:t>
      </w:r>
      <w:r>
        <w:t xml:space="preserve">two meal types (breakfast and lunch). The eight sets of weights to be constructed are indicated in </w:t>
      </w:r>
      <w:r w:rsidRPr="008E69FF">
        <w:t>Table B2-1</w:t>
      </w:r>
      <w:r>
        <w:t xml:space="preserve">, with more details provided in Appendix </w:t>
      </w:r>
      <w:r w:rsidR="00D738EB">
        <w:t>R</w:t>
      </w:r>
      <w:r>
        <w:t xml:space="preserve"> (Special School Weights for Non</w:t>
      </w:r>
      <w:r w:rsidR="00D738EB">
        <w:t>-</w:t>
      </w:r>
      <w:r>
        <w:t>Certification Errors).</w:t>
      </w:r>
    </w:p>
    <w:p w14:paraId="207773FF" w14:textId="36303275" w:rsidR="00D90AE2" w:rsidRDefault="00D90AE2" w:rsidP="00566D6F">
      <w:pPr>
        <w:pStyle w:val="TT-TableTitle"/>
      </w:pPr>
      <w:r w:rsidRPr="008E69FF">
        <w:t>Table B2-1.</w:t>
      </w:r>
      <w:r w:rsidRPr="008E69FF">
        <w:tab/>
        <w:t>School-level weights to be constructed for analysis of non-certification errors</w:t>
      </w:r>
    </w:p>
    <w:p w14:paraId="669D1D1A" w14:textId="08CEE0B5" w:rsidR="00D2239D" w:rsidRDefault="00D2239D" w:rsidP="00566D6F">
      <w:pPr>
        <w:pStyle w:val="TT-TableTitle"/>
      </w:pPr>
    </w:p>
    <w:tbl>
      <w:tblPr>
        <w:tblW w:w="5000" w:type="pct"/>
        <w:tblCellMar>
          <w:left w:w="0" w:type="dxa"/>
          <w:right w:w="0" w:type="dxa"/>
        </w:tblCellMar>
        <w:tblLook w:val="04A0" w:firstRow="1" w:lastRow="0" w:firstColumn="1" w:lastColumn="0" w:noHBand="0" w:noVBand="1"/>
      </w:tblPr>
      <w:tblGrid>
        <w:gridCol w:w="5934"/>
        <w:gridCol w:w="1821"/>
        <w:gridCol w:w="1821"/>
      </w:tblGrid>
      <w:tr w:rsidR="00D2239D" w14:paraId="040AC2B4" w14:textId="77777777" w:rsidTr="00D2239D">
        <w:trPr>
          <w:trHeight w:val="144"/>
        </w:trPr>
        <w:tc>
          <w:tcPr>
            <w:tcW w:w="5800" w:type="dxa"/>
            <w:vMerge w:val="restart"/>
            <w:tcBorders>
              <w:top w:val="single" w:sz="8" w:space="0" w:color="auto"/>
              <w:left w:val="nil"/>
              <w:bottom w:val="single" w:sz="8" w:space="0" w:color="auto"/>
              <w:right w:val="nil"/>
            </w:tcBorders>
            <w:shd w:val="clear" w:color="auto" w:fill="AFBED7"/>
            <w:noWrap/>
            <w:tcMar>
              <w:top w:w="0" w:type="dxa"/>
              <w:left w:w="108" w:type="dxa"/>
              <w:bottom w:w="0" w:type="dxa"/>
              <w:right w:w="108" w:type="dxa"/>
            </w:tcMar>
            <w:vAlign w:val="bottom"/>
            <w:hideMark/>
          </w:tcPr>
          <w:p w14:paraId="1880A81C" w14:textId="77777777" w:rsidR="00D2239D" w:rsidRDefault="00D2239D">
            <w:pPr>
              <w:pStyle w:val="TH-TableHeading"/>
            </w:pPr>
            <w:r>
              <w:t> Type of non-certification error</w:t>
            </w:r>
          </w:p>
        </w:tc>
        <w:tc>
          <w:tcPr>
            <w:tcW w:w="3560" w:type="dxa"/>
            <w:gridSpan w:val="2"/>
            <w:tcBorders>
              <w:top w:val="single" w:sz="8" w:space="0" w:color="auto"/>
              <w:left w:val="nil"/>
              <w:bottom w:val="single" w:sz="8" w:space="0" w:color="auto"/>
              <w:right w:val="nil"/>
            </w:tcBorders>
            <w:shd w:val="clear" w:color="auto" w:fill="AFBED7"/>
            <w:noWrap/>
            <w:tcMar>
              <w:top w:w="0" w:type="dxa"/>
              <w:left w:w="108" w:type="dxa"/>
              <w:bottom w:w="0" w:type="dxa"/>
              <w:right w:w="108" w:type="dxa"/>
            </w:tcMar>
            <w:hideMark/>
          </w:tcPr>
          <w:p w14:paraId="1ABDF272" w14:textId="77777777" w:rsidR="00D2239D" w:rsidRDefault="00D2239D">
            <w:pPr>
              <w:pStyle w:val="TH-TableHeading"/>
            </w:pPr>
            <w:r>
              <w:t>Meal type</w:t>
            </w:r>
          </w:p>
        </w:tc>
      </w:tr>
      <w:tr w:rsidR="00D2239D" w14:paraId="601B99B2" w14:textId="77777777" w:rsidTr="00D2239D">
        <w:trPr>
          <w:trHeight w:val="144"/>
        </w:trPr>
        <w:tc>
          <w:tcPr>
            <w:tcW w:w="0" w:type="auto"/>
            <w:vMerge/>
            <w:tcBorders>
              <w:top w:val="single" w:sz="8" w:space="0" w:color="auto"/>
              <w:left w:val="nil"/>
              <w:bottom w:val="single" w:sz="8" w:space="0" w:color="auto"/>
              <w:right w:val="nil"/>
            </w:tcBorders>
            <w:vAlign w:val="center"/>
            <w:hideMark/>
          </w:tcPr>
          <w:p w14:paraId="2BDC2B37" w14:textId="77777777" w:rsidR="00D2239D" w:rsidRDefault="00D2239D">
            <w:pPr>
              <w:rPr>
                <w:rFonts w:ascii="Franklin Gothic Medium" w:eastAsiaTheme="minorHAnsi" w:hAnsi="Franklin Gothic Medium"/>
                <w:b/>
                <w:bCs/>
                <w:sz w:val="20"/>
              </w:rPr>
            </w:pPr>
          </w:p>
        </w:tc>
        <w:tc>
          <w:tcPr>
            <w:tcW w:w="1780" w:type="dxa"/>
            <w:tcBorders>
              <w:top w:val="nil"/>
              <w:left w:val="nil"/>
              <w:bottom w:val="single" w:sz="8" w:space="0" w:color="auto"/>
              <w:right w:val="nil"/>
            </w:tcBorders>
            <w:shd w:val="clear" w:color="auto" w:fill="AFBED7"/>
            <w:tcMar>
              <w:top w:w="0" w:type="dxa"/>
              <w:left w:w="108" w:type="dxa"/>
              <w:bottom w:w="0" w:type="dxa"/>
              <w:right w:w="108" w:type="dxa"/>
            </w:tcMar>
            <w:hideMark/>
          </w:tcPr>
          <w:p w14:paraId="38729CD2" w14:textId="77777777" w:rsidR="00D2239D" w:rsidRDefault="00D2239D">
            <w:pPr>
              <w:pStyle w:val="TH-TableHeading"/>
            </w:pPr>
            <w:r>
              <w:t>Lunch</w:t>
            </w:r>
          </w:p>
        </w:tc>
        <w:tc>
          <w:tcPr>
            <w:tcW w:w="1780" w:type="dxa"/>
            <w:tcBorders>
              <w:top w:val="nil"/>
              <w:left w:val="nil"/>
              <w:bottom w:val="single" w:sz="8" w:space="0" w:color="auto"/>
              <w:right w:val="nil"/>
            </w:tcBorders>
            <w:shd w:val="clear" w:color="auto" w:fill="AFBED7"/>
            <w:tcMar>
              <w:top w:w="0" w:type="dxa"/>
              <w:left w:w="108" w:type="dxa"/>
              <w:bottom w:w="0" w:type="dxa"/>
              <w:right w:w="108" w:type="dxa"/>
            </w:tcMar>
            <w:hideMark/>
          </w:tcPr>
          <w:p w14:paraId="1FF6F4D7" w14:textId="77777777" w:rsidR="00D2239D" w:rsidRDefault="00D2239D">
            <w:pPr>
              <w:pStyle w:val="TH-TableHeading"/>
            </w:pPr>
            <w:r>
              <w:t>Breakfast</w:t>
            </w:r>
          </w:p>
        </w:tc>
      </w:tr>
      <w:tr w:rsidR="00D2239D" w14:paraId="618B0D28" w14:textId="77777777" w:rsidTr="00D2239D">
        <w:trPr>
          <w:trHeight w:val="144"/>
        </w:trPr>
        <w:tc>
          <w:tcPr>
            <w:tcW w:w="5800" w:type="dxa"/>
            <w:noWrap/>
            <w:tcMar>
              <w:top w:w="0" w:type="dxa"/>
              <w:left w:w="108" w:type="dxa"/>
              <w:bottom w:w="0" w:type="dxa"/>
              <w:right w:w="108" w:type="dxa"/>
            </w:tcMar>
            <w:hideMark/>
          </w:tcPr>
          <w:p w14:paraId="1DE42758" w14:textId="77777777" w:rsidR="00D2239D" w:rsidRDefault="00D2239D">
            <w:pPr>
              <w:pStyle w:val="TX-TableText"/>
            </w:pPr>
            <w:r>
              <w:t>Meal claiming error</w:t>
            </w:r>
          </w:p>
        </w:tc>
        <w:tc>
          <w:tcPr>
            <w:tcW w:w="1780" w:type="dxa"/>
            <w:noWrap/>
            <w:tcMar>
              <w:top w:w="0" w:type="dxa"/>
              <w:left w:w="108" w:type="dxa"/>
              <w:bottom w:w="0" w:type="dxa"/>
              <w:right w:w="108" w:type="dxa"/>
            </w:tcMar>
            <w:hideMark/>
          </w:tcPr>
          <w:p w14:paraId="54C6211A"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gij</m:t>
                    </m:r>
                  </m:sub>
                  <m:sup>
                    <m:r>
                      <w:rPr>
                        <w:rFonts w:ascii="Cambria Math" w:hAnsi="Cambria Math"/>
                      </w:rPr>
                      <m:t>sch,</m:t>
                    </m:r>
                    <m:r>
                      <w:rPr>
                        <w:rFonts w:ascii="Cambria Math" w:hAnsi="Cambria Math"/>
                      </w:rPr>
                      <m:t>11</m:t>
                    </m:r>
                  </m:sup>
                </m:sSubSup>
              </m:oMath>
            </m:oMathPara>
          </w:p>
        </w:tc>
        <w:tc>
          <w:tcPr>
            <w:tcW w:w="1780" w:type="dxa"/>
            <w:noWrap/>
            <w:tcMar>
              <w:top w:w="0" w:type="dxa"/>
              <w:left w:w="108" w:type="dxa"/>
              <w:bottom w:w="0" w:type="dxa"/>
              <w:right w:w="108" w:type="dxa"/>
            </w:tcMar>
            <w:hideMark/>
          </w:tcPr>
          <w:p w14:paraId="4FF0BCE2"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ghi</m:t>
                    </m:r>
                  </m:sub>
                  <m:sup>
                    <m:r>
                      <w:rPr>
                        <w:rFonts w:ascii="Cambria Math" w:hAnsi="Cambria Math"/>
                      </w:rPr>
                      <m:t xml:space="preserve">sch, </m:t>
                    </m:r>
                    <m:r>
                      <w:rPr>
                        <w:rFonts w:ascii="Cambria Math" w:hAnsi="Cambria Math"/>
                      </w:rPr>
                      <m:t>12</m:t>
                    </m:r>
                  </m:sup>
                </m:sSubSup>
              </m:oMath>
            </m:oMathPara>
          </w:p>
        </w:tc>
      </w:tr>
      <w:tr w:rsidR="00D2239D" w14:paraId="6F4FF7D6" w14:textId="77777777" w:rsidTr="00D2239D">
        <w:trPr>
          <w:trHeight w:val="144"/>
        </w:trPr>
        <w:tc>
          <w:tcPr>
            <w:tcW w:w="5800" w:type="dxa"/>
            <w:noWrap/>
            <w:tcMar>
              <w:top w:w="0" w:type="dxa"/>
              <w:left w:w="108" w:type="dxa"/>
              <w:bottom w:w="0" w:type="dxa"/>
              <w:right w:w="108" w:type="dxa"/>
            </w:tcMar>
            <w:hideMark/>
          </w:tcPr>
          <w:p w14:paraId="2E849651" w14:textId="77777777" w:rsidR="00D2239D" w:rsidRDefault="00D2239D">
            <w:pPr>
              <w:pStyle w:val="TX-TableText"/>
            </w:pPr>
            <w:r>
              <w:t>POS aggregation error</w:t>
            </w:r>
          </w:p>
        </w:tc>
        <w:tc>
          <w:tcPr>
            <w:tcW w:w="1780" w:type="dxa"/>
            <w:noWrap/>
            <w:tcMar>
              <w:top w:w="0" w:type="dxa"/>
              <w:left w:w="108" w:type="dxa"/>
              <w:bottom w:w="0" w:type="dxa"/>
              <w:right w:w="108" w:type="dxa"/>
            </w:tcMar>
            <w:hideMark/>
          </w:tcPr>
          <w:p w14:paraId="2F8772A6"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ghi</m:t>
                    </m:r>
                  </m:sub>
                  <m:sup>
                    <m:r>
                      <w:rPr>
                        <w:rFonts w:ascii="Cambria Math" w:hAnsi="Cambria Math"/>
                      </w:rPr>
                      <m:t xml:space="preserve">sch, </m:t>
                    </m:r>
                    <m:r>
                      <w:rPr>
                        <w:rFonts w:ascii="Cambria Math" w:hAnsi="Cambria Math"/>
                      </w:rPr>
                      <m:t>21</m:t>
                    </m:r>
                  </m:sup>
                </m:sSubSup>
              </m:oMath>
            </m:oMathPara>
          </w:p>
        </w:tc>
        <w:tc>
          <w:tcPr>
            <w:tcW w:w="1780" w:type="dxa"/>
            <w:noWrap/>
            <w:tcMar>
              <w:top w:w="0" w:type="dxa"/>
              <w:left w:w="108" w:type="dxa"/>
              <w:bottom w:w="0" w:type="dxa"/>
              <w:right w:w="108" w:type="dxa"/>
            </w:tcMar>
            <w:hideMark/>
          </w:tcPr>
          <w:p w14:paraId="7A46203F"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ghi</m:t>
                    </m:r>
                  </m:sub>
                  <m:sup>
                    <m:r>
                      <w:rPr>
                        <w:rFonts w:ascii="Cambria Math" w:hAnsi="Cambria Math"/>
                      </w:rPr>
                      <m:t xml:space="preserve">sch, </m:t>
                    </m:r>
                    <m:r>
                      <w:rPr>
                        <w:rFonts w:ascii="Cambria Math" w:hAnsi="Cambria Math"/>
                      </w:rPr>
                      <m:t>22</m:t>
                    </m:r>
                  </m:sup>
                </m:sSubSup>
              </m:oMath>
            </m:oMathPara>
          </w:p>
        </w:tc>
      </w:tr>
      <w:tr w:rsidR="00D2239D" w14:paraId="49160A6B" w14:textId="77777777" w:rsidTr="00D2239D">
        <w:trPr>
          <w:trHeight w:val="144"/>
        </w:trPr>
        <w:tc>
          <w:tcPr>
            <w:tcW w:w="5800" w:type="dxa"/>
            <w:noWrap/>
            <w:tcMar>
              <w:top w:w="0" w:type="dxa"/>
              <w:left w:w="108" w:type="dxa"/>
              <w:bottom w:w="0" w:type="dxa"/>
              <w:right w:w="108" w:type="dxa"/>
            </w:tcMar>
            <w:hideMark/>
          </w:tcPr>
          <w:p w14:paraId="69E3BCC2" w14:textId="77777777" w:rsidR="00D2239D" w:rsidRDefault="00D2239D">
            <w:pPr>
              <w:pStyle w:val="TX-TableText"/>
            </w:pPr>
            <w:r>
              <w:t>School-to-SFA report aggregation error</w:t>
            </w:r>
          </w:p>
        </w:tc>
        <w:tc>
          <w:tcPr>
            <w:tcW w:w="1780" w:type="dxa"/>
            <w:noWrap/>
            <w:tcMar>
              <w:top w:w="0" w:type="dxa"/>
              <w:left w:w="108" w:type="dxa"/>
              <w:bottom w:w="0" w:type="dxa"/>
              <w:right w:w="108" w:type="dxa"/>
            </w:tcMar>
            <w:hideMark/>
          </w:tcPr>
          <w:p w14:paraId="60CD4D98"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ghi</m:t>
                    </m:r>
                  </m:sub>
                  <m:sup>
                    <m:r>
                      <w:rPr>
                        <w:rFonts w:ascii="Cambria Math" w:hAnsi="Cambria Math"/>
                      </w:rPr>
                      <m:t xml:space="preserve">sch, </m:t>
                    </m:r>
                    <m:r>
                      <w:rPr>
                        <w:rFonts w:ascii="Cambria Math" w:hAnsi="Cambria Math"/>
                      </w:rPr>
                      <m:t>31</m:t>
                    </m:r>
                  </m:sup>
                </m:sSubSup>
              </m:oMath>
            </m:oMathPara>
          </w:p>
        </w:tc>
        <w:tc>
          <w:tcPr>
            <w:tcW w:w="1780" w:type="dxa"/>
            <w:noWrap/>
            <w:tcMar>
              <w:top w:w="0" w:type="dxa"/>
              <w:left w:w="108" w:type="dxa"/>
              <w:bottom w:w="0" w:type="dxa"/>
              <w:right w:w="108" w:type="dxa"/>
            </w:tcMar>
            <w:hideMark/>
          </w:tcPr>
          <w:p w14:paraId="3F26A85F"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ghi</m:t>
                    </m:r>
                  </m:sub>
                  <m:sup>
                    <m:r>
                      <w:rPr>
                        <w:rFonts w:ascii="Cambria Math" w:hAnsi="Cambria Math"/>
                      </w:rPr>
                      <m:t xml:space="preserve">sch, </m:t>
                    </m:r>
                    <m:r>
                      <w:rPr>
                        <w:rFonts w:ascii="Cambria Math" w:hAnsi="Cambria Math"/>
                      </w:rPr>
                      <m:t>32</m:t>
                    </m:r>
                  </m:sup>
                </m:sSubSup>
              </m:oMath>
            </m:oMathPara>
          </w:p>
        </w:tc>
      </w:tr>
      <w:tr w:rsidR="00D2239D" w14:paraId="36BC63E5" w14:textId="77777777" w:rsidTr="00D2239D">
        <w:trPr>
          <w:trHeight w:val="144"/>
        </w:trPr>
        <w:tc>
          <w:tcPr>
            <w:tcW w:w="5800" w:type="dxa"/>
            <w:tcBorders>
              <w:top w:val="nil"/>
              <w:left w:val="nil"/>
              <w:bottom w:val="single" w:sz="8" w:space="0" w:color="auto"/>
              <w:right w:val="nil"/>
            </w:tcBorders>
            <w:noWrap/>
            <w:tcMar>
              <w:top w:w="0" w:type="dxa"/>
              <w:left w:w="108" w:type="dxa"/>
              <w:bottom w:w="0" w:type="dxa"/>
              <w:right w:w="108" w:type="dxa"/>
            </w:tcMar>
            <w:hideMark/>
          </w:tcPr>
          <w:p w14:paraId="6D9A96C4" w14:textId="77777777" w:rsidR="00D2239D" w:rsidRDefault="00D2239D">
            <w:pPr>
              <w:pStyle w:val="TX-TableText"/>
            </w:pPr>
            <w:r>
              <w:t>SFA-to-State meal claiming aggregation error</w:t>
            </w:r>
          </w:p>
        </w:tc>
        <w:tc>
          <w:tcPr>
            <w:tcW w:w="1780" w:type="dxa"/>
            <w:tcBorders>
              <w:top w:val="nil"/>
              <w:left w:val="nil"/>
              <w:bottom w:val="single" w:sz="8" w:space="0" w:color="auto"/>
              <w:right w:val="nil"/>
            </w:tcBorders>
            <w:noWrap/>
            <w:tcMar>
              <w:top w:w="0" w:type="dxa"/>
              <w:left w:w="108" w:type="dxa"/>
              <w:bottom w:w="0" w:type="dxa"/>
              <w:right w:w="108" w:type="dxa"/>
            </w:tcMar>
            <w:hideMark/>
          </w:tcPr>
          <w:p w14:paraId="5E96CC9F"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ghi</m:t>
                    </m:r>
                  </m:sub>
                  <m:sup>
                    <m:r>
                      <w:rPr>
                        <w:rFonts w:ascii="Cambria Math" w:hAnsi="Cambria Math"/>
                      </w:rPr>
                      <m:t xml:space="preserve">sch, </m:t>
                    </m:r>
                    <m:r>
                      <w:rPr>
                        <w:rFonts w:ascii="Cambria Math" w:hAnsi="Cambria Math"/>
                      </w:rPr>
                      <m:t>41</m:t>
                    </m:r>
                  </m:sup>
                </m:sSubSup>
              </m:oMath>
            </m:oMathPara>
          </w:p>
        </w:tc>
        <w:tc>
          <w:tcPr>
            <w:tcW w:w="1780" w:type="dxa"/>
            <w:tcBorders>
              <w:top w:val="nil"/>
              <w:left w:val="nil"/>
              <w:bottom w:val="single" w:sz="8" w:space="0" w:color="auto"/>
              <w:right w:val="nil"/>
            </w:tcBorders>
            <w:noWrap/>
            <w:tcMar>
              <w:top w:w="0" w:type="dxa"/>
              <w:left w:w="108" w:type="dxa"/>
              <w:bottom w:w="0" w:type="dxa"/>
              <w:right w:w="108" w:type="dxa"/>
            </w:tcMar>
            <w:hideMark/>
          </w:tcPr>
          <w:p w14:paraId="5A34CD7F" w14:textId="77777777" w:rsidR="00D2239D" w:rsidRDefault="001C125A">
            <w:pPr>
              <w:pStyle w:val="TX-TableText"/>
            </w:pPr>
            <m:oMathPara>
              <m:oMath>
                <m:sSubSup>
                  <m:sSubSupPr>
                    <m:ctrlPr>
                      <w:rPr>
                        <w:rFonts w:ascii="Cambria Math" w:eastAsiaTheme="minorHAnsi" w:hAnsi="Cambria Math"/>
                        <w:i/>
                        <w:iCs/>
                      </w:rPr>
                    </m:ctrlPr>
                  </m:sSubSupPr>
                  <m:e>
                    <m:r>
                      <w:rPr>
                        <w:rFonts w:ascii="Cambria Math" w:hAnsi="Cambria Math"/>
                      </w:rPr>
                      <m:t>w</m:t>
                    </m:r>
                  </m:e>
                  <m:sub>
                    <m:r>
                      <w:rPr>
                        <w:rFonts w:ascii="Cambria Math" w:hAnsi="Cambria Math"/>
                      </w:rPr>
                      <m:t>ghi</m:t>
                    </m:r>
                  </m:sub>
                  <m:sup>
                    <m:r>
                      <w:rPr>
                        <w:rFonts w:ascii="Cambria Math" w:hAnsi="Cambria Math"/>
                      </w:rPr>
                      <m:t xml:space="preserve">sch, </m:t>
                    </m:r>
                    <m:r>
                      <w:rPr>
                        <w:rFonts w:ascii="Cambria Math" w:hAnsi="Cambria Math"/>
                      </w:rPr>
                      <m:t>42</m:t>
                    </m:r>
                  </m:sup>
                </m:sSubSup>
              </m:oMath>
            </m:oMathPara>
          </w:p>
        </w:tc>
      </w:tr>
    </w:tbl>
    <w:p w14:paraId="05B62CAF" w14:textId="2AF8CA85" w:rsidR="00186A08" w:rsidRDefault="00D90AE2" w:rsidP="008A6D63">
      <w:pPr>
        <w:pStyle w:val="P1-StandPara"/>
        <w:spacing w:before="240"/>
        <w:rPr>
          <w:b/>
          <w:u w:val="single"/>
        </w:rPr>
      </w:pPr>
      <w:r w:rsidRPr="00566D6F">
        <w:rPr>
          <w:b/>
        </w:rPr>
        <w:t>Student (Household) Weights.</w:t>
      </w:r>
      <w:r w:rsidRPr="001356D5">
        <w:rPr>
          <w:b/>
        </w:rPr>
        <w:t xml:space="preserve"> </w:t>
      </w:r>
      <w:r>
        <w:t xml:space="preserve">Estimates of certification errors will be based on </w:t>
      </w:r>
      <w:r w:rsidRPr="000B023D">
        <w:t>(a)</w:t>
      </w:r>
      <w:r w:rsidR="00186A08" w:rsidRPr="000B023D">
        <w:t> </w:t>
      </w:r>
      <w:r w:rsidRPr="000B023D">
        <w:t xml:space="preserve">responses to the </w:t>
      </w:r>
      <w:r w:rsidR="00D738EB" w:rsidRPr="000B023D">
        <w:t xml:space="preserve">household survey </w:t>
      </w:r>
      <w:r w:rsidR="0046358F" w:rsidRPr="000B023D">
        <w:t>(Appendix</w:t>
      </w:r>
      <w:r w:rsidR="00D2239D" w:rsidRPr="000B023D">
        <w:t xml:space="preserve"> D5/D6</w:t>
      </w:r>
      <w:r w:rsidR="0046358F" w:rsidRPr="000B023D">
        <w:t xml:space="preserve">) </w:t>
      </w:r>
      <w:r w:rsidRPr="000B023D">
        <w:t>in non-CEP schools</w:t>
      </w:r>
      <w:r w:rsidR="00D738EB" w:rsidRPr="000B023D">
        <w:t>;</w:t>
      </w:r>
      <w:r w:rsidRPr="000B023D">
        <w:t xml:space="preserve"> and (b)</w:t>
      </w:r>
      <w:r w:rsidR="00186A08" w:rsidRPr="000B023D">
        <w:t> </w:t>
      </w:r>
      <w:r w:rsidRPr="000B023D">
        <w:t>the results of the data abstraction audit of student-records in CEP schools</w:t>
      </w:r>
      <w:r w:rsidR="0046358F" w:rsidRPr="000B023D">
        <w:t xml:space="preserve"> (Appendix</w:t>
      </w:r>
      <w:r w:rsidR="0046358F">
        <w:t xml:space="preserve"> </w:t>
      </w:r>
      <w:r w:rsidR="00D2239D">
        <w:t>B3</w:t>
      </w:r>
      <w:r w:rsidR="0046358F">
        <w:t>)</w:t>
      </w:r>
      <w:r w:rsidRPr="0046358F">
        <w:t xml:space="preserve">. The final student weights will include an adjustment for nonresponse and a post stratification adjustment to align the </w:t>
      </w:r>
      <w:r w:rsidRPr="0046358F">
        <w:lastRenderedPageBreak/>
        <w:t>sample-based weighted estimates of dollar reimbursement amounts to the corresponding known</w:t>
      </w:r>
      <w:r>
        <w:t xml:space="preserve"> population amounts available from FNS administrative files.</w:t>
      </w:r>
    </w:p>
    <w:p w14:paraId="38DCEAC6" w14:textId="77777777" w:rsidR="00186A08" w:rsidRDefault="00D90AE2" w:rsidP="00566D6F">
      <w:pPr>
        <w:pStyle w:val="P1-StandPara"/>
      </w:pPr>
      <w:r>
        <w:t xml:space="preserve">The starting point for constructing the required student weights is the assignment of an initial student weight to the responding students in the sample. For students selected from the non-CEP schools, the term </w:t>
      </w:r>
      <w:r w:rsidR="00703835">
        <w:t>“</w:t>
      </w:r>
      <w:r>
        <w:t>responding student</w:t>
      </w:r>
      <w:r w:rsidR="00703835">
        <w:t>”</w:t>
      </w:r>
      <w:r>
        <w:t xml:space="preserve"> refers to the response status of the household in which the student resides, as it is information from the </w:t>
      </w:r>
      <w:r w:rsidR="00D738EB">
        <w:t>household s</w:t>
      </w:r>
      <w:r>
        <w:t>urvey that will be used to determine improper payments. For student</w:t>
      </w:r>
      <w:r w:rsidR="00D738EB">
        <w:t xml:space="preserve"> </w:t>
      </w:r>
      <w:r>
        <w:t>records selected from CEP schools, improper payments will be determined directly from administrative records. The initial student weight</w:t>
      </w:r>
      <w:proofErr w:type="gramStart"/>
      <w:r>
        <w:t xml:space="preserve">, </w:t>
      </w:r>
      <m:oMath>
        <m:sSubSup>
          <m:sSubSupPr>
            <m:ctrlPr>
              <w:rPr>
                <w:rFonts w:ascii="Cambria Math" w:hAnsi="Cambria Math"/>
                <w:i/>
              </w:rPr>
            </m:ctrlPr>
          </m:sSubSupPr>
          <m:e>
            <w:proofErr w:type="gramEnd"/>
            <m:r>
              <w:rPr>
                <w:rFonts w:ascii="Cambria Math" w:hAnsi="Cambria Math"/>
              </w:rPr>
              <m:t>w</m:t>
            </m:r>
          </m:e>
          <m:sub>
            <m:r>
              <w:rPr>
                <w:rFonts w:ascii="Cambria Math" w:hAnsi="Cambria Math"/>
              </w:rPr>
              <m:t>hijs</m:t>
            </m:r>
          </m:sub>
          <m:sup>
            <m:r>
              <w:rPr>
                <w:rFonts w:ascii="Cambria Math" w:hAnsi="Cambria Math"/>
              </w:rPr>
              <m:t>stud</m:t>
            </m:r>
          </m:sup>
        </m:sSubSup>
      </m:oMath>
      <w:r>
        <w:t xml:space="preserve"> , for student </w:t>
      </w:r>
      <w:r w:rsidRPr="00937FB2">
        <w:rPr>
          <w:i/>
        </w:rPr>
        <w:t>s</w:t>
      </w:r>
      <w:r>
        <w:t xml:space="preserve"> in school </w:t>
      </w:r>
      <w:r w:rsidRPr="00937FB2">
        <w:rPr>
          <w:i/>
        </w:rPr>
        <w:t>j</w:t>
      </w:r>
      <w:r>
        <w:t xml:space="preserve"> of SFA</w:t>
      </w:r>
      <w:r w:rsidRPr="00937FB2">
        <w:rPr>
          <w:i/>
        </w:rPr>
        <w:t xml:space="preserve"> i</w:t>
      </w:r>
      <w:r>
        <w:t xml:space="preserve"> in sampling stratum </w:t>
      </w:r>
      <w:r w:rsidRPr="00937FB2">
        <w:rPr>
          <w:i/>
        </w:rPr>
        <w:t>h</w:t>
      </w:r>
      <w:r>
        <w:t xml:space="preserve"> will be computed as</w:t>
      </w:r>
    </w:p>
    <w:p w14:paraId="0E27866C"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hijs</m:t>
            </m:r>
          </m:sub>
          <m:sup>
            <m:r>
              <w:rPr>
                <w:rFonts w:ascii="Cambria Math" w:hAnsi="Cambria Math"/>
              </w:rPr>
              <m:t>stud</m:t>
            </m:r>
          </m:sup>
        </m:sSubSup>
      </m:oMath>
      <w:r w:rsidR="00D90AE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gen</m:t>
            </m:r>
          </m:sup>
        </m:sSubSup>
      </m:oMath>
      <w:r w:rsidR="00D90AE2">
        <w:t>/</w:t>
      </w:r>
      <m:oMath>
        <m:sSubSup>
          <m:sSubSupPr>
            <m:ctrlPr>
              <w:rPr>
                <w:rFonts w:ascii="Cambria Math" w:hAnsi="Cambria Math"/>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rsidR="00AE3CE0">
        <w:t>,</w:t>
      </w:r>
      <w:r w:rsidR="00D90AE2">
        <w:tab/>
        <w:t>(14)</w:t>
      </w:r>
    </w:p>
    <w:p w14:paraId="1D5CA492" w14:textId="77777777" w:rsidR="00566D6F" w:rsidRDefault="00566D6F" w:rsidP="00D90AE2">
      <w:pPr>
        <w:pStyle w:val="E1-Equation"/>
      </w:pPr>
    </w:p>
    <w:p w14:paraId="06222586" w14:textId="77777777" w:rsidR="00186A08" w:rsidRDefault="00D90AE2" w:rsidP="00566D6F">
      <w:pPr>
        <w:pStyle w:val="L1-FlLSp12"/>
      </w:pPr>
      <w:proofErr w:type="gramStart"/>
      <w:r>
        <w:t>where</w:t>
      </w:r>
      <w:proofErr w:type="gramEnd"/>
      <w: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gen</m:t>
            </m:r>
          </m:sup>
        </m:sSubSup>
      </m:oMath>
      <w:r>
        <w:t xml:space="preserve">= the general school weight defined by equation (8) and </w:t>
      </w:r>
      <m:oMath>
        <m:sSubSup>
          <m:sSubSupPr>
            <m:ctrlPr>
              <w:rPr>
                <w:rFonts w:ascii="Cambria Math" w:hAnsi="Cambria Math"/>
                <w:i/>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t xml:space="preserve"> is the (conditional) probability of selecting student </w:t>
      </w:r>
      <w:r w:rsidRPr="002D220B">
        <w:rPr>
          <w:i/>
        </w:rPr>
        <w:t>s</w:t>
      </w:r>
      <w:r>
        <w:t xml:space="preserve"> from school </w:t>
      </w:r>
      <w:r w:rsidRPr="002D220B">
        <w:rPr>
          <w:i/>
        </w:rPr>
        <w:t>j</w:t>
      </w:r>
      <w:r>
        <w:t xml:space="preserve"> in SFA </w:t>
      </w:r>
      <w:r w:rsidRPr="002D220B">
        <w:rPr>
          <w:i/>
        </w:rPr>
        <w:t>i</w:t>
      </w:r>
      <w:r>
        <w:t xml:space="preserve"> in sampling stratum </w:t>
      </w:r>
      <w:r w:rsidRPr="002D220B">
        <w:rPr>
          <w:i/>
        </w:rPr>
        <w:t>h</w:t>
      </w:r>
      <w:r>
        <w:t xml:space="preserve">. The (within-school) probability of selecting a student for the sample will depend on whether the sampled school is a CEP or non-CEP school, and within the non-CEP schools, will also depend on the certification status of the student. The values of </w:t>
      </w:r>
      <m:oMath>
        <m:sSubSup>
          <m:sSubSupPr>
            <m:ctrlPr>
              <w:rPr>
                <w:rFonts w:ascii="Cambria Math" w:hAnsi="Cambria Math"/>
                <w:i/>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t xml:space="preserve"> will be known at the time of sampling.</w:t>
      </w:r>
    </w:p>
    <w:p w14:paraId="670626CC" w14:textId="77777777" w:rsidR="00186A08" w:rsidRDefault="00D90AE2" w:rsidP="00566D6F">
      <w:pPr>
        <w:pStyle w:val="P1-StandPara"/>
      </w:pPr>
      <w:r>
        <w:t xml:space="preserve">Next, a nonresponse adjustment will be applied to the initial weights (14) to compensate for sample losses due to incomplete student-level data. Note that for those student records in CEP schools that are selected for data abstraction, we expect no missing data (i.e., 100 percent response rate). Thus, the nonresponse adjustment described here will apply only to students selected from the non-CEP schools. Weighting cells will be defined by type of control, CEP status of SFA in which </w:t>
      </w:r>
      <w:r w:rsidR="000970E2">
        <w:t xml:space="preserve">the </w:t>
      </w:r>
      <w:r>
        <w:t xml:space="preserve">school is located, and certification status of </w:t>
      </w:r>
      <w:r w:rsidR="00D738EB">
        <w:t xml:space="preserve">the </w:t>
      </w:r>
      <w:r>
        <w:t>student (i.e., approved for free</w:t>
      </w:r>
      <w:r w:rsidR="00D738EB">
        <w:t xml:space="preserve"> or </w:t>
      </w:r>
      <w:r>
        <w:t>reduced</w:t>
      </w:r>
      <w:r w:rsidR="00D738EB">
        <w:t>-</w:t>
      </w:r>
      <w:r>
        <w:t>price lunch v</w:t>
      </w:r>
      <w:r w:rsidR="00D738EB">
        <w:t>ersus</w:t>
      </w:r>
      <w:r>
        <w:t xml:space="preserve"> denied). These are broadly consistent with the variables used in APEC</w:t>
      </w:r>
      <w:r w:rsidR="00D738EB">
        <w:t xml:space="preserve"> </w:t>
      </w:r>
      <w:r>
        <w:t xml:space="preserve">II to form nonresponse weighting cells; however, we will also consider other variables (e.g., derived from the </w:t>
      </w:r>
      <w:r w:rsidR="00D738EB">
        <w:lastRenderedPageBreak/>
        <w:t>h</w:t>
      </w:r>
      <w:r>
        <w:t xml:space="preserve">ousehold </w:t>
      </w:r>
      <w:r w:rsidR="00D738EB">
        <w:t>s</w:t>
      </w:r>
      <w:r>
        <w:t xml:space="preserve">urvey as appropriate). Within final weighting cell </w:t>
      </w:r>
      <w:r w:rsidRPr="002D220B">
        <w:rPr>
          <w:i/>
        </w:rPr>
        <w:t>k</w:t>
      </w:r>
      <w:r>
        <w:t>, a nonresponse adjustment factor will be computed as</w:t>
      </w:r>
    </w:p>
    <w:p w14:paraId="720B44E3"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stud</m:t>
            </m:r>
          </m:sup>
        </m:sSubSup>
      </m:oMath>
      <w:r w:rsidR="00D90AE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stud</m:t>
            </m:r>
          </m:sup>
        </m:sSubSup>
      </m:oMath>
      <w:r w:rsidR="00D90AE2">
        <w:t xml:space="preserve"> </w:t>
      </w:r>
      <w:proofErr w:type="gramStart"/>
      <w:r w:rsidR="00D90AE2">
        <w:t xml:space="preserve">/ </w:t>
      </w:r>
      <m:oMath>
        <m:nary>
          <m:naryPr>
            <m:chr m:val="∑"/>
            <m:limLoc m:val="undOvr"/>
            <m:ctrlPr>
              <w:rPr>
                <w:rFonts w:ascii="Cambria Math" w:hAnsi="Cambria Math"/>
              </w:rPr>
            </m:ctrlPr>
          </m:naryPr>
          <m:sub>
            <w:proofErr w:type="gramEnd"/>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stud</m:t>
            </m:r>
          </m:sup>
        </m:sSubSup>
      </m:oMath>
      <w:r w:rsidR="00D90AE2">
        <w:t xml:space="preserve"> ,</w:t>
      </w:r>
      <w:r w:rsidR="00D90AE2">
        <w:tab/>
        <w:t>(15)</w:t>
      </w:r>
    </w:p>
    <w:p w14:paraId="355E9E12" w14:textId="77777777" w:rsidR="00566D6F" w:rsidRDefault="00566D6F" w:rsidP="00D90AE2">
      <w:pPr>
        <w:pStyle w:val="E1-Equation"/>
      </w:pPr>
    </w:p>
    <w:p w14:paraId="09E2D7B5" w14:textId="77777777" w:rsidR="00186A08" w:rsidRDefault="00D90AE2" w:rsidP="00566D6F">
      <w:pPr>
        <w:pStyle w:val="L1-FlLSp12"/>
      </w:pPr>
      <w:r>
        <w:t xml:space="preserve">where the summation in the numerator extends over all of the </w:t>
      </w:r>
      <w:r w:rsidRPr="00D8522D">
        <w:rPr>
          <w:i/>
        </w:rPr>
        <w:t>b</w:t>
      </w:r>
      <w:r>
        <w:t xml:space="preserve"> sampled students in weighting cell </w:t>
      </w:r>
      <w:r w:rsidRPr="002D220B">
        <w:rPr>
          <w:i/>
        </w:rPr>
        <w:t>k</w:t>
      </w:r>
      <w:r>
        <w:t xml:space="preserve">,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t xml:space="preserve"> </w:t>
      </w:r>
      <w:r w:rsidR="00703835">
        <w:t>“</w:t>
      </w:r>
      <w:r>
        <w:t>responding students</w:t>
      </w:r>
      <w:r w:rsidR="00703835">
        <w:t>”</w:t>
      </w:r>
      <w:r>
        <w:t xml:space="preserve"> in the weighting cell (i.e., those for which the household provides sufficiently complete data for calculation of improper payments for the sampled student). The nonresponse-adjusted student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kijs</m:t>
            </m:r>
          </m:sub>
          <m:sup>
            <m:r>
              <w:rPr>
                <w:rFonts w:ascii="Cambria Math" w:hAnsi="Cambria Math"/>
              </w:rPr>
              <m:t>NR</m:t>
            </m:r>
          </m:sup>
        </m:sSubSup>
      </m:oMath>
      <w:r>
        <w:t xml:space="preserve">, for student </w:t>
      </w:r>
      <w:r w:rsidRPr="002D220B">
        <w:rPr>
          <w:i/>
        </w:rPr>
        <w:t>s</w:t>
      </w:r>
      <w:r>
        <w:t xml:space="preserve"> in (non-CEP) school </w:t>
      </w:r>
      <w:r w:rsidRPr="002D220B">
        <w:rPr>
          <w:i/>
        </w:rPr>
        <w:t>j</w:t>
      </w:r>
      <w:r>
        <w:t xml:space="preserve"> in SFA </w:t>
      </w:r>
      <w:r w:rsidRPr="002D220B">
        <w:rPr>
          <w:i/>
        </w:rPr>
        <w:t>i</w:t>
      </w:r>
      <w:r>
        <w:t xml:space="preserve"> in weighting cell </w:t>
      </w:r>
      <w:r w:rsidRPr="002D220B">
        <w:rPr>
          <w:i/>
        </w:rPr>
        <w:t>k</w:t>
      </w:r>
      <w:r>
        <w:t xml:space="preserve"> will then be computed as</w:t>
      </w:r>
    </w:p>
    <w:p w14:paraId="5E79F2F3"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NR</m:t>
            </m:r>
          </m:sup>
        </m:sSubSup>
      </m:oMath>
      <w:r w:rsidR="00D90AE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stud</m:t>
            </m:r>
          </m:sup>
        </m:sSubSup>
      </m:oMath>
      <w:r w:rsidR="00D90AE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stud</m:t>
            </m:r>
          </m:sup>
        </m:sSubSup>
      </m:oMath>
      <w:r w:rsidR="00D90AE2">
        <w:t xml:space="preserve"> .</w:t>
      </w:r>
      <w:r w:rsidR="00D90AE2">
        <w:tab/>
        <w:t>(16)</w:t>
      </w:r>
    </w:p>
    <w:p w14:paraId="076A36F6" w14:textId="77777777" w:rsidR="00566D6F" w:rsidRDefault="00566D6F" w:rsidP="00D90AE2">
      <w:pPr>
        <w:pStyle w:val="E1-Equation"/>
      </w:pPr>
    </w:p>
    <w:p w14:paraId="10CB3750" w14:textId="77777777" w:rsidR="005305E5" w:rsidRDefault="00D90AE2" w:rsidP="00566D6F">
      <w:pPr>
        <w:pStyle w:val="L1-FlLSp12"/>
      </w:pPr>
      <w:r>
        <w:t>Note that (16) applies only to students in non-CEP schools. In CEP schools,</w:t>
      </w:r>
    </w:p>
    <w:p w14:paraId="5F15B786"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NR</m:t>
            </m:r>
          </m:sup>
        </m:sSubSup>
      </m:oMath>
      <w:r w:rsidR="00D90AE2">
        <w:t xml:space="preserve"> =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stud</m:t>
            </m:r>
          </m:sup>
        </m:sSubSup>
      </m:oMath>
      <w:r w:rsidR="00D90AE2">
        <w:t xml:space="preserve"> .</w:t>
      </w:r>
      <w:r w:rsidR="00D90AE2">
        <w:tab/>
        <w:t>(17)</w:t>
      </w:r>
    </w:p>
    <w:p w14:paraId="5F2E8A1C" w14:textId="77777777" w:rsidR="00566D6F" w:rsidRDefault="00566D6F" w:rsidP="00D90AE2">
      <w:pPr>
        <w:pStyle w:val="E1-Equation"/>
      </w:pPr>
    </w:p>
    <w:p w14:paraId="17754CBC" w14:textId="77777777" w:rsidR="00186A08" w:rsidRDefault="00D90AE2" w:rsidP="00566D6F">
      <w:pPr>
        <w:pStyle w:val="L1-FlLSp12"/>
      </w:pPr>
      <w:r>
        <w:t xml:space="preserve">The final step in student weighting will be to calibrate the nonresponse-adjusted weights given by (16) and (17) so that sample-based weighted estimates of total (annual) reimbursements equals the corresponding </w:t>
      </w:r>
      <w:r w:rsidR="00703835">
        <w:t>“</w:t>
      </w:r>
      <w:r>
        <w:t>known</w:t>
      </w:r>
      <w:r w:rsidR="00703835">
        <w:t>”</w:t>
      </w:r>
      <w:r>
        <w:t xml:space="preserve"> amounts recorded in FNS data files. This adjustment will be made separately for NSLP and SBP and for CEP and non-CEP schools. Let </w:t>
      </w:r>
      <m:oMath>
        <m:sSubSup>
          <m:sSubSupPr>
            <m:ctrlPr>
              <w:rPr>
                <w:rFonts w:ascii="Cambria Math" w:hAnsi="Cambria Math"/>
                <w:i/>
              </w:rPr>
            </m:ctrlPr>
          </m:sSubSupPr>
          <m:e>
            <m:r>
              <w:rPr>
                <w:rFonts w:ascii="Cambria Math" w:hAnsi="Cambria Math"/>
              </w:rPr>
              <m:t>R</m:t>
            </m:r>
          </m:e>
          <m:sub>
            <m:r>
              <w:rPr>
                <w:rFonts w:ascii="Cambria Math" w:hAnsi="Cambria Math"/>
              </w:rPr>
              <m:t>c</m:t>
            </m:r>
          </m:sub>
          <m:sup>
            <m:r>
              <w:rPr>
                <w:rFonts w:ascii="Cambria Math" w:hAnsi="Cambria Math"/>
              </w:rPr>
              <m:t>m</m:t>
            </m:r>
          </m:sup>
        </m:sSubSup>
      </m:oMath>
      <w:r>
        <w:t xml:space="preserve"> = the total annual reimbursement amount derived from FNS administrative files for meal type </w:t>
      </w:r>
      <w:r w:rsidRPr="002D220B">
        <w:rPr>
          <w:i/>
        </w:rPr>
        <w:t>m</w:t>
      </w:r>
      <w:r>
        <w:t xml:space="preserve"> (breakfast or lunch) and type</w:t>
      </w:r>
      <w:r w:rsidR="00CA1F5E">
        <w:t xml:space="preserve"> </w:t>
      </w:r>
      <w:r>
        <w:t>of</w:t>
      </w:r>
      <w:r w:rsidR="00CA1F5E">
        <w:t xml:space="preserve"> </w:t>
      </w:r>
      <w:r>
        <w:t xml:space="preserve">school </w:t>
      </w:r>
      <w:r w:rsidRPr="002D220B">
        <w:rPr>
          <w:i/>
        </w:rPr>
        <w:t>c</w:t>
      </w:r>
      <w:r>
        <w:t xml:space="preserve"> (CEP </w:t>
      </w:r>
      <w:r w:rsidR="00CA1F5E">
        <w:t>versus</w:t>
      </w:r>
      <w:r>
        <w:t xml:space="preserve"> non-CEP). The final calibrated weight for student </w:t>
      </w:r>
      <w:r w:rsidRPr="002D220B">
        <w:rPr>
          <w:i/>
        </w:rPr>
        <w:t>s</w:t>
      </w:r>
      <w:r>
        <w:t xml:space="preserve"> in school </w:t>
      </w:r>
      <w:r w:rsidRPr="002D220B">
        <w:rPr>
          <w:i/>
        </w:rPr>
        <w:t>j</w:t>
      </w:r>
      <w:r>
        <w:t xml:space="preserve"> in school</w:t>
      </w:r>
      <w:r w:rsidR="008A3826">
        <w:t xml:space="preserve"> </w:t>
      </w:r>
      <w:r>
        <w:t xml:space="preserve">type </w:t>
      </w:r>
      <w:r w:rsidRPr="002D220B">
        <w:rPr>
          <w:i/>
        </w:rPr>
        <w:t>c</w:t>
      </w:r>
      <w:r>
        <w:t xml:space="preserve"> and meal type </w:t>
      </w:r>
      <w:r w:rsidRPr="002D220B">
        <w:rPr>
          <w:i/>
        </w:rPr>
        <w:t>m</w:t>
      </w:r>
      <w:r>
        <w:t xml:space="preserve"> will be computed as</w:t>
      </w:r>
    </w:p>
    <w:p w14:paraId="0A0D85BE" w14:textId="77777777" w:rsidR="00D90AE2" w:rsidRDefault="00566D6F" w:rsidP="00D90AE2">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cal</m:t>
            </m:r>
          </m:sup>
        </m:sSubSup>
      </m:oMath>
      <w:r w:rsidR="00D90AE2">
        <w:t xml:space="preserve"> = </w:t>
      </w:r>
      <m:oMath>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NR</m:t>
            </m:r>
          </m:sup>
        </m:sSubSup>
      </m:oMath>
      <w:r w:rsidR="00D90AE2">
        <w:t xml:space="preserve"> {</w:t>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00D90AE2">
        <w:t xml:space="preserve"> </w:t>
      </w:r>
      <w:proofErr w:type="gramStart"/>
      <w:r w:rsidR="00D90AE2">
        <w:t xml:space="preserve">/ </w:t>
      </w:r>
      <m:oMath>
        <m:nary>
          <m:naryPr>
            <m:chr m:val="∑"/>
            <m:limLoc m:val="undOvr"/>
            <m:ctrlPr>
              <w:rPr>
                <w:rFonts w:ascii="Cambria Math" w:hAnsi="Cambria Math"/>
              </w:rPr>
            </m:ctrlPr>
          </m:naryPr>
          <m:sub>
            <w:proofErr w:type="gramEnd"/>
            <m:r>
              <w:rPr>
                <w:rFonts w:ascii="Cambria Math" w:hAnsi="Cambria Math"/>
              </w:rPr>
              <m:t>j</m:t>
            </m:r>
            <m:r>
              <m:rPr>
                <m:sty m:val="p"/>
              </m:rPr>
              <w:rPr>
                <w:rFonts w:ascii="Cambria Math" w:hAnsi="Cambria Math"/>
              </w:rPr>
              <m:t>=1</m:t>
            </m:r>
          </m:sub>
          <m:sup>
            <m:r>
              <w:rPr>
                <w:rFonts w:ascii="Cambria Math" w:hAnsi="Cambria Math"/>
              </w:rPr>
              <m:t>c</m:t>
            </m:r>
          </m:sup>
          <m:e>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NR</m:t>
                </m:r>
              </m:sup>
            </m:sSubSup>
          </m:e>
        </m:nary>
        <m:sSubSup>
          <m:sSubSupPr>
            <m:ctrlPr>
              <w:rPr>
                <w:rFonts w:ascii="Cambria Math" w:hAnsi="Cambria Math"/>
              </w:rPr>
            </m:ctrlPr>
          </m:sSubSupPr>
          <m:e>
            <m:r>
              <w:rPr>
                <w:rFonts w:ascii="Cambria Math" w:hAnsi="Cambria Math"/>
              </w:rPr>
              <m:t>R</m:t>
            </m:r>
          </m:e>
          <m:sub>
            <m:r>
              <w:rPr>
                <w:rFonts w:ascii="Cambria Math" w:hAnsi="Cambria Math"/>
              </w:rPr>
              <m:t>cmjs</m:t>
            </m:r>
          </m:sub>
          <m:sup>
            <m:r>
              <m:rPr>
                <m:sty m:val="p"/>
              </m:rPr>
              <w:rPr>
                <w:rFonts w:ascii="Cambria Math" w:hAnsi="Cambria Math"/>
              </w:rPr>
              <m:t xml:space="preserve"> </m:t>
            </m:r>
          </m:sup>
        </m:sSubSup>
      </m:oMath>
      <w:r w:rsidR="00D90AE2">
        <w:t xml:space="preserve"> }</w:t>
      </w:r>
      <w:r w:rsidR="00AE3CE0">
        <w:t>,</w:t>
      </w:r>
      <w:r w:rsidR="00D90AE2">
        <w:tab/>
        <w:t>(17a)</w:t>
      </w:r>
    </w:p>
    <w:p w14:paraId="43D07B67" w14:textId="77777777" w:rsidR="00566D6F" w:rsidRDefault="00566D6F" w:rsidP="00D90AE2">
      <w:pPr>
        <w:pStyle w:val="E1-Equation"/>
      </w:pPr>
    </w:p>
    <w:p w14:paraId="301AECCB" w14:textId="77777777" w:rsidR="00D90AE2" w:rsidRPr="00C0558A" w:rsidRDefault="00D90AE2" w:rsidP="00566D6F">
      <w:pPr>
        <w:pStyle w:val="L1-FlLSp12"/>
      </w:pPr>
      <w:proofErr w:type="gramStart"/>
      <w:r>
        <w:t>where</w:t>
      </w:r>
      <w:proofErr w:type="gramEnd"/>
      <w:r>
        <w:t xml:space="preserve"> </w:t>
      </w:r>
      <m:oMath>
        <m:sSubSup>
          <m:sSubSupPr>
            <m:ctrlPr>
              <w:rPr>
                <w:rFonts w:ascii="Cambria Math" w:hAnsi="Cambria Math"/>
                <w:i/>
              </w:rPr>
            </m:ctrlPr>
          </m:sSubSupPr>
          <m:e>
            <m:r>
              <w:rPr>
                <w:rFonts w:ascii="Cambria Math" w:hAnsi="Cambria Math"/>
              </w:rPr>
              <m:t>R</m:t>
            </m:r>
          </m:e>
          <m:sub>
            <m:r>
              <w:rPr>
                <w:rFonts w:ascii="Cambria Math" w:hAnsi="Cambria Math"/>
              </w:rPr>
              <m:t>cmjs</m:t>
            </m:r>
          </m:sub>
          <m:sup>
            <m:r>
              <w:rPr>
                <w:rFonts w:ascii="Cambria Math" w:hAnsi="Cambria Math"/>
              </w:rPr>
              <m:t xml:space="preserve"> </m:t>
            </m:r>
          </m:sup>
        </m:sSubSup>
      </m:oMath>
      <w:r>
        <w:t xml:space="preserve">= the total annual reimbursement reported by responding student </w:t>
      </w:r>
      <w:r w:rsidRPr="002D220B">
        <w:rPr>
          <w:i/>
        </w:rPr>
        <w:t>s</w:t>
      </w:r>
      <w:r>
        <w:t xml:space="preserve"> in school </w:t>
      </w:r>
      <w:r w:rsidRPr="002D220B">
        <w:rPr>
          <w:i/>
        </w:rPr>
        <w:t>j</w:t>
      </w:r>
      <w:r>
        <w:t xml:space="preserve"> in school</w:t>
      </w:r>
      <w:r w:rsidR="00CA1F5E">
        <w:t xml:space="preserve"> </w:t>
      </w:r>
      <w:r>
        <w:t xml:space="preserve">type </w:t>
      </w:r>
      <w:r w:rsidRPr="002D220B">
        <w:rPr>
          <w:i/>
        </w:rPr>
        <w:t>c</w:t>
      </w:r>
      <w:r>
        <w:t xml:space="preserve"> for meal type </w:t>
      </w:r>
      <w:r w:rsidRPr="002D220B">
        <w:rPr>
          <w:i/>
        </w:rPr>
        <w:t>m</w:t>
      </w:r>
      <w:r>
        <w:t>.</w:t>
      </w:r>
    </w:p>
    <w:p w14:paraId="13FB0170" w14:textId="77777777" w:rsidR="005305E5" w:rsidRDefault="00D90AE2" w:rsidP="00566D6F">
      <w:pPr>
        <w:pStyle w:val="P1-StandPara"/>
      </w:pPr>
      <w:r w:rsidRPr="00566D6F">
        <w:rPr>
          <w:b/>
        </w:rPr>
        <w:lastRenderedPageBreak/>
        <w:t>Variance Estimation.</w:t>
      </w:r>
      <w:r w:rsidRPr="00237510">
        <w:t xml:space="preserve"> </w:t>
      </w:r>
      <w:r w:rsidRPr="004111A0">
        <w:t>In addition to the full sample weights described above, we will create and attach a series of replicate weights to each data record for variance estimation</w:t>
      </w:r>
      <w:r>
        <w:t xml:space="preserve"> around the mean for study variables (e.g., error rates)</w:t>
      </w:r>
      <w:r w:rsidRPr="004111A0">
        <w:t xml:space="preserve">. Replication methods </w:t>
      </w:r>
      <w:r>
        <w:t xml:space="preserve">(e.g., </w:t>
      </w:r>
      <w:r w:rsidRPr="004111A0">
        <w:t xml:space="preserve">jackknife </w:t>
      </w:r>
      <w:r>
        <w:t xml:space="preserve">procedures) </w:t>
      </w:r>
      <w:r w:rsidRPr="004111A0">
        <w:t>provide a relatively simple and robust approach to estimating sampling vari</w:t>
      </w:r>
      <w:r>
        <w:t>ances for complex survey data. Note that while Taylor series methods can also be used in estimation of variance, replication method has advantages in reflecting statistical adjustments used in weighting</w:t>
      </w:r>
      <w:r w:rsidR="008A3826">
        <w:t>,</w:t>
      </w:r>
      <w:r>
        <w:t xml:space="preserve"> such as nonresponse and post stratification. </w:t>
      </w:r>
      <w:r w:rsidRPr="004111A0">
        <w:t xml:space="preserve">Under </w:t>
      </w:r>
      <w:r>
        <w:t>the replication</w:t>
      </w:r>
      <w:r w:rsidRPr="004111A0">
        <w:t xml:space="preserve"> approach, we will form replicate weights by deleting selected cases from the full sample and adjusting the base weights of the retained cases accordingly. The entire weighting process developed for the full sample will then be applied separately to each replicate</w:t>
      </w:r>
      <w:r w:rsidR="008A3826">
        <w:t>,</w:t>
      </w:r>
      <w:r w:rsidRPr="004111A0">
        <w:t xml:space="preserve"> resulting in a series of replicate weights. The replicate weights can be imported into variance estimation software (e.g., SAS) to calculate standard errors of the survey-based estimates and conduct significance tests. In addition to the replicate weights, we will provide stratum and unit codes in the data files to permit calculation of standard errors using Taylor series approximations if desired.</w:t>
      </w:r>
    </w:p>
    <w:p w14:paraId="1F72E96D" w14:textId="77777777" w:rsidR="00186A08" w:rsidRDefault="00D90AE2" w:rsidP="00566D6F">
      <w:pPr>
        <w:pStyle w:val="Heading4"/>
      </w:pPr>
      <w:r w:rsidRPr="00AE1B97">
        <w:t xml:space="preserve">Degree of Accuracy </w:t>
      </w:r>
      <w:r>
        <w:t>(</w:t>
      </w:r>
      <w:r w:rsidRPr="00AE1B97">
        <w:t>and Levels of Precision</w:t>
      </w:r>
      <w:r>
        <w:t>) Needed for the Purpose Described in this Justification</w:t>
      </w:r>
    </w:p>
    <w:p w14:paraId="1671B5DE" w14:textId="77777777" w:rsidR="00186A08" w:rsidRDefault="00D90AE2" w:rsidP="00566D6F">
      <w:pPr>
        <w:pStyle w:val="P1-StandPara"/>
        <w:rPr>
          <w:spacing w:val="-3"/>
        </w:rPr>
      </w:pPr>
      <w:r>
        <w:t>An</w:t>
      </w:r>
      <w:r>
        <w:rPr>
          <w:spacing w:val="-4"/>
        </w:rPr>
        <w:t xml:space="preserve"> </w:t>
      </w:r>
      <w:r>
        <w:t>important</w:t>
      </w:r>
      <w:r>
        <w:rPr>
          <w:spacing w:val="-5"/>
        </w:rPr>
        <w:t xml:space="preserve"> </w:t>
      </w:r>
      <w:r>
        <w:t>benefit</w:t>
      </w:r>
      <w:r>
        <w:rPr>
          <w:spacing w:val="-5"/>
        </w:rPr>
        <w:t xml:space="preserve"> </w:t>
      </w:r>
      <w:r>
        <w:t>of</w:t>
      </w:r>
      <w:r>
        <w:rPr>
          <w:spacing w:val="-5"/>
        </w:rPr>
        <w:t xml:space="preserve"> </w:t>
      </w:r>
      <w:r>
        <w:t>the sample size increases</w:t>
      </w:r>
      <w:r>
        <w:rPr>
          <w:spacing w:val="-6"/>
        </w:rPr>
        <w:t xml:space="preserve"> (compared to APEC II) </w:t>
      </w:r>
      <w:r>
        <w:t>is</w:t>
      </w:r>
      <w:r>
        <w:rPr>
          <w:spacing w:val="-6"/>
        </w:rPr>
        <w:t xml:space="preserve"> </w:t>
      </w:r>
      <w:r>
        <w:t>increased</w:t>
      </w:r>
      <w:r>
        <w:rPr>
          <w:spacing w:val="-4"/>
        </w:rPr>
        <w:t xml:space="preserve"> </w:t>
      </w:r>
      <w:r>
        <w:t>precision</w:t>
      </w:r>
      <w:r>
        <w:rPr>
          <w:spacing w:val="-5"/>
        </w:rPr>
        <w:t xml:space="preserve"> </w:t>
      </w:r>
      <w:r>
        <w:t>for</w:t>
      </w:r>
      <w:r>
        <w:rPr>
          <w:spacing w:val="-5"/>
        </w:rPr>
        <w:t xml:space="preserve"> </w:t>
      </w:r>
      <w:r>
        <w:t>study</w:t>
      </w:r>
      <w:r>
        <w:rPr>
          <w:spacing w:val="-4"/>
        </w:rPr>
        <w:t xml:space="preserve"> </w:t>
      </w:r>
      <w:r>
        <w:t>estimates. The</w:t>
      </w:r>
      <w:r>
        <w:rPr>
          <w:spacing w:val="-3"/>
        </w:rPr>
        <w:t xml:space="preserve"> </w:t>
      </w:r>
      <w:r>
        <w:t>precision goal</w:t>
      </w:r>
      <w:r>
        <w:rPr>
          <w:spacing w:val="-4"/>
        </w:rPr>
        <w:t xml:space="preserve"> </w:t>
      </w:r>
      <w:r>
        <w:t>for</w:t>
      </w:r>
      <w:r>
        <w:rPr>
          <w:spacing w:val="-4"/>
        </w:rPr>
        <w:t xml:space="preserve"> </w:t>
      </w:r>
      <w:r>
        <w:t>APEC III as required by IPERA</w:t>
      </w:r>
      <w:r>
        <w:rPr>
          <w:spacing w:val="-4"/>
        </w:rPr>
        <w:t xml:space="preserve"> </w:t>
      </w:r>
      <w:r>
        <w:t>is</w:t>
      </w:r>
      <w:r>
        <w:rPr>
          <w:spacing w:val="-5"/>
        </w:rPr>
        <w:t xml:space="preserve"> </w:t>
      </w:r>
      <w:r>
        <w:t>that</w:t>
      </w:r>
      <w:r>
        <w:rPr>
          <w:spacing w:val="-3"/>
        </w:rPr>
        <w:t xml:space="preserve"> </w:t>
      </w:r>
      <w:r>
        <w:t>90 percent confidence</w:t>
      </w:r>
      <w:r>
        <w:rPr>
          <w:spacing w:val="-3"/>
        </w:rPr>
        <w:t xml:space="preserve"> </w:t>
      </w:r>
      <w:r>
        <w:t xml:space="preserve">bounds (or </w:t>
      </w:r>
      <w:r w:rsidR="00703835">
        <w:t>“</w:t>
      </w:r>
      <w:r>
        <w:t>margin of error</w:t>
      </w:r>
      <w:r w:rsidR="00703835">
        <w:t>”</w:t>
      </w:r>
      <w:r>
        <w:t>)</w:t>
      </w:r>
      <w:r>
        <w:rPr>
          <w:spacing w:val="-6"/>
        </w:rPr>
        <w:t xml:space="preserve"> </w:t>
      </w:r>
      <w:r>
        <w:t>for</w:t>
      </w:r>
      <w:r>
        <w:rPr>
          <w:spacing w:val="-4"/>
        </w:rPr>
        <w:t xml:space="preserve"> </w:t>
      </w:r>
      <w:r>
        <w:t>estimates</w:t>
      </w:r>
      <w:r>
        <w:rPr>
          <w:spacing w:val="-5"/>
        </w:rPr>
        <w:t xml:space="preserve"> </w:t>
      </w:r>
      <w:r>
        <w:t>of</w:t>
      </w:r>
      <w:r>
        <w:rPr>
          <w:spacing w:val="-5"/>
        </w:rPr>
        <w:t xml:space="preserve"> </w:t>
      </w:r>
      <w:r>
        <w:t>the</w:t>
      </w:r>
      <w:r>
        <w:rPr>
          <w:spacing w:val="-3"/>
        </w:rPr>
        <w:t xml:space="preserve"> </w:t>
      </w:r>
      <w:r>
        <w:rPr>
          <w:spacing w:val="-4"/>
        </w:rPr>
        <w:t xml:space="preserve">improper </w:t>
      </w:r>
      <w:r>
        <w:t>payment rate (expressed as the ratio of the dollar amount in error to total reimbursements)</w:t>
      </w:r>
      <w:r>
        <w:rPr>
          <w:spacing w:val="-5"/>
        </w:rPr>
        <w:t xml:space="preserve"> </w:t>
      </w:r>
      <w:r>
        <w:t>be</w:t>
      </w:r>
      <w:r>
        <w:rPr>
          <w:spacing w:val="-4"/>
        </w:rPr>
        <w:t xml:space="preserve"> </w:t>
      </w:r>
      <w:r>
        <w:t>no</w:t>
      </w:r>
      <w:r>
        <w:rPr>
          <w:spacing w:val="-3"/>
        </w:rPr>
        <w:t xml:space="preserve"> </w:t>
      </w:r>
      <w:r>
        <w:t>more</w:t>
      </w:r>
      <w:r>
        <w:rPr>
          <w:spacing w:val="-2"/>
        </w:rPr>
        <w:t xml:space="preserve"> </w:t>
      </w:r>
      <w:r>
        <w:t>than</w:t>
      </w:r>
      <w:r>
        <w:rPr>
          <w:spacing w:val="-4"/>
        </w:rPr>
        <w:t xml:space="preserve"> </w:t>
      </w:r>
      <w:r>
        <w:rPr>
          <w:sz w:val="22"/>
          <w:szCs w:val="22"/>
        </w:rPr>
        <w:t>±</w:t>
      </w:r>
      <w:r>
        <w:t>2.5 percent.</w:t>
      </w:r>
    </w:p>
    <w:p w14:paraId="235AD320" w14:textId="5886EF48" w:rsidR="00186A08" w:rsidRDefault="00D90AE2" w:rsidP="00566D6F">
      <w:pPr>
        <w:pStyle w:val="P1-StandPara"/>
        <w:rPr>
          <w:spacing w:val="-3"/>
        </w:rPr>
      </w:pPr>
      <w:r>
        <w:t>Although</w:t>
      </w:r>
      <w:r>
        <w:rPr>
          <w:spacing w:val="-5"/>
        </w:rPr>
        <w:t xml:space="preserve"> </w:t>
      </w:r>
      <w:r>
        <w:t>key</w:t>
      </w:r>
      <w:r>
        <w:rPr>
          <w:spacing w:val="-4"/>
        </w:rPr>
        <w:t xml:space="preserve"> </w:t>
      </w:r>
      <w:r>
        <w:t>APEC</w:t>
      </w:r>
      <w:r w:rsidR="008A3826">
        <w:t xml:space="preserve"> </w:t>
      </w:r>
      <w:r>
        <w:t>II</w:t>
      </w:r>
      <w:r>
        <w:rPr>
          <w:spacing w:val="-5"/>
        </w:rPr>
        <w:t xml:space="preserve"> </w:t>
      </w:r>
      <w:r>
        <w:t>error rates</w:t>
      </w:r>
      <w:r>
        <w:rPr>
          <w:spacing w:val="-6"/>
        </w:rPr>
        <w:t xml:space="preserve"> generally </w:t>
      </w:r>
      <w:r>
        <w:t>met</w:t>
      </w:r>
      <w:r>
        <w:rPr>
          <w:spacing w:val="-5"/>
        </w:rPr>
        <w:t xml:space="preserve"> </w:t>
      </w:r>
      <w:r>
        <w:t>IPERA</w:t>
      </w:r>
      <w:r>
        <w:rPr>
          <w:spacing w:val="-4"/>
        </w:rPr>
        <w:t xml:space="preserve"> </w:t>
      </w:r>
      <w:r>
        <w:t>precision</w:t>
      </w:r>
      <w:r>
        <w:rPr>
          <w:spacing w:val="-4"/>
        </w:rPr>
        <w:t xml:space="preserve"> </w:t>
      </w:r>
      <w:r>
        <w:t>requirements, the margins of error achieved in the study were somewhat wider (less precise) than initially projected. The proposed</w:t>
      </w:r>
      <w:r>
        <w:rPr>
          <w:spacing w:val="-4"/>
        </w:rPr>
        <w:t xml:space="preserve"> </w:t>
      </w:r>
      <w:r>
        <w:t>sampling</w:t>
      </w:r>
      <w:r>
        <w:rPr>
          <w:spacing w:val="-2"/>
        </w:rPr>
        <w:t xml:space="preserve"> </w:t>
      </w:r>
      <w:r>
        <w:t>plan</w:t>
      </w:r>
      <w:r>
        <w:rPr>
          <w:spacing w:val="-3"/>
        </w:rPr>
        <w:t xml:space="preserve"> </w:t>
      </w:r>
      <w:r>
        <w:t>is</w:t>
      </w:r>
      <w:r>
        <w:rPr>
          <w:spacing w:val="-4"/>
        </w:rPr>
        <w:t xml:space="preserve"> </w:t>
      </w:r>
      <w:r>
        <w:t>expected to attain a</w:t>
      </w:r>
      <w:r>
        <w:rPr>
          <w:spacing w:val="-2"/>
        </w:rPr>
        <w:t xml:space="preserve"> </w:t>
      </w:r>
      <w:r>
        <w:t>more</w:t>
      </w:r>
      <w:r>
        <w:rPr>
          <w:spacing w:val="-2"/>
        </w:rPr>
        <w:t xml:space="preserve"> </w:t>
      </w:r>
      <w:r>
        <w:t>desirable</w:t>
      </w:r>
      <w:r>
        <w:rPr>
          <w:spacing w:val="-2"/>
        </w:rPr>
        <w:t xml:space="preserve"> </w:t>
      </w:r>
      <w:r>
        <w:t>level</w:t>
      </w:r>
      <w:r>
        <w:rPr>
          <w:spacing w:val="-2"/>
        </w:rPr>
        <w:t xml:space="preserve"> </w:t>
      </w:r>
      <w:r>
        <w:t>of</w:t>
      </w:r>
      <w:r>
        <w:rPr>
          <w:spacing w:val="-3"/>
        </w:rPr>
        <w:t xml:space="preserve"> </w:t>
      </w:r>
      <w:r>
        <w:t>precision</w:t>
      </w:r>
      <w:r>
        <w:rPr>
          <w:spacing w:val="-2"/>
        </w:rPr>
        <w:t xml:space="preserve"> </w:t>
      </w:r>
      <w:r>
        <w:t>for</w:t>
      </w:r>
      <w:r>
        <w:rPr>
          <w:spacing w:val="-4"/>
        </w:rPr>
        <w:t xml:space="preserve"> </w:t>
      </w:r>
      <w:r>
        <w:t xml:space="preserve">such </w:t>
      </w:r>
      <w:r>
        <w:lastRenderedPageBreak/>
        <w:t>estimates as a result of both the increased sample size and the inclusion of a substantial number of non-CEP schools in the CEP SFA sample.</w:t>
      </w:r>
      <w:r>
        <w:rPr>
          <w:spacing w:val="-4"/>
        </w:rPr>
        <w:t xml:space="preserve"> </w:t>
      </w:r>
      <w:r>
        <w:t>Increased</w:t>
      </w:r>
      <w:r>
        <w:rPr>
          <w:spacing w:val="-3"/>
        </w:rPr>
        <w:t xml:space="preserve"> </w:t>
      </w:r>
      <w:r>
        <w:t>precision</w:t>
      </w:r>
      <w:r>
        <w:rPr>
          <w:spacing w:val="-4"/>
        </w:rPr>
        <w:t xml:space="preserve"> </w:t>
      </w:r>
      <w:r>
        <w:t>will</w:t>
      </w:r>
      <w:r>
        <w:rPr>
          <w:spacing w:val="-4"/>
        </w:rPr>
        <w:t xml:space="preserve"> </w:t>
      </w:r>
      <w:r>
        <w:t>support</w:t>
      </w:r>
      <w:r>
        <w:rPr>
          <w:spacing w:val="-4"/>
        </w:rPr>
        <w:t xml:space="preserve"> </w:t>
      </w:r>
      <w:r>
        <w:t>more</w:t>
      </w:r>
      <w:r>
        <w:rPr>
          <w:spacing w:val="-3"/>
        </w:rPr>
        <w:t xml:space="preserve"> </w:t>
      </w:r>
      <w:r>
        <w:t>rigorous</w:t>
      </w:r>
      <w:r>
        <w:rPr>
          <w:spacing w:val="-5"/>
        </w:rPr>
        <w:t xml:space="preserve"> </w:t>
      </w:r>
      <w:r>
        <w:t>correlation</w:t>
      </w:r>
      <w:r>
        <w:rPr>
          <w:spacing w:val="-3"/>
        </w:rPr>
        <w:t xml:space="preserve"> </w:t>
      </w:r>
      <w:r>
        <w:t>analyses</w:t>
      </w:r>
      <w:r>
        <w:rPr>
          <w:spacing w:val="-5"/>
        </w:rPr>
        <w:t xml:space="preserve"> </w:t>
      </w:r>
      <w:r>
        <w:t>and</w:t>
      </w:r>
      <w:r>
        <w:rPr>
          <w:spacing w:val="-4"/>
        </w:rPr>
        <w:t xml:space="preserve"> </w:t>
      </w:r>
      <w:r>
        <w:t>improved precision</w:t>
      </w:r>
      <w:r>
        <w:rPr>
          <w:spacing w:val="-4"/>
        </w:rPr>
        <w:t xml:space="preserve"> </w:t>
      </w:r>
      <w:r>
        <w:t>of</w:t>
      </w:r>
      <w:r>
        <w:rPr>
          <w:spacing w:val="-4"/>
        </w:rPr>
        <w:t xml:space="preserve"> </w:t>
      </w:r>
      <w:r>
        <w:t>all</w:t>
      </w:r>
      <w:r>
        <w:rPr>
          <w:spacing w:val="-4"/>
        </w:rPr>
        <w:t xml:space="preserve"> </w:t>
      </w:r>
      <w:r>
        <w:t>point</w:t>
      </w:r>
      <w:r>
        <w:rPr>
          <w:spacing w:val="-4"/>
        </w:rPr>
        <w:t xml:space="preserve"> </w:t>
      </w:r>
      <w:r>
        <w:t>estimates.</w:t>
      </w:r>
      <w:r>
        <w:rPr>
          <w:spacing w:val="-5"/>
        </w:rPr>
        <w:t xml:space="preserve"> </w:t>
      </w:r>
      <w:r>
        <w:t>For</w:t>
      </w:r>
      <w:r>
        <w:rPr>
          <w:spacing w:val="-4"/>
        </w:rPr>
        <w:t xml:space="preserve"> </w:t>
      </w:r>
      <w:r>
        <w:t>instance,</w:t>
      </w:r>
      <w:r>
        <w:rPr>
          <w:spacing w:val="-4"/>
        </w:rPr>
        <w:t xml:space="preserve"> </w:t>
      </w:r>
      <w:r>
        <w:t>for</w:t>
      </w:r>
      <w:r>
        <w:rPr>
          <w:spacing w:val="-4"/>
        </w:rPr>
        <w:t xml:space="preserve"> </w:t>
      </w:r>
      <w:r>
        <w:t>estimates</w:t>
      </w:r>
      <w:r>
        <w:rPr>
          <w:spacing w:val="-5"/>
        </w:rPr>
        <w:t xml:space="preserve"> </w:t>
      </w:r>
      <w:r>
        <w:t>related</w:t>
      </w:r>
      <w:r>
        <w:rPr>
          <w:spacing w:val="-4"/>
        </w:rPr>
        <w:t xml:space="preserve"> </w:t>
      </w:r>
      <w:r>
        <w:t>to administrative</w:t>
      </w:r>
      <w:r>
        <w:rPr>
          <w:spacing w:val="-4"/>
        </w:rPr>
        <w:t xml:space="preserve"> </w:t>
      </w:r>
      <w:r>
        <w:t>certification</w:t>
      </w:r>
      <w:r>
        <w:rPr>
          <w:spacing w:val="-5"/>
        </w:rPr>
        <w:t xml:space="preserve"> </w:t>
      </w:r>
      <w:r>
        <w:t>errors</w:t>
      </w:r>
      <w:r>
        <w:rPr>
          <w:spacing w:val="-5"/>
        </w:rPr>
        <w:t xml:space="preserve"> </w:t>
      </w:r>
      <w:r>
        <w:t>and</w:t>
      </w:r>
      <w:r>
        <w:rPr>
          <w:spacing w:val="-4"/>
        </w:rPr>
        <w:t xml:space="preserve"> </w:t>
      </w:r>
      <w:r>
        <w:t>meal</w:t>
      </w:r>
      <w:r>
        <w:rPr>
          <w:spacing w:val="-4"/>
        </w:rPr>
        <w:t xml:space="preserve"> </w:t>
      </w:r>
      <w:r>
        <w:t>claiming</w:t>
      </w:r>
      <w:r>
        <w:rPr>
          <w:spacing w:val="-4"/>
        </w:rPr>
        <w:t xml:space="preserve"> </w:t>
      </w:r>
      <w:r>
        <w:t>errors,</w:t>
      </w:r>
      <w:r>
        <w:rPr>
          <w:spacing w:val="-3"/>
        </w:rPr>
        <w:t xml:space="preserve"> </w:t>
      </w:r>
      <w:r>
        <w:t>where</w:t>
      </w:r>
      <w:r>
        <w:rPr>
          <w:spacing w:val="-4"/>
        </w:rPr>
        <w:t xml:space="preserve"> </w:t>
      </w:r>
      <w:r>
        <w:t>information</w:t>
      </w:r>
      <w:r>
        <w:rPr>
          <w:spacing w:val="-5"/>
        </w:rPr>
        <w:t xml:space="preserve"> </w:t>
      </w:r>
      <w:r>
        <w:t>from</w:t>
      </w:r>
      <w:r>
        <w:rPr>
          <w:spacing w:val="-4"/>
        </w:rPr>
        <w:t xml:space="preserve"> </w:t>
      </w:r>
      <w:r>
        <w:t>sampled households</w:t>
      </w:r>
      <w:r>
        <w:rPr>
          <w:spacing w:val="-5"/>
        </w:rPr>
        <w:t xml:space="preserve"> is </w:t>
      </w:r>
      <w:r>
        <w:t>not</w:t>
      </w:r>
      <w:r>
        <w:rPr>
          <w:spacing w:val="-4"/>
        </w:rPr>
        <w:t xml:space="preserve"> </w:t>
      </w:r>
      <w:r>
        <w:t>required</w:t>
      </w:r>
      <w:r>
        <w:rPr>
          <w:spacing w:val="-3"/>
        </w:rPr>
        <w:t xml:space="preserve"> </w:t>
      </w:r>
      <w:r>
        <w:t>for</w:t>
      </w:r>
      <w:r>
        <w:rPr>
          <w:spacing w:val="-3"/>
        </w:rPr>
        <w:t xml:space="preserve"> </w:t>
      </w:r>
      <w:r>
        <w:t>estimation</w:t>
      </w:r>
      <w:r>
        <w:rPr>
          <w:spacing w:val="-3"/>
        </w:rPr>
        <w:t xml:space="preserve"> </w:t>
      </w:r>
      <w:r>
        <w:t>purposes,</w:t>
      </w:r>
      <w:r>
        <w:rPr>
          <w:spacing w:val="-3"/>
        </w:rPr>
        <w:t xml:space="preserve"> </w:t>
      </w:r>
      <w:r>
        <w:t>precision</w:t>
      </w:r>
      <w:r>
        <w:rPr>
          <w:spacing w:val="-4"/>
        </w:rPr>
        <w:t xml:space="preserve"> </w:t>
      </w:r>
      <w:r>
        <w:t>will</w:t>
      </w:r>
      <w:r>
        <w:rPr>
          <w:spacing w:val="-3"/>
        </w:rPr>
        <w:t xml:space="preserve"> </w:t>
      </w:r>
      <w:r>
        <w:t>be</w:t>
      </w:r>
      <w:r>
        <w:rPr>
          <w:spacing w:val="-2"/>
        </w:rPr>
        <w:t xml:space="preserve"> </w:t>
      </w:r>
      <w:r>
        <w:t>increased</w:t>
      </w:r>
      <w:r>
        <w:rPr>
          <w:spacing w:val="-3"/>
        </w:rPr>
        <w:t xml:space="preserve"> </w:t>
      </w:r>
      <w:r>
        <w:t>substantially.</w:t>
      </w:r>
      <w:r>
        <w:rPr>
          <w:spacing w:val="-3"/>
        </w:rPr>
        <w:t xml:space="preserve"> </w:t>
      </w:r>
      <w:r>
        <w:t>It</w:t>
      </w:r>
      <w:r>
        <w:rPr>
          <w:spacing w:val="-4"/>
        </w:rPr>
        <w:t xml:space="preserve"> </w:t>
      </w:r>
      <w:r>
        <w:t>is difficult</w:t>
      </w:r>
      <w:r>
        <w:rPr>
          <w:spacing w:val="-4"/>
        </w:rPr>
        <w:t xml:space="preserve"> </w:t>
      </w:r>
      <w:r>
        <w:t>to</w:t>
      </w:r>
      <w:r>
        <w:rPr>
          <w:spacing w:val="-4"/>
        </w:rPr>
        <w:t xml:space="preserve"> </w:t>
      </w:r>
      <w:r>
        <w:t>directly</w:t>
      </w:r>
      <w:r>
        <w:rPr>
          <w:spacing w:val="-2"/>
        </w:rPr>
        <w:t xml:space="preserve"> </w:t>
      </w:r>
      <w:r>
        <w:t>quantify</w:t>
      </w:r>
      <w:r>
        <w:rPr>
          <w:spacing w:val="-3"/>
        </w:rPr>
        <w:t xml:space="preserve"> </w:t>
      </w:r>
      <w:r>
        <w:t>gains</w:t>
      </w:r>
      <w:r>
        <w:rPr>
          <w:spacing w:val="-4"/>
        </w:rPr>
        <w:t xml:space="preserve"> </w:t>
      </w:r>
      <w:r>
        <w:t>in</w:t>
      </w:r>
      <w:r>
        <w:rPr>
          <w:spacing w:val="-4"/>
        </w:rPr>
        <w:t xml:space="preserve"> </w:t>
      </w:r>
      <w:r>
        <w:t>precision</w:t>
      </w:r>
      <w:r>
        <w:rPr>
          <w:spacing w:val="-2"/>
        </w:rPr>
        <w:t xml:space="preserve"> </w:t>
      </w:r>
      <w:r>
        <w:t>for</w:t>
      </w:r>
      <w:r>
        <w:rPr>
          <w:spacing w:val="-4"/>
        </w:rPr>
        <w:t xml:space="preserve"> </w:t>
      </w:r>
      <w:r>
        <w:t>SFAs</w:t>
      </w:r>
      <w:r>
        <w:rPr>
          <w:spacing w:val="-4"/>
        </w:rPr>
        <w:t xml:space="preserve"> </w:t>
      </w:r>
      <w:r>
        <w:t>and</w:t>
      </w:r>
      <w:r>
        <w:rPr>
          <w:spacing w:val="-3"/>
        </w:rPr>
        <w:t xml:space="preserve"> </w:t>
      </w:r>
      <w:r>
        <w:t>schools</w:t>
      </w:r>
      <w:r>
        <w:rPr>
          <w:spacing w:val="-4"/>
        </w:rPr>
        <w:t xml:space="preserve"> </w:t>
      </w:r>
      <w:r>
        <w:t>as</w:t>
      </w:r>
      <w:r>
        <w:rPr>
          <w:spacing w:val="-5"/>
        </w:rPr>
        <w:t xml:space="preserve"> </w:t>
      </w:r>
      <w:r>
        <w:t>they</w:t>
      </w:r>
      <w:r>
        <w:rPr>
          <w:spacing w:val="-2"/>
        </w:rPr>
        <w:t xml:space="preserve"> </w:t>
      </w:r>
      <w:r>
        <w:t>are</w:t>
      </w:r>
      <w:r>
        <w:rPr>
          <w:spacing w:val="-3"/>
        </w:rPr>
        <w:t xml:space="preserve"> </w:t>
      </w:r>
      <w:r>
        <w:t>sampled</w:t>
      </w:r>
      <w:r>
        <w:rPr>
          <w:spacing w:val="-2"/>
        </w:rPr>
        <w:t xml:space="preserve"> </w:t>
      </w:r>
      <w:r>
        <w:t>with probability</w:t>
      </w:r>
      <w:r>
        <w:rPr>
          <w:spacing w:val="-3"/>
        </w:rPr>
        <w:t xml:space="preserve"> </w:t>
      </w:r>
      <w:r>
        <w:t>proportionate</w:t>
      </w:r>
      <w:r>
        <w:rPr>
          <w:spacing w:val="-3"/>
        </w:rPr>
        <w:t xml:space="preserve"> </w:t>
      </w:r>
      <w:r>
        <w:t>to</w:t>
      </w:r>
      <w:r>
        <w:rPr>
          <w:spacing w:val="-3"/>
        </w:rPr>
        <w:t xml:space="preserve"> </w:t>
      </w:r>
      <w:r>
        <w:t>size</w:t>
      </w:r>
      <w:r>
        <w:rPr>
          <w:spacing w:val="-3"/>
        </w:rPr>
        <w:t xml:space="preserve"> </w:t>
      </w:r>
      <w:r>
        <w:t>rather</w:t>
      </w:r>
      <w:r>
        <w:rPr>
          <w:spacing w:val="-3"/>
        </w:rPr>
        <w:t xml:space="preserve"> </w:t>
      </w:r>
      <w:r>
        <w:t>than</w:t>
      </w:r>
      <w:r>
        <w:rPr>
          <w:spacing w:val="-4"/>
        </w:rPr>
        <w:t xml:space="preserve"> </w:t>
      </w:r>
      <w:r>
        <w:t>with</w:t>
      </w:r>
      <w:r>
        <w:rPr>
          <w:spacing w:val="-3"/>
        </w:rPr>
        <w:t xml:space="preserve"> </w:t>
      </w:r>
      <w:r>
        <w:t>equal</w:t>
      </w:r>
      <w:r>
        <w:rPr>
          <w:spacing w:val="-3"/>
        </w:rPr>
        <w:t xml:space="preserve"> </w:t>
      </w:r>
      <w:r>
        <w:t>probability,</w:t>
      </w:r>
      <w:r>
        <w:rPr>
          <w:spacing w:val="-2"/>
        </w:rPr>
        <w:t xml:space="preserve"> </w:t>
      </w:r>
      <w:r>
        <w:t>which</w:t>
      </w:r>
      <w:r>
        <w:rPr>
          <w:spacing w:val="-4"/>
        </w:rPr>
        <w:t xml:space="preserve"> </w:t>
      </w:r>
      <w:r>
        <w:t>adds</w:t>
      </w:r>
      <w:r>
        <w:rPr>
          <w:spacing w:val="-5"/>
        </w:rPr>
        <w:t xml:space="preserve"> </w:t>
      </w:r>
      <w:r>
        <w:t>to</w:t>
      </w:r>
      <w:r>
        <w:rPr>
          <w:spacing w:val="-3"/>
        </w:rPr>
        <w:t xml:space="preserve"> </w:t>
      </w:r>
      <w:r>
        <w:t>the</w:t>
      </w:r>
      <w:r>
        <w:rPr>
          <w:spacing w:val="-3"/>
        </w:rPr>
        <w:t xml:space="preserve"> </w:t>
      </w:r>
      <w:r>
        <w:t>variance</w:t>
      </w:r>
      <w:r>
        <w:rPr>
          <w:spacing w:val="-2"/>
        </w:rPr>
        <w:t xml:space="preserve"> </w:t>
      </w:r>
      <w:r>
        <w:t>due</w:t>
      </w:r>
      <w:r>
        <w:rPr>
          <w:spacing w:val="79"/>
          <w:w w:val="99"/>
        </w:rPr>
        <w:t xml:space="preserve"> </w:t>
      </w:r>
      <w:r>
        <w:t>to</w:t>
      </w:r>
      <w:r>
        <w:rPr>
          <w:spacing w:val="-3"/>
        </w:rPr>
        <w:t xml:space="preserve"> </w:t>
      </w:r>
      <w:r>
        <w:t>the</w:t>
      </w:r>
      <w:r>
        <w:rPr>
          <w:spacing w:val="-2"/>
        </w:rPr>
        <w:t xml:space="preserve"> </w:t>
      </w:r>
      <w:r>
        <w:t>variability</w:t>
      </w:r>
      <w:r>
        <w:rPr>
          <w:spacing w:val="-2"/>
        </w:rPr>
        <w:t xml:space="preserve"> </w:t>
      </w:r>
      <w:r>
        <w:t>of</w:t>
      </w:r>
      <w:r>
        <w:rPr>
          <w:spacing w:val="-3"/>
        </w:rPr>
        <w:t xml:space="preserve"> </w:t>
      </w:r>
      <w:r>
        <w:rPr>
          <w:spacing w:val="-2"/>
        </w:rPr>
        <w:t xml:space="preserve">sample </w:t>
      </w:r>
      <w:r>
        <w:t>weights</w:t>
      </w:r>
      <w:r w:rsidRPr="00A17200">
        <w:t>.</w:t>
      </w:r>
      <w:r>
        <w:rPr>
          <w:spacing w:val="-2"/>
        </w:rPr>
        <w:t xml:space="preserve"> </w:t>
      </w:r>
      <w:r>
        <w:t>However, a</w:t>
      </w:r>
      <w:r>
        <w:rPr>
          <w:spacing w:val="-2"/>
        </w:rPr>
        <w:t xml:space="preserve"> </w:t>
      </w:r>
      <w:r>
        <w:t>sense</w:t>
      </w:r>
      <w:r>
        <w:rPr>
          <w:spacing w:val="-2"/>
        </w:rPr>
        <w:t xml:space="preserve"> </w:t>
      </w:r>
      <w:r>
        <w:t>of</w:t>
      </w:r>
      <w:r>
        <w:rPr>
          <w:spacing w:val="-3"/>
        </w:rPr>
        <w:t xml:space="preserve"> </w:t>
      </w:r>
      <w:r>
        <w:t>the</w:t>
      </w:r>
      <w:r>
        <w:rPr>
          <w:spacing w:val="64"/>
          <w:w w:val="99"/>
        </w:rPr>
        <w:t xml:space="preserve"> </w:t>
      </w:r>
      <w:r>
        <w:t>improved</w:t>
      </w:r>
      <w:r>
        <w:rPr>
          <w:spacing w:val="-3"/>
        </w:rPr>
        <w:t xml:space="preserve"> </w:t>
      </w:r>
      <w:r>
        <w:t>precision</w:t>
      </w:r>
      <w:r>
        <w:rPr>
          <w:spacing w:val="-2"/>
        </w:rPr>
        <w:t xml:space="preserve"> </w:t>
      </w:r>
      <w:r>
        <w:t>can</w:t>
      </w:r>
      <w:r>
        <w:rPr>
          <w:spacing w:val="-4"/>
        </w:rPr>
        <w:t xml:space="preserve"> </w:t>
      </w:r>
      <w:r>
        <w:rPr>
          <w:spacing w:val="-2"/>
        </w:rPr>
        <w:t xml:space="preserve">be </w:t>
      </w:r>
      <w:r>
        <w:t>obtained</w:t>
      </w:r>
      <w:r>
        <w:rPr>
          <w:spacing w:val="-3"/>
        </w:rPr>
        <w:t xml:space="preserve"> </w:t>
      </w:r>
      <w:r>
        <w:t>by</w:t>
      </w:r>
      <w:r>
        <w:rPr>
          <w:spacing w:val="-4"/>
        </w:rPr>
        <w:t xml:space="preserve"> </w:t>
      </w:r>
      <w:r>
        <w:t>considering</w:t>
      </w:r>
      <w:r>
        <w:rPr>
          <w:spacing w:val="-3"/>
        </w:rPr>
        <w:t xml:space="preserve"> </w:t>
      </w:r>
      <w:r>
        <w:t>equal</w:t>
      </w:r>
      <w:r>
        <w:rPr>
          <w:spacing w:val="-2"/>
        </w:rPr>
        <w:t xml:space="preserve"> </w:t>
      </w:r>
      <w:r>
        <w:t>probability</w:t>
      </w:r>
      <w:r>
        <w:rPr>
          <w:spacing w:val="-2"/>
        </w:rPr>
        <w:t xml:space="preserve"> </w:t>
      </w:r>
      <w:r>
        <w:t>samples</w:t>
      </w:r>
      <w:r>
        <w:rPr>
          <w:spacing w:val="-7"/>
        </w:rPr>
        <w:t xml:space="preserve"> </w:t>
      </w:r>
      <w:r>
        <w:t>of</w:t>
      </w:r>
      <w:r>
        <w:rPr>
          <w:spacing w:val="-3"/>
        </w:rPr>
        <w:t xml:space="preserve"> </w:t>
      </w:r>
      <w:r>
        <w:t>SFAs</w:t>
      </w:r>
      <w:r>
        <w:rPr>
          <w:spacing w:val="-5"/>
        </w:rPr>
        <w:t xml:space="preserve"> </w:t>
      </w:r>
      <w:r>
        <w:t>and</w:t>
      </w:r>
      <w:r>
        <w:rPr>
          <w:spacing w:val="-2"/>
        </w:rPr>
        <w:t xml:space="preserve"> </w:t>
      </w:r>
      <w:r>
        <w:t>schools.</w:t>
      </w:r>
    </w:p>
    <w:p w14:paraId="6E62456B" w14:textId="77777777" w:rsidR="00D90AE2" w:rsidRPr="00E6048F" w:rsidRDefault="00D90AE2" w:rsidP="00566D6F">
      <w:pPr>
        <w:pStyle w:val="P1-StandPara"/>
      </w:pPr>
      <w:r>
        <w:t>For</w:t>
      </w:r>
      <w:r>
        <w:rPr>
          <w:spacing w:val="-4"/>
        </w:rPr>
        <w:t xml:space="preserve"> </w:t>
      </w:r>
      <w:r>
        <w:t>example,</w:t>
      </w:r>
      <w:r>
        <w:rPr>
          <w:spacing w:val="-2"/>
        </w:rPr>
        <w:t xml:space="preserve"> </w:t>
      </w:r>
      <w:r>
        <w:t>for</w:t>
      </w:r>
      <w:r>
        <w:rPr>
          <w:spacing w:val="-4"/>
        </w:rPr>
        <w:t xml:space="preserve"> </w:t>
      </w:r>
      <w:r>
        <w:t>the</w:t>
      </w:r>
      <w:r>
        <w:rPr>
          <w:spacing w:val="-2"/>
        </w:rPr>
        <w:t xml:space="preserve"> </w:t>
      </w:r>
      <w:r>
        <w:t>non-CEP</w:t>
      </w:r>
      <w:r>
        <w:rPr>
          <w:spacing w:val="-4"/>
        </w:rPr>
        <w:t xml:space="preserve"> </w:t>
      </w:r>
      <w:r>
        <w:t>sample</w:t>
      </w:r>
      <w:r>
        <w:rPr>
          <w:spacing w:val="-2"/>
        </w:rPr>
        <w:t xml:space="preserve"> </w:t>
      </w:r>
      <w:r>
        <w:t>at</w:t>
      </w:r>
      <w:r>
        <w:rPr>
          <w:spacing w:val="-4"/>
        </w:rPr>
        <w:t xml:space="preserve"> </w:t>
      </w:r>
      <w:r>
        <w:t>the</w:t>
      </w:r>
      <w:r>
        <w:rPr>
          <w:spacing w:val="-2"/>
        </w:rPr>
        <w:t xml:space="preserve"> </w:t>
      </w:r>
      <w:r>
        <w:t>SFA</w:t>
      </w:r>
      <w:r>
        <w:rPr>
          <w:spacing w:val="-2"/>
        </w:rPr>
        <w:t xml:space="preserve"> </w:t>
      </w:r>
      <w:r>
        <w:t>level,</w:t>
      </w:r>
      <w:r>
        <w:rPr>
          <w:spacing w:val="-3"/>
        </w:rPr>
        <w:t xml:space="preserve"> </w:t>
      </w:r>
      <w:r>
        <w:t>for</w:t>
      </w:r>
      <w:r>
        <w:rPr>
          <w:spacing w:val="-3"/>
        </w:rPr>
        <w:t xml:space="preserve"> </w:t>
      </w:r>
      <w:r>
        <w:t>an</w:t>
      </w:r>
      <w:r>
        <w:rPr>
          <w:spacing w:val="-4"/>
        </w:rPr>
        <w:t xml:space="preserve"> </w:t>
      </w:r>
      <w:r>
        <w:t>equal</w:t>
      </w:r>
      <w:r>
        <w:rPr>
          <w:spacing w:val="-2"/>
        </w:rPr>
        <w:t xml:space="preserve"> </w:t>
      </w:r>
      <w:r>
        <w:t>probability</w:t>
      </w:r>
      <w:r>
        <w:rPr>
          <w:spacing w:val="-3"/>
        </w:rPr>
        <w:t xml:space="preserve"> </w:t>
      </w:r>
      <w:r>
        <w:t>sample</w:t>
      </w:r>
      <w:r>
        <w:rPr>
          <w:spacing w:val="-2"/>
        </w:rPr>
        <w:t xml:space="preserve"> </w:t>
      </w:r>
      <w:r>
        <w:t>of</w:t>
      </w:r>
      <w:r>
        <w:rPr>
          <w:spacing w:val="53"/>
          <w:w w:val="99"/>
        </w:rPr>
        <w:t xml:space="preserve"> </w:t>
      </w:r>
      <w:r>
        <w:t>SFAs,</w:t>
      </w:r>
      <w:r>
        <w:rPr>
          <w:spacing w:val="-4"/>
        </w:rPr>
        <w:t xml:space="preserve"> </w:t>
      </w:r>
      <w:r w:rsidRPr="00E6048F">
        <w:t>Table</w:t>
      </w:r>
      <w:r w:rsidRPr="00E6048F">
        <w:rPr>
          <w:spacing w:val="-3"/>
        </w:rPr>
        <w:t xml:space="preserve"> B2-2</w:t>
      </w:r>
      <w:r w:rsidRPr="00E6048F">
        <w:rPr>
          <w:spacing w:val="-4"/>
        </w:rPr>
        <w:t xml:space="preserve"> </w:t>
      </w:r>
      <w:r w:rsidRPr="00E6048F">
        <w:t>indicates that</w:t>
      </w:r>
      <w:r w:rsidRPr="00E6048F">
        <w:rPr>
          <w:spacing w:val="-5"/>
        </w:rPr>
        <w:t xml:space="preserve"> </w:t>
      </w:r>
      <w:r w:rsidRPr="00E6048F">
        <w:t>the</w:t>
      </w:r>
      <w:r w:rsidRPr="00E6048F">
        <w:rPr>
          <w:spacing w:val="-4"/>
        </w:rPr>
        <w:t xml:space="preserve"> </w:t>
      </w:r>
      <w:r w:rsidRPr="00E6048F">
        <w:t>width</w:t>
      </w:r>
      <w:r w:rsidRPr="00E6048F">
        <w:rPr>
          <w:spacing w:val="-4"/>
        </w:rPr>
        <w:t xml:space="preserve"> </w:t>
      </w:r>
      <w:r w:rsidRPr="00E6048F">
        <w:t>of</w:t>
      </w:r>
      <w:r w:rsidRPr="00E6048F">
        <w:rPr>
          <w:spacing w:val="-4"/>
        </w:rPr>
        <w:t xml:space="preserve"> </w:t>
      </w:r>
      <w:r w:rsidRPr="00E6048F">
        <w:t>confidence</w:t>
      </w:r>
      <w:r w:rsidRPr="00E6048F">
        <w:rPr>
          <w:spacing w:val="-4"/>
        </w:rPr>
        <w:t xml:space="preserve"> </w:t>
      </w:r>
      <w:r w:rsidRPr="00E6048F">
        <w:t>intervals</w:t>
      </w:r>
      <w:r w:rsidRPr="00E6048F">
        <w:rPr>
          <w:spacing w:val="-5"/>
        </w:rPr>
        <w:t xml:space="preserve"> </w:t>
      </w:r>
      <w:r w:rsidRPr="00E6048F">
        <w:t>related</w:t>
      </w:r>
      <w:r w:rsidRPr="00E6048F">
        <w:rPr>
          <w:spacing w:val="-3"/>
        </w:rPr>
        <w:t xml:space="preserve"> </w:t>
      </w:r>
      <w:r w:rsidRPr="00E6048F">
        <w:t>to</w:t>
      </w:r>
      <w:r w:rsidRPr="00E6048F">
        <w:rPr>
          <w:spacing w:val="-5"/>
        </w:rPr>
        <w:t xml:space="preserve"> </w:t>
      </w:r>
      <w:r w:rsidRPr="00E6048F">
        <w:t>estimated</w:t>
      </w:r>
      <w:r w:rsidRPr="00E6048F">
        <w:rPr>
          <w:spacing w:val="-3"/>
        </w:rPr>
        <w:t xml:space="preserve"> </w:t>
      </w:r>
      <w:r w:rsidRPr="00E6048F">
        <w:t>percentages</w:t>
      </w:r>
      <w:r w:rsidRPr="00E6048F">
        <w:rPr>
          <w:spacing w:val="-6"/>
        </w:rPr>
        <w:t xml:space="preserve"> </w:t>
      </w:r>
      <w:r w:rsidRPr="00E6048F">
        <w:t>of</w:t>
      </w:r>
      <w:r>
        <w:t xml:space="preserve"> administrative</w:t>
      </w:r>
      <w:r>
        <w:rPr>
          <w:spacing w:val="-4"/>
        </w:rPr>
        <w:t xml:space="preserve"> </w:t>
      </w:r>
      <w:r>
        <w:t>errors</w:t>
      </w:r>
      <w:r>
        <w:rPr>
          <w:spacing w:val="-5"/>
        </w:rPr>
        <w:t xml:space="preserve"> </w:t>
      </w:r>
      <w:r>
        <w:t>would</w:t>
      </w:r>
      <w:r>
        <w:rPr>
          <w:spacing w:val="-4"/>
        </w:rPr>
        <w:t xml:space="preserve"> </w:t>
      </w:r>
      <w:r>
        <w:t>be</w:t>
      </w:r>
      <w:r>
        <w:rPr>
          <w:spacing w:val="-3"/>
        </w:rPr>
        <w:t xml:space="preserve"> </w:t>
      </w:r>
      <w:r>
        <w:t>reduced</w:t>
      </w:r>
      <w:r>
        <w:rPr>
          <w:spacing w:val="-4"/>
        </w:rPr>
        <w:t xml:space="preserve"> (i.e., improved) </w:t>
      </w:r>
      <w:r>
        <w:rPr>
          <w:spacing w:val="-2"/>
        </w:rPr>
        <w:t>by</w:t>
      </w:r>
      <w:r>
        <w:rPr>
          <w:spacing w:val="-3"/>
        </w:rPr>
        <w:t xml:space="preserve"> </w:t>
      </w:r>
      <w:r>
        <w:t>about</w:t>
      </w:r>
      <w:r>
        <w:rPr>
          <w:spacing w:val="-4"/>
        </w:rPr>
        <w:t xml:space="preserve"> </w:t>
      </w:r>
      <w:r>
        <w:t>20</w:t>
      </w:r>
      <w:r>
        <w:rPr>
          <w:spacing w:val="-4"/>
        </w:rPr>
        <w:t xml:space="preserve"> </w:t>
      </w:r>
      <w:r>
        <w:t>percent</w:t>
      </w:r>
      <w:r>
        <w:rPr>
          <w:spacing w:val="-4"/>
        </w:rPr>
        <w:t xml:space="preserve"> compared to APEC II </w:t>
      </w:r>
      <w:r>
        <w:t>through</w:t>
      </w:r>
      <w:r>
        <w:rPr>
          <w:spacing w:val="-4"/>
        </w:rPr>
        <w:t xml:space="preserve"> </w:t>
      </w:r>
      <w:r>
        <w:t>the</w:t>
      </w:r>
      <w:r>
        <w:rPr>
          <w:spacing w:val="-4"/>
        </w:rPr>
        <w:t xml:space="preserve"> </w:t>
      </w:r>
      <w:r>
        <w:t>proposed</w:t>
      </w:r>
      <w:r>
        <w:rPr>
          <w:spacing w:val="-3"/>
        </w:rPr>
        <w:t xml:space="preserve"> </w:t>
      </w:r>
      <w:r>
        <w:t>increase</w:t>
      </w:r>
      <w:r>
        <w:rPr>
          <w:spacing w:val="-3"/>
        </w:rPr>
        <w:t xml:space="preserve"> </w:t>
      </w:r>
      <w:r>
        <w:t>in</w:t>
      </w:r>
      <w:r>
        <w:rPr>
          <w:spacing w:val="71"/>
        </w:rPr>
        <w:t xml:space="preserve"> </w:t>
      </w:r>
      <w:r>
        <w:t>sample</w:t>
      </w:r>
      <w:r>
        <w:rPr>
          <w:spacing w:val="-2"/>
        </w:rPr>
        <w:t xml:space="preserve"> </w:t>
      </w:r>
      <w:r>
        <w:t>size</w:t>
      </w:r>
      <w:r>
        <w:rPr>
          <w:spacing w:val="-2"/>
        </w:rPr>
        <w:t xml:space="preserve"> </w:t>
      </w:r>
      <w:r>
        <w:t>for</w:t>
      </w:r>
      <w:r>
        <w:rPr>
          <w:spacing w:val="-3"/>
        </w:rPr>
        <w:t xml:space="preserve"> </w:t>
      </w:r>
      <w:r>
        <w:t>SFAs.</w:t>
      </w:r>
      <w:r>
        <w:rPr>
          <w:spacing w:val="-2"/>
        </w:rPr>
        <w:t xml:space="preserve"> </w:t>
      </w:r>
      <w:r>
        <w:t>Because</w:t>
      </w:r>
      <w:r>
        <w:rPr>
          <w:spacing w:val="-2"/>
        </w:rPr>
        <w:t xml:space="preserve"> </w:t>
      </w:r>
      <w:r>
        <w:t>SFAs</w:t>
      </w:r>
      <w:r>
        <w:rPr>
          <w:spacing w:val="-4"/>
        </w:rPr>
        <w:t xml:space="preserve"> </w:t>
      </w:r>
      <w:r>
        <w:t>are</w:t>
      </w:r>
      <w:r>
        <w:rPr>
          <w:spacing w:val="-2"/>
        </w:rPr>
        <w:t xml:space="preserve"> </w:t>
      </w:r>
      <w:r>
        <w:t>sampled</w:t>
      </w:r>
      <w:r>
        <w:rPr>
          <w:spacing w:val="-2"/>
        </w:rPr>
        <w:t xml:space="preserve"> </w:t>
      </w:r>
      <w:r>
        <w:t>with</w:t>
      </w:r>
      <w:r>
        <w:rPr>
          <w:spacing w:val="-5"/>
        </w:rPr>
        <w:t xml:space="preserve"> </w:t>
      </w:r>
      <w:r>
        <w:t>probability</w:t>
      </w:r>
      <w:r>
        <w:rPr>
          <w:spacing w:val="-2"/>
        </w:rPr>
        <w:t xml:space="preserve"> </w:t>
      </w:r>
      <w:r>
        <w:t>proportionate</w:t>
      </w:r>
      <w:r>
        <w:rPr>
          <w:spacing w:val="-2"/>
        </w:rPr>
        <w:t xml:space="preserve"> </w:t>
      </w:r>
      <w:r>
        <w:t>to</w:t>
      </w:r>
      <w:r>
        <w:rPr>
          <w:spacing w:val="-3"/>
        </w:rPr>
        <w:t xml:space="preserve"> </w:t>
      </w:r>
      <w:r>
        <w:t>size,</w:t>
      </w:r>
      <w:r>
        <w:rPr>
          <w:spacing w:val="-2"/>
        </w:rPr>
        <w:t xml:space="preserve"> </w:t>
      </w:r>
      <w:r>
        <w:t>there</w:t>
      </w:r>
      <w:r>
        <w:rPr>
          <w:spacing w:val="-2"/>
        </w:rPr>
        <w:t xml:space="preserve"> </w:t>
      </w:r>
      <w:r>
        <w:t>will</w:t>
      </w:r>
      <w:r>
        <w:rPr>
          <w:spacing w:val="-2"/>
        </w:rPr>
        <w:t xml:space="preserve"> </w:t>
      </w:r>
      <w:r>
        <w:t>be</w:t>
      </w:r>
      <w:r>
        <w:rPr>
          <w:spacing w:val="-4"/>
        </w:rPr>
        <w:t xml:space="preserve"> </w:t>
      </w:r>
      <w:r>
        <w:t>a design</w:t>
      </w:r>
      <w:r>
        <w:rPr>
          <w:spacing w:val="-4"/>
        </w:rPr>
        <w:t xml:space="preserve"> </w:t>
      </w:r>
      <w:r>
        <w:t>effect</w:t>
      </w:r>
      <w:r>
        <w:rPr>
          <w:spacing w:val="-4"/>
        </w:rPr>
        <w:t xml:space="preserve"> </w:t>
      </w:r>
      <w:r>
        <w:t>associated</w:t>
      </w:r>
      <w:r>
        <w:rPr>
          <w:spacing w:val="-3"/>
        </w:rPr>
        <w:t xml:space="preserve"> </w:t>
      </w:r>
      <w:r>
        <w:t>with</w:t>
      </w:r>
      <w:r>
        <w:rPr>
          <w:spacing w:val="-4"/>
        </w:rPr>
        <w:t xml:space="preserve"> </w:t>
      </w:r>
      <w:r>
        <w:t>the</w:t>
      </w:r>
      <w:r>
        <w:rPr>
          <w:spacing w:val="-3"/>
        </w:rPr>
        <w:t xml:space="preserve"> </w:t>
      </w:r>
      <w:r>
        <w:t>variance</w:t>
      </w:r>
      <w:r>
        <w:rPr>
          <w:spacing w:val="-3"/>
        </w:rPr>
        <w:t xml:space="preserve"> </w:t>
      </w:r>
      <w:r>
        <w:t>of</w:t>
      </w:r>
      <w:r>
        <w:rPr>
          <w:spacing w:val="-4"/>
        </w:rPr>
        <w:t xml:space="preserve"> </w:t>
      </w:r>
      <w:r>
        <w:t>the</w:t>
      </w:r>
      <w:r>
        <w:rPr>
          <w:spacing w:val="-3"/>
        </w:rPr>
        <w:t xml:space="preserve"> </w:t>
      </w:r>
      <w:r>
        <w:t>weights</w:t>
      </w:r>
      <w:r w:rsidR="008A3826">
        <w:t>,</w:t>
      </w:r>
      <w:r>
        <w:rPr>
          <w:spacing w:val="-5"/>
        </w:rPr>
        <w:t xml:space="preserve"> </w:t>
      </w:r>
      <w:r>
        <w:t>which</w:t>
      </w:r>
      <w:r>
        <w:rPr>
          <w:spacing w:val="-4"/>
        </w:rPr>
        <w:t xml:space="preserve"> </w:t>
      </w:r>
      <w:r>
        <w:t>will</w:t>
      </w:r>
      <w:r>
        <w:rPr>
          <w:spacing w:val="-3"/>
        </w:rPr>
        <w:t xml:space="preserve"> </w:t>
      </w:r>
      <w:r>
        <w:t>mean</w:t>
      </w:r>
      <w:r>
        <w:rPr>
          <w:spacing w:val="-4"/>
        </w:rPr>
        <w:t xml:space="preserve"> </w:t>
      </w:r>
      <w:r>
        <w:t>that</w:t>
      </w:r>
      <w:r>
        <w:rPr>
          <w:spacing w:val="-5"/>
        </w:rPr>
        <w:t xml:space="preserve"> </w:t>
      </w:r>
      <w:r>
        <w:t>the</w:t>
      </w:r>
      <w:r>
        <w:rPr>
          <w:spacing w:val="-3"/>
        </w:rPr>
        <w:t xml:space="preserve"> </w:t>
      </w:r>
      <w:r>
        <w:t>reduction</w:t>
      </w:r>
      <w:r>
        <w:rPr>
          <w:spacing w:val="-4"/>
        </w:rPr>
        <w:t xml:space="preserve"> </w:t>
      </w:r>
      <w:r>
        <w:t>will</w:t>
      </w:r>
      <w:r>
        <w:rPr>
          <w:spacing w:val="-3"/>
        </w:rPr>
        <w:t xml:space="preserve"> </w:t>
      </w:r>
      <w:r>
        <w:t>not be</w:t>
      </w:r>
      <w:r>
        <w:rPr>
          <w:spacing w:val="-3"/>
        </w:rPr>
        <w:t xml:space="preserve"> </w:t>
      </w:r>
      <w:r>
        <w:t>as</w:t>
      </w:r>
      <w:r>
        <w:rPr>
          <w:spacing w:val="-5"/>
        </w:rPr>
        <w:t xml:space="preserve"> </w:t>
      </w:r>
      <w:r>
        <w:t>substantial</w:t>
      </w:r>
      <w:r>
        <w:rPr>
          <w:spacing w:val="-3"/>
        </w:rPr>
        <w:t xml:space="preserve"> </w:t>
      </w:r>
      <w:r>
        <w:t>but</w:t>
      </w:r>
      <w:r>
        <w:rPr>
          <w:spacing w:val="-4"/>
        </w:rPr>
        <w:t xml:space="preserve"> </w:t>
      </w:r>
      <w:r>
        <w:t>will</w:t>
      </w:r>
      <w:r>
        <w:rPr>
          <w:spacing w:val="-3"/>
        </w:rPr>
        <w:t xml:space="preserve"> </w:t>
      </w:r>
      <w:r>
        <w:t>be</w:t>
      </w:r>
      <w:r>
        <w:rPr>
          <w:spacing w:val="-3"/>
        </w:rPr>
        <w:t xml:space="preserve"> </w:t>
      </w:r>
      <w:r>
        <w:t>appreciable</w:t>
      </w:r>
      <w:r>
        <w:rPr>
          <w:spacing w:val="-3"/>
        </w:rPr>
        <w:t xml:space="preserve"> </w:t>
      </w:r>
      <w:r>
        <w:t>compared</w:t>
      </w:r>
      <w:r>
        <w:rPr>
          <w:spacing w:val="-3"/>
        </w:rPr>
        <w:t xml:space="preserve"> </w:t>
      </w:r>
      <w:r>
        <w:t>to</w:t>
      </w:r>
      <w:r>
        <w:rPr>
          <w:spacing w:val="-3"/>
        </w:rPr>
        <w:t xml:space="preserve"> </w:t>
      </w:r>
      <w:r>
        <w:t>what</w:t>
      </w:r>
      <w:r>
        <w:rPr>
          <w:spacing w:val="-4"/>
        </w:rPr>
        <w:t xml:space="preserve"> </w:t>
      </w:r>
      <w:r>
        <w:t>would</w:t>
      </w:r>
      <w:r>
        <w:rPr>
          <w:spacing w:val="-3"/>
        </w:rPr>
        <w:t xml:space="preserve"> </w:t>
      </w:r>
      <w:r>
        <w:t>have</w:t>
      </w:r>
      <w:r>
        <w:rPr>
          <w:spacing w:val="-3"/>
        </w:rPr>
        <w:t xml:space="preserve"> </w:t>
      </w:r>
      <w:r>
        <w:t>been</w:t>
      </w:r>
      <w:r>
        <w:rPr>
          <w:spacing w:val="-6"/>
        </w:rPr>
        <w:t xml:space="preserve"> </w:t>
      </w:r>
      <w:r>
        <w:t>obtained</w:t>
      </w:r>
      <w:r>
        <w:rPr>
          <w:spacing w:val="-2"/>
        </w:rPr>
        <w:t xml:space="preserve"> </w:t>
      </w:r>
      <w:r>
        <w:t>without such</w:t>
      </w:r>
      <w:r>
        <w:rPr>
          <w:spacing w:val="-4"/>
        </w:rPr>
        <w:t xml:space="preserve"> </w:t>
      </w:r>
      <w:r>
        <w:t>a</w:t>
      </w:r>
      <w:r>
        <w:rPr>
          <w:spacing w:val="-2"/>
        </w:rPr>
        <w:t xml:space="preserve"> </w:t>
      </w:r>
      <w:r>
        <w:t>supplement.</w:t>
      </w:r>
      <w:r>
        <w:rPr>
          <w:spacing w:val="-3"/>
        </w:rPr>
        <w:t xml:space="preserve"> </w:t>
      </w:r>
      <w:r>
        <w:t>For</w:t>
      </w:r>
      <w:r>
        <w:rPr>
          <w:spacing w:val="-3"/>
        </w:rPr>
        <w:t xml:space="preserve"> </w:t>
      </w:r>
      <w:r>
        <w:t>non-CEP</w:t>
      </w:r>
      <w:r>
        <w:rPr>
          <w:spacing w:val="-4"/>
        </w:rPr>
        <w:t xml:space="preserve"> </w:t>
      </w:r>
      <w:r>
        <w:t>schools,</w:t>
      </w:r>
      <w:r>
        <w:rPr>
          <w:spacing w:val="-2"/>
        </w:rPr>
        <w:t xml:space="preserve"> </w:t>
      </w:r>
      <w:r>
        <w:t>an</w:t>
      </w:r>
      <w:r>
        <w:rPr>
          <w:spacing w:val="-4"/>
        </w:rPr>
        <w:t xml:space="preserve"> </w:t>
      </w:r>
      <w:r>
        <w:t>equal</w:t>
      </w:r>
      <w:r>
        <w:rPr>
          <w:spacing w:val="-5"/>
        </w:rPr>
        <w:t xml:space="preserve"> </w:t>
      </w:r>
      <w:r>
        <w:t>probability</w:t>
      </w:r>
      <w:r>
        <w:rPr>
          <w:spacing w:val="-3"/>
        </w:rPr>
        <w:t xml:space="preserve"> </w:t>
      </w:r>
      <w:r>
        <w:t>sample</w:t>
      </w:r>
      <w:r>
        <w:rPr>
          <w:spacing w:val="-2"/>
        </w:rPr>
        <w:t xml:space="preserve"> </w:t>
      </w:r>
      <w:r>
        <w:t>of</w:t>
      </w:r>
      <w:r>
        <w:rPr>
          <w:spacing w:val="-4"/>
        </w:rPr>
        <w:t xml:space="preserve"> </w:t>
      </w:r>
      <w:r>
        <w:t>schools</w:t>
      </w:r>
      <w:r>
        <w:rPr>
          <w:spacing w:val="-4"/>
        </w:rPr>
        <w:t xml:space="preserve"> </w:t>
      </w:r>
      <w:r>
        <w:t>where</w:t>
      </w:r>
      <w:r>
        <w:rPr>
          <w:spacing w:val="-3"/>
        </w:rPr>
        <w:t xml:space="preserve"> </w:t>
      </w:r>
      <w:r>
        <w:t>the</w:t>
      </w:r>
      <w:r>
        <w:rPr>
          <w:spacing w:val="-2"/>
        </w:rPr>
        <w:t xml:space="preserve"> </w:t>
      </w:r>
      <w:r>
        <w:t>sample size</w:t>
      </w:r>
      <w:r>
        <w:rPr>
          <w:spacing w:val="-4"/>
        </w:rPr>
        <w:t xml:space="preserve"> </w:t>
      </w:r>
      <w:r>
        <w:t>is</w:t>
      </w:r>
      <w:r>
        <w:rPr>
          <w:spacing w:val="-5"/>
        </w:rPr>
        <w:t xml:space="preserve"> </w:t>
      </w:r>
      <w:r>
        <w:t>increased</w:t>
      </w:r>
      <w:r>
        <w:rPr>
          <w:spacing w:val="-3"/>
        </w:rPr>
        <w:t xml:space="preserve"> </w:t>
      </w:r>
      <w:r>
        <w:t>by</w:t>
      </w:r>
      <w:r>
        <w:rPr>
          <w:spacing w:val="-3"/>
        </w:rPr>
        <w:t xml:space="preserve"> </w:t>
      </w:r>
      <w:r>
        <w:t>about</w:t>
      </w:r>
      <w:r>
        <w:rPr>
          <w:spacing w:val="-6"/>
        </w:rPr>
        <w:t xml:space="preserve"> </w:t>
      </w:r>
      <w:r w:rsidRPr="003F0793">
        <w:t>1</w:t>
      </w:r>
      <w:r>
        <w:t>2</w:t>
      </w:r>
      <w:r w:rsidRPr="003F0793">
        <w:rPr>
          <w:spacing w:val="-3"/>
        </w:rPr>
        <w:t xml:space="preserve"> </w:t>
      </w:r>
      <w:r w:rsidRPr="003F0793">
        <w:t>percent</w:t>
      </w:r>
      <w:r>
        <w:rPr>
          <w:spacing w:val="-4"/>
        </w:rPr>
        <w:t xml:space="preserve"> </w:t>
      </w:r>
      <w:r>
        <w:t>would</w:t>
      </w:r>
      <w:r>
        <w:rPr>
          <w:spacing w:val="-3"/>
        </w:rPr>
        <w:t xml:space="preserve"> </w:t>
      </w:r>
      <w:r>
        <w:t>result</w:t>
      </w:r>
      <w:r>
        <w:rPr>
          <w:spacing w:val="-4"/>
        </w:rPr>
        <w:t xml:space="preserve"> </w:t>
      </w:r>
      <w:r>
        <w:t>in</w:t>
      </w:r>
      <w:r>
        <w:rPr>
          <w:spacing w:val="-6"/>
        </w:rPr>
        <w:t xml:space="preserve"> </w:t>
      </w:r>
      <w:r>
        <w:t>a</w:t>
      </w:r>
      <w:r>
        <w:rPr>
          <w:spacing w:val="-3"/>
        </w:rPr>
        <w:t xml:space="preserve"> </w:t>
      </w:r>
      <w:r>
        <w:t>reduction</w:t>
      </w:r>
      <w:r>
        <w:rPr>
          <w:spacing w:val="-3"/>
        </w:rPr>
        <w:t xml:space="preserve"> </w:t>
      </w:r>
      <w:r>
        <w:t>in</w:t>
      </w:r>
      <w:r>
        <w:rPr>
          <w:spacing w:val="-4"/>
        </w:rPr>
        <w:t xml:space="preserve"> </w:t>
      </w:r>
      <w:r>
        <w:t>the</w:t>
      </w:r>
      <w:r>
        <w:rPr>
          <w:spacing w:val="-3"/>
        </w:rPr>
        <w:t xml:space="preserve"> </w:t>
      </w:r>
      <w:r>
        <w:t>width</w:t>
      </w:r>
      <w:r>
        <w:rPr>
          <w:spacing w:val="-6"/>
        </w:rPr>
        <w:t xml:space="preserve"> </w:t>
      </w:r>
      <w:r>
        <w:t>of</w:t>
      </w:r>
      <w:r>
        <w:rPr>
          <w:spacing w:val="-4"/>
        </w:rPr>
        <w:t xml:space="preserve"> </w:t>
      </w:r>
      <w:r>
        <w:t>confidence</w:t>
      </w:r>
      <w:r>
        <w:rPr>
          <w:spacing w:val="-3"/>
        </w:rPr>
        <w:t xml:space="preserve"> </w:t>
      </w:r>
      <w:r>
        <w:t>intervals for</w:t>
      </w:r>
      <w:r>
        <w:rPr>
          <w:spacing w:val="-4"/>
        </w:rPr>
        <w:t xml:space="preserve"> </w:t>
      </w:r>
      <w:r>
        <w:t>a</w:t>
      </w:r>
      <w:r>
        <w:rPr>
          <w:spacing w:val="-3"/>
        </w:rPr>
        <w:t xml:space="preserve"> </w:t>
      </w:r>
      <w:r>
        <w:t>school</w:t>
      </w:r>
      <w:r w:rsidR="008A3826">
        <w:rPr>
          <w:spacing w:val="-2"/>
        </w:rPr>
        <w:t>-</w:t>
      </w:r>
      <w:r>
        <w:t>based</w:t>
      </w:r>
      <w:r>
        <w:rPr>
          <w:spacing w:val="-3"/>
        </w:rPr>
        <w:t xml:space="preserve"> </w:t>
      </w:r>
      <w:r>
        <w:t>estimated</w:t>
      </w:r>
      <w:r>
        <w:rPr>
          <w:spacing w:val="-3"/>
        </w:rPr>
        <w:t xml:space="preserve"> </w:t>
      </w:r>
      <w:r>
        <w:t>percentage</w:t>
      </w:r>
      <w:r>
        <w:rPr>
          <w:spacing w:val="-2"/>
        </w:rPr>
        <w:t xml:space="preserve"> </w:t>
      </w:r>
      <w:r>
        <w:t>related</w:t>
      </w:r>
      <w:r>
        <w:rPr>
          <w:spacing w:val="-3"/>
        </w:rPr>
        <w:t xml:space="preserve"> </w:t>
      </w:r>
      <w:r>
        <w:t>to</w:t>
      </w:r>
      <w:r>
        <w:rPr>
          <w:spacing w:val="-6"/>
        </w:rPr>
        <w:t xml:space="preserve"> </w:t>
      </w:r>
      <w:r>
        <w:t>meal</w:t>
      </w:r>
      <w:r>
        <w:rPr>
          <w:spacing w:val="-2"/>
        </w:rPr>
        <w:t xml:space="preserve"> </w:t>
      </w:r>
      <w:r>
        <w:t>claiming</w:t>
      </w:r>
      <w:r>
        <w:rPr>
          <w:spacing w:val="-3"/>
        </w:rPr>
        <w:t xml:space="preserve"> </w:t>
      </w:r>
      <w:r>
        <w:t>errors</w:t>
      </w:r>
      <w:r>
        <w:rPr>
          <w:spacing w:val="-5"/>
        </w:rPr>
        <w:t xml:space="preserve"> </w:t>
      </w:r>
      <w:r>
        <w:t>that</w:t>
      </w:r>
      <w:r>
        <w:rPr>
          <w:spacing w:val="-3"/>
        </w:rPr>
        <w:t xml:space="preserve"> </w:t>
      </w:r>
      <w:r>
        <w:t>would</w:t>
      </w:r>
      <w:r>
        <w:rPr>
          <w:spacing w:val="-3"/>
        </w:rPr>
        <w:t xml:space="preserve"> </w:t>
      </w:r>
      <w:r w:rsidRPr="00990BC3">
        <w:t>be</w:t>
      </w:r>
      <w:r w:rsidRPr="00990BC3">
        <w:rPr>
          <w:spacing w:val="-3"/>
        </w:rPr>
        <w:t xml:space="preserve"> </w:t>
      </w:r>
      <w:r w:rsidRPr="00990BC3">
        <w:t>close</w:t>
      </w:r>
      <w:r w:rsidRPr="00990BC3">
        <w:rPr>
          <w:spacing w:val="-2"/>
        </w:rPr>
        <w:t xml:space="preserve"> </w:t>
      </w:r>
      <w:r w:rsidRPr="00990BC3">
        <w:t>to</w:t>
      </w:r>
      <w:r w:rsidRPr="00990BC3">
        <w:rPr>
          <w:spacing w:val="-4"/>
        </w:rPr>
        <w:t xml:space="preserve"> </w:t>
      </w:r>
      <w:r w:rsidRPr="00990BC3">
        <w:t>10 percent.</w:t>
      </w:r>
      <w:r>
        <w:rPr>
          <w:spacing w:val="-3"/>
        </w:rPr>
        <w:t xml:space="preserve"> </w:t>
      </w:r>
      <w:r>
        <w:t>Again,</w:t>
      </w:r>
      <w:r>
        <w:rPr>
          <w:spacing w:val="-3"/>
        </w:rPr>
        <w:t xml:space="preserve"> </w:t>
      </w:r>
      <w:r>
        <w:t>schools</w:t>
      </w:r>
      <w:r>
        <w:rPr>
          <w:spacing w:val="-5"/>
        </w:rPr>
        <w:t xml:space="preserve"> </w:t>
      </w:r>
      <w:r>
        <w:t>will</w:t>
      </w:r>
      <w:r>
        <w:rPr>
          <w:spacing w:val="-3"/>
        </w:rPr>
        <w:t xml:space="preserve"> </w:t>
      </w:r>
      <w:r>
        <w:t>not</w:t>
      </w:r>
      <w:r>
        <w:rPr>
          <w:spacing w:val="-4"/>
        </w:rPr>
        <w:t xml:space="preserve"> </w:t>
      </w:r>
      <w:r>
        <w:t>have</w:t>
      </w:r>
      <w:r>
        <w:rPr>
          <w:spacing w:val="-2"/>
        </w:rPr>
        <w:t xml:space="preserve"> </w:t>
      </w:r>
      <w:r>
        <w:t>been</w:t>
      </w:r>
      <w:r>
        <w:rPr>
          <w:spacing w:val="-4"/>
        </w:rPr>
        <w:t xml:space="preserve"> </w:t>
      </w:r>
      <w:r>
        <w:t>selected</w:t>
      </w:r>
      <w:r>
        <w:rPr>
          <w:spacing w:val="-6"/>
        </w:rPr>
        <w:t xml:space="preserve"> </w:t>
      </w:r>
      <w:r>
        <w:t>with</w:t>
      </w:r>
      <w:r>
        <w:rPr>
          <w:spacing w:val="-4"/>
        </w:rPr>
        <w:t xml:space="preserve"> </w:t>
      </w:r>
      <w:r>
        <w:t>equal</w:t>
      </w:r>
      <w:r>
        <w:rPr>
          <w:spacing w:val="-3"/>
        </w:rPr>
        <w:t xml:space="preserve"> </w:t>
      </w:r>
      <w:r>
        <w:t>probability,</w:t>
      </w:r>
      <w:r>
        <w:rPr>
          <w:spacing w:val="-2"/>
        </w:rPr>
        <w:t xml:space="preserve"> </w:t>
      </w:r>
      <w:r>
        <w:t>so</w:t>
      </w:r>
      <w:r>
        <w:rPr>
          <w:spacing w:val="-4"/>
        </w:rPr>
        <w:t xml:space="preserve"> </w:t>
      </w:r>
      <w:r>
        <w:t>the</w:t>
      </w:r>
      <w:r>
        <w:rPr>
          <w:spacing w:val="-3"/>
        </w:rPr>
        <w:t xml:space="preserve"> </w:t>
      </w:r>
      <w:r>
        <w:t>reduction</w:t>
      </w:r>
      <w:r>
        <w:rPr>
          <w:spacing w:val="-3"/>
        </w:rPr>
        <w:t xml:space="preserve"> </w:t>
      </w:r>
      <w:r>
        <w:t>will</w:t>
      </w:r>
      <w:r>
        <w:rPr>
          <w:spacing w:val="-3"/>
        </w:rPr>
        <w:t xml:space="preserve"> </w:t>
      </w:r>
      <w:r>
        <w:t>not be</w:t>
      </w:r>
      <w:r>
        <w:rPr>
          <w:spacing w:val="-2"/>
        </w:rPr>
        <w:t xml:space="preserve"> </w:t>
      </w:r>
      <w:r>
        <w:t>as</w:t>
      </w:r>
      <w:r>
        <w:rPr>
          <w:spacing w:val="-4"/>
        </w:rPr>
        <w:t xml:space="preserve"> </w:t>
      </w:r>
      <w:r>
        <w:t xml:space="preserve">great as that indicated </w:t>
      </w:r>
      <w:r w:rsidRPr="00E6048F">
        <w:t>in Table B2-2</w:t>
      </w:r>
      <w:r w:rsidRPr="00E6048F">
        <w:rPr>
          <w:spacing w:val="-3"/>
        </w:rPr>
        <w:t xml:space="preserve"> </w:t>
      </w:r>
      <w:r w:rsidRPr="00E6048F">
        <w:t>but</w:t>
      </w:r>
      <w:r w:rsidRPr="00E6048F">
        <w:rPr>
          <w:spacing w:val="-3"/>
        </w:rPr>
        <w:t xml:space="preserve"> </w:t>
      </w:r>
      <w:r w:rsidRPr="00E6048F">
        <w:t>is nonetheless expected to</w:t>
      </w:r>
      <w:r w:rsidRPr="00E6048F">
        <w:rPr>
          <w:spacing w:val="-2"/>
        </w:rPr>
        <w:t xml:space="preserve"> </w:t>
      </w:r>
      <w:r w:rsidRPr="00E6048F">
        <w:t>be</w:t>
      </w:r>
      <w:r w:rsidRPr="00E6048F">
        <w:rPr>
          <w:spacing w:val="-2"/>
        </w:rPr>
        <w:t xml:space="preserve"> </w:t>
      </w:r>
      <w:r w:rsidRPr="00E6048F">
        <w:t>appreciable.</w:t>
      </w:r>
    </w:p>
    <w:p w14:paraId="4B0E0F0F" w14:textId="3ACE2CB4" w:rsidR="00566D6F" w:rsidRDefault="00566D6F">
      <w:pPr>
        <w:spacing w:line="240" w:lineRule="auto"/>
        <w:rPr>
          <w:rFonts w:ascii="Franklin Gothic Medium" w:hAnsi="Franklin Gothic Medium"/>
          <w:sz w:val="22"/>
          <w:szCs w:val="24"/>
        </w:rPr>
      </w:pPr>
    </w:p>
    <w:p w14:paraId="75648F95" w14:textId="77777777" w:rsidR="00D90AE2" w:rsidRPr="00E6048F" w:rsidRDefault="00D90AE2" w:rsidP="00566D6F">
      <w:pPr>
        <w:pStyle w:val="TT-TableTitle"/>
      </w:pPr>
      <w:r w:rsidRPr="00E6048F">
        <w:lastRenderedPageBreak/>
        <w:t>Table</w:t>
      </w:r>
      <w:r w:rsidRPr="00E6048F">
        <w:rPr>
          <w:spacing w:val="-3"/>
        </w:rPr>
        <w:t xml:space="preserve"> B2-2</w:t>
      </w:r>
      <w:r w:rsidRPr="00E6048F">
        <w:t>.</w:t>
      </w:r>
      <w:r w:rsidRPr="00E6048F">
        <w:tab/>
        <w:t>Example</w:t>
      </w:r>
      <w:r w:rsidRPr="00E6048F">
        <w:rPr>
          <w:spacing w:val="-3"/>
        </w:rPr>
        <w:t xml:space="preserve"> </w:t>
      </w:r>
      <w:r w:rsidRPr="00E6048F">
        <w:t>of the effect</w:t>
      </w:r>
      <w:r w:rsidRPr="00E6048F">
        <w:rPr>
          <w:spacing w:val="-2"/>
        </w:rPr>
        <w:t xml:space="preserve"> </w:t>
      </w:r>
      <w:r w:rsidRPr="00E6048F">
        <w:t>of</w:t>
      </w:r>
      <w:r w:rsidRPr="00E6048F">
        <w:rPr>
          <w:spacing w:val="-3"/>
        </w:rPr>
        <w:t xml:space="preserve"> </w:t>
      </w:r>
      <w:r w:rsidRPr="00E6048F">
        <w:t>increased</w:t>
      </w:r>
      <w:r w:rsidRPr="00E6048F">
        <w:rPr>
          <w:spacing w:val="1"/>
        </w:rPr>
        <w:t xml:space="preserve"> </w:t>
      </w:r>
      <w:r w:rsidRPr="00E6048F">
        <w:t>sample sizes on</w:t>
      </w:r>
      <w:r w:rsidRPr="00E6048F">
        <w:rPr>
          <w:spacing w:val="-2"/>
        </w:rPr>
        <w:t xml:space="preserve"> </w:t>
      </w:r>
      <w:r w:rsidRPr="00E6048F">
        <w:t>the confidence intervals of SFA- and school-level estimates</w:t>
      </w:r>
    </w:p>
    <w:p w14:paraId="2DE53EDE" w14:textId="77777777" w:rsidR="00D90AE2" w:rsidRPr="00E6048F" w:rsidRDefault="00D90AE2" w:rsidP="00566D6F">
      <w:pPr>
        <w:pStyle w:val="TT-TableTitle"/>
      </w:pPr>
    </w:p>
    <w:tbl>
      <w:tblPr>
        <w:tblStyle w:val="TableWestatStandardFormat"/>
        <w:tblW w:w="5000" w:type="pct"/>
        <w:tblLayout w:type="fixed"/>
        <w:tblLook w:val="04A0" w:firstRow="1" w:lastRow="0" w:firstColumn="1" w:lastColumn="0" w:noHBand="0" w:noVBand="1"/>
      </w:tblPr>
      <w:tblGrid>
        <w:gridCol w:w="3192"/>
        <w:gridCol w:w="3192"/>
        <w:gridCol w:w="3192"/>
      </w:tblGrid>
      <w:tr w:rsidR="00D90AE2" w:rsidRPr="00E6048F" w14:paraId="7EF04DCC" w14:textId="77777777" w:rsidTr="00566D6F">
        <w:trPr>
          <w:cnfStyle w:val="100000000000" w:firstRow="1" w:lastRow="0" w:firstColumn="0" w:lastColumn="0" w:oddVBand="0" w:evenVBand="0" w:oddHBand="0" w:evenHBand="0" w:firstRowFirstColumn="0" w:firstRowLastColumn="0" w:lastRowFirstColumn="0" w:lastRowLastColumn="0"/>
        </w:trPr>
        <w:tc>
          <w:tcPr>
            <w:tcW w:w="3192" w:type="dxa"/>
            <w:vAlign w:val="bottom"/>
          </w:tcPr>
          <w:p w14:paraId="4EA98850" w14:textId="77777777" w:rsidR="00D90AE2" w:rsidRPr="00E6048F" w:rsidRDefault="00D90AE2" w:rsidP="00566D6F">
            <w:pPr>
              <w:pStyle w:val="TH-TableHeading"/>
            </w:pPr>
            <w:r w:rsidRPr="00E6048F">
              <w:t>Sample</w:t>
            </w:r>
            <w:r w:rsidRPr="00E6048F">
              <w:rPr>
                <w:spacing w:val="-8"/>
              </w:rPr>
              <w:t xml:space="preserve"> </w:t>
            </w:r>
            <w:r w:rsidRPr="00E6048F">
              <w:rPr>
                <w:spacing w:val="-1"/>
              </w:rPr>
              <w:t>size</w:t>
            </w:r>
            <w:r w:rsidRPr="00E6048F">
              <w:rPr>
                <w:spacing w:val="-7"/>
              </w:rPr>
              <w:t xml:space="preserve"> </w:t>
            </w:r>
            <w:r w:rsidRPr="00E6048F">
              <w:t>increase</w:t>
            </w:r>
            <w:r w:rsidRPr="00E6048F">
              <w:rPr>
                <w:spacing w:val="-8"/>
              </w:rPr>
              <w:t xml:space="preserve"> </w:t>
            </w:r>
            <w:r w:rsidRPr="00E6048F">
              <w:rPr>
                <w:spacing w:val="-1"/>
              </w:rPr>
              <w:t>(non-CEP)</w:t>
            </w:r>
          </w:p>
        </w:tc>
        <w:tc>
          <w:tcPr>
            <w:tcW w:w="3192" w:type="dxa"/>
            <w:vAlign w:val="bottom"/>
          </w:tcPr>
          <w:p w14:paraId="58DF51B5" w14:textId="77777777" w:rsidR="00D90AE2" w:rsidRPr="00E6048F" w:rsidRDefault="00D90AE2" w:rsidP="008A6D63">
            <w:pPr>
              <w:pStyle w:val="TH-TableHeading"/>
            </w:pPr>
            <w:r w:rsidRPr="00E6048F">
              <w:t>Estimated</w:t>
            </w:r>
            <w:r w:rsidRPr="00E6048F">
              <w:rPr>
                <w:spacing w:val="-6"/>
              </w:rPr>
              <w:t xml:space="preserve"> </w:t>
            </w:r>
            <w:r w:rsidRPr="00E6048F">
              <w:rPr>
                <w:spacing w:val="-1"/>
              </w:rPr>
              <w:t>reduction</w:t>
            </w:r>
            <w:r w:rsidRPr="00E6048F">
              <w:rPr>
                <w:spacing w:val="-7"/>
              </w:rPr>
              <w:t xml:space="preserve"> </w:t>
            </w:r>
            <w:r w:rsidRPr="00E6048F">
              <w:rPr>
                <w:spacing w:val="-1"/>
              </w:rPr>
              <w:t>in</w:t>
            </w:r>
            <w:r w:rsidRPr="00E6048F">
              <w:rPr>
                <w:spacing w:val="-7"/>
              </w:rPr>
              <w:t xml:space="preserve"> </w:t>
            </w:r>
            <w:r w:rsidRPr="00E6048F">
              <w:t>width</w:t>
            </w:r>
            <w:r w:rsidRPr="00E6048F">
              <w:rPr>
                <w:spacing w:val="-7"/>
              </w:rPr>
              <w:t xml:space="preserve"> </w:t>
            </w:r>
            <w:r w:rsidRPr="00E6048F">
              <w:rPr>
                <w:spacing w:val="1"/>
              </w:rPr>
              <w:t>of</w:t>
            </w:r>
            <w:r w:rsidRPr="00E6048F">
              <w:rPr>
                <w:spacing w:val="-8"/>
              </w:rPr>
              <w:t xml:space="preserve"> </w:t>
            </w:r>
            <w:r w:rsidRPr="00E6048F">
              <w:rPr>
                <w:spacing w:val="-1"/>
              </w:rPr>
              <w:t>confidence</w:t>
            </w:r>
            <w:r w:rsidRPr="00E6048F">
              <w:rPr>
                <w:spacing w:val="-6"/>
              </w:rPr>
              <w:t xml:space="preserve"> </w:t>
            </w:r>
            <w:r w:rsidRPr="00E6048F">
              <w:t>intervals</w:t>
            </w:r>
            <w:r w:rsidR="008A6D63">
              <w:rPr>
                <w:position w:val="5"/>
                <w:sz w:val="13"/>
              </w:rPr>
              <w:t>1</w:t>
            </w:r>
          </w:p>
        </w:tc>
        <w:tc>
          <w:tcPr>
            <w:tcW w:w="3192" w:type="dxa"/>
            <w:vAlign w:val="bottom"/>
          </w:tcPr>
          <w:p w14:paraId="0A4E7522" w14:textId="77777777" w:rsidR="00D90AE2" w:rsidRPr="00E6048F" w:rsidRDefault="00D90AE2" w:rsidP="00566D6F">
            <w:pPr>
              <w:pStyle w:val="TH-TableHeading"/>
            </w:pPr>
            <w:r>
              <w:t xml:space="preserve">Type of </w:t>
            </w:r>
            <w:r w:rsidR="00566D6F">
              <w:t>error</w:t>
            </w:r>
          </w:p>
        </w:tc>
      </w:tr>
      <w:tr w:rsidR="00D90AE2" w:rsidRPr="00E6048F" w14:paraId="1A5DAD9E" w14:textId="77777777" w:rsidTr="00566D6F">
        <w:tc>
          <w:tcPr>
            <w:tcW w:w="3192" w:type="dxa"/>
          </w:tcPr>
          <w:p w14:paraId="63E59101" w14:textId="77777777" w:rsidR="00D90AE2" w:rsidRPr="00E6048F" w:rsidRDefault="00D90AE2" w:rsidP="00566D6F">
            <w:pPr>
              <w:pStyle w:val="TX-TableText"/>
            </w:pPr>
            <w:r w:rsidRPr="00E6048F">
              <w:t>54%</w:t>
            </w:r>
            <w:r w:rsidRPr="00E6048F">
              <w:rPr>
                <w:spacing w:val="-4"/>
              </w:rPr>
              <w:t xml:space="preserve"> </w:t>
            </w:r>
            <w:r w:rsidRPr="00E6048F">
              <w:t>more</w:t>
            </w:r>
            <w:r w:rsidRPr="00E6048F">
              <w:rPr>
                <w:spacing w:val="-3"/>
              </w:rPr>
              <w:t xml:space="preserve"> </w:t>
            </w:r>
            <w:r w:rsidRPr="00E6048F">
              <w:rPr>
                <w:spacing w:val="-1"/>
              </w:rPr>
              <w:t>SFAs</w:t>
            </w:r>
          </w:p>
        </w:tc>
        <w:tc>
          <w:tcPr>
            <w:tcW w:w="3192" w:type="dxa"/>
          </w:tcPr>
          <w:p w14:paraId="78F8C3FA" w14:textId="77777777" w:rsidR="00D90AE2" w:rsidRPr="00E6048F" w:rsidRDefault="00D90AE2" w:rsidP="00566D6F">
            <w:pPr>
              <w:pStyle w:val="TX-TableText"/>
              <w:jc w:val="center"/>
            </w:pPr>
            <w:r w:rsidRPr="00E6048F">
              <w:t>~20%</w:t>
            </w:r>
          </w:p>
        </w:tc>
        <w:tc>
          <w:tcPr>
            <w:tcW w:w="3192" w:type="dxa"/>
          </w:tcPr>
          <w:p w14:paraId="7A834E3F" w14:textId="77777777" w:rsidR="00D90AE2" w:rsidRPr="00E6048F" w:rsidRDefault="00D90AE2" w:rsidP="00566D6F">
            <w:pPr>
              <w:pStyle w:val="TX-TableText"/>
            </w:pPr>
            <w:r>
              <w:t>Administrative</w:t>
            </w:r>
          </w:p>
        </w:tc>
      </w:tr>
      <w:tr w:rsidR="00D90AE2" w14:paraId="2E0C6039" w14:textId="77777777" w:rsidTr="00566D6F">
        <w:tc>
          <w:tcPr>
            <w:tcW w:w="3192" w:type="dxa"/>
          </w:tcPr>
          <w:p w14:paraId="16DA3B13" w14:textId="77777777" w:rsidR="00D90AE2" w:rsidRPr="00E6048F" w:rsidRDefault="00D90AE2" w:rsidP="00566D6F">
            <w:pPr>
              <w:pStyle w:val="TX-TableText"/>
            </w:pPr>
            <w:r w:rsidRPr="00E6048F">
              <w:t>18%</w:t>
            </w:r>
            <w:r w:rsidRPr="00E6048F">
              <w:rPr>
                <w:spacing w:val="-8"/>
              </w:rPr>
              <w:t xml:space="preserve"> </w:t>
            </w:r>
            <w:r w:rsidRPr="00E6048F">
              <w:t>more</w:t>
            </w:r>
            <w:r w:rsidRPr="00E6048F">
              <w:rPr>
                <w:spacing w:val="-6"/>
              </w:rPr>
              <w:t xml:space="preserve"> </w:t>
            </w:r>
            <w:r w:rsidRPr="00E6048F">
              <w:rPr>
                <w:spacing w:val="-1"/>
              </w:rPr>
              <w:t>schools</w:t>
            </w:r>
          </w:p>
        </w:tc>
        <w:tc>
          <w:tcPr>
            <w:tcW w:w="3192" w:type="dxa"/>
          </w:tcPr>
          <w:p w14:paraId="4D1915FA" w14:textId="77777777" w:rsidR="00D90AE2" w:rsidRDefault="00D90AE2" w:rsidP="00566D6F">
            <w:pPr>
              <w:pStyle w:val="TX-TableText"/>
              <w:jc w:val="center"/>
            </w:pPr>
            <w:r w:rsidRPr="00E6048F">
              <w:t>~10%</w:t>
            </w:r>
          </w:p>
        </w:tc>
        <w:tc>
          <w:tcPr>
            <w:tcW w:w="3192" w:type="dxa"/>
          </w:tcPr>
          <w:p w14:paraId="566CFC00" w14:textId="77777777" w:rsidR="00D90AE2" w:rsidRPr="00E6048F" w:rsidRDefault="00D90AE2" w:rsidP="00566D6F">
            <w:pPr>
              <w:pStyle w:val="TX-TableText"/>
            </w:pPr>
            <w:r>
              <w:t xml:space="preserve">Meal Claiming </w:t>
            </w:r>
          </w:p>
        </w:tc>
      </w:tr>
    </w:tbl>
    <w:p w14:paraId="2BD4247A" w14:textId="77777777" w:rsidR="00D90AE2" w:rsidRDefault="008A6D63" w:rsidP="00566D6F">
      <w:pPr>
        <w:pStyle w:val="TF-TblFN"/>
      </w:pPr>
      <w:r>
        <w:rPr>
          <w:position w:val="4"/>
        </w:rPr>
        <w:t>1</w:t>
      </w:r>
      <w:r w:rsidR="00D90AE2" w:rsidRPr="00102110">
        <w:rPr>
          <w:position w:val="4"/>
        </w:rPr>
        <w:t xml:space="preserve"> </w:t>
      </w:r>
      <w:r w:rsidR="00D90AE2" w:rsidRPr="00102110">
        <w:t>Assuming</w:t>
      </w:r>
      <w:r w:rsidR="00D90AE2" w:rsidRPr="00102110">
        <w:rPr>
          <w:spacing w:val="1"/>
        </w:rPr>
        <w:t xml:space="preserve"> </w:t>
      </w:r>
      <w:r w:rsidR="00D90AE2" w:rsidRPr="00102110">
        <w:t>an equal probability</w:t>
      </w:r>
      <w:r w:rsidR="00D90AE2" w:rsidRPr="00102110">
        <w:rPr>
          <w:spacing w:val="1"/>
        </w:rPr>
        <w:t xml:space="preserve"> </w:t>
      </w:r>
      <w:r w:rsidR="00D90AE2" w:rsidRPr="00102110">
        <w:t>sample of SFAs</w:t>
      </w:r>
    </w:p>
    <w:p w14:paraId="048837E3" w14:textId="77777777" w:rsidR="00566D6F" w:rsidRDefault="00566D6F" w:rsidP="00566D6F">
      <w:pPr>
        <w:pStyle w:val="SL-FlLftSgl"/>
      </w:pPr>
    </w:p>
    <w:p w14:paraId="78D4B197" w14:textId="77777777" w:rsidR="00186A08" w:rsidRDefault="00D90AE2" w:rsidP="00566D6F">
      <w:pPr>
        <w:pStyle w:val="P1-StandPara"/>
      </w:pPr>
      <w:r>
        <w:t>The sampling precision of estimates</w:t>
      </w:r>
      <w:r w:rsidRPr="00EA16BD">
        <w:t xml:space="preserve"> of improper payment rates derived from the household survey and student </w:t>
      </w:r>
      <w:r>
        <w:t xml:space="preserve">application </w:t>
      </w:r>
      <w:r w:rsidRPr="00EA16BD">
        <w:t>records</w:t>
      </w:r>
      <w:r>
        <w:t xml:space="preserve"> will depend on the underlying standard deviation of the error rates (</w:t>
      </w:r>
      <w:r>
        <w:rPr>
          <w:rFonts w:ascii="Symbol" w:hAnsi="Symbol"/>
        </w:rPr>
        <w:t></w:t>
      </w:r>
      <w:r>
        <w:t>) among all applications in the population, as well as the design effects due to clustering (</w:t>
      </w:r>
      <m:oMath>
        <m:sSub>
          <m:sSubPr>
            <m:ctrlPr>
              <w:rPr>
                <w:rFonts w:ascii="Cambria Math" w:hAnsi="Cambria Math"/>
                <w:i/>
              </w:rPr>
            </m:ctrlPr>
          </m:sSubPr>
          <m:e>
            <m:r>
              <w:rPr>
                <w:rFonts w:ascii="Cambria Math" w:hAnsi="Cambria Math"/>
              </w:rPr>
              <m:t>D</m:t>
            </m:r>
          </m:e>
          <m:sub>
            <m:r>
              <w:rPr>
                <w:rFonts w:ascii="Cambria Math" w:hAnsi="Cambria Math"/>
              </w:rPr>
              <m:t>c</m:t>
            </m:r>
          </m:sub>
        </m:sSub>
      </m:oMath>
      <w:r>
        <w:t>) and unequal weighting (</w:t>
      </w:r>
      <m:oMath>
        <m:sSub>
          <m:sSubPr>
            <m:ctrlPr>
              <w:rPr>
                <w:rFonts w:ascii="Cambria Math" w:hAnsi="Cambria Math"/>
                <w:i/>
              </w:rPr>
            </m:ctrlPr>
          </m:sSubPr>
          <m:e>
            <m:r>
              <w:rPr>
                <w:rFonts w:ascii="Cambria Math" w:hAnsi="Cambria Math"/>
              </w:rPr>
              <m:t>D</m:t>
            </m:r>
          </m:e>
          <m:sub>
            <m:r>
              <w:rPr>
                <w:rFonts w:ascii="Cambria Math" w:hAnsi="Cambria Math"/>
              </w:rPr>
              <m:t>w</m:t>
            </m:r>
          </m:sub>
        </m:sSub>
      </m:oMath>
      <w:r>
        <w:t>). Based on estimates of standard errors reported in the APEC</w:t>
      </w:r>
      <w:r w:rsidR="008A3826">
        <w:t xml:space="preserve"> </w:t>
      </w:r>
      <w:r>
        <w:t xml:space="preserve">II </w:t>
      </w:r>
      <w:r w:rsidR="008A3826">
        <w:t>final report</w:t>
      </w:r>
      <w:r>
        <w:t xml:space="preserve">, we have </w:t>
      </w:r>
      <w:r w:rsidRPr="000C10BD">
        <w:t>assumed</w:t>
      </w:r>
      <w:r>
        <w:t xml:space="preserve"> that the values of</w:t>
      </w:r>
      <w:r w:rsidRPr="000C10BD">
        <w:t xml:space="preserve"> </w:t>
      </w:r>
      <w:r>
        <w:rPr>
          <w:rFonts w:ascii="Symbol" w:hAnsi="Symbol"/>
        </w:rPr>
        <w:t></w:t>
      </w:r>
      <w:r>
        <w:t xml:space="preserve"> will range from 0.25 to 0.75 for NSLP and from 0.10 to 0.70 for SBP</w:t>
      </w:r>
      <w:r w:rsidR="008A3826">
        <w:t>,</w:t>
      </w:r>
      <w:r>
        <w:t xml:space="preserve"> depending on whether the error rate being computed is an overpayment, underpayment, net error rate, or gross error rate. The design effect due to clustering is given approximately by the formula (e.g., see equation 2.23 of Skinner, Holt, and Smith, 1989</w:t>
      </w:r>
      <w:r w:rsidR="008A6D63">
        <w:rPr>
          <w:rStyle w:val="FootnoteReference"/>
        </w:rPr>
        <w:footnoteReference w:id="18"/>
      </w:r>
      <w:r>
        <w:t>):</w:t>
      </w:r>
      <w:r w:rsidR="00566D6F">
        <w:t xml:space="preserve"> </w:t>
      </w:r>
      <w:r w:rsidR="00566D6F">
        <w:br/>
      </w:r>
      <m:oMath>
        <m:sSub>
          <m:sSubPr>
            <m:ctrlPr>
              <w:rPr>
                <w:rFonts w:ascii="Cambria Math" w:hAnsi="Cambria Math"/>
                <w:i/>
              </w:rPr>
            </m:ctrlPr>
          </m:sSubPr>
          <m:e>
            <m:r>
              <w:rPr>
                <w:rFonts w:ascii="Cambria Math" w:hAnsi="Cambria Math"/>
              </w:rPr>
              <m:t>D</m:t>
            </m:r>
          </m:e>
          <m:sub>
            <m:r>
              <w:rPr>
                <w:rFonts w:ascii="Cambria Math" w:hAnsi="Cambria Math"/>
              </w:rPr>
              <m:t>c</m:t>
            </m:r>
          </m:sub>
        </m:sSub>
      </m:oMath>
      <w:r w:rsidRPr="00937FB2">
        <w:rPr>
          <w:i/>
        </w:rPr>
        <w:t xml:space="preserve"> = 1 + (m-1</w:t>
      </w:r>
      <w:proofErr w:type="gramStart"/>
      <w:r w:rsidRPr="00937FB2">
        <w:rPr>
          <w:i/>
        </w:rPr>
        <w:t>)n</w:t>
      </w:r>
      <w:proofErr w:type="gramEnd"/>
      <w:r w:rsidRPr="00937FB2">
        <w:rPr>
          <w:rFonts w:ascii="Symbol" w:hAnsi="Symbol"/>
          <w:i/>
        </w:rPr>
        <w:t></w:t>
      </w:r>
      <w:r w:rsidRPr="00937FB2">
        <w:rPr>
          <w:i/>
          <w:vertAlign w:val="subscript"/>
        </w:rPr>
        <w:t>1</w:t>
      </w:r>
      <w:r w:rsidRPr="00937FB2">
        <w:rPr>
          <w:i/>
        </w:rPr>
        <w:t xml:space="preserve"> + (n-1)</w:t>
      </w:r>
      <w:r w:rsidRPr="00937FB2">
        <w:rPr>
          <w:rFonts w:ascii="Symbol" w:hAnsi="Symbol"/>
          <w:i/>
        </w:rPr>
        <w:t></w:t>
      </w:r>
      <w:r w:rsidRPr="00937FB2">
        <w:rPr>
          <w:i/>
          <w:vertAlign w:val="subscript"/>
        </w:rPr>
        <w:t>2</w:t>
      </w:r>
      <w:r>
        <w:t xml:space="preserve">, where </w:t>
      </w:r>
      <w:r w:rsidRPr="00937FB2">
        <w:rPr>
          <w:i/>
        </w:rPr>
        <w:t>m</w:t>
      </w:r>
      <w:r>
        <w:t xml:space="preserve"> = the average number of sample schools per SFA, </w:t>
      </w:r>
      <w:r w:rsidRPr="00937FB2">
        <w:rPr>
          <w:i/>
        </w:rPr>
        <w:t>n</w:t>
      </w:r>
      <w:r>
        <w:t xml:space="preserve"> = the average number of sample students (i.e., either households or student-records) per school, </w:t>
      </w:r>
      <w:r w:rsidRPr="00937FB2">
        <w:rPr>
          <w:rFonts w:ascii="Symbol" w:hAnsi="Symbol"/>
          <w:i/>
        </w:rPr>
        <w:t></w:t>
      </w:r>
      <w:r w:rsidRPr="00937FB2">
        <w:rPr>
          <w:i/>
          <w:vertAlign w:val="subscript"/>
        </w:rPr>
        <w:t>1</w:t>
      </w:r>
      <w:r>
        <w:t xml:space="preserve"> = the </w:t>
      </w:r>
      <w:proofErr w:type="spellStart"/>
      <w:r>
        <w:t>intraclass</w:t>
      </w:r>
      <w:proofErr w:type="spellEnd"/>
      <w:r>
        <w:t xml:space="preserve"> correlation within PSUs, and </w:t>
      </w:r>
      <w:r w:rsidRPr="00937FB2">
        <w:rPr>
          <w:rFonts w:ascii="Symbol" w:hAnsi="Symbol"/>
          <w:i/>
        </w:rPr>
        <w:t></w:t>
      </w:r>
      <w:r w:rsidRPr="00937FB2">
        <w:rPr>
          <w:i/>
          <w:vertAlign w:val="subscript"/>
        </w:rPr>
        <w:t>2</w:t>
      </w:r>
      <w:r>
        <w:t xml:space="preserve"> = the </w:t>
      </w:r>
      <w:proofErr w:type="spellStart"/>
      <w:r>
        <w:t>intraclass</w:t>
      </w:r>
      <w:proofErr w:type="spellEnd"/>
      <w:r>
        <w:t xml:space="preserve"> correlation within schools. </w:t>
      </w:r>
      <w:r w:rsidRPr="000C10BD">
        <w:t xml:space="preserve">For </w:t>
      </w:r>
      <w:r>
        <w:t xml:space="preserve">sample planning purposes, we have assumed that both </w:t>
      </w:r>
      <w:r w:rsidRPr="00937FB2">
        <w:rPr>
          <w:rFonts w:ascii="Symbol" w:hAnsi="Symbol"/>
          <w:i/>
        </w:rPr>
        <w:t></w:t>
      </w:r>
      <w:r w:rsidRPr="00937FB2">
        <w:rPr>
          <w:i/>
          <w:vertAlign w:val="subscript"/>
        </w:rPr>
        <w:t>1</w:t>
      </w:r>
      <w:r>
        <w:t xml:space="preserve"> and </w:t>
      </w:r>
      <w:r w:rsidRPr="00937FB2">
        <w:rPr>
          <w:rFonts w:ascii="Symbol" w:hAnsi="Symbol"/>
          <w:i/>
        </w:rPr>
        <w:t></w:t>
      </w:r>
      <w:r w:rsidRPr="00937FB2">
        <w:rPr>
          <w:i/>
          <w:vertAlign w:val="subscript"/>
        </w:rPr>
        <w:t>2</w:t>
      </w:r>
      <w:r>
        <w:t xml:space="preserve"> are both of the order of 0.02, which we believe are likely to be conservative assumptions. Finally, we assume an unequal weighting effect of </w:t>
      </w:r>
      <m:oMath>
        <m:sSub>
          <m:sSubPr>
            <m:ctrlPr>
              <w:rPr>
                <w:rFonts w:ascii="Cambria Math" w:hAnsi="Cambria Math"/>
                <w:i/>
              </w:rPr>
            </m:ctrlPr>
          </m:sSubPr>
          <m:e>
            <m:r>
              <w:rPr>
                <w:rFonts w:ascii="Cambria Math" w:hAnsi="Cambria Math"/>
              </w:rPr>
              <m:t>D</m:t>
            </m:r>
          </m:e>
          <m:sub>
            <m:r>
              <w:rPr>
                <w:rFonts w:ascii="Cambria Math" w:hAnsi="Cambria Math"/>
              </w:rPr>
              <m:t>w</m:t>
            </m:r>
          </m:sub>
        </m:sSub>
      </m:oMath>
      <w:r>
        <w:t xml:space="preserve"> = 1.40 for both NSLP and SBP, which is also a conservative estimate.</w:t>
      </w:r>
    </w:p>
    <w:p w14:paraId="12ADDB8E" w14:textId="5E88B67F" w:rsidR="00D90AE2" w:rsidRDefault="00D90AE2" w:rsidP="00566D6F">
      <w:pPr>
        <w:pStyle w:val="P1-StandPara"/>
      </w:pPr>
      <w:r>
        <w:t>Based on the assumptions given above, e</w:t>
      </w:r>
      <w:r w:rsidRPr="00A50C5E">
        <w:t xml:space="preserve">stimates of the levels of precision </w:t>
      </w:r>
      <w:r>
        <w:t xml:space="preserve">to be expected </w:t>
      </w:r>
      <w:r w:rsidRPr="00A50C5E">
        <w:t xml:space="preserve">under </w:t>
      </w:r>
      <w:r>
        <w:t xml:space="preserve">the proposed sample design </w:t>
      </w:r>
      <w:r w:rsidRPr="00A50C5E">
        <w:t xml:space="preserve">are </w:t>
      </w:r>
      <w:r w:rsidRPr="00E6048F">
        <w:t>summarized in Table B2-3. For both NSLP and SBP, 90</w:t>
      </w:r>
      <w:r w:rsidR="00186A08">
        <w:t xml:space="preserve"> percent</w:t>
      </w:r>
      <w:r w:rsidRPr="00E6048F">
        <w:t xml:space="preserve"> confidence bounds around estimates of both gross and net error rates are expected </w:t>
      </w:r>
      <w:r w:rsidRPr="00E6048F">
        <w:lastRenderedPageBreak/>
        <w:t xml:space="preserve">to meet </w:t>
      </w:r>
      <w:r>
        <w:t>or exceed</w:t>
      </w:r>
      <w:r w:rsidR="005305E5">
        <w:t xml:space="preserve"> </w:t>
      </w:r>
      <w:r w:rsidRPr="00E6048F">
        <w:t xml:space="preserve">the </w:t>
      </w:r>
      <w:r w:rsidRPr="00E6048F">
        <w:rPr>
          <w:sz w:val="22"/>
          <w:szCs w:val="22"/>
        </w:rPr>
        <w:t>±</w:t>
      </w:r>
      <w:r w:rsidRPr="00E6048F">
        <w:t xml:space="preserve">2.5 percent IPERA requirement. Estimates of under- and over-payment error rates are similarly expected to meet the </w:t>
      </w:r>
      <w:r w:rsidRPr="00E6048F">
        <w:rPr>
          <w:sz w:val="22"/>
          <w:szCs w:val="22"/>
        </w:rPr>
        <w:t>±</w:t>
      </w:r>
      <w:r w:rsidRPr="00E6048F">
        <w:t>2.5 percent precision level.</w:t>
      </w:r>
    </w:p>
    <w:p w14:paraId="50D7402A" w14:textId="77777777" w:rsidR="00D8277D" w:rsidRDefault="00D8277D" w:rsidP="00D8277D">
      <w:pPr>
        <w:pStyle w:val="TT-TableTitle"/>
      </w:pPr>
      <w:r w:rsidRPr="00E6048F">
        <w:t>Table</w:t>
      </w:r>
      <w:r w:rsidRPr="00E6048F">
        <w:rPr>
          <w:spacing w:val="-3"/>
        </w:rPr>
        <w:t xml:space="preserve"> </w:t>
      </w:r>
      <w:r w:rsidRPr="00E6048F">
        <w:rPr>
          <w:spacing w:val="-1"/>
        </w:rPr>
        <w:t>B2-3.</w:t>
      </w:r>
      <w:r w:rsidRPr="00E6048F">
        <w:rPr>
          <w:spacing w:val="-1"/>
        </w:rPr>
        <w:tab/>
      </w:r>
      <w:r w:rsidRPr="00E6048F">
        <w:t>Expected 90% confidence boun</w:t>
      </w:r>
      <w:r>
        <w:t>ds around error rate estimated for</w:t>
      </w:r>
      <w:r w:rsidRPr="00E6048F">
        <w:t xml:space="preserve"> APEC III</w:t>
      </w:r>
    </w:p>
    <w:p w14:paraId="6CC573B5" w14:textId="77777777" w:rsidR="00D8277D" w:rsidRPr="008579E4" w:rsidRDefault="00D8277D" w:rsidP="00D8277D">
      <w:pPr>
        <w:pStyle w:val="TT-TableTitle"/>
      </w:pPr>
    </w:p>
    <w:tbl>
      <w:tblPr>
        <w:tblStyle w:val="TableWestatStandardFormat"/>
        <w:tblW w:w="5000" w:type="pct"/>
        <w:tblLayout w:type="fixed"/>
        <w:tblLook w:val="04A0" w:firstRow="1" w:lastRow="0" w:firstColumn="1" w:lastColumn="0" w:noHBand="0" w:noVBand="1"/>
      </w:tblPr>
      <w:tblGrid>
        <w:gridCol w:w="1099"/>
        <w:gridCol w:w="2352"/>
        <w:gridCol w:w="1225"/>
        <w:gridCol w:w="1225"/>
        <w:gridCol w:w="1225"/>
        <w:gridCol w:w="1225"/>
        <w:gridCol w:w="1225"/>
      </w:tblGrid>
      <w:tr w:rsidR="00D8277D" w:rsidRPr="008579E4" w14:paraId="69F6BD60" w14:textId="77777777" w:rsidTr="007C3038">
        <w:trPr>
          <w:cnfStyle w:val="100000000000" w:firstRow="1" w:lastRow="0" w:firstColumn="0" w:lastColumn="0" w:oddVBand="0" w:evenVBand="0" w:oddHBand="0" w:evenHBand="0" w:firstRowFirstColumn="0" w:firstRowLastColumn="0" w:lastRowFirstColumn="0" w:lastRowLastColumn="0"/>
          <w:trHeight w:val="20"/>
        </w:trPr>
        <w:tc>
          <w:tcPr>
            <w:tcW w:w="1075" w:type="dxa"/>
            <w:vMerge w:val="restart"/>
            <w:tcBorders>
              <w:bottom w:val="single" w:sz="4" w:space="0" w:color="auto"/>
            </w:tcBorders>
            <w:noWrap/>
            <w:vAlign w:val="bottom"/>
            <w:hideMark/>
          </w:tcPr>
          <w:p w14:paraId="6DF4C888" w14:textId="77777777" w:rsidR="00D8277D" w:rsidRPr="008579E4" w:rsidRDefault="00D8277D" w:rsidP="007C3038">
            <w:pPr>
              <w:pStyle w:val="TH-TableHeading"/>
            </w:pPr>
            <w:r w:rsidRPr="008579E4">
              <w:t> Program</w:t>
            </w:r>
          </w:p>
        </w:tc>
        <w:tc>
          <w:tcPr>
            <w:tcW w:w="2300" w:type="dxa"/>
            <w:vMerge w:val="restart"/>
            <w:tcBorders>
              <w:bottom w:val="single" w:sz="4" w:space="0" w:color="auto"/>
            </w:tcBorders>
            <w:noWrap/>
            <w:vAlign w:val="bottom"/>
            <w:hideMark/>
          </w:tcPr>
          <w:p w14:paraId="62BE0B41" w14:textId="77777777" w:rsidR="00D8277D" w:rsidRPr="008579E4" w:rsidRDefault="00D8277D" w:rsidP="007C3038">
            <w:pPr>
              <w:pStyle w:val="TH-TableHeading"/>
            </w:pPr>
            <w:r w:rsidRPr="008579E4">
              <w:t> Type of improper</w:t>
            </w:r>
            <w:r w:rsidRPr="008579E4">
              <w:br/>
              <w:t>payment rate</w:t>
            </w:r>
          </w:p>
        </w:tc>
        <w:tc>
          <w:tcPr>
            <w:tcW w:w="3591" w:type="dxa"/>
            <w:gridSpan w:val="3"/>
            <w:tcBorders>
              <w:bottom w:val="single" w:sz="4" w:space="0" w:color="auto"/>
            </w:tcBorders>
            <w:noWrap/>
            <w:vAlign w:val="bottom"/>
            <w:hideMark/>
          </w:tcPr>
          <w:p w14:paraId="2FC2B493" w14:textId="77777777" w:rsidR="00D8277D" w:rsidRPr="008579E4" w:rsidRDefault="00D8277D" w:rsidP="007C3038">
            <w:pPr>
              <w:pStyle w:val="TH-TableHeading"/>
            </w:pPr>
            <w:r w:rsidRPr="008579E4">
              <w:t>Sa</w:t>
            </w:r>
            <w:r w:rsidRPr="007A2357">
              <w:t>mple size (households/student records)</w:t>
            </w:r>
          </w:p>
        </w:tc>
        <w:tc>
          <w:tcPr>
            <w:tcW w:w="1197" w:type="dxa"/>
            <w:vMerge w:val="restart"/>
            <w:tcBorders>
              <w:bottom w:val="single" w:sz="4" w:space="0" w:color="auto"/>
            </w:tcBorders>
            <w:noWrap/>
            <w:vAlign w:val="bottom"/>
            <w:hideMark/>
          </w:tcPr>
          <w:p w14:paraId="5B963DD2" w14:textId="77777777" w:rsidR="00D8277D" w:rsidRPr="008579E4" w:rsidRDefault="00D8277D" w:rsidP="007C3038">
            <w:pPr>
              <w:pStyle w:val="TH-TableHeading"/>
            </w:pPr>
            <w:r w:rsidRPr="008579E4">
              <w:t> Standard error (SE)</w:t>
            </w:r>
            <w:r w:rsidRPr="008A6D63">
              <w:rPr>
                <w:vertAlign w:val="superscript"/>
              </w:rPr>
              <w:t>1</w:t>
            </w:r>
          </w:p>
        </w:tc>
        <w:tc>
          <w:tcPr>
            <w:tcW w:w="1197" w:type="dxa"/>
            <w:vMerge w:val="restart"/>
            <w:tcBorders>
              <w:bottom w:val="single" w:sz="4" w:space="0" w:color="auto"/>
            </w:tcBorders>
            <w:noWrap/>
            <w:vAlign w:val="bottom"/>
            <w:hideMark/>
          </w:tcPr>
          <w:p w14:paraId="2DCE9A00" w14:textId="77777777" w:rsidR="00D8277D" w:rsidRPr="008579E4" w:rsidRDefault="00D8277D" w:rsidP="007C3038">
            <w:pPr>
              <w:pStyle w:val="TH-TableHeading"/>
            </w:pPr>
            <w:r w:rsidRPr="008579E4">
              <w:t> 90% conf. bounds</w:t>
            </w:r>
            <w:r w:rsidRPr="008A6D63">
              <w:rPr>
                <w:vertAlign w:val="superscript"/>
              </w:rPr>
              <w:t>1</w:t>
            </w:r>
          </w:p>
        </w:tc>
      </w:tr>
      <w:tr w:rsidR="00D8277D" w:rsidRPr="008579E4" w14:paraId="453A898D" w14:textId="77777777" w:rsidTr="007C3038">
        <w:trPr>
          <w:trHeight w:val="20"/>
        </w:trPr>
        <w:tc>
          <w:tcPr>
            <w:tcW w:w="1075" w:type="dxa"/>
            <w:vMerge/>
            <w:tcBorders>
              <w:top w:val="single" w:sz="4" w:space="0" w:color="auto"/>
              <w:bottom w:val="single" w:sz="4" w:space="0" w:color="auto"/>
            </w:tcBorders>
            <w:shd w:val="clear" w:color="auto" w:fill="AFBED7"/>
            <w:hideMark/>
          </w:tcPr>
          <w:p w14:paraId="39CC01BD" w14:textId="77777777" w:rsidR="00D8277D" w:rsidRPr="008579E4" w:rsidRDefault="00D8277D" w:rsidP="007C3038">
            <w:pPr>
              <w:pStyle w:val="TH-TableHeading"/>
            </w:pPr>
          </w:p>
        </w:tc>
        <w:tc>
          <w:tcPr>
            <w:tcW w:w="2300" w:type="dxa"/>
            <w:vMerge/>
            <w:tcBorders>
              <w:top w:val="single" w:sz="4" w:space="0" w:color="auto"/>
              <w:bottom w:val="single" w:sz="4" w:space="0" w:color="auto"/>
            </w:tcBorders>
            <w:shd w:val="clear" w:color="auto" w:fill="AFBED7"/>
            <w:hideMark/>
          </w:tcPr>
          <w:p w14:paraId="626B7EC8" w14:textId="77777777" w:rsidR="00D8277D" w:rsidRPr="008579E4" w:rsidRDefault="00D8277D" w:rsidP="007C3038">
            <w:pPr>
              <w:pStyle w:val="TH-TableHeading"/>
            </w:pPr>
          </w:p>
        </w:tc>
        <w:tc>
          <w:tcPr>
            <w:tcW w:w="1197" w:type="dxa"/>
            <w:tcBorders>
              <w:top w:val="single" w:sz="4" w:space="0" w:color="auto"/>
              <w:bottom w:val="single" w:sz="4" w:space="0" w:color="auto"/>
            </w:tcBorders>
            <w:shd w:val="clear" w:color="auto" w:fill="AFBED7"/>
            <w:hideMark/>
          </w:tcPr>
          <w:p w14:paraId="50EBB7AA" w14:textId="77777777" w:rsidR="00D8277D" w:rsidRPr="008579E4" w:rsidRDefault="00D8277D" w:rsidP="007C3038">
            <w:pPr>
              <w:pStyle w:val="TH-TableHeading"/>
            </w:pPr>
            <w:r w:rsidRPr="008579E4">
              <w:t>Non-CEP schools</w:t>
            </w:r>
          </w:p>
        </w:tc>
        <w:tc>
          <w:tcPr>
            <w:tcW w:w="1197" w:type="dxa"/>
            <w:tcBorders>
              <w:top w:val="single" w:sz="4" w:space="0" w:color="auto"/>
              <w:bottom w:val="single" w:sz="4" w:space="0" w:color="auto"/>
            </w:tcBorders>
            <w:shd w:val="clear" w:color="auto" w:fill="AFBED7"/>
            <w:hideMark/>
          </w:tcPr>
          <w:p w14:paraId="7DF1DC01" w14:textId="77777777" w:rsidR="00D8277D" w:rsidRPr="008579E4" w:rsidRDefault="00D8277D" w:rsidP="007C3038">
            <w:pPr>
              <w:pStyle w:val="TH-TableHeading"/>
            </w:pPr>
            <w:r w:rsidRPr="008579E4">
              <w:t>CEP</w:t>
            </w:r>
            <w:r w:rsidRPr="008579E4">
              <w:br/>
              <w:t>schools</w:t>
            </w:r>
          </w:p>
        </w:tc>
        <w:tc>
          <w:tcPr>
            <w:tcW w:w="1197" w:type="dxa"/>
            <w:tcBorders>
              <w:top w:val="single" w:sz="4" w:space="0" w:color="auto"/>
              <w:bottom w:val="single" w:sz="4" w:space="0" w:color="auto"/>
            </w:tcBorders>
            <w:shd w:val="clear" w:color="auto" w:fill="AFBED7"/>
            <w:vAlign w:val="bottom"/>
            <w:hideMark/>
          </w:tcPr>
          <w:p w14:paraId="42921E1B" w14:textId="77777777" w:rsidR="00D8277D" w:rsidRPr="008579E4" w:rsidRDefault="00D8277D" w:rsidP="007C3038">
            <w:pPr>
              <w:pStyle w:val="TH-TableHeading"/>
            </w:pPr>
            <w:r w:rsidRPr="008579E4">
              <w:t>All schools</w:t>
            </w:r>
          </w:p>
        </w:tc>
        <w:tc>
          <w:tcPr>
            <w:tcW w:w="1197" w:type="dxa"/>
            <w:vMerge/>
            <w:tcBorders>
              <w:top w:val="single" w:sz="4" w:space="0" w:color="auto"/>
              <w:bottom w:val="single" w:sz="4" w:space="0" w:color="auto"/>
            </w:tcBorders>
            <w:shd w:val="clear" w:color="auto" w:fill="AFBED7"/>
            <w:hideMark/>
          </w:tcPr>
          <w:p w14:paraId="7A99C281" w14:textId="77777777" w:rsidR="00D8277D" w:rsidRPr="008579E4" w:rsidRDefault="00D8277D" w:rsidP="007C3038">
            <w:pPr>
              <w:pStyle w:val="TH-TableHeading"/>
            </w:pPr>
          </w:p>
        </w:tc>
        <w:tc>
          <w:tcPr>
            <w:tcW w:w="1197" w:type="dxa"/>
            <w:vMerge/>
            <w:tcBorders>
              <w:top w:val="single" w:sz="4" w:space="0" w:color="auto"/>
              <w:bottom w:val="single" w:sz="4" w:space="0" w:color="auto"/>
            </w:tcBorders>
            <w:shd w:val="clear" w:color="auto" w:fill="AFBED7"/>
            <w:hideMark/>
          </w:tcPr>
          <w:p w14:paraId="77C7C0C0" w14:textId="77777777" w:rsidR="00D8277D" w:rsidRPr="008579E4" w:rsidRDefault="00D8277D" w:rsidP="007C3038">
            <w:pPr>
              <w:pStyle w:val="TH-TableHeading"/>
              <w:rPr>
                <w:position w:val="6"/>
              </w:rPr>
            </w:pPr>
          </w:p>
        </w:tc>
      </w:tr>
      <w:tr w:rsidR="00D8277D" w:rsidRPr="008579E4" w14:paraId="63FA2BE8" w14:textId="77777777" w:rsidTr="007C3038">
        <w:trPr>
          <w:trHeight w:val="20"/>
        </w:trPr>
        <w:tc>
          <w:tcPr>
            <w:tcW w:w="1075" w:type="dxa"/>
            <w:tcBorders>
              <w:top w:val="single" w:sz="4" w:space="0" w:color="auto"/>
            </w:tcBorders>
            <w:noWrap/>
            <w:hideMark/>
          </w:tcPr>
          <w:p w14:paraId="71BBAD2D" w14:textId="77777777" w:rsidR="00D8277D" w:rsidRPr="008579E4" w:rsidRDefault="00D8277D" w:rsidP="007C3038">
            <w:pPr>
              <w:pStyle w:val="TX-TableText"/>
            </w:pPr>
            <w:r w:rsidRPr="008579E4">
              <w:t>NSLP</w:t>
            </w:r>
          </w:p>
        </w:tc>
        <w:tc>
          <w:tcPr>
            <w:tcW w:w="2300" w:type="dxa"/>
            <w:tcBorders>
              <w:top w:val="single" w:sz="4" w:space="0" w:color="auto"/>
            </w:tcBorders>
            <w:noWrap/>
            <w:hideMark/>
          </w:tcPr>
          <w:p w14:paraId="47EF9813" w14:textId="77777777" w:rsidR="00D8277D" w:rsidRPr="008579E4" w:rsidRDefault="00D8277D" w:rsidP="007C3038">
            <w:pPr>
              <w:pStyle w:val="TX-TableText"/>
            </w:pPr>
            <w:r w:rsidRPr="008579E4">
              <w:t>Gross Improper Payment</w:t>
            </w:r>
          </w:p>
        </w:tc>
        <w:tc>
          <w:tcPr>
            <w:tcW w:w="1197" w:type="dxa"/>
            <w:tcBorders>
              <w:top w:val="single" w:sz="4" w:space="0" w:color="auto"/>
            </w:tcBorders>
            <w:noWrap/>
            <w:hideMark/>
          </w:tcPr>
          <w:p w14:paraId="4DA9ED23" w14:textId="77777777" w:rsidR="00D8277D" w:rsidRPr="008579E4" w:rsidRDefault="00D8277D" w:rsidP="007C3038">
            <w:pPr>
              <w:pStyle w:val="TX-TableText"/>
              <w:tabs>
                <w:tab w:val="decimal" w:pos="776"/>
              </w:tabs>
            </w:pPr>
            <w:r w:rsidRPr="008579E4">
              <w:rPr>
                <w:bCs/>
              </w:rPr>
              <w:t>5,520</w:t>
            </w:r>
          </w:p>
        </w:tc>
        <w:tc>
          <w:tcPr>
            <w:tcW w:w="1197" w:type="dxa"/>
            <w:tcBorders>
              <w:top w:val="single" w:sz="4" w:space="0" w:color="auto"/>
            </w:tcBorders>
            <w:noWrap/>
            <w:hideMark/>
          </w:tcPr>
          <w:p w14:paraId="0AFB488F" w14:textId="77777777" w:rsidR="00D8277D" w:rsidRPr="008579E4" w:rsidRDefault="00D8277D" w:rsidP="007C3038">
            <w:pPr>
              <w:pStyle w:val="TX-TableText"/>
              <w:tabs>
                <w:tab w:val="decimal" w:pos="714"/>
              </w:tabs>
            </w:pPr>
            <w:r w:rsidRPr="008579E4">
              <w:rPr>
                <w:bCs/>
              </w:rPr>
              <w:t>3,630</w:t>
            </w:r>
          </w:p>
        </w:tc>
        <w:tc>
          <w:tcPr>
            <w:tcW w:w="1197" w:type="dxa"/>
            <w:tcBorders>
              <w:top w:val="single" w:sz="4" w:space="0" w:color="auto"/>
            </w:tcBorders>
            <w:noWrap/>
            <w:hideMark/>
          </w:tcPr>
          <w:p w14:paraId="651B5E8E" w14:textId="77777777" w:rsidR="00D8277D" w:rsidRPr="008579E4" w:rsidRDefault="00D8277D" w:rsidP="007C3038">
            <w:pPr>
              <w:pStyle w:val="TX-TableText"/>
              <w:tabs>
                <w:tab w:val="decimal" w:pos="726"/>
              </w:tabs>
            </w:pPr>
            <w:r w:rsidRPr="008579E4">
              <w:rPr>
                <w:bCs/>
              </w:rPr>
              <w:t>9,150</w:t>
            </w:r>
          </w:p>
        </w:tc>
        <w:tc>
          <w:tcPr>
            <w:tcW w:w="1197" w:type="dxa"/>
            <w:tcBorders>
              <w:top w:val="single" w:sz="4" w:space="0" w:color="auto"/>
            </w:tcBorders>
            <w:noWrap/>
            <w:hideMark/>
          </w:tcPr>
          <w:p w14:paraId="660747CC" w14:textId="77777777" w:rsidR="00D8277D" w:rsidRPr="008579E4" w:rsidRDefault="00D8277D" w:rsidP="007C3038">
            <w:pPr>
              <w:pStyle w:val="TX-TableText"/>
              <w:tabs>
                <w:tab w:val="decimal" w:pos="305"/>
              </w:tabs>
            </w:pPr>
            <w:r w:rsidRPr="008579E4">
              <w:rPr>
                <w:bCs/>
              </w:rPr>
              <w:t>0.98%</w:t>
            </w:r>
          </w:p>
        </w:tc>
        <w:tc>
          <w:tcPr>
            <w:tcW w:w="1197" w:type="dxa"/>
            <w:tcBorders>
              <w:top w:val="single" w:sz="4" w:space="0" w:color="auto"/>
            </w:tcBorders>
            <w:noWrap/>
            <w:hideMark/>
          </w:tcPr>
          <w:p w14:paraId="405A51A0" w14:textId="77777777" w:rsidR="00D8277D" w:rsidRPr="008579E4" w:rsidRDefault="00D8277D" w:rsidP="007C3038">
            <w:pPr>
              <w:pStyle w:val="TX-TableText"/>
              <w:tabs>
                <w:tab w:val="decimal" w:pos="363"/>
              </w:tabs>
            </w:pPr>
            <w:r w:rsidRPr="008579E4">
              <w:rPr>
                <w:bCs/>
              </w:rPr>
              <w:t>±1.61%</w:t>
            </w:r>
          </w:p>
        </w:tc>
      </w:tr>
      <w:tr w:rsidR="00D8277D" w:rsidRPr="008579E4" w14:paraId="246B3478" w14:textId="77777777" w:rsidTr="007C3038">
        <w:trPr>
          <w:trHeight w:val="20"/>
        </w:trPr>
        <w:tc>
          <w:tcPr>
            <w:tcW w:w="1075" w:type="dxa"/>
            <w:noWrap/>
            <w:hideMark/>
          </w:tcPr>
          <w:p w14:paraId="0F7359BF" w14:textId="77777777" w:rsidR="00D8277D" w:rsidRPr="008579E4" w:rsidRDefault="00D8277D" w:rsidP="007C3038">
            <w:pPr>
              <w:pStyle w:val="TX-TableText"/>
            </w:pPr>
          </w:p>
        </w:tc>
        <w:tc>
          <w:tcPr>
            <w:tcW w:w="2300" w:type="dxa"/>
            <w:noWrap/>
            <w:hideMark/>
          </w:tcPr>
          <w:p w14:paraId="5746AE88" w14:textId="77777777" w:rsidR="00D8277D" w:rsidRPr="008579E4" w:rsidRDefault="00D8277D" w:rsidP="007C3038">
            <w:pPr>
              <w:pStyle w:val="TX-TableText"/>
            </w:pPr>
            <w:r w:rsidRPr="008579E4">
              <w:t>Overpayment</w:t>
            </w:r>
          </w:p>
        </w:tc>
        <w:tc>
          <w:tcPr>
            <w:tcW w:w="1197" w:type="dxa"/>
            <w:noWrap/>
            <w:hideMark/>
          </w:tcPr>
          <w:p w14:paraId="4DA26F72" w14:textId="77777777" w:rsidR="00D8277D" w:rsidRPr="008579E4" w:rsidRDefault="00D8277D" w:rsidP="007C3038">
            <w:pPr>
              <w:pStyle w:val="TX-TableText"/>
              <w:tabs>
                <w:tab w:val="decimal" w:pos="776"/>
              </w:tabs>
            </w:pPr>
            <w:r w:rsidRPr="008579E4">
              <w:t>5,520</w:t>
            </w:r>
          </w:p>
        </w:tc>
        <w:tc>
          <w:tcPr>
            <w:tcW w:w="1197" w:type="dxa"/>
            <w:noWrap/>
            <w:hideMark/>
          </w:tcPr>
          <w:p w14:paraId="6B9A52A9" w14:textId="77777777" w:rsidR="00D8277D" w:rsidRPr="008579E4" w:rsidRDefault="00D8277D" w:rsidP="007C3038">
            <w:pPr>
              <w:pStyle w:val="TX-TableText"/>
              <w:tabs>
                <w:tab w:val="decimal" w:pos="714"/>
              </w:tabs>
            </w:pPr>
            <w:r w:rsidRPr="008579E4">
              <w:t>3,630</w:t>
            </w:r>
          </w:p>
        </w:tc>
        <w:tc>
          <w:tcPr>
            <w:tcW w:w="1197" w:type="dxa"/>
            <w:noWrap/>
            <w:hideMark/>
          </w:tcPr>
          <w:p w14:paraId="1A620CF7" w14:textId="77777777" w:rsidR="00D8277D" w:rsidRPr="008579E4" w:rsidRDefault="00D8277D" w:rsidP="007C3038">
            <w:pPr>
              <w:pStyle w:val="TX-TableText"/>
              <w:tabs>
                <w:tab w:val="decimal" w:pos="726"/>
              </w:tabs>
            </w:pPr>
            <w:r w:rsidRPr="008579E4">
              <w:t>9,150</w:t>
            </w:r>
          </w:p>
        </w:tc>
        <w:tc>
          <w:tcPr>
            <w:tcW w:w="1197" w:type="dxa"/>
            <w:noWrap/>
            <w:hideMark/>
          </w:tcPr>
          <w:p w14:paraId="3E98250A" w14:textId="77777777" w:rsidR="00D8277D" w:rsidRPr="008579E4" w:rsidRDefault="00D8277D" w:rsidP="007C3038">
            <w:pPr>
              <w:pStyle w:val="TX-TableText"/>
              <w:tabs>
                <w:tab w:val="decimal" w:pos="305"/>
              </w:tabs>
            </w:pPr>
            <w:r w:rsidRPr="008579E4">
              <w:t>0.83%</w:t>
            </w:r>
          </w:p>
        </w:tc>
        <w:tc>
          <w:tcPr>
            <w:tcW w:w="1197" w:type="dxa"/>
            <w:noWrap/>
            <w:hideMark/>
          </w:tcPr>
          <w:p w14:paraId="6DD1CB25" w14:textId="77777777" w:rsidR="00D8277D" w:rsidRPr="008579E4" w:rsidRDefault="00D8277D" w:rsidP="007C3038">
            <w:pPr>
              <w:pStyle w:val="TX-TableText"/>
              <w:tabs>
                <w:tab w:val="decimal" w:pos="363"/>
              </w:tabs>
            </w:pPr>
            <w:r w:rsidRPr="008579E4">
              <w:t>±1.36%</w:t>
            </w:r>
          </w:p>
        </w:tc>
      </w:tr>
      <w:tr w:rsidR="00D8277D" w:rsidRPr="008579E4" w14:paraId="58C950D9" w14:textId="77777777" w:rsidTr="007C3038">
        <w:trPr>
          <w:trHeight w:val="20"/>
        </w:trPr>
        <w:tc>
          <w:tcPr>
            <w:tcW w:w="1075" w:type="dxa"/>
            <w:noWrap/>
            <w:hideMark/>
          </w:tcPr>
          <w:p w14:paraId="3FC893F8" w14:textId="77777777" w:rsidR="00D8277D" w:rsidRPr="008579E4" w:rsidRDefault="00D8277D" w:rsidP="007C3038">
            <w:pPr>
              <w:pStyle w:val="TX-TableText"/>
            </w:pPr>
          </w:p>
        </w:tc>
        <w:tc>
          <w:tcPr>
            <w:tcW w:w="2300" w:type="dxa"/>
            <w:noWrap/>
            <w:hideMark/>
          </w:tcPr>
          <w:p w14:paraId="0CE169AA" w14:textId="77777777" w:rsidR="00D8277D" w:rsidRPr="008579E4" w:rsidRDefault="00D8277D" w:rsidP="007C3038">
            <w:pPr>
              <w:pStyle w:val="TX-TableText"/>
            </w:pPr>
            <w:r w:rsidRPr="008579E4">
              <w:t>Underpayment</w:t>
            </w:r>
          </w:p>
        </w:tc>
        <w:tc>
          <w:tcPr>
            <w:tcW w:w="1197" w:type="dxa"/>
            <w:noWrap/>
            <w:hideMark/>
          </w:tcPr>
          <w:p w14:paraId="3E9F46B2" w14:textId="77777777" w:rsidR="00D8277D" w:rsidRPr="008579E4" w:rsidRDefault="00D8277D" w:rsidP="007C3038">
            <w:pPr>
              <w:pStyle w:val="TX-TableText"/>
              <w:tabs>
                <w:tab w:val="decimal" w:pos="776"/>
              </w:tabs>
            </w:pPr>
            <w:r w:rsidRPr="008579E4">
              <w:t>5,520</w:t>
            </w:r>
          </w:p>
        </w:tc>
        <w:tc>
          <w:tcPr>
            <w:tcW w:w="1197" w:type="dxa"/>
            <w:noWrap/>
            <w:hideMark/>
          </w:tcPr>
          <w:p w14:paraId="7F67ED62" w14:textId="77777777" w:rsidR="00D8277D" w:rsidRPr="008579E4" w:rsidRDefault="00D8277D" w:rsidP="007C3038">
            <w:pPr>
              <w:pStyle w:val="TX-TableText"/>
              <w:tabs>
                <w:tab w:val="decimal" w:pos="714"/>
              </w:tabs>
            </w:pPr>
            <w:r w:rsidRPr="008579E4">
              <w:t>3,630</w:t>
            </w:r>
          </w:p>
        </w:tc>
        <w:tc>
          <w:tcPr>
            <w:tcW w:w="1197" w:type="dxa"/>
            <w:noWrap/>
            <w:hideMark/>
          </w:tcPr>
          <w:p w14:paraId="510AB6D2" w14:textId="77777777" w:rsidR="00D8277D" w:rsidRPr="008579E4" w:rsidRDefault="00D8277D" w:rsidP="007C3038">
            <w:pPr>
              <w:pStyle w:val="TX-TableText"/>
              <w:tabs>
                <w:tab w:val="decimal" w:pos="726"/>
              </w:tabs>
            </w:pPr>
            <w:r w:rsidRPr="008579E4">
              <w:t>9,150</w:t>
            </w:r>
          </w:p>
        </w:tc>
        <w:tc>
          <w:tcPr>
            <w:tcW w:w="1197" w:type="dxa"/>
            <w:noWrap/>
            <w:hideMark/>
          </w:tcPr>
          <w:p w14:paraId="2314779F" w14:textId="77777777" w:rsidR="00D8277D" w:rsidRPr="008579E4" w:rsidRDefault="00D8277D" w:rsidP="007C3038">
            <w:pPr>
              <w:pStyle w:val="TX-TableText"/>
              <w:tabs>
                <w:tab w:val="decimal" w:pos="305"/>
              </w:tabs>
            </w:pPr>
            <w:r w:rsidRPr="008579E4">
              <w:t>0.45%</w:t>
            </w:r>
          </w:p>
        </w:tc>
        <w:tc>
          <w:tcPr>
            <w:tcW w:w="1197" w:type="dxa"/>
            <w:noWrap/>
            <w:hideMark/>
          </w:tcPr>
          <w:p w14:paraId="633DE6BA" w14:textId="77777777" w:rsidR="00D8277D" w:rsidRPr="008579E4" w:rsidRDefault="00D8277D" w:rsidP="007C3038">
            <w:pPr>
              <w:pStyle w:val="TX-TableText"/>
              <w:tabs>
                <w:tab w:val="decimal" w:pos="363"/>
              </w:tabs>
            </w:pPr>
            <w:r w:rsidRPr="008579E4">
              <w:t>±0.74%</w:t>
            </w:r>
          </w:p>
        </w:tc>
      </w:tr>
      <w:tr w:rsidR="00D8277D" w:rsidRPr="008579E4" w14:paraId="211B5FFD" w14:textId="77777777" w:rsidTr="007C3038">
        <w:trPr>
          <w:trHeight w:val="20"/>
        </w:trPr>
        <w:tc>
          <w:tcPr>
            <w:tcW w:w="1075" w:type="dxa"/>
            <w:noWrap/>
            <w:hideMark/>
          </w:tcPr>
          <w:p w14:paraId="3E2F8886" w14:textId="77777777" w:rsidR="00D8277D" w:rsidRPr="008579E4" w:rsidRDefault="00D8277D" w:rsidP="007C3038">
            <w:pPr>
              <w:pStyle w:val="TX-TableText"/>
            </w:pPr>
          </w:p>
        </w:tc>
        <w:tc>
          <w:tcPr>
            <w:tcW w:w="2300" w:type="dxa"/>
            <w:noWrap/>
            <w:hideMark/>
          </w:tcPr>
          <w:p w14:paraId="4095418A" w14:textId="77777777" w:rsidR="00D8277D" w:rsidRPr="008579E4" w:rsidRDefault="00D8277D" w:rsidP="007C3038">
            <w:pPr>
              <w:pStyle w:val="TX-TableText"/>
            </w:pPr>
            <w:r w:rsidRPr="008579E4">
              <w:t>Net Improper Payment</w:t>
            </w:r>
          </w:p>
        </w:tc>
        <w:tc>
          <w:tcPr>
            <w:tcW w:w="1197" w:type="dxa"/>
            <w:noWrap/>
            <w:hideMark/>
          </w:tcPr>
          <w:p w14:paraId="39002233" w14:textId="77777777" w:rsidR="00D8277D" w:rsidRPr="008579E4" w:rsidRDefault="00D8277D" w:rsidP="007C3038">
            <w:pPr>
              <w:pStyle w:val="TX-TableText"/>
              <w:tabs>
                <w:tab w:val="decimal" w:pos="776"/>
              </w:tabs>
            </w:pPr>
            <w:r w:rsidRPr="008579E4">
              <w:t>5,520</w:t>
            </w:r>
          </w:p>
        </w:tc>
        <w:tc>
          <w:tcPr>
            <w:tcW w:w="1197" w:type="dxa"/>
            <w:noWrap/>
            <w:hideMark/>
          </w:tcPr>
          <w:p w14:paraId="552CDAEA" w14:textId="77777777" w:rsidR="00D8277D" w:rsidRPr="008579E4" w:rsidRDefault="00D8277D" w:rsidP="007C3038">
            <w:pPr>
              <w:pStyle w:val="TX-TableText"/>
              <w:tabs>
                <w:tab w:val="decimal" w:pos="714"/>
              </w:tabs>
            </w:pPr>
            <w:r w:rsidRPr="008579E4">
              <w:t>3,630</w:t>
            </w:r>
          </w:p>
        </w:tc>
        <w:tc>
          <w:tcPr>
            <w:tcW w:w="1197" w:type="dxa"/>
            <w:noWrap/>
            <w:hideMark/>
          </w:tcPr>
          <w:p w14:paraId="34D71B6D" w14:textId="77777777" w:rsidR="00D8277D" w:rsidRPr="008579E4" w:rsidRDefault="00D8277D" w:rsidP="007C3038">
            <w:pPr>
              <w:pStyle w:val="TX-TableText"/>
              <w:tabs>
                <w:tab w:val="decimal" w:pos="726"/>
              </w:tabs>
            </w:pPr>
            <w:r w:rsidRPr="008579E4">
              <w:t>9,150</w:t>
            </w:r>
          </w:p>
        </w:tc>
        <w:tc>
          <w:tcPr>
            <w:tcW w:w="1197" w:type="dxa"/>
            <w:noWrap/>
            <w:hideMark/>
          </w:tcPr>
          <w:p w14:paraId="3B43E4F6" w14:textId="77777777" w:rsidR="00D8277D" w:rsidRPr="008579E4" w:rsidRDefault="00D8277D" w:rsidP="007C3038">
            <w:pPr>
              <w:pStyle w:val="TX-TableText"/>
              <w:tabs>
                <w:tab w:val="decimal" w:pos="305"/>
              </w:tabs>
            </w:pPr>
            <w:r w:rsidRPr="008579E4">
              <w:t>0.91%</w:t>
            </w:r>
          </w:p>
        </w:tc>
        <w:tc>
          <w:tcPr>
            <w:tcW w:w="1197" w:type="dxa"/>
            <w:noWrap/>
            <w:hideMark/>
          </w:tcPr>
          <w:p w14:paraId="36B38C55" w14:textId="77777777" w:rsidR="00D8277D" w:rsidRPr="008579E4" w:rsidRDefault="00D8277D" w:rsidP="007C3038">
            <w:pPr>
              <w:pStyle w:val="TX-TableText"/>
              <w:tabs>
                <w:tab w:val="decimal" w:pos="363"/>
              </w:tabs>
            </w:pPr>
            <w:r w:rsidRPr="008579E4">
              <w:t>±1.49%</w:t>
            </w:r>
          </w:p>
        </w:tc>
      </w:tr>
      <w:tr w:rsidR="00D8277D" w:rsidRPr="008579E4" w14:paraId="4858C0B0" w14:textId="77777777" w:rsidTr="007C3038">
        <w:trPr>
          <w:trHeight w:val="20"/>
        </w:trPr>
        <w:tc>
          <w:tcPr>
            <w:tcW w:w="1075" w:type="dxa"/>
            <w:noWrap/>
            <w:hideMark/>
          </w:tcPr>
          <w:p w14:paraId="323E2ED9" w14:textId="77777777" w:rsidR="00D8277D" w:rsidRPr="008579E4" w:rsidRDefault="00D8277D" w:rsidP="007C3038">
            <w:pPr>
              <w:pStyle w:val="TX-TableText"/>
              <w:rPr>
                <w:position w:val="6"/>
              </w:rPr>
            </w:pPr>
            <w:r w:rsidRPr="008579E4">
              <w:t>SBP</w:t>
            </w:r>
            <w:r w:rsidRPr="008579E4">
              <w:rPr>
                <w:position w:val="6"/>
                <w:vertAlign w:val="superscript"/>
              </w:rPr>
              <w:t>2</w:t>
            </w:r>
          </w:p>
        </w:tc>
        <w:tc>
          <w:tcPr>
            <w:tcW w:w="2300" w:type="dxa"/>
            <w:noWrap/>
            <w:hideMark/>
          </w:tcPr>
          <w:p w14:paraId="16980EAE" w14:textId="77777777" w:rsidR="00D8277D" w:rsidRPr="008579E4" w:rsidRDefault="00D8277D" w:rsidP="007C3038">
            <w:pPr>
              <w:pStyle w:val="TX-TableText"/>
            </w:pPr>
            <w:r w:rsidRPr="008579E4">
              <w:t>Gross Improper Payment</w:t>
            </w:r>
          </w:p>
        </w:tc>
        <w:tc>
          <w:tcPr>
            <w:tcW w:w="1197" w:type="dxa"/>
            <w:noWrap/>
            <w:hideMark/>
          </w:tcPr>
          <w:p w14:paraId="6277E680" w14:textId="77777777" w:rsidR="00D8277D" w:rsidRPr="008579E4" w:rsidRDefault="00D8277D" w:rsidP="007C3038">
            <w:pPr>
              <w:pStyle w:val="TX-TableText"/>
              <w:tabs>
                <w:tab w:val="decimal" w:pos="776"/>
              </w:tabs>
            </w:pPr>
          </w:p>
        </w:tc>
        <w:tc>
          <w:tcPr>
            <w:tcW w:w="1197" w:type="dxa"/>
            <w:noWrap/>
            <w:hideMark/>
          </w:tcPr>
          <w:p w14:paraId="2CD2ACAB" w14:textId="77777777" w:rsidR="00D8277D" w:rsidRPr="008579E4" w:rsidRDefault="00D8277D" w:rsidP="007C3038">
            <w:pPr>
              <w:pStyle w:val="TX-TableText"/>
              <w:tabs>
                <w:tab w:val="decimal" w:pos="714"/>
              </w:tabs>
            </w:pPr>
          </w:p>
        </w:tc>
        <w:tc>
          <w:tcPr>
            <w:tcW w:w="1197" w:type="dxa"/>
            <w:noWrap/>
            <w:hideMark/>
          </w:tcPr>
          <w:p w14:paraId="2936F2BD" w14:textId="77777777" w:rsidR="00D8277D" w:rsidRPr="008579E4" w:rsidRDefault="00D8277D" w:rsidP="007C3038">
            <w:pPr>
              <w:pStyle w:val="TX-TableText"/>
              <w:tabs>
                <w:tab w:val="decimal" w:pos="726"/>
              </w:tabs>
            </w:pPr>
          </w:p>
        </w:tc>
        <w:tc>
          <w:tcPr>
            <w:tcW w:w="1197" w:type="dxa"/>
            <w:noWrap/>
            <w:hideMark/>
          </w:tcPr>
          <w:p w14:paraId="3C0B159A" w14:textId="77777777" w:rsidR="00D8277D" w:rsidRPr="008579E4" w:rsidRDefault="00D8277D" w:rsidP="007C3038">
            <w:pPr>
              <w:pStyle w:val="TX-TableText"/>
              <w:tabs>
                <w:tab w:val="decimal" w:pos="305"/>
              </w:tabs>
            </w:pPr>
          </w:p>
        </w:tc>
        <w:tc>
          <w:tcPr>
            <w:tcW w:w="1197" w:type="dxa"/>
            <w:noWrap/>
            <w:hideMark/>
          </w:tcPr>
          <w:p w14:paraId="10487FBA" w14:textId="77777777" w:rsidR="00D8277D" w:rsidRPr="008579E4" w:rsidRDefault="00D8277D" w:rsidP="007C3038">
            <w:pPr>
              <w:pStyle w:val="TX-TableText"/>
              <w:tabs>
                <w:tab w:val="decimal" w:pos="363"/>
              </w:tabs>
            </w:pPr>
          </w:p>
        </w:tc>
      </w:tr>
      <w:tr w:rsidR="00D8277D" w:rsidRPr="008579E4" w14:paraId="7AB87339" w14:textId="77777777" w:rsidTr="007C3038">
        <w:trPr>
          <w:trHeight w:val="20"/>
        </w:trPr>
        <w:tc>
          <w:tcPr>
            <w:tcW w:w="1075" w:type="dxa"/>
            <w:noWrap/>
            <w:hideMark/>
          </w:tcPr>
          <w:p w14:paraId="0FE4E9AC" w14:textId="77777777" w:rsidR="00D8277D" w:rsidRPr="008579E4" w:rsidRDefault="00D8277D" w:rsidP="007C3038">
            <w:pPr>
              <w:pStyle w:val="TX-TableText"/>
            </w:pPr>
          </w:p>
        </w:tc>
        <w:tc>
          <w:tcPr>
            <w:tcW w:w="2300" w:type="dxa"/>
            <w:noWrap/>
            <w:hideMark/>
          </w:tcPr>
          <w:p w14:paraId="5BE514C5" w14:textId="77777777" w:rsidR="00D8277D" w:rsidRPr="008579E4" w:rsidRDefault="00D8277D" w:rsidP="007C3038">
            <w:pPr>
              <w:pStyle w:val="TX-TableText"/>
            </w:pPr>
            <w:r w:rsidRPr="008579E4">
              <w:t>Overpayment</w:t>
            </w:r>
          </w:p>
        </w:tc>
        <w:tc>
          <w:tcPr>
            <w:tcW w:w="1197" w:type="dxa"/>
            <w:noWrap/>
            <w:hideMark/>
          </w:tcPr>
          <w:p w14:paraId="7E5AA6A0" w14:textId="77777777" w:rsidR="00D8277D" w:rsidRPr="008579E4" w:rsidRDefault="00D8277D" w:rsidP="007C3038">
            <w:pPr>
              <w:pStyle w:val="TX-TableText"/>
              <w:tabs>
                <w:tab w:val="decimal" w:pos="776"/>
              </w:tabs>
            </w:pPr>
            <w:r w:rsidRPr="008579E4">
              <w:rPr>
                <w:bCs/>
              </w:rPr>
              <w:t>2,484</w:t>
            </w:r>
          </w:p>
        </w:tc>
        <w:tc>
          <w:tcPr>
            <w:tcW w:w="1197" w:type="dxa"/>
            <w:noWrap/>
            <w:hideMark/>
          </w:tcPr>
          <w:p w14:paraId="76B738E4" w14:textId="77777777" w:rsidR="00D8277D" w:rsidRPr="008579E4" w:rsidRDefault="00D8277D" w:rsidP="007C3038">
            <w:pPr>
              <w:pStyle w:val="TX-TableText"/>
              <w:tabs>
                <w:tab w:val="decimal" w:pos="714"/>
              </w:tabs>
            </w:pPr>
            <w:r w:rsidRPr="008579E4">
              <w:rPr>
                <w:bCs/>
              </w:rPr>
              <w:t>1,634</w:t>
            </w:r>
          </w:p>
        </w:tc>
        <w:tc>
          <w:tcPr>
            <w:tcW w:w="1197" w:type="dxa"/>
            <w:noWrap/>
            <w:hideMark/>
          </w:tcPr>
          <w:p w14:paraId="6E0E6AE7" w14:textId="77777777" w:rsidR="00D8277D" w:rsidRPr="008579E4" w:rsidRDefault="00D8277D" w:rsidP="007C3038">
            <w:pPr>
              <w:pStyle w:val="TX-TableText"/>
              <w:tabs>
                <w:tab w:val="decimal" w:pos="726"/>
              </w:tabs>
            </w:pPr>
            <w:r w:rsidRPr="008579E4">
              <w:rPr>
                <w:bCs/>
              </w:rPr>
              <w:t>4,118</w:t>
            </w:r>
          </w:p>
        </w:tc>
        <w:tc>
          <w:tcPr>
            <w:tcW w:w="1197" w:type="dxa"/>
            <w:noWrap/>
            <w:hideMark/>
          </w:tcPr>
          <w:p w14:paraId="3A28054C" w14:textId="77777777" w:rsidR="00D8277D" w:rsidRPr="008579E4" w:rsidRDefault="00D8277D" w:rsidP="007C3038">
            <w:pPr>
              <w:pStyle w:val="TX-TableText"/>
              <w:tabs>
                <w:tab w:val="decimal" w:pos="305"/>
              </w:tabs>
            </w:pPr>
            <w:r w:rsidRPr="008579E4">
              <w:rPr>
                <w:bCs/>
              </w:rPr>
              <w:t>1.23%</w:t>
            </w:r>
          </w:p>
        </w:tc>
        <w:tc>
          <w:tcPr>
            <w:tcW w:w="1197" w:type="dxa"/>
            <w:noWrap/>
            <w:hideMark/>
          </w:tcPr>
          <w:p w14:paraId="2C60054F" w14:textId="77777777" w:rsidR="00D8277D" w:rsidRPr="008579E4" w:rsidRDefault="00D8277D" w:rsidP="007C3038">
            <w:pPr>
              <w:pStyle w:val="TX-TableText"/>
              <w:tabs>
                <w:tab w:val="decimal" w:pos="363"/>
              </w:tabs>
            </w:pPr>
            <w:r w:rsidRPr="008579E4">
              <w:rPr>
                <w:bCs/>
              </w:rPr>
              <w:t>±2.03%</w:t>
            </w:r>
          </w:p>
        </w:tc>
      </w:tr>
      <w:tr w:rsidR="00D8277D" w:rsidRPr="008579E4" w14:paraId="3FEE7B81" w14:textId="77777777" w:rsidTr="007C3038">
        <w:trPr>
          <w:trHeight w:val="20"/>
        </w:trPr>
        <w:tc>
          <w:tcPr>
            <w:tcW w:w="1075" w:type="dxa"/>
            <w:noWrap/>
            <w:hideMark/>
          </w:tcPr>
          <w:p w14:paraId="11295582" w14:textId="77777777" w:rsidR="00D8277D" w:rsidRPr="008579E4" w:rsidRDefault="00D8277D" w:rsidP="007C3038">
            <w:pPr>
              <w:pStyle w:val="TX-TableText"/>
            </w:pPr>
          </w:p>
        </w:tc>
        <w:tc>
          <w:tcPr>
            <w:tcW w:w="2300" w:type="dxa"/>
            <w:noWrap/>
            <w:hideMark/>
          </w:tcPr>
          <w:p w14:paraId="79C2232E" w14:textId="77777777" w:rsidR="00D8277D" w:rsidRPr="008579E4" w:rsidRDefault="00D8277D" w:rsidP="007C3038">
            <w:pPr>
              <w:pStyle w:val="TX-TableText"/>
            </w:pPr>
            <w:r w:rsidRPr="008579E4">
              <w:t>Underpayment</w:t>
            </w:r>
          </w:p>
        </w:tc>
        <w:tc>
          <w:tcPr>
            <w:tcW w:w="1197" w:type="dxa"/>
            <w:noWrap/>
            <w:hideMark/>
          </w:tcPr>
          <w:p w14:paraId="27CC9C71" w14:textId="77777777" w:rsidR="00D8277D" w:rsidRPr="008579E4" w:rsidRDefault="00D8277D" w:rsidP="007C3038">
            <w:pPr>
              <w:pStyle w:val="TX-TableText"/>
              <w:tabs>
                <w:tab w:val="decimal" w:pos="776"/>
              </w:tabs>
            </w:pPr>
            <w:r w:rsidRPr="008579E4">
              <w:t>2,484</w:t>
            </w:r>
          </w:p>
        </w:tc>
        <w:tc>
          <w:tcPr>
            <w:tcW w:w="1197" w:type="dxa"/>
            <w:noWrap/>
            <w:hideMark/>
          </w:tcPr>
          <w:p w14:paraId="6F9A50EC" w14:textId="77777777" w:rsidR="00D8277D" w:rsidRPr="008579E4" w:rsidRDefault="00D8277D" w:rsidP="007C3038">
            <w:pPr>
              <w:pStyle w:val="TX-TableText"/>
              <w:tabs>
                <w:tab w:val="decimal" w:pos="714"/>
              </w:tabs>
            </w:pPr>
            <w:r w:rsidRPr="008579E4">
              <w:t>1,634</w:t>
            </w:r>
          </w:p>
        </w:tc>
        <w:tc>
          <w:tcPr>
            <w:tcW w:w="1197" w:type="dxa"/>
            <w:noWrap/>
            <w:hideMark/>
          </w:tcPr>
          <w:p w14:paraId="0E1F5E94" w14:textId="77777777" w:rsidR="00D8277D" w:rsidRPr="008579E4" w:rsidRDefault="00D8277D" w:rsidP="007C3038">
            <w:pPr>
              <w:pStyle w:val="TX-TableText"/>
              <w:tabs>
                <w:tab w:val="decimal" w:pos="726"/>
              </w:tabs>
            </w:pPr>
            <w:r w:rsidRPr="008579E4">
              <w:t>4,118</w:t>
            </w:r>
          </w:p>
        </w:tc>
        <w:tc>
          <w:tcPr>
            <w:tcW w:w="1197" w:type="dxa"/>
            <w:noWrap/>
            <w:hideMark/>
          </w:tcPr>
          <w:p w14:paraId="647C1C85" w14:textId="77777777" w:rsidR="00D8277D" w:rsidRPr="008579E4" w:rsidRDefault="00D8277D" w:rsidP="007C3038">
            <w:pPr>
              <w:pStyle w:val="TX-TableText"/>
              <w:tabs>
                <w:tab w:val="decimal" w:pos="305"/>
              </w:tabs>
            </w:pPr>
            <w:r w:rsidRPr="008579E4">
              <w:t>0.99%</w:t>
            </w:r>
          </w:p>
        </w:tc>
        <w:tc>
          <w:tcPr>
            <w:tcW w:w="1197" w:type="dxa"/>
            <w:noWrap/>
            <w:hideMark/>
          </w:tcPr>
          <w:p w14:paraId="085F0278" w14:textId="77777777" w:rsidR="00D8277D" w:rsidRPr="008579E4" w:rsidRDefault="00D8277D" w:rsidP="007C3038">
            <w:pPr>
              <w:pStyle w:val="TX-TableText"/>
              <w:tabs>
                <w:tab w:val="decimal" w:pos="363"/>
              </w:tabs>
            </w:pPr>
            <w:r w:rsidRPr="008579E4">
              <w:t>±1.62%</w:t>
            </w:r>
          </w:p>
        </w:tc>
      </w:tr>
      <w:tr w:rsidR="00D8277D" w:rsidRPr="008579E4" w14:paraId="5BBB951A" w14:textId="77777777" w:rsidTr="007C3038">
        <w:trPr>
          <w:trHeight w:val="20"/>
        </w:trPr>
        <w:tc>
          <w:tcPr>
            <w:tcW w:w="1075" w:type="dxa"/>
            <w:noWrap/>
            <w:hideMark/>
          </w:tcPr>
          <w:p w14:paraId="3B04C966" w14:textId="77777777" w:rsidR="00D8277D" w:rsidRPr="008579E4" w:rsidRDefault="00D8277D" w:rsidP="007C3038">
            <w:pPr>
              <w:pStyle w:val="TX-TableText"/>
            </w:pPr>
          </w:p>
        </w:tc>
        <w:tc>
          <w:tcPr>
            <w:tcW w:w="2300" w:type="dxa"/>
            <w:noWrap/>
            <w:hideMark/>
          </w:tcPr>
          <w:p w14:paraId="41AF171C" w14:textId="77777777" w:rsidR="00D8277D" w:rsidRPr="008579E4" w:rsidRDefault="00D8277D" w:rsidP="007C3038">
            <w:pPr>
              <w:pStyle w:val="TX-TableText"/>
            </w:pPr>
            <w:r w:rsidRPr="008579E4">
              <w:t>Net Improper Payment</w:t>
            </w:r>
          </w:p>
        </w:tc>
        <w:tc>
          <w:tcPr>
            <w:tcW w:w="1197" w:type="dxa"/>
            <w:noWrap/>
            <w:hideMark/>
          </w:tcPr>
          <w:p w14:paraId="75166AD4" w14:textId="77777777" w:rsidR="00D8277D" w:rsidRPr="008579E4" w:rsidRDefault="00D8277D" w:rsidP="007C3038">
            <w:pPr>
              <w:pStyle w:val="TX-TableText"/>
              <w:tabs>
                <w:tab w:val="decimal" w:pos="776"/>
              </w:tabs>
            </w:pPr>
            <w:r w:rsidRPr="008579E4">
              <w:t>2,484</w:t>
            </w:r>
          </w:p>
        </w:tc>
        <w:tc>
          <w:tcPr>
            <w:tcW w:w="1197" w:type="dxa"/>
            <w:noWrap/>
            <w:hideMark/>
          </w:tcPr>
          <w:p w14:paraId="780D492A" w14:textId="77777777" w:rsidR="00D8277D" w:rsidRPr="008579E4" w:rsidRDefault="00D8277D" w:rsidP="007C3038">
            <w:pPr>
              <w:pStyle w:val="TX-TableText"/>
              <w:tabs>
                <w:tab w:val="decimal" w:pos="714"/>
              </w:tabs>
            </w:pPr>
            <w:r w:rsidRPr="008579E4">
              <w:t>1,634</w:t>
            </w:r>
          </w:p>
        </w:tc>
        <w:tc>
          <w:tcPr>
            <w:tcW w:w="1197" w:type="dxa"/>
            <w:noWrap/>
            <w:hideMark/>
          </w:tcPr>
          <w:p w14:paraId="30BCBDBB" w14:textId="77777777" w:rsidR="00D8277D" w:rsidRPr="008579E4" w:rsidRDefault="00D8277D" w:rsidP="007C3038">
            <w:pPr>
              <w:pStyle w:val="TX-TableText"/>
              <w:tabs>
                <w:tab w:val="decimal" w:pos="726"/>
              </w:tabs>
            </w:pPr>
            <w:r w:rsidRPr="008579E4">
              <w:t>4,118</w:t>
            </w:r>
          </w:p>
        </w:tc>
        <w:tc>
          <w:tcPr>
            <w:tcW w:w="1197" w:type="dxa"/>
            <w:noWrap/>
            <w:hideMark/>
          </w:tcPr>
          <w:p w14:paraId="53C770F2" w14:textId="77777777" w:rsidR="00D8277D" w:rsidRPr="008579E4" w:rsidRDefault="00D8277D" w:rsidP="007C3038">
            <w:pPr>
              <w:pStyle w:val="TX-TableText"/>
              <w:tabs>
                <w:tab w:val="decimal" w:pos="305"/>
              </w:tabs>
            </w:pPr>
            <w:r w:rsidRPr="008579E4">
              <w:t>0.57%</w:t>
            </w:r>
          </w:p>
        </w:tc>
        <w:tc>
          <w:tcPr>
            <w:tcW w:w="1197" w:type="dxa"/>
            <w:noWrap/>
            <w:hideMark/>
          </w:tcPr>
          <w:p w14:paraId="2544CEBB" w14:textId="77777777" w:rsidR="00D8277D" w:rsidRPr="008579E4" w:rsidRDefault="00D8277D" w:rsidP="007C3038">
            <w:pPr>
              <w:pStyle w:val="TX-TableText"/>
              <w:tabs>
                <w:tab w:val="decimal" w:pos="363"/>
              </w:tabs>
            </w:pPr>
            <w:r w:rsidRPr="008579E4">
              <w:t>±0.94%</w:t>
            </w:r>
          </w:p>
        </w:tc>
      </w:tr>
    </w:tbl>
    <w:p w14:paraId="4653F6FD" w14:textId="77777777" w:rsidR="00D8277D" w:rsidRPr="000F5DCC" w:rsidRDefault="00D8277D" w:rsidP="00D8277D">
      <w:pPr>
        <w:pStyle w:val="TF-TblFN"/>
      </w:pPr>
      <w:r w:rsidRPr="00864A2D">
        <w:rPr>
          <w:vertAlign w:val="superscript"/>
        </w:rPr>
        <w:t>1</w:t>
      </w:r>
      <w:r>
        <w:rPr>
          <w:position w:val="6"/>
        </w:rPr>
        <w:tab/>
      </w:r>
      <w:r>
        <w:t>See text for assumptions used to calculate standard errors and confidence bounds.</w:t>
      </w:r>
    </w:p>
    <w:p w14:paraId="1E371B02" w14:textId="77777777" w:rsidR="00D8277D" w:rsidRDefault="00D8277D" w:rsidP="00D8277D">
      <w:pPr>
        <w:pStyle w:val="TF-TblFN"/>
      </w:pPr>
      <w:r w:rsidRPr="00864A2D">
        <w:rPr>
          <w:vertAlign w:val="superscript"/>
        </w:rPr>
        <w:t>2</w:t>
      </w:r>
      <w:r>
        <w:tab/>
        <w:t>Assumes that over 90 percent of NSLP schools also participate in SBP and that about 50 percent of NSLP students also participate in SBP (29% average SBP participation rate divided by 58% average NSLP participation rate = 50%). See Table D.5 of Appendix D of APEC II revised draft report, which indicates that the average NSLP participation rate is 58 percent and the average SBP participation rate is 29 percent.</w:t>
      </w:r>
    </w:p>
    <w:p w14:paraId="53A4E5BC" w14:textId="77777777" w:rsidR="00D8277D" w:rsidRDefault="00D8277D" w:rsidP="00566D6F">
      <w:pPr>
        <w:pStyle w:val="P1-StandPara"/>
        <w:rPr>
          <w:b/>
        </w:rPr>
      </w:pPr>
    </w:p>
    <w:p w14:paraId="32CC8711" w14:textId="3B29F4E6" w:rsidR="00D90AE2" w:rsidRDefault="00D90AE2" w:rsidP="00566D6F">
      <w:pPr>
        <w:pStyle w:val="P1-StandPara"/>
      </w:pPr>
      <w:r w:rsidRPr="00566D6F">
        <w:rPr>
          <w:b/>
        </w:rPr>
        <w:t>Nonresponse Bias Analysis.</w:t>
      </w:r>
      <w:r w:rsidRPr="00237510">
        <w:rPr>
          <w:szCs w:val="24"/>
        </w:rPr>
        <w:t xml:space="preserve"> </w:t>
      </w:r>
      <w:r>
        <w:t>APEC III will make every effort</w:t>
      </w:r>
      <w:r w:rsidRPr="00113E59">
        <w:t xml:space="preserve"> to achieve as high a response rate as practicable with the available resources</w:t>
      </w:r>
      <w:r>
        <w:t>;</w:t>
      </w:r>
      <w:r w:rsidRPr="00113E59">
        <w:t xml:space="preserve"> </w:t>
      </w:r>
      <w:r>
        <w:t xml:space="preserve">however, </w:t>
      </w:r>
      <w:r w:rsidRPr="00113E59">
        <w:t xml:space="preserve">nontrivial response losses can occur. As specified in the </w:t>
      </w:r>
      <w:r w:rsidRPr="00113E59">
        <w:rPr>
          <w:i/>
        </w:rPr>
        <w:t>Standards and Guidelines for Statistical Surveys</w:t>
      </w:r>
      <w:r w:rsidRPr="00113E59">
        <w:t xml:space="preserve"> published by the Office of Managem</w:t>
      </w:r>
      <w:r>
        <w:t>ent and Budget,</w:t>
      </w:r>
      <w:r w:rsidR="008A6D63" w:rsidRPr="008A6D63">
        <w:rPr>
          <w:rStyle w:val="FootnoteReference"/>
        </w:rPr>
        <w:t xml:space="preserve"> </w:t>
      </w:r>
      <w:r w:rsidR="008A6D63">
        <w:rPr>
          <w:rStyle w:val="FootnoteReference"/>
        </w:rPr>
        <w:footnoteReference w:id="19"/>
      </w:r>
      <w:r>
        <w:t xml:space="preserve"> </w:t>
      </w:r>
      <w:r w:rsidRPr="00113E59">
        <w:t>a nonresponse bias analysis (NRBA) is required if the overall unit response rate for a survey is less than 80 percent</w:t>
      </w:r>
      <w:r w:rsidR="00166F9B">
        <w:t>.</w:t>
      </w:r>
      <w:r>
        <w:t xml:space="preserve"> </w:t>
      </w:r>
      <w:r w:rsidRPr="00113E59">
        <w:t>Based on the experiences of APEC II, this is unlikely to be an issue for the data collection from SFAs or schools but may be for the household survey</w:t>
      </w:r>
      <w:r>
        <w:t xml:space="preserve"> with parents/guardians</w:t>
      </w:r>
      <w:r w:rsidRPr="00113E59">
        <w:t>.</w:t>
      </w:r>
      <w:r>
        <w:t xml:space="preserve"> </w:t>
      </w:r>
      <w:r w:rsidRPr="00113E59">
        <w:t>For APEC III, the overall household survey response rate is the product of the response rates at each of the following three stages</w:t>
      </w:r>
      <w:r w:rsidRPr="00113E59">
        <w:rPr>
          <w:vertAlign w:val="superscript"/>
        </w:rPr>
        <w:footnoteReference w:id="20"/>
      </w:r>
      <w:r w:rsidRPr="00113E59">
        <w:t xml:space="preserve"> of sampling</w:t>
      </w:r>
      <w:r>
        <w:t xml:space="preserve">: SFAs, schools, and </w:t>
      </w:r>
      <w:r w:rsidRPr="00113E59">
        <w:lastRenderedPageBreak/>
        <w:t>households. In general, compensation for nonresponse in sample surveys is handled by weight adjustme</w:t>
      </w:r>
      <w:r>
        <w:t>nts at each stage of selection</w:t>
      </w:r>
      <w:r w:rsidRPr="00113E59">
        <w:t>.</w:t>
      </w:r>
    </w:p>
    <w:p w14:paraId="1C1FE124" w14:textId="3BE7EF7A" w:rsidR="005305E5" w:rsidRDefault="00D90AE2" w:rsidP="007A2357">
      <w:pPr>
        <w:pStyle w:val="P1-StandPara"/>
      </w:pPr>
      <w:r w:rsidRPr="00113E59">
        <w:t>The purpose of the NRBA is to assess the impact of nonresponse on the survey estimates and the effectiveness of the weight adjustments to dampen potential nonresponse biases.</w:t>
      </w:r>
      <w:r>
        <w:t xml:space="preserve"> </w:t>
      </w:r>
      <w:r w:rsidRPr="00113E59">
        <w:t>The types of analyses to be conducted to evaluate possible nonresponse biases will include</w:t>
      </w:r>
      <w:r w:rsidR="00166F9B">
        <w:t xml:space="preserve"> the following</w:t>
      </w:r>
      <w:r w:rsidRPr="00113E59">
        <w:t>:</w:t>
      </w:r>
    </w:p>
    <w:p w14:paraId="0E0CECC9" w14:textId="77777777" w:rsidR="005305E5" w:rsidRDefault="00D90AE2" w:rsidP="007A2357">
      <w:pPr>
        <w:pStyle w:val="N1-1stBullet"/>
      </w:pPr>
      <w:r w:rsidRPr="00937FB2">
        <w:t xml:space="preserve">Comparing characteristics of </w:t>
      </w:r>
      <w:proofErr w:type="spellStart"/>
      <w:r w:rsidRPr="00937FB2">
        <w:t>nonrespondents</w:t>
      </w:r>
      <w:proofErr w:type="spellEnd"/>
      <w:r w:rsidRPr="00937FB2">
        <w:t xml:space="preserve"> (or the total sample) to those of respondents using information available for both </w:t>
      </w:r>
      <w:proofErr w:type="spellStart"/>
      <w:r w:rsidRPr="00937FB2">
        <w:t>nonrespondents</w:t>
      </w:r>
      <w:proofErr w:type="spellEnd"/>
      <w:r w:rsidRPr="00937FB2">
        <w:t xml:space="preserve"> and respondents</w:t>
      </w:r>
      <w:r w:rsidR="00166F9B">
        <w:t>;</w:t>
      </w:r>
    </w:p>
    <w:p w14:paraId="20E4922B" w14:textId="77777777" w:rsidR="005305E5" w:rsidRDefault="00D90AE2" w:rsidP="007A2357">
      <w:pPr>
        <w:pStyle w:val="N1-1stBullet"/>
      </w:pPr>
      <w:r w:rsidRPr="00937FB2">
        <w:t>Modeling response propensity using multivariate analyses</w:t>
      </w:r>
      <w:r w:rsidR="00166F9B">
        <w:t>;</w:t>
      </w:r>
    </w:p>
    <w:p w14:paraId="7BC84978" w14:textId="77777777" w:rsidR="005305E5" w:rsidRDefault="00D90AE2" w:rsidP="007A2357">
      <w:pPr>
        <w:pStyle w:val="N1-1stBullet"/>
      </w:pPr>
      <w:r w:rsidRPr="00937FB2">
        <w:t>Evaluating differences between unadjusted (i.e., base-) weighted estimates of selected sampling characteristics and the corresponding population (frame) parameter</w:t>
      </w:r>
      <w:r w:rsidR="00166F9B">
        <w:t>; and</w:t>
      </w:r>
    </w:p>
    <w:p w14:paraId="4DB7763B" w14:textId="77777777" w:rsidR="005305E5" w:rsidRDefault="00D90AE2" w:rsidP="007A2357">
      <w:pPr>
        <w:pStyle w:val="N1-1stBullet"/>
        <w:rPr>
          <w:rFonts w:eastAsiaTheme="minorHAnsi"/>
        </w:rPr>
      </w:pPr>
      <w:r w:rsidRPr="00937FB2">
        <w:rPr>
          <w:rFonts w:eastAsiaTheme="minorHAnsi"/>
        </w:rPr>
        <w:t xml:space="preserve">Comparing unadjusted (base) weights </w:t>
      </w:r>
      <w:r>
        <w:rPr>
          <w:rFonts w:eastAsiaTheme="minorHAnsi"/>
        </w:rPr>
        <w:t xml:space="preserve">(for the estimates of error/improper payments) with </w:t>
      </w:r>
      <w:r w:rsidRPr="00937FB2">
        <w:rPr>
          <w:rFonts w:eastAsiaTheme="minorHAnsi"/>
        </w:rPr>
        <w:t>nonresponse-adjusted weights</w:t>
      </w:r>
      <w:r>
        <w:rPr>
          <w:rFonts w:eastAsiaTheme="minorHAnsi"/>
        </w:rPr>
        <w:t xml:space="preserve"> (for these estimates)</w:t>
      </w:r>
      <w:r w:rsidRPr="00FD2688">
        <w:rPr>
          <w:rFonts w:eastAsiaTheme="minorHAnsi"/>
        </w:rPr>
        <w:t>.</w:t>
      </w:r>
    </w:p>
    <w:p w14:paraId="123F962B" w14:textId="77777777" w:rsidR="00D90AE2" w:rsidRPr="004A6A8F" w:rsidRDefault="00D90AE2" w:rsidP="007A2357">
      <w:pPr>
        <w:pStyle w:val="Heading4"/>
      </w:pPr>
      <w:r w:rsidRPr="00CF48AE">
        <w:t>Unusual Problems Requiring Specialized Sampling Procedures</w:t>
      </w:r>
    </w:p>
    <w:p w14:paraId="2C70B634" w14:textId="6FAB7EF3" w:rsidR="00D90AE2" w:rsidRDefault="00D90AE2" w:rsidP="007A2357">
      <w:pPr>
        <w:pStyle w:val="P1-StandPara"/>
      </w:pPr>
      <w:r w:rsidRPr="004A6A8F">
        <w:t>There are no unusual problems that require specialized sampling procedures for the sampling of</w:t>
      </w:r>
      <w:r>
        <w:t xml:space="preserve"> SFAs, schools</w:t>
      </w:r>
      <w:r w:rsidRPr="004A6A8F">
        <w:t xml:space="preserve">, and/or households. However, it is important to note that the </w:t>
      </w:r>
      <w:r>
        <w:t>largest portion of the household survey</w:t>
      </w:r>
      <w:r w:rsidRPr="004A6A8F">
        <w:t xml:space="preserve"> sample will be drawn fr</w:t>
      </w:r>
      <w:r>
        <w:t xml:space="preserve">om applications submitted between August and September 2017. As noted, two more rounds of smaller household sample selection will also be </w:t>
      </w:r>
      <w:r w:rsidR="000970E2">
        <w:t xml:space="preserve">conducted </w:t>
      </w:r>
      <w:r>
        <w:t>to ensure that applications submitted after September are included in sampling.</w:t>
      </w:r>
      <w:r w:rsidR="00D2239D">
        <w:t xml:space="preserve"> This is to ensure that household survey data are representative of applications submitted throughout the entire school year (see Appendix S </w:t>
      </w:r>
      <w:r w:rsidR="006653AB">
        <w:t>D</w:t>
      </w:r>
      <w:r w:rsidR="00D2239D">
        <w:t xml:space="preserve">ata </w:t>
      </w:r>
      <w:r w:rsidR="006653AB">
        <w:t>C</w:t>
      </w:r>
      <w:r w:rsidR="00D2239D">
        <w:t xml:space="preserve">ollection </w:t>
      </w:r>
      <w:r w:rsidR="006653AB">
        <w:t>S</w:t>
      </w:r>
      <w:r w:rsidR="00D2239D">
        <w:t xml:space="preserve">ummary for more details). </w:t>
      </w:r>
    </w:p>
    <w:p w14:paraId="7B0AC6C6" w14:textId="77777777" w:rsidR="005305E5" w:rsidRDefault="00D90AE2" w:rsidP="007A2357">
      <w:pPr>
        <w:pStyle w:val="Heading4"/>
      </w:pPr>
      <w:r>
        <w:lastRenderedPageBreak/>
        <w:t xml:space="preserve">Any </w:t>
      </w:r>
      <w:r w:rsidR="007A2357">
        <w:t xml:space="preserve">Use </w:t>
      </w:r>
      <w:r>
        <w:t xml:space="preserve">of </w:t>
      </w:r>
      <w:r w:rsidR="007A2357">
        <w:t xml:space="preserve">Periodic (Less Frequent Than Annual) Data Collection Cycles </w:t>
      </w:r>
      <w:r>
        <w:t xml:space="preserve">to </w:t>
      </w:r>
      <w:r w:rsidR="007A2357">
        <w:t>Reduce Burden</w:t>
      </w:r>
    </w:p>
    <w:p w14:paraId="67788A9F" w14:textId="77777777" w:rsidR="00186A08" w:rsidRDefault="00D90AE2" w:rsidP="007A2357">
      <w:pPr>
        <w:pStyle w:val="P1-StandPara"/>
      </w:pPr>
      <w:r w:rsidRPr="00BA4712">
        <w:t xml:space="preserve">The data collection </w:t>
      </w:r>
      <w:r>
        <w:t xml:space="preserve">effort, with multiple visits to SFAs and schools, </w:t>
      </w:r>
      <w:r w:rsidRPr="00BA4712">
        <w:t>is p</w:t>
      </w:r>
      <w:r>
        <w:t>lanned to be done one time only during the 2017-2018 school year.</w:t>
      </w:r>
    </w:p>
    <w:p w14:paraId="166AD6CC" w14:textId="2132241E" w:rsidR="005305E5" w:rsidRDefault="00D90AE2" w:rsidP="007A2357">
      <w:pPr>
        <w:pStyle w:val="P1-StandPara"/>
      </w:pPr>
      <w:r>
        <w:t xml:space="preserve">The data collection cycle </w:t>
      </w:r>
      <w:r w:rsidR="00D25DA6">
        <w:t xml:space="preserve">consists </w:t>
      </w:r>
      <w:r>
        <w:t>of recruitment and data collection activities.</w:t>
      </w:r>
      <w:r w:rsidR="005305E5">
        <w:t xml:space="preserve"> </w:t>
      </w:r>
      <w:r>
        <w:t>Appendix S provides a summary of data collection procedures.</w:t>
      </w:r>
    </w:p>
    <w:p w14:paraId="1BBF0C34" w14:textId="77777777" w:rsidR="00D90AE2" w:rsidRPr="00FB12AD" w:rsidRDefault="00D90AE2" w:rsidP="007A2357">
      <w:pPr>
        <w:pStyle w:val="Heading4"/>
      </w:pPr>
      <w:r w:rsidRPr="00FB12AD">
        <w:t xml:space="preserve">Recruitment </w:t>
      </w:r>
      <w:r>
        <w:t>Procedures</w:t>
      </w:r>
    </w:p>
    <w:p w14:paraId="0B43F44C" w14:textId="77777777" w:rsidR="005305E5" w:rsidRDefault="00D90AE2" w:rsidP="007A2357">
      <w:pPr>
        <w:pStyle w:val="P1-StandPara"/>
      </w:pPr>
      <w:r>
        <w:t>Recruitment activities include recruiting households to participate in the household survey component of the study. Household recruitment will include a recruitment packet sent via mail</w:t>
      </w:r>
      <w:r w:rsidR="00166F9B">
        <w:t xml:space="preserve"> and</w:t>
      </w:r>
      <w:r>
        <w:t xml:space="preserve"> a follow</w:t>
      </w:r>
      <w:r w:rsidR="00166F9B">
        <w:t>-</w:t>
      </w:r>
      <w:r>
        <w:t xml:space="preserve">up recruitment call from a data collector. </w:t>
      </w:r>
      <w:r w:rsidRPr="00AF5794">
        <w:t xml:space="preserve">Once a parent or guardian agrees to participate and has a scheduled appointment, a reminder letter, as well as the income worksheet (see </w:t>
      </w:r>
      <w:r w:rsidRPr="00BC7A88">
        <w:t>Appendices D1</w:t>
      </w:r>
      <w:r w:rsidR="00166F9B">
        <w:rPr>
          <w:rFonts w:ascii="Calibri" w:hAnsi="Calibri"/>
        </w:rPr>
        <w:t>‒</w:t>
      </w:r>
      <w:r w:rsidRPr="00BC7A88">
        <w:t>D4</w:t>
      </w:r>
      <w:r w:rsidRPr="00E6048F">
        <w:t xml:space="preserve">), will be sent via mail or email </w:t>
      </w:r>
      <w:r>
        <w:t>(</w:t>
      </w:r>
      <w:r w:rsidRPr="00E6048F">
        <w:t>if provided</w:t>
      </w:r>
      <w:r>
        <w:t>)</w:t>
      </w:r>
      <w:r w:rsidRPr="00E6048F">
        <w:t xml:space="preserve">. Recruitment materials are found in Appendices </w:t>
      </w:r>
      <w:r>
        <w:t>T1</w:t>
      </w:r>
      <w:r w:rsidR="00166F9B">
        <w:rPr>
          <w:rFonts w:ascii="Calibri" w:hAnsi="Calibri"/>
        </w:rPr>
        <w:t>‒</w:t>
      </w:r>
      <w:r>
        <w:t>T8</w:t>
      </w:r>
      <w:r w:rsidRPr="00E6048F">
        <w:t>.</w:t>
      </w:r>
      <w:r>
        <w:t xml:space="preserve"> A summary of the follow</w:t>
      </w:r>
      <w:r w:rsidR="00166F9B">
        <w:t>-</w:t>
      </w:r>
      <w:r>
        <w:t xml:space="preserve">up procedures for household survey recruitment is included in </w:t>
      </w:r>
      <w:r w:rsidR="00AE3CE0">
        <w:t>the Data Collection Summary (</w:t>
      </w:r>
      <w:r>
        <w:t>Appendix S</w:t>
      </w:r>
      <w:r w:rsidR="00AE3CE0">
        <w:t>).</w:t>
      </w:r>
    </w:p>
    <w:p w14:paraId="48FFAD13" w14:textId="28A98C90" w:rsidR="005305E5" w:rsidRDefault="00D90AE2" w:rsidP="007A2357">
      <w:pPr>
        <w:pStyle w:val="P1-StandPara"/>
      </w:pPr>
      <w:r>
        <w:t>Additional recruitment activities include recruiting a sub-sample of 60 SFA directors and a sub-sample of 60 households for an in-depth interview by phone.</w:t>
      </w:r>
      <w:r w:rsidR="005305E5">
        <w:t xml:space="preserve"> </w:t>
      </w:r>
      <w:r>
        <w:t>These will be a sub</w:t>
      </w:r>
      <w:r w:rsidR="005D684B">
        <w:t>-</w:t>
      </w:r>
      <w:r>
        <w:t>sample of individuals who completed the SFA director survey or household survey, respectively. At the end of the household survey, respondents will be notified that they may be contacted for this follow</w:t>
      </w:r>
      <w:r w:rsidR="000970E2">
        <w:t>-</w:t>
      </w:r>
      <w:r>
        <w:t>up interview.</w:t>
      </w:r>
      <w:r w:rsidR="008A67A8">
        <w:t xml:space="preserve">  </w:t>
      </w:r>
    </w:p>
    <w:p w14:paraId="139F84DA" w14:textId="77777777" w:rsidR="005305E5" w:rsidRDefault="00D90AE2" w:rsidP="007A2357">
      <w:pPr>
        <w:pStyle w:val="Heading4"/>
      </w:pPr>
      <w:r w:rsidRPr="00FB12AD">
        <w:t>Data Collection Procedures</w:t>
      </w:r>
    </w:p>
    <w:p w14:paraId="69B85597" w14:textId="06BBC540" w:rsidR="005305E5" w:rsidRDefault="00D90AE2" w:rsidP="007A2357">
      <w:pPr>
        <w:pStyle w:val="P1-StandPara"/>
      </w:pPr>
      <w:r w:rsidRPr="001F5F60">
        <w:t xml:space="preserve">Appendix </w:t>
      </w:r>
      <w:r>
        <w:t>S</w:t>
      </w:r>
      <w:r w:rsidRPr="001F5F60">
        <w:t xml:space="preserve"> provides a summary of data collection activities and how the information wil</w:t>
      </w:r>
      <w:r>
        <w:t>l be used. Appendices B (B1</w:t>
      </w:r>
      <w:r w:rsidR="005D684B">
        <w:rPr>
          <w:rFonts w:ascii="Calibri" w:hAnsi="Calibri"/>
        </w:rPr>
        <w:t>‒</w:t>
      </w:r>
      <w:r>
        <w:t>B14), C (C1</w:t>
      </w:r>
      <w:r w:rsidR="005D684B">
        <w:rPr>
          <w:rFonts w:ascii="Calibri" w:hAnsi="Calibri"/>
        </w:rPr>
        <w:t>‒</w:t>
      </w:r>
      <w:r>
        <w:t>C6)</w:t>
      </w:r>
      <w:r w:rsidR="005D684B">
        <w:t>,</w:t>
      </w:r>
      <w:r w:rsidRPr="001F5F60">
        <w:t xml:space="preserve"> and </w:t>
      </w:r>
      <w:r>
        <w:t>D</w:t>
      </w:r>
      <w:r w:rsidRPr="001F5F60">
        <w:t xml:space="preserve"> (</w:t>
      </w:r>
      <w:r>
        <w:t>D1</w:t>
      </w:r>
      <w:r w:rsidR="005D684B">
        <w:rPr>
          <w:rFonts w:ascii="Calibri" w:hAnsi="Calibri"/>
        </w:rPr>
        <w:t>‒</w:t>
      </w:r>
      <w:r w:rsidR="00DA736B">
        <w:t>D16</w:t>
      </w:r>
      <w:r w:rsidRPr="001F5F60">
        <w:t>) include the</w:t>
      </w:r>
      <w:r>
        <w:t xml:space="preserve"> data collection forms for SFA/State, school, and household data collection</w:t>
      </w:r>
      <w:r w:rsidR="005D684B">
        <w:t>,</w:t>
      </w:r>
      <w:r>
        <w:t xml:space="preserve"> respectively. Data collection will include </w:t>
      </w:r>
      <w:r w:rsidRPr="003E4A98">
        <w:t>(a)</w:t>
      </w:r>
      <w:r w:rsidR="00186A08">
        <w:t> </w:t>
      </w:r>
      <w:r>
        <w:t>phone pre-visit interviews with SFAs and schools; (b)</w:t>
      </w:r>
      <w:r w:rsidR="00186A08">
        <w:t> </w:t>
      </w:r>
      <w:r>
        <w:t>in</w:t>
      </w:r>
      <w:r w:rsidR="005D684B">
        <w:t>-</w:t>
      </w:r>
      <w:r>
        <w:t xml:space="preserve">person </w:t>
      </w:r>
      <w:r w:rsidRPr="003E4A98">
        <w:t xml:space="preserve">abstraction from income </w:t>
      </w:r>
      <w:r w:rsidRPr="003E4A98">
        <w:lastRenderedPageBreak/>
        <w:t xml:space="preserve">eligibility applications </w:t>
      </w:r>
      <w:r w:rsidR="0046358F">
        <w:t xml:space="preserve">(or </w:t>
      </w:r>
      <w:r w:rsidRPr="003E4A98">
        <w:t xml:space="preserve"> categorical eligibility</w:t>
      </w:r>
      <w:r w:rsidR="0046358F">
        <w:t>/ direct certification)</w:t>
      </w:r>
      <w:r w:rsidRPr="003E4A98">
        <w:t xml:space="preserve"> records</w:t>
      </w:r>
      <w:r w:rsidR="00C23975">
        <w:t xml:space="preserve"> from SFA records</w:t>
      </w:r>
      <w:r w:rsidRPr="003E4A98">
        <w:t>; (</w:t>
      </w:r>
      <w:r w:rsidR="00F272A9">
        <w:t>c</w:t>
      </w:r>
      <w:r w:rsidRPr="003E4A98">
        <w:t>)</w:t>
      </w:r>
      <w:r w:rsidR="00186A08">
        <w:t> </w:t>
      </w:r>
      <w:r>
        <w:t>electronic review of identified student records for CEP schools; (</w:t>
      </w:r>
      <w:r w:rsidR="00F272A9">
        <w:t>d</w:t>
      </w:r>
      <w:r>
        <w:t>)</w:t>
      </w:r>
      <w:r w:rsidR="00186A08">
        <w:t> </w:t>
      </w:r>
      <w:r>
        <w:t>in</w:t>
      </w:r>
      <w:r w:rsidR="005D684B">
        <w:t>-</w:t>
      </w:r>
      <w:r>
        <w:t xml:space="preserve">person/electronic </w:t>
      </w:r>
      <w:r w:rsidRPr="003E4A98">
        <w:t xml:space="preserve">abstraction of meal count and claiming records from </w:t>
      </w:r>
      <w:r>
        <w:t xml:space="preserve">States, </w:t>
      </w:r>
      <w:r w:rsidRPr="003E4A98">
        <w:t xml:space="preserve">SFAs, </w:t>
      </w:r>
      <w:r>
        <w:t>and schools; (</w:t>
      </w:r>
      <w:r w:rsidR="00F272A9">
        <w:t>e</w:t>
      </w:r>
      <w:r w:rsidRPr="003E4A98">
        <w:t>)</w:t>
      </w:r>
      <w:r w:rsidR="00186A08">
        <w:t> </w:t>
      </w:r>
      <w:r>
        <w:t>meal observations; (</w:t>
      </w:r>
      <w:r w:rsidR="00F272A9">
        <w:t>f</w:t>
      </w:r>
      <w:r w:rsidRPr="003E4A98">
        <w:t>)</w:t>
      </w:r>
      <w:r w:rsidR="00186A08">
        <w:t> in-</w:t>
      </w:r>
      <w:r>
        <w:t>person cafeteria manager interviews; (</w:t>
      </w:r>
      <w:r w:rsidR="00F272A9">
        <w:t>g</w:t>
      </w:r>
      <w:r>
        <w:t>)</w:t>
      </w:r>
      <w:r w:rsidR="00186A08">
        <w:t> in-</w:t>
      </w:r>
      <w:r>
        <w:t xml:space="preserve">person </w:t>
      </w:r>
      <w:r w:rsidRPr="003E4A98">
        <w:t>household surveys</w:t>
      </w:r>
      <w:r>
        <w:t>; (</w:t>
      </w:r>
      <w:r w:rsidR="00F272A9">
        <w:t>h</w:t>
      </w:r>
      <w:r>
        <w:t>)</w:t>
      </w:r>
      <w:r w:rsidR="00186A08">
        <w:t> web-</w:t>
      </w:r>
      <w:r>
        <w:t xml:space="preserve">based </w:t>
      </w:r>
      <w:r w:rsidRPr="003E4A98">
        <w:t>SFA director survey;</w:t>
      </w:r>
      <w:r>
        <w:t xml:space="preserve"> (</w:t>
      </w:r>
      <w:r w:rsidR="00F272A9">
        <w:t>i</w:t>
      </w:r>
      <w:r>
        <w:t>)</w:t>
      </w:r>
      <w:r w:rsidR="00186A08">
        <w:t> </w:t>
      </w:r>
      <w:r>
        <w:t>SFA director in-depth interview by phone (sub</w:t>
      </w:r>
      <w:r w:rsidR="005D684B">
        <w:t>-</w:t>
      </w:r>
      <w:r>
        <w:t>sample); (</w:t>
      </w:r>
      <w:r w:rsidR="00F272A9">
        <w:t>j</w:t>
      </w:r>
      <w:r>
        <w:t>)</w:t>
      </w:r>
      <w:r w:rsidR="00186A08">
        <w:t> </w:t>
      </w:r>
      <w:r>
        <w:t>household in-depth interview by phone (sub</w:t>
      </w:r>
      <w:r w:rsidR="005D684B">
        <w:t>-</w:t>
      </w:r>
      <w:r>
        <w:t>sample); and (</w:t>
      </w:r>
      <w:r w:rsidR="00F272A9">
        <w:t>k</w:t>
      </w:r>
      <w:r>
        <w:t>)</w:t>
      </w:r>
      <w:r w:rsidR="00186A08">
        <w:t> </w:t>
      </w:r>
      <w:r>
        <w:t xml:space="preserve">electronic review of administrative data on meal participation </w:t>
      </w:r>
      <w:r w:rsidRPr="003E4A98">
        <w:t>(data on the number of meals served and claimed for sampled studen</w:t>
      </w:r>
      <w:r>
        <w:t>ts).</w:t>
      </w:r>
    </w:p>
    <w:p w14:paraId="5FB87D1C" w14:textId="6397BD48" w:rsidR="00D90AE2" w:rsidRPr="00AF5794" w:rsidRDefault="00770E2A" w:rsidP="007A2357">
      <w:pPr>
        <w:pStyle w:val="P1-StandPara"/>
      </w:pPr>
      <w:r>
        <w:t xml:space="preserve">Sampling of households </w:t>
      </w:r>
      <w:r w:rsidR="00D90AE2" w:rsidRPr="003E4A98">
        <w:t>and household surveys will take place three times during the study year to ensure coverage of applications submitted at di</w:t>
      </w:r>
      <w:r w:rsidR="00D90AE2">
        <w:t xml:space="preserve">fferent times during the year. </w:t>
      </w:r>
      <w:r w:rsidR="00D90AE2" w:rsidRPr="00AF5794">
        <w:t>At the appointed time</w:t>
      </w:r>
      <w:r w:rsidR="006653AB">
        <w:t>,</w:t>
      </w:r>
      <w:r w:rsidR="00D90AE2" w:rsidRPr="00AF5794">
        <w:t xml:space="preserve"> the data collectors will travel to sampled households to conduct the in-person household survey as a computer assisted personal interview (CAPI) with each participant. </w:t>
      </w:r>
      <w:r w:rsidR="00D90AE2">
        <w:t>T</w:t>
      </w:r>
      <w:r w:rsidR="00D90AE2" w:rsidRPr="0067099B">
        <w:t xml:space="preserve">he </w:t>
      </w:r>
      <w:r w:rsidR="005D684B">
        <w:t>h</w:t>
      </w:r>
      <w:r w:rsidR="00D90AE2" w:rsidRPr="0067099B">
        <w:t xml:space="preserve">ousehold </w:t>
      </w:r>
      <w:r w:rsidR="00D90AE2">
        <w:t>in-depth interviews</w:t>
      </w:r>
      <w:r w:rsidR="00D90AE2" w:rsidRPr="0067099B">
        <w:t xml:space="preserve"> will </w:t>
      </w:r>
      <w:r w:rsidR="00D90AE2">
        <w:t xml:space="preserve">be conducted via phone with a subset of 60 parents/guardians </w:t>
      </w:r>
      <w:r w:rsidR="005D684B">
        <w:t xml:space="preserve">who </w:t>
      </w:r>
      <w:r w:rsidR="00D90AE2">
        <w:t xml:space="preserve">completed the </w:t>
      </w:r>
      <w:r w:rsidR="005D684B">
        <w:t>h</w:t>
      </w:r>
      <w:r w:rsidR="00D90AE2">
        <w:t xml:space="preserve">ousehold survey and will </w:t>
      </w:r>
      <w:r w:rsidR="00D90AE2" w:rsidRPr="0067099B">
        <w:t xml:space="preserve">include questions on general experience with the application process to identify any areas that were confusing to </w:t>
      </w:r>
      <w:r w:rsidR="000970E2">
        <w:t>the respondent</w:t>
      </w:r>
      <w:r w:rsidR="00D90AE2" w:rsidRPr="0067099B">
        <w:t>, if the respondent used a paper application or web-based version</w:t>
      </w:r>
      <w:r w:rsidR="00D90AE2">
        <w:t>,</w:t>
      </w:r>
      <w:r w:rsidR="00D90AE2" w:rsidRPr="0067099B">
        <w:t xml:space="preserve"> and if any school staff or other knowledgeable individuals were available to answer questions.</w:t>
      </w:r>
      <w:r w:rsidR="00D90AE2">
        <w:t xml:space="preserve"> The in-person </w:t>
      </w:r>
      <w:r w:rsidR="005D684B">
        <w:t>h</w:t>
      </w:r>
      <w:r w:rsidR="00D90AE2">
        <w:t xml:space="preserve">ousehold survey and </w:t>
      </w:r>
      <w:r w:rsidR="005D684B">
        <w:t>h</w:t>
      </w:r>
      <w:r w:rsidR="00D90AE2">
        <w:t xml:space="preserve">ousehold in-depth interviews will be conducted during phases </w:t>
      </w:r>
      <w:r>
        <w:t xml:space="preserve">1, </w:t>
      </w:r>
      <w:r w:rsidR="00D90AE2">
        <w:t>2 and 3 of the data collection schedule.</w:t>
      </w:r>
    </w:p>
    <w:p w14:paraId="43A493A8" w14:textId="3F40CFA0" w:rsidR="00D90AE2" w:rsidRDefault="00770E2A" w:rsidP="007A2357">
      <w:pPr>
        <w:pStyle w:val="P1-StandPara"/>
      </w:pPr>
      <w:r>
        <w:t>Beginning in phase 2, SFAs and schools</w:t>
      </w:r>
      <w:r w:rsidRPr="00AF5794">
        <w:t xml:space="preserve"> will be contacted by phone to complete the pre-visit interviews </w:t>
      </w:r>
      <w:r>
        <w:t>(which</w:t>
      </w:r>
      <w:r w:rsidRPr="00AF5794">
        <w:t xml:space="preserve"> obtain information to prepare for the data collection visits</w:t>
      </w:r>
      <w:r>
        <w:t>)</w:t>
      </w:r>
      <w:r w:rsidRPr="00AF5794">
        <w:t xml:space="preserve"> and </w:t>
      </w:r>
      <w:r>
        <w:t xml:space="preserve">to </w:t>
      </w:r>
      <w:r w:rsidRPr="00AF5794">
        <w:t>schedule the data collection visits.</w:t>
      </w:r>
      <w:r>
        <w:t xml:space="preserve"> </w:t>
      </w:r>
      <w:r w:rsidR="00D90AE2">
        <w:t>During phase</w:t>
      </w:r>
      <w:r w:rsidR="002453FE">
        <w:t>s</w:t>
      </w:r>
      <w:r w:rsidR="00D90AE2">
        <w:t xml:space="preserve"> 2 and 3 of data collection, SFA </w:t>
      </w:r>
      <w:r w:rsidR="005D684B">
        <w:t>d</w:t>
      </w:r>
      <w:r w:rsidR="00D90AE2">
        <w:t>irectors</w:t>
      </w:r>
      <w:r w:rsidR="00D90AE2" w:rsidRPr="00AF5794">
        <w:t xml:space="preserve"> will also be as</w:t>
      </w:r>
      <w:r w:rsidR="00D90AE2">
        <w:t xml:space="preserve">ked to complete the web-based </w:t>
      </w:r>
      <w:r w:rsidR="002F7C68">
        <w:t>SFA Director S</w:t>
      </w:r>
      <w:r w:rsidR="00D90AE2" w:rsidRPr="00B6262A">
        <w:t>urvey (Appendi</w:t>
      </w:r>
      <w:r w:rsidR="00D90AE2">
        <w:t>x B11</w:t>
      </w:r>
      <w:r w:rsidR="00D90AE2" w:rsidRPr="00B6262A">
        <w:t xml:space="preserve">), which will provide relevant SFA characteristics for later analyses and comparisons. An </w:t>
      </w:r>
      <w:r w:rsidR="005D684B">
        <w:t>in-depth</w:t>
      </w:r>
      <w:r w:rsidR="002F7C68">
        <w:t xml:space="preserve"> SFA Director I</w:t>
      </w:r>
      <w:r w:rsidR="005D684B">
        <w:t>nterview</w:t>
      </w:r>
      <w:r w:rsidR="005D684B" w:rsidRPr="00B6262A">
        <w:t xml:space="preserve"> </w:t>
      </w:r>
      <w:r w:rsidR="00D90AE2" w:rsidRPr="00B6262A">
        <w:t xml:space="preserve">(Appendix </w:t>
      </w:r>
      <w:r w:rsidR="00D90AE2">
        <w:t>B12</w:t>
      </w:r>
      <w:r w:rsidR="00D90AE2" w:rsidRPr="00B6262A">
        <w:t>) will be conducted with</w:t>
      </w:r>
      <w:r w:rsidR="00D90AE2">
        <w:t xml:space="preserve"> a subset of 60 SFA </w:t>
      </w:r>
      <w:r w:rsidR="005D684B">
        <w:t>d</w:t>
      </w:r>
      <w:r w:rsidR="00D90AE2">
        <w:t xml:space="preserve">irectors to garner a better understanding of </w:t>
      </w:r>
      <w:r w:rsidR="00D90AE2" w:rsidRPr="00F62E18">
        <w:t xml:space="preserve">how SFA policies, procedures, and characteristics affect errors, in addition to </w:t>
      </w:r>
      <w:r w:rsidR="00D90AE2" w:rsidRPr="00F62E18">
        <w:lastRenderedPageBreak/>
        <w:t>actions that would be most effective in reducing errors</w:t>
      </w:r>
      <w:r w:rsidR="00D90AE2">
        <w:t>.</w:t>
      </w:r>
      <w:r w:rsidR="00242915">
        <w:t xml:space="preserve"> Lastly, SFA meal participation data will be requested via the SFA Meal Participation Data Request (Appendix B13) for direct, electronic submission.</w:t>
      </w:r>
    </w:p>
    <w:p w14:paraId="1BC170DF" w14:textId="092FA5DD" w:rsidR="00D90AE2" w:rsidRDefault="005D684B" w:rsidP="007A2357">
      <w:pPr>
        <w:pStyle w:val="P1-StandPara"/>
      </w:pPr>
      <w:r>
        <w:t>Finally</w:t>
      </w:r>
      <w:r w:rsidR="00D90AE2">
        <w:t>, during phase 3 of data collection, a</w:t>
      </w:r>
      <w:r w:rsidR="00D90AE2" w:rsidRPr="00AF5794">
        <w:t>ll State-level data will be requested directly from the State</w:t>
      </w:r>
      <w:r w:rsidR="00D90AE2">
        <w:t xml:space="preserve"> </w:t>
      </w:r>
      <w:r w:rsidR="002F7C68">
        <w:t xml:space="preserve">via the State Meal Claim </w:t>
      </w:r>
      <w:r w:rsidR="00DA736B">
        <w:t xml:space="preserve">Data </w:t>
      </w:r>
      <w:r w:rsidR="002F7C68">
        <w:t xml:space="preserve">Request </w:t>
      </w:r>
      <w:r w:rsidR="00D90AE2">
        <w:t>(Appendix B14)</w:t>
      </w:r>
      <w:r w:rsidR="00D90AE2" w:rsidRPr="00AF5794">
        <w:t xml:space="preserve"> for </w:t>
      </w:r>
      <w:r w:rsidR="00D90AE2">
        <w:t xml:space="preserve">direct, </w:t>
      </w:r>
      <w:r w:rsidR="00D90AE2" w:rsidRPr="00AF5794">
        <w:t xml:space="preserve">electronic submission. All data </w:t>
      </w:r>
      <w:r w:rsidR="00D90AE2">
        <w:t>will be</w:t>
      </w:r>
      <w:r w:rsidR="00D90AE2" w:rsidRPr="00AF5794">
        <w:t xml:space="preserve"> received and stored in a secure, password protected computer-based system.</w:t>
      </w:r>
    </w:p>
    <w:p w14:paraId="78F11515" w14:textId="146CAA4E" w:rsidR="009C128A" w:rsidRDefault="009C128A" w:rsidP="007A2357">
      <w:pPr>
        <w:pStyle w:val="P1-StandPara"/>
      </w:pPr>
      <w:r>
        <w:t xml:space="preserve">SFA and school data collection will be conducted by trained field data </w:t>
      </w:r>
      <w:r w:rsidR="00DA736B">
        <w:t>collectors</w:t>
      </w:r>
      <w:r>
        <w:t xml:space="preserve">. Field data collectors will be recruited and hired from regions local to the sampled SFAs and schools. Training will </w:t>
      </w:r>
      <w:r w:rsidR="00DA736B">
        <w:t xml:space="preserve">include </w:t>
      </w:r>
      <w:r>
        <w:t>online home study tutorials, in person training, and home based post-training exercises. All data coll</w:t>
      </w:r>
      <w:r w:rsidR="007A59AD">
        <w:t xml:space="preserve">ectors will be </w:t>
      </w:r>
      <w:r>
        <w:t xml:space="preserve">certified to conduct data collection.  </w:t>
      </w:r>
    </w:p>
    <w:p w14:paraId="01BF9BFC" w14:textId="170BCCFB" w:rsidR="007A59AD" w:rsidRDefault="009C128A" w:rsidP="007A59AD">
      <w:pPr>
        <w:pStyle w:val="P1-StandPara"/>
      </w:pPr>
      <w:r>
        <w:t xml:space="preserve">The SFA Director Interview (Appendix B12) and household in-depth interview (Appendix D13/D14) </w:t>
      </w:r>
      <w:r w:rsidR="007A59AD">
        <w:t xml:space="preserve">are phone interviews that will be conducted by </w:t>
      </w:r>
      <w:r>
        <w:t xml:space="preserve">Westat researchers with experience in qualitative research methods. </w:t>
      </w:r>
      <w:r w:rsidR="007A59AD">
        <w:t>In addition, the interviewers will be trained on project objectives and the interview protocols. The interviewer will contact the SFA Director by email and/or phone to schedule the SFA Director Interview</w:t>
      </w:r>
      <w:r w:rsidR="00A30EA0">
        <w:t xml:space="preserve"> at a time that is convenient for him/her</w:t>
      </w:r>
      <w:r w:rsidR="007A59AD">
        <w:t xml:space="preserve">. At the end of the household survey (Appendix </w:t>
      </w:r>
      <w:r w:rsidR="00DA736B">
        <w:t>D5</w:t>
      </w:r>
      <w:r w:rsidR="007A59AD">
        <w:t>/</w:t>
      </w:r>
      <w:r w:rsidR="00DA736B">
        <w:t>D6</w:t>
      </w:r>
      <w:r w:rsidR="007A59AD">
        <w:t xml:space="preserve">), the interviewer will ask the respondent if he/she is willing to participate in a follow up telephone interview should they be randomly selected. Appendix S provides more details on the procedures for the Household In-Depth Interview. </w:t>
      </w:r>
    </w:p>
    <w:p w14:paraId="6713D082" w14:textId="77777777" w:rsidR="00D90AE2" w:rsidRPr="00BA4712" w:rsidRDefault="00D90AE2" w:rsidP="007A2357">
      <w:pPr>
        <w:pStyle w:val="Heading2"/>
      </w:pPr>
      <w:bookmarkStart w:id="21" w:name="_Toc409608405"/>
      <w:r w:rsidRPr="00BA4712">
        <w:lastRenderedPageBreak/>
        <w:t>3.</w:t>
      </w:r>
      <w:r w:rsidRPr="00BA4712">
        <w:tab/>
        <w:t>Methods to Maximize the Response Rates and to Deal With Nonresponse</w:t>
      </w:r>
      <w:bookmarkEnd w:id="21"/>
    </w:p>
    <w:p w14:paraId="7E32FF96" w14:textId="77777777" w:rsidR="00D90AE2" w:rsidRPr="00BA4712" w:rsidRDefault="007A2357" w:rsidP="007A2357">
      <w:pPr>
        <w:pStyle w:val="Heading5"/>
      </w:pPr>
      <w:r>
        <w:tab/>
      </w:r>
      <w:r w:rsidR="00D90AE2" w:rsidRPr="00BA4712">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703835">
        <w:t>“</w:t>
      </w:r>
      <w:r w:rsidR="00D90AE2" w:rsidRPr="00BA4712">
        <w:t>reliable</w:t>
      </w:r>
      <w:r w:rsidR="00703835">
        <w:t>”</w:t>
      </w:r>
      <w:r w:rsidR="00D90AE2" w:rsidRPr="00BA4712">
        <w:t xml:space="preserve"> data that can be generalized to the universe studied.</w:t>
      </w:r>
    </w:p>
    <w:p w14:paraId="05842112" w14:textId="7D901057" w:rsidR="00186A08" w:rsidRDefault="00D90AE2" w:rsidP="007A2357">
      <w:pPr>
        <w:pStyle w:val="P1-StandPara"/>
      </w:pPr>
      <w:r w:rsidRPr="00622070">
        <w:t>As reported in Table B1-1, a minimum 80 percent response rate is anticipated from SFAs and schools and a minimum 75 percent response rate from parents/guardians for the household survey.</w:t>
      </w:r>
      <w:r>
        <w:t xml:space="preserve"> We anticipate that the study will experience higher response rates among SFA</w:t>
      </w:r>
      <w:r w:rsidR="005D684B">
        <w:t>s</w:t>
      </w:r>
      <w:r>
        <w:t xml:space="preserve"> and schools </w:t>
      </w:r>
      <w:r w:rsidR="005D684B">
        <w:t>because</w:t>
      </w:r>
      <w:r>
        <w:t xml:space="preserve"> </w:t>
      </w:r>
      <w:r w:rsidR="00186A08">
        <w:t>(</w:t>
      </w:r>
      <w:r>
        <w:t>1)</w:t>
      </w:r>
      <w:r w:rsidR="00186A08">
        <w:t> </w:t>
      </w:r>
      <w:r>
        <w:t xml:space="preserve">response rates in APEC </w:t>
      </w:r>
      <w:r w:rsidRPr="000574E0">
        <w:t xml:space="preserve">II were high; </w:t>
      </w:r>
      <w:r w:rsidR="00186A08">
        <w:t>(</w:t>
      </w:r>
      <w:r w:rsidRPr="000574E0">
        <w:t>2)</w:t>
      </w:r>
      <w:r w:rsidR="00186A08">
        <w:t> </w:t>
      </w:r>
      <w:r w:rsidRPr="000574E0">
        <w:t xml:space="preserve">participation in this study is part of Healthy, Hunger-Free Kids Act (HHFKA) requirements (Appendix </w:t>
      </w:r>
      <w:r w:rsidR="00DA736B" w:rsidRPr="000574E0">
        <w:t>A</w:t>
      </w:r>
      <w:r w:rsidR="00DA736B">
        <w:t>9</w:t>
      </w:r>
      <w:r w:rsidRPr="000574E0">
        <w:t xml:space="preserve">); and </w:t>
      </w:r>
      <w:r w:rsidR="00186A08">
        <w:t>(</w:t>
      </w:r>
      <w:r w:rsidRPr="000574E0">
        <w:t>3)</w:t>
      </w:r>
      <w:r w:rsidR="00186A08">
        <w:t> </w:t>
      </w:r>
      <w:r>
        <w:t xml:space="preserve">the schools will be </w:t>
      </w:r>
      <w:r w:rsidR="00FA7226">
        <w:t xml:space="preserve">directed and </w:t>
      </w:r>
      <w:r>
        <w:t>encouraged to participate by their SFAs.</w:t>
      </w:r>
      <w:r w:rsidR="005305E5">
        <w:t xml:space="preserve"> </w:t>
      </w:r>
      <w:r>
        <w:t xml:space="preserve">Additional steps to maximize response rates among SFAs and schools include working with the State </w:t>
      </w:r>
      <w:r w:rsidR="005F327B">
        <w:t>child n</w:t>
      </w:r>
      <w:r>
        <w:t xml:space="preserve">utrition </w:t>
      </w:r>
      <w:r w:rsidR="005F327B">
        <w:t>d</w:t>
      </w:r>
      <w:r>
        <w:t>irector and FNS regional liaisons to provide study notification and endorsement, encourage participation, and address any questions or concerns.</w:t>
      </w:r>
      <w:r w:rsidR="005305E5">
        <w:t xml:space="preserve"> </w:t>
      </w:r>
      <w:r>
        <w:t>Currently, 96</w:t>
      </w:r>
      <w:r w:rsidR="00186A08">
        <w:t xml:space="preserve"> percent</w:t>
      </w:r>
      <w:r>
        <w:t xml:space="preserve"> of the SFAs have already confirmed participation.</w:t>
      </w:r>
      <w:r w:rsidR="005305E5">
        <w:t xml:space="preserve"> </w:t>
      </w:r>
      <w:r>
        <w:t xml:space="preserve">As a result, the participation rate among eligible schools will be comparable as the SFA directors agreed to facilitate the participation of their sampled schools </w:t>
      </w:r>
      <w:r w:rsidR="00FA7226">
        <w:t xml:space="preserve">when data collection begins. </w:t>
      </w:r>
    </w:p>
    <w:p w14:paraId="38F56184" w14:textId="77777777" w:rsidR="005305E5" w:rsidRDefault="00D90AE2" w:rsidP="007A2357">
      <w:pPr>
        <w:pStyle w:val="P1-StandPara"/>
      </w:pPr>
      <w:r w:rsidRPr="0089282E">
        <w:t xml:space="preserve">For the household survey we </w:t>
      </w:r>
      <w:r>
        <w:t xml:space="preserve">expect a minimum response rate of </w:t>
      </w:r>
      <w:r w:rsidRPr="0089282E">
        <w:t>75</w:t>
      </w:r>
      <w:r w:rsidR="00186A08">
        <w:t xml:space="preserve"> percent</w:t>
      </w:r>
      <w:r w:rsidRPr="0089282E">
        <w:t xml:space="preserve"> among the sampled student households.</w:t>
      </w:r>
      <w:r w:rsidR="005305E5">
        <w:t xml:space="preserve"> </w:t>
      </w:r>
      <w:r>
        <w:t xml:space="preserve">Households will be provided with advance notice and guidance for the income documentation that will be requested during the survey. </w:t>
      </w:r>
      <w:r w:rsidRPr="00BA4712">
        <w:t xml:space="preserve">If response rates fall below </w:t>
      </w:r>
      <w:r>
        <w:t>75</w:t>
      </w:r>
      <w:r w:rsidRPr="00BA4712">
        <w:t xml:space="preserve"> percent, nonresponse bias analysis will be conducted as described in the response to question B2.</w:t>
      </w:r>
    </w:p>
    <w:p w14:paraId="38AAE4B6" w14:textId="77777777" w:rsidR="005305E5" w:rsidRDefault="00D90AE2" w:rsidP="007A2357">
      <w:pPr>
        <w:pStyle w:val="P1-StandPara"/>
      </w:pPr>
      <w:r w:rsidRPr="00BA4712">
        <w:t xml:space="preserve">Several </w:t>
      </w:r>
      <w:r>
        <w:t xml:space="preserve">steps will be taken to maximize </w:t>
      </w:r>
      <w:r w:rsidRPr="00BA4712">
        <w:t xml:space="preserve">response rates </w:t>
      </w:r>
      <w:r>
        <w:t>among sampled households</w:t>
      </w:r>
      <w:r w:rsidR="005F327B">
        <w:t>,</w:t>
      </w:r>
      <w:r>
        <w:t xml:space="preserve"> </w:t>
      </w:r>
      <w:r w:rsidRPr="00BA4712">
        <w:t>including</w:t>
      </w:r>
      <w:r w:rsidR="005F327B">
        <w:t xml:space="preserve"> the following</w:t>
      </w:r>
      <w:r w:rsidRPr="00BA4712">
        <w:t>:</w:t>
      </w:r>
    </w:p>
    <w:p w14:paraId="0F14F934" w14:textId="77777777" w:rsidR="005305E5" w:rsidRDefault="005F327B" w:rsidP="007A2357">
      <w:pPr>
        <w:pStyle w:val="N1-1stBullet"/>
      </w:pPr>
      <w:r>
        <w:lastRenderedPageBreak/>
        <w:t>Inclusion in t</w:t>
      </w:r>
      <w:r w:rsidR="00D90AE2" w:rsidRPr="00227F02">
        <w:t xml:space="preserve">he recruitment packet </w:t>
      </w:r>
      <w:r>
        <w:t>for</w:t>
      </w:r>
      <w:r w:rsidR="00D90AE2" w:rsidRPr="00227F02">
        <w:t xml:space="preserve"> sampled </w:t>
      </w:r>
      <w:r w:rsidR="00D90AE2">
        <w:t xml:space="preserve">student </w:t>
      </w:r>
      <w:r w:rsidR="00D90AE2" w:rsidRPr="00227F02">
        <w:t xml:space="preserve">households information about the importance of the study, privacy protections, incentive information, and the </w:t>
      </w:r>
      <w:r w:rsidR="0061576E">
        <w:t>assurance</w:t>
      </w:r>
      <w:r w:rsidR="0061576E" w:rsidRPr="00227F02">
        <w:t xml:space="preserve"> </w:t>
      </w:r>
      <w:r w:rsidR="00D90AE2" w:rsidRPr="00227F02">
        <w:t>that meal benefits will not be affected by study participation</w:t>
      </w:r>
      <w:r>
        <w:t>;</w:t>
      </w:r>
    </w:p>
    <w:p w14:paraId="32A906A0" w14:textId="77777777" w:rsidR="00D90AE2" w:rsidRPr="00227F02" w:rsidRDefault="00D90AE2" w:rsidP="007A2357">
      <w:pPr>
        <w:pStyle w:val="N1-1stBullet"/>
      </w:pPr>
      <w:r w:rsidRPr="00227F02">
        <w:t>Use of qualified, trained</w:t>
      </w:r>
      <w:r w:rsidR="0061576E">
        <w:t>,</w:t>
      </w:r>
      <w:r w:rsidRPr="00227F02">
        <w:t xml:space="preserve"> and experienced individuals to conduct recruitment and household interviews</w:t>
      </w:r>
      <w:r w:rsidR="005F327B">
        <w:t>;</w:t>
      </w:r>
    </w:p>
    <w:p w14:paraId="196FED96" w14:textId="77777777" w:rsidR="005305E5" w:rsidRDefault="00D90AE2" w:rsidP="007A2357">
      <w:pPr>
        <w:pStyle w:val="N1-1stBullet"/>
      </w:pPr>
      <w:r w:rsidRPr="00227F02">
        <w:t>Use of experienced senior-level staff to recruit reluctant parents/guardians</w:t>
      </w:r>
      <w:r w:rsidR="005F327B">
        <w:t>;</w:t>
      </w:r>
    </w:p>
    <w:p w14:paraId="75FA5593" w14:textId="77777777" w:rsidR="00D90AE2" w:rsidRPr="00227F02" w:rsidRDefault="00D90AE2" w:rsidP="007A2357">
      <w:pPr>
        <w:pStyle w:val="N1-1stBullet"/>
      </w:pPr>
      <w:r w:rsidRPr="00227F02">
        <w:t>Use of data c</w:t>
      </w:r>
      <w:r>
        <w:t>ollection methods for the household</w:t>
      </w:r>
      <w:r w:rsidRPr="00227F02">
        <w:t xml:space="preserve"> survey that shift the burden to the data collector (i.e.</w:t>
      </w:r>
      <w:r w:rsidR="005F327B">
        <w:t>,</w:t>
      </w:r>
      <w:r w:rsidRPr="00227F02">
        <w:t xml:space="preserve"> computer assisted person</w:t>
      </w:r>
      <w:r w:rsidR="005F327B">
        <w:t>al</w:t>
      </w:r>
      <w:r w:rsidRPr="00227F02">
        <w:t xml:space="preserve"> interview), minimizing data</w:t>
      </w:r>
      <w:r>
        <w:t xml:space="preserve"> entry and writing for </w:t>
      </w:r>
      <w:r w:rsidRPr="00227F02">
        <w:t>survey respondents</w:t>
      </w:r>
      <w:r w:rsidR="005F327B">
        <w:t>; and</w:t>
      </w:r>
    </w:p>
    <w:p w14:paraId="1FB1F08D" w14:textId="77777777" w:rsidR="00186A08" w:rsidRDefault="00D90AE2" w:rsidP="007A2357">
      <w:pPr>
        <w:pStyle w:val="N1-1stBullet"/>
      </w:pPr>
      <w:r w:rsidRPr="00227F02">
        <w:t>Use of a modest incentive payment to parents/guardians who</w:t>
      </w:r>
      <w:r>
        <w:t xml:space="preserve"> complete the </w:t>
      </w:r>
      <w:r w:rsidR="005F327B">
        <w:t>h</w:t>
      </w:r>
      <w:r>
        <w:t xml:space="preserve">ousehold survey and an additional incentive to those who are sampled for and complete the </w:t>
      </w:r>
      <w:r w:rsidR="005F327B">
        <w:t>h</w:t>
      </w:r>
      <w:r>
        <w:t xml:space="preserve">ousehold </w:t>
      </w:r>
      <w:r w:rsidR="005F327B">
        <w:t>in-depth interview</w:t>
      </w:r>
      <w:r>
        <w:t>.</w:t>
      </w:r>
    </w:p>
    <w:p w14:paraId="0866065A" w14:textId="788EF991" w:rsidR="005305E5" w:rsidRDefault="00D90AE2" w:rsidP="007A2357">
      <w:pPr>
        <w:pStyle w:val="P1-StandPara"/>
      </w:pPr>
      <w:bookmarkStart w:id="22" w:name="_Toc315969089"/>
      <w:bookmarkStart w:id="23" w:name="_Toc316312717"/>
      <w:bookmarkStart w:id="24" w:name="_Toc318292707"/>
      <w:bookmarkStart w:id="25" w:name="_Toc320539720"/>
      <w:bookmarkStart w:id="26" w:name="_Toc406768948"/>
      <w:bookmarkStart w:id="27" w:name="_Toc409608406"/>
      <w:r w:rsidRPr="006C1C2D">
        <w:t>Table A2-1 (see Question 2 of Supporting Statement Part A) provides a summary of the data collection methods</w:t>
      </w:r>
      <w:r>
        <w:t>, types of respondents</w:t>
      </w:r>
      <w:r w:rsidR="005F327B">
        <w:t>,</w:t>
      </w:r>
      <w:r>
        <w:t xml:space="preserve"> and what will be collected.</w:t>
      </w:r>
      <w:r w:rsidR="005305E5">
        <w:t xml:space="preserve"> </w:t>
      </w:r>
      <w:r>
        <w:t>As shown in Table A2-1, most of the data collection from SFAs and schools require access to existing records.</w:t>
      </w:r>
      <w:r w:rsidR="005305E5">
        <w:t xml:space="preserve"> </w:t>
      </w:r>
      <w:r>
        <w:t xml:space="preserve">As described in Question 3 of Part A, the burden of data collection in SFAs and schools </w:t>
      </w:r>
      <w:r w:rsidR="00DA736B">
        <w:t xml:space="preserve">is </w:t>
      </w:r>
      <w:r>
        <w:t xml:space="preserve">shifted heavily to the field data collector after access to the records </w:t>
      </w:r>
      <w:r w:rsidR="00DA736B">
        <w:t xml:space="preserve">is </w:t>
      </w:r>
      <w:r>
        <w:t>provided.</w:t>
      </w:r>
      <w:r w:rsidR="005305E5">
        <w:t xml:space="preserve"> </w:t>
      </w:r>
      <w:r>
        <w:t>For the household survey component, the collection of data electronically using computer assisted personal interviewing (CAPI) will be highlighted during recruitment to ease the respondents</w:t>
      </w:r>
      <w:r w:rsidR="00DA736B">
        <w:t>’</w:t>
      </w:r>
      <w:r>
        <w:t xml:space="preserve"> concerns about the burden of completing the survey.</w:t>
      </w:r>
      <w:r w:rsidR="005305E5">
        <w:t xml:space="preserve"> </w:t>
      </w:r>
      <w:r>
        <w:t>Al</w:t>
      </w:r>
      <w:r w:rsidR="0061576E">
        <w:t xml:space="preserve">l </w:t>
      </w:r>
      <w:r>
        <w:t>together, these efforts will also work to maximize response rates.</w:t>
      </w:r>
    </w:p>
    <w:p w14:paraId="4D0E55DB" w14:textId="77777777" w:rsidR="00D90AE2" w:rsidRPr="00BA4712" w:rsidRDefault="00D90AE2" w:rsidP="007A2357">
      <w:pPr>
        <w:pStyle w:val="Heading2"/>
      </w:pPr>
      <w:r w:rsidRPr="00BA4712">
        <w:lastRenderedPageBreak/>
        <w:t>4.</w:t>
      </w:r>
      <w:r w:rsidRPr="00BA4712">
        <w:tab/>
        <w:t>Test of Procedures</w:t>
      </w:r>
      <w:bookmarkEnd w:id="22"/>
      <w:bookmarkEnd w:id="23"/>
      <w:bookmarkEnd w:id="24"/>
      <w:bookmarkEnd w:id="25"/>
      <w:bookmarkEnd w:id="26"/>
      <w:r w:rsidRPr="00BA4712">
        <w:t xml:space="preserve"> or Methods to be </w:t>
      </w:r>
      <w:proofErr w:type="gramStart"/>
      <w:r w:rsidRPr="00BA4712">
        <w:t>Undertaken</w:t>
      </w:r>
      <w:bookmarkEnd w:id="27"/>
      <w:proofErr w:type="gramEnd"/>
    </w:p>
    <w:p w14:paraId="3A007E03" w14:textId="77777777" w:rsidR="00186A08" w:rsidRDefault="007A2357" w:rsidP="007A2357">
      <w:pPr>
        <w:pStyle w:val="Heading5"/>
      </w:pPr>
      <w:r>
        <w:tab/>
      </w:r>
      <w:r w:rsidR="00D90AE2" w:rsidRPr="00BA4712">
        <w:t>Describe any tests of procedures or methods to be undertaken.</w:t>
      </w:r>
      <w:r w:rsidR="00D90AE2">
        <w:t xml:space="preserve"> </w:t>
      </w:r>
      <w:r w:rsidR="00D90AE2" w:rsidRPr="00BA4712">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w:t>
      </w:r>
      <w:r w:rsidR="00D90AE2">
        <w:t xml:space="preserve"> of information.</w:t>
      </w:r>
    </w:p>
    <w:p w14:paraId="3FEF0F8F" w14:textId="77777777" w:rsidR="00D90AE2" w:rsidRDefault="00D90AE2" w:rsidP="007A2357">
      <w:pPr>
        <w:pStyle w:val="P1-StandPara"/>
      </w:pPr>
      <w:r>
        <w:t>The household survey instrument is comparable to the survey instrument that was approved by OMB for the APEC</w:t>
      </w:r>
      <w:r w:rsidR="005F327B">
        <w:t xml:space="preserve"> </w:t>
      </w:r>
      <w:r>
        <w:t xml:space="preserve">II study in 2012 (Approval # </w:t>
      </w:r>
      <w:r w:rsidRPr="00861E6F">
        <w:t>0584–0530</w:t>
      </w:r>
      <w:r w:rsidR="005305E5">
        <w:t xml:space="preserve"> </w:t>
      </w:r>
      <w:r w:rsidRPr="00865777">
        <w:t xml:space="preserve">NSLP/SBP Access, Participation, Eligibility, and Certification Study, </w:t>
      </w:r>
      <w:r>
        <w:t>Discontinued</w:t>
      </w:r>
      <w:r w:rsidR="005305E5">
        <w:t xml:space="preserve"> </w:t>
      </w:r>
      <w:r w:rsidRPr="00865777">
        <w:t>08/31/2015</w:t>
      </w:r>
      <w:r>
        <w:t xml:space="preserve">). Cognitive pretests of survey instruments were conducted in March and April 2016. These included the household survey, household in-depth interview, SFA </w:t>
      </w:r>
      <w:r w:rsidR="005F327B">
        <w:t>d</w:t>
      </w:r>
      <w:r>
        <w:t xml:space="preserve">irector survey, SFA </w:t>
      </w:r>
      <w:r w:rsidR="005F327B">
        <w:t>d</w:t>
      </w:r>
      <w:r>
        <w:t xml:space="preserve">irector in-depth interview, and </w:t>
      </w:r>
      <w:r w:rsidR="005F327B">
        <w:t>c</w:t>
      </w:r>
      <w:r>
        <w:t xml:space="preserve">afeteria </w:t>
      </w:r>
      <w:r w:rsidR="005F327B">
        <w:t>m</w:t>
      </w:r>
      <w:r>
        <w:t>anager in-depth interview. The findings and recommendations were submitted as a deliverable to FNS and incorporated into the final study instruments (see Appendix U</w:t>
      </w:r>
      <w:r w:rsidR="006F6280">
        <w:t xml:space="preserve">, </w:t>
      </w:r>
      <w:r w:rsidR="00AE3CE0">
        <w:t>APEC III Cognitive Pretest Findings Report</w:t>
      </w:r>
      <w:r>
        <w:t>).</w:t>
      </w:r>
    </w:p>
    <w:p w14:paraId="5134ABF4" w14:textId="77777777" w:rsidR="005305E5" w:rsidRDefault="00D90AE2" w:rsidP="007A2357">
      <w:pPr>
        <w:pStyle w:val="P1-StandPara"/>
      </w:pPr>
      <w:r>
        <w:t>Data collection instruments and procedures for records abstraction and meal observations were all developed based on previously approved APEC</w:t>
      </w:r>
      <w:r w:rsidR="005F327B">
        <w:t xml:space="preserve"> </w:t>
      </w:r>
      <w:r>
        <w:t>II procedures, with minor modifications.</w:t>
      </w:r>
      <w:r w:rsidR="005305E5">
        <w:t xml:space="preserve"> </w:t>
      </w:r>
      <w:r>
        <w:t>It is important to note that only trained data collectors will use these data collection forms; the staff from the schools will not be asked to complete these forms.</w:t>
      </w:r>
    </w:p>
    <w:p w14:paraId="6CB582A9" w14:textId="77777777" w:rsidR="00D90AE2" w:rsidRPr="00BA4712" w:rsidRDefault="00D90AE2" w:rsidP="007A2357">
      <w:pPr>
        <w:pStyle w:val="Heading2"/>
      </w:pPr>
      <w:bookmarkStart w:id="28" w:name="_Toc315969090"/>
      <w:bookmarkStart w:id="29" w:name="_Toc316312718"/>
      <w:bookmarkStart w:id="30" w:name="_Toc318292708"/>
      <w:bookmarkStart w:id="31" w:name="_Toc320539721"/>
      <w:bookmarkStart w:id="32" w:name="_Toc406768949"/>
      <w:bookmarkStart w:id="33" w:name="_Toc409608407"/>
      <w:r w:rsidRPr="00BA4712">
        <w:lastRenderedPageBreak/>
        <w:t>5.</w:t>
      </w:r>
      <w:r w:rsidRPr="00BA4712">
        <w:tab/>
        <w:t>Individuals Consulted on Statistical Aspects of the Design</w:t>
      </w:r>
      <w:bookmarkEnd w:id="28"/>
      <w:bookmarkEnd w:id="29"/>
      <w:bookmarkEnd w:id="30"/>
      <w:bookmarkEnd w:id="31"/>
      <w:bookmarkEnd w:id="32"/>
      <w:r w:rsidRPr="00BA4712">
        <w:t xml:space="preserve"> &amp; Individuals Collecting and/or Analyzing Data</w:t>
      </w:r>
      <w:bookmarkEnd w:id="33"/>
    </w:p>
    <w:p w14:paraId="0A627121" w14:textId="77777777" w:rsidR="00186A08" w:rsidRDefault="007A2357" w:rsidP="007A2357">
      <w:pPr>
        <w:pStyle w:val="Heading5"/>
      </w:pPr>
      <w:r>
        <w:tab/>
      </w:r>
      <w:r w:rsidR="00D90AE2" w:rsidRPr="00BA4712">
        <w:t>Provide the name and telephone number of individuals consulted on statistical aspects of the design and the name of the agency unit, contractor(s), grantee(s), or other person(s) who will actually collect and/or analyze the information for the agency.</w:t>
      </w:r>
    </w:p>
    <w:p w14:paraId="7D9AA978" w14:textId="77777777" w:rsidR="005305E5" w:rsidRDefault="00D90AE2" w:rsidP="007A2357">
      <w:pPr>
        <w:pStyle w:val="P1-StandPara"/>
      </w:pPr>
      <w:r w:rsidRPr="003A0203">
        <w:t xml:space="preserve">Table B5-1 </w:t>
      </w:r>
      <w:r w:rsidRPr="00BA4712">
        <w:t>presents a summary of staff consulted on statistical aspects of the design. These staff will be responsible for the collection and analysis of the study</w:t>
      </w:r>
      <w:r w:rsidR="00703835">
        <w:t>’</w:t>
      </w:r>
      <w:r w:rsidRPr="00BA4712">
        <w:t>s data.</w:t>
      </w:r>
    </w:p>
    <w:p w14:paraId="3164606C" w14:textId="77777777" w:rsidR="00D90AE2" w:rsidRDefault="00D90AE2" w:rsidP="007A2357">
      <w:pPr>
        <w:pStyle w:val="TT-TableTitle"/>
      </w:pPr>
      <w:bookmarkStart w:id="34" w:name="_Toc315969104"/>
      <w:bookmarkStart w:id="35" w:name="_Toc316312723"/>
      <w:bookmarkStart w:id="36" w:name="_Toc318292713"/>
      <w:bookmarkStart w:id="37" w:name="_Toc406501323"/>
      <w:r w:rsidRPr="00BA4712">
        <w:t>Table B5</w:t>
      </w:r>
      <w:r>
        <w:t>-</w:t>
      </w:r>
      <w:r w:rsidRPr="00BA4712">
        <w:t>1.</w:t>
      </w:r>
      <w:r w:rsidR="007A2357">
        <w:tab/>
      </w:r>
      <w:r w:rsidRPr="00BA4712">
        <w:t xml:space="preserve">Individuals </w:t>
      </w:r>
      <w:r w:rsidR="007A2357" w:rsidRPr="00BA4712">
        <w:t>consulted on data collection or analysis</w:t>
      </w:r>
      <w:bookmarkEnd w:id="34"/>
      <w:bookmarkEnd w:id="35"/>
      <w:bookmarkEnd w:id="36"/>
      <w:bookmarkEnd w:id="37"/>
    </w:p>
    <w:p w14:paraId="72D3E493" w14:textId="77777777" w:rsidR="007A2357" w:rsidRPr="00BA4712" w:rsidRDefault="007A2357" w:rsidP="007A2357">
      <w:pPr>
        <w:pStyle w:val="TT-TableTitle"/>
      </w:pPr>
    </w:p>
    <w:tbl>
      <w:tblPr>
        <w:tblStyle w:val="TableWestatStandardFormat"/>
        <w:tblW w:w="5000" w:type="pct"/>
        <w:tblLook w:val="04A0" w:firstRow="1" w:lastRow="0" w:firstColumn="1" w:lastColumn="0" w:noHBand="0" w:noVBand="1"/>
      </w:tblPr>
      <w:tblGrid>
        <w:gridCol w:w="3729"/>
        <w:gridCol w:w="3938"/>
        <w:gridCol w:w="1909"/>
      </w:tblGrid>
      <w:tr w:rsidR="007A2357" w:rsidRPr="00227F02" w14:paraId="64D695D9" w14:textId="77777777" w:rsidTr="007A2357">
        <w:trPr>
          <w:cnfStyle w:val="100000000000" w:firstRow="1" w:lastRow="0" w:firstColumn="0" w:lastColumn="0" w:oddVBand="0" w:evenVBand="0" w:oddHBand="0" w:evenHBand="0" w:firstRowFirstColumn="0" w:firstRowLastColumn="0" w:lastRowFirstColumn="0" w:lastRowLastColumn="0"/>
          <w:trHeight w:val="288"/>
        </w:trPr>
        <w:tc>
          <w:tcPr>
            <w:tcW w:w="1947" w:type="pct"/>
          </w:tcPr>
          <w:p w14:paraId="45F4D755" w14:textId="77777777" w:rsidR="007A2357" w:rsidRPr="00227F02" w:rsidRDefault="007A2357" w:rsidP="007A2357">
            <w:pPr>
              <w:pStyle w:val="TH-TableHeading"/>
            </w:pPr>
            <w:r w:rsidRPr="00227F02">
              <w:t xml:space="preserve">Westat </w:t>
            </w:r>
            <w:r w:rsidR="0061576E">
              <w:t>S</w:t>
            </w:r>
            <w:r w:rsidRPr="00227F02">
              <w:t>taff (contractor)</w:t>
            </w:r>
          </w:p>
        </w:tc>
        <w:tc>
          <w:tcPr>
            <w:tcW w:w="2056" w:type="pct"/>
          </w:tcPr>
          <w:p w14:paraId="5CF5C280" w14:textId="77777777" w:rsidR="007A2357" w:rsidRPr="00227F02" w:rsidRDefault="007A2357" w:rsidP="007A2357">
            <w:pPr>
              <w:pStyle w:val="TH-TableHeading"/>
            </w:pPr>
            <w:r w:rsidRPr="00227F02">
              <w:t>Title</w:t>
            </w:r>
          </w:p>
        </w:tc>
        <w:tc>
          <w:tcPr>
            <w:tcW w:w="997" w:type="pct"/>
          </w:tcPr>
          <w:p w14:paraId="5B33948C" w14:textId="77777777" w:rsidR="007A2357" w:rsidRPr="00227F02" w:rsidRDefault="007A2357" w:rsidP="007A2357">
            <w:pPr>
              <w:pStyle w:val="TH-TableHeading"/>
            </w:pPr>
            <w:r w:rsidRPr="00227F02">
              <w:t>Phone number</w:t>
            </w:r>
          </w:p>
        </w:tc>
      </w:tr>
      <w:tr w:rsidR="00D90AE2" w:rsidRPr="00227F02" w14:paraId="06F705F7" w14:textId="77777777" w:rsidTr="007A2357">
        <w:trPr>
          <w:trHeight w:val="288"/>
        </w:trPr>
        <w:tc>
          <w:tcPr>
            <w:tcW w:w="1947" w:type="pct"/>
          </w:tcPr>
          <w:p w14:paraId="173FA19E" w14:textId="77777777" w:rsidR="00D90AE2" w:rsidRPr="00227F02" w:rsidRDefault="00D90AE2" w:rsidP="007A2357">
            <w:pPr>
              <w:pStyle w:val="TX-TableText"/>
            </w:pPr>
            <w:r w:rsidRPr="00227F02">
              <w:t>Roline Milfort, Ph.D.</w:t>
            </w:r>
            <w:r>
              <w:t>, PMP</w:t>
            </w:r>
          </w:p>
        </w:tc>
        <w:tc>
          <w:tcPr>
            <w:tcW w:w="2056" w:type="pct"/>
          </w:tcPr>
          <w:p w14:paraId="7F27E091" w14:textId="77777777" w:rsidR="00D90AE2" w:rsidRPr="00227F02" w:rsidRDefault="00D90AE2" w:rsidP="007A2357">
            <w:pPr>
              <w:pStyle w:val="TX-TableText"/>
            </w:pPr>
            <w:r w:rsidRPr="00227F02">
              <w:t>Senior Study Director</w:t>
            </w:r>
          </w:p>
        </w:tc>
        <w:tc>
          <w:tcPr>
            <w:tcW w:w="997" w:type="pct"/>
          </w:tcPr>
          <w:p w14:paraId="37DF2764" w14:textId="77777777" w:rsidR="00D90AE2" w:rsidRPr="00227F02" w:rsidRDefault="00D90AE2" w:rsidP="007A2357">
            <w:pPr>
              <w:pStyle w:val="TX-TableText"/>
            </w:pPr>
            <w:r w:rsidRPr="00227F02">
              <w:t>301-251-8229</w:t>
            </w:r>
          </w:p>
        </w:tc>
      </w:tr>
      <w:tr w:rsidR="00D90AE2" w:rsidRPr="00227F02" w14:paraId="1C8A676C" w14:textId="77777777" w:rsidTr="007A2357">
        <w:trPr>
          <w:trHeight w:val="288"/>
        </w:trPr>
        <w:tc>
          <w:tcPr>
            <w:tcW w:w="1947" w:type="pct"/>
          </w:tcPr>
          <w:p w14:paraId="4DAC9804" w14:textId="77777777" w:rsidR="00D90AE2" w:rsidRPr="00227F02" w:rsidRDefault="00D90AE2" w:rsidP="007A2357">
            <w:pPr>
              <w:pStyle w:val="TX-TableText"/>
            </w:pPr>
            <w:r w:rsidRPr="00227F02">
              <w:t>Laurie May, Ph.D.</w:t>
            </w:r>
          </w:p>
        </w:tc>
        <w:tc>
          <w:tcPr>
            <w:tcW w:w="2056" w:type="pct"/>
          </w:tcPr>
          <w:p w14:paraId="7150AFA3" w14:textId="77777777" w:rsidR="00D90AE2" w:rsidRPr="00227F02" w:rsidRDefault="00D90AE2" w:rsidP="007A2357">
            <w:pPr>
              <w:pStyle w:val="TX-TableText"/>
            </w:pPr>
            <w:r w:rsidRPr="00227F02">
              <w:t>Vice President, Associate Director</w:t>
            </w:r>
          </w:p>
        </w:tc>
        <w:tc>
          <w:tcPr>
            <w:tcW w:w="997" w:type="pct"/>
          </w:tcPr>
          <w:p w14:paraId="3F6EE66B" w14:textId="77777777" w:rsidR="00D90AE2" w:rsidRPr="00227F02" w:rsidRDefault="00D90AE2" w:rsidP="007A2357">
            <w:pPr>
              <w:pStyle w:val="TX-TableText"/>
            </w:pPr>
            <w:r w:rsidRPr="00227F02">
              <w:t>301-517-4076</w:t>
            </w:r>
          </w:p>
        </w:tc>
      </w:tr>
      <w:tr w:rsidR="00D90AE2" w:rsidRPr="00227F02" w14:paraId="6C8B3B87" w14:textId="77777777" w:rsidTr="007A2357">
        <w:trPr>
          <w:trHeight w:val="288"/>
        </w:trPr>
        <w:tc>
          <w:tcPr>
            <w:tcW w:w="1947" w:type="pct"/>
          </w:tcPr>
          <w:p w14:paraId="04AE57D4" w14:textId="77777777" w:rsidR="00D90AE2" w:rsidRPr="00227F02" w:rsidRDefault="00D90AE2" w:rsidP="007A2357">
            <w:pPr>
              <w:pStyle w:val="TX-TableText"/>
            </w:pPr>
            <w:r w:rsidRPr="00227F02">
              <w:t>Mustafa Karakus, Ph.D.</w:t>
            </w:r>
          </w:p>
        </w:tc>
        <w:tc>
          <w:tcPr>
            <w:tcW w:w="2056" w:type="pct"/>
          </w:tcPr>
          <w:p w14:paraId="2F6C1F55" w14:textId="77777777" w:rsidR="00D90AE2" w:rsidRPr="00227F02" w:rsidRDefault="00D90AE2" w:rsidP="007A2357">
            <w:pPr>
              <w:pStyle w:val="TX-TableText"/>
            </w:pPr>
            <w:r w:rsidRPr="00227F02">
              <w:t>Senior Economist</w:t>
            </w:r>
          </w:p>
        </w:tc>
        <w:tc>
          <w:tcPr>
            <w:tcW w:w="997" w:type="pct"/>
          </w:tcPr>
          <w:p w14:paraId="61FAC603" w14:textId="77777777" w:rsidR="00D90AE2" w:rsidRPr="00227F02" w:rsidRDefault="00D90AE2" w:rsidP="007A2357">
            <w:pPr>
              <w:pStyle w:val="TX-TableText"/>
            </w:pPr>
            <w:r w:rsidRPr="00227F02">
              <w:t>301-294-2874</w:t>
            </w:r>
          </w:p>
        </w:tc>
      </w:tr>
      <w:tr w:rsidR="00D90AE2" w:rsidRPr="00227F02" w14:paraId="7908BBBC" w14:textId="77777777" w:rsidTr="007A2357">
        <w:trPr>
          <w:trHeight w:val="288"/>
        </w:trPr>
        <w:tc>
          <w:tcPr>
            <w:tcW w:w="1947" w:type="pct"/>
          </w:tcPr>
          <w:p w14:paraId="34778D19" w14:textId="77777777" w:rsidR="00D90AE2" w:rsidRPr="00227F02" w:rsidRDefault="00D90AE2" w:rsidP="007A2357">
            <w:pPr>
              <w:pStyle w:val="TX-TableText"/>
            </w:pPr>
            <w:r w:rsidRPr="00227F02">
              <w:t>Adam Chu, Ph.D.</w:t>
            </w:r>
          </w:p>
        </w:tc>
        <w:tc>
          <w:tcPr>
            <w:tcW w:w="2056" w:type="pct"/>
          </w:tcPr>
          <w:p w14:paraId="696CD704" w14:textId="77777777" w:rsidR="00D90AE2" w:rsidRPr="00227F02" w:rsidRDefault="00D90AE2" w:rsidP="007A2357">
            <w:pPr>
              <w:pStyle w:val="TX-TableText"/>
            </w:pPr>
            <w:r w:rsidRPr="00227F02">
              <w:t>Senior Statistician</w:t>
            </w:r>
          </w:p>
        </w:tc>
        <w:tc>
          <w:tcPr>
            <w:tcW w:w="997" w:type="pct"/>
          </w:tcPr>
          <w:p w14:paraId="0F81939E" w14:textId="77777777" w:rsidR="00D90AE2" w:rsidRPr="00227F02" w:rsidRDefault="00D90AE2" w:rsidP="007A2357">
            <w:pPr>
              <w:pStyle w:val="TX-TableText"/>
            </w:pPr>
            <w:r w:rsidRPr="00227F02">
              <w:t>301-251-4326</w:t>
            </w:r>
          </w:p>
        </w:tc>
      </w:tr>
      <w:tr w:rsidR="00D90AE2" w:rsidRPr="00227F02" w14:paraId="332252CC" w14:textId="77777777" w:rsidTr="007A2357">
        <w:trPr>
          <w:trHeight w:val="288"/>
        </w:trPr>
        <w:tc>
          <w:tcPr>
            <w:tcW w:w="1947" w:type="pct"/>
          </w:tcPr>
          <w:p w14:paraId="5F1702FF" w14:textId="77777777" w:rsidR="00D90AE2" w:rsidRPr="00227F02" w:rsidRDefault="00D90AE2" w:rsidP="007A2357">
            <w:pPr>
              <w:pStyle w:val="TX-TableText"/>
            </w:pPr>
            <w:r>
              <w:t>Robert Fay, Ph.D.</w:t>
            </w:r>
          </w:p>
        </w:tc>
        <w:tc>
          <w:tcPr>
            <w:tcW w:w="2056" w:type="pct"/>
          </w:tcPr>
          <w:p w14:paraId="10DAD977" w14:textId="77777777" w:rsidR="00D90AE2" w:rsidRPr="00227F02" w:rsidRDefault="00D90AE2" w:rsidP="007A2357">
            <w:pPr>
              <w:pStyle w:val="TX-TableText"/>
            </w:pPr>
            <w:r>
              <w:t>Senior Statistician</w:t>
            </w:r>
          </w:p>
        </w:tc>
        <w:tc>
          <w:tcPr>
            <w:tcW w:w="997" w:type="pct"/>
          </w:tcPr>
          <w:p w14:paraId="36D56221" w14:textId="77777777" w:rsidR="00D90AE2" w:rsidRPr="00227F02" w:rsidRDefault="00D90AE2" w:rsidP="007A2357">
            <w:pPr>
              <w:pStyle w:val="TX-TableText"/>
            </w:pPr>
            <w:r w:rsidRPr="0005107F">
              <w:t>240-314-2318</w:t>
            </w:r>
          </w:p>
        </w:tc>
      </w:tr>
      <w:tr w:rsidR="00D90AE2" w:rsidRPr="00227F02" w14:paraId="274C0D0E" w14:textId="77777777" w:rsidTr="007A2357">
        <w:trPr>
          <w:trHeight w:val="288"/>
        </w:trPr>
        <w:tc>
          <w:tcPr>
            <w:tcW w:w="1947" w:type="pct"/>
          </w:tcPr>
          <w:p w14:paraId="46CF2889" w14:textId="77777777" w:rsidR="00D90AE2" w:rsidRPr="00227F02" w:rsidRDefault="00D90AE2" w:rsidP="007A2357">
            <w:pPr>
              <w:pStyle w:val="TX-TableText"/>
            </w:pPr>
            <w:r>
              <w:t>Roger Tourangeau, Ph.D.</w:t>
            </w:r>
          </w:p>
        </w:tc>
        <w:tc>
          <w:tcPr>
            <w:tcW w:w="2056" w:type="pct"/>
          </w:tcPr>
          <w:p w14:paraId="1452F41A" w14:textId="77777777" w:rsidR="00D90AE2" w:rsidRPr="00227F02" w:rsidRDefault="00D90AE2" w:rsidP="007A2357">
            <w:pPr>
              <w:pStyle w:val="TX-TableText"/>
            </w:pPr>
            <w:r>
              <w:t>Senior Statistician</w:t>
            </w:r>
          </w:p>
        </w:tc>
        <w:tc>
          <w:tcPr>
            <w:tcW w:w="997" w:type="pct"/>
          </w:tcPr>
          <w:p w14:paraId="4D6B453D" w14:textId="77777777" w:rsidR="00D90AE2" w:rsidRPr="00227F02" w:rsidRDefault="00D90AE2" w:rsidP="007A2357">
            <w:pPr>
              <w:pStyle w:val="TX-TableText"/>
            </w:pPr>
            <w:r w:rsidRPr="0005107F">
              <w:t>301-294-2828</w:t>
            </w:r>
          </w:p>
        </w:tc>
      </w:tr>
      <w:tr w:rsidR="00D90AE2" w:rsidRPr="00227F02" w14:paraId="031FAE1C" w14:textId="77777777" w:rsidTr="007A2357">
        <w:trPr>
          <w:trHeight w:val="288"/>
        </w:trPr>
        <w:tc>
          <w:tcPr>
            <w:tcW w:w="1947" w:type="pct"/>
          </w:tcPr>
          <w:p w14:paraId="2B9D8809" w14:textId="77777777" w:rsidR="00D90AE2" w:rsidRPr="00227F02" w:rsidRDefault="00D90AE2" w:rsidP="007A2357">
            <w:pPr>
              <w:pStyle w:val="TX-TableText"/>
            </w:pPr>
            <w:r>
              <w:t>David Cantor</w:t>
            </w:r>
            <w:r w:rsidRPr="00227F02">
              <w:t>, Ph.D.</w:t>
            </w:r>
          </w:p>
        </w:tc>
        <w:tc>
          <w:tcPr>
            <w:tcW w:w="2056" w:type="pct"/>
          </w:tcPr>
          <w:p w14:paraId="557892B7" w14:textId="77777777" w:rsidR="00D90AE2" w:rsidRPr="00227F02" w:rsidRDefault="00D90AE2" w:rsidP="007A2357">
            <w:pPr>
              <w:pStyle w:val="TX-TableText"/>
            </w:pPr>
            <w:r>
              <w:t>Survey Methodologist</w:t>
            </w:r>
          </w:p>
        </w:tc>
        <w:tc>
          <w:tcPr>
            <w:tcW w:w="997" w:type="pct"/>
          </w:tcPr>
          <w:p w14:paraId="0DA16155" w14:textId="77777777" w:rsidR="00D90AE2" w:rsidRPr="00227F02" w:rsidRDefault="00D90AE2" w:rsidP="007A2357">
            <w:pPr>
              <w:pStyle w:val="TX-TableText"/>
            </w:pPr>
            <w:r w:rsidRPr="0005107F">
              <w:t>301-294-2080</w:t>
            </w:r>
          </w:p>
        </w:tc>
      </w:tr>
      <w:tr w:rsidR="00D90AE2" w:rsidRPr="00227F02" w14:paraId="128B54FB" w14:textId="77777777" w:rsidTr="007A2357">
        <w:trPr>
          <w:trHeight w:val="288"/>
        </w:trPr>
        <w:tc>
          <w:tcPr>
            <w:tcW w:w="1947" w:type="pct"/>
            <w:tcBorders>
              <w:bottom w:val="single" w:sz="4" w:space="0" w:color="auto"/>
            </w:tcBorders>
          </w:tcPr>
          <w:p w14:paraId="71670C6F" w14:textId="77777777" w:rsidR="00D90AE2" w:rsidRDefault="00D90AE2" w:rsidP="007A2357">
            <w:pPr>
              <w:pStyle w:val="TX-TableText"/>
            </w:pPr>
            <w:r w:rsidRPr="008E17F7">
              <w:t>Melissa Rothstein, Ph.D.</w:t>
            </w:r>
          </w:p>
        </w:tc>
        <w:tc>
          <w:tcPr>
            <w:tcW w:w="2056" w:type="pct"/>
            <w:tcBorders>
              <w:bottom w:val="single" w:sz="4" w:space="0" w:color="auto"/>
            </w:tcBorders>
          </w:tcPr>
          <w:p w14:paraId="1954FB3C" w14:textId="77777777" w:rsidR="00D90AE2" w:rsidRDefault="00D90AE2" w:rsidP="007A2357">
            <w:pPr>
              <w:pStyle w:val="TX-TableText"/>
            </w:pPr>
            <w:r w:rsidRPr="008E17F7">
              <w:t xml:space="preserve">Independent Technical Advisor </w:t>
            </w:r>
          </w:p>
        </w:tc>
        <w:tc>
          <w:tcPr>
            <w:tcW w:w="997" w:type="pct"/>
            <w:tcBorders>
              <w:bottom w:val="single" w:sz="4" w:space="0" w:color="auto"/>
            </w:tcBorders>
          </w:tcPr>
          <w:p w14:paraId="6C36EF68" w14:textId="77777777" w:rsidR="00D90AE2" w:rsidRPr="0005107F" w:rsidRDefault="00D90AE2" w:rsidP="007A2357">
            <w:pPr>
              <w:pStyle w:val="TX-TableText"/>
            </w:pPr>
            <w:r w:rsidRPr="004A5660">
              <w:t>703-346-4484</w:t>
            </w:r>
          </w:p>
        </w:tc>
      </w:tr>
      <w:tr w:rsidR="00D90AE2" w:rsidRPr="00227F02" w14:paraId="0E5F95EE" w14:textId="77777777" w:rsidTr="007A2357">
        <w:trPr>
          <w:trHeight w:val="288"/>
        </w:trPr>
        <w:tc>
          <w:tcPr>
            <w:tcW w:w="5000" w:type="pct"/>
            <w:gridSpan w:val="3"/>
            <w:tcBorders>
              <w:top w:val="single" w:sz="4" w:space="0" w:color="auto"/>
              <w:bottom w:val="single" w:sz="4" w:space="0" w:color="auto"/>
            </w:tcBorders>
            <w:shd w:val="clear" w:color="auto" w:fill="AFBED7"/>
          </w:tcPr>
          <w:p w14:paraId="0647DFC1" w14:textId="77777777" w:rsidR="00D90AE2" w:rsidRPr="00227F02" w:rsidRDefault="007A2357" w:rsidP="007A2357">
            <w:pPr>
              <w:pStyle w:val="TH-TableHeading"/>
              <w:jc w:val="left"/>
            </w:pPr>
            <w:r>
              <w:t>Subcontractor/C</w:t>
            </w:r>
            <w:r w:rsidR="00D90AE2" w:rsidRPr="00227F02">
              <w:t>onsultants</w:t>
            </w:r>
          </w:p>
        </w:tc>
      </w:tr>
      <w:tr w:rsidR="00D90AE2" w:rsidRPr="00227F02" w14:paraId="3D049F9E" w14:textId="77777777" w:rsidTr="007A2357">
        <w:trPr>
          <w:trHeight w:val="288"/>
        </w:trPr>
        <w:tc>
          <w:tcPr>
            <w:tcW w:w="1947" w:type="pct"/>
            <w:tcBorders>
              <w:top w:val="single" w:sz="4" w:space="0" w:color="auto"/>
              <w:bottom w:val="single" w:sz="4" w:space="0" w:color="auto"/>
            </w:tcBorders>
          </w:tcPr>
          <w:p w14:paraId="04078263" w14:textId="77777777" w:rsidR="00D90AE2" w:rsidRPr="008E17F7" w:rsidRDefault="00D90AE2" w:rsidP="007A2357">
            <w:pPr>
              <w:pStyle w:val="TX-TableText"/>
            </w:pPr>
            <w:r w:rsidRPr="008E17F7">
              <w:t>Ted Macaluso, Ph.D.</w:t>
            </w:r>
          </w:p>
        </w:tc>
        <w:tc>
          <w:tcPr>
            <w:tcW w:w="2056" w:type="pct"/>
            <w:tcBorders>
              <w:top w:val="single" w:sz="4" w:space="0" w:color="auto"/>
              <w:bottom w:val="single" w:sz="4" w:space="0" w:color="auto"/>
            </w:tcBorders>
          </w:tcPr>
          <w:p w14:paraId="2F21C8E9" w14:textId="77777777" w:rsidR="00D90AE2" w:rsidRPr="008E17F7" w:rsidRDefault="00D90AE2" w:rsidP="007A2357">
            <w:pPr>
              <w:pStyle w:val="TX-TableText"/>
            </w:pPr>
            <w:r w:rsidRPr="008E17F7">
              <w:t>President, Ted Macaluso, LLC</w:t>
            </w:r>
          </w:p>
        </w:tc>
        <w:tc>
          <w:tcPr>
            <w:tcW w:w="997" w:type="pct"/>
            <w:tcBorders>
              <w:top w:val="single" w:sz="4" w:space="0" w:color="auto"/>
              <w:bottom w:val="single" w:sz="4" w:space="0" w:color="auto"/>
            </w:tcBorders>
          </w:tcPr>
          <w:p w14:paraId="3E256E48" w14:textId="77777777" w:rsidR="00D90AE2" w:rsidRPr="008E17F7" w:rsidRDefault="00D90AE2" w:rsidP="007A2357">
            <w:pPr>
              <w:pStyle w:val="TX-TableText"/>
            </w:pPr>
            <w:r w:rsidRPr="008E17F7">
              <w:t>571-214-9658</w:t>
            </w:r>
          </w:p>
        </w:tc>
      </w:tr>
      <w:tr w:rsidR="00D90AE2" w:rsidRPr="00227F02" w14:paraId="5304BEE3" w14:textId="77777777" w:rsidTr="007A2357">
        <w:trPr>
          <w:trHeight w:val="288"/>
        </w:trPr>
        <w:tc>
          <w:tcPr>
            <w:tcW w:w="5000" w:type="pct"/>
            <w:gridSpan w:val="3"/>
            <w:tcBorders>
              <w:top w:val="single" w:sz="4" w:space="0" w:color="auto"/>
              <w:bottom w:val="single" w:sz="4" w:space="0" w:color="auto"/>
            </w:tcBorders>
            <w:shd w:val="clear" w:color="auto" w:fill="AFBED7"/>
          </w:tcPr>
          <w:p w14:paraId="756C339B" w14:textId="77777777" w:rsidR="00D90AE2" w:rsidRPr="008E17F7" w:rsidRDefault="00D90AE2" w:rsidP="007A2357">
            <w:pPr>
              <w:pStyle w:val="TH-TableHeading"/>
              <w:jc w:val="left"/>
            </w:pPr>
            <w:r w:rsidRPr="008E17F7">
              <w:t>FNS Staff</w:t>
            </w:r>
          </w:p>
        </w:tc>
      </w:tr>
      <w:tr w:rsidR="00D90AE2" w:rsidRPr="00227F02" w14:paraId="22FA4D7A" w14:textId="77777777" w:rsidTr="007A2357">
        <w:trPr>
          <w:trHeight w:val="288"/>
        </w:trPr>
        <w:tc>
          <w:tcPr>
            <w:tcW w:w="1947" w:type="pct"/>
            <w:tcBorders>
              <w:top w:val="single" w:sz="4" w:space="0" w:color="auto"/>
            </w:tcBorders>
          </w:tcPr>
          <w:p w14:paraId="781BF4C9" w14:textId="77777777" w:rsidR="00D90AE2" w:rsidRPr="008E17F7" w:rsidRDefault="00D90AE2" w:rsidP="007A2357">
            <w:pPr>
              <w:pStyle w:val="TX-TableText"/>
            </w:pPr>
            <w:r>
              <w:t>Devin Wallace-Williams</w:t>
            </w:r>
            <w:r w:rsidRPr="008E17F7">
              <w:t>, Ph</w:t>
            </w:r>
            <w:r w:rsidR="00D73725">
              <w:t>.</w:t>
            </w:r>
            <w:r w:rsidRPr="008E17F7">
              <w:t>D</w:t>
            </w:r>
            <w:r w:rsidR="00D73725">
              <w:t>.</w:t>
            </w:r>
          </w:p>
        </w:tc>
        <w:tc>
          <w:tcPr>
            <w:tcW w:w="2056" w:type="pct"/>
            <w:tcBorders>
              <w:top w:val="single" w:sz="4" w:space="0" w:color="auto"/>
            </w:tcBorders>
          </w:tcPr>
          <w:p w14:paraId="638AB98E" w14:textId="77777777" w:rsidR="00D90AE2" w:rsidRPr="008E17F7" w:rsidRDefault="00D90AE2" w:rsidP="007A2357">
            <w:pPr>
              <w:pStyle w:val="TX-TableText"/>
            </w:pPr>
            <w:r w:rsidRPr="008E17F7">
              <w:t>Social Science Research Analyst</w:t>
            </w:r>
          </w:p>
        </w:tc>
        <w:tc>
          <w:tcPr>
            <w:tcW w:w="997" w:type="pct"/>
            <w:tcBorders>
              <w:top w:val="single" w:sz="4" w:space="0" w:color="auto"/>
            </w:tcBorders>
          </w:tcPr>
          <w:p w14:paraId="5BFD6436" w14:textId="77777777" w:rsidR="00D90AE2" w:rsidRPr="008E17F7" w:rsidRDefault="00D90AE2" w:rsidP="007A2357">
            <w:pPr>
              <w:pStyle w:val="TX-TableText"/>
            </w:pPr>
            <w:r>
              <w:t>703-457-6791</w:t>
            </w:r>
          </w:p>
        </w:tc>
      </w:tr>
      <w:tr w:rsidR="00D90AE2" w:rsidRPr="00227F02" w14:paraId="06F31AB4" w14:textId="77777777" w:rsidTr="007A2357">
        <w:trPr>
          <w:trHeight w:val="288"/>
        </w:trPr>
        <w:tc>
          <w:tcPr>
            <w:tcW w:w="1947" w:type="pct"/>
            <w:tcBorders>
              <w:bottom w:val="single" w:sz="4" w:space="0" w:color="auto"/>
            </w:tcBorders>
          </w:tcPr>
          <w:p w14:paraId="777AFD56" w14:textId="363C0B9B" w:rsidR="00D90AE2" w:rsidRDefault="00D90AE2" w:rsidP="00CC2456">
            <w:pPr>
              <w:pStyle w:val="TX-TableText"/>
            </w:pPr>
            <w:r>
              <w:t>John End</w:t>
            </w:r>
            <w:r w:rsidR="00CC2456">
              <w:t>ah</w:t>
            </w:r>
            <w:r>
              <w:t>l, Ph</w:t>
            </w:r>
            <w:r w:rsidR="00D73725">
              <w:t>.</w:t>
            </w:r>
            <w:r>
              <w:t>D</w:t>
            </w:r>
            <w:r w:rsidR="00D73725">
              <w:t>.</w:t>
            </w:r>
          </w:p>
        </w:tc>
        <w:tc>
          <w:tcPr>
            <w:tcW w:w="2056" w:type="pct"/>
            <w:tcBorders>
              <w:bottom w:val="single" w:sz="4" w:space="0" w:color="auto"/>
            </w:tcBorders>
          </w:tcPr>
          <w:p w14:paraId="4455B90A" w14:textId="77777777" w:rsidR="00D90AE2" w:rsidRPr="008E17F7" w:rsidRDefault="00D90AE2" w:rsidP="007A2357">
            <w:pPr>
              <w:pStyle w:val="TX-TableText"/>
            </w:pPr>
            <w:r>
              <w:t>Senior Program Analyst</w:t>
            </w:r>
          </w:p>
        </w:tc>
        <w:tc>
          <w:tcPr>
            <w:tcW w:w="997" w:type="pct"/>
            <w:tcBorders>
              <w:bottom w:val="single" w:sz="4" w:space="0" w:color="auto"/>
            </w:tcBorders>
          </w:tcPr>
          <w:p w14:paraId="27A88495" w14:textId="77777777" w:rsidR="00D90AE2" w:rsidRDefault="00D90AE2" w:rsidP="007A2357">
            <w:pPr>
              <w:pStyle w:val="TX-TableText"/>
            </w:pPr>
            <w:r>
              <w:t>703-305-2127</w:t>
            </w:r>
          </w:p>
        </w:tc>
      </w:tr>
      <w:tr w:rsidR="00D90AE2" w:rsidRPr="00227F02" w14:paraId="32283133" w14:textId="77777777" w:rsidTr="007A2357">
        <w:trPr>
          <w:trHeight w:val="288"/>
        </w:trPr>
        <w:tc>
          <w:tcPr>
            <w:tcW w:w="5000" w:type="pct"/>
            <w:gridSpan w:val="3"/>
            <w:tcBorders>
              <w:top w:val="single" w:sz="4" w:space="0" w:color="auto"/>
              <w:bottom w:val="single" w:sz="4" w:space="0" w:color="auto"/>
            </w:tcBorders>
            <w:shd w:val="clear" w:color="auto" w:fill="AFBED7"/>
          </w:tcPr>
          <w:p w14:paraId="37542550" w14:textId="77777777" w:rsidR="00D90AE2" w:rsidRPr="008E17F7" w:rsidRDefault="00D90AE2" w:rsidP="007A2357">
            <w:pPr>
              <w:pStyle w:val="TH-TableHeading"/>
              <w:jc w:val="left"/>
            </w:pPr>
            <w:r w:rsidRPr="008E17F7">
              <w:t>NASS Staff</w:t>
            </w:r>
          </w:p>
        </w:tc>
      </w:tr>
      <w:tr w:rsidR="00D90AE2" w:rsidRPr="00227F02" w14:paraId="08260A7C" w14:textId="77777777" w:rsidTr="007A2357">
        <w:trPr>
          <w:trHeight w:val="288"/>
        </w:trPr>
        <w:tc>
          <w:tcPr>
            <w:tcW w:w="1947" w:type="pct"/>
            <w:tcBorders>
              <w:top w:val="single" w:sz="4" w:space="0" w:color="auto"/>
            </w:tcBorders>
          </w:tcPr>
          <w:p w14:paraId="4AF441C6" w14:textId="77777777" w:rsidR="00D90AE2" w:rsidRPr="008E17F7" w:rsidRDefault="00403AB3" w:rsidP="007A2357">
            <w:pPr>
              <w:pStyle w:val="TX-TableText"/>
            </w:pPr>
            <w:r w:rsidRPr="00403AB3">
              <w:t>Jennifer Rhorer</w:t>
            </w:r>
          </w:p>
        </w:tc>
        <w:tc>
          <w:tcPr>
            <w:tcW w:w="2056" w:type="pct"/>
            <w:tcBorders>
              <w:top w:val="single" w:sz="4" w:space="0" w:color="auto"/>
            </w:tcBorders>
          </w:tcPr>
          <w:p w14:paraId="178C3760" w14:textId="0FA4392F" w:rsidR="00D90AE2" w:rsidRPr="008E17F7" w:rsidDel="00660517" w:rsidRDefault="00E5597B" w:rsidP="00E5597B">
            <w:pPr>
              <w:pStyle w:val="TX-TableText"/>
            </w:pPr>
            <w:r>
              <w:t>Mathematical Statistician</w:t>
            </w:r>
          </w:p>
        </w:tc>
        <w:tc>
          <w:tcPr>
            <w:tcW w:w="997" w:type="pct"/>
            <w:tcBorders>
              <w:top w:val="single" w:sz="4" w:space="0" w:color="auto"/>
            </w:tcBorders>
          </w:tcPr>
          <w:p w14:paraId="79352DAC" w14:textId="77777777" w:rsidR="00D90AE2" w:rsidRPr="008E17F7" w:rsidRDefault="00403AB3" w:rsidP="007A2357">
            <w:pPr>
              <w:pStyle w:val="TX-TableText"/>
            </w:pPr>
            <w:r w:rsidRPr="00403AB3">
              <w:t>202-720-2616</w:t>
            </w:r>
          </w:p>
        </w:tc>
      </w:tr>
    </w:tbl>
    <w:p w14:paraId="366CF936" w14:textId="77777777" w:rsidR="008C7480" w:rsidRPr="00D90AE2" w:rsidRDefault="008C7480" w:rsidP="007A2357">
      <w:pPr>
        <w:pStyle w:val="P1-StandPara"/>
      </w:pPr>
    </w:p>
    <w:sectPr w:rsidR="008C7480" w:rsidRPr="00D90AE2" w:rsidSect="001F15B8">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0F8E" w14:textId="77777777" w:rsidR="001C125A" w:rsidRDefault="001C125A" w:rsidP="00444C39">
      <w:r>
        <w:separator/>
      </w:r>
    </w:p>
  </w:endnote>
  <w:endnote w:type="continuationSeparator" w:id="0">
    <w:p w14:paraId="3B4AC5F8" w14:textId="77777777" w:rsidR="001C125A" w:rsidRDefault="001C125A" w:rsidP="004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A1002AEF" w:usb1="8000787B" w:usb2="00000008" w:usb3="00000000" w:csb0="000100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73B00" w14:textId="66AC5183" w:rsidR="007C3038" w:rsidRPr="00B86265" w:rsidRDefault="007C3038" w:rsidP="00F30358">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w:t>
    </w:r>
    <w:r>
      <w:rPr>
        <w:szCs w:val="24"/>
      </w:rPr>
      <w:t>B</w:t>
    </w:r>
    <w:r w:rsidRPr="00B86265">
      <w:rPr>
        <w:szCs w:val="24"/>
      </w:rPr>
      <w:t xml:space="preserve">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5B538C">
      <w:rPr>
        <w:rStyle w:val="PageNumber"/>
        <w:noProof/>
        <w:szCs w:val="24"/>
      </w:rPr>
      <w:t>i</w:t>
    </w:r>
    <w:r w:rsidRPr="00B86265">
      <w:rPr>
        <w:rStyle w:val="PageNumber"/>
        <w:szCs w:val="24"/>
      </w:rPr>
      <w:fldChar w:fldCharType="end"/>
    </w:r>
  </w:p>
  <w:p w14:paraId="649F6529" w14:textId="121F5573" w:rsidR="007C3038" w:rsidRPr="00B86265" w:rsidRDefault="005B538C" w:rsidP="00F30358">
    <w:pPr>
      <w:pStyle w:val="Footer"/>
      <w:tabs>
        <w:tab w:val="center" w:pos="4770"/>
        <w:tab w:val="right" w:pos="9360"/>
      </w:tabs>
      <w:rPr>
        <w:rStyle w:val="PageNumber"/>
        <w:szCs w:val="24"/>
      </w:rPr>
    </w:pPr>
    <w:r>
      <w:rPr>
        <w:rStyle w:val="PageNumber"/>
        <w:szCs w:val="24"/>
      </w:rPr>
      <w:t xml:space="preserve">May </w:t>
    </w:r>
    <w:r w:rsidR="007C3038" w:rsidRPr="00B86265">
      <w:rPr>
        <w:rStyle w:val="PageNumber"/>
        <w:szCs w:val="24"/>
      </w:rPr>
      <w:t>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48B4" w14:textId="20DA28EF" w:rsidR="007C3038" w:rsidRPr="00B86265" w:rsidRDefault="007C3038" w:rsidP="00597AF5">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w:t>
    </w:r>
    <w:r>
      <w:rPr>
        <w:szCs w:val="24"/>
      </w:rPr>
      <w:t>B</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5B538C">
      <w:rPr>
        <w:rStyle w:val="PageNumber"/>
        <w:noProof/>
        <w:szCs w:val="24"/>
      </w:rPr>
      <w:t>1</w:t>
    </w:r>
    <w:r w:rsidRPr="00B86265">
      <w:rPr>
        <w:rStyle w:val="PageNumber"/>
        <w:szCs w:val="24"/>
      </w:rPr>
      <w:fldChar w:fldCharType="end"/>
    </w:r>
  </w:p>
  <w:p w14:paraId="7E7112AE" w14:textId="163A6FEC" w:rsidR="007C3038" w:rsidRPr="00B86265" w:rsidRDefault="005B538C" w:rsidP="008D3EB6">
    <w:pPr>
      <w:pStyle w:val="Footer"/>
      <w:tabs>
        <w:tab w:val="center" w:pos="4770"/>
        <w:tab w:val="right" w:pos="9360"/>
      </w:tabs>
      <w:rPr>
        <w:rStyle w:val="PageNumber"/>
        <w:szCs w:val="24"/>
      </w:rPr>
    </w:pPr>
    <w:r>
      <w:rPr>
        <w:rStyle w:val="PageNumber"/>
        <w:szCs w:val="24"/>
      </w:rPr>
      <w:t xml:space="preserve">May </w:t>
    </w:r>
    <w:r w:rsidR="007C3038" w:rsidRPr="00B86265">
      <w:rPr>
        <w:rStyle w:val="PageNumber"/>
        <w:szCs w:val="24"/>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DABC1" w14:textId="77777777" w:rsidR="001C125A" w:rsidRDefault="001C125A" w:rsidP="00444C39">
      <w:r>
        <w:separator/>
      </w:r>
    </w:p>
  </w:footnote>
  <w:footnote w:type="continuationSeparator" w:id="0">
    <w:p w14:paraId="71AA7AC3" w14:textId="77777777" w:rsidR="001C125A" w:rsidRDefault="001C125A" w:rsidP="00444C39">
      <w:r>
        <w:continuationSeparator/>
      </w:r>
    </w:p>
  </w:footnote>
  <w:footnote w:id="1">
    <w:p w14:paraId="709A2B16" w14:textId="77777777" w:rsidR="007C3038" w:rsidRPr="009D07F9" w:rsidRDefault="007C3038" w:rsidP="006B172C">
      <w:pPr>
        <w:pStyle w:val="FootnoteText"/>
        <w:rPr>
          <w:sz w:val="18"/>
          <w:szCs w:val="18"/>
        </w:rPr>
      </w:pPr>
      <w:r w:rsidRPr="009D07F9">
        <w:rPr>
          <w:sz w:val="18"/>
          <w:szCs w:val="18"/>
          <w:vertAlign w:val="superscript"/>
        </w:rPr>
        <w:footnoteRef/>
      </w:r>
      <w:r w:rsidRPr="009D07F9">
        <w:rPr>
          <w:sz w:val="18"/>
          <w:szCs w:val="18"/>
        </w:rPr>
        <w:t xml:space="preserve"> The household survey component of the study is referred to as National School Meals Study (NSMS).</w:t>
      </w:r>
    </w:p>
  </w:footnote>
  <w:footnote w:id="2">
    <w:p w14:paraId="629E93AC" w14:textId="193192F7" w:rsidR="007C3038" w:rsidRDefault="007C3038">
      <w:pPr>
        <w:pStyle w:val="FootnoteText"/>
      </w:pPr>
      <w:r>
        <w:rPr>
          <w:rStyle w:val="FootnoteReference"/>
        </w:rPr>
        <w:footnoteRef/>
      </w:r>
      <w:r>
        <w:t xml:space="preserve"> </w:t>
      </w:r>
      <w:r w:rsidRPr="00C234C8">
        <w:rPr>
          <w:sz w:val="18"/>
          <w:szCs w:val="18"/>
        </w:rPr>
        <w:t xml:space="preserve">The first stage of sampling for APEC III was </w:t>
      </w:r>
      <w:r>
        <w:rPr>
          <w:sz w:val="18"/>
          <w:szCs w:val="18"/>
        </w:rPr>
        <w:t>at the SFA level</w:t>
      </w:r>
      <w:r w:rsidRPr="00C234C8">
        <w:rPr>
          <w:sz w:val="18"/>
          <w:szCs w:val="18"/>
        </w:rPr>
        <w:t>.  The final sampling of resulted in SFAs from only 46 States.</w:t>
      </w:r>
      <w:r>
        <w:t xml:space="preserve"> </w:t>
      </w:r>
    </w:p>
  </w:footnote>
  <w:footnote w:id="3">
    <w:p w14:paraId="6573E366" w14:textId="77777777" w:rsidR="007C3038" w:rsidRPr="006B172C" w:rsidRDefault="007C3038" w:rsidP="006B172C">
      <w:pPr>
        <w:pStyle w:val="FootnoteText"/>
      </w:pPr>
      <w:r w:rsidRPr="009D07F9">
        <w:rPr>
          <w:sz w:val="18"/>
          <w:szCs w:val="18"/>
          <w:vertAlign w:val="superscript"/>
        </w:rPr>
        <w:footnoteRef/>
      </w:r>
      <w:r w:rsidRPr="009D07F9">
        <w:rPr>
          <w:sz w:val="18"/>
          <w:szCs w:val="18"/>
        </w:rPr>
        <w:t xml:space="preserve"> See Part A, Question 15.</w:t>
      </w:r>
      <w:r w:rsidRPr="006B172C">
        <w:t xml:space="preserve"> </w:t>
      </w:r>
    </w:p>
  </w:footnote>
  <w:footnote w:id="4">
    <w:p w14:paraId="29E7BC5D" w14:textId="5AD29D41" w:rsidR="007C3038" w:rsidRPr="009D07F9" w:rsidRDefault="007C3038" w:rsidP="006B172C">
      <w:pPr>
        <w:pStyle w:val="FootnoteText"/>
        <w:rPr>
          <w:sz w:val="18"/>
          <w:szCs w:val="18"/>
        </w:rPr>
      </w:pPr>
      <w:r w:rsidRPr="009D07F9">
        <w:rPr>
          <w:sz w:val="18"/>
          <w:szCs w:val="18"/>
          <w:vertAlign w:val="superscript"/>
        </w:rPr>
        <w:footnoteRef/>
      </w:r>
      <w:r w:rsidRPr="009D07F9">
        <w:rPr>
          <w:sz w:val="18"/>
          <w:szCs w:val="18"/>
        </w:rPr>
        <w:t xml:space="preserve"> The response rate was 96 percent </w:t>
      </w:r>
      <w:r>
        <w:rPr>
          <w:sz w:val="18"/>
          <w:szCs w:val="18"/>
        </w:rPr>
        <w:t>whereas</w:t>
      </w:r>
      <w:r w:rsidRPr="009D07F9">
        <w:rPr>
          <w:sz w:val="18"/>
          <w:szCs w:val="18"/>
        </w:rPr>
        <w:t xml:space="preserve"> the minimum expected </w:t>
      </w:r>
      <w:r>
        <w:rPr>
          <w:sz w:val="18"/>
          <w:szCs w:val="18"/>
        </w:rPr>
        <w:t xml:space="preserve">response rate was </w:t>
      </w:r>
      <w:r w:rsidRPr="009D07F9">
        <w:rPr>
          <w:sz w:val="18"/>
          <w:szCs w:val="18"/>
        </w:rPr>
        <w:t>81 percent.</w:t>
      </w:r>
      <w:r>
        <w:rPr>
          <w:sz w:val="18"/>
          <w:szCs w:val="18"/>
        </w:rPr>
        <w:t xml:space="preserve">  However, to remain within burden estimates, some of the sampled SFAs will be released. </w:t>
      </w:r>
    </w:p>
  </w:footnote>
  <w:footnote w:id="5">
    <w:p w14:paraId="1EEB539F" w14:textId="38141977" w:rsidR="007C3038" w:rsidRPr="00BF53BB" w:rsidRDefault="007C3038">
      <w:pPr>
        <w:pStyle w:val="FootnoteText"/>
        <w:rPr>
          <w:sz w:val="18"/>
          <w:szCs w:val="18"/>
        </w:rPr>
      </w:pPr>
      <w:r w:rsidRPr="00BF53BB">
        <w:rPr>
          <w:rStyle w:val="FootnoteReference"/>
          <w:sz w:val="18"/>
          <w:szCs w:val="18"/>
        </w:rPr>
        <w:footnoteRef/>
      </w:r>
      <w:r w:rsidRPr="00BF53BB">
        <w:rPr>
          <w:sz w:val="18"/>
          <w:szCs w:val="18"/>
        </w:rPr>
        <w:t xml:space="preserve"> The data sources were: a) FY15 FNS-742 SFA File (version dated 2-22-16) and b) CEP SY15-16 National Elections Data-September 2015 (version dated 3-25-16).</w:t>
      </w:r>
    </w:p>
  </w:footnote>
  <w:footnote w:id="6">
    <w:p w14:paraId="780BABB7" w14:textId="7F221722" w:rsidR="007C3038" w:rsidRDefault="007C3038">
      <w:pPr>
        <w:pStyle w:val="FootnoteText"/>
      </w:pPr>
      <w:r>
        <w:rPr>
          <w:rStyle w:val="FootnoteReference"/>
        </w:rPr>
        <w:footnoteRef/>
      </w:r>
      <w:r>
        <w:t xml:space="preserve"> </w:t>
      </w:r>
      <w:r w:rsidRPr="00A55B1F">
        <w:rPr>
          <w:sz w:val="18"/>
        </w:rPr>
        <w:t xml:space="preserve">In CEP schools, all students receive free meals, and households do not submit an application for free or reduced priced meals. </w:t>
      </w:r>
    </w:p>
  </w:footnote>
  <w:footnote w:id="7">
    <w:p w14:paraId="5D91D50D" w14:textId="24258211" w:rsidR="007C3038" w:rsidRPr="001F2940" w:rsidRDefault="007C3038">
      <w:pPr>
        <w:pStyle w:val="FootnoteText"/>
        <w:rPr>
          <w:sz w:val="18"/>
          <w:szCs w:val="18"/>
        </w:rPr>
      </w:pPr>
      <w:r>
        <w:rPr>
          <w:rStyle w:val="FootnoteReference"/>
        </w:rPr>
        <w:footnoteRef/>
      </w:r>
      <w:r>
        <w:t xml:space="preserve"> </w:t>
      </w:r>
      <w:r w:rsidRPr="00EF729F">
        <w:rPr>
          <w:sz w:val="18"/>
          <w:szCs w:val="18"/>
        </w:rPr>
        <w:t>The ISP is the proportion of identified students, out of the total enrolled students, who are directly certified for free School Meals (through means other than an application, and are not subject to verification).  The ISP is multiplied by a factor of 1.6 to determine the total percentage of meals at the school or district that will be reimbursed at the Federal “free” rate. The 1.6 multiplier takes into account the provision that if the ISP is 62.5% or higher, then 100% of meals are claimed at the “free” rate (62.5x1.6 = 100%).</w:t>
      </w:r>
    </w:p>
  </w:footnote>
  <w:footnote w:id="8">
    <w:p w14:paraId="65370128" w14:textId="3FC895E4" w:rsidR="007C3038" w:rsidRPr="00D53293" w:rsidRDefault="007C3038" w:rsidP="00D53293">
      <w:pPr>
        <w:pStyle w:val="FootnoteText"/>
        <w:rPr>
          <w:sz w:val="18"/>
          <w:szCs w:val="18"/>
        </w:rPr>
      </w:pPr>
      <w:r w:rsidRPr="00D53293">
        <w:rPr>
          <w:rStyle w:val="FootnoteReference"/>
          <w:sz w:val="18"/>
          <w:szCs w:val="18"/>
        </w:rPr>
        <w:footnoteRef/>
      </w:r>
      <w:r w:rsidRPr="00D53293">
        <w:rPr>
          <w:sz w:val="18"/>
          <w:szCs w:val="18"/>
        </w:rPr>
        <w:t xml:space="preserve"> </w:t>
      </w:r>
      <w:r>
        <w:rPr>
          <w:sz w:val="18"/>
          <w:szCs w:val="18"/>
        </w:rPr>
        <w:t>The</w:t>
      </w:r>
      <w:r w:rsidRPr="00D53293">
        <w:rPr>
          <w:sz w:val="18"/>
          <w:szCs w:val="18"/>
        </w:rPr>
        <w:t xml:space="preserve"> </w:t>
      </w:r>
      <w:r>
        <w:rPr>
          <w:sz w:val="18"/>
          <w:szCs w:val="18"/>
        </w:rPr>
        <w:t xml:space="preserve">sampled school counts were </w:t>
      </w:r>
      <w:r w:rsidRPr="00D53293">
        <w:rPr>
          <w:sz w:val="18"/>
          <w:szCs w:val="18"/>
        </w:rPr>
        <w:t xml:space="preserve">approximated when the sampling plan was developed.  The actual number of sampled schools is slightly fewer due to updated school data received during the sample frame development. Specifically, 777 schools (instead of 782) were sampled, of which 547 (instead of 548) were non-CEP and 230 (instead of 234) were CEP.   </w:t>
      </w:r>
    </w:p>
  </w:footnote>
  <w:footnote w:id="9">
    <w:p w14:paraId="3A31FC60" w14:textId="77777777" w:rsidR="007C3038" w:rsidRPr="009D07F9" w:rsidRDefault="007C3038" w:rsidP="006B172C">
      <w:pPr>
        <w:pStyle w:val="FootnoteText"/>
        <w:rPr>
          <w:sz w:val="18"/>
          <w:szCs w:val="18"/>
        </w:rPr>
      </w:pPr>
      <w:r w:rsidRPr="009D07F9">
        <w:rPr>
          <w:sz w:val="18"/>
          <w:szCs w:val="18"/>
          <w:vertAlign w:val="superscript"/>
        </w:rPr>
        <w:footnoteRef/>
      </w:r>
      <w:r w:rsidRPr="009D07F9">
        <w:rPr>
          <w:sz w:val="18"/>
          <w:szCs w:val="18"/>
        </w:rPr>
        <w:t xml:space="preserve"> This is an FNS requirement for APEC III since the prior study had a very low response with income documentation. </w:t>
      </w:r>
    </w:p>
  </w:footnote>
  <w:footnote w:id="10">
    <w:p w14:paraId="2AABB862" w14:textId="77777777" w:rsidR="007C3038" w:rsidRPr="009D07F9" w:rsidRDefault="007C3038" w:rsidP="006B172C">
      <w:pPr>
        <w:pStyle w:val="FootnoteText"/>
        <w:rPr>
          <w:sz w:val="18"/>
          <w:szCs w:val="18"/>
        </w:rPr>
      </w:pPr>
      <w:r w:rsidRPr="009D07F9">
        <w:rPr>
          <w:sz w:val="18"/>
          <w:szCs w:val="18"/>
          <w:vertAlign w:val="superscript"/>
        </w:rPr>
        <w:footnoteRef/>
      </w:r>
      <w:r w:rsidRPr="009D07F9">
        <w:rPr>
          <w:sz w:val="18"/>
          <w:szCs w:val="18"/>
        </w:rPr>
        <w:t xml:space="preserve"> If respondents complete the household survey but do not provide income documentation, they will receive the $30 incentive but not the additional $20 incentive for income documentation. </w:t>
      </w:r>
    </w:p>
  </w:footnote>
  <w:footnote w:id="11">
    <w:p w14:paraId="0E9796D0" w14:textId="387B0920" w:rsidR="007C3038" w:rsidRDefault="007C3038" w:rsidP="004C6BE5">
      <w:pPr>
        <w:pStyle w:val="FootnoteText"/>
      </w:pPr>
      <w:r>
        <w:rPr>
          <w:rStyle w:val="FootnoteReference"/>
        </w:rPr>
        <w:footnoteRef/>
      </w:r>
      <w:r>
        <w:t xml:space="preserve"> In CEP schools, all students receive free meals, and households do not submit an application for free or reduced-price meals.</w:t>
      </w:r>
    </w:p>
  </w:footnote>
  <w:footnote w:id="12">
    <w:p w14:paraId="5D2058BD" w14:textId="0FEBBFCF" w:rsidR="007C3038" w:rsidRDefault="007C3038">
      <w:pPr>
        <w:pStyle w:val="FootnoteText"/>
      </w:pPr>
      <w:r>
        <w:rPr>
          <w:rStyle w:val="FootnoteReference"/>
        </w:rPr>
        <w:footnoteRef/>
      </w:r>
      <w:r>
        <w:t xml:space="preserve"> </w:t>
      </w:r>
      <w:r w:rsidRPr="00956DB1">
        <w:rPr>
          <w:sz w:val="18"/>
          <w:szCs w:val="18"/>
        </w:rPr>
        <w:t>In the case of large SFAs like New York City and Los Angeles, the fraction of the 70 non-CEP schools to be selected from them will be proportional to their sizes, so it will be possible for more than two non-CEP schools to be sampled from the large (certainty) SFAs. The likelihood of sampling more than two non-CEP schools in the certainty CEP SFAs is enhanced by the fact that about 50 percent of the sampled CEP SFAs will contain only CEP schools (this percentage is based on preliminary tabulations of the FNS-742 sampling frame).</w:t>
      </w:r>
    </w:p>
  </w:footnote>
  <w:footnote w:id="13">
    <w:p w14:paraId="0C109E44" w14:textId="49114E57" w:rsidR="007C3038" w:rsidRPr="008515F1" w:rsidRDefault="007C3038" w:rsidP="008515F1">
      <w:pPr>
        <w:pStyle w:val="CommentText"/>
        <w:rPr>
          <w:sz w:val="18"/>
          <w:szCs w:val="18"/>
        </w:rPr>
      </w:pPr>
      <w:r>
        <w:rPr>
          <w:rStyle w:val="FootnoteReference"/>
        </w:rPr>
        <w:footnoteRef/>
      </w:r>
      <w:r>
        <w:t xml:space="preserve"> </w:t>
      </w:r>
      <w:r>
        <w:rPr>
          <w:sz w:val="18"/>
          <w:szCs w:val="18"/>
        </w:rPr>
        <w:t>In order to meet the targeted number of completes summarized in Table B1-1, 11 household surveys per 438 non-</w:t>
      </w:r>
      <w:r w:rsidRPr="008515F1">
        <w:rPr>
          <w:sz w:val="18"/>
          <w:szCs w:val="18"/>
        </w:rPr>
        <w:t>CEP S</w:t>
      </w:r>
      <w:r>
        <w:rPr>
          <w:sz w:val="18"/>
          <w:szCs w:val="18"/>
        </w:rPr>
        <w:t xml:space="preserve">chool (353 from non-CEP SFAs plus 85 from CEP SFAs) must be completed (438 x </w:t>
      </w:r>
      <w:r w:rsidRPr="008515F1">
        <w:rPr>
          <w:sz w:val="18"/>
          <w:szCs w:val="18"/>
        </w:rPr>
        <w:t>11 = 4</w:t>
      </w:r>
      <w:r>
        <w:rPr>
          <w:sz w:val="18"/>
          <w:szCs w:val="18"/>
        </w:rPr>
        <w:t>,</w:t>
      </w:r>
      <w:r w:rsidRPr="008515F1">
        <w:rPr>
          <w:sz w:val="18"/>
          <w:szCs w:val="18"/>
        </w:rPr>
        <w:t>818</w:t>
      </w:r>
      <w:r>
        <w:rPr>
          <w:sz w:val="18"/>
          <w:szCs w:val="18"/>
        </w:rPr>
        <w:t>)</w:t>
      </w:r>
      <w:r w:rsidRPr="008515F1">
        <w:rPr>
          <w:sz w:val="18"/>
          <w:szCs w:val="18"/>
        </w:rPr>
        <w:t xml:space="preserve">. </w:t>
      </w:r>
    </w:p>
  </w:footnote>
  <w:footnote w:id="14">
    <w:p w14:paraId="15771365" w14:textId="77777777" w:rsidR="007C3038" w:rsidRPr="009D07F9" w:rsidRDefault="007C3038" w:rsidP="006B172C">
      <w:pPr>
        <w:pStyle w:val="FootnoteText"/>
        <w:rPr>
          <w:sz w:val="18"/>
          <w:szCs w:val="18"/>
        </w:rPr>
      </w:pPr>
      <w:r w:rsidRPr="009D07F9">
        <w:rPr>
          <w:sz w:val="18"/>
          <w:szCs w:val="18"/>
          <w:vertAlign w:val="superscript"/>
        </w:rPr>
        <w:footnoteRef/>
      </w:r>
      <w:r w:rsidRPr="009D07F9">
        <w:rPr>
          <w:sz w:val="18"/>
          <w:szCs w:val="18"/>
        </w:rPr>
        <w:t xml:space="preserve"> Sorting students by family prior to sample selection and selecting a systematic random sample of students from the sorted list will minimize the number of students selected from any one household. We can ensure that no more than one student per household is selected as long as the maximum number of students in a household is less than the systematic sampling interval (for instance, unless over half of the students in a school are to be selected, no households with two students in the school will have more than one selected for the study).</w:t>
      </w:r>
    </w:p>
  </w:footnote>
  <w:footnote w:id="15">
    <w:p w14:paraId="37399D8B" w14:textId="202A9B30" w:rsidR="007C3038" w:rsidRPr="00FB7BF7" w:rsidRDefault="007C3038" w:rsidP="00FB7BF7">
      <w:pPr>
        <w:pStyle w:val="FootnoteText"/>
        <w:rPr>
          <w:sz w:val="18"/>
          <w:szCs w:val="18"/>
        </w:rPr>
      </w:pPr>
      <w:r w:rsidRPr="00FB7BF7">
        <w:rPr>
          <w:rStyle w:val="FootnoteReference"/>
          <w:sz w:val="18"/>
          <w:szCs w:val="18"/>
        </w:rPr>
        <w:footnoteRef/>
      </w:r>
      <w:r w:rsidRPr="00FB7BF7">
        <w:rPr>
          <w:sz w:val="18"/>
          <w:szCs w:val="18"/>
        </w:rPr>
        <w:t xml:space="preserve"> </w:t>
      </w:r>
      <w:r>
        <w:rPr>
          <w:sz w:val="18"/>
          <w:szCs w:val="18"/>
        </w:rPr>
        <w:t>In order to meet the targeted number of completes, approximately 24 records per 187 CEP school is required (</w:t>
      </w:r>
      <w:r w:rsidRPr="00FB7BF7">
        <w:rPr>
          <w:sz w:val="18"/>
          <w:szCs w:val="18"/>
        </w:rPr>
        <w:t>187</w:t>
      </w:r>
      <w:r>
        <w:rPr>
          <w:sz w:val="18"/>
          <w:szCs w:val="18"/>
        </w:rPr>
        <w:t xml:space="preserve"> X </w:t>
      </w:r>
      <w:r w:rsidRPr="00FB7BF7">
        <w:rPr>
          <w:sz w:val="18"/>
          <w:szCs w:val="18"/>
        </w:rPr>
        <w:t>24</w:t>
      </w:r>
      <w:r>
        <w:rPr>
          <w:sz w:val="18"/>
          <w:szCs w:val="18"/>
        </w:rPr>
        <w:t xml:space="preserve"> = 4488)</w:t>
      </w:r>
      <w:r w:rsidRPr="00FB7BF7">
        <w:rPr>
          <w:sz w:val="18"/>
          <w:szCs w:val="18"/>
        </w:rPr>
        <w:t>.</w:t>
      </w:r>
    </w:p>
  </w:footnote>
  <w:footnote w:id="16">
    <w:p w14:paraId="6C8CFF89" w14:textId="71E2E07D" w:rsidR="007C3038" w:rsidRDefault="007C3038">
      <w:pPr>
        <w:pStyle w:val="FootnoteText"/>
      </w:pPr>
      <w:r>
        <w:rPr>
          <w:rStyle w:val="FootnoteReference"/>
        </w:rPr>
        <w:footnoteRef/>
      </w:r>
      <w:r>
        <w:t xml:space="preserve"> In CEP schools, households do not submit an application for free or reduced priced meals. </w:t>
      </w:r>
    </w:p>
  </w:footnote>
  <w:footnote w:id="17">
    <w:p w14:paraId="142FD2F9" w14:textId="77777777" w:rsidR="007C3038" w:rsidRPr="009D07F9" w:rsidRDefault="007C3038" w:rsidP="006B172C">
      <w:pPr>
        <w:pStyle w:val="FootnoteText"/>
        <w:rPr>
          <w:sz w:val="18"/>
          <w:szCs w:val="18"/>
        </w:rPr>
      </w:pPr>
      <w:r w:rsidRPr="009D07F9">
        <w:rPr>
          <w:sz w:val="18"/>
          <w:szCs w:val="18"/>
          <w:vertAlign w:val="superscript"/>
        </w:rPr>
        <w:footnoteRef/>
      </w:r>
      <w:r w:rsidRPr="009D07F9">
        <w:rPr>
          <w:sz w:val="18"/>
          <w:szCs w:val="18"/>
        </w:rPr>
        <w:t xml:space="preserve"> </w:t>
      </w:r>
      <w:r w:rsidRPr="009D07F9">
        <w:rPr>
          <w:i/>
          <w:sz w:val="18"/>
          <w:szCs w:val="18"/>
        </w:rPr>
        <w:t>U.S. Department of Agriculture, Food and Nutrition Service, Office of Policy Support, Program Error in the National School Lunch Program and School Breakfast Program: Findings from the Second Access, Participation, Eligibility and Certification Study (APEC II) Volume 1: Findings</w:t>
      </w:r>
      <w:r w:rsidRPr="009D07F9">
        <w:rPr>
          <w:sz w:val="18"/>
          <w:szCs w:val="18"/>
        </w:rPr>
        <w:t xml:space="preserve"> by Quinn Moore, Judith Cannon, Dallas Dotter, </w:t>
      </w:r>
      <w:proofErr w:type="spellStart"/>
      <w:r w:rsidRPr="009D07F9">
        <w:rPr>
          <w:sz w:val="18"/>
          <w:szCs w:val="18"/>
        </w:rPr>
        <w:t>Esa</w:t>
      </w:r>
      <w:proofErr w:type="spellEnd"/>
      <w:r w:rsidRPr="009D07F9">
        <w:rPr>
          <w:sz w:val="18"/>
          <w:szCs w:val="18"/>
        </w:rPr>
        <w:t xml:space="preserve"> </w:t>
      </w:r>
      <w:proofErr w:type="spellStart"/>
      <w:r w:rsidRPr="009D07F9">
        <w:rPr>
          <w:sz w:val="18"/>
          <w:szCs w:val="18"/>
        </w:rPr>
        <w:t>Eslami</w:t>
      </w:r>
      <w:proofErr w:type="spellEnd"/>
      <w:r w:rsidRPr="009D07F9">
        <w:rPr>
          <w:sz w:val="18"/>
          <w:szCs w:val="18"/>
        </w:rPr>
        <w:t xml:space="preserve">, John Hall, Joanne Lee, Alicia Leonard, Nora Paxton, Michael </w:t>
      </w:r>
      <w:proofErr w:type="spellStart"/>
      <w:r w:rsidRPr="009D07F9">
        <w:rPr>
          <w:sz w:val="18"/>
          <w:szCs w:val="18"/>
        </w:rPr>
        <w:t>Ponza</w:t>
      </w:r>
      <w:proofErr w:type="spellEnd"/>
      <w:r w:rsidRPr="009D07F9">
        <w:rPr>
          <w:sz w:val="18"/>
          <w:szCs w:val="18"/>
        </w:rPr>
        <w:t>, Emily Weaver, Eric Zeidman, Mustafa Karakus, Roline Milfort. Project Officer Joseph F. Robare. Alexandria, VA: May 2015.</w:t>
      </w:r>
    </w:p>
  </w:footnote>
  <w:footnote w:id="18">
    <w:p w14:paraId="09BD66AA" w14:textId="77777777" w:rsidR="007C3038" w:rsidRPr="009D07F9" w:rsidRDefault="007C3038">
      <w:pPr>
        <w:pStyle w:val="FootnoteText"/>
        <w:rPr>
          <w:sz w:val="18"/>
          <w:szCs w:val="18"/>
        </w:rPr>
      </w:pPr>
      <w:r w:rsidRPr="009D07F9">
        <w:rPr>
          <w:rStyle w:val="FootnoteReference"/>
          <w:sz w:val="18"/>
          <w:szCs w:val="18"/>
        </w:rPr>
        <w:footnoteRef/>
      </w:r>
      <w:r w:rsidRPr="009D07F9">
        <w:rPr>
          <w:sz w:val="18"/>
          <w:szCs w:val="18"/>
        </w:rPr>
        <w:t xml:space="preserve"> Skinner, C. J., Holt, D., and Smith, T. M. F. (Eds.). (1989). </w:t>
      </w:r>
      <w:r w:rsidRPr="009D07F9">
        <w:rPr>
          <w:i/>
          <w:sz w:val="18"/>
          <w:szCs w:val="18"/>
        </w:rPr>
        <w:t>Analysis of Complex Surveys</w:t>
      </w:r>
      <w:r w:rsidRPr="009D07F9">
        <w:rPr>
          <w:sz w:val="18"/>
          <w:szCs w:val="18"/>
        </w:rPr>
        <w:t>. New York: John Wiley and Sons.</w:t>
      </w:r>
    </w:p>
  </w:footnote>
  <w:footnote w:id="19">
    <w:p w14:paraId="421830D2" w14:textId="77777777" w:rsidR="007C3038" w:rsidRPr="009D07F9" w:rsidRDefault="007C3038" w:rsidP="008A6D63">
      <w:pPr>
        <w:pStyle w:val="FootnoteText"/>
        <w:rPr>
          <w:sz w:val="18"/>
          <w:szCs w:val="18"/>
        </w:rPr>
      </w:pPr>
      <w:r w:rsidRPr="009D07F9">
        <w:rPr>
          <w:sz w:val="18"/>
          <w:szCs w:val="18"/>
          <w:vertAlign w:val="superscript"/>
        </w:rPr>
        <w:footnoteRef/>
      </w:r>
      <w:r w:rsidRPr="009D07F9">
        <w:rPr>
          <w:sz w:val="18"/>
          <w:szCs w:val="18"/>
        </w:rPr>
        <w:t xml:space="preserve"> Office of Management and Budget (September 2006). </w:t>
      </w:r>
      <w:r w:rsidRPr="009D07F9">
        <w:rPr>
          <w:i/>
          <w:sz w:val="18"/>
          <w:szCs w:val="18"/>
        </w:rPr>
        <w:t>Standards and Guidelines for Statistical Surveys</w:t>
      </w:r>
      <w:r w:rsidRPr="009D07F9">
        <w:rPr>
          <w:sz w:val="18"/>
          <w:szCs w:val="18"/>
        </w:rPr>
        <w:t xml:space="preserve">. Source: </w:t>
      </w:r>
      <w:hyperlink r:id="rId1" w:history="1">
        <w:r w:rsidRPr="009D07F9">
          <w:rPr>
            <w:rStyle w:val="Hyperlink"/>
            <w:sz w:val="18"/>
            <w:szCs w:val="18"/>
          </w:rPr>
          <w:t>http://www.whitehouse.gov/sites/default/files/omb/inforeg/statpolicy/standards_stat_surveys.pdf</w:t>
        </w:r>
      </w:hyperlink>
    </w:p>
  </w:footnote>
  <w:footnote w:id="20">
    <w:p w14:paraId="3515B072" w14:textId="77777777" w:rsidR="007C3038" w:rsidRPr="006B172C" w:rsidRDefault="007C3038" w:rsidP="006B172C">
      <w:pPr>
        <w:pStyle w:val="FootnoteText"/>
      </w:pPr>
      <w:r w:rsidRPr="009D07F9">
        <w:rPr>
          <w:sz w:val="18"/>
          <w:szCs w:val="18"/>
          <w:vertAlign w:val="superscript"/>
        </w:rPr>
        <w:footnoteRef/>
      </w:r>
      <w:r w:rsidRPr="009D07F9">
        <w:rPr>
          <w:sz w:val="18"/>
          <w:szCs w:val="18"/>
        </w:rPr>
        <w:t xml:space="preserve"> We assume and expect a 100 percent response rate at the State level.</w:t>
      </w:r>
      <w:r w:rsidRPr="006B172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544D" w14:textId="77777777" w:rsidR="007C3038" w:rsidRDefault="007C3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D35A" w14:textId="77777777" w:rsidR="007C3038" w:rsidRPr="00715322" w:rsidRDefault="007C3038" w:rsidP="006E3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3BC"/>
    <w:multiLevelType w:val="multilevel"/>
    <w:tmpl w:val="1B4C74A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DF348E6"/>
    <w:multiLevelType w:val="hybridMultilevel"/>
    <w:tmpl w:val="695A153E"/>
    <w:lvl w:ilvl="0" w:tplc="471EB078">
      <w:start w:val="1"/>
      <w:numFmt w:val="decimal"/>
      <w:lvlText w:val="%1"/>
      <w:lvlJc w:val="left"/>
      <w:pPr>
        <w:ind w:left="1515" w:hanging="11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B0CCF122"/>
    <w:lvl w:ilvl="0" w:tplc="4B4CFEAE">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DF2866"/>
    <w:multiLevelType w:val="hybridMultilevel"/>
    <w:tmpl w:val="17348AF8"/>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7542002"/>
    <w:multiLevelType w:val="hybridMultilevel"/>
    <w:tmpl w:val="673617A2"/>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nsid w:val="1F1773E0"/>
    <w:multiLevelType w:val="multilevel"/>
    <w:tmpl w:val="2D1C01A8"/>
    <w:lvl w:ilvl="0">
      <w:start w:val="1"/>
      <w:numFmt w:val="decimal"/>
      <w:lvlText w:val="%1)"/>
      <w:lvlJc w:val="left"/>
      <w:pPr>
        <w:ind w:left="72" w:hanging="360"/>
      </w:pPr>
      <w:rPr>
        <w:rFonts w:hint="default"/>
      </w:rPr>
    </w:lvl>
    <w:lvl w:ilvl="1">
      <w:start w:val="1"/>
      <w:numFmt w:val="lowerLetter"/>
      <w:lvlText w:val="%2)"/>
      <w:lvlJc w:val="left"/>
      <w:pPr>
        <w:ind w:left="432" w:hanging="360"/>
      </w:pPr>
    </w:lvl>
    <w:lvl w:ilvl="2">
      <w:start w:val="1"/>
      <w:numFmt w:val="decimal"/>
      <w:lvlText w:val="%3)"/>
      <w:lvlJc w:val="left"/>
      <w:pPr>
        <w:ind w:left="792" w:hanging="360"/>
      </w:pPr>
    </w:lvl>
    <w:lvl w:ilvl="3">
      <w:start w:val="1"/>
      <w:numFmt w:val="decimal"/>
      <w:lvlText w:val="(%4)"/>
      <w:lvlJc w:val="left"/>
      <w:pPr>
        <w:ind w:left="1152" w:hanging="360"/>
      </w:pPr>
    </w:lvl>
    <w:lvl w:ilvl="4">
      <w:start w:val="1"/>
      <w:numFmt w:val="lowerLetter"/>
      <w:lvlText w:val="(%5)"/>
      <w:lvlJc w:val="left"/>
      <w:pPr>
        <w:ind w:left="1512" w:hanging="360"/>
      </w:pPr>
    </w:lvl>
    <w:lvl w:ilvl="5">
      <w:start w:val="1"/>
      <w:numFmt w:val="lowerRoman"/>
      <w:lvlText w:val="(%6)"/>
      <w:lvlJc w:val="left"/>
      <w:pPr>
        <w:ind w:left="1872" w:hanging="360"/>
      </w:pPr>
    </w:lvl>
    <w:lvl w:ilvl="6">
      <w:start w:val="1"/>
      <w:numFmt w:val="decimal"/>
      <w:lvlText w:val="%7."/>
      <w:lvlJc w:val="left"/>
      <w:pPr>
        <w:ind w:left="2232" w:hanging="360"/>
      </w:pPr>
    </w:lvl>
    <w:lvl w:ilvl="7">
      <w:start w:val="1"/>
      <w:numFmt w:val="lowerLetter"/>
      <w:lvlText w:val="%8."/>
      <w:lvlJc w:val="left"/>
      <w:pPr>
        <w:ind w:left="2592" w:hanging="360"/>
      </w:pPr>
    </w:lvl>
    <w:lvl w:ilvl="8">
      <w:start w:val="1"/>
      <w:numFmt w:val="lowerRoman"/>
      <w:lvlText w:val="%9."/>
      <w:lvlJc w:val="left"/>
      <w:pPr>
        <w:ind w:left="2952" w:hanging="36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23E6FC3"/>
    <w:multiLevelType w:val="hybridMultilevel"/>
    <w:tmpl w:val="88E43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262E33"/>
    <w:multiLevelType w:val="hybridMultilevel"/>
    <w:tmpl w:val="1E94950C"/>
    <w:lvl w:ilvl="0" w:tplc="EDD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C1101"/>
    <w:multiLevelType w:val="hybridMultilevel"/>
    <w:tmpl w:val="BB286ABC"/>
    <w:lvl w:ilvl="0" w:tplc="D832B3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EF2D7A"/>
    <w:multiLevelType w:val="hybridMultilevel"/>
    <w:tmpl w:val="BD223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7D3DD4"/>
    <w:multiLevelType w:val="hybridMultilevel"/>
    <w:tmpl w:val="1B2491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9"/>
  </w:num>
  <w:num w:numId="3">
    <w:abstractNumId w:val="10"/>
  </w:num>
  <w:num w:numId="4">
    <w:abstractNumId w:val="3"/>
  </w:num>
  <w:num w:numId="5">
    <w:abstractNumId w:val="14"/>
  </w:num>
  <w:num w:numId="6">
    <w:abstractNumId w:val="10"/>
    <w:lvlOverride w:ilvl="0">
      <w:startOverride w:val="1"/>
    </w:lvlOverride>
  </w:num>
  <w:num w:numId="7">
    <w:abstractNumId w:val="7"/>
  </w:num>
  <w:num w:numId="8">
    <w:abstractNumId w:val="13"/>
  </w:num>
  <w:num w:numId="9">
    <w:abstractNumId w:val="5"/>
  </w:num>
  <w:num w:numId="10">
    <w:abstractNumId w:val="6"/>
  </w:num>
  <w:num w:numId="11">
    <w:abstractNumId w:val="16"/>
  </w:num>
  <w:num w:numId="12">
    <w:abstractNumId w:val="0"/>
  </w:num>
  <w:num w:numId="13">
    <w:abstractNumId w:val="12"/>
  </w:num>
  <w:num w:numId="14">
    <w:abstractNumId w:val="1"/>
  </w:num>
  <w:num w:numId="15">
    <w:abstractNumId w:val="4"/>
  </w:num>
  <w:num w:numId="16">
    <w:abstractNumId w:val="11"/>
  </w:num>
  <w:num w:numId="17">
    <w:abstractNumId w:val="8"/>
  </w:num>
  <w:num w:numId="1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80"/>
    <w:rsid w:val="00005C7F"/>
    <w:rsid w:val="00005DFA"/>
    <w:rsid w:val="0000608A"/>
    <w:rsid w:val="00006E84"/>
    <w:rsid w:val="000070A5"/>
    <w:rsid w:val="00007505"/>
    <w:rsid w:val="000076C5"/>
    <w:rsid w:val="00007AB7"/>
    <w:rsid w:val="00011261"/>
    <w:rsid w:val="000129F8"/>
    <w:rsid w:val="0001452D"/>
    <w:rsid w:val="00015820"/>
    <w:rsid w:val="000173DF"/>
    <w:rsid w:val="00021A06"/>
    <w:rsid w:val="00021A0E"/>
    <w:rsid w:val="00023389"/>
    <w:rsid w:val="00025218"/>
    <w:rsid w:val="00026170"/>
    <w:rsid w:val="000265C4"/>
    <w:rsid w:val="00027CCF"/>
    <w:rsid w:val="000306F9"/>
    <w:rsid w:val="0003098F"/>
    <w:rsid w:val="00031E21"/>
    <w:rsid w:val="00032CB2"/>
    <w:rsid w:val="00035F85"/>
    <w:rsid w:val="00036950"/>
    <w:rsid w:val="000369B6"/>
    <w:rsid w:val="00037B1E"/>
    <w:rsid w:val="00040682"/>
    <w:rsid w:val="000419D3"/>
    <w:rsid w:val="00042159"/>
    <w:rsid w:val="000434A6"/>
    <w:rsid w:val="00045732"/>
    <w:rsid w:val="00045F09"/>
    <w:rsid w:val="00047389"/>
    <w:rsid w:val="00050264"/>
    <w:rsid w:val="00050EAB"/>
    <w:rsid w:val="00052024"/>
    <w:rsid w:val="00053B44"/>
    <w:rsid w:val="00055C08"/>
    <w:rsid w:val="000566DC"/>
    <w:rsid w:val="00057BD6"/>
    <w:rsid w:val="00057D7C"/>
    <w:rsid w:val="0006028D"/>
    <w:rsid w:val="000607FB"/>
    <w:rsid w:val="000622E0"/>
    <w:rsid w:val="000633B6"/>
    <w:rsid w:val="0006595B"/>
    <w:rsid w:val="00065EAD"/>
    <w:rsid w:val="00066AEC"/>
    <w:rsid w:val="0006754F"/>
    <w:rsid w:val="00067ACC"/>
    <w:rsid w:val="0007208B"/>
    <w:rsid w:val="00072B8B"/>
    <w:rsid w:val="00072E64"/>
    <w:rsid w:val="0007399A"/>
    <w:rsid w:val="0007412F"/>
    <w:rsid w:val="000761FA"/>
    <w:rsid w:val="000763BE"/>
    <w:rsid w:val="0007663E"/>
    <w:rsid w:val="00080872"/>
    <w:rsid w:val="00080AEA"/>
    <w:rsid w:val="00080ED6"/>
    <w:rsid w:val="000816A3"/>
    <w:rsid w:val="000817CD"/>
    <w:rsid w:val="00081C98"/>
    <w:rsid w:val="00081E9E"/>
    <w:rsid w:val="00083058"/>
    <w:rsid w:val="0008336E"/>
    <w:rsid w:val="00083554"/>
    <w:rsid w:val="00083972"/>
    <w:rsid w:val="00085CAD"/>
    <w:rsid w:val="000874CE"/>
    <w:rsid w:val="000878E9"/>
    <w:rsid w:val="0009522C"/>
    <w:rsid w:val="000970E2"/>
    <w:rsid w:val="000A1777"/>
    <w:rsid w:val="000A30EB"/>
    <w:rsid w:val="000A3C48"/>
    <w:rsid w:val="000A61DD"/>
    <w:rsid w:val="000A7F66"/>
    <w:rsid w:val="000B023D"/>
    <w:rsid w:val="000B13A2"/>
    <w:rsid w:val="000B2336"/>
    <w:rsid w:val="000B3932"/>
    <w:rsid w:val="000B4051"/>
    <w:rsid w:val="000B4A9E"/>
    <w:rsid w:val="000B4CFE"/>
    <w:rsid w:val="000B55AD"/>
    <w:rsid w:val="000B574C"/>
    <w:rsid w:val="000B6602"/>
    <w:rsid w:val="000B7EFC"/>
    <w:rsid w:val="000C19F7"/>
    <w:rsid w:val="000C2C93"/>
    <w:rsid w:val="000C2EBD"/>
    <w:rsid w:val="000C305F"/>
    <w:rsid w:val="000C381F"/>
    <w:rsid w:val="000C3FC2"/>
    <w:rsid w:val="000C5C1F"/>
    <w:rsid w:val="000C63D8"/>
    <w:rsid w:val="000C6A28"/>
    <w:rsid w:val="000C7108"/>
    <w:rsid w:val="000C7370"/>
    <w:rsid w:val="000C76BB"/>
    <w:rsid w:val="000D0C4E"/>
    <w:rsid w:val="000D1F10"/>
    <w:rsid w:val="000D1FC2"/>
    <w:rsid w:val="000D3122"/>
    <w:rsid w:val="000D33E0"/>
    <w:rsid w:val="000D41DC"/>
    <w:rsid w:val="000D4B7E"/>
    <w:rsid w:val="000D54E0"/>
    <w:rsid w:val="000E0E67"/>
    <w:rsid w:val="000E0F78"/>
    <w:rsid w:val="000E2097"/>
    <w:rsid w:val="000E209C"/>
    <w:rsid w:val="000E2D19"/>
    <w:rsid w:val="000E38E9"/>
    <w:rsid w:val="000E5E38"/>
    <w:rsid w:val="000F1B18"/>
    <w:rsid w:val="000F5873"/>
    <w:rsid w:val="00100322"/>
    <w:rsid w:val="00100B1D"/>
    <w:rsid w:val="0010131D"/>
    <w:rsid w:val="00104B25"/>
    <w:rsid w:val="00107393"/>
    <w:rsid w:val="00113A5F"/>
    <w:rsid w:val="00114A8D"/>
    <w:rsid w:val="00114DFA"/>
    <w:rsid w:val="00115868"/>
    <w:rsid w:val="0011626D"/>
    <w:rsid w:val="00116E30"/>
    <w:rsid w:val="00120470"/>
    <w:rsid w:val="00120511"/>
    <w:rsid w:val="00120D79"/>
    <w:rsid w:val="0012226A"/>
    <w:rsid w:val="00124A5F"/>
    <w:rsid w:val="00124F3A"/>
    <w:rsid w:val="0012589F"/>
    <w:rsid w:val="00125E86"/>
    <w:rsid w:val="00126BA3"/>
    <w:rsid w:val="00131A54"/>
    <w:rsid w:val="001329A2"/>
    <w:rsid w:val="00133089"/>
    <w:rsid w:val="00135262"/>
    <w:rsid w:val="001356D5"/>
    <w:rsid w:val="00136B97"/>
    <w:rsid w:val="00136F47"/>
    <w:rsid w:val="00137512"/>
    <w:rsid w:val="001400DC"/>
    <w:rsid w:val="001411BE"/>
    <w:rsid w:val="00144CDA"/>
    <w:rsid w:val="00152633"/>
    <w:rsid w:val="00155C59"/>
    <w:rsid w:val="0015633B"/>
    <w:rsid w:val="00156378"/>
    <w:rsid w:val="00156EDD"/>
    <w:rsid w:val="00157179"/>
    <w:rsid w:val="00157E8E"/>
    <w:rsid w:val="00161697"/>
    <w:rsid w:val="00166354"/>
    <w:rsid w:val="00166F9B"/>
    <w:rsid w:val="00170212"/>
    <w:rsid w:val="00171AF3"/>
    <w:rsid w:val="0017395E"/>
    <w:rsid w:val="00176D63"/>
    <w:rsid w:val="00180914"/>
    <w:rsid w:val="00182B2F"/>
    <w:rsid w:val="00184ABC"/>
    <w:rsid w:val="001852F4"/>
    <w:rsid w:val="00186A08"/>
    <w:rsid w:val="001870E7"/>
    <w:rsid w:val="00187DF6"/>
    <w:rsid w:val="00192864"/>
    <w:rsid w:val="001941DD"/>
    <w:rsid w:val="00195A1F"/>
    <w:rsid w:val="001965E8"/>
    <w:rsid w:val="00196A44"/>
    <w:rsid w:val="00197BF7"/>
    <w:rsid w:val="001A01A4"/>
    <w:rsid w:val="001A4BDA"/>
    <w:rsid w:val="001A4E55"/>
    <w:rsid w:val="001A528B"/>
    <w:rsid w:val="001B0E41"/>
    <w:rsid w:val="001B117C"/>
    <w:rsid w:val="001B29D1"/>
    <w:rsid w:val="001B2A64"/>
    <w:rsid w:val="001B36C4"/>
    <w:rsid w:val="001B3C7F"/>
    <w:rsid w:val="001B5358"/>
    <w:rsid w:val="001B650A"/>
    <w:rsid w:val="001B74F4"/>
    <w:rsid w:val="001C086B"/>
    <w:rsid w:val="001C125A"/>
    <w:rsid w:val="001C1455"/>
    <w:rsid w:val="001C1C3B"/>
    <w:rsid w:val="001C1C77"/>
    <w:rsid w:val="001C27A6"/>
    <w:rsid w:val="001C450D"/>
    <w:rsid w:val="001C4A07"/>
    <w:rsid w:val="001C7A3E"/>
    <w:rsid w:val="001D09B8"/>
    <w:rsid w:val="001D1BFA"/>
    <w:rsid w:val="001D1C17"/>
    <w:rsid w:val="001D1D73"/>
    <w:rsid w:val="001D23CD"/>
    <w:rsid w:val="001D29F8"/>
    <w:rsid w:val="001D2EC3"/>
    <w:rsid w:val="001D33A5"/>
    <w:rsid w:val="001D39A7"/>
    <w:rsid w:val="001D4C5C"/>
    <w:rsid w:val="001D6ACA"/>
    <w:rsid w:val="001D71DA"/>
    <w:rsid w:val="001D7536"/>
    <w:rsid w:val="001D76F9"/>
    <w:rsid w:val="001E0039"/>
    <w:rsid w:val="001E152A"/>
    <w:rsid w:val="001E35A4"/>
    <w:rsid w:val="001E4BD9"/>
    <w:rsid w:val="001F0519"/>
    <w:rsid w:val="001F064D"/>
    <w:rsid w:val="001F0AC3"/>
    <w:rsid w:val="001F10E5"/>
    <w:rsid w:val="001F15B8"/>
    <w:rsid w:val="001F16A0"/>
    <w:rsid w:val="001F2940"/>
    <w:rsid w:val="001F370B"/>
    <w:rsid w:val="001F3947"/>
    <w:rsid w:val="001F3FCF"/>
    <w:rsid w:val="001F4281"/>
    <w:rsid w:val="001F668A"/>
    <w:rsid w:val="001F6983"/>
    <w:rsid w:val="001F6AB2"/>
    <w:rsid w:val="001F6DF7"/>
    <w:rsid w:val="0020094B"/>
    <w:rsid w:val="00201159"/>
    <w:rsid w:val="00202216"/>
    <w:rsid w:val="0020261B"/>
    <w:rsid w:val="002055F1"/>
    <w:rsid w:val="00207CF0"/>
    <w:rsid w:val="002100FA"/>
    <w:rsid w:val="00210426"/>
    <w:rsid w:val="00211EAA"/>
    <w:rsid w:val="00213911"/>
    <w:rsid w:val="00216446"/>
    <w:rsid w:val="00217DF7"/>
    <w:rsid w:val="002200F2"/>
    <w:rsid w:val="00220A94"/>
    <w:rsid w:val="00221164"/>
    <w:rsid w:val="00223FB5"/>
    <w:rsid w:val="00224F71"/>
    <w:rsid w:val="00225268"/>
    <w:rsid w:val="002255F3"/>
    <w:rsid w:val="00225C52"/>
    <w:rsid w:val="002274DE"/>
    <w:rsid w:val="00227882"/>
    <w:rsid w:val="002315E9"/>
    <w:rsid w:val="0023184A"/>
    <w:rsid w:val="002318B3"/>
    <w:rsid w:val="00231AD4"/>
    <w:rsid w:val="00232F07"/>
    <w:rsid w:val="00233055"/>
    <w:rsid w:val="002400DB"/>
    <w:rsid w:val="0024110D"/>
    <w:rsid w:val="00241D2C"/>
    <w:rsid w:val="00241F74"/>
    <w:rsid w:val="00242915"/>
    <w:rsid w:val="00242C39"/>
    <w:rsid w:val="00243B95"/>
    <w:rsid w:val="002453FE"/>
    <w:rsid w:val="00246164"/>
    <w:rsid w:val="002468CB"/>
    <w:rsid w:val="00246CB9"/>
    <w:rsid w:val="00247A17"/>
    <w:rsid w:val="002503E1"/>
    <w:rsid w:val="002520FA"/>
    <w:rsid w:val="00252CD5"/>
    <w:rsid w:val="00253419"/>
    <w:rsid w:val="00254270"/>
    <w:rsid w:val="00254C37"/>
    <w:rsid w:val="002574F5"/>
    <w:rsid w:val="002575BB"/>
    <w:rsid w:val="0025767C"/>
    <w:rsid w:val="00261F77"/>
    <w:rsid w:val="00263AF8"/>
    <w:rsid w:val="00266667"/>
    <w:rsid w:val="00271144"/>
    <w:rsid w:val="00271743"/>
    <w:rsid w:val="002732A3"/>
    <w:rsid w:val="002735BF"/>
    <w:rsid w:val="00274C84"/>
    <w:rsid w:val="00277E34"/>
    <w:rsid w:val="002831B0"/>
    <w:rsid w:val="00284F2C"/>
    <w:rsid w:val="002858DF"/>
    <w:rsid w:val="00286646"/>
    <w:rsid w:val="0029489A"/>
    <w:rsid w:val="00294A58"/>
    <w:rsid w:val="002956CC"/>
    <w:rsid w:val="0029656E"/>
    <w:rsid w:val="002969E6"/>
    <w:rsid w:val="002972E3"/>
    <w:rsid w:val="002A0AED"/>
    <w:rsid w:val="002A127E"/>
    <w:rsid w:val="002A302E"/>
    <w:rsid w:val="002A4120"/>
    <w:rsid w:val="002A46B7"/>
    <w:rsid w:val="002A4A74"/>
    <w:rsid w:val="002A71C8"/>
    <w:rsid w:val="002A7B77"/>
    <w:rsid w:val="002B008B"/>
    <w:rsid w:val="002B1FAC"/>
    <w:rsid w:val="002B2985"/>
    <w:rsid w:val="002B3099"/>
    <w:rsid w:val="002B3FF4"/>
    <w:rsid w:val="002B4A19"/>
    <w:rsid w:val="002C332C"/>
    <w:rsid w:val="002C46DB"/>
    <w:rsid w:val="002C7079"/>
    <w:rsid w:val="002C70EB"/>
    <w:rsid w:val="002C7646"/>
    <w:rsid w:val="002C7DBB"/>
    <w:rsid w:val="002D01B3"/>
    <w:rsid w:val="002D33B1"/>
    <w:rsid w:val="002D358C"/>
    <w:rsid w:val="002D35A3"/>
    <w:rsid w:val="002D422A"/>
    <w:rsid w:val="002D5186"/>
    <w:rsid w:val="002D5ADC"/>
    <w:rsid w:val="002D66DC"/>
    <w:rsid w:val="002D7057"/>
    <w:rsid w:val="002E0A6D"/>
    <w:rsid w:val="002E15A1"/>
    <w:rsid w:val="002E17BD"/>
    <w:rsid w:val="002E511B"/>
    <w:rsid w:val="002E580A"/>
    <w:rsid w:val="002E5A6F"/>
    <w:rsid w:val="002E707A"/>
    <w:rsid w:val="002E73D6"/>
    <w:rsid w:val="002E7902"/>
    <w:rsid w:val="002F1E91"/>
    <w:rsid w:val="002F22EF"/>
    <w:rsid w:val="002F31A6"/>
    <w:rsid w:val="002F3D4E"/>
    <w:rsid w:val="002F44C0"/>
    <w:rsid w:val="002F4C47"/>
    <w:rsid w:val="002F5F11"/>
    <w:rsid w:val="002F738D"/>
    <w:rsid w:val="002F74DE"/>
    <w:rsid w:val="002F7C68"/>
    <w:rsid w:val="00300AB1"/>
    <w:rsid w:val="00301AB9"/>
    <w:rsid w:val="003020BD"/>
    <w:rsid w:val="00304051"/>
    <w:rsid w:val="003124FC"/>
    <w:rsid w:val="003125B0"/>
    <w:rsid w:val="00313814"/>
    <w:rsid w:val="00315D46"/>
    <w:rsid w:val="003203FC"/>
    <w:rsid w:val="00320731"/>
    <w:rsid w:val="00321CB5"/>
    <w:rsid w:val="00321EE6"/>
    <w:rsid w:val="00322CCE"/>
    <w:rsid w:val="0032377D"/>
    <w:rsid w:val="00323ABA"/>
    <w:rsid w:val="00326688"/>
    <w:rsid w:val="00326FF2"/>
    <w:rsid w:val="00332F40"/>
    <w:rsid w:val="00340ED5"/>
    <w:rsid w:val="00341A07"/>
    <w:rsid w:val="0034297D"/>
    <w:rsid w:val="0034352C"/>
    <w:rsid w:val="00343FB7"/>
    <w:rsid w:val="0034666F"/>
    <w:rsid w:val="00350FDF"/>
    <w:rsid w:val="00351ED4"/>
    <w:rsid w:val="00354808"/>
    <w:rsid w:val="003548DB"/>
    <w:rsid w:val="00356BA6"/>
    <w:rsid w:val="003571DE"/>
    <w:rsid w:val="00357234"/>
    <w:rsid w:val="00357A33"/>
    <w:rsid w:val="0036217F"/>
    <w:rsid w:val="00362E3F"/>
    <w:rsid w:val="00364003"/>
    <w:rsid w:val="00366AEA"/>
    <w:rsid w:val="00367FA2"/>
    <w:rsid w:val="003702D5"/>
    <w:rsid w:val="003720A4"/>
    <w:rsid w:val="00373BB9"/>
    <w:rsid w:val="00375542"/>
    <w:rsid w:val="0037720B"/>
    <w:rsid w:val="00380BA4"/>
    <w:rsid w:val="00381404"/>
    <w:rsid w:val="00381C1B"/>
    <w:rsid w:val="00382358"/>
    <w:rsid w:val="00382CF5"/>
    <w:rsid w:val="0038418E"/>
    <w:rsid w:val="00384F67"/>
    <w:rsid w:val="00385347"/>
    <w:rsid w:val="0038622D"/>
    <w:rsid w:val="0039066C"/>
    <w:rsid w:val="003913C2"/>
    <w:rsid w:val="00392727"/>
    <w:rsid w:val="003952F4"/>
    <w:rsid w:val="00395EE9"/>
    <w:rsid w:val="003978DE"/>
    <w:rsid w:val="003A0821"/>
    <w:rsid w:val="003A4600"/>
    <w:rsid w:val="003A6909"/>
    <w:rsid w:val="003A6BA8"/>
    <w:rsid w:val="003A7AE7"/>
    <w:rsid w:val="003A7C9C"/>
    <w:rsid w:val="003B3546"/>
    <w:rsid w:val="003B36C4"/>
    <w:rsid w:val="003B38F8"/>
    <w:rsid w:val="003B5A6A"/>
    <w:rsid w:val="003B5C63"/>
    <w:rsid w:val="003B62FA"/>
    <w:rsid w:val="003B7624"/>
    <w:rsid w:val="003B7F3E"/>
    <w:rsid w:val="003C0A45"/>
    <w:rsid w:val="003C335E"/>
    <w:rsid w:val="003C4355"/>
    <w:rsid w:val="003C460C"/>
    <w:rsid w:val="003C4BBA"/>
    <w:rsid w:val="003C5B8D"/>
    <w:rsid w:val="003C662C"/>
    <w:rsid w:val="003C7024"/>
    <w:rsid w:val="003C752F"/>
    <w:rsid w:val="003D0558"/>
    <w:rsid w:val="003D1F6E"/>
    <w:rsid w:val="003D2483"/>
    <w:rsid w:val="003D2FDE"/>
    <w:rsid w:val="003D31BA"/>
    <w:rsid w:val="003D34FD"/>
    <w:rsid w:val="003D371F"/>
    <w:rsid w:val="003D38B3"/>
    <w:rsid w:val="003D4966"/>
    <w:rsid w:val="003D4E5E"/>
    <w:rsid w:val="003D57B3"/>
    <w:rsid w:val="003D7790"/>
    <w:rsid w:val="003D7E45"/>
    <w:rsid w:val="003E1A76"/>
    <w:rsid w:val="003E20D4"/>
    <w:rsid w:val="003E2115"/>
    <w:rsid w:val="003E320E"/>
    <w:rsid w:val="003E4766"/>
    <w:rsid w:val="003E4A98"/>
    <w:rsid w:val="003E77D7"/>
    <w:rsid w:val="003F112A"/>
    <w:rsid w:val="003F11DC"/>
    <w:rsid w:val="003F22E0"/>
    <w:rsid w:val="003F3613"/>
    <w:rsid w:val="003F4E17"/>
    <w:rsid w:val="003F53F1"/>
    <w:rsid w:val="003F593E"/>
    <w:rsid w:val="003F6F39"/>
    <w:rsid w:val="0040065D"/>
    <w:rsid w:val="00401FF7"/>
    <w:rsid w:val="004035EE"/>
    <w:rsid w:val="00403962"/>
    <w:rsid w:val="00403AB3"/>
    <w:rsid w:val="00405036"/>
    <w:rsid w:val="0040657C"/>
    <w:rsid w:val="00406590"/>
    <w:rsid w:val="004066DF"/>
    <w:rsid w:val="00412220"/>
    <w:rsid w:val="00414312"/>
    <w:rsid w:val="0041711B"/>
    <w:rsid w:val="00420E18"/>
    <w:rsid w:val="00421597"/>
    <w:rsid w:val="00422500"/>
    <w:rsid w:val="0042383C"/>
    <w:rsid w:val="00423C5C"/>
    <w:rsid w:val="00425443"/>
    <w:rsid w:val="00430A81"/>
    <w:rsid w:val="00431063"/>
    <w:rsid w:val="00431DEB"/>
    <w:rsid w:val="00434798"/>
    <w:rsid w:val="00435CCA"/>
    <w:rsid w:val="00441E19"/>
    <w:rsid w:val="0044268F"/>
    <w:rsid w:val="00443543"/>
    <w:rsid w:val="004436B8"/>
    <w:rsid w:val="0044396A"/>
    <w:rsid w:val="00444975"/>
    <w:rsid w:val="00444AE4"/>
    <w:rsid w:val="00444C39"/>
    <w:rsid w:val="00444DB3"/>
    <w:rsid w:val="0044765F"/>
    <w:rsid w:val="00447BA6"/>
    <w:rsid w:val="00447BCA"/>
    <w:rsid w:val="00447C88"/>
    <w:rsid w:val="00450367"/>
    <w:rsid w:val="004503C4"/>
    <w:rsid w:val="00453AC3"/>
    <w:rsid w:val="00453D97"/>
    <w:rsid w:val="00454285"/>
    <w:rsid w:val="0045647B"/>
    <w:rsid w:val="00460C7B"/>
    <w:rsid w:val="004634E3"/>
    <w:rsid w:val="0046358F"/>
    <w:rsid w:val="0046373D"/>
    <w:rsid w:val="00463E14"/>
    <w:rsid w:val="00464909"/>
    <w:rsid w:val="004649A2"/>
    <w:rsid w:val="0046645D"/>
    <w:rsid w:val="00472FA9"/>
    <w:rsid w:val="00473786"/>
    <w:rsid w:val="00474AD5"/>
    <w:rsid w:val="00480728"/>
    <w:rsid w:val="00481AFD"/>
    <w:rsid w:val="00482E3F"/>
    <w:rsid w:val="004830B6"/>
    <w:rsid w:val="00486957"/>
    <w:rsid w:val="004910B9"/>
    <w:rsid w:val="0049495E"/>
    <w:rsid w:val="0049558A"/>
    <w:rsid w:val="00496A77"/>
    <w:rsid w:val="004A0478"/>
    <w:rsid w:val="004A1C53"/>
    <w:rsid w:val="004A2EC6"/>
    <w:rsid w:val="004A3022"/>
    <w:rsid w:val="004A53B5"/>
    <w:rsid w:val="004A58B5"/>
    <w:rsid w:val="004A6DB1"/>
    <w:rsid w:val="004B0D8C"/>
    <w:rsid w:val="004B0F21"/>
    <w:rsid w:val="004B0F95"/>
    <w:rsid w:val="004B275D"/>
    <w:rsid w:val="004B2DB7"/>
    <w:rsid w:val="004B33DB"/>
    <w:rsid w:val="004B45FD"/>
    <w:rsid w:val="004B4E37"/>
    <w:rsid w:val="004B677D"/>
    <w:rsid w:val="004B72D5"/>
    <w:rsid w:val="004B77BA"/>
    <w:rsid w:val="004B7B0B"/>
    <w:rsid w:val="004B7CF5"/>
    <w:rsid w:val="004C01A7"/>
    <w:rsid w:val="004C0E1A"/>
    <w:rsid w:val="004C0FF9"/>
    <w:rsid w:val="004C19C2"/>
    <w:rsid w:val="004C1A1A"/>
    <w:rsid w:val="004C2018"/>
    <w:rsid w:val="004C6BE5"/>
    <w:rsid w:val="004C79A6"/>
    <w:rsid w:val="004C7CBE"/>
    <w:rsid w:val="004D2D16"/>
    <w:rsid w:val="004D7636"/>
    <w:rsid w:val="004E041D"/>
    <w:rsid w:val="004E04ED"/>
    <w:rsid w:val="004E05BD"/>
    <w:rsid w:val="004E17A6"/>
    <w:rsid w:val="004E29D6"/>
    <w:rsid w:val="004E305E"/>
    <w:rsid w:val="004E7A33"/>
    <w:rsid w:val="004F05AF"/>
    <w:rsid w:val="004F0D7E"/>
    <w:rsid w:val="004F1DE2"/>
    <w:rsid w:val="004F1E7B"/>
    <w:rsid w:val="004F735A"/>
    <w:rsid w:val="004F75D5"/>
    <w:rsid w:val="00502CB2"/>
    <w:rsid w:val="00502E6B"/>
    <w:rsid w:val="00502F73"/>
    <w:rsid w:val="00503A1D"/>
    <w:rsid w:val="00503A40"/>
    <w:rsid w:val="00513851"/>
    <w:rsid w:val="00514214"/>
    <w:rsid w:val="00514C47"/>
    <w:rsid w:val="00520C1E"/>
    <w:rsid w:val="005217EC"/>
    <w:rsid w:val="00523194"/>
    <w:rsid w:val="00523346"/>
    <w:rsid w:val="00524A69"/>
    <w:rsid w:val="00525971"/>
    <w:rsid w:val="00526DD9"/>
    <w:rsid w:val="00527C14"/>
    <w:rsid w:val="005305E5"/>
    <w:rsid w:val="00530F86"/>
    <w:rsid w:val="005314C8"/>
    <w:rsid w:val="00531E9E"/>
    <w:rsid w:val="00532487"/>
    <w:rsid w:val="00533B5E"/>
    <w:rsid w:val="00534482"/>
    <w:rsid w:val="005350BB"/>
    <w:rsid w:val="00536966"/>
    <w:rsid w:val="00540117"/>
    <w:rsid w:val="00541156"/>
    <w:rsid w:val="00541A7B"/>
    <w:rsid w:val="00541FB8"/>
    <w:rsid w:val="00543FBE"/>
    <w:rsid w:val="00544ACF"/>
    <w:rsid w:val="00544DC2"/>
    <w:rsid w:val="00544F51"/>
    <w:rsid w:val="0054550F"/>
    <w:rsid w:val="005457EB"/>
    <w:rsid w:val="00545CF9"/>
    <w:rsid w:val="005465D4"/>
    <w:rsid w:val="00547DF9"/>
    <w:rsid w:val="00553825"/>
    <w:rsid w:val="00553CCD"/>
    <w:rsid w:val="00554257"/>
    <w:rsid w:val="0055477E"/>
    <w:rsid w:val="00554E57"/>
    <w:rsid w:val="005551C2"/>
    <w:rsid w:val="005616B3"/>
    <w:rsid w:val="00561E5F"/>
    <w:rsid w:val="0056392E"/>
    <w:rsid w:val="00564433"/>
    <w:rsid w:val="00564B4B"/>
    <w:rsid w:val="005669CA"/>
    <w:rsid w:val="00566AAC"/>
    <w:rsid w:val="00566D6F"/>
    <w:rsid w:val="005707A1"/>
    <w:rsid w:val="0057146A"/>
    <w:rsid w:val="00572C11"/>
    <w:rsid w:val="00572C12"/>
    <w:rsid w:val="005737B9"/>
    <w:rsid w:val="00573D74"/>
    <w:rsid w:val="00574498"/>
    <w:rsid w:val="005823FC"/>
    <w:rsid w:val="00584ED4"/>
    <w:rsid w:val="005860A1"/>
    <w:rsid w:val="00586512"/>
    <w:rsid w:val="0058753E"/>
    <w:rsid w:val="0059093F"/>
    <w:rsid w:val="005914F9"/>
    <w:rsid w:val="005915AC"/>
    <w:rsid w:val="00591BDE"/>
    <w:rsid w:val="005932C3"/>
    <w:rsid w:val="00593C1A"/>
    <w:rsid w:val="005943A2"/>
    <w:rsid w:val="005951D4"/>
    <w:rsid w:val="00595776"/>
    <w:rsid w:val="00596810"/>
    <w:rsid w:val="005971E2"/>
    <w:rsid w:val="00597AF5"/>
    <w:rsid w:val="005A02F5"/>
    <w:rsid w:val="005A03F1"/>
    <w:rsid w:val="005A1C69"/>
    <w:rsid w:val="005A279F"/>
    <w:rsid w:val="005A2E23"/>
    <w:rsid w:val="005A314C"/>
    <w:rsid w:val="005A41F9"/>
    <w:rsid w:val="005A6466"/>
    <w:rsid w:val="005A71DF"/>
    <w:rsid w:val="005B3F16"/>
    <w:rsid w:val="005B4B53"/>
    <w:rsid w:val="005B4C1C"/>
    <w:rsid w:val="005B538C"/>
    <w:rsid w:val="005B5805"/>
    <w:rsid w:val="005C2092"/>
    <w:rsid w:val="005C2AED"/>
    <w:rsid w:val="005C40FF"/>
    <w:rsid w:val="005C70D3"/>
    <w:rsid w:val="005C753B"/>
    <w:rsid w:val="005C7BEC"/>
    <w:rsid w:val="005D1211"/>
    <w:rsid w:val="005D1411"/>
    <w:rsid w:val="005D1C8C"/>
    <w:rsid w:val="005D2F1D"/>
    <w:rsid w:val="005D661A"/>
    <w:rsid w:val="005D684B"/>
    <w:rsid w:val="005D78C1"/>
    <w:rsid w:val="005E04D8"/>
    <w:rsid w:val="005E2011"/>
    <w:rsid w:val="005E3741"/>
    <w:rsid w:val="005F0028"/>
    <w:rsid w:val="005F1C86"/>
    <w:rsid w:val="005F223B"/>
    <w:rsid w:val="005F327B"/>
    <w:rsid w:val="005F32D3"/>
    <w:rsid w:val="005F4938"/>
    <w:rsid w:val="005F6C54"/>
    <w:rsid w:val="006000FF"/>
    <w:rsid w:val="006029DE"/>
    <w:rsid w:val="00602EDF"/>
    <w:rsid w:val="00605B29"/>
    <w:rsid w:val="0060704B"/>
    <w:rsid w:val="0060731D"/>
    <w:rsid w:val="00607616"/>
    <w:rsid w:val="00610EDB"/>
    <w:rsid w:val="006124C7"/>
    <w:rsid w:val="00612DF8"/>
    <w:rsid w:val="00613919"/>
    <w:rsid w:val="00613C8F"/>
    <w:rsid w:val="0061576E"/>
    <w:rsid w:val="00615BEA"/>
    <w:rsid w:val="0061662F"/>
    <w:rsid w:val="00617B1B"/>
    <w:rsid w:val="00624DDD"/>
    <w:rsid w:val="00627106"/>
    <w:rsid w:val="00627BD1"/>
    <w:rsid w:val="00630A77"/>
    <w:rsid w:val="006312E5"/>
    <w:rsid w:val="0063539B"/>
    <w:rsid w:val="0063572E"/>
    <w:rsid w:val="00640E35"/>
    <w:rsid w:val="00641847"/>
    <w:rsid w:val="00642538"/>
    <w:rsid w:val="00642E09"/>
    <w:rsid w:val="00643522"/>
    <w:rsid w:val="00643B20"/>
    <w:rsid w:val="00645894"/>
    <w:rsid w:val="00645A12"/>
    <w:rsid w:val="00650940"/>
    <w:rsid w:val="00650DEE"/>
    <w:rsid w:val="00652B96"/>
    <w:rsid w:val="00654219"/>
    <w:rsid w:val="006545EA"/>
    <w:rsid w:val="00655832"/>
    <w:rsid w:val="00655A0F"/>
    <w:rsid w:val="00656443"/>
    <w:rsid w:val="00661E06"/>
    <w:rsid w:val="0066210B"/>
    <w:rsid w:val="006625FA"/>
    <w:rsid w:val="00663FAF"/>
    <w:rsid w:val="006653AB"/>
    <w:rsid w:val="0066647F"/>
    <w:rsid w:val="006667A9"/>
    <w:rsid w:val="00667242"/>
    <w:rsid w:val="0067106C"/>
    <w:rsid w:val="00671498"/>
    <w:rsid w:val="00672E40"/>
    <w:rsid w:val="00672FC8"/>
    <w:rsid w:val="0067306B"/>
    <w:rsid w:val="006747DF"/>
    <w:rsid w:val="00677216"/>
    <w:rsid w:val="00681718"/>
    <w:rsid w:val="00681A59"/>
    <w:rsid w:val="00682125"/>
    <w:rsid w:val="00682E45"/>
    <w:rsid w:val="00685195"/>
    <w:rsid w:val="0069120F"/>
    <w:rsid w:val="00693EDE"/>
    <w:rsid w:val="00694147"/>
    <w:rsid w:val="0069436B"/>
    <w:rsid w:val="00694E34"/>
    <w:rsid w:val="006950B3"/>
    <w:rsid w:val="0069527A"/>
    <w:rsid w:val="00696966"/>
    <w:rsid w:val="00696F4B"/>
    <w:rsid w:val="006A0B29"/>
    <w:rsid w:val="006A1467"/>
    <w:rsid w:val="006A1DB7"/>
    <w:rsid w:val="006A2C6A"/>
    <w:rsid w:val="006A3367"/>
    <w:rsid w:val="006A396C"/>
    <w:rsid w:val="006A4D0B"/>
    <w:rsid w:val="006A4F80"/>
    <w:rsid w:val="006A4F92"/>
    <w:rsid w:val="006B0DA6"/>
    <w:rsid w:val="006B172C"/>
    <w:rsid w:val="006B2CD3"/>
    <w:rsid w:val="006B3805"/>
    <w:rsid w:val="006B3F3C"/>
    <w:rsid w:val="006B418A"/>
    <w:rsid w:val="006B5DD0"/>
    <w:rsid w:val="006B6910"/>
    <w:rsid w:val="006B6A03"/>
    <w:rsid w:val="006C3BA8"/>
    <w:rsid w:val="006C7202"/>
    <w:rsid w:val="006C7C23"/>
    <w:rsid w:val="006D1DC0"/>
    <w:rsid w:val="006D2958"/>
    <w:rsid w:val="006D37CA"/>
    <w:rsid w:val="006D4AA3"/>
    <w:rsid w:val="006D50C8"/>
    <w:rsid w:val="006D5B3B"/>
    <w:rsid w:val="006D6177"/>
    <w:rsid w:val="006D6353"/>
    <w:rsid w:val="006E05AA"/>
    <w:rsid w:val="006E0F0A"/>
    <w:rsid w:val="006E3562"/>
    <w:rsid w:val="006E642F"/>
    <w:rsid w:val="006F10CD"/>
    <w:rsid w:val="006F3317"/>
    <w:rsid w:val="006F4379"/>
    <w:rsid w:val="006F6280"/>
    <w:rsid w:val="006F6A5F"/>
    <w:rsid w:val="0070021A"/>
    <w:rsid w:val="00703835"/>
    <w:rsid w:val="00707714"/>
    <w:rsid w:val="00710901"/>
    <w:rsid w:val="0071127E"/>
    <w:rsid w:val="007116E9"/>
    <w:rsid w:val="00711B8D"/>
    <w:rsid w:val="00715A0A"/>
    <w:rsid w:val="007223BE"/>
    <w:rsid w:val="00723285"/>
    <w:rsid w:val="00726423"/>
    <w:rsid w:val="00726B0C"/>
    <w:rsid w:val="00727DB8"/>
    <w:rsid w:val="0073196E"/>
    <w:rsid w:val="00731C0A"/>
    <w:rsid w:val="00732404"/>
    <w:rsid w:val="0073477A"/>
    <w:rsid w:val="00734E38"/>
    <w:rsid w:val="00736A85"/>
    <w:rsid w:val="00736C29"/>
    <w:rsid w:val="00737965"/>
    <w:rsid w:val="00737B5A"/>
    <w:rsid w:val="007421A3"/>
    <w:rsid w:val="00742FC0"/>
    <w:rsid w:val="00744D06"/>
    <w:rsid w:val="007457C1"/>
    <w:rsid w:val="0074787C"/>
    <w:rsid w:val="007504AB"/>
    <w:rsid w:val="00751949"/>
    <w:rsid w:val="007519D3"/>
    <w:rsid w:val="007528AF"/>
    <w:rsid w:val="00752989"/>
    <w:rsid w:val="007543F9"/>
    <w:rsid w:val="00756EE5"/>
    <w:rsid w:val="007608AB"/>
    <w:rsid w:val="007613BF"/>
    <w:rsid w:val="00765CFD"/>
    <w:rsid w:val="00770E2A"/>
    <w:rsid w:val="00772103"/>
    <w:rsid w:val="0077242F"/>
    <w:rsid w:val="00772BF9"/>
    <w:rsid w:val="00773063"/>
    <w:rsid w:val="007746D3"/>
    <w:rsid w:val="00774E2E"/>
    <w:rsid w:val="00777351"/>
    <w:rsid w:val="007844FC"/>
    <w:rsid w:val="0078481B"/>
    <w:rsid w:val="00784E03"/>
    <w:rsid w:val="007874C9"/>
    <w:rsid w:val="00791003"/>
    <w:rsid w:val="00795629"/>
    <w:rsid w:val="00795F6D"/>
    <w:rsid w:val="00796651"/>
    <w:rsid w:val="007974E7"/>
    <w:rsid w:val="00797D61"/>
    <w:rsid w:val="007A2357"/>
    <w:rsid w:val="007A3AEB"/>
    <w:rsid w:val="007A41C6"/>
    <w:rsid w:val="007A4A61"/>
    <w:rsid w:val="007A564C"/>
    <w:rsid w:val="007A59AD"/>
    <w:rsid w:val="007A6AF7"/>
    <w:rsid w:val="007A7083"/>
    <w:rsid w:val="007A7366"/>
    <w:rsid w:val="007B130A"/>
    <w:rsid w:val="007B1850"/>
    <w:rsid w:val="007B2DD4"/>
    <w:rsid w:val="007B308A"/>
    <w:rsid w:val="007B3937"/>
    <w:rsid w:val="007B45C9"/>
    <w:rsid w:val="007B4CE1"/>
    <w:rsid w:val="007B55A2"/>
    <w:rsid w:val="007B5E4C"/>
    <w:rsid w:val="007B7025"/>
    <w:rsid w:val="007B7A6B"/>
    <w:rsid w:val="007C0226"/>
    <w:rsid w:val="007C0921"/>
    <w:rsid w:val="007C0EF6"/>
    <w:rsid w:val="007C21B9"/>
    <w:rsid w:val="007C3038"/>
    <w:rsid w:val="007C3D39"/>
    <w:rsid w:val="007D186E"/>
    <w:rsid w:val="007D2044"/>
    <w:rsid w:val="007D297C"/>
    <w:rsid w:val="007D3489"/>
    <w:rsid w:val="007D449C"/>
    <w:rsid w:val="007D4BCC"/>
    <w:rsid w:val="007D4C13"/>
    <w:rsid w:val="007D6B4B"/>
    <w:rsid w:val="007D78BE"/>
    <w:rsid w:val="007E1063"/>
    <w:rsid w:val="007E34B7"/>
    <w:rsid w:val="007E510C"/>
    <w:rsid w:val="007E6FFE"/>
    <w:rsid w:val="007F156F"/>
    <w:rsid w:val="007F23AA"/>
    <w:rsid w:val="007F3201"/>
    <w:rsid w:val="007F6628"/>
    <w:rsid w:val="007F6FB6"/>
    <w:rsid w:val="00800240"/>
    <w:rsid w:val="008006F5"/>
    <w:rsid w:val="00803597"/>
    <w:rsid w:val="00804F8E"/>
    <w:rsid w:val="00806D8D"/>
    <w:rsid w:val="00807694"/>
    <w:rsid w:val="008102CC"/>
    <w:rsid w:val="00811008"/>
    <w:rsid w:val="00811B59"/>
    <w:rsid w:val="00813619"/>
    <w:rsid w:val="00814761"/>
    <w:rsid w:val="00815766"/>
    <w:rsid w:val="008157EF"/>
    <w:rsid w:val="008266A8"/>
    <w:rsid w:val="00826B4D"/>
    <w:rsid w:val="0082764F"/>
    <w:rsid w:val="00831CCD"/>
    <w:rsid w:val="008327DB"/>
    <w:rsid w:val="00837A89"/>
    <w:rsid w:val="00842AC5"/>
    <w:rsid w:val="00844A7F"/>
    <w:rsid w:val="0084710C"/>
    <w:rsid w:val="0084718B"/>
    <w:rsid w:val="008479FA"/>
    <w:rsid w:val="008515F1"/>
    <w:rsid w:val="00853528"/>
    <w:rsid w:val="00854355"/>
    <w:rsid w:val="00854AAE"/>
    <w:rsid w:val="00857889"/>
    <w:rsid w:val="008604F9"/>
    <w:rsid w:val="008605EC"/>
    <w:rsid w:val="00862B22"/>
    <w:rsid w:val="00862F01"/>
    <w:rsid w:val="008635DE"/>
    <w:rsid w:val="008646A8"/>
    <w:rsid w:val="0086473D"/>
    <w:rsid w:val="008669A7"/>
    <w:rsid w:val="00866F45"/>
    <w:rsid w:val="008705EA"/>
    <w:rsid w:val="0087301B"/>
    <w:rsid w:val="00874D2D"/>
    <w:rsid w:val="00874FD8"/>
    <w:rsid w:val="00875BC3"/>
    <w:rsid w:val="00876460"/>
    <w:rsid w:val="00876599"/>
    <w:rsid w:val="0087659F"/>
    <w:rsid w:val="008779BF"/>
    <w:rsid w:val="008804CA"/>
    <w:rsid w:val="00882FB8"/>
    <w:rsid w:val="00883AE9"/>
    <w:rsid w:val="008841EA"/>
    <w:rsid w:val="00886D14"/>
    <w:rsid w:val="00887264"/>
    <w:rsid w:val="00893D96"/>
    <w:rsid w:val="00894960"/>
    <w:rsid w:val="008957B4"/>
    <w:rsid w:val="008967D0"/>
    <w:rsid w:val="00897C77"/>
    <w:rsid w:val="008A07D6"/>
    <w:rsid w:val="008A1C67"/>
    <w:rsid w:val="008A25C4"/>
    <w:rsid w:val="008A3826"/>
    <w:rsid w:val="008A40D4"/>
    <w:rsid w:val="008A5839"/>
    <w:rsid w:val="008A67A8"/>
    <w:rsid w:val="008A6D63"/>
    <w:rsid w:val="008A79B4"/>
    <w:rsid w:val="008A7C43"/>
    <w:rsid w:val="008B19ED"/>
    <w:rsid w:val="008B2754"/>
    <w:rsid w:val="008B2EEC"/>
    <w:rsid w:val="008B2F4E"/>
    <w:rsid w:val="008B4D25"/>
    <w:rsid w:val="008B6333"/>
    <w:rsid w:val="008B7654"/>
    <w:rsid w:val="008C1757"/>
    <w:rsid w:val="008C4CBE"/>
    <w:rsid w:val="008C5529"/>
    <w:rsid w:val="008C5AC3"/>
    <w:rsid w:val="008C6364"/>
    <w:rsid w:val="008C7480"/>
    <w:rsid w:val="008D2386"/>
    <w:rsid w:val="008D3EB6"/>
    <w:rsid w:val="008D50A7"/>
    <w:rsid w:val="008D77EE"/>
    <w:rsid w:val="008D790F"/>
    <w:rsid w:val="008E0333"/>
    <w:rsid w:val="008E1962"/>
    <w:rsid w:val="008E2142"/>
    <w:rsid w:val="008E218F"/>
    <w:rsid w:val="008E353A"/>
    <w:rsid w:val="008E5E14"/>
    <w:rsid w:val="008F40A3"/>
    <w:rsid w:val="008F69AD"/>
    <w:rsid w:val="008F6A00"/>
    <w:rsid w:val="009006DB"/>
    <w:rsid w:val="00902F17"/>
    <w:rsid w:val="0090537C"/>
    <w:rsid w:val="00906012"/>
    <w:rsid w:val="009061C6"/>
    <w:rsid w:val="00906ACF"/>
    <w:rsid w:val="00907804"/>
    <w:rsid w:val="0091048B"/>
    <w:rsid w:val="0091084B"/>
    <w:rsid w:val="00912206"/>
    <w:rsid w:val="00913A78"/>
    <w:rsid w:val="00913E7A"/>
    <w:rsid w:val="00922B81"/>
    <w:rsid w:val="00922EF8"/>
    <w:rsid w:val="00924DF4"/>
    <w:rsid w:val="00927852"/>
    <w:rsid w:val="00927E83"/>
    <w:rsid w:val="00931C25"/>
    <w:rsid w:val="00933143"/>
    <w:rsid w:val="00933594"/>
    <w:rsid w:val="009335C5"/>
    <w:rsid w:val="00935D2E"/>
    <w:rsid w:val="00936D30"/>
    <w:rsid w:val="00940FE5"/>
    <w:rsid w:val="00941391"/>
    <w:rsid w:val="00944C3D"/>
    <w:rsid w:val="0094577C"/>
    <w:rsid w:val="009458ED"/>
    <w:rsid w:val="00945E05"/>
    <w:rsid w:val="00946CD0"/>
    <w:rsid w:val="009500E4"/>
    <w:rsid w:val="00950B18"/>
    <w:rsid w:val="00951280"/>
    <w:rsid w:val="00952C06"/>
    <w:rsid w:val="00955492"/>
    <w:rsid w:val="00955969"/>
    <w:rsid w:val="0095624D"/>
    <w:rsid w:val="00956DB1"/>
    <w:rsid w:val="009600C6"/>
    <w:rsid w:val="009640EA"/>
    <w:rsid w:val="009649FE"/>
    <w:rsid w:val="00964BC4"/>
    <w:rsid w:val="00965581"/>
    <w:rsid w:val="00965B1E"/>
    <w:rsid w:val="00965FEA"/>
    <w:rsid w:val="009662F4"/>
    <w:rsid w:val="0096741E"/>
    <w:rsid w:val="00967F80"/>
    <w:rsid w:val="00972368"/>
    <w:rsid w:val="00972A2C"/>
    <w:rsid w:val="009731BC"/>
    <w:rsid w:val="0097453D"/>
    <w:rsid w:val="009755EA"/>
    <w:rsid w:val="009819D1"/>
    <w:rsid w:val="0098228D"/>
    <w:rsid w:val="00982581"/>
    <w:rsid w:val="00983216"/>
    <w:rsid w:val="009846F7"/>
    <w:rsid w:val="00985B6B"/>
    <w:rsid w:val="00987AF3"/>
    <w:rsid w:val="00991285"/>
    <w:rsid w:val="0099487D"/>
    <w:rsid w:val="009948DB"/>
    <w:rsid w:val="00994CD3"/>
    <w:rsid w:val="00995221"/>
    <w:rsid w:val="0099586E"/>
    <w:rsid w:val="00996B74"/>
    <w:rsid w:val="00996CBA"/>
    <w:rsid w:val="00997A83"/>
    <w:rsid w:val="009A13C2"/>
    <w:rsid w:val="009A3643"/>
    <w:rsid w:val="009A5616"/>
    <w:rsid w:val="009A5F6A"/>
    <w:rsid w:val="009A70AE"/>
    <w:rsid w:val="009A7222"/>
    <w:rsid w:val="009B0937"/>
    <w:rsid w:val="009B13FC"/>
    <w:rsid w:val="009B1C10"/>
    <w:rsid w:val="009B2D0A"/>
    <w:rsid w:val="009B2E04"/>
    <w:rsid w:val="009B2F8E"/>
    <w:rsid w:val="009B3A45"/>
    <w:rsid w:val="009B433A"/>
    <w:rsid w:val="009B5D1F"/>
    <w:rsid w:val="009B7A6F"/>
    <w:rsid w:val="009C0DA8"/>
    <w:rsid w:val="009C128A"/>
    <w:rsid w:val="009C16F4"/>
    <w:rsid w:val="009C3046"/>
    <w:rsid w:val="009C3A1C"/>
    <w:rsid w:val="009D07F9"/>
    <w:rsid w:val="009D19EE"/>
    <w:rsid w:val="009D3044"/>
    <w:rsid w:val="009D31DF"/>
    <w:rsid w:val="009D4DCB"/>
    <w:rsid w:val="009E0CDE"/>
    <w:rsid w:val="009E4AE6"/>
    <w:rsid w:val="009E549C"/>
    <w:rsid w:val="009E684D"/>
    <w:rsid w:val="009E7A62"/>
    <w:rsid w:val="009E7E3B"/>
    <w:rsid w:val="009F0275"/>
    <w:rsid w:val="009F0400"/>
    <w:rsid w:val="009F063B"/>
    <w:rsid w:val="009F312D"/>
    <w:rsid w:val="009F3CE9"/>
    <w:rsid w:val="00A00685"/>
    <w:rsid w:val="00A00A0D"/>
    <w:rsid w:val="00A00E3F"/>
    <w:rsid w:val="00A04818"/>
    <w:rsid w:val="00A04B61"/>
    <w:rsid w:val="00A05F2B"/>
    <w:rsid w:val="00A06A91"/>
    <w:rsid w:val="00A07CD1"/>
    <w:rsid w:val="00A10A57"/>
    <w:rsid w:val="00A10E52"/>
    <w:rsid w:val="00A11B94"/>
    <w:rsid w:val="00A1375B"/>
    <w:rsid w:val="00A13D66"/>
    <w:rsid w:val="00A13EF9"/>
    <w:rsid w:val="00A14011"/>
    <w:rsid w:val="00A169B0"/>
    <w:rsid w:val="00A174B6"/>
    <w:rsid w:val="00A2016F"/>
    <w:rsid w:val="00A213BE"/>
    <w:rsid w:val="00A21541"/>
    <w:rsid w:val="00A24507"/>
    <w:rsid w:val="00A250CC"/>
    <w:rsid w:val="00A27949"/>
    <w:rsid w:val="00A30EA0"/>
    <w:rsid w:val="00A327DA"/>
    <w:rsid w:val="00A34CF1"/>
    <w:rsid w:val="00A36892"/>
    <w:rsid w:val="00A37852"/>
    <w:rsid w:val="00A4022B"/>
    <w:rsid w:val="00A4031C"/>
    <w:rsid w:val="00A413A8"/>
    <w:rsid w:val="00A42A29"/>
    <w:rsid w:val="00A439CD"/>
    <w:rsid w:val="00A45206"/>
    <w:rsid w:val="00A461B7"/>
    <w:rsid w:val="00A50542"/>
    <w:rsid w:val="00A50CA6"/>
    <w:rsid w:val="00A51B5C"/>
    <w:rsid w:val="00A54B36"/>
    <w:rsid w:val="00A551C4"/>
    <w:rsid w:val="00A55B1F"/>
    <w:rsid w:val="00A56B21"/>
    <w:rsid w:val="00A57BA6"/>
    <w:rsid w:val="00A610D5"/>
    <w:rsid w:val="00A64345"/>
    <w:rsid w:val="00A647AA"/>
    <w:rsid w:val="00A647FC"/>
    <w:rsid w:val="00A65D6C"/>
    <w:rsid w:val="00A65E3A"/>
    <w:rsid w:val="00A66D8E"/>
    <w:rsid w:val="00A71A3C"/>
    <w:rsid w:val="00A72A73"/>
    <w:rsid w:val="00A72F7F"/>
    <w:rsid w:val="00A730DC"/>
    <w:rsid w:val="00A744B1"/>
    <w:rsid w:val="00A757E1"/>
    <w:rsid w:val="00A769C4"/>
    <w:rsid w:val="00A76D5C"/>
    <w:rsid w:val="00A81FD5"/>
    <w:rsid w:val="00A83BAE"/>
    <w:rsid w:val="00A85811"/>
    <w:rsid w:val="00A85C78"/>
    <w:rsid w:val="00A867CE"/>
    <w:rsid w:val="00A86EE1"/>
    <w:rsid w:val="00A9086A"/>
    <w:rsid w:val="00A91312"/>
    <w:rsid w:val="00A92B1A"/>
    <w:rsid w:val="00A94613"/>
    <w:rsid w:val="00A94C9E"/>
    <w:rsid w:val="00A9534D"/>
    <w:rsid w:val="00AA0233"/>
    <w:rsid w:val="00AA11E2"/>
    <w:rsid w:val="00AA203F"/>
    <w:rsid w:val="00AA282A"/>
    <w:rsid w:val="00AA2FF5"/>
    <w:rsid w:val="00AA32F2"/>
    <w:rsid w:val="00AA4A3E"/>
    <w:rsid w:val="00AA75C6"/>
    <w:rsid w:val="00AB0293"/>
    <w:rsid w:val="00AB0BA4"/>
    <w:rsid w:val="00AB1D03"/>
    <w:rsid w:val="00AB1E8F"/>
    <w:rsid w:val="00AB2D4D"/>
    <w:rsid w:val="00AB6323"/>
    <w:rsid w:val="00AB76EA"/>
    <w:rsid w:val="00AB7A0F"/>
    <w:rsid w:val="00AB7AB8"/>
    <w:rsid w:val="00AB7C35"/>
    <w:rsid w:val="00AB7DD1"/>
    <w:rsid w:val="00AB7EEF"/>
    <w:rsid w:val="00AC2C6D"/>
    <w:rsid w:val="00AC2D76"/>
    <w:rsid w:val="00AC47CF"/>
    <w:rsid w:val="00AC4D83"/>
    <w:rsid w:val="00AC5CEC"/>
    <w:rsid w:val="00AC64A7"/>
    <w:rsid w:val="00AC75C3"/>
    <w:rsid w:val="00AC7894"/>
    <w:rsid w:val="00AD1D08"/>
    <w:rsid w:val="00AD555C"/>
    <w:rsid w:val="00AD67F1"/>
    <w:rsid w:val="00AD68F6"/>
    <w:rsid w:val="00AE0E96"/>
    <w:rsid w:val="00AE13D5"/>
    <w:rsid w:val="00AE1B7F"/>
    <w:rsid w:val="00AE2311"/>
    <w:rsid w:val="00AE2CDC"/>
    <w:rsid w:val="00AE3CBC"/>
    <w:rsid w:val="00AE3CE0"/>
    <w:rsid w:val="00AE60F9"/>
    <w:rsid w:val="00AE6CD2"/>
    <w:rsid w:val="00AE7B6F"/>
    <w:rsid w:val="00AF0084"/>
    <w:rsid w:val="00AF0320"/>
    <w:rsid w:val="00AF080B"/>
    <w:rsid w:val="00AF1CB9"/>
    <w:rsid w:val="00AF22F8"/>
    <w:rsid w:val="00AF2F21"/>
    <w:rsid w:val="00AF3637"/>
    <w:rsid w:val="00AF4984"/>
    <w:rsid w:val="00AF514F"/>
    <w:rsid w:val="00AF5182"/>
    <w:rsid w:val="00AF6B88"/>
    <w:rsid w:val="00B00F77"/>
    <w:rsid w:val="00B01FD4"/>
    <w:rsid w:val="00B043A6"/>
    <w:rsid w:val="00B04A13"/>
    <w:rsid w:val="00B106EC"/>
    <w:rsid w:val="00B10B00"/>
    <w:rsid w:val="00B10E1F"/>
    <w:rsid w:val="00B12FF5"/>
    <w:rsid w:val="00B1320F"/>
    <w:rsid w:val="00B1363D"/>
    <w:rsid w:val="00B1431B"/>
    <w:rsid w:val="00B14CD2"/>
    <w:rsid w:val="00B14DA7"/>
    <w:rsid w:val="00B153A0"/>
    <w:rsid w:val="00B16EC1"/>
    <w:rsid w:val="00B17409"/>
    <w:rsid w:val="00B17E46"/>
    <w:rsid w:val="00B22C67"/>
    <w:rsid w:val="00B22E79"/>
    <w:rsid w:val="00B23004"/>
    <w:rsid w:val="00B242AC"/>
    <w:rsid w:val="00B25C06"/>
    <w:rsid w:val="00B27174"/>
    <w:rsid w:val="00B2727B"/>
    <w:rsid w:val="00B27AA4"/>
    <w:rsid w:val="00B306C6"/>
    <w:rsid w:val="00B3238A"/>
    <w:rsid w:val="00B3254E"/>
    <w:rsid w:val="00B32A6D"/>
    <w:rsid w:val="00B32D02"/>
    <w:rsid w:val="00B33A78"/>
    <w:rsid w:val="00B34CF2"/>
    <w:rsid w:val="00B34D69"/>
    <w:rsid w:val="00B351BC"/>
    <w:rsid w:val="00B36120"/>
    <w:rsid w:val="00B37ED7"/>
    <w:rsid w:val="00B43182"/>
    <w:rsid w:val="00B440DB"/>
    <w:rsid w:val="00B47ED5"/>
    <w:rsid w:val="00B501AD"/>
    <w:rsid w:val="00B516C2"/>
    <w:rsid w:val="00B53450"/>
    <w:rsid w:val="00B53D5A"/>
    <w:rsid w:val="00B54630"/>
    <w:rsid w:val="00B54D2F"/>
    <w:rsid w:val="00B5510D"/>
    <w:rsid w:val="00B553FB"/>
    <w:rsid w:val="00B571A6"/>
    <w:rsid w:val="00B576FE"/>
    <w:rsid w:val="00B57F87"/>
    <w:rsid w:val="00B600CC"/>
    <w:rsid w:val="00B612B7"/>
    <w:rsid w:val="00B61364"/>
    <w:rsid w:val="00B62780"/>
    <w:rsid w:val="00B627B2"/>
    <w:rsid w:val="00B645BF"/>
    <w:rsid w:val="00B65DAD"/>
    <w:rsid w:val="00B70423"/>
    <w:rsid w:val="00B712B2"/>
    <w:rsid w:val="00B7218F"/>
    <w:rsid w:val="00B723F9"/>
    <w:rsid w:val="00B73348"/>
    <w:rsid w:val="00B740CE"/>
    <w:rsid w:val="00B77156"/>
    <w:rsid w:val="00B77291"/>
    <w:rsid w:val="00B81D45"/>
    <w:rsid w:val="00B845AC"/>
    <w:rsid w:val="00B867B8"/>
    <w:rsid w:val="00B869CE"/>
    <w:rsid w:val="00B874FD"/>
    <w:rsid w:val="00B9097E"/>
    <w:rsid w:val="00B912FF"/>
    <w:rsid w:val="00B92035"/>
    <w:rsid w:val="00B943A5"/>
    <w:rsid w:val="00B9490C"/>
    <w:rsid w:val="00B96071"/>
    <w:rsid w:val="00B96513"/>
    <w:rsid w:val="00B97BBE"/>
    <w:rsid w:val="00BA17C0"/>
    <w:rsid w:val="00BA201C"/>
    <w:rsid w:val="00BA2148"/>
    <w:rsid w:val="00BA7A0F"/>
    <w:rsid w:val="00BA7E9C"/>
    <w:rsid w:val="00BB2286"/>
    <w:rsid w:val="00BB2687"/>
    <w:rsid w:val="00BB3721"/>
    <w:rsid w:val="00BB396D"/>
    <w:rsid w:val="00BB5125"/>
    <w:rsid w:val="00BB5300"/>
    <w:rsid w:val="00BB629A"/>
    <w:rsid w:val="00BC03FA"/>
    <w:rsid w:val="00BC25EF"/>
    <w:rsid w:val="00BC46CA"/>
    <w:rsid w:val="00BC7EDD"/>
    <w:rsid w:val="00BD0D39"/>
    <w:rsid w:val="00BD1818"/>
    <w:rsid w:val="00BD2BF8"/>
    <w:rsid w:val="00BD2D7C"/>
    <w:rsid w:val="00BD3A18"/>
    <w:rsid w:val="00BE0C8F"/>
    <w:rsid w:val="00BE326D"/>
    <w:rsid w:val="00BE3BE3"/>
    <w:rsid w:val="00BE52BC"/>
    <w:rsid w:val="00BE599D"/>
    <w:rsid w:val="00BE5B0A"/>
    <w:rsid w:val="00BF18F2"/>
    <w:rsid w:val="00BF1DF3"/>
    <w:rsid w:val="00BF2F05"/>
    <w:rsid w:val="00BF3CFB"/>
    <w:rsid w:val="00BF3E5E"/>
    <w:rsid w:val="00BF53BB"/>
    <w:rsid w:val="00BF5B2F"/>
    <w:rsid w:val="00BF6F07"/>
    <w:rsid w:val="00BF7DC9"/>
    <w:rsid w:val="00C01711"/>
    <w:rsid w:val="00C01C5E"/>
    <w:rsid w:val="00C01E39"/>
    <w:rsid w:val="00C01FEA"/>
    <w:rsid w:val="00C023B4"/>
    <w:rsid w:val="00C041E9"/>
    <w:rsid w:val="00C04E87"/>
    <w:rsid w:val="00C071AD"/>
    <w:rsid w:val="00C12829"/>
    <w:rsid w:val="00C12BF3"/>
    <w:rsid w:val="00C16198"/>
    <w:rsid w:val="00C234C8"/>
    <w:rsid w:val="00C23975"/>
    <w:rsid w:val="00C23B75"/>
    <w:rsid w:val="00C244FC"/>
    <w:rsid w:val="00C24A5B"/>
    <w:rsid w:val="00C24FD2"/>
    <w:rsid w:val="00C26AD3"/>
    <w:rsid w:val="00C276F9"/>
    <w:rsid w:val="00C303BF"/>
    <w:rsid w:val="00C30C3F"/>
    <w:rsid w:val="00C34869"/>
    <w:rsid w:val="00C40FA0"/>
    <w:rsid w:val="00C42859"/>
    <w:rsid w:val="00C44758"/>
    <w:rsid w:val="00C47786"/>
    <w:rsid w:val="00C47B1D"/>
    <w:rsid w:val="00C51DDE"/>
    <w:rsid w:val="00C52B7B"/>
    <w:rsid w:val="00C55F71"/>
    <w:rsid w:val="00C6124C"/>
    <w:rsid w:val="00C6125E"/>
    <w:rsid w:val="00C61B3C"/>
    <w:rsid w:val="00C62A48"/>
    <w:rsid w:val="00C62BFE"/>
    <w:rsid w:val="00C64FC7"/>
    <w:rsid w:val="00C651E1"/>
    <w:rsid w:val="00C65398"/>
    <w:rsid w:val="00C657D4"/>
    <w:rsid w:val="00C6667A"/>
    <w:rsid w:val="00C67649"/>
    <w:rsid w:val="00C700C6"/>
    <w:rsid w:val="00C71DA7"/>
    <w:rsid w:val="00C73437"/>
    <w:rsid w:val="00C73EF0"/>
    <w:rsid w:val="00C7505C"/>
    <w:rsid w:val="00C750C3"/>
    <w:rsid w:val="00C77357"/>
    <w:rsid w:val="00C80628"/>
    <w:rsid w:val="00C81145"/>
    <w:rsid w:val="00C84AFB"/>
    <w:rsid w:val="00C84F7F"/>
    <w:rsid w:val="00C85F85"/>
    <w:rsid w:val="00C865E8"/>
    <w:rsid w:val="00C86B4F"/>
    <w:rsid w:val="00C97CD5"/>
    <w:rsid w:val="00C97FEA"/>
    <w:rsid w:val="00CA17B9"/>
    <w:rsid w:val="00CA1878"/>
    <w:rsid w:val="00CA1F5E"/>
    <w:rsid w:val="00CA3614"/>
    <w:rsid w:val="00CB6B60"/>
    <w:rsid w:val="00CB6BD5"/>
    <w:rsid w:val="00CB7DC8"/>
    <w:rsid w:val="00CC0770"/>
    <w:rsid w:val="00CC131B"/>
    <w:rsid w:val="00CC208A"/>
    <w:rsid w:val="00CC23DF"/>
    <w:rsid w:val="00CC2456"/>
    <w:rsid w:val="00CC2604"/>
    <w:rsid w:val="00CC4710"/>
    <w:rsid w:val="00CC4A8D"/>
    <w:rsid w:val="00CD091A"/>
    <w:rsid w:val="00CD09CB"/>
    <w:rsid w:val="00CD2468"/>
    <w:rsid w:val="00CD3D5F"/>
    <w:rsid w:val="00CD4994"/>
    <w:rsid w:val="00CD4D1D"/>
    <w:rsid w:val="00CD6CB0"/>
    <w:rsid w:val="00CE1B57"/>
    <w:rsid w:val="00CE2D58"/>
    <w:rsid w:val="00CE3926"/>
    <w:rsid w:val="00CE47AD"/>
    <w:rsid w:val="00CE7D34"/>
    <w:rsid w:val="00CF3A38"/>
    <w:rsid w:val="00CF3B9D"/>
    <w:rsid w:val="00CF4CA4"/>
    <w:rsid w:val="00CF5DF8"/>
    <w:rsid w:val="00CF5F34"/>
    <w:rsid w:val="00CF6F5E"/>
    <w:rsid w:val="00CF7143"/>
    <w:rsid w:val="00CF7729"/>
    <w:rsid w:val="00CF775E"/>
    <w:rsid w:val="00D0408A"/>
    <w:rsid w:val="00D1297E"/>
    <w:rsid w:val="00D131AE"/>
    <w:rsid w:val="00D13E24"/>
    <w:rsid w:val="00D14B45"/>
    <w:rsid w:val="00D14E0C"/>
    <w:rsid w:val="00D168DC"/>
    <w:rsid w:val="00D17925"/>
    <w:rsid w:val="00D204EF"/>
    <w:rsid w:val="00D20655"/>
    <w:rsid w:val="00D20A3A"/>
    <w:rsid w:val="00D2200B"/>
    <w:rsid w:val="00D2239D"/>
    <w:rsid w:val="00D2304A"/>
    <w:rsid w:val="00D230FD"/>
    <w:rsid w:val="00D25406"/>
    <w:rsid w:val="00D25C79"/>
    <w:rsid w:val="00D25DA6"/>
    <w:rsid w:val="00D2609B"/>
    <w:rsid w:val="00D260CD"/>
    <w:rsid w:val="00D27F1E"/>
    <w:rsid w:val="00D3018A"/>
    <w:rsid w:val="00D3068A"/>
    <w:rsid w:val="00D30CBB"/>
    <w:rsid w:val="00D31014"/>
    <w:rsid w:val="00D31598"/>
    <w:rsid w:val="00D32D5C"/>
    <w:rsid w:val="00D33416"/>
    <w:rsid w:val="00D33567"/>
    <w:rsid w:val="00D3363B"/>
    <w:rsid w:val="00D343C2"/>
    <w:rsid w:val="00D3683E"/>
    <w:rsid w:val="00D36F9D"/>
    <w:rsid w:val="00D37420"/>
    <w:rsid w:val="00D37D23"/>
    <w:rsid w:val="00D37D36"/>
    <w:rsid w:val="00D4171D"/>
    <w:rsid w:val="00D41C66"/>
    <w:rsid w:val="00D4272B"/>
    <w:rsid w:val="00D44D67"/>
    <w:rsid w:val="00D44E8E"/>
    <w:rsid w:val="00D50276"/>
    <w:rsid w:val="00D53293"/>
    <w:rsid w:val="00D53A9B"/>
    <w:rsid w:val="00D5560D"/>
    <w:rsid w:val="00D5595B"/>
    <w:rsid w:val="00D573AD"/>
    <w:rsid w:val="00D611A1"/>
    <w:rsid w:val="00D63289"/>
    <w:rsid w:val="00D63D5D"/>
    <w:rsid w:val="00D649C5"/>
    <w:rsid w:val="00D64B7F"/>
    <w:rsid w:val="00D675F8"/>
    <w:rsid w:val="00D67F40"/>
    <w:rsid w:val="00D70371"/>
    <w:rsid w:val="00D72160"/>
    <w:rsid w:val="00D72ACA"/>
    <w:rsid w:val="00D731C4"/>
    <w:rsid w:val="00D73725"/>
    <w:rsid w:val="00D738EB"/>
    <w:rsid w:val="00D75707"/>
    <w:rsid w:val="00D81E15"/>
    <w:rsid w:val="00D82261"/>
    <w:rsid w:val="00D8277D"/>
    <w:rsid w:val="00D82A0B"/>
    <w:rsid w:val="00D8343C"/>
    <w:rsid w:val="00D84179"/>
    <w:rsid w:val="00D843B3"/>
    <w:rsid w:val="00D906E6"/>
    <w:rsid w:val="00D90AE2"/>
    <w:rsid w:val="00D913D5"/>
    <w:rsid w:val="00D91491"/>
    <w:rsid w:val="00D916BA"/>
    <w:rsid w:val="00D917EC"/>
    <w:rsid w:val="00D9344D"/>
    <w:rsid w:val="00D948C7"/>
    <w:rsid w:val="00D9503C"/>
    <w:rsid w:val="00D95A7B"/>
    <w:rsid w:val="00D97A07"/>
    <w:rsid w:val="00DA0825"/>
    <w:rsid w:val="00DA1000"/>
    <w:rsid w:val="00DA3FB0"/>
    <w:rsid w:val="00DA40C9"/>
    <w:rsid w:val="00DA50AB"/>
    <w:rsid w:val="00DA670D"/>
    <w:rsid w:val="00DA736B"/>
    <w:rsid w:val="00DB01C9"/>
    <w:rsid w:val="00DB0B56"/>
    <w:rsid w:val="00DB2094"/>
    <w:rsid w:val="00DB5538"/>
    <w:rsid w:val="00DB5ED6"/>
    <w:rsid w:val="00DC0E4F"/>
    <w:rsid w:val="00DC11CC"/>
    <w:rsid w:val="00DC2916"/>
    <w:rsid w:val="00DC6842"/>
    <w:rsid w:val="00DD02F3"/>
    <w:rsid w:val="00DD302B"/>
    <w:rsid w:val="00DD3221"/>
    <w:rsid w:val="00DD3723"/>
    <w:rsid w:val="00DD4824"/>
    <w:rsid w:val="00DD4D7B"/>
    <w:rsid w:val="00DD4DFC"/>
    <w:rsid w:val="00DD5ABA"/>
    <w:rsid w:val="00DD5AFD"/>
    <w:rsid w:val="00DD5F88"/>
    <w:rsid w:val="00DD64FF"/>
    <w:rsid w:val="00DD7F0D"/>
    <w:rsid w:val="00DE1842"/>
    <w:rsid w:val="00DE438C"/>
    <w:rsid w:val="00DE5916"/>
    <w:rsid w:val="00DE5FA1"/>
    <w:rsid w:val="00DE6CA3"/>
    <w:rsid w:val="00DE731B"/>
    <w:rsid w:val="00DE79F8"/>
    <w:rsid w:val="00DF0EE8"/>
    <w:rsid w:val="00DF149A"/>
    <w:rsid w:val="00DF256F"/>
    <w:rsid w:val="00DF35A0"/>
    <w:rsid w:val="00DF367E"/>
    <w:rsid w:val="00DF3C2E"/>
    <w:rsid w:val="00DF4071"/>
    <w:rsid w:val="00DF7CAD"/>
    <w:rsid w:val="00DF7E44"/>
    <w:rsid w:val="00E007BA"/>
    <w:rsid w:val="00E02003"/>
    <w:rsid w:val="00E038BC"/>
    <w:rsid w:val="00E05528"/>
    <w:rsid w:val="00E06DC1"/>
    <w:rsid w:val="00E07216"/>
    <w:rsid w:val="00E073EA"/>
    <w:rsid w:val="00E15FC5"/>
    <w:rsid w:val="00E21223"/>
    <w:rsid w:val="00E21A16"/>
    <w:rsid w:val="00E21CEE"/>
    <w:rsid w:val="00E22257"/>
    <w:rsid w:val="00E23112"/>
    <w:rsid w:val="00E2334E"/>
    <w:rsid w:val="00E24C21"/>
    <w:rsid w:val="00E25103"/>
    <w:rsid w:val="00E2577C"/>
    <w:rsid w:val="00E26C9B"/>
    <w:rsid w:val="00E31763"/>
    <w:rsid w:val="00E322C0"/>
    <w:rsid w:val="00E33C73"/>
    <w:rsid w:val="00E34366"/>
    <w:rsid w:val="00E3565C"/>
    <w:rsid w:val="00E35C27"/>
    <w:rsid w:val="00E36539"/>
    <w:rsid w:val="00E37A50"/>
    <w:rsid w:val="00E409E4"/>
    <w:rsid w:val="00E416C8"/>
    <w:rsid w:val="00E41EDA"/>
    <w:rsid w:val="00E464AB"/>
    <w:rsid w:val="00E468F1"/>
    <w:rsid w:val="00E478DE"/>
    <w:rsid w:val="00E47F2C"/>
    <w:rsid w:val="00E47F92"/>
    <w:rsid w:val="00E50382"/>
    <w:rsid w:val="00E51C25"/>
    <w:rsid w:val="00E5597B"/>
    <w:rsid w:val="00E55A82"/>
    <w:rsid w:val="00E55EA3"/>
    <w:rsid w:val="00E56CCB"/>
    <w:rsid w:val="00E605CD"/>
    <w:rsid w:val="00E627AA"/>
    <w:rsid w:val="00E62EC2"/>
    <w:rsid w:val="00E633A0"/>
    <w:rsid w:val="00E64EC9"/>
    <w:rsid w:val="00E65D22"/>
    <w:rsid w:val="00E66BC3"/>
    <w:rsid w:val="00E7135B"/>
    <w:rsid w:val="00E71F3E"/>
    <w:rsid w:val="00E72443"/>
    <w:rsid w:val="00E72761"/>
    <w:rsid w:val="00E72D1B"/>
    <w:rsid w:val="00E75A2E"/>
    <w:rsid w:val="00E75AB6"/>
    <w:rsid w:val="00E769FB"/>
    <w:rsid w:val="00E76BA7"/>
    <w:rsid w:val="00E776C8"/>
    <w:rsid w:val="00E82072"/>
    <w:rsid w:val="00E824FB"/>
    <w:rsid w:val="00E847A2"/>
    <w:rsid w:val="00E84FA2"/>
    <w:rsid w:val="00E86A3E"/>
    <w:rsid w:val="00E872FD"/>
    <w:rsid w:val="00E9012B"/>
    <w:rsid w:val="00E90EAD"/>
    <w:rsid w:val="00E91290"/>
    <w:rsid w:val="00E93860"/>
    <w:rsid w:val="00E94E4A"/>
    <w:rsid w:val="00E9633B"/>
    <w:rsid w:val="00E9785D"/>
    <w:rsid w:val="00EA018A"/>
    <w:rsid w:val="00EA1C68"/>
    <w:rsid w:val="00EA1EA7"/>
    <w:rsid w:val="00EA33E8"/>
    <w:rsid w:val="00EA43F6"/>
    <w:rsid w:val="00EA6E87"/>
    <w:rsid w:val="00EA781F"/>
    <w:rsid w:val="00EB01A3"/>
    <w:rsid w:val="00EB06D9"/>
    <w:rsid w:val="00EB2C8D"/>
    <w:rsid w:val="00EB4ECF"/>
    <w:rsid w:val="00EB5D1F"/>
    <w:rsid w:val="00EB633A"/>
    <w:rsid w:val="00EB64A5"/>
    <w:rsid w:val="00EB6AA8"/>
    <w:rsid w:val="00EB6FFE"/>
    <w:rsid w:val="00EC1E7C"/>
    <w:rsid w:val="00EC58C6"/>
    <w:rsid w:val="00EC7D06"/>
    <w:rsid w:val="00ED02DD"/>
    <w:rsid w:val="00ED0C90"/>
    <w:rsid w:val="00ED38B9"/>
    <w:rsid w:val="00ED5AC2"/>
    <w:rsid w:val="00ED5C80"/>
    <w:rsid w:val="00EE005B"/>
    <w:rsid w:val="00EE1AD1"/>
    <w:rsid w:val="00EE24CB"/>
    <w:rsid w:val="00EE24D1"/>
    <w:rsid w:val="00EE2AA4"/>
    <w:rsid w:val="00EE5337"/>
    <w:rsid w:val="00EE5587"/>
    <w:rsid w:val="00EE572D"/>
    <w:rsid w:val="00EF014A"/>
    <w:rsid w:val="00EF1DE6"/>
    <w:rsid w:val="00EF31EE"/>
    <w:rsid w:val="00EF729F"/>
    <w:rsid w:val="00F0008C"/>
    <w:rsid w:val="00F01078"/>
    <w:rsid w:val="00F01905"/>
    <w:rsid w:val="00F01929"/>
    <w:rsid w:val="00F01EB9"/>
    <w:rsid w:val="00F02D7B"/>
    <w:rsid w:val="00F03B5E"/>
    <w:rsid w:val="00F03D71"/>
    <w:rsid w:val="00F05889"/>
    <w:rsid w:val="00F05FF2"/>
    <w:rsid w:val="00F062D3"/>
    <w:rsid w:val="00F06C45"/>
    <w:rsid w:val="00F07A14"/>
    <w:rsid w:val="00F132BF"/>
    <w:rsid w:val="00F1469C"/>
    <w:rsid w:val="00F15490"/>
    <w:rsid w:val="00F20B49"/>
    <w:rsid w:val="00F22D82"/>
    <w:rsid w:val="00F23605"/>
    <w:rsid w:val="00F23D1E"/>
    <w:rsid w:val="00F2538A"/>
    <w:rsid w:val="00F25720"/>
    <w:rsid w:val="00F272A9"/>
    <w:rsid w:val="00F2780E"/>
    <w:rsid w:val="00F30358"/>
    <w:rsid w:val="00F3117E"/>
    <w:rsid w:val="00F334E1"/>
    <w:rsid w:val="00F3387D"/>
    <w:rsid w:val="00F36BB1"/>
    <w:rsid w:val="00F36FA0"/>
    <w:rsid w:val="00F40E68"/>
    <w:rsid w:val="00F41698"/>
    <w:rsid w:val="00F42068"/>
    <w:rsid w:val="00F42AD3"/>
    <w:rsid w:val="00F441FE"/>
    <w:rsid w:val="00F44233"/>
    <w:rsid w:val="00F46870"/>
    <w:rsid w:val="00F476C3"/>
    <w:rsid w:val="00F50E22"/>
    <w:rsid w:val="00F51D73"/>
    <w:rsid w:val="00F52012"/>
    <w:rsid w:val="00F53C47"/>
    <w:rsid w:val="00F54273"/>
    <w:rsid w:val="00F54F5F"/>
    <w:rsid w:val="00F56934"/>
    <w:rsid w:val="00F57C32"/>
    <w:rsid w:val="00F57FA6"/>
    <w:rsid w:val="00F6094A"/>
    <w:rsid w:val="00F61F97"/>
    <w:rsid w:val="00F62898"/>
    <w:rsid w:val="00F62E18"/>
    <w:rsid w:val="00F638B5"/>
    <w:rsid w:val="00F63E41"/>
    <w:rsid w:val="00F6793C"/>
    <w:rsid w:val="00F710B3"/>
    <w:rsid w:val="00F71419"/>
    <w:rsid w:val="00F71E48"/>
    <w:rsid w:val="00F71F70"/>
    <w:rsid w:val="00F74852"/>
    <w:rsid w:val="00F74B58"/>
    <w:rsid w:val="00F7533F"/>
    <w:rsid w:val="00F77D3B"/>
    <w:rsid w:val="00F80E0A"/>
    <w:rsid w:val="00F812F1"/>
    <w:rsid w:val="00F83B26"/>
    <w:rsid w:val="00F91B8A"/>
    <w:rsid w:val="00F9359C"/>
    <w:rsid w:val="00F94F80"/>
    <w:rsid w:val="00F95A7A"/>
    <w:rsid w:val="00F95BE4"/>
    <w:rsid w:val="00F95E89"/>
    <w:rsid w:val="00F96044"/>
    <w:rsid w:val="00F96AD3"/>
    <w:rsid w:val="00F96E4F"/>
    <w:rsid w:val="00FA056B"/>
    <w:rsid w:val="00FA6F87"/>
    <w:rsid w:val="00FA7226"/>
    <w:rsid w:val="00FB0857"/>
    <w:rsid w:val="00FB0912"/>
    <w:rsid w:val="00FB0E38"/>
    <w:rsid w:val="00FB12B7"/>
    <w:rsid w:val="00FB19AC"/>
    <w:rsid w:val="00FB233C"/>
    <w:rsid w:val="00FB248E"/>
    <w:rsid w:val="00FB38E6"/>
    <w:rsid w:val="00FB4179"/>
    <w:rsid w:val="00FB5D26"/>
    <w:rsid w:val="00FB7064"/>
    <w:rsid w:val="00FB7BF7"/>
    <w:rsid w:val="00FC0695"/>
    <w:rsid w:val="00FC09EF"/>
    <w:rsid w:val="00FC0DD3"/>
    <w:rsid w:val="00FC303B"/>
    <w:rsid w:val="00FC4D84"/>
    <w:rsid w:val="00FC64B8"/>
    <w:rsid w:val="00FC6C68"/>
    <w:rsid w:val="00FC749B"/>
    <w:rsid w:val="00FC7588"/>
    <w:rsid w:val="00FD0EA2"/>
    <w:rsid w:val="00FD0EC8"/>
    <w:rsid w:val="00FD55DE"/>
    <w:rsid w:val="00FD70AC"/>
    <w:rsid w:val="00FE07EC"/>
    <w:rsid w:val="00FE093A"/>
    <w:rsid w:val="00FE1918"/>
    <w:rsid w:val="00FE4A89"/>
    <w:rsid w:val="00FE57F8"/>
    <w:rsid w:val="00FE5AB4"/>
    <w:rsid w:val="00FE6EA2"/>
    <w:rsid w:val="00FF2E46"/>
    <w:rsid w:val="00FF46C6"/>
    <w:rsid w:val="00FF4AB3"/>
    <w:rsid w:val="00FF52A5"/>
    <w:rsid w:val="00FF558F"/>
    <w:rsid w:val="00FF5959"/>
    <w:rsid w:val="00FF73F7"/>
    <w:rsid w:val="00FF770A"/>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C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E2"/>
    <w:pPr>
      <w:spacing w:line="240" w:lineRule="atLeast"/>
    </w:pPr>
    <w:rPr>
      <w:rFonts w:ascii="Garamond" w:hAnsi="Garamond"/>
      <w:sz w:val="24"/>
    </w:rPr>
  </w:style>
  <w:style w:type="paragraph" w:styleId="Heading1">
    <w:name w:val="heading 1"/>
    <w:aliases w:val="H1-Chap. Head"/>
    <w:basedOn w:val="Normal"/>
    <w:link w:val="Heading1Char"/>
    <w:qFormat/>
    <w:rsid w:val="00533B5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B6333"/>
    <w:pPr>
      <w:spacing w:after="240"/>
      <w:ind w:left="1152" w:hanging="1152"/>
      <w:jc w:val="left"/>
      <w:outlineLvl w:val="1"/>
    </w:pPr>
    <w:rPr>
      <w:sz w:val="32"/>
    </w:rPr>
  </w:style>
  <w:style w:type="paragraph" w:styleId="Heading3">
    <w:name w:val="heading 3"/>
    <w:aliases w:val="H3-Sec. Head"/>
    <w:basedOn w:val="Heading1"/>
    <w:next w:val="L1-FlLSp12"/>
    <w:link w:val="Heading3Char"/>
    <w:qFormat/>
    <w:rsid w:val="00533B5E"/>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33B5E"/>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33B5E"/>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33B5E"/>
    <w:pPr>
      <w:keepNext/>
      <w:spacing w:before="240"/>
      <w:jc w:val="center"/>
      <w:outlineLvl w:val="5"/>
    </w:pPr>
    <w:rPr>
      <w:b/>
      <w:caps/>
    </w:rPr>
  </w:style>
  <w:style w:type="paragraph" w:styleId="Heading7">
    <w:name w:val="heading 7"/>
    <w:basedOn w:val="Normal"/>
    <w:next w:val="Normal"/>
    <w:link w:val="Heading7Char"/>
    <w:qFormat/>
    <w:rsid w:val="00533B5E"/>
    <w:pPr>
      <w:spacing w:before="240" w:after="60"/>
      <w:outlineLvl w:val="6"/>
    </w:pPr>
  </w:style>
  <w:style w:type="paragraph" w:styleId="Heading8">
    <w:name w:val="heading 8"/>
    <w:aliases w:val="Heading 8 (business proposal only)"/>
    <w:basedOn w:val="Normal"/>
    <w:next w:val="Normal"/>
    <w:link w:val="Heading8Char"/>
    <w:uiPriority w:val="99"/>
    <w:qFormat/>
    <w:rsid w:val="006E3562"/>
    <w:pPr>
      <w:tabs>
        <w:tab w:val="left" w:pos="432"/>
      </w:tabs>
      <w:spacing w:line="480" w:lineRule="auto"/>
      <w:ind w:firstLine="432"/>
      <w:jc w:val="both"/>
      <w:outlineLvl w:val="7"/>
    </w:pPr>
    <w:rPr>
      <w:szCs w:val="24"/>
    </w:rPr>
  </w:style>
  <w:style w:type="paragraph" w:styleId="Heading9">
    <w:name w:val="heading 9"/>
    <w:aliases w:val="Heading 9 (business proposal only)"/>
    <w:basedOn w:val="Normal"/>
    <w:next w:val="Normal"/>
    <w:link w:val="Heading9Char"/>
    <w:uiPriority w:val="99"/>
    <w:qFormat/>
    <w:rsid w:val="006E3562"/>
    <w:pPr>
      <w:tabs>
        <w:tab w:val="left" w:pos="432"/>
      </w:tabs>
      <w:spacing w:line="480" w:lineRule="auto"/>
      <w:ind w:firstLine="432"/>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link w:val="Heading1"/>
    <w:locked/>
    <w:rsid w:val="00533B5E"/>
    <w:rPr>
      <w:rFonts w:ascii="Franklin Gothic Medium" w:hAnsi="Franklin Gothic Medium"/>
      <w:b/>
      <w:color w:val="324162"/>
      <w:sz w:val="40"/>
    </w:rPr>
  </w:style>
  <w:style w:type="paragraph" w:customStyle="1" w:styleId="L1-FlLSp12">
    <w:name w:val="L1-FlL Sp&amp;1/2"/>
    <w:basedOn w:val="Normal"/>
    <w:link w:val="L1-FlLSp12Char"/>
    <w:rsid w:val="00533B5E"/>
    <w:pPr>
      <w:tabs>
        <w:tab w:val="left" w:pos="1152"/>
      </w:tabs>
      <w:spacing w:line="480" w:lineRule="auto"/>
    </w:pPr>
  </w:style>
  <w:style w:type="character" w:customStyle="1" w:styleId="L1-FlLSp12Char">
    <w:name w:val="L1-FlL Sp&amp;1/2 Char"/>
    <w:link w:val="L1-FlLSp12"/>
    <w:rsid w:val="008C7480"/>
    <w:rPr>
      <w:rFonts w:ascii="Garamond" w:hAnsi="Garamond"/>
      <w:sz w:val="24"/>
    </w:rPr>
  </w:style>
  <w:style w:type="character" w:customStyle="1" w:styleId="Heading2Char">
    <w:name w:val="Heading 2 Char"/>
    <w:aliases w:val="H2-Sec. Head Char"/>
    <w:link w:val="Heading2"/>
    <w:locked/>
    <w:rsid w:val="008B6333"/>
    <w:rPr>
      <w:rFonts w:ascii="Franklin Gothic Medium" w:hAnsi="Franklin Gothic Medium"/>
      <w:b/>
      <w:color w:val="324162"/>
      <w:sz w:val="32"/>
    </w:rPr>
  </w:style>
  <w:style w:type="character" w:customStyle="1" w:styleId="Heading3Char">
    <w:name w:val="Heading 3 Char"/>
    <w:aliases w:val="H3-Sec. Head Char"/>
    <w:link w:val="Heading3"/>
    <w:locked/>
    <w:rsid w:val="00533B5E"/>
    <w:rPr>
      <w:rFonts w:ascii="Franklin Gothic Medium" w:hAnsi="Franklin Gothic Medium"/>
      <w:b/>
      <w:color w:val="324162"/>
      <w:sz w:val="28"/>
    </w:rPr>
  </w:style>
  <w:style w:type="character" w:customStyle="1" w:styleId="Heading4Char">
    <w:name w:val="Heading 4 Char"/>
    <w:aliases w:val="H4-Sec. Head Char"/>
    <w:link w:val="Heading4"/>
    <w:locked/>
    <w:rsid w:val="00533B5E"/>
    <w:rPr>
      <w:rFonts w:ascii="Franklin Gothic Medium" w:hAnsi="Franklin Gothic Medium"/>
      <w:b/>
      <w:sz w:val="24"/>
    </w:rPr>
  </w:style>
  <w:style w:type="character" w:customStyle="1" w:styleId="Heading5Char">
    <w:name w:val="Heading 5 Char"/>
    <w:aliases w:val="H5-Sec. Head Char"/>
    <w:link w:val="Heading5"/>
    <w:locked/>
    <w:rsid w:val="00533B5E"/>
    <w:rPr>
      <w:rFonts w:ascii="Franklin Gothic Medium" w:hAnsi="Franklin Gothic Medium"/>
      <w:b/>
      <w:i/>
      <w:sz w:val="24"/>
    </w:rPr>
  </w:style>
  <w:style w:type="character" w:customStyle="1" w:styleId="Heading6Char">
    <w:name w:val="Heading 6 Char"/>
    <w:link w:val="Heading6"/>
    <w:locked/>
    <w:rsid w:val="006E3562"/>
    <w:rPr>
      <w:rFonts w:ascii="Garamond" w:hAnsi="Garamond"/>
      <w:b/>
      <w:caps/>
      <w:sz w:val="24"/>
    </w:rPr>
  </w:style>
  <w:style w:type="character" w:customStyle="1" w:styleId="Heading7Char">
    <w:name w:val="Heading 7 Char"/>
    <w:link w:val="Heading7"/>
    <w:locked/>
    <w:rsid w:val="006E3562"/>
    <w:rPr>
      <w:rFonts w:ascii="Garamond" w:hAnsi="Garamond"/>
      <w:sz w:val="24"/>
    </w:rPr>
  </w:style>
  <w:style w:type="character" w:customStyle="1" w:styleId="Heading8Char">
    <w:name w:val="Heading 8 Char"/>
    <w:aliases w:val="Heading 8 (business proposal only) Char"/>
    <w:link w:val="Heading8"/>
    <w:uiPriority w:val="99"/>
    <w:rsid w:val="006E3562"/>
    <w:rPr>
      <w:rFonts w:ascii="Garamond" w:hAnsi="Garamond"/>
      <w:sz w:val="24"/>
      <w:szCs w:val="24"/>
    </w:rPr>
  </w:style>
  <w:style w:type="character" w:customStyle="1" w:styleId="Heading9Char">
    <w:name w:val="Heading 9 Char"/>
    <w:aliases w:val="Heading 9 (business proposal only) Char"/>
    <w:link w:val="Heading9"/>
    <w:uiPriority w:val="99"/>
    <w:rsid w:val="006E3562"/>
    <w:rPr>
      <w:rFonts w:ascii="Garamond" w:hAnsi="Garamond"/>
      <w:sz w:val="24"/>
      <w:szCs w:val="24"/>
    </w:rPr>
  </w:style>
  <w:style w:type="paragraph" w:customStyle="1" w:styleId="C1-CtrBoldHd">
    <w:name w:val="C1-Ctr BoldHd"/>
    <w:rsid w:val="00533B5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33B5E"/>
    <w:pPr>
      <w:keepLines/>
      <w:jc w:val="center"/>
    </w:pPr>
  </w:style>
  <w:style w:type="paragraph" w:customStyle="1" w:styleId="C3-CtrSp12">
    <w:name w:val="C3-Ctr Sp&amp;1/2"/>
    <w:basedOn w:val="Normal"/>
    <w:rsid w:val="00533B5E"/>
    <w:pPr>
      <w:keepLines/>
      <w:spacing w:line="360" w:lineRule="atLeast"/>
      <w:jc w:val="center"/>
    </w:pPr>
  </w:style>
  <w:style w:type="paragraph" w:customStyle="1" w:styleId="E1-Equation">
    <w:name w:val="E1-Equation"/>
    <w:basedOn w:val="Normal"/>
    <w:rsid w:val="00533B5E"/>
    <w:pPr>
      <w:tabs>
        <w:tab w:val="center" w:pos="4680"/>
        <w:tab w:val="right" w:pos="9360"/>
      </w:tabs>
    </w:pPr>
  </w:style>
  <w:style w:type="paragraph" w:customStyle="1" w:styleId="E2-Equation">
    <w:name w:val="E2-Equation"/>
    <w:basedOn w:val="Normal"/>
    <w:rsid w:val="00533B5E"/>
    <w:pPr>
      <w:tabs>
        <w:tab w:val="right" w:pos="1152"/>
        <w:tab w:val="center" w:pos="1440"/>
        <w:tab w:val="left" w:pos="1728"/>
      </w:tabs>
      <w:ind w:left="1728" w:hanging="1728"/>
    </w:pPr>
  </w:style>
  <w:style w:type="paragraph" w:styleId="Footer">
    <w:name w:val="footer"/>
    <w:basedOn w:val="Normal"/>
    <w:link w:val="FooterChar"/>
    <w:rsid w:val="00533B5E"/>
  </w:style>
  <w:style w:type="character" w:customStyle="1" w:styleId="FooterChar">
    <w:name w:val="Footer Char"/>
    <w:link w:val="Footer"/>
    <w:locked/>
    <w:rsid w:val="006E3562"/>
    <w:rPr>
      <w:rFonts w:ascii="Garamond" w:hAnsi="Garamond"/>
      <w:sz w:val="24"/>
    </w:rPr>
  </w:style>
  <w:style w:type="paragraph" w:styleId="BalloonText">
    <w:name w:val="Balloon Text"/>
    <w:basedOn w:val="Normal"/>
    <w:link w:val="BalloonTextChar"/>
    <w:uiPriority w:val="99"/>
    <w:semiHidden/>
    <w:unhideWhenUsed/>
    <w:rsid w:val="00533B5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33B5E"/>
    <w:rPr>
      <w:rFonts w:ascii="Tahoma" w:hAnsi="Tahoma" w:cs="Tahoma"/>
      <w:sz w:val="16"/>
      <w:szCs w:val="16"/>
    </w:rPr>
  </w:style>
  <w:style w:type="paragraph" w:styleId="Header">
    <w:name w:val="header"/>
    <w:basedOn w:val="Normal"/>
    <w:link w:val="HeaderChar"/>
    <w:rsid w:val="00533B5E"/>
    <w:rPr>
      <w:sz w:val="20"/>
    </w:rPr>
  </w:style>
  <w:style w:type="character" w:customStyle="1" w:styleId="HeaderChar">
    <w:name w:val="Header Char"/>
    <w:link w:val="Header"/>
    <w:locked/>
    <w:rsid w:val="006E3562"/>
    <w:rPr>
      <w:rFonts w:ascii="Garamond" w:hAnsi="Garamond"/>
    </w:rPr>
  </w:style>
  <w:style w:type="paragraph" w:customStyle="1" w:styleId="N0-FlLftBullet">
    <w:name w:val="N0-Fl Lft Bullet"/>
    <w:basedOn w:val="Normal"/>
    <w:rsid w:val="00533B5E"/>
    <w:pPr>
      <w:tabs>
        <w:tab w:val="left" w:pos="576"/>
      </w:tabs>
      <w:spacing w:after="240"/>
      <w:ind w:left="576" w:hanging="576"/>
    </w:pPr>
  </w:style>
  <w:style w:type="paragraph" w:customStyle="1" w:styleId="N1-1stBullet">
    <w:name w:val="N1-1st Bullet"/>
    <w:basedOn w:val="Normal"/>
    <w:link w:val="N1-1stBulletChar"/>
    <w:rsid w:val="000E2D19"/>
    <w:pPr>
      <w:numPr>
        <w:numId w:val="1"/>
      </w:numPr>
      <w:spacing w:after="240" w:line="360" w:lineRule="auto"/>
    </w:pPr>
  </w:style>
  <w:style w:type="character" w:customStyle="1" w:styleId="N1-1stBulletChar">
    <w:name w:val="N1-1st Bullet Char"/>
    <w:link w:val="N1-1stBullet"/>
    <w:rsid w:val="000E2D19"/>
    <w:rPr>
      <w:rFonts w:ascii="Garamond" w:hAnsi="Garamond"/>
      <w:sz w:val="24"/>
    </w:rPr>
  </w:style>
  <w:style w:type="paragraph" w:customStyle="1" w:styleId="N2-2ndBullet">
    <w:name w:val="N2-2nd Bullet"/>
    <w:basedOn w:val="Normal"/>
    <w:rsid w:val="00533B5E"/>
    <w:pPr>
      <w:numPr>
        <w:numId w:val="2"/>
      </w:numPr>
      <w:spacing w:after="240"/>
    </w:pPr>
  </w:style>
  <w:style w:type="paragraph" w:customStyle="1" w:styleId="N3-3rdBullet">
    <w:name w:val="N3-3rd Bullet"/>
    <w:basedOn w:val="Normal"/>
    <w:rsid w:val="00533B5E"/>
    <w:pPr>
      <w:numPr>
        <w:numId w:val="3"/>
      </w:numPr>
      <w:spacing w:after="240"/>
    </w:pPr>
  </w:style>
  <w:style w:type="paragraph" w:customStyle="1" w:styleId="N4-4thBullet">
    <w:name w:val="N4-4th Bullet"/>
    <w:basedOn w:val="Normal"/>
    <w:rsid w:val="00533B5E"/>
    <w:pPr>
      <w:numPr>
        <w:numId w:val="4"/>
      </w:numPr>
      <w:spacing w:after="240"/>
    </w:pPr>
  </w:style>
  <w:style w:type="paragraph" w:customStyle="1" w:styleId="N5-5thBullet">
    <w:name w:val="N5-5th Bullet"/>
    <w:basedOn w:val="Normal"/>
    <w:rsid w:val="00533B5E"/>
    <w:pPr>
      <w:tabs>
        <w:tab w:val="left" w:pos="3456"/>
      </w:tabs>
      <w:spacing w:after="240"/>
      <w:ind w:left="3456" w:hanging="576"/>
    </w:pPr>
  </w:style>
  <w:style w:type="paragraph" w:customStyle="1" w:styleId="N6-DateInd">
    <w:name w:val="N6-Date Ind."/>
    <w:basedOn w:val="Normal"/>
    <w:rsid w:val="00533B5E"/>
    <w:pPr>
      <w:tabs>
        <w:tab w:val="left" w:pos="4910"/>
      </w:tabs>
      <w:ind w:left="4910"/>
    </w:pPr>
  </w:style>
  <w:style w:type="paragraph" w:customStyle="1" w:styleId="N7-3Block">
    <w:name w:val="N7-3&quot; Block"/>
    <w:basedOn w:val="Normal"/>
    <w:rsid w:val="00533B5E"/>
    <w:pPr>
      <w:tabs>
        <w:tab w:val="left" w:pos="1152"/>
      </w:tabs>
      <w:ind w:left="1152" w:right="1152"/>
    </w:pPr>
  </w:style>
  <w:style w:type="paragraph" w:customStyle="1" w:styleId="N8-QxQBlock">
    <w:name w:val="N8-QxQ Block"/>
    <w:basedOn w:val="Normal"/>
    <w:rsid w:val="00533B5E"/>
    <w:pPr>
      <w:tabs>
        <w:tab w:val="left" w:pos="1152"/>
      </w:tabs>
      <w:spacing w:after="360" w:line="360" w:lineRule="atLeast"/>
      <w:ind w:left="1152" w:hanging="1152"/>
    </w:pPr>
  </w:style>
  <w:style w:type="paragraph" w:customStyle="1" w:styleId="P1-StandPara">
    <w:name w:val="P1-Stand Para"/>
    <w:basedOn w:val="Normal"/>
    <w:link w:val="P1-StandParaChar"/>
    <w:rsid w:val="00533B5E"/>
    <w:pPr>
      <w:spacing w:line="480" w:lineRule="auto"/>
      <w:ind w:firstLine="1152"/>
    </w:pPr>
  </w:style>
  <w:style w:type="character" w:customStyle="1" w:styleId="P1-StandParaChar">
    <w:name w:val="P1-Stand Para Char"/>
    <w:link w:val="P1-StandPara"/>
    <w:locked/>
    <w:rsid w:val="006E3562"/>
    <w:rPr>
      <w:rFonts w:ascii="Garamond" w:hAnsi="Garamond"/>
      <w:sz w:val="24"/>
    </w:rPr>
  </w:style>
  <w:style w:type="paragraph" w:customStyle="1" w:styleId="Q1-BestFinQ">
    <w:name w:val="Q1-Best/Fin Q"/>
    <w:rsid w:val="00533B5E"/>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533B5E"/>
    <w:pPr>
      <w:tabs>
        <w:tab w:val="clear" w:pos="1152"/>
        <w:tab w:val="left" w:pos="576"/>
      </w:tabs>
      <w:spacing w:line="240" w:lineRule="atLeast"/>
      <w:ind w:left="576" w:hanging="576"/>
    </w:pPr>
    <w:rPr>
      <w:b w:val="0"/>
      <w:sz w:val="24"/>
    </w:rPr>
  </w:style>
  <w:style w:type="paragraph" w:customStyle="1" w:styleId="SL-FlLftSgl">
    <w:name w:val="SL-Fl Lft Sgl"/>
    <w:basedOn w:val="Normal"/>
    <w:rsid w:val="00533B5E"/>
  </w:style>
  <w:style w:type="paragraph" w:customStyle="1" w:styleId="SP-SglSpPara">
    <w:name w:val="SP-Sgl Sp Para"/>
    <w:basedOn w:val="Normal"/>
    <w:link w:val="SP-SglSpParaChar"/>
    <w:rsid w:val="00A91312"/>
    <w:pPr>
      <w:tabs>
        <w:tab w:val="left" w:pos="576"/>
      </w:tabs>
      <w:ind w:left="1440" w:hanging="864"/>
    </w:pPr>
  </w:style>
  <w:style w:type="character" w:customStyle="1" w:styleId="SP-SglSpParaChar">
    <w:name w:val="SP-Sgl Sp Para Char"/>
    <w:link w:val="SP-SglSpPara"/>
    <w:rsid w:val="00A91312"/>
    <w:rPr>
      <w:rFonts w:ascii="Garamond" w:hAnsi="Garamond"/>
      <w:sz w:val="24"/>
    </w:rPr>
  </w:style>
  <w:style w:type="paragraph" w:customStyle="1" w:styleId="T0-ChapPgHd">
    <w:name w:val="T0-Chap/Pg Hd"/>
    <w:basedOn w:val="Normal"/>
    <w:rsid w:val="00533B5E"/>
    <w:pPr>
      <w:tabs>
        <w:tab w:val="left" w:pos="8640"/>
      </w:tabs>
    </w:pPr>
    <w:rPr>
      <w:rFonts w:ascii="Franklin Gothic Medium" w:hAnsi="Franklin Gothic Medium"/>
      <w:u w:val="words"/>
    </w:rPr>
  </w:style>
  <w:style w:type="paragraph" w:styleId="TOC1">
    <w:name w:val="toc 1"/>
    <w:basedOn w:val="Normal"/>
    <w:uiPriority w:val="39"/>
    <w:rsid w:val="00533B5E"/>
    <w:pPr>
      <w:tabs>
        <w:tab w:val="left" w:pos="1440"/>
        <w:tab w:val="right" w:leader="dot" w:pos="8208"/>
        <w:tab w:val="left" w:pos="8640"/>
      </w:tabs>
      <w:ind w:left="1440" w:right="1800" w:hanging="1152"/>
    </w:pPr>
  </w:style>
  <w:style w:type="paragraph" w:styleId="TOC2">
    <w:name w:val="toc 2"/>
    <w:basedOn w:val="Normal"/>
    <w:uiPriority w:val="39"/>
    <w:rsid w:val="00533B5E"/>
    <w:pPr>
      <w:tabs>
        <w:tab w:val="left" w:pos="2160"/>
        <w:tab w:val="right" w:leader="dot" w:pos="8208"/>
        <w:tab w:val="left" w:pos="8640"/>
      </w:tabs>
      <w:ind w:left="2160" w:right="1800" w:hanging="720"/>
    </w:pPr>
    <w:rPr>
      <w:szCs w:val="22"/>
    </w:rPr>
  </w:style>
  <w:style w:type="paragraph" w:styleId="TOC3">
    <w:name w:val="toc 3"/>
    <w:basedOn w:val="Normal"/>
    <w:rsid w:val="00533B5E"/>
    <w:pPr>
      <w:tabs>
        <w:tab w:val="left" w:pos="3024"/>
        <w:tab w:val="right" w:leader="dot" w:pos="8208"/>
        <w:tab w:val="left" w:pos="8640"/>
      </w:tabs>
      <w:ind w:left="3024" w:right="1800" w:hanging="864"/>
    </w:pPr>
  </w:style>
  <w:style w:type="paragraph" w:styleId="TOC4">
    <w:name w:val="toc 4"/>
    <w:basedOn w:val="Normal"/>
    <w:rsid w:val="00533B5E"/>
    <w:pPr>
      <w:tabs>
        <w:tab w:val="left" w:pos="3888"/>
        <w:tab w:val="right" w:leader="dot" w:pos="8208"/>
        <w:tab w:val="left" w:pos="8640"/>
      </w:tabs>
      <w:ind w:left="3888" w:right="1800" w:hanging="864"/>
    </w:pPr>
  </w:style>
  <w:style w:type="paragraph" w:styleId="TOC5">
    <w:name w:val="toc 5"/>
    <w:basedOn w:val="Normal"/>
    <w:uiPriority w:val="39"/>
    <w:rsid w:val="00533B5E"/>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533B5E"/>
    <w:pPr>
      <w:tabs>
        <w:tab w:val="clear" w:pos="1152"/>
        <w:tab w:val="left" w:pos="1440"/>
      </w:tabs>
      <w:spacing w:line="240" w:lineRule="atLeast"/>
      <w:ind w:left="1440" w:hanging="1440"/>
      <w:jc w:val="left"/>
    </w:pPr>
    <w:rPr>
      <w:b w:val="0"/>
      <w:color w:val="auto"/>
      <w:sz w:val="22"/>
      <w:szCs w:val="24"/>
    </w:rPr>
  </w:style>
  <w:style w:type="character" w:customStyle="1" w:styleId="TT-TableTitleChar">
    <w:name w:val="TT-Table Title Char"/>
    <w:link w:val="TT-TableTitle"/>
    <w:locked/>
    <w:rsid w:val="006E3562"/>
    <w:rPr>
      <w:rFonts w:ascii="Franklin Gothic Medium" w:hAnsi="Franklin Gothic Medium"/>
      <w:sz w:val="22"/>
      <w:szCs w:val="24"/>
    </w:rPr>
  </w:style>
  <w:style w:type="paragraph" w:customStyle="1" w:styleId="R1-ResPara">
    <w:name w:val="R1-Res. Para"/>
    <w:rsid w:val="00533B5E"/>
    <w:pPr>
      <w:spacing w:line="240" w:lineRule="atLeast"/>
      <w:ind w:left="288"/>
    </w:pPr>
    <w:rPr>
      <w:rFonts w:ascii="Garamond" w:hAnsi="Garamond"/>
      <w:sz w:val="24"/>
    </w:rPr>
  </w:style>
  <w:style w:type="paragraph" w:customStyle="1" w:styleId="R2-ResBullet">
    <w:name w:val="R2-Res Bullet"/>
    <w:basedOn w:val="Normal"/>
    <w:rsid w:val="00533B5E"/>
    <w:pPr>
      <w:tabs>
        <w:tab w:val="left" w:pos="720"/>
      </w:tabs>
      <w:ind w:left="720" w:hanging="432"/>
    </w:pPr>
  </w:style>
  <w:style w:type="paragraph" w:customStyle="1" w:styleId="RF-Reference">
    <w:name w:val="RF-Reference"/>
    <w:basedOn w:val="Normal"/>
    <w:rsid w:val="00533B5E"/>
    <w:pPr>
      <w:spacing w:line="240" w:lineRule="exact"/>
      <w:ind w:left="216" w:hanging="216"/>
    </w:pPr>
  </w:style>
  <w:style w:type="paragraph" w:customStyle="1" w:styleId="RH-SglSpHead">
    <w:name w:val="RH-Sgl Sp Head"/>
    <w:basedOn w:val="Heading1"/>
    <w:next w:val="RL-FlLftSgl"/>
    <w:rsid w:val="00533B5E"/>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533B5E"/>
    <w:pPr>
      <w:tabs>
        <w:tab w:val="clear" w:pos="1152"/>
      </w:tabs>
      <w:spacing w:line="240" w:lineRule="atLeast"/>
      <w:jc w:val="left"/>
    </w:pPr>
    <w:rPr>
      <w:sz w:val="24"/>
    </w:rPr>
  </w:style>
  <w:style w:type="paragraph" w:customStyle="1" w:styleId="SU-FlLftUndln">
    <w:name w:val="SU-Fl Lft Undln"/>
    <w:basedOn w:val="Normal"/>
    <w:rsid w:val="00533B5E"/>
    <w:pPr>
      <w:keepNext/>
      <w:spacing w:line="240" w:lineRule="exact"/>
    </w:pPr>
    <w:rPr>
      <w:u w:val="single"/>
    </w:rPr>
  </w:style>
  <w:style w:type="paragraph" w:customStyle="1" w:styleId="Header-1">
    <w:name w:val="Header-1"/>
    <w:basedOn w:val="Heading1"/>
    <w:rsid w:val="00533B5E"/>
    <w:pPr>
      <w:framePr w:hSpace="187" w:wrap="around" w:vAnchor="text" w:hAnchor="text" w:y="1"/>
      <w:tabs>
        <w:tab w:val="clear" w:pos="1152"/>
      </w:tabs>
      <w:spacing w:line="240" w:lineRule="atLeast"/>
      <w:suppressOverlap/>
    </w:pPr>
    <w:rPr>
      <w:sz w:val="20"/>
    </w:rPr>
  </w:style>
  <w:style w:type="paragraph" w:customStyle="1" w:styleId="Heading0">
    <w:name w:val="Heading 0"/>
    <w:aliases w:val="H0-Chap Head"/>
    <w:basedOn w:val="Heading1"/>
    <w:rsid w:val="00C42859"/>
    <w:pPr>
      <w:tabs>
        <w:tab w:val="clear" w:pos="1152"/>
      </w:tabs>
    </w:pPr>
  </w:style>
  <w:style w:type="character" w:styleId="PageNumber">
    <w:name w:val="page number"/>
    <w:rsid w:val="00533B5E"/>
  </w:style>
  <w:style w:type="paragraph" w:customStyle="1" w:styleId="R0-FLLftSglBoldItalic">
    <w:name w:val="R0-FL Lft Sgl Bold Italic"/>
    <w:basedOn w:val="Heading1"/>
    <w:rsid w:val="00533B5E"/>
    <w:pPr>
      <w:tabs>
        <w:tab w:val="clear" w:pos="1152"/>
      </w:tabs>
      <w:spacing w:line="240" w:lineRule="atLeast"/>
      <w:jc w:val="left"/>
    </w:pPr>
    <w:rPr>
      <w:rFonts w:cs="Times New Roman Bold"/>
      <w:b w:val="0"/>
      <w:i/>
      <w:color w:val="auto"/>
      <w:sz w:val="24"/>
    </w:rPr>
  </w:style>
  <w:style w:type="paragraph" w:customStyle="1" w:styleId="CT-ContractInformation">
    <w:name w:val="CT-Contract Information"/>
    <w:basedOn w:val="Normal"/>
    <w:rsid w:val="00533B5E"/>
    <w:pPr>
      <w:tabs>
        <w:tab w:val="left" w:pos="2232"/>
      </w:tabs>
      <w:spacing w:line="240" w:lineRule="exact"/>
    </w:pPr>
    <w:rPr>
      <w:vanish/>
    </w:rPr>
  </w:style>
  <w:style w:type="paragraph" w:customStyle="1" w:styleId="TC-TableofContentsHeading">
    <w:name w:val="TC-Table of Contents Heading"/>
    <w:basedOn w:val="Heading1"/>
    <w:next w:val="T0-ChapPgHd"/>
    <w:rsid w:val="00533B5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33B5E"/>
    <w:rPr>
      <w:rFonts w:ascii="Franklin Gothic Medium" w:hAnsi="Franklin Gothic Medium"/>
      <w:sz w:val="16"/>
    </w:rPr>
  </w:style>
  <w:style w:type="paragraph" w:styleId="FootnoteText">
    <w:name w:val="footnote text"/>
    <w:aliases w:val="F1,Footnote Text Char1,F1 Char1,Footnote Text Char Char,F1 Char Char,Footnote Text2,F"/>
    <w:link w:val="FootnoteTextChar"/>
    <w:uiPriority w:val="99"/>
    <w:rsid w:val="00533B5E"/>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1 Char,F1 Char1 Char,Footnote Text Char Char Char,F1 Char Char Char,Footnote Text2 Char,F Char"/>
    <w:link w:val="FootnoteText"/>
    <w:uiPriority w:val="99"/>
    <w:rsid w:val="00533B5E"/>
    <w:rPr>
      <w:rFonts w:ascii="Garamond" w:hAnsi="Garamond"/>
    </w:rPr>
  </w:style>
  <w:style w:type="paragraph" w:customStyle="1" w:styleId="TH-TableHeading">
    <w:name w:val="TH-Table Heading"/>
    <w:basedOn w:val="Heading1"/>
    <w:rsid w:val="00533B5E"/>
    <w:pPr>
      <w:spacing w:line="240" w:lineRule="atLeast"/>
      <w:jc w:val="center"/>
    </w:pPr>
    <w:rPr>
      <w:color w:val="auto"/>
      <w:sz w:val="20"/>
    </w:rPr>
  </w:style>
  <w:style w:type="paragraph" w:styleId="TOC6">
    <w:name w:val="toc 6"/>
    <w:semiHidden/>
    <w:rsid w:val="00533B5E"/>
    <w:pPr>
      <w:tabs>
        <w:tab w:val="right" w:leader="dot" w:pos="8208"/>
        <w:tab w:val="left" w:pos="8640"/>
      </w:tabs>
      <w:ind w:left="288"/>
    </w:pPr>
    <w:rPr>
      <w:rFonts w:ascii="Garamond" w:hAnsi="Garamond"/>
      <w:sz w:val="24"/>
      <w:szCs w:val="22"/>
    </w:rPr>
  </w:style>
  <w:style w:type="paragraph" w:styleId="TOC7">
    <w:name w:val="toc 7"/>
    <w:semiHidden/>
    <w:rsid w:val="00533B5E"/>
    <w:pPr>
      <w:tabs>
        <w:tab w:val="right" w:leader="dot" w:pos="8208"/>
        <w:tab w:val="left" w:pos="8640"/>
      </w:tabs>
      <w:ind w:left="1440"/>
    </w:pPr>
    <w:rPr>
      <w:rFonts w:ascii="Garamond" w:hAnsi="Garamond"/>
      <w:sz w:val="24"/>
      <w:szCs w:val="22"/>
    </w:rPr>
  </w:style>
  <w:style w:type="paragraph" w:styleId="TOC8">
    <w:name w:val="toc 8"/>
    <w:rsid w:val="00533B5E"/>
    <w:pPr>
      <w:tabs>
        <w:tab w:val="right" w:leader="dot" w:pos="8208"/>
        <w:tab w:val="left" w:pos="8640"/>
      </w:tabs>
      <w:ind w:left="2160"/>
    </w:pPr>
    <w:rPr>
      <w:rFonts w:ascii="Garamond" w:hAnsi="Garamond"/>
      <w:sz w:val="24"/>
      <w:szCs w:val="22"/>
    </w:rPr>
  </w:style>
  <w:style w:type="paragraph" w:styleId="TOC9">
    <w:name w:val="toc 9"/>
    <w:semiHidden/>
    <w:rsid w:val="00533B5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33B5E"/>
    <w:rPr>
      <w:rFonts w:ascii="Franklin Gothic Medium" w:hAnsi="Franklin Gothic Medium"/>
      <w:sz w:val="20"/>
    </w:rPr>
  </w:style>
  <w:style w:type="table" w:customStyle="1" w:styleId="TableWestatStandardFormat">
    <w:name w:val="Table Westat Standard Format"/>
    <w:basedOn w:val="TableNormal"/>
    <w:rsid w:val="00533B5E"/>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character" w:styleId="FootnoteReference">
    <w:name w:val="footnote reference"/>
    <w:uiPriority w:val="99"/>
    <w:unhideWhenUsed/>
    <w:rsid w:val="00533B5E"/>
    <w:rPr>
      <w:vertAlign w:val="superscript"/>
    </w:rPr>
  </w:style>
  <w:style w:type="paragraph" w:customStyle="1" w:styleId="TB-TableBullet">
    <w:name w:val="TB-Table Bullet"/>
    <w:basedOn w:val="TX-TableText"/>
    <w:qFormat/>
    <w:rsid w:val="00533B5E"/>
    <w:pPr>
      <w:numPr>
        <w:numId w:val="5"/>
      </w:numPr>
    </w:pPr>
  </w:style>
  <w:style w:type="paragraph" w:styleId="PlainText">
    <w:name w:val="Plain Text"/>
    <w:basedOn w:val="Normal"/>
    <w:link w:val="PlainTextChar"/>
    <w:uiPriority w:val="99"/>
    <w:unhideWhenUsed/>
    <w:rsid w:val="008C7480"/>
    <w:rPr>
      <w:rFonts w:ascii="Courier New" w:hAnsi="Courier New"/>
      <w:sz w:val="20"/>
    </w:rPr>
  </w:style>
  <w:style w:type="character" w:customStyle="1" w:styleId="PlainTextChar">
    <w:name w:val="Plain Text Char"/>
    <w:link w:val="PlainText"/>
    <w:uiPriority w:val="99"/>
    <w:rsid w:val="008C7480"/>
    <w:rPr>
      <w:rFonts w:ascii="Courier New" w:eastAsia="Calibri" w:hAnsi="Courier New" w:cs="Times New Roman"/>
    </w:rPr>
  </w:style>
  <w:style w:type="paragraph" w:customStyle="1" w:styleId="References">
    <w:name w:val="References"/>
    <w:basedOn w:val="Normal"/>
    <w:uiPriority w:val="99"/>
    <w:rsid w:val="006E3562"/>
    <w:pPr>
      <w:keepLines/>
      <w:tabs>
        <w:tab w:val="left" w:pos="432"/>
      </w:tabs>
      <w:spacing w:after="240" w:line="240" w:lineRule="auto"/>
      <w:ind w:left="432" w:hanging="432"/>
      <w:jc w:val="both"/>
    </w:pPr>
    <w:rPr>
      <w:szCs w:val="24"/>
    </w:rPr>
  </w:style>
  <w:style w:type="character" w:styleId="Hyperlink">
    <w:name w:val="Hyperlink"/>
    <w:uiPriority w:val="99"/>
    <w:rsid w:val="006E3562"/>
    <w:rPr>
      <w:rFonts w:cs="Times New Roman"/>
      <w:color w:val="0000FF"/>
      <w:u w:val="single"/>
    </w:rPr>
  </w:style>
  <w:style w:type="paragraph" w:customStyle="1" w:styleId="Default">
    <w:name w:val="Default"/>
    <w:rsid w:val="006E3562"/>
    <w:pPr>
      <w:autoSpaceDE w:val="0"/>
      <w:autoSpaceDN w:val="0"/>
      <w:adjustRightInd w:val="0"/>
    </w:pPr>
    <w:rPr>
      <w:rFonts w:ascii="Lucida Sans" w:hAnsi="Lucida Sans" w:cs="Lucida Sans"/>
      <w:color w:val="000000"/>
      <w:sz w:val="24"/>
      <w:szCs w:val="24"/>
    </w:rPr>
  </w:style>
  <w:style w:type="paragraph" w:styleId="Revision">
    <w:name w:val="Revision"/>
    <w:hidden/>
    <w:uiPriority w:val="99"/>
    <w:semiHidden/>
    <w:rsid w:val="006E3562"/>
    <w:rPr>
      <w:rFonts w:ascii="Garamond" w:hAnsi="Garamond"/>
      <w:sz w:val="24"/>
      <w:szCs w:val="24"/>
    </w:rPr>
  </w:style>
  <w:style w:type="paragraph" w:customStyle="1" w:styleId="CoverPage-WPN">
    <w:name w:val="CoverPage-WPN"/>
    <w:basedOn w:val="Normal"/>
    <w:rsid w:val="00D90AE2"/>
    <w:pPr>
      <w:spacing w:before="60"/>
      <w:ind w:left="-101" w:right="144"/>
    </w:pPr>
    <w:rPr>
      <w:rFonts w:ascii="Franklin Gothic Medium" w:hAnsi="Franklin Gothic Medium"/>
      <w:color w:val="003C79"/>
      <w:sz w:val="20"/>
    </w:rPr>
  </w:style>
  <w:style w:type="paragraph" w:customStyle="1" w:styleId="CoverPage-RFP">
    <w:name w:val="CoverPage-RFP"/>
    <w:basedOn w:val="Normal"/>
    <w:rsid w:val="00D90AE2"/>
    <w:pPr>
      <w:spacing w:after="360"/>
    </w:pPr>
    <w:rPr>
      <w:rFonts w:ascii="Franklin Gothic Medium" w:hAnsi="Franklin Gothic Medium"/>
      <w:color w:val="003C79"/>
      <w:sz w:val="20"/>
      <w:szCs w:val="24"/>
    </w:rPr>
  </w:style>
  <w:style w:type="paragraph" w:customStyle="1" w:styleId="CoverPage-Title">
    <w:name w:val="CoverPage-Title"/>
    <w:basedOn w:val="Normal"/>
    <w:rsid w:val="00D90AE2"/>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D90AE2"/>
    <w:pPr>
      <w:ind w:left="864" w:hanging="864"/>
    </w:pPr>
    <w:rPr>
      <w:rFonts w:ascii="Franklin Gothic Medium" w:hAnsi="Franklin Gothic Medium"/>
      <w:b/>
      <w:color w:val="003C79"/>
      <w:sz w:val="28"/>
      <w:szCs w:val="28"/>
    </w:rPr>
  </w:style>
  <w:style w:type="paragraph" w:customStyle="1" w:styleId="CoverPage-Date">
    <w:name w:val="CoverPage-Date"/>
    <w:basedOn w:val="Normal"/>
    <w:rsid w:val="00D90AE2"/>
    <w:rPr>
      <w:rFonts w:ascii="Franklin Gothic Medium" w:hAnsi="Franklin Gothic Medium"/>
      <w:b/>
      <w:color w:val="003C79"/>
      <w:sz w:val="20"/>
    </w:rPr>
  </w:style>
  <w:style w:type="paragraph" w:customStyle="1" w:styleId="CoverPage-Submitted">
    <w:name w:val="CoverPage-Submitted"/>
    <w:basedOn w:val="Normal"/>
    <w:rsid w:val="00D90AE2"/>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D90AE2"/>
    <w:rPr>
      <w:rFonts w:ascii="Franklin Gothic Medium" w:hAnsi="Franklin Gothic Medium"/>
      <w:color w:val="003C79"/>
    </w:rPr>
  </w:style>
  <w:style w:type="paragraph" w:customStyle="1" w:styleId="ReportCover-AuthorsHead">
    <w:name w:val="ReportCover-AuthorsHead"/>
    <w:basedOn w:val="Normal"/>
    <w:rsid w:val="00D90AE2"/>
    <w:rPr>
      <w:rFonts w:ascii="Franklin Gothic Medium" w:hAnsi="Franklin Gothic Medium"/>
      <w:b/>
      <w:color w:val="003C79"/>
      <w:szCs w:val="24"/>
    </w:rPr>
  </w:style>
  <w:style w:type="paragraph" w:customStyle="1" w:styleId="ReportCover-Date">
    <w:name w:val="ReportCover-Date"/>
    <w:basedOn w:val="Normal"/>
    <w:rsid w:val="00D90AE2"/>
    <w:rPr>
      <w:rFonts w:ascii="Franklin Gothic Medium" w:hAnsi="Franklin Gothic Medium"/>
      <w:b/>
      <w:color w:val="003C79"/>
    </w:rPr>
  </w:style>
  <w:style w:type="paragraph" w:customStyle="1" w:styleId="ReportCover-ImageBottom">
    <w:name w:val="ReportCover-ImageBottom"/>
    <w:basedOn w:val="Normal"/>
    <w:rsid w:val="00D90AE2"/>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D90AE2"/>
    <w:pPr>
      <w:spacing w:line="100" w:lineRule="exact"/>
    </w:pPr>
  </w:style>
  <w:style w:type="paragraph" w:customStyle="1" w:styleId="ReportCover-Prepared">
    <w:name w:val="ReportCover-Prepared"/>
    <w:basedOn w:val="Normal"/>
    <w:rsid w:val="00D90AE2"/>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D90AE2"/>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D90AE2"/>
    <w:pPr>
      <w:spacing w:line="420" w:lineRule="exact"/>
    </w:pPr>
    <w:rPr>
      <w:rFonts w:ascii="Franklin Gothic Medium" w:hAnsi="Franklin Gothic Medium"/>
      <w:b/>
      <w:color w:val="003C79"/>
      <w:sz w:val="40"/>
      <w:szCs w:val="40"/>
    </w:rPr>
  </w:style>
  <w:style w:type="paragraph" w:styleId="ListParagraph">
    <w:name w:val="List Paragraph"/>
    <w:basedOn w:val="Normal"/>
    <w:uiPriority w:val="34"/>
    <w:qFormat/>
    <w:rsid w:val="00D90AE2"/>
    <w:pPr>
      <w:spacing w:after="200" w:line="276" w:lineRule="auto"/>
      <w:ind w:left="720" w:firstLine="720"/>
      <w:contextualSpacing/>
    </w:pPr>
    <w:rPr>
      <w:szCs w:val="24"/>
    </w:rPr>
  </w:style>
  <w:style w:type="table" w:styleId="TableGrid">
    <w:name w:val="Table Grid"/>
    <w:basedOn w:val="TableNormal"/>
    <w:rsid w:val="00D90AE2"/>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D90AE2"/>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D90AE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qFormat/>
    <w:rsid w:val="00D90AE2"/>
    <w:rPr>
      <w:b/>
      <w:bCs/>
    </w:rPr>
  </w:style>
  <w:style w:type="character" w:styleId="CommentReference">
    <w:name w:val="annotation reference"/>
    <w:basedOn w:val="DefaultParagraphFont"/>
    <w:uiPriority w:val="99"/>
    <w:semiHidden/>
    <w:unhideWhenUsed/>
    <w:rsid w:val="00D90AE2"/>
    <w:rPr>
      <w:sz w:val="16"/>
      <w:szCs w:val="16"/>
    </w:rPr>
  </w:style>
  <w:style w:type="paragraph" w:styleId="CommentText">
    <w:name w:val="annotation text"/>
    <w:basedOn w:val="Normal"/>
    <w:link w:val="CommentTextChar"/>
    <w:uiPriority w:val="99"/>
    <w:unhideWhenUsed/>
    <w:rsid w:val="00D90AE2"/>
    <w:pPr>
      <w:spacing w:line="240" w:lineRule="auto"/>
    </w:pPr>
    <w:rPr>
      <w:sz w:val="20"/>
    </w:rPr>
  </w:style>
  <w:style w:type="character" w:customStyle="1" w:styleId="CommentTextChar">
    <w:name w:val="Comment Text Char"/>
    <w:basedOn w:val="DefaultParagraphFont"/>
    <w:link w:val="CommentText"/>
    <w:uiPriority w:val="99"/>
    <w:rsid w:val="00D90AE2"/>
    <w:rPr>
      <w:rFonts w:ascii="Garamond" w:hAnsi="Garamond"/>
    </w:rPr>
  </w:style>
  <w:style w:type="paragraph" w:styleId="CommentSubject">
    <w:name w:val="annotation subject"/>
    <w:basedOn w:val="CommentText"/>
    <w:next w:val="CommentText"/>
    <w:link w:val="CommentSubjectChar"/>
    <w:uiPriority w:val="99"/>
    <w:semiHidden/>
    <w:unhideWhenUsed/>
    <w:rsid w:val="00D90AE2"/>
    <w:rPr>
      <w:b/>
      <w:bCs/>
    </w:rPr>
  </w:style>
  <w:style w:type="character" w:customStyle="1" w:styleId="CommentSubjectChar">
    <w:name w:val="Comment Subject Char"/>
    <w:basedOn w:val="CommentTextChar"/>
    <w:link w:val="CommentSubject"/>
    <w:uiPriority w:val="99"/>
    <w:semiHidden/>
    <w:rsid w:val="00D90AE2"/>
    <w:rPr>
      <w:rFonts w:ascii="Garamond" w:hAnsi="Garamond"/>
      <w:b/>
      <w:bCs/>
    </w:rPr>
  </w:style>
  <w:style w:type="numbering" w:customStyle="1" w:styleId="NoList1">
    <w:name w:val="No List1"/>
    <w:next w:val="NoList"/>
    <w:uiPriority w:val="99"/>
    <w:semiHidden/>
    <w:unhideWhenUsed/>
    <w:rsid w:val="00D90AE2"/>
  </w:style>
  <w:style w:type="table" w:customStyle="1" w:styleId="TableGrid1">
    <w:name w:val="Table Grid1"/>
    <w:basedOn w:val="TableNormal"/>
    <w:next w:val="TableGrid"/>
    <w:uiPriority w:val="99"/>
    <w:rsid w:val="00D90AE2"/>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Black">
    <w:name w:val="Heading 2_Black"/>
    <w:basedOn w:val="Normal"/>
    <w:next w:val="Normal"/>
    <w:uiPriority w:val="99"/>
    <w:rsid w:val="00D90AE2"/>
    <w:pPr>
      <w:keepNext/>
      <w:tabs>
        <w:tab w:val="left" w:pos="432"/>
      </w:tabs>
      <w:spacing w:after="240" w:line="240" w:lineRule="auto"/>
      <w:ind w:left="432" w:hanging="432"/>
      <w:jc w:val="both"/>
      <w:outlineLvl w:val="1"/>
    </w:pPr>
    <w:rPr>
      <w:rFonts w:ascii="Lucida Sans" w:hAnsi="Lucida Sans"/>
      <w:b/>
      <w:szCs w:val="24"/>
    </w:rPr>
  </w:style>
  <w:style w:type="character" w:customStyle="1" w:styleId="Hyperlink1">
    <w:name w:val="Hyperlink1"/>
    <w:basedOn w:val="DefaultParagraphFont"/>
    <w:uiPriority w:val="99"/>
    <w:unhideWhenUsed/>
    <w:rsid w:val="00D90AE2"/>
    <w:rPr>
      <w:color w:val="0000FF"/>
      <w:u w:val="single"/>
    </w:rPr>
  </w:style>
  <w:style w:type="paragraph" w:customStyle="1" w:styleId="BulletBlack">
    <w:name w:val="Bullet_Black"/>
    <w:basedOn w:val="Normal"/>
    <w:uiPriority w:val="99"/>
    <w:rsid w:val="00D90AE2"/>
    <w:pPr>
      <w:numPr>
        <w:numId w:val="7"/>
      </w:numPr>
      <w:tabs>
        <w:tab w:val="left" w:pos="360"/>
      </w:tabs>
      <w:spacing w:after="120" w:line="240" w:lineRule="auto"/>
      <w:ind w:left="720" w:right="360" w:hanging="288"/>
      <w:jc w:val="both"/>
    </w:pPr>
    <w:rPr>
      <w:szCs w:val="24"/>
    </w:rPr>
  </w:style>
  <w:style w:type="table" w:customStyle="1" w:styleId="TableWestatStandardFormat1">
    <w:name w:val="Table Westat Standard Format1"/>
    <w:basedOn w:val="TableNormal"/>
    <w:rsid w:val="00D90AE2"/>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odyText">
    <w:name w:val="Body Text"/>
    <w:basedOn w:val="Normal"/>
    <w:link w:val="BodyTextChar"/>
    <w:rsid w:val="00D90AE2"/>
    <w:pPr>
      <w:tabs>
        <w:tab w:val="left" w:pos="720"/>
        <w:tab w:val="left" w:pos="1080"/>
        <w:tab w:val="left" w:pos="1440"/>
      </w:tabs>
      <w:spacing w:after="180" w:line="264" w:lineRule="auto"/>
    </w:pPr>
    <w:rPr>
      <w:rFonts w:ascii="Times New Roman" w:hAnsi="Times New Roman"/>
      <w:sz w:val="22"/>
    </w:rPr>
  </w:style>
  <w:style w:type="character" w:customStyle="1" w:styleId="BodyTextChar">
    <w:name w:val="Body Text Char"/>
    <w:basedOn w:val="DefaultParagraphFont"/>
    <w:link w:val="BodyText"/>
    <w:rsid w:val="00D90AE2"/>
    <w:rPr>
      <w:sz w:val="22"/>
    </w:rPr>
  </w:style>
  <w:style w:type="paragraph" w:customStyle="1" w:styleId="NumberedBullet">
    <w:name w:val="Numbered Bullet"/>
    <w:basedOn w:val="Normal"/>
    <w:uiPriority w:val="99"/>
    <w:rsid w:val="00D90AE2"/>
    <w:pPr>
      <w:numPr>
        <w:numId w:val="8"/>
      </w:numPr>
      <w:tabs>
        <w:tab w:val="left" w:pos="360"/>
      </w:tabs>
      <w:spacing w:after="120" w:line="240" w:lineRule="auto"/>
      <w:ind w:left="720" w:right="360" w:hanging="288"/>
      <w:jc w:val="both"/>
    </w:pPr>
    <w:rPr>
      <w:szCs w:val="24"/>
    </w:rPr>
  </w:style>
  <w:style w:type="paragraph" w:customStyle="1" w:styleId="MarkforTableHeading">
    <w:name w:val="Mark for Table Heading"/>
    <w:basedOn w:val="Normal"/>
    <w:next w:val="Normal"/>
    <w:uiPriority w:val="99"/>
    <w:rsid w:val="00D90AE2"/>
    <w:pPr>
      <w:keepNext/>
      <w:tabs>
        <w:tab w:val="left" w:pos="432"/>
      </w:tabs>
      <w:spacing w:after="60" w:line="240" w:lineRule="auto"/>
      <w:jc w:val="both"/>
    </w:pPr>
    <w:rPr>
      <w:rFonts w:ascii="Lucida Sans" w:hAnsi="Lucida Sans"/>
      <w:b/>
      <w:sz w:val="18"/>
      <w:szCs w:val="24"/>
    </w:rPr>
  </w:style>
  <w:style w:type="paragraph" w:styleId="BodyTextIndent3">
    <w:name w:val="Body Text Indent 3"/>
    <w:basedOn w:val="Normal"/>
    <w:link w:val="BodyTextIndent3Char"/>
    <w:uiPriority w:val="99"/>
    <w:semiHidden/>
    <w:rsid w:val="00D90AE2"/>
    <w:pPr>
      <w:tabs>
        <w:tab w:val="left" w:pos="432"/>
      </w:tabs>
      <w:spacing w:after="120" w:line="480" w:lineRule="auto"/>
      <w:ind w:left="360" w:firstLine="432"/>
      <w:jc w:val="both"/>
    </w:pPr>
    <w:rPr>
      <w:sz w:val="16"/>
      <w:szCs w:val="16"/>
    </w:rPr>
  </w:style>
  <w:style w:type="character" w:customStyle="1" w:styleId="BodyTextIndent3Char">
    <w:name w:val="Body Text Indent 3 Char"/>
    <w:basedOn w:val="DefaultParagraphFont"/>
    <w:link w:val="BodyTextIndent3"/>
    <w:uiPriority w:val="99"/>
    <w:semiHidden/>
    <w:rsid w:val="00D90AE2"/>
    <w:rPr>
      <w:rFonts w:ascii="Garamond" w:hAnsi="Garamond"/>
      <w:sz w:val="16"/>
      <w:szCs w:val="16"/>
    </w:rPr>
  </w:style>
  <w:style w:type="paragraph" w:customStyle="1" w:styleId="Heading1Black">
    <w:name w:val="Heading 1_Black"/>
    <w:basedOn w:val="Normal"/>
    <w:next w:val="Normal"/>
    <w:uiPriority w:val="99"/>
    <w:rsid w:val="00D90AE2"/>
    <w:pPr>
      <w:tabs>
        <w:tab w:val="left" w:pos="432"/>
      </w:tabs>
      <w:spacing w:before="240" w:after="240" w:line="240" w:lineRule="auto"/>
      <w:jc w:val="center"/>
      <w:outlineLvl w:val="0"/>
    </w:pPr>
    <w:rPr>
      <w:rFonts w:ascii="Lucida Sans" w:hAnsi="Lucida Sans"/>
      <w:b/>
      <w:caps/>
      <w:szCs w:val="24"/>
    </w:rPr>
  </w:style>
  <w:style w:type="paragraph" w:styleId="NoSpacing">
    <w:name w:val="No Spacing"/>
    <w:uiPriority w:val="1"/>
    <w:qFormat/>
    <w:rsid w:val="00D90AE2"/>
    <w:pPr>
      <w:tabs>
        <w:tab w:val="left" w:pos="432"/>
      </w:tabs>
      <w:ind w:firstLine="432"/>
      <w:jc w:val="both"/>
    </w:pPr>
    <w:rPr>
      <w:rFonts w:ascii="Garamond" w:hAnsi="Garamond"/>
      <w:sz w:val="24"/>
      <w:szCs w:val="24"/>
    </w:rPr>
  </w:style>
  <w:style w:type="character" w:styleId="FollowedHyperlink">
    <w:name w:val="FollowedHyperlink"/>
    <w:basedOn w:val="DefaultParagraphFont"/>
    <w:uiPriority w:val="99"/>
    <w:semiHidden/>
    <w:unhideWhenUsed/>
    <w:rsid w:val="00D90AE2"/>
    <w:rPr>
      <w:color w:val="954F72" w:themeColor="followedHyperlink"/>
      <w:u w:val="single"/>
    </w:rPr>
  </w:style>
  <w:style w:type="character" w:customStyle="1" w:styleId="reference-text">
    <w:name w:val="reference-text"/>
    <w:basedOn w:val="DefaultParagraphFont"/>
    <w:rsid w:val="00D90AE2"/>
  </w:style>
  <w:style w:type="character" w:customStyle="1" w:styleId="apple-converted-space">
    <w:name w:val="apple-converted-space"/>
    <w:basedOn w:val="DefaultParagraphFont"/>
    <w:rsid w:val="00D90A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E2"/>
    <w:pPr>
      <w:spacing w:line="240" w:lineRule="atLeast"/>
    </w:pPr>
    <w:rPr>
      <w:rFonts w:ascii="Garamond" w:hAnsi="Garamond"/>
      <w:sz w:val="24"/>
    </w:rPr>
  </w:style>
  <w:style w:type="paragraph" w:styleId="Heading1">
    <w:name w:val="heading 1"/>
    <w:aliases w:val="H1-Chap. Head"/>
    <w:basedOn w:val="Normal"/>
    <w:link w:val="Heading1Char"/>
    <w:qFormat/>
    <w:rsid w:val="00533B5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B6333"/>
    <w:pPr>
      <w:spacing w:after="240"/>
      <w:ind w:left="1152" w:hanging="1152"/>
      <w:jc w:val="left"/>
      <w:outlineLvl w:val="1"/>
    </w:pPr>
    <w:rPr>
      <w:sz w:val="32"/>
    </w:rPr>
  </w:style>
  <w:style w:type="paragraph" w:styleId="Heading3">
    <w:name w:val="heading 3"/>
    <w:aliases w:val="H3-Sec. Head"/>
    <w:basedOn w:val="Heading1"/>
    <w:next w:val="L1-FlLSp12"/>
    <w:link w:val="Heading3Char"/>
    <w:qFormat/>
    <w:rsid w:val="00533B5E"/>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33B5E"/>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33B5E"/>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33B5E"/>
    <w:pPr>
      <w:keepNext/>
      <w:spacing w:before="240"/>
      <w:jc w:val="center"/>
      <w:outlineLvl w:val="5"/>
    </w:pPr>
    <w:rPr>
      <w:b/>
      <w:caps/>
    </w:rPr>
  </w:style>
  <w:style w:type="paragraph" w:styleId="Heading7">
    <w:name w:val="heading 7"/>
    <w:basedOn w:val="Normal"/>
    <w:next w:val="Normal"/>
    <w:link w:val="Heading7Char"/>
    <w:qFormat/>
    <w:rsid w:val="00533B5E"/>
    <w:pPr>
      <w:spacing w:before="240" w:after="60"/>
      <w:outlineLvl w:val="6"/>
    </w:pPr>
  </w:style>
  <w:style w:type="paragraph" w:styleId="Heading8">
    <w:name w:val="heading 8"/>
    <w:aliases w:val="Heading 8 (business proposal only)"/>
    <w:basedOn w:val="Normal"/>
    <w:next w:val="Normal"/>
    <w:link w:val="Heading8Char"/>
    <w:uiPriority w:val="99"/>
    <w:qFormat/>
    <w:rsid w:val="006E3562"/>
    <w:pPr>
      <w:tabs>
        <w:tab w:val="left" w:pos="432"/>
      </w:tabs>
      <w:spacing w:line="480" w:lineRule="auto"/>
      <w:ind w:firstLine="432"/>
      <w:jc w:val="both"/>
      <w:outlineLvl w:val="7"/>
    </w:pPr>
    <w:rPr>
      <w:szCs w:val="24"/>
    </w:rPr>
  </w:style>
  <w:style w:type="paragraph" w:styleId="Heading9">
    <w:name w:val="heading 9"/>
    <w:aliases w:val="Heading 9 (business proposal only)"/>
    <w:basedOn w:val="Normal"/>
    <w:next w:val="Normal"/>
    <w:link w:val="Heading9Char"/>
    <w:uiPriority w:val="99"/>
    <w:qFormat/>
    <w:rsid w:val="006E3562"/>
    <w:pPr>
      <w:tabs>
        <w:tab w:val="left" w:pos="432"/>
      </w:tabs>
      <w:spacing w:line="480" w:lineRule="auto"/>
      <w:ind w:firstLine="432"/>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link w:val="Heading1"/>
    <w:locked/>
    <w:rsid w:val="00533B5E"/>
    <w:rPr>
      <w:rFonts w:ascii="Franklin Gothic Medium" w:hAnsi="Franklin Gothic Medium"/>
      <w:b/>
      <w:color w:val="324162"/>
      <w:sz w:val="40"/>
    </w:rPr>
  </w:style>
  <w:style w:type="paragraph" w:customStyle="1" w:styleId="L1-FlLSp12">
    <w:name w:val="L1-FlL Sp&amp;1/2"/>
    <w:basedOn w:val="Normal"/>
    <w:link w:val="L1-FlLSp12Char"/>
    <w:rsid w:val="00533B5E"/>
    <w:pPr>
      <w:tabs>
        <w:tab w:val="left" w:pos="1152"/>
      </w:tabs>
      <w:spacing w:line="480" w:lineRule="auto"/>
    </w:pPr>
  </w:style>
  <w:style w:type="character" w:customStyle="1" w:styleId="L1-FlLSp12Char">
    <w:name w:val="L1-FlL Sp&amp;1/2 Char"/>
    <w:link w:val="L1-FlLSp12"/>
    <w:rsid w:val="008C7480"/>
    <w:rPr>
      <w:rFonts w:ascii="Garamond" w:hAnsi="Garamond"/>
      <w:sz w:val="24"/>
    </w:rPr>
  </w:style>
  <w:style w:type="character" w:customStyle="1" w:styleId="Heading2Char">
    <w:name w:val="Heading 2 Char"/>
    <w:aliases w:val="H2-Sec. Head Char"/>
    <w:link w:val="Heading2"/>
    <w:locked/>
    <w:rsid w:val="008B6333"/>
    <w:rPr>
      <w:rFonts w:ascii="Franklin Gothic Medium" w:hAnsi="Franklin Gothic Medium"/>
      <w:b/>
      <w:color w:val="324162"/>
      <w:sz w:val="32"/>
    </w:rPr>
  </w:style>
  <w:style w:type="character" w:customStyle="1" w:styleId="Heading3Char">
    <w:name w:val="Heading 3 Char"/>
    <w:aliases w:val="H3-Sec. Head Char"/>
    <w:link w:val="Heading3"/>
    <w:locked/>
    <w:rsid w:val="00533B5E"/>
    <w:rPr>
      <w:rFonts w:ascii="Franklin Gothic Medium" w:hAnsi="Franklin Gothic Medium"/>
      <w:b/>
      <w:color w:val="324162"/>
      <w:sz w:val="28"/>
    </w:rPr>
  </w:style>
  <w:style w:type="character" w:customStyle="1" w:styleId="Heading4Char">
    <w:name w:val="Heading 4 Char"/>
    <w:aliases w:val="H4-Sec. Head Char"/>
    <w:link w:val="Heading4"/>
    <w:locked/>
    <w:rsid w:val="00533B5E"/>
    <w:rPr>
      <w:rFonts w:ascii="Franklin Gothic Medium" w:hAnsi="Franklin Gothic Medium"/>
      <w:b/>
      <w:sz w:val="24"/>
    </w:rPr>
  </w:style>
  <w:style w:type="character" w:customStyle="1" w:styleId="Heading5Char">
    <w:name w:val="Heading 5 Char"/>
    <w:aliases w:val="H5-Sec. Head Char"/>
    <w:link w:val="Heading5"/>
    <w:locked/>
    <w:rsid w:val="00533B5E"/>
    <w:rPr>
      <w:rFonts w:ascii="Franklin Gothic Medium" w:hAnsi="Franklin Gothic Medium"/>
      <w:b/>
      <w:i/>
      <w:sz w:val="24"/>
    </w:rPr>
  </w:style>
  <w:style w:type="character" w:customStyle="1" w:styleId="Heading6Char">
    <w:name w:val="Heading 6 Char"/>
    <w:link w:val="Heading6"/>
    <w:locked/>
    <w:rsid w:val="006E3562"/>
    <w:rPr>
      <w:rFonts w:ascii="Garamond" w:hAnsi="Garamond"/>
      <w:b/>
      <w:caps/>
      <w:sz w:val="24"/>
    </w:rPr>
  </w:style>
  <w:style w:type="character" w:customStyle="1" w:styleId="Heading7Char">
    <w:name w:val="Heading 7 Char"/>
    <w:link w:val="Heading7"/>
    <w:locked/>
    <w:rsid w:val="006E3562"/>
    <w:rPr>
      <w:rFonts w:ascii="Garamond" w:hAnsi="Garamond"/>
      <w:sz w:val="24"/>
    </w:rPr>
  </w:style>
  <w:style w:type="character" w:customStyle="1" w:styleId="Heading8Char">
    <w:name w:val="Heading 8 Char"/>
    <w:aliases w:val="Heading 8 (business proposal only) Char"/>
    <w:link w:val="Heading8"/>
    <w:uiPriority w:val="99"/>
    <w:rsid w:val="006E3562"/>
    <w:rPr>
      <w:rFonts w:ascii="Garamond" w:hAnsi="Garamond"/>
      <w:sz w:val="24"/>
      <w:szCs w:val="24"/>
    </w:rPr>
  </w:style>
  <w:style w:type="character" w:customStyle="1" w:styleId="Heading9Char">
    <w:name w:val="Heading 9 Char"/>
    <w:aliases w:val="Heading 9 (business proposal only) Char"/>
    <w:link w:val="Heading9"/>
    <w:uiPriority w:val="99"/>
    <w:rsid w:val="006E3562"/>
    <w:rPr>
      <w:rFonts w:ascii="Garamond" w:hAnsi="Garamond"/>
      <w:sz w:val="24"/>
      <w:szCs w:val="24"/>
    </w:rPr>
  </w:style>
  <w:style w:type="paragraph" w:customStyle="1" w:styleId="C1-CtrBoldHd">
    <w:name w:val="C1-Ctr BoldHd"/>
    <w:rsid w:val="00533B5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33B5E"/>
    <w:pPr>
      <w:keepLines/>
      <w:jc w:val="center"/>
    </w:pPr>
  </w:style>
  <w:style w:type="paragraph" w:customStyle="1" w:styleId="C3-CtrSp12">
    <w:name w:val="C3-Ctr Sp&amp;1/2"/>
    <w:basedOn w:val="Normal"/>
    <w:rsid w:val="00533B5E"/>
    <w:pPr>
      <w:keepLines/>
      <w:spacing w:line="360" w:lineRule="atLeast"/>
      <w:jc w:val="center"/>
    </w:pPr>
  </w:style>
  <w:style w:type="paragraph" w:customStyle="1" w:styleId="E1-Equation">
    <w:name w:val="E1-Equation"/>
    <w:basedOn w:val="Normal"/>
    <w:rsid w:val="00533B5E"/>
    <w:pPr>
      <w:tabs>
        <w:tab w:val="center" w:pos="4680"/>
        <w:tab w:val="right" w:pos="9360"/>
      </w:tabs>
    </w:pPr>
  </w:style>
  <w:style w:type="paragraph" w:customStyle="1" w:styleId="E2-Equation">
    <w:name w:val="E2-Equation"/>
    <w:basedOn w:val="Normal"/>
    <w:rsid w:val="00533B5E"/>
    <w:pPr>
      <w:tabs>
        <w:tab w:val="right" w:pos="1152"/>
        <w:tab w:val="center" w:pos="1440"/>
        <w:tab w:val="left" w:pos="1728"/>
      </w:tabs>
      <w:ind w:left="1728" w:hanging="1728"/>
    </w:pPr>
  </w:style>
  <w:style w:type="paragraph" w:styleId="Footer">
    <w:name w:val="footer"/>
    <w:basedOn w:val="Normal"/>
    <w:link w:val="FooterChar"/>
    <w:rsid w:val="00533B5E"/>
  </w:style>
  <w:style w:type="character" w:customStyle="1" w:styleId="FooterChar">
    <w:name w:val="Footer Char"/>
    <w:link w:val="Footer"/>
    <w:locked/>
    <w:rsid w:val="006E3562"/>
    <w:rPr>
      <w:rFonts w:ascii="Garamond" w:hAnsi="Garamond"/>
      <w:sz w:val="24"/>
    </w:rPr>
  </w:style>
  <w:style w:type="paragraph" w:styleId="BalloonText">
    <w:name w:val="Balloon Text"/>
    <w:basedOn w:val="Normal"/>
    <w:link w:val="BalloonTextChar"/>
    <w:uiPriority w:val="99"/>
    <w:semiHidden/>
    <w:unhideWhenUsed/>
    <w:rsid w:val="00533B5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33B5E"/>
    <w:rPr>
      <w:rFonts w:ascii="Tahoma" w:hAnsi="Tahoma" w:cs="Tahoma"/>
      <w:sz w:val="16"/>
      <w:szCs w:val="16"/>
    </w:rPr>
  </w:style>
  <w:style w:type="paragraph" w:styleId="Header">
    <w:name w:val="header"/>
    <w:basedOn w:val="Normal"/>
    <w:link w:val="HeaderChar"/>
    <w:rsid w:val="00533B5E"/>
    <w:rPr>
      <w:sz w:val="20"/>
    </w:rPr>
  </w:style>
  <w:style w:type="character" w:customStyle="1" w:styleId="HeaderChar">
    <w:name w:val="Header Char"/>
    <w:link w:val="Header"/>
    <w:locked/>
    <w:rsid w:val="006E3562"/>
    <w:rPr>
      <w:rFonts w:ascii="Garamond" w:hAnsi="Garamond"/>
    </w:rPr>
  </w:style>
  <w:style w:type="paragraph" w:customStyle="1" w:styleId="N0-FlLftBullet">
    <w:name w:val="N0-Fl Lft Bullet"/>
    <w:basedOn w:val="Normal"/>
    <w:rsid w:val="00533B5E"/>
    <w:pPr>
      <w:tabs>
        <w:tab w:val="left" w:pos="576"/>
      </w:tabs>
      <w:spacing w:after="240"/>
      <w:ind w:left="576" w:hanging="576"/>
    </w:pPr>
  </w:style>
  <w:style w:type="paragraph" w:customStyle="1" w:styleId="N1-1stBullet">
    <w:name w:val="N1-1st Bullet"/>
    <w:basedOn w:val="Normal"/>
    <w:link w:val="N1-1stBulletChar"/>
    <w:rsid w:val="000E2D19"/>
    <w:pPr>
      <w:numPr>
        <w:numId w:val="1"/>
      </w:numPr>
      <w:spacing w:after="240" w:line="360" w:lineRule="auto"/>
    </w:pPr>
  </w:style>
  <w:style w:type="character" w:customStyle="1" w:styleId="N1-1stBulletChar">
    <w:name w:val="N1-1st Bullet Char"/>
    <w:link w:val="N1-1stBullet"/>
    <w:rsid w:val="000E2D19"/>
    <w:rPr>
      <w:rFonts w:ascii="Garamond" w:hAnsi="Garamond"/>
      <w:sz w:val="24"/>
    </w:rPr>
  </w:style>
  <w:style w:type="paragraph" w:customStyle="1" w:styleId="N2-2ndBullet">
    <w:name w:val="N2-2nd Bullet"/>
    <w:basedOn w:val="Normal"/>
    <w:rsid w:val="00533B5E"/>
    <w:pPr>
      <w:numPr>
        <w:numId w:val="2"/>
      </w:numPr>
      <w:spacing w:after="240"/>
    </w:pPr>
  </w:style>
  <w:style w:type="paragraph" w:customStyle="1" w:styleId="N3-3rdBullet">
    <w:name w:val="N3-3rd Bullet"/>
    <w:basedOn w:val="Normal"/>
    <w:rsid w:val="00533B5E"/>
    <w:pPr>
      <w:numPr>
        <w:numId w:val="3"/>
      </w:numPr>
      <w:spacing w:after="240"/>
    </w:pPr>
  </w:style>
  <w:style w:type="paragraph" w:customStyle="1" w:styleId="N4-4thBullet">
    <w:name w:val="N4-4th Bullet"/>
    <w:basedOn w:val="Normal"/>
    <w:rsid w:val="00533B5E"/>
    <w:pPr>
      <w:numPr>
        <w:numId w:val="4"/>
      </w:numPr>
      <w:spacing w:after="240"/>
    </w:pPr>
  </w:style>
  <w:style w:type="paragraph" w:customStyle="1" w:styleId="N5-5thBullet">
    <w:name w:val="N5-5th Bullet"/>
    <w:basedOn w:val="Normal"/>
    <w:rsid w:val="00533B5E"/>
    <w:pPr>
      <w:tabs>
        <w:tab w:val="left" w:pos="3456"/>
      </w:tabs>
      <w:spacing w:after="240"/>
      <w:ind w:left="3456" w:hanging="576"/>
    </w:pPr>
  </w:style>
  <w:style w:type="paragraph" w:customStyle="1" w:styleId="N6-DateInd">
    <w:name w:val="N6-Date Ind."/>
    <w:basedOn w:val="Normal"/>
    <w:rsid w:val="00533B5E"/>
    <w:pPr>
      <w:tabs>
        <w:tab w:val="left" w:pos="4910"/>
      </w:tabs>
      <w:ind w:left="4910"/>
    </w:pPr>
  </w:style>
  <w:style w:type="paragraph" w:customStyle="1" w:styleId="N7-3Block">
    <w:name w:val="N7-3&quot; Block"/>
    <w:basedOn w:val="Normal"/>
    <w:rsid w:val="00533B5E"/>
    <w:pPr>
      <w:tabs>
        <w:tab w:val="left" w:pos="1152"/>
      </w:tabs>
      <w:ind w:left="1152" w:right="1152"/>
    </w:pPr>
  </w:style>
  <w:style w:type="paragraph" w:customStyle="1" w:styleId="N8-QxQBlock">
    <w:name w:val="N8-QxQ Block"/>
    <w:basedOn w:val="Normal"/>
    <w:rsid w:val="00533B5E"/>
    <w:pPr>
      <w:tabs>
        <w:tab w:val="left" w:pos="1152"/>
      </w:tabs>
      <w:spacing w:after="360" w:line="360" w:lineRule="atLeast"/>
      <w:ind w:left="1152" w:hanging="1152"/>
    </w:pPr>
  </w:style>
  <w:style w:type="paragraph" w:customStyle="1" w:styleId="P1-StandPara">
    <w:name w:val="P1-Stand Para"/>
    <w:basedOn w:val="Normal"/>
    <w:link w:val="P1-StandParaChar"/>
    <w:rsid w:val="00533B5E"/>
    <w:pPr>
      <w:spacing w:line="480" w:lineRule="auto"/>
      <w:ind w:firstLine="1152"/>
    </w:pPr>
  </w:style>
  <w:style w:type="character" w:customStyle="1" w:styleId="P1-StandParaChar">
    <w:name w:val="P1-Stand Para Char"/>
    <w:link w:val="P1-StandPara"/>
    <w:locked/>
    <w:rsid w:val="006E3562"/>
    <w:rPr>
      <w:rFonts w:ascii="Garamond" w:hAnsi="Garamond"/>
      <w:sz w:val="24"/>
    </w:rPr>
  </w:style>
  <w:style w:type="paragraph" w:customStyle="1" w:styleId="Q1-BestFinQ">
    <w:name w:val="Q1-Best/Fin Q"/>
    <w:rsid w:val="00533B5E"/>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533B5E"/>
    <w:pPr>
      <w:tabs>
        <w:tab w:val="clear" w:pos="1152"/>
        <w:tab w:val="left" w:pos="576"/>
      </w:tabs>
      <w:spacing w:line="240" w:lineRule="atLeast"/>
      <w:ind w:left="576" w:hanging="576"/>
    </w:pPr>
    <w:rPr>
      <w:b w:val="0"/>
      <w:sz w:val="24"/>
    </w:rPr>
  </w:style>
  <w:style w:type="paragraph" w:customStyle="1" w:styleId="SL-FlLftSgl">
    <w:name w:val="SL-Fl Lft Sgl"/>
    <w:basedOn w:val="Normal"/>
    <w:rsid w:val="00533B5E"/>
  </w:style>
  <w:style w:type="paragraph" w:customStyle="1" w:styleId="SP-SglSpPara">
    <w:name w:val="SP-Sgl Sp Para"/>
    <w:basedOn w:val="Normal"/>
    <w:link w:val="SP-SglSpParaChar"/>
    <w:rsid w:val="00A91312"/>
    <w:pPr>
      <w:tabs>
        <w:tab w:val="left" w:pos="576"/>
      </w:tabs>
      <w:ind w:left="1440" w:hanging="864"/>
    </w:pPr>
  </w:style>
  <w:style w:type="character" w:customStyle="1" w:styleId="SP-SglSpParaChar">
    <w:name w:val="SP-Sgl Sp Para Char"/>
    <w:link w:val="SP-SglSpPara"/>
    <w:rsid w:val="00A91312"/>
    <w:rPr>
      <w:rFonts w:ascii="Garamond" w:hAnsi="Garamond"/>
      <w:sz w:val="24"/>
    </w:rPr>
  </w:style>
  <w:style w:type="paragraph" w:customStyle="1" w:styleId="T0-ChapPgHd">
    <w:name w:val="T0-Chap/Pg Hd"/>
    <w:basedOn w:val="Normal"/>
    <w:rsid w:val="00533B5E"/>
    <w:pPr>
      <w:tabs>
        <w:tab w:val="left" w:pos="8640"/>
      </w:tabs>
    </w:pPr>
    <w:rPr>
      <w:rFonts w:ascii="Franklin Gothic Medium" w:hAnsi="Franklin Gothic Medium"/>
      <w:u w:val="words"/>
    </w:rPr>
  </w:style>
  <w:style w:type="paragraph" w:styleId="TOC1">
    <w:name w:val="toc 1"/>
    <w:basedOn w:val="Normal"/>
    <w:uiPriority w:val="39"/>
    <w:rsid w:val="00533B5E"/>
    <w:pPr>
      <w:tabs>
        <w:tab w:val="left" w:pos="1440"/>
        <w:tab w:val="right" w:leader="dot" w:pos="8208"/>
        <w:tab w:val="left" w:pos="8640"/>
      </w:tabs>
      <w:ind w:left="1440" w:right="1800" w:hanging="1152"/>
    </w:pPr>
  </w:style>
  <w:style w:type="paragraph" w:styleId="TOC2">
    <w:name w:val="toc 2"/>
    <w:basedOn w:val="Normal"/>
    <w:uiPriority w:val="39"/>
    <w:rsid w:val="00533B5E"/>
    <w:pPr>
      <w:tabs>
        <w:tab w:val="left" w:pos="2160"/>
        <w:tab w:val="right" w:leader="dot" w:pos="8208"/>
        <w:tab w:val="left" w:pos="8640"/>
      </w:tabs>
      <w:ind w:left="2160" w:right="1800" w:hanging="720"/>
    </w:pPr>
    <w:rPr>
      <w:szCs w:val="22"/>
    </w:rPr>
  </w:style>
  <w:style w:type="paragraph" w:styleId="TOC3">
    <w:name w:val="toc 3"/>
    <w:basedOn w:val="Normal"/>
    <w:rsid w:val="00533B5E"/>
    <w:pPr>
      <w:tabs>
        <w:tab w:val="left" w:pos="3024"/>
        <w:tab w:val="right" w:leader="dot" w:pos="8208"/>
        <w:tab w:val="left" w:pos="8640"/>
      </w:tabs>
      <w:ind w:left="3024" w:right="1800" w:hanging="864"/>
    </w:pPr>
  </w:style>
  <w:style w:type="paragraph" w:styleId="TOC4">
    <w:name w:val="toc 4"/>
    <w:basedOn w:val="Normal"/>
    <w:rsid w:val="00533B5E"/>
    <w:pPr>
      <w:tabs>
        <w:tab w:val="left" w:pos="3888"/>
        <w:tab w:val="right" w:leader="dot" w:pos="8208"/>
        <w:tab w:val="left" w:pos="8640"/>
      </w:tabs>
      <w:ind w:left="3888" w:right="1800" w:hanging="864"/>
    </w:pPr>
  </w:style>
  <w:style w:type="paragraph" w:styleId="TOC5">
    <w:name w:val="toc 5"/>
    <w:basedOn w:val="Normal"/>
    <w:uiPriority w:val="39"/>
    <w:rsid w:val="00533B5E"/>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533B5E"/>
    <w:pPr>
      <w:tabs>
        <w:tab w:val="clear" w:pos="1152"/>
        <w:tab w:val="left" w:pos="1440"/>
      </w:tabs>
      <w:spacing w:line="240" w:lineRule="atLeast"/>
      <w:ind w:left="1440" w:hanging="1440"/>
      <w:jc w:val="left"/>
    </w:pPr>
    <w:rPr>
      <w:b w:val="0"/>
      <w:color w:val="auto"/>
      <w:sz w:val="22"/>
      <w:szCs w:val="24"/>
    </w:rPr>
  </w:style>
  <w:style w:type="character" w:customStyle="1" w:styleId="TT-TableTitleChar">
    <w:name w:val="TT-Table Title Char"/>
    <w:link w:val="TT-TableTitle"/>
    <w:locked/>
    <w:rsid w:val="006E3562"/>
    <w:rPr>
      <w:rFonts w:ascii="Franklin Gothic Medium" w:hAnsi="Franklin Gothic Medium"/>
      <w:sz w:val="22"/>
      <w:szCs w:val="24"/>
    </w:rPr>
  </w:style>
  <w:style w:type="paragraph" w:customStyle="1" w:styleId="R1-ResPara">
    <w:name w:val="R1-Res. Para"/>
    <w:rsid w:val="00533B5E"/>
    <w:pPr>
      <w:spacing w:line="240" w:lineRule="atLeast"/>
      <w:ind w:left="288"/>
    </w:pPr>
    <w:rPr>
      <w:rFonts w:ascii="Garamond" w:hAnsi="Garamond"/>
      <w:sz w:val="24"/>
    </w:rPr>
  </w:style>
  <w:style w:type="paragraph" w:customStyle="1" w:styleId="R2-ResBullet">
    <w:name w:val="R2-Res Bullet"/>
    <w:basedOn w:val="Normal"/>
    <w:rsid w:val="00533B5E"/>
    <w:pPr>
      <w:tabs>
        <w:tab w:val="left" w:pos="720"/>
      </w:tabs>
      <w:ind w:left="720" w:hanging="432"/>
    </w:pPr>
  </w:style>
  <w:style w:type="paragraph" w:customStyle="1" w:styleId="RF-Reference">
    <w:name w:val="RF-Reference"/>
    <w:basedOn w:val="Normal"/>
    <w:rsid w:val="00533B5E"/>
    <w:pPr>
      <w:spacing w:line="240" w:lineRule="exact"/>
      <w:ind w:left="216" w:hanging="216"/>
    </w:pPr>
  </w:style>
  <w:style w:type="paragraph" w:customStyle="1" w:styleId="RH-SglSpHead">
    <w:name w:val="RH-Sgl Sp Head"/>
    <w:basedOn w:val="Heading1"/>
    <w:next w:val="RL-FlLftSgl"/>
    <w:rsid w:val="00533B5E"/>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533B5E"/>
    <w:pPr>
      <w:tabs>
        <w:tab w:val="clear" w:pos="1152"/>
      </w:tabs>
      <w:spacing w:line="240" w:lineRule="atLeast"/>
      <w:jc w:val="left"/>
    </w:pPr>
    <w:rPr>
      <w:sz w:val="24"/>
    </w:rPr>
  </w:style>
  <w:style w:type="paragraph" w:customStyle="1" w:styleId="SU-FlLftUndln">
    <w:name w:val="SU-Fl Lft Undln"/>
    <w:basedOn w:val="Normal"/>
    <w:rsid w:val="00533B5E"/>
    <w:pPr>
      <w:keepNext/>
      <w:spacing w:line="240" w:lineRule="exact"/>
    </w:pPr>
    <w:rPr>
      <w:u w:val="single"/>
    </w:rPr>
  </w:style>
  <w:style w:type="paragraph" w:customStyle="1" w:styleId="Header-1">
    <w:name w:val="Header-1"/>
    <w:basedOn w:val="Heading1"/>
    <w:rsid w:val="00533B5E"/>
    <w:pPr>
      <w:framePr w:hSpace="187" w:wrap="around" w:vAnchor="text" w:hAnchor="text" w:y="1"/>
      <w:tabs>
        <w:tab w:val="clear" w:pos="1152"/>
      </w:tabs>
      <w:spacing w:line="240" w:lineRule="atLeast"/>
      <w:suppressOverlap/>
    </w:pPr>
    <w:rPr>
      <w:sz w:val="20"/>
    </w:rPr>
  </w:style>
  <w:style w:type="paragraph" w:customStyle="1" w:styleId="Heading0">
    <w:name w:val="Heading 0"/>
    <w:aliases w:val="H0-Chap Head"/>
    <w:basedOn w:val="Heading1"/>
    <w:rsid w:val="00C42859"/>
    <w:pPr>
      <w:tabs>
        <w:tab w:val="clear" w:pos="1152"/>
      </w:tabs>
    </w:pPr>
  </w:style>
  <w:style w:type="character" w:styleId="PageNumber">
    <w:name w:val="page number"/>
    <w:rsid w:val="00533B5E"/>
  </w:style>
  <w:style w:type="paragraph" w:customStyle="1" w:styleId="R0-FLLftSglBoldItalic">
    <w:name w:val="R0-FL Lft Sgl Bold Italic"/>
    <w:basedOn w:val="Heading1"/>
    <w:rsid w:val="00533B5E"/>
    <w:pPr>
      <w:tabs>
        <w:tab w:val="clear" w:pos="1152"/>
      </w:tabs>
      <w:spacing w:line="240" w:lineRule="atLeast"/>
      <w:jc w:val="left"/>
    </w:pPr>
    <w:rPr>
      <w:rFonts w:cs="Times New Roman Bold"/>
      <w:b w:val="0"/>
      <w:i/>
      <w:color w:val="auto"/>
      <w:sz w:val="24"/>
    </w:rPr>
  </w:style>
  <w:style w:type="paragraph" w:customStyle="1" w:styleId="CT-ContractInformation">
    <w:name w:val="CT-Contract Information"/>
    <w:basedOn w:val="Normal"/>
    <w:rsid w:val="00533B5E"/>
    <w:pPr>
      <w:tabs>
        <w:tab w:val="left" w:pos="2232"/>
      </w:tabs>
      <w:spacing w:line="240" w:lineRule="exact"/>
    </w:pPr>
    <w:rPr>
      <w:vanish/>
    </w:rPr>
  </w:style>
  <w:style w:type="paragraph" w:customStyle="1" w:styleId="TC-TableofContentsHeading">
    <w:name w:val="TC-Table of Contents Heading"/>
    <w:basedOn w:val="Heading1"/>
    <w:next w:val="T0-ChapPgHd"/>
    <w:rsid w:val="00533B5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33B5E"/>
    <w:rPr>
      <w:rFonts w:ascii="Franklin Gothic Medium" w:hAnsi="Franklin Gothic Medium"/>
      <w:sz w:val="16"/>
    </w:rPr>
  </w:style>
  <w:style w:type="paragraph" w:styleId="FootnoteText">
    <w:name w:val="footnote text"/>
    <w:aliases w:val="F1,Footnote Text Char1,F1 Char1,Footnote Text Char Char,F1 Char Char,Footnote Text2,F"/>
    <w:link w:val="FootnoteTextChar"/>
    <w:uiPriority w:val="99"/>
    <w:rsid w:val="00533B5E"/>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1 Char,F1 Char1 Char,Footnote Text Char Char Char,F1 Char Char Char,Footnote Text2 Char,F Char"/>
    <w:link w:val="FootnoteText"/>
    <w:uiPriority w:val="99"/>
    <w:rsid w:val="00533B5E"/>
    <w:rPr>
      <w:rFonts w:ascii="Garamond" w:hAnsi="Garamond"/>
    </w:rPr>
  </w:style>
  <w:style w:type="paragraph" w:customStyle="1" w:styleId="TH-TableHeading">
    <w:name w:val="TH-Table Heading"/>
    <w:basedOn w:val="Heading1"/>
    <w:rsid w:val="00533B5E"/>
    <w:pPr>
      <w:spacing w:line="240" w:lineRule="atLeast"/>
      <w:jc w:val="center"/>
    </w:pPr>
    <w:rPr>
      <w:color w:val="auto"/>
      <w:sz w:val="20"/>
    </w:rPr>
  </w:style>
  <w:style w:type="paragraph" w:styleId="TOC6">
    <w:name w:val="toc 6"/>
    <w:semiHidden/>
    <w:rsid w:val="00533B5E"/>
    <w:pPr>
      <w:tabs>
        <w:tab w:val="right" w:leader="dot" w:pos="8208"/>
        <w:tab w:val="left" w:pos="8640"/>
      </w:tabs>
      <w:ind w:left="288"/>
    </w:pPr>
    <w:rPr>
      <w:rFonts w:ascii="Garamond" w:hAnsi="Garamond"/>
      <w:sz w:val="24"/>
      <w:szCs w:val="22"/>
    </w:rPr>
  </w:style>
  <w:style w:type="paragraph" w:styleId="TOC7">
    <w:name w:val="toc 7"/>
    <w:semiHidden/>
    <w:rsid w:val="00533B5E"/>
    <w:pPr>
      <w:tabs>
        <w:tab w:val="right" w:leader="dot" w:pos="8208"/>
        <w:tab w:val="left" w:pos="8640"/>
      </w:tabs>
      <w:ind w:left="1440"/>
    </w:pPr>
    <w:rPr>
      <w:rFonts w:ascii="Garamond" w:hAnsi="Garamond"/>
      <w:sz w:val="24"/>
      <w:szCs w:val="22"/>
    </w:rPr>
  </w:style>
  <w:style w:type="paragraph" w:styleId="TOC8">
    <w:name w:val="toc 8"/>
    <w:rsid w:val="00533B5E"/>
    <w:pPr>
      <w:tabs>
        <w:tab w:val="right" w:leader="dot" w:pos="8208"/>
        <w:tab w:val="left" w:pos="8640"/>
      </w:tabs>
      <w:ind w:left="2160"/>
    </w:pPr>
    <w:rPr>
      <w:rFonts w:ascii="Garamond" w:hAnsi="Garamond"/>
      <w:sz w:val="24"/>
      <w:szCs w:val="22"/>
    </w:rPr>
  </w:style>
  <w:style w:type="paragraph" w:styleId="TOC9">
    <w:name w:val="toc 9"/>
    <w:semiHidden/>
    <w:rsid w:val="00533B5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33B5E"/>
    <w:rPr>
      <w:rFonts w:ascii="Franklin Gothic Medium" w:hAnsi="Franklin Gothic Medium"/>
      <w:sz w:val="20"/>
    </w:rPr>
  </w:style>
  <w:style w:type="table" w:customStyle="1" w:styleId="TableWestatStandardFormat">
    <w:name w:val="Table Westat Standard Format"/>
    <w:basedOn w:val="TableNormal"/>
    <w:rsid w:val="00533B5E"/>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character" w:styleId="FootnoteReference">
    <w:name w:val="footnote reference"/>
    <w:uiPriority w:val="99"/>
    <w:unhideWhenUsed/>
    <w:rsid w:val="00533B5E"/>
    <w:rPr>
      <w:vertAlign w:val="superscript"/>
    </w:rPr>
  </w:style>
  <w:style w:type="paragraph" w:customStyle="1" w:styleId="TB-TableBullet">
    <w:name w:val="TB-Table Bullet"/>
    <w:basedOn w:val="TX-TableText"/>
    <w:qFormat/>
    <w:rsid w:val="00533B5E"/>
    <w:pPr>
      <w:numPr>
        <w:numId w:val="5"/>
      </w:numPr>
    </w:pPr>
  </w:style>
  <w:style w:type="paragraph" w:styleId="PlainText">
    <w:name w:val="Plain Text"/>
    <w:basedOn w:val="Normal"/>
    <w:link w:val="PlainTextChar"/>
    <w:uiPriority w:val="99"/>
    <w:unhideWhenUsed/>
    <w:rsid w:val="008C7480"/>
    <w:rPr>
      <w:rFonts w:ascii="Courier New" w:hAnsi="Courier New"/>
      <w:sz w:val="20"/>
    </w:rPr>
  </w:style>
  <w:style w:type="character" w:customStyle="1" w:styleId="PlainTextChar">
    <w:name w:val="Plain Text Char"/>
    <w:link w:val="PlainText"/>
    <w:uiPriority w:val="99"/>
    <w:rsid w:val="008C7480"/>
    <w:rPr>
      <w:rFonts w:ascii="Courier New" w:eastAsia="Calibri" w:hAnsi="Courier New" w:cs="Times New Roman"/>
    </w:rPr>
  </w:style>
  <w:style w:type="paragraph" w:customStyle="1" w:styleId="References">
    <w:name w:val="References"/>
    <w:basedOn w:val="Normal"/>
    <w:uiPriority w:val="99"/>
    <w:rsid w:val="006E3562"/>
    <w:pPr>
      <w:keepLines/>
      <w:tabs>
        <w:tab w:val="left" w:pos="432"/>
      </w:tabs>
      <w:spacing w:after="240" w:line="240" w:lineRule="auto"/>
      <w:ind w:left="432" w:hanging="432"/>
      <w:jc w:val="both"/>
    </w:pPr>
    <w:rPr>
      <w:szCs w:val="24"/>
    </w:rPr>
  </w:style>
  <w:style w:type="character" w:styleId="Hyperlink">
    <w:name w:val="Hyperlink"/>
    <w:uiPriority w:val="99"/>
    <w:rsid w:val="006E3562"/>
    <w:rPr>
      <w:rFonts w:cs="Times New Roman"/>
      <w:color w:val="0000FF"/>
      <w:u w:val="single"/>
    </w:rPr>
  </w:style>
  <w:style w:type="paragraph" w:customStyle="1" w:styleId="Default">
    <w:name w:val="Default"/>
    <w:rsid w:val="006E3562"/>
    <w:pPr>
      <w:autoSpaceDE w:val="0"/>
      <w:autoSpaceDN w:val="0"/>
      <w:adjustRightInd w:val="0"/>
    </w:pPr>
    <w:rPr>
      <w:rFonts w:ascii="Lucida Sans" w:hAnsi="Lucida Sans" w:cs="Lucida Sans"/>
      <w:color w:val="000000"/>
      <w:sz w:val="24"/>
      <w:szCs w:val="24"/>
    </w:rPr>
  </w:style>
  <w:style w:type="paragraph" w:styleId="Revision">
    <w:name w:val="Revision"/>
    <w:hidden/>
    <w:uiPriority w:val="99"/>
    <w:semiHidden/>
    <w:rsid w:val="006E3562"/>
    <w:rPr>
      <w:rFonts w:ascii="Garamond" w:hAnsi="Garamond"/>
      <w:sz w:val="24"/>
      <w:szCs w:val="24"/>
    </w:rPr>
  </w:style>
  <w:style w:type="paragraph" w:customStyle="1" w:styleId="CoverPage-WPN">
    <w:name w:val="CoverPage-WPN"/>
    <w:basedOn w:val="Normal"/>
    <w:rsid w:val="00D90AE2"/>
    <w:pPr>
      <w:spacing w:before="60"/>
      <w:ind w:left="-101" w:right="144"/>
    </w:pPr>
    <w:rPr>
      <w:rFonts w:ascii="Franklin Gothic Medium" w:hAnsi="Franklin Gothic Medium"/>
      <w:color w:val="003C79"/>
      <w:sz w:val="20"/>
    </w:rPr>
  </w:style>
  <w:style w:type="paragraph" w:customStyle="1" w:styleId="CoverPage-RFP">
    <w:name w:val="CoverPage-RFP"/>
    <w:basedOn w:val="Normal"/>
    <w:rsid w:val="00D90AE2"/>
    <w:pPr>
      <w:spacing w:after="360"/>
    </w:pPr>
    <w:rPr>
      <w:rFonts w:ascii="Franklin Gothic Medium" w:hAnsi="Franklin Gothic Medium"/>
      <w:color w:val="003C79"/>
      <w:sz w:val="20"/>
      <w:szCs w:val="24"/>
    </w:rPr>
  </w:style>
  <w:style w:type="paragraph" w:customStyle="1" w:styleId="CoverPage-Title">
    <w:name w:val="CoverPage-Title"/>
    <w:basedOn w:val="Normal"/>
    <w:rsid w:val="00D90AE2"/>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D90AE2"/>
    <w:pPr>
      <w:ind w:left="864" w:hanging="864"/>
    </w:pPr>
    <w:rPr>
      <w:rFonts w:ascii="Franklin Gothic Medium" w:hAnsi="Franklin Gothic Medium"/>
      <w:b/>
      <w:color w:val="003C79"/>
      <w:sz w:val="28"/>
      <w:szCs w:val="28"/>
    </w:rPr>
  </w:style>
  <w:style w:type="paragraph" w:customStyle="1" w:styleId="CoverPage-Date">
    <w:name w:val="CoverPage-Date"/>
    <w:basedOn w:val="Normal"/>
    <w:rsid w:val="00D90AE2"/>
    <w:rPr>
      <w:rFonts w:ascii="Franklin Gothic Medium" w:hAnsi="Franklin Gothic Medium"/>
      <w:b/>
      <w:color w:val="003C79"/>
      <w:sz w:val="20"/>
    </w:rPr>
  </w:style>
  <w:style w:type="paragraph" w:customStyle="1" w:styleId="CoverPage-Submitted">
    <w:name w:val="CoverPage-Submitted"/>
    <w:basedOn w:val="Normal"/>
    <w:rsid w:val="00D90AE2"/>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D90AE2"/>
    <w:rPr>
      <w:rFonts w:ascii="Franklin Gothic Medium" w:hAnsi="Franklin Gothic Medium"/>
      <w:color w:val="003C79"/>
    </w:rPr>
  </w:style>
  <w:style w:type="paragraph" w:customStyle="1" w:styleId="ReportCover-AuthorsHead">
    <w:name w:val="ReportCover-AuthorsHead"/>
    <w:basedOn w:val="Normal"/>
    <w:rsid w:val="00D90AE2"/>
    <w:rPr>
      <w:rFonts w:ascii="Franklin Gothic Medium" w:hAnsi="Franklin Gothic Medium"/>
      <w:b/>
      <w:color w:val="003C79"/>
      <w:szCs w:val="24"/>
    </w:rPr>
  </w:style>
  <w:style w:type="paragraph" w:customStyle="1" w:styleId="ReportCover-Date">
    <w:name w:val="ReportCover-Date"/>
    <w:basedOn w:val="Normal"/>
    <w:rsid w:val="00D90AE2"/>
    <w:rPr>
      <w:rFonts w:ascii="Franklin Gothic Medium" w:hAnsi="Franklin Gothic Medium"/>
      <w:b/>
      <w:color w:val="003C79"/>
    </w:rPr>
  </w:style>
  <w:style w:type="paragraph" w:customStyle="1" w:styleId="ReportCover-ImageBottom">
    <w:name w:val="ReportCover-ImageBottom"/>
    <w:basedOn w:val="Normal"/>
    <w:rsid w:val="00D90AE2"/>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D90AE2"/>
    <w:pPr>
      <w:spacing w:line="100" w:lineRule="exact"/>
    </w:pPr>
  </w:style>
  <w:style w:type="paragraph" w:customStyle="1" w:styleId="ReportCover-Prepared">
    <w:name w:val="ReportCover-Prepared"/>
    <w:basedOn w:val="Normal"/>
    <w:rsid w:val="00D90AE2"/>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D90AE2"/>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D90AE2"/>
    <w:pPr>
      <w:spacing w:line="420" w:lineRule="exact"/>
    </w:pPr>
    <w:rPr>
      <w:rFonts w:ascii="Franklin Gothic Medium" w:hAnsi="Franklin Gothic Medium"/>
      <w:b/>
      <w:color w:val="003C79"/>
      <w:sz w:val="40"/>
      <w:szCs w:val="40"/>
    </w:rPr>
  </w:style>
  <w:style w:type="paragraph" w:styleId="ListParagraph">
    <w:name w:val="List Paragraph"/>
    <w:basedOn w:val="Normal"/>
    <w:uiPriority w:val="34"/>
    <w:qFormat/>
    <w:rsid w:val="00D90AE2"/>
    <w:pPr>
      <w:spacing w:after="200" w:line="276" w:lineRule="auto"/>
      <w:ind w:left="720" w:firstLine="720"/>
      <w:contextualSpacing/>
    </w:pPr>
    <w:rPr>
      <w:szCs w:val="24"/>
    </w:rPr>
  </w:style>
  <w:style w:type="table" w:styleId="TableGrid">
    <w:name w:val="Table Grid"/>
    <w:basedOn w:val="TableNormal"/>
    <w:rsid w:val="00D90AE2"/>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D90AE2"/>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D90AE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qFormat/>
    <w:rsid w:val="00D90AE2"/>
    <w:rPr>
      <w:b/>
      <w:bCs/>
    </w:rPr>
  </w:style>
  <w:style w:type="character" w:styleId="CommentReference">
    <w:name w:val="annotation reference"/>
    <w:basedOn w:val="DefaultParagraphFont"/>
    <w:uiPriority w:val="99"/>
    <w:semiHidden/>
    <w:unhideWhenUsed/>
    <w:rsid w:val="00D90AE2"/>
    <w:rPr>
      <w:sz w:val="16"/>
      <w:szCs w:val="16"/>
    </w:rPr>
  </w:style>
  <w:style w:type="paragraph" w:styleId="CommentText">
    <w:name w:val="annotation text"/>
    <w:basedOn w:val="Normal"/>
    <w:link w:val="CommentTextChar"/>
    <w:uiPriority w:val="99"/>
    <w:unhideWhenUsed/>
    <w:rsid w:val="00D90AE2"/>
    <w:pPr>
      <w:spacing w:line="240" w:lineRule="auto"/>
    </w:pPr>
    <w:rPr>
      <w:sz w:val="20"/>
    </w:rPr>
  </w:style>
  <w:style w:type="character" w:customStyle="1" w:styleId="CommentTextChar">
    <w:name w:val="Comment Text Char"/>
    <w:basedOn w:val="DefaultParagraphFont"/>
    <w:link w:val="CommentText"/>
    <w:uiPriority w:val="99"/>
    <w:rsid w:val="00D90AE2"/>
    <w:rPr>
      <w:rFonts w:ascii="Garamond" w:hAnsi="Garamond"/>
    </w:rPr>
  </w:style>
  <w:style w:type="paragraph" w:styleId="CommentSubject">
    <w:name w:val="annotation subject"/>
    <w:basedOn w:val="CommentText"/>
    <w:next w:val="CommentText"/>
    <w:link w:val="CommentSubjectChar"/>
    <w:uiPriority w:val="99"/>
    <w:semiHidden/>
    <w:unhideWhenUsed/>
    <w:rsid w:val="00D90AE2"/>
    <w:rPr>
      <w:b/>
      <w:bCs/>
    </w:rPr>
  </w:style>
  <w:style w:type="character" w:customStyle="1" w:styleId="CommentSubjectChar">
    <w:name w:val="Comment Subject Char"/>
    <w:basedOn w:val="CommentTextChar"/>
    <w:link w:val="CommentSubject"/>
    <w:uiPriority w:val="99"/>
    <w:semiHidden/>
    <w:rsid w:val="00D90AE2"/>
    <w:rPr>
      <w:rFonts w:ascii="Garamond" w:hAnsi="Garamond"/>
      <w:b/>
      <w:bCs/>
    </w:rPr>
  </w:style>
  <w:style w:type="numbering" w:customStyle="1" w:styleId="NoList1">
    <w:name w:val="No List1"/>
    <w:next w:val="NoList"/>
    <w:uiPriority w:val="99"/>
    <w:semiHidden/>
    <w:unhideWhenUsed/>
    <w:rsid w:val="00D90AE2"/>
  </w:style>
  <w:style w:type="table" w:customStyle="1" w:styleId="TableGrid1">
    <w:name w:val="Table Grid1"/>
    <w:basedOn w:val="TableNormal"/>
    <w:next w:val="TableGrid"/>
    <w:uiPriority w:val="99"/>
    <w:rsid w:val="00D90AE2"/>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Black">
    <w:name w:val="Heading 2_Black"/>
    <w:basedOn w:val="Normal"/>
    <w:next w:val="Normal"/>
    <w:uiPriority w:val="99"/>
    <w:rsid w:val="00D90AE2"/>
    <w:pPr>
      <w:keepNext/>
      <w:tabs>
        <w:tab w:val="left" w:pos="432"/>
      </w:tabs>
      <w:spacing w:after="240" w:line="240" w:lineRule="auto"/>
      <w:ind w:left="432" w:hanging="432"/>
      <w:jc w:val="both"/>
      <w:outlineLvl w:val="1"/>
    </w:pPr>
    <w:rPr>
      <w:rFonts w:ascii="Lucida Sans" w:hAnsi="Lucida Sans"/>
      <w:b/>
      <w:szCs w:val="24"/>
    </w:rPr>
  </w:style>
  <w:style w:type="character" w:customStyle="1" w:styleId="Hyperlink1">
    <w:name w:val="Hyperlink1"/>
    <w:basedOn w:val="DefaultParagraphFont"/>
    <w:uiPriority w:val="99"/>
    <w:unhideWhenUsed/>
    <w:rsid w:val="00D90AE2"/>
    <w:rPr>
      <w:color w:val="0000FF"/>
      <w:u w:val="single"/>
    </w:rPr>
  </w:style>
  <w:style w:type="paragraph" w:customStyle="1" w:styleId="BulletBlack">
    <w:name w:val="Bullet_Black"/>
    <w:basedOn w:val="Normal"/>
    <w:uiPriority w:val="99"/>
    <w:rsid w:val="00D90AE2"/>
    <w:pPr>
      <w:numPr>
        <w:numId w:val="7"/>
      </w:numPr>
      <w:tabs>
        <w:tab w:val="left" w:pos="360"/>
      </w:tabs>
      <w:spacing w:after="120" w:line="240" w:lineRule="auto"/>
      <w:ind w:left="720" w:right="360" w:hanging="288"/>
      <w:jc w:val="both"/>
    </w:pPr>
    <w:rPr>
      <w:szCs w:val="24"/>
    </w:rPr>
  </w:style>
  <w:style w:type="table" w:customStyle="1" w:styleId="TableWestatStandardFormat1">
    <w:name w:val="Table Westat Standard Format1"/>
    <w:basedOn w:val="TableNormal"/>
    <w:rsid w:val="00D90AE2"/>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odyText">
    <w:name w:val="Body Text"/>
    <w:basedOn w:val="Normal"/>
    <w:link w:val="BodyTextChar"/>
    <w:rsid w:val="00D90AE2"/>
    <w:pPr>
      <w:tabs>
        <w:tab w:val="left" w:pos="720"/>
        <w:tab w:val="left" w:pos="1080"/>
        <w:tab w:val="left" w:pos="1440"/>
      </w:tabs>
      <w:spacing w:after="180" w:line="264" w:lineRule="auto"/>
    </w:pPr>
    <w:rPr>
      <w:rFonts w:ascii="Times New Roman" w:hAnsi="Times New Roman"/>
      <w:sz w:val="22"/>
    </w:rPr>
  </w:style>
  <w:style w:type="character" w:customStyle="1" w:styleId="BodyTextChar">
    <w:name w:val="Body Text Char"/>
    <w:basedOn w:val="DefaultParagraphFont"/>
    <w:link w:val="BodyText"/>
    <w:rsid w:val="00D90AE2"/>
    <w:rPr>
      <w:sz w:val="22"/>
    </w:rPr>
  </w:style>
  <w:style w:type="paragraph" w:customStyle="1" w:styleId="NumberedBullet">
    <w:name w:val="Numbered Bullet"/>
    <w:basedOn w:val="Normal"/>
    <w:uiPriority w:val="99"/>
    <w:rsid w:val="00D90AE2"/>
    <w:pPr>
      <w:numPr>
        <w:numId w:val="8"/>
      </w:numPr>
      <w:tabs>
        <w:tab w:val="left" w:pos="360"/>
      </w:tabs>
      <w:spacing w:after="120" w:line="240" w:lineRule="auto"/>
      <w:ind w:left="720" w:right="360" w:hanging="288"/>
      <w:jc w:val="both"/>
    </w:pPr>
    <w:rPr>
      <w:szCs w:val="24"/>
    </w:rPr>
  </w:style>
  <w:style w:type="paragraph" w:customStyle="1" w:styleId="MarkforTableHeading">
    <w:name w:val="Mark for Table Heading"/>
    <w:basedOn w:val="Normal"/>
    <w:next w:val="Normal"/>
    <w:uiPriority w:val="99"/>
    <w:rsid w:val="00D90AE2"/>
    <w:pPr>
      <w:keepNext/>
      <w:tabs>
        <w:tab w:val="left" w:pos="432"/>
      </w:tabs>
      <w:spacing w:after="60" w:line="240" w:lineRule="auto"/>
      <w:jc w:val="both"/>
    </w:pPr>
    <w:rPr>
      <w:rFonts w:ascii="Lucida Sans" w:hAnsi="Lucida Sans"/>
      <w:b/>
      <w:sz w:val="18"/>
      <w:szCs w:val="24"/>
    </w:rPr>
  </w:style>
  <w:style w:type="paragraph" w:styleId="BodyTextIndent3">
    <w:name w:val="Body Text Indent 3"/>
    <w:basedOn w:val="Normal"/>
    <w:link w:val="BodyTextIndent3Char"/>
    <w:uiPriority w:val="99"/>
    <w:semiHidden/>
    <w:rsid w:val="00D90AE2"/>
    <w:pPr>
      <w:tabs>
        <w:tab w:val="left" w:pos="432"/>
      </w:tabs>
      <w:spacing w:after="120" w:line="480" w:lineRule="auto"/>
      <w:ind w:left="360" w:firstLine="432"/>
      <w:jc w:val="both"/>
    </w:pPr>
    <w:rPr>
      <w:sz w:val="16"/>
      <w:szCs w:val="16"/>
    </w:rPr>
  </w:style>
  <w:style w:type="character" w:customStyle="1" w:styleId="BodyTextIndent3Char">
    <w:name w:val="Body Text Indent 3 Char"/>
    <w:basedOn w:val="DefaultParagraphFont"/>
    <w:link w:val="BodyTextIndent3"/>
    <w:uiPriority w:val="99"/>
    <w:semiHidden/>
    <w:rsid w:val="00D90AE2"/>
    <w:rPr>
      <w:rFonts w:ascii="Garamond" w:hAnsi="Garamond"/>
      <w:sz w:val="16"/>
      <w:szCs w:val="16"/>
    </w:rPr>
  </w:style>
  <w:style w:type="paragraph" w:customStyle="1" w:styleId="Heading1Black">
    <w:name w:val="Heading 1_Black"/>
    <w:basedOn w:val="Normal"/>
    <w:next w:val="Normal"/>
    <w:uiPriority w:val="99"/>
    <w:rsid w:val="00D90AE2"/>
    <w:pPr>
      <w:tabs>
        <w:tab w:val="left" w:pos="432"/>
      </w:tabs>
      <w:spacing w:before="240" w:after="240" w:line="240" w:lineRule="auto"/>
      <w:jc w:val="center"/>
      <w:outlineLvl w:val="0"/>
    </w:pPr>
    <w:rPr>
      <w:rFonts w:ascii="Lucida Sans" w:hAnsi="Lucida Sans"/>
      <w:b/>
      <w:caps/>
      <w:szCs w:val="24"/>
    </w:rPr>
  </w:style>
  <w:style w:type="paragraph" w:styleId="NoSpacing">
    <w:name w:val="No Spacing"/>
    <w:uiPriority w:val="1"/>
    <w:qFormat/>
    <w:rsid w:val="00D90AE2"/>
    <w:pPr>
      <w:tabs>
        <w:tab w:val="left" w:pos="432"/>
      </w:tabs>
      <w:ind w:firstLine="432"/>
      <w:jc w:val="both"/>
    </w:pPr>
    <w:rPr>
      <w:rFonts w:ascii="Garamond" w:hAnsi="Garamond"/>
      <w:sz w:val="24"/>
      <w:szCs w:val="24"/>
    </w:rPr>
  </w:style>
  <w:style w:type="character" w:styleId="FollowedHyperlink">
    <w:name w:val="FollowedHyperlink"/>
    <w:basedOn w:val="DefaultParagraphFont"/>
    <w:uiPriority w:val="99"/>
    <w:semiHidden/>
    <w:unhideWhenUsed/>
    <w:rsid w:val="00D90AE2"/>
    <w:rPr>
      <w:color w:val="954F72" w:themeColor="followedHyperlink"/>
      <w:u w:val="single"/>
    </w:rPr>
  </w:style>
  <w:style w:type="character" w:customStyle="1" w:styleId="reference-text">
    <w:name w:val="reference-text"/>
    <w:basedOn w:val="DefaultParagraphFont"/>
    <w:rsid w:val="00D90AE2"/>
  </w:style>
  <w:style w:type="character" w:customStyle="1" w:styleId="apple-converted-space">
    <w:name w:val="apple-converted-space"/>
    <w:basedOn w:val="DefaultParagraphFont"/>
    <w:rsid w:val="00D9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958">
      <w:bodyDiv w:val="1"/>
      <w:marLeft w:val="0"/>
      <w:marRight w:val="0"/>
      <w:marTop w:val="0"/>
      <w:marBottom w:val="0"/>
      <w:divBdr>
        <w:top w:val="none" w:sz="0" w:space="0" w:color="auto"/>
        <w:left w:val="none" w:sz="0" w:space="0" w:color="auto"/>
        <w:bottom w:val="none" w:sz="0" w:space="0" w:color="auto"/>
        <w:right w:val="none" w:sz="0" w:space="0" w:color="auto"/>
      </w:divBdr>
    </w:div>
    <w:div w:id="376780684">
      <w:bodyDiv w:val="1"/>
      <w:marLeft w:val="0"/>
      <w:marRight w:val="0"/>
      <w:marTop w:val="0"/>
      <w:marBottom w:val="0"/>
      <w:divBdr>
        <w:top w:val="none" w:sz="0" w:space="0" w:color="auto"/>
        <w:left w:val="none" w:sz="0" w:space="0" w:color="auto"/>
        <w:bottom w:val="none" w:sz="0" w:space="0" w:color="auto"/>
        <w:right w:val="none" w:sz="0" w:space="0" w:color="auto"/>
      </w:divBdr>
    </w:div>
    <w:div w:id="467088112">
      <w:bodyDiv w:val="1"/>
      <w:marLeft w:val="0"/>
      <w:marRight w:val="0"/>
      <w:marTop w:val="0"/>
      <w:marBottom w:val="0"/>
      <w:divBdr>
        <w:top w:val="none" w:sz="0" w:space="0" w:color="auto"/>
        <w:left w:val="none" w:sz="0" w:space="0" w:color="auto"/>
        <w:bottom w:val="none" w:sz="0" w:space="0" w:color="auto"/>
        <w:right w:val="none" w:sz="0" w:space="0" w:color="auto"/>
      </w:divBdr>
    </w:div>
    <w:div w:id="478350116">
      <w:bodyDiv w:val="1"/>
      <w:marLeft w:val="0"/>
      <w:marRight w:val="0"/>
      <w:marTop w:val="0"/>
      <w:marBottom w:val="0"/>
      <w:divBdr>
        <w:top w:val="none" w:sz="0" w:space="0" w:color="auto"/>
        <w:left w:val="none" w:sz="0" w:space="0" w:color="auto"/>
        <w:bottom w:val="none" w:sz="0" w:space="0" w:color="auto"/>
        <w:right w:val="none" w:sz="0" w:space="0" w:color="auto"/>
      </w:divBdr>
    </w:div>
    <w:div w:id="527763982">
      <w:bodyDiv w:val="1"/>
      <w:marLeft w:val="0"/>
      <w:marRight w:val="0"/>
      <w:marTop w:val="0"/>
      <w:marBottom w:val="0"/>
      <w:divBdr>
        <w:top w:val="none" w:sz="0" w:space="0" w:color="auto"/>
        <w:left w:val="none" w:sz="0" w:space="0" w:color="auto"/>
        <w:bottom w:val="none" w:sz="0" w:space="0" w:color="auto"/>
        <w:right w:val="none" w:sz="0" w:space="0" w:color="auto"/>
      </w:divBdr>
    </w:div>
    <w:div w:id="671102190">
      <w:bodyDiv w:val="1"/>
      <w:marLeft w:val="0"/>
      <w:marRight w:val="0"/>
      <w:marTop w:val="0"/>
      <w:marBottom w:val="0"/>
      <w:divBdr>
        <w:top w:val="none" w:sz="0" w:space="0" w:color="auto"/>
        <w:left w:val="none" w:sz="0" w:space="0" w:color="auto"/>
        <w:bottom w:val="none" w:sz="0" w:space="0" w:color="auto"/>
        <w:right w:val="none" w:sz="0" w:space="0" w:color="auto"/>
      </w:divBdr>
    </w:div>
    <w:div w:id="672949239">
      <w:bodyDiv w:val="1"/>
      <w:marLeft w:val="0"/>
      <w:marRight w:val="0"/>
      <w:marTop w:val="0"/>
      <w:marBottom w:val="0"/>
      <w:divBdr>
        <w:top w:val="none" w:sz="0" w:space="0" w:color="auto"/>
        <w:left w:val="none" w:sz="0" w:space="0" w:color="auto"/>
        <w:bottom w:val="none" w:sz="0" w:space="0" w:color="auto"/>
        <w:right w:val="none" w:sz="0" w:space="0" w:color="auto"/>
      </w:divBdr>
    </w:div>
    <w:div w:id="765731461">
      <w:bodyDiv w:val="1"/>
      <w:marLeft w:val="0"/>
      <w:marRight w:val="0"/>
      <w:marTop w:val="0"/>
      <w:marBottom w:val="0"/>
      <w:divBdr>
        <w:top w:val="none" w:sz="0" w:space="0" w:color="auto"/>
        <w:left w:val="none" w:sz="0" w:space="0" w:color="auto"/>
        <w:bottom w:val="none" w:sz="0" w:space="0" w:color="auto"/>
        <w:right w:val="none" w:sz="0" w:space="0" w:color="auto"/>
      </w:divBdr>
    </w:div>
    <w:div w:id="797576084">
      <w:bodyDiv w:val="1"/>
      <w:marLeft w:val="0"/>
      <w:marRight w:val="0"/>
      <w:marTop w:val="0"/>
      <w:marBottom w:val="0"/>
      <w:divBdr>
        <w:top w:val="none" w:sz="0" w:space="0" w:color="auto"/>
        <w:left w:val="none" w:sz="0" w:space="0" w:color="auto"/>
        <w:bottom w:val="none" w:sz="0" w:space="0" w:color="auto"/>
        <w:right w:val="none" w:sz="0" w:space="0" w:color="auto"/>
      </w:divBdr>
    </w:div>
    <w:div w:id="917860171">
      <w:bodyDiv w:val="1"/>
      <w:marLeft w:val="0"/>
      <w:marRight w:val="0"/>
      <w:marTop w:val="0"/>
      <w:marBottom w:val="0"/>
      <w:divBdr>
        <w:top w:val="none" w:sz="0" w:space="0" w:color="auto"/>
        <w:left w:val="none" w:sz="0" w:space="0" w:color="auto"/>
        <w:bottom w:val="none" w:sz="0" w:space="0" w:color="auto"/>
        <w:right w:val="none" w:sz="0" w:space="0" w:color="auto"/>
      </w:divBdr>
    </w:div>
    <w:div w:id="969286357">
      <w:bodyDiv w:val="1"/>
      <w:marLeft w:val="0"/>
      <w:marRight w:val="0"/>
      <w:marTop w:val="0"/>
      <w:marBottom w:val="0"/>
      <w:divBdr>
        <w:top w:val="none" w:sz="0" w:space="0" w:color="auto"/>
        <w:left w:val="none" w:sz="0" w:space="0" w:color="auto"/>
        <w:bottom w:val="none" w:sz="0" w:space="0" w:color="auto"/>
        <w:right w:val="none" w:sz="0" w:space="0" w:color="auto"/>
      </w:divBdr>
    </w:div>
    <w:div w:id="985626287">
      <w:bodyDiv w:val="1"/>
      <w:marLeft w:val="0"/>
      <w:marRight w:val="0"/>
      <w:marTop w:val="0"/>
      <w:marBottom w:val="0"/>
      <w:divBdr>
        <w:top w:val="none" w:sz="0" w:space="0" w:color="auto"/>
        <w:left w:val="none" w:sz="0" w:space="0" w:color="auto"/>
        <w:bottom w:val="none" w:sz="0" w:space="0" w:color="auto"/>
        <w:right w:val="none" w:sz="0" w:space="0" w:color="auto"/>
      </w:divBdr>
    </w:div>
    <w:div w:id="997147426">
      <w:bodyDiv w:val="1"/>
      <w:marLeft w:val="0"/>
      <w:marRight w:val="0"/>
      <w:marTop w:val="0"/>
      <w:marBottom w:val="0"/>
      <w:divBdr>
        <w:top w:val="none" w:sz="0" w:space="0" w:color="auto"/>
        <w:left w:val="none" w:sz="0" w:space="0" w:color="auto"/>
        <w:bottom w:val="none" w:sz="0" w:space="0" w:color="auto"/>
        <w:right w:val="none" w:sz="0" w:space="0" w:color="auto"/>
      </w:divBdr>
    </w:div>
    <w:div w:id="1020931958">
      <w:bodyDiv w:val="1"/>
      <w:marLeft w:val="0"/>
      <w:marRight w:val="0"/>
      <w:marTop w:val="0"/>
      <w:marBottom w:val="0"/>
      <w:divBdr>
        <w:top w:val="none" w:sz="0" w:space="0" w:color="auto"/>
        <w:left w:val="none" w:sz="0" w:space="0" w:color="auto"/>
        <w:bottom w:val="none" w:sz="0" w:space="0" w:color="auto"/>
        <w:right w:val="none" w:sz="0" w:space="0" w:color="auto"/>
      </w:divBdr>
    </w:div>
    <w:div w:id="1039234918">
      <w:bodyDiv w:val="1"/>
      <w:marLeft w:val="0"/>
      <w:marRight w:val="0"/>
      <w:marTop w:val="0"/>
      <w:marBottom w:val="0"/>
      <w:divBdr>
        <w:top w:val="none" w:sz="0" w:space="0" w:color="auto"/>
        <w:left w:val="none" w:sz="0" w:space="0" w:color="auto"/>
        <w:bottom w:val="none" w:sz="0" w:space="0" w:color="auto"/>
        <w:right w:val="none" w:sz="0" w:space="0" w:color="auto"/>
      </w:divBdr>
    </w:div>
    <w:div w:id="1075011345">
      <w:bodyDiv w:val="1"/>
      <w:marLeft w:val="0"/>
      <w:marRight w:val="0"/>
      <w:marTop w:val="0"/>
      <w:marBottom w:val="0"/>
      <w:divBdr>
        <w:top w:val="none" w:sz="0" w:space="0" w:color="auto"/>
        <w:left w:val="none" w:sz="0" w:space="0" w:color="auto"/>
        <w:bottom w:val="none" w:sz="0" w:space="0" w:color="auto"/>
        <w:right w:val="none" w:sz="0" w:space="0" w:color="auto"/>
      </w:divBdr>
    </w:div>
    <w:div w:id="1138062901">
      <w:bodyDiv w:val="1"/>
      <w:marLeft w:val="0"/>
      <w:marRight w:val="0"/>
      <w:marTop w:val="0"/>
      <w:marBottom w:val="0"/>
      <w:divBdr>
        <w:top w:val="none" w:sz="0" w:space="0" w:color="auto"/>
        <w:left w:val="none" w:sz="0" w:space="0" w:color="auto"/>
        <w:bottom w:val="none" w:sz="0" w:space="0" w:color="auto"/>
        <w:right w:val="none" w:sz="0" w:space="0" w:color="auto"/>
      </w:divBdr>
    </w:div>
    <w:div w:id="1204363845">
      <w:bodyDiv w:val="1"/>
      <w:marLeft w:val="0"/>
      <w:marRight w:val="0"/>
      <w:marTop w:val="0"/>
      <w:marBottom w:val="0"/>
      <w:divBdr>
        <w:top w:val="none" w:sz="0" w:space="0" w:color="auto"/>
        <w:left w:val="none" w:sz="0" w:space="0" w:color="auto"/>
        <w:bottom w:val="none" w:sz="0" w:space="0" w:color="auto"/>
        <w:right w:val="none" w:sz="0" w:space="0" w:color="auto"/>
      </w:divBdr>
    </w:div>
    <w:div w:id="1223449348">
      <w:bodyDiv w:val="1"/>
      <w:marLeft w:val="0"/>
      <w:marRight w:val="0"/>
      <w:marTop w:val="0"/>
      <w:marBottom w:val="0"/>
      <w:divBdr>
        <w:top w:val="none" w:sz="0" w:space="0" w:color="auto"/>
        <w:left w:val="none" w:sz="0" w:space="0" w:color="auto"/>
        <w:bottom w:val="none" w:sz="0" w:space="0" w:color="auto"/>
        <w:right w:val="none" w:sz="0" w:space="0" w:color="auto"/>
      </w:divBdr>
    </w:div>
    <w:div w:id="1362974034">
      <w:bodyDiv w:val="1"/>
      <w:marLeft w:val="0"/>
      <w:marRight w:val="0"/>
      <w:marTop w:val="0"/>
      <w:marBottom w:val="0"/>
      <w:divBdr>
        <w:top w:val="none" w:sz="0" w:space="0" w:color="auto"/>
        <w:left w:val="none" w:sz="0" w:space="0" w:color="auto"/>
        <w:bottom w:val="none" w:sz="0" w:space="0" w:color="auto"/>
        <w:right w:val="none" w:sz="0" w:space="0" w:color="auto"/>
      </w:divBdr>
    </w:div>
    <w:div w:id="1507793228">
      <w:bodyDiv w:val="1"/>
      <w:marLeft w:val="0"/>
      <w:marRight w:val="0"/>
      <w:marTop w:val="0"/>
      <w:marBottom w:val="0"/>
      <w:divBdr>
        <w:top w:val="none" w:sz="0" w:space="0" w:color="auto"/>
        <w:left w:val="none" w:sz="0" w:space="0" w:color="auto"/>
        <w:bottom w:val="none" w:sz="0" w:space="0" w:color="auto"/>
        <w:right w:val="none" w:sz="0" w:space="0" w:color="auto"/>
      </w:divBdr>
    </w:div>
    <w:div w:id="1626542480">
      <w:bodyDiv w:val="1"/>
      <w:marLeft w:val="0"/>
      <w:marRight w:val="0"/>
      <w:marTop w:val="0"/>
      <w:marBottom w:val="0"/>
      <w:divBdr>
        <w:top w:val="none" w:sz="0" w:space="0" w:color="auto"/>
        <w:left w:val="none" w:sz="0" w:space="0" w:color="auto"/>
        <w:bottom w:val="none" w:sz="0" w:space="0" w:color="auto"/>
        <w:right w:val="none" w:sz="0" w:space="0" w:color="auto"/>
      </w:divBdr>
    </w:div>
    <w:div w:id="1805544205">
      <w:bodyDiv w:val="1"/>
      <w:marLeft w:val="0"/>
      <w:marRight w:val="0"/>
      <w:marTop w:val="0"/>
      <w:marBottom w:val="0"/>
      <w:divBdr>
        <w:top w:val="none" w:sz="0" w:space="0" w:color="auto"/>
        <w:left w:val="none" w:sz="0" w:space="0" w:color="auto"/>
        <w:bottom w:val="none" w:sz="0" w:space="0" w:color="auto"/>
        <w:right w:val="none" w:sz="0" w:space="0" w:color="auto"/>
      </w:divBdr>
    </w:div>
    <w:div w:id="1832987536">
      <w:bodyDiv w:val="1"/>
      <w:marLeft w:val="0"/>
      <w:marRight w:val="0"/>
      <w:marTop w:val="0"/>
      <w:marBottom w:val="0"/>
      <w:divBdr>
        <w:top w:val="none" w:sz="0" w:space="0" w:color="auto"/>
        <w:left w:val="none" w:sz="0" w:space="0" w:color="auto"/>
        <w:bottom w:val="none" w:sz="0" w:space="0" w:color="auto"/>
        <w:right w:val="none" w:sz="0" w:space="0" w:color="auto"/>
      </w:divBdr>
    </w:div>
    <w:div w:id="1835221203">
      <w:bodyDiv w:val="1"/>
      <w:marLeft w:val="0"/>
      <w:marRight w:val="0"/>
      <w:marTop w:val="0"/>
      <w:marBottom w:val="0"/>
      <w:divBdr>
        <w:top w:val="none" w:sz="0" w:space="0" w:color="auto"/>
        <w:left w:val="none" w:sz="0" w:space="0" w:color="auto"/>
        <w:bottom w:val="none" w:sz="0" w:space="0" w:color="auto"/>
        <w:right w:val="none" w:sz="0" w:space="0" w:color="auto"/>
      </w:divBdr>
    </w:div>
    <w:div w:id="1836458202">
      <w:bodyDiv w:val="1"/>
      <w:marLeft w:val="0"/>
      <w:marRight w:val="0"/>
      <w:marTop w:val="0"/>
      <w:marBottom w:val="0"/>
      <w:divBdr>
        <w:top w:val="none" w:sz="0" w:space="0" w:color="auto"/>
        <w:left w:val="none" w:sz="0" w:space="0" w:color="auto"/>
        <w:bottom w:val="none" w:sz="0" w:space="0" w:color="auto"/>
        <w:right w:val="none" w:sz="0" w:space="0" w:color="auto"/>
      </w:divBdr>
    </w:div>
    <w:div w:id="1896700968">
      <w:bodyDiv w:val="1"/>
      <w:marLeft w:val="0"/>
      <w:marRight w:val="0"/>
      <w:marTop w:val="0"/>
      <w:marBottom w:val="0"/>
      <w:divBdr>
        <w:top w:val="none" w:sz="0" w:space="0" w:color="auto"/>
        <w:left w:val="none" w:sz="0" w:space="0" w:color="auto"/>
        <w:bottom w:val="none" w:sz="0" w:space="0" w:color="auto"/>
        <w:right w:val="none" w:sz="0" w:space="0" w:color="auto"/>
      </w:divBdr>
    </w:div>
    <w:div w:id="2075664948">
      <w:bodyDiv w:val="1"/>
      <w:marLeft w:val="0"/>
      <w:marRight w:val="0"/>
      <w:marTop w:val="0"/>
      <w:marBottom w:val="0"/>
      <w:divBdr>
        <w:top w:val="none" w:sz="0" w:space="0" w:color="auto"/>
        <w:left w:val="none" w:sz="0" w:space="0" w:color="auto"/>
        <w:bottom w:val="none" w:sz="0" w:space="0" w:color="auto"/>
        <w:right w:val="none" w:sz="0" w:space="0" w:color="auto"/>
      </w:divBdr>
    </w:div>
    <w:div w:id="2101027441">
      <w:bodyDiv w:val="1"/>
      <w:marLeft w:val="0"/>
      <w:marRight w:val="0"/>
      <w:marTop w:val="0"/>
      <w:marBottom w:val="0"/>
      <w:divBdr>
        <w:top w:val="none" w:sz="0" w:space="0" w:color="auto"/>
        <w:left w:val="none" w:sz="0" w:space="0" w:color="auto"/>
        <w:bottom w:val="none" w:sz="0" w:space="0" w:color="auto"/>
        <w:right w:val="none" w:sz="0" w:space="0" w:color="auto"/>
      </w:divBdr>
    </w:div>
    <w:div w:id="21102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Visio_Drawing11.vsdx"/><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vin.Wallace-Williams@fns.usda.gov"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statpolicy/standards_stat_survey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Gara_FrnkGoth-12pt-Dou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E871D-E8B5-4A58-A2F6-E3BE480D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Gara_FrnkGoth-12pt-Double.dotx</Template>
  <TotalTime>11</TotalTime>
  <Pages>1</Pages>
  <Words>9613</Words>
  <Characters>54795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64280</CharactersWithSpaces>
  <SharedDoc>false</SharedDoc>
  <HLinks>
    <vt:vector size="42" baseType="variant">
      <vt:variant>
        <vt:i4>1900665</vt:i4>
      </vt:variant>
      <vt:variant>
        <vt:i4>0</vt:i4>
      </vt:variant>
      <vt:variant>
        <vt:i4>0</vt:i4>
      </vt:variant>
      <vt:variant>
        <vt:i4>5</vt:i4>
      </vt:variant>
      <vt:variant>
        <vt:lpwstr>mailto:Devin.Wallace-Williams@fns.usda.gov</vt:lpwstr>
      </vt:variant>
      <vt:variant>
        <vt:lpwstr/>
      </vt:variant>
      <vt:variant>
        <vt:i4>4522099</vt:i4>
      </vt:variant>
      <vt:variant>
        <vt:i4>15</vt:i4>
      </vt:variant>
      <vt:variant>
        <vt:i4>0</vt:i4>
      </vt:variant>
      <vt:variant>
        <vt:i4>5</vt:i4>
      </vt:variant>
      <vt:variant>
        <vt:lpwstr>https://www.opm.gov/policy-data-oversight/pay-leave/salaries-wages/salary-tables/pdf/2017/DCB_h.pdf</vt:lpwstr>
      </vt:variant>
      <vt:variant>
        <vt:lpwstr/>
      </vt:variant>
      <vt:variant>
        <vt:i4>2490488</vt:i4>
      </vt:variant>
      <vt:variant>
        <vt:i4>12</vt:i4>
      </vt:variant>
      <vt:variant>
        <vt:i4>0</vt:i4>
      </vt:variant>
      <vt:variant>
        <vt:i4>5</vt:i4>
      </vt:variant>
      <vt:variant>
        <vt:lpwstr>http://www.dol.gov/general/topic/wages/minimumwage</vt:lpwstr>
      </vt:variant>
      <vt:variant>
        <vt:lpwstr/>
      </vt:variant>
      <vt:variant>
        <vt:i4>2621442</vt:i4>
      </vt:variant>
      <vt:variant>
        <vt:i4>9</vt:i4>
      </vt:variant>
      <vt:variant>
        <vt:i4>0</vt:i4>
      </vt:variant>
      <vt:variant>
        <vt:i4>5</vt:i4>
      </vt:variant>
      <vt:variant>
        <vt:lpwstr>http://www.bls.gov/oes/current/naics3_611000.htm</vt:lpwstr>
      </vt:variant>
      <vt:variant>
        <vt:lpwstr/>
      </vt:variant>
      <vt:variant>
        <vt:i4>2228226</vt:i4>
      </vt:variant>
      <vt:variant>
        <vt:i4>6</vt:i4>
      </vt:variant>
      <vt:variant>
        <vt:i4>0</vt:i4>
      </vt:variant>
      <vt:variant>
        <vt:i4>5</vt:i4>
      </vt:variant>
      <vt:variant>
        <vt:lpwstr>http://www.bls.gov/oes/current/naics4_999200.htm</vt:lpwstr>
      </vt:variant>
      <vt:variant>
        <vt:lpwstr/>
      </vt:variant>
      <vt:variant>
        <vt:i4>5701653</vt:i4>
      </vt:variant>
      <vt:variant>
        <vt:i4>3</vt:i4>
      </vt:variant>
      <vt:variant>
        <vt:i4>0</vt:i4>
      </vt:variant>
      <vt:variant>
        <vt:i4>5</vt:i4>
      </vt:variant>
      <vt:variant>
        <vt:lpwstr>http://www.whitehouse.gov/sites/default/files/omb/memoranda/2015/m-15-02.pdf</vt:lpwstr>
      </vt:variant>
      <vt:variant>
        <vt:lpwstr/>
      </vt:variant>
      <vt:variant>
        <vt:i4>3342433</vt:i4>
      </vt:variant>
      <vt:variant>
        <vt:i4>0</vt:i4>
      </vt:variant>
      <vt:variant>
        <vt:i4>0</vt:i4>
      </vt:variant>
      <vt:variant>
        <vt:i4>5</vt:i4>
      </vt:variant>
      <vt:variant>
        <vt:lpwstr>http://www.fns.usda.gov/sites/default/files/ops/APECII-Summary.pdf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CS</cp:lastModifiedBy>
  <cp:revision>4</cp:revision>
  <cp:lastPrinted>2017-05-09T20:18:00Z</cp:lastPrinted>
  <dcterms:created xsi:type="dcterms:W3CDTF">2017-05-09T20:10:00Z</dcterms:created>
  <dcterms:modified xsi:type="dcterms:W3CDTF">2017-05-09T20:20:00Z</dcterms:modified>
</cp:coreProperties>
</file>