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354E7B" w14:textId="77777777" w:rsidR="006E3562" w:rsidRDefault="006E3562" w:rsidP="003952F4">
      <w:pPr>
        <w:pStyle w:val="C1-CtrBoldHd"/>
      </w:pPr>
      <w:bookmarkStart w:id="0" w:name="_Toc316309682"/>
      <w:bookmarkStart w:id="1" w:name="_GoBack"/>
      <w:bookmarkEnd w:id="1"/>
      <w:r w:rsidRPr="00B3142C">
        <w:t xml:space="preserve">Supporting </w:t>
      </w:r>
      <w:r>
        <w:t>Statement – Part A</w:t>
      </w:r>
      <w:r w:rsidR="003952F4">
        <w:br/>
      </w:r>
      <w:r>
        <w:t>for</w:t>
      </w:r>
      <w:r w:rsidR="003952F4">
        <w:br/>
      </w:r>
      <w:r>
        <w:t>OMB Control Number 0584-</w:t>
      </w:r>
      <w:r w:rsidR="009F0400">
        <w:t>0530</w:t>
      </w:r>
    </w:p>
    <w:p w14:paraId="18106EB9" w14:textId="76C13892" w:rsidR="006E3562" w:rsidRPr="00B3142C" w:rsidRDefault="00F07B64" w:rsidP="003952F4">
      <w:pPr>
        <w:pStyle w:val="C1-CtrBoldHd"/>
      </w:pPr>
      <w:r>
        <w:t xml:space="preserve">Third </w:t>
      </w:r>
      <w:r w:rsidR="000B13A2">
        <w:t>Access</w:t>
      </w:r>
      <w:r w:rsidR="00AA1100">
        <w:t>,</w:t>
      </w:r>
      <w:r w:rsidR="000B13A2">
        <w:t xml:space="preserve"> Participation</w:t>
      </w:r>
      <w:r w:rsidR="00AA1100">
        <w:t>,</w:t>
      </w:r>
      <w:r w:rsidR="000B13A2">
        <w:t xml:space="preserve"> Eligibility and Certification Study Series (APEC III)</w:t>
      </w:r>
    </w:p>
    <w:p w14:paraId="49745EDD" w14:textId="77777777" w:rsidR="006E3562" w:rsidRDefault="006E3562" w:rsidP="003952F4">
      <w:pPr>
        <w:pStyle w:val="C1-CtrBoldHd"/>
      </w:pPr>
      <w:bookmarkStart w:id="2" w:name="RepTitle"/>
      <w:bookmarkStart w:id="3" w:name="RepType"/>
      <w:bookmarkStart w:id="4" w:name="DateMark"/>
      <w:bookmarkEnd w:id="2"/>
      <w:bookmarkEnd w:id="3"/>
      <w:bookmarkEnd w:id="4"/>
    </w:p>
    <w:p w14:paraId="10681A36" w14:textId="77777777" w:rsidR="00D81E15" w:rsidRDefault="00D81E15" w:rsidP="003952F4">
      <w:pPr>
        <w:pStyle w:val="C1-CtrBoldHd"/>
      </w:pPr>
    </w:p>
    <w:p w14:paraId="238060D2" w14:textId="77777777" w:rsidR="00C109A1" w:rsidRDefault="007F2401" w:rsidP="003952F4">
      <w:pPr>
        <w:pStyle w:val="C1-CtrBoldHd"/>
      </w:pPr>
      <w:r>
        <w:t xml:space="preserve">May </w:t>
      </w:r>
      <w:r w:rsidR="00D81E15">
        <w:t>2017</w:t>
      </w:r>
    </w:p>
    <w:p w14:paraId="10AF268C" w14:textId="42146556" w:rsidR="00C109A1" w:rsidRDefault="00C109A1" w:rsidP="003952F4">
      <w:pPr>
        <w:pStyle w:val="C1-CtrBoldHd"/>
      </w:pPr>
      <w:r>
        <w:t>Revised September 2017</w:t>
      </w:r>
    </w:p>
    <w:p w14:paraId="2DD36F2E" w14:textId="77777777" w:rsidR="006E3562" w:rsidRDefault="006E3562" w:rsidP="003952F4">
      <w:pPr>
        <w:pStyle w:val="C1-CtrBoldHd"/>
      </w:pPr>
    </w:p>
    <w:p w14:paraId="43F2E5D8" w14:textId="77777777" w:rsidR="005A41F9" w:rsidRPr="003952F4" w:rsidRDefault="005A41F9" w:rsidP="003952F4">
      <w:pPr>
        <w:pStyle w:val="C1-CtrBoldHd"/>
        <w:spacing w:after="0" w:line="240" w:lineRule="auto"/>
        <w:rPr>
          <w:szCs w:val="28"/>
        </w:rPr>
      </w:pPr>
      <w:r w:rsidRPr="003952F4">
        <w:rPr>
          <w:szCs w:val="28"/>
        </w:rPr>
        <w:t>Devin Wallace-Williams, PhD</w:t>
      </w:r>
    </w:p>
    <w:p w14:paraId="5868669C" w14:textId="77777777" w:rsidR="006E3562" w:rsidRPr="003952F4" w:rsidRDefault="005A41F9" w:rsidP="003952F4">
      <w:pPr>
        <w:pStyle w:val="C1-CtrBoldHd"/>
        <w:spacing w:after="0" w:line="240" w:lineRule="auto"/>
        <w:rPr>
          <w:szCs w:val="28"/>
        </w:rPr>
      </w:pPr>
      <w:r w:rsidRPr="003952F4">
        <w:rPr>
          <w:szCs w:val="28"/>
        </w:rPr>
        <w:t>Social Science Research Analyst</w:t>
      </w:r>
    </w:p>
    <w:p w14:paraId="38355207" w14:textId="77777777" w:rsidR="005A41F9" w:rsidRPr="003952F4" w:rsidRDefault="005A41F9" w:rsidP="003952F4">
      <w:pPr>
        <w:pStyle w:val="C1-CtrBoldHd"/>
        <w:spacing w:after="0" w:line="240" w:lineRule="auto"/>
        <w:rPr>
          <w:szCs w:val="28"/>
        </w:rPr>
      </w:pPr>
      <w:r w:rsidRPr="003952F4">
        <w:rPr>
          <w:szCs w:val="28"/>
        </w:rPr>
        <w:t>Office of Policy Support</w:t>
      </w:r>
    </w:p>
    <w:p w14:paraId="7098AAD6" w14:textId="77777777" w:rsidR="006E3562" w:rsidRPr="003952F4" w:rsidRDefault="005A41F9" w:rsidP="003952F4">
      <w:pPr>
        <w:pStyle w:val="C1-CtrBoldHd"/>
        <w:spacing w:after="0" w:line="240" w:lineRule="auto"/>
        <w:rPr>
          <w:szCs w:val="28"/>
        </w:rPr>
      </w:pPr>
      <w:r w:rsidRPr="003952F4">
        <w:rPr>
          <w:szCs w:val="28"/>
        </w:rPr>
        <w:t>Food and Nutrition Service</w:t>
      </w:r>
    </w:p>
    <w:p w14:paraId="2BDEBAD8" w14:textId="77777777" w:rsidR="005A41F9" w:rsidRPr="003952F4" w:rsidRDefault="005A41F9" w:rsidP="003952F4">
      <w:pPr>
        <w:pStyle w:val="C1-CtrBoldHd"/>
        <w:spacing w:after="0" w:line="240" w:lineRule="auto"/>
        <w:rPr>
          <w:szCs w:val="28"/>
        </w:rPr>
      </w:pPr>
      <w:r w:rsidRPr="003952F4">
        <w:rPr>
          <w:szCs w:val="28"/>
        </w:rPr>
        <w:t>United States Department of Agriculture</w:t>
      </w:r>
    </w:p>
    <w:p w14:paraId="1AB2C7EA" w14:textId="77777777" w:rsidR="006E3562" w:rsidRPr="003952F4" w:rsidRDefault="006E3562" w:rsidP="003952F4">
      <w:pPr>
        <w:pStyle w:val="C1-CtrBoldHd"/>
        <w:spacing w:after="0" w:line="240" w:lineRule="auto"/>
        <w:rPr>
          <w:szCs w:val="28"/>
        </w:rPr>
      </w:pPr>
      <w:r w:rsidRPr="003952F4">
        <w:rPr>
          <w:szCs w:val="28"/>
        </w:rPr>
        <w:t>3101 Park Center Drive</w:t>
      </w:r>
    </w:p>
    <w:p w14:paraId="57AC0E82" w14:textId="77777777" w:rsidR="006E3562" w:rsidRPr="003952F4" w:rsidRDefault="006E3562" w:rsidP="003952F4">
      <w:pPr>
        <w:pStyle w:val="C1-CtrBoldHd"/>
        <w:spacing w:after="0" w:line="240" w:lineRule="auto"/>
        <w:rPr>
          <w:szCs w:val="28"/>
        </w:rPr>
      </w:pPr>
      <w:r w:rsidRPr="003952F4">
        <w:rPr>
          <w:szCs w:val="28"/>
        </w:rPr>
        <w:t>Alexandria, Virginia 22302</w:t>
      </w:r>
    </w:p>
    <w:p w14:paraId="7EB57B65" w14:textId="77777777" w:rsidR="000D1F10" w:rsidRPr="003952F4" w:rsidRDefault="000D1F10" w:rsidP="003952F4">
      <w:pPr>
        <w:pStyle w:val="C1-CtrBoldHd"/>
        <w:spacing w:after="0" w:line="240" w:lineRule="auto"/>
        <w:rPr>
          <w:szCs w:val="28"/>
        </w:rPr>
      </w:pPr>
      <w:r w:rsidRPr="003952F4">
        <w:rPr>
          <w:szCs w:val="28"/>
        </w:rPr>
        <w:t>Phone: 703-457-6791</w:t>
      </w:r>
    </w:p>
    <w:p w14:paraId="134BE0A8" w14:textId="77777777" w:rsidR="005A41F9" w:rsidRPr="003952F4" w:rsidRDefault="005A41F9" w:rsidP="003952F4">
      <w:pPr>
        <w:pStyle w:val="C1-CtrBoldHd"/>
        <w:spacing w:after="0" w:line="240" w:lineRule="auto"/>
        <w:rPr>
          <w:szCs w:val="28"/>
        </w:rPr>
      </w:pPr>
      <w:r w:rsidRPr="003952F4">
        <w:rPr>
          <w:szCs w:val="28"/>
        </w:rPr>
        <w:t xml:space="preserve">Email: </w:t>
      </w:r>
      <w:hyperlink r:id="rId9" w:history="1">
        <w:r w:rsidRPr="003952F4">
          <w:rPr>
            <w:rStyle w:val="Hyperlink"/>
            <w:szCs w:val="28"/>
          </w:rPr>
          <w:t>Devin.Wallace-Williams@fns.usda.gov</w:t>
        </w:r>
      </w:hyperlink>
    </w:p>
    <w:p w14:paraId="60F65662" w14:textId="77777777" w:rsidR="005A41F9" w:rsidRPr="00715322" w:rsidRDefault="005A41F9" w:rsidP="006E3562">
      <w:pPr>
        <w:spacing w:before="144" w:after="288" w:line="360" w:lineRule="exact"/>
        <w:ind w:right="360"/>
        <w:jc w:val="center"/>
        <w:rPr>
          <w:rFonts w:ascii="Lucida Sans" w:hAnsi="Lucida Sans"/>
          <w:sz w:val="22"/>
          <w:szCs w:val="22"/>
        </w:rPr>
      </w:pPr>
    </w:p>
    <w:p w14:paraId="655CE722" w14:textId="77777777" w:rsidR="006E3562" w:rsidRPr="006E3562" w:rsidRDefault="006E3562" w:rsidP="006E3562">
      <w:pPr>
        <w:spacing w:line="280" w:lineRule="exact"/>
        <w:ind w:left="5225"/>
        <w:rPr>
          <w:rFonts w:ascii="Lucida Sans" w:hAnsi="Lucida Sans"/>
          <w:sz w:val="20"/>
        </w:rPr>
      </w:pPr>
      <w:bookmarkStart w:id="5" w:name="StartingPoint"/>
      <w:bookmarkEnd w:id="5"/>
    </w:p>
    <w:p w14:paraId="381BF505" w14:textId="77777777" w:rsidR="006E3562" w:rsidRPr="006E3562" w:rsidRDefault="006E3562" w:rsidP="006E3562">
      <w:pPr>
        <w:spacing w:line="264" w:lineRule="auto"/>
        <w:ind w:left="5040"/>
        <w:rPr>
          <w:rFonts w:ascii="Lucida Sans" w:hAnsi="Lucida Sans"/>
          <w:sz w:val="20"/>
        </w:rPr>
        <w:sectPr w:rsidR="006E3562" w:rsidRPr="006E3562" w:rsidSect="0044765F">
          <w:type w:val="continuous"/>
          <w:pgSz w:w="12240" w:h="15840"/>
          <w:pgMar w:top="1440" w:right="1440" w:bottom="1440" w:left="1440" w:header="720" w:footer="576" w:gutter="0"/>
          <w:cols w:space="720"/>
          <w:titlePg/>
          <w:docGrid w:linePitch="326"/>
        </w:sectPr>
      </w:pPr>
    </w:p>
    <w:bookmarkEnd w:id="0"/>
    <w:p w14:paraId="23938959" w14:textId="77777777" w:rsidR="003F53F1" w:rsidRDefault="003F53F1" w:rsidP="003F53F1">
      <w:pPr>
        <w:tabs>
          <w:tab w:val="left" w:pos="432"/>
        </w:tabs>
        <w:spacing w:after="240" w:line="240" w:lineRule="auto"/>
        <w:ind w:left="1728" w:hanging="1728"/>
        <w:jc w:val="center"/>
        <w:rPr>
          <w:rFonts w:ascii="Lucida Sans" w:hAnsi="Lucida Sans"/>
          <w:b/>
          <w:i/>
          <w:caps/>
          <w:szCs w:val="24"/>
        </w:rPr>
      </w:pPr>
    </w:p>
    <w:p w14:paraId="6E08EE93" w14:textId="77777777" w:rsidR="003F53F1" w:rsidRDefault="003F53F1" w:rsidP="003F53F1">
      <w:pPr>
        <w:tabs>
          <w:tab w:val="left" w:pos="432"/>
        </w:tabs>
        <w:spacing w:after="240" w:line="240" w:lineRule="auto"/>
        <w:ind w:left="1728" w:hanging="1728"/>
        <w:jc w:val="center"/>
        <w:rPr>
          <w:rFonts w:ascii="Lucida Sans" w:hAnsi="Lucida Sans"/>
          <w:b/>
          <w:i/>
          <w:caps/>
          <w:szCs w:val="24"/>
        </w:rPr>
      </w:pPr>
    </w:p>
    <w:p w14:paraId="67B57609" w14:textId="77777777" w:rsidR="003F53F1" w:rsidRPr="00FD55DE" w:rsidRDefault="003F53F1" w:rsidP="003952F4">
      <w:pPr>
        <w:pStyle w:val="C2-CtrSglSp"/>
      </w:pPr>
      <w:r w:rsidRPr="00FD55DE">
        <w:lastRenderedPageBreak/>
        <w:t xml:space="preserve">This page is </w:t>
      </w:r>
      <w:r w:rsidR="00956406">
        <w:t>i</w:t>
      </w:r>
      <w:r w:rsidR="00956406" w:rsidRPr="00FD55DE">
        <w:t xml:space="preserve">ntentionally </w:t>
      </w:r>
      <w:r w:rsidRPr="00FD55DE">
        <w:t>blank</w:t>
      </w:r>
      <w:r w:rsidR="003952F4">
        <w:t>.</w:t>
      </w:r>
    </w:p>
    <w:p w14:paraId="377E2231" w14:textId="77777777" w:rsidR="003F53F1" w:rsidRDefault="003F53F1">
      <w:pPr>
        <w:spacing w:line="240" w:lineRule="auto"/>
        <w:rPr>
          <w:rFonts w:ascii="Lucida Sans" w:hAnsi="Lucida Sans" w:cs="Lucida Sans"/>
          <w:b/>
          <w:szCs w:val="24"/>
        </w:rPr>
      </w:pPr>
      <w:r>
        <w:rPr>
          <w:rFonts w:ascii="Lucida Sans" w:hAnsi="Lucida Sans" w:cs="Lucida Sans"/>
          <w:b/>
          <w:szCs w:val="24"/>
        </w:rPr>
        <w:br w:type="page"/>
      </w:r>
    </w:p>
    <w:p w14:paraId="7CF2935B" w14:textId="77777777" w:rsidR="006E3562" w:rsidRDefault="008D3EB6" w:rsidP="008D3EB6">
      <w:pPr>
        <w:pStyle w:val="TC-TableofContentsHeading"/>
      </w:pPr>
      <w:r w:rsidRPr="006E3562">
        <w:t xml:space="preserve">Table </w:t>
      </w:r>
      <w:r>
        <w:t>o</w:t>
      </w:r>
      <w:r w:rsidRPr="006E3562">
        <w:t>f Contents</w:t>
      </w:r>
    </w:p>
    <w:p w14:paraId="010BF6EF" w14:textId="77777777" w:rsidR="006E3562" w:rsidRDefault="006E3562" w:rsidP="008D3EB6">
      <w:pPr>
        <w:pStyle w:val="TOC1"/>
        <w:rPr>
          <w:webHidden/>
        </w:rPr>
      </w:pPr>
      <w:r w:rsidRPr="008D3EB6">
        <w:t>PART A. JUSTIFICATION</w:t>
      </w:r>
      <w:r w:rsidRPr="008D3EB6">
        <w:rPr>
          <w:webHidden/>
        </w:rPr>
        <w:tab/>
      </w:r>
      <w:r w:rsidR="008D3EB6">
        <w:rPr>
          <w:webHidden/>
        </w:rPr>
        <w:tab/>
      </w:r>
      <w:r w:rsidR="00573D74" w:rsidRPr="008D3EB6">
        <w:rPr>
          <w:webHidden/>
        </w:rPr>
        <w:t>1</w:t>
      </w:r>
    </w:p>
    <w:p w14:paraId="430CDF74" w14:textId="77777777" w:rsidR="008D3EB6" w:rsidRPr="004E041D" w:rsidRDefault="008D3EB6" w:rsidP="008D3EB6">
      <w:pPr>
        <w:pStyle w:val="TOC1"/>
      </w:pPr>
    </w:p>
    <w:p w14:paraId="5FE53A8F" w14:textId="77777777" w:rsidR="006B0374" w:rsidRPr="00970680" w:rsidRDefault="006B0374" w:rsidP="006B0374">
      <w:pPr>
        <w:pStyle w:val="TOC2"/>
        <w:rPr>
          <w:rFonts w:eastAsiaTheme="minorEastAsia"/>
        </w:rPr>
      </w:pPr>
      <w:r w:rsidRPr="00970680">
        <w:t>1.</w:t>
      </w:r>
      <w:r w:rsidRPr="00970680">
        <w:rPr>
          <w:rFonts w:eastAsiaTheme="minorEastAsia"/>
        </w:rPr>
        <w:tab/>
      </w:r>
      <w:r w:rsidRPr="00970680">
        <w:t>Circumstances That Make the Collection of Information Necessary</w:t>
      </w:r>
      <w:r w:rsidRPr="00970680">
        <w:tab/>
      </w:r>
      <w:r>
        <w:tab/>
      </w:r>
      <w:r w:rsidRPr="00970680">
        <w:t>1</w:t>
      </w:r>
    </w:p>
    <w:p w14:paraId="780467F2" w14:textId="77777777" w:rsidR="006B0374" w:rsidRPr="00970680" w:rsidRDefault="006B0374" w:rsidP="006B0374">
      <w:pPr>
        <w:pStyle w:val="TOC2"/>
        <w:rPr>
          <w:rFonts w:eastAsiaTheme="minorEastAsia"/>
        </w:rPr>
      </w:pPr>
      <w:r w:rsidRPr="00970680">
        <w:t>2.</w:t>
      </w:r>
      <w:r w:rsidRPr="00970680">
        <w:rPr>
          <w:rFonts w:eastAsiaTheme="minorEastAsia"/>
        </w:rPr>
        <w:tab/>
      </w:r>
      <w:r w:rsidRPr="00970680">
        <w:t>Purpose and Use of the Information</w:t>
      </w:r>
      <w:r w:rsidRPr="00970680">
        <w:tab/>
      </w:r>
      <w:r>
        <w:tab/>
      </w:r>
      <w:r w:rsidRPr="00970680">
        <w:t>3</w:t>
      </w:r>
    </w:p>
    <w:p w14:paraId="5C14B39C" w14:textId="51F61DF6" w:rsidR="006B0374" w:rsidRPr="00970680" w:rsidRDefault="006B0374" w:rsidP="006B0374">
      <w:pPr>
        <w:pStyle w:val="TOC2"/>
        <w:rPr>
          <w:rFonts w:eastAsiaTheme="minorEastAsia"/>
        </w:rPr>
      </w:pPr>
      <w:r w:rsidRPr="00970680">
        <w:t>3.</w:t>
      </w:r>
      <w:r w:rsidRPr="00970680">
        <w:rPr>
          <w:rFonts w:eastAsiaTheme="minorEastAsia"/>
        </w:rPr>
        <w:tab/>
      </w:r>
      <w:r w:rsidRPr="00970680">
        <w:t>Use of Information Technology and Burden Reduction</w:t>
      </w:r>
      <w:r>
        <w:tab/>
      </w:r>
      <w:r w:rsidR="001415CB">
        <w:tab/>
      </w:r>
      <w:r w:rsidR="003B589C">
        <w:t>10</w:t>
      </w:r>
    </w:p>
    <w:p w14:paraId="213B5BE3" w14:textId="1C43CD31" w:rsidR="006B0374" w:rsidRPr="00970680" w:rsidRDefault="006B0374" w:rsidP="006B0374">
      <w:pPr>
        <w:pStyle w:val="TOC2"/>
        <w:rPr>
          <w:rFonts w:eastAsiaTheme="minorEastAsia"/>
        </w:rPr>
      </w:pPr>
      <w:r w:rsidRPr="00970680">
        <w:t>4.</w:t>
      </w:r>
      <w:r w:rsidRPr="00970680">
        <w:rPr>
          <w:rFonts w:eastAsiaTheme="minorEastAsia"/>
        </w:rPr>
        <w:tab/>
      </w:r>
      <w:r w:rsidRPr="00970680">
        <w:t>Efforts to Identify Duplication</w:t>
      </w:r>
      <w:r w:rsidRPr="00970680">
        <w:tab/>
      </w:r>
      <w:r>
        <w:tab/>
      </w:r>
      <w:r w:rsidR="003B589C">
        <w:t>11</w:t>
      </w:r>
    </w:p>
    <w:p w14:paraId="7D40E2BC" w14:textId="77B255C0" w:rsidR="006B0374" w:rsidRPr="00970680" w:rsidRDefault="006B0374" w:rsidP="006B0374">
      <w:pPr>
        <w:pStyle w:val="TOC2"/>
        <w:rPr>
          <w:rFonts w:eastAsiaTheme="minorEastAsia"/>
        </w:rPr>
      </w:pPr>
      <w:r w:rsidRPr="00970680">
        <w:t>5.</w:t>
      </w:r>
      <w:r w:rsidRPr="00970680">
        <w:rPr>
          <w:rFonts w:eastAsiaTheme="minorEastAsia"/>
        </w:rPr>
        <w:tab/>
      </w:r>
      <w:r w:rsidRPr="00970680">
        <w:t>Impacts on Small Businesses or Other Small Entities</w:t>
      </w:r>
      <w:r>
        <w:tab/>
      </w:r>
      <w:r w:rsidR="001415CB">
        <w:tab/>
      </w:r>
      <w:r w:rsidR="003B589C">
        <w:t>12</w:t>
      </w:r>
    </w:p>
    <w:p w14:paraId="3D474D3E" w14:textId="4992BB1A" w:rsidR="006B0374" w:rsidRPr="00970680" w:rsidRDefault="006B0374" w:rsidP="006B0374">
      <w:pPr>
        <w:pStyle w:val="TOC2"/>
        <w:rPr>
          <w:rFonts w:eastAsiaTheme="minorEastAsia"/>
        </w:rPr>
      </w:pPr>
      <w:r w:rsidRPr="00970680">
        <w:t>6.</w:t>
      </w:r>
      <w:r w:rsidRPr="00970680">
        <w:rPr>
          <w:rFonts w:eastAsiaTheme="minorEastAsia"/>
        </w:rPr>
        <w:tab/>
      </w:r>
      <w:r w:rsidRPr="00970680">
        <w:t>Consequences of Collecting the Information Less Frequently</w:t>
      </w:r>
      <w:r w:rsidRPr="00970680">
        <w:tab/>
      </w:r>
      <w:r>
        <w:tab/>
      </w:r>
      <w:r w:rsidR="003B589C">
        <w:t>12</w:t>
      </w:r>
    </w:p>
    <w:p w14:paraId="736B229B" w14:textId="2CB29135" w:rsidR="006B0374" w:rsidRPr="00970680" w:rsidRDefault="006B0374" w:rsidP="006B0374">
      <w:pPr>
        <w:pStyle w:val="TOC2"/>
        <w:rPr>
          <w:rFonts w:eastAsiaTheme="minorEastAsia"/>
        </w:rPr>
      </w:pPr>
      <w:r w:rsidRPr="00970680">
        <w:t>7.</w:t>
      </w:r>
      <w:r w:rsidRPr="00970680">
        <w:rPr>
          <w:rFonts w:eastAsiaTheme="minorEastAsia"/>
        </w:rPr>
        <w:tab/>
      </w:r>
      <w:r w:rsidRPr="00970680">
        <w:t>Special Circumstances Relating to the Guidelines of 5 CFR 1320.5</w:t>
      </w:r>
      <w:r w:rsidRPr="00970680">
        <w:tab/>
      </w:r>
      <w:r>
        <w:tab/>
      </w:r>
      <w:r w:rsidR="003B589C">
        <w:t>13</w:t>
      </w:r>
    </w:p>
    <w:p w14:paraId="701B8167" w14:textId="4E07ED66" w:rsidR="006B0374" w:rsidRPr="00970680" w:rsidRDefault="006B0374" w:rsidP="006B0374">
      <w:pPr>
        <w:pStyle w:val="TOC2"/>
        <w:rPr>
          <w:rFonts w:eastAsiaTheme="minorEastAsia"/>
        </w:rPr>
      </w:pPr>
      <w:r w:rsidRPr="00970680">
        <w:t>8.</w:t>
      </w:r>
      <w:r w:rsidRPr="00970680">
        <w:rPr>
          <w:rFonts w:eastAsiaTheme="minorEastAsia"/>
        </w:rPr>
        <w:tab/>
      </w:r>
      <w:r w:rsidRPr="00970680">
        <w:t>Comments to the Federal Register Notice and Efforts for Consultation</w:t>
      </w:r>
      <w:r w:rsidRPr="00970680">
        <w:tab/>
      </w:r>
      <w:r>
        <w:tab/>
      </w:r>
      <w:r w:rsidR="003B589C">
        <w:t>14</w:t>
      </w:r>
    </w:p>
    <w:p w14:paraId="6A40383D" w14:textId="4E0EB874" w:rsidR="006B0374" w:rsidRPr="00970680" w:rsidRDefault="006B0374" w:rsidP="006B0374">
      <w:pPr>
        <w:pStyle w:val="TOC2"/>
        <w:rPr>
          <w:rFonts w:eastAsiaTheme="minorEastAsia"/>
        </w:rPr>
      </w:pPr>
      <w:r w:rsidRPr="00970680">
        <w:t>9.</w:t>
      </w:r>
      <w:r w:rsidRPr="00970680">
        <w:rPr>
          <w:rFonts w:eastAsiaTheme="minorEastAsia"/>
        </w:rPr>
        <w:tab/>
      </w:r>
      <w:r w:rsidRPr="00970680">
        <w:t>Explanation of Any Decisions to Provide Any Payment or Gift to Respondents</w:t>
      </w:r>
      <w:r w:rsidRPr="00970680">
        <w:tab/>
      </w:r>
      <w:r>
        <w:tab/>
      </w:r>
      <w:r w:rsidR="003B589C">
        <w:t>15</w:t>
      </w:r>
    </w:p>
    <w:p w14:paraId="3CBA64B0" w14:textId="617FF1A0" w:rsidR="006B0374" w:rsidRPr="00970680" w:rsidRDefault="006B0374" w:rsidP="006B0374">
      <w:pPr>
        <w:pStyle w:val="TOC2"/>
        <w:rPr>
          <w:rFonts w:eastAsiaTheme="minorEastAsia"/>
        </w:rPr>
      </w:pPr>
      <w:r w:rsidRPr="00970680">
        <w:t>10.</w:t>
      </w:r>
      <w:r w:rsidRPr="00970680">
        <w:rPr>
          <w:rFonts w:eastAsiaTheme="minorEastAsia"/>
        </w:rPr>
        <w:tab/>
      </w:r>
      <w:r w:rsidRPr="00970680">
        <w:t>Assurances of Confidentiality Provided to Respondents</w:t>
      </w:r>
      <w:r>
        <w:tab/>
      </w:r>
      <w:r w:rsidR="001415CB">
        <w:tab/>
      </w:r>
      <w:r w:rsidR="003B589C">
        <w:t>17</w:t>
      </w:r>
    </w:p>
    <w:p w14:paraId="55B57653" w14:textId="32583C66" w:rsidR="006B0374" w:rsidRPr="00970680" w:rsidRDefault="006B0374" w:rsidP="006B0374">
      <w:pPr>
        <w:pStyle w:val="TOC2"/>
        <w:rPr>
          <w:rFonts w:eastAsiaTheme="minorEastAsia"/>
        </w:rPr>
      </w:pPr>
      <w:r w:rsidRPr="00970680">
        <w:t>11.</w:t>
      </w:r>
      <w:r w:rsidRPr="00970680">
        <w:rPr>
          <w:rFonts w:eastAsiaTheme="minorEastAsia"/>
        </w:rPr>
        <w:tab/>
      </w:r>
      <w:r w:rsidRPr="00970680">
        <w:t>Justification for Any Questions of a Sensitive Nature</w:t>
      </w:r>
      <w:r>
        <w:tab/>
      </w:r>
      <w:r w:rsidR="003B589C">
        <w:tab/>
        <w:t>18</w:t>
      </w:r>
    </w:p>
    <w:p w14:paraId="2D892572" w14:textId="197EAE03" w:rsidR="006B0374" w:rsidRPr="00970680" w:rsidRDefault="006B0374" w:rsidP="006B0374">
      <w:pPr>
        <w:pStyle w:val="TOC2"/>
        <w:rPr>
          <w:rFonts w:eastAsiaTheme="minorEastAsia"/>
        </w:rPr>
      </w:pPr>
      <w:r w:rsidRPr="00970680">
        <w:t>12.</w:t>
      </w:r>
      <w:r w:rsidRPr="00970680">
        <w:rPr>
          <w:rFonts w:eastAsiaTheme="minorEastAsia"/>
        </w:rPr>
        <w:tab/>
      </w:r>
      <w:r w:rsidRPr="00970680">
        <w:t>Estimates of the Hour Burden of the Collection of Information</w:t>
      </w:r>
      <w:r>
        <w:tab/>
      </w:r>
      <w:r w:rsidR="001415CB">
        <w:tab/>
      </w:r>
      <w:r w:rsidR="003B589C">
        <w:t>20</w:t>
      </w:r>
    </w:p>
    <w:p w14:paraId="016E5159" w14:textId="034422A1" w:rsidR="006B0374" w:rsidRPr="00970680" w:rsidRDefault="006B0374" w:rsidP="006B0374">
      <w:pPr>
        <w:pStyle w:val="TOC2"/>
        <w:rPr>
          <w:rFonts w:eastAsiaTheme="minorEastAsia"/>
        </w:rPr>
      </w:pPr>
      <w:r w:rsidRPr="00970680">
        <w:t>13.</w:t>
      </w:r>
      <w:r w:rsidRPr="00970680">
        <w:rPr>
          <w:rFonts w:eastAsiaTheme="minorEastAsia"/>
        </w:rPr>
        <w:tab/>
      </w:r>
      <w:r w:rsidRPr="00970680">
        <w:t>Estimates of Other Total Annual Cost Burden</w:t>
      </w:r>
      <w:r>
        <w:tab/>
      </w:r>
      <w:r w:rsidR="001415CB">
        <w:tab/>
      </w:r>
      <w:r w:rsidR="003B589C">
        <w:t>25</w:t>
      </w:r>
    </w:p>
    <w:p w14:paraId="00336906" w14:textId="4A9FBAD0" w:rsidR="006B0374" w:rsidRPr="00970680" w:rsidRDefault="006B0374" w:rsidP="006B0374">
      <w:pPr>
        <w:pStyle w:val="TOC2"/>
        <w:rPr>
          <w:rFonts w:eastAsiaTheme="minorEastAsia"/>
        </w:rPr>
      </w:pPr>
      <w:r w:rsidRPr="00970680">
        <w:t>14.</w:t>
      </w:r>
      <w:r w:rsidRPr="00970680">
        <w:rPr>
          <w:rFonts w:eastAsiaTheme="minorEastAsia"/>
        </w:rPr>
        <w:tab/>
      </w:r>
      <w:r w:rsidRPr="00970680">
        <w:t>Estimates of Annualized Cost to the Federal Government</w:t>
      </w:r>
      <w:r>
        <w:tab/>
      </w:r>
      <w:r w:rsidR="001415CB">
        <w:tab/>
      </w:r>
      <w:r w:rsidR="003B589C">
        <w:t>25</w:t>
      </w:r>
    </w:p>
    <w:p w14:paraId="4F50CCAB" w14:textId="1E018794" w:rsidR="006B0374" w:rsidRPr="00970680" w:rsidRDefault="006B0374" w:rsidP="006B0374">
      <w:pPr>
        <w:pStyle w:val="TOC2"/>
        <w:rPr>
          <w:rFonts w:eastAsiaTheme="minorEastAsia"/>
        </w:rPr>
      </w:pPr>
      <w:r w:rsidRPr="00970680">
        <w:t>15.</w:t>
      </w:r>
      <w:r w:rsidRPr="00970680">
        <w:rPr>
          <w:rFonts w:eastAsiaTheme="minorEastAsia"/>
        </w:rPr>
        <w:tab/>
      </w:r>
      <w:r w:rsidRPr="00970680">
        <w:t>Explanation of Program Changes or Adjustments</w:t>
      </w:r>
      <w:r w:rsidRPr="00970680">
        <w:tab/>
      </w:r>
      <w:r>
        <w:tab/>
      </w:r>
      <w:r w:rsidR="003B589C">
        <w:t>26</w:t>
      </w:r>
    </w:p>
    <w:p w14:paraId="69C89804" w14:textId="6670180D" w:rsidR="006B0374" w:rsidRPr="00970680" w:rsidRDefault="006B0374" w:rsidP="006B0374">
      <w:pPr>
        <w:pStyle w:val="TOC2"/>
        <w:rPr>
          <w:rFonts w:eastAsiaTheme="minorEastAsia"/>
        </w:rPr>
      </w:pPr>
      <w:r w:rsidRPr="00970680">
        <w:t>16.</w:t>
      </w:r>
      <w:r w:rsidRPr="00970680">
        <w:rPr>
          <w:rFonts w:eastAsiaTheme="minorEastAsia"/>
        </w:rPr>
        <w:tab/>
      </w:r>
      <w:r w:rsidRPr="00970680">
        <w:t>Plans for Tabulations, and Publication and Project Time Schedule</w:t>
      </w:r>
      <w:r w:rsidRPr="00970680">
        <w:tab/>
      </w:r>
      <w:r>
        <w:tab/>
      </w:r>
      <w:r w:rsidR="003B589C">
        <w:t>27</w:t>
      </w:r>
    </w:p>
    <w:p w14:paraId="4F7CC85D" w14:textId="59C5AAB5" w:rsidR="006B0374" w:rsidRPr="00970680" w:rsidRDefault="006B0374" w:rsidP="006B0374">
      <w:pPr>
        <w:pStyle w:val="TOC2"/>
        <w:rPr>
          <w:rFonts w:eastAsiaTheme="minorEastAsia"/>
        </w:rPr>
      </w:pPr>
      <w:r w:rsidRPr="00970680">
        <w:t>17.</w:t>
      </w:r>
      <w:r w:rsidRPr="00970680">
        <w:rPr>
          <w:rFonts w:eastAsiaTheme="minorEastAsia"/>
        </w:rPr>
        <w:tab/>
      </w:r>
      <w:r w:rsidRPr="00970680">
        <w:t>Displaying the OMB Approval Expiration Date</w:t>
      </w:r>
      <w:r w:rsidRPr="00970680">
        <w:tab/>
      </w:r>
      <w:r>
        <w:tab/>
      </w:r>
      <w:r w:rsidR="003B589C">
        <w:t>31</w:t>
      </w:r>
    </w:p>
    <w:p w14:paraId="011F7BBE" w14:textId="1FE7390A" w:rsidR="006B0374" w:rsidRPr="00970680" w:rsidRDefault="006B0374" w:rsidP="006B0374">
      <w:pPr>
        <w:pStyle w:val="TOC2"/>
        <w:rPr>
          <w:rFonts w:eastAsiaTheme="minorEastAsia"/>
        </w:rPr>
      </w:pPr>
      <w:r w:rsidRPr="00970680">
        <w:t>18.</w:t>
      </w:r>
      <w:r w:rsidRPr="00970680">
        <w:rPr>
          <w:rFonts w:eastAsiaTheme="minorEastAsia"/>
        </w:rPr>
        <w:tab/>
      </w:r>
      <w:r w:rsidRPr="00970680">
        <w:t>Exceptions to the Certification Statement Identified in Item 19</w:t>
      </w:r>
      <w:r w:rsidRPr="00970680">
        <w:tab/>
      </w:r>
      <w:r>
        <w:tab/>
      </w:r>
      <w:r w:rsidR="003B589C">
        <w:t>31</w:t>
      </w:r>
    </w:p>
    <w:p w14:paraId="2FDAE757" w14:textId="77777777" w:rsidR="000A3C48" w:rsidRPr="004E041D" w:rsidRDefault="000A3C48" w:rsidP="002255F3">
      <w:pPr>
        <w:pStyle w:val="SL-FlLftSgl"/>
        <w:rPr>
          <w:noProof/>
          <w:highlight w:val="yellow"/>
        </w:rPr>
      </w:pPr>
    </w:p>
    <w:p w14:paraId="7BE9BABC" w14:textId="4D7465DF" w:rsidR="00BA17C0" w:rsidRPr="004E041D" w:rsidRDefault="008D3EB6" w:rsidP="008D3EB6">
      <w:pPr>
        <w:pStyle w:val="T0-ChapPgHd"/>
      </w:pPr>
      <w:r w:rsidRPr="004E041D">
        <w:t>Table</w:t>
      </w:r>
      <w:r w:rsidR="005F75FC">
        <w:t>s</w:t>
      </w:r>
    </w:p>
    <w:p w14:paraId="50ADCA99" w14:textId="77777777" w:rsidR="008D3EB6" w:rsidRPr="004E041D" w:rsidRDefault="008D3EB6" w:rsidP="008D3EB6">
      <w:pPr>
        <w:pStyle w:val="T0-ChapPgHd"/>
      </w:pPr>
    </w:p>
    <w:p w14:paraId="36424166" w14:textId="5BFC4BE2" w:rsidR="006B0374" w:rsidRPr="00970680" w:rsidRDefault="006B0374" w:rsidP="006B0374">
      <w:pPr>
        <w:pStyle w:val="TOC5"/>
        <w:rPr>
          <w:rFonts w:eastAsiaTheme="minorEastAsia"/>
        </w:rPr>
      </w:pPr>
      <w:r w:rsidRPr="00970680">
        <w:t>A2-1</w:t>
      </w:r>
      <w:r w:rsidRPr="00970680">
        <w:rPr>
          <w:rFonts w:eastAsiaTheme="minorEastAsia"/>
        </w:rPr>
        <w:tab/>
      </w:r>
      <w:r w:rsidRPr="00970680">
        <w:t>Summary of data collection instruments and forms</w:t>
      </w:r>
      <w:r w:rsidRPr="00970680">
        <w:tab/>
      </w:r>
      <w:r>
        <w:tab/>
      </w:r>
      <w:r w:rsidR="003B589C">
        <w:t>6</w:t>
      </w:r>
    </w:p>
    <w:p w14:paraId="26D3BC86" w14:textId="77777777" w:rsidR="006B0374" w:rsidRDefault="006B0374" w:rsidP="006B0374">
      <w:pPr>
        <w:pStyle w:val="TOC5"/>
      </w:pPr>
    </w:p>
    <w:p w14:paraId="23F42BAF" w14:textId="411232CF" w:rsidR="006B0374" w:rsidRPr="00970680" w:rsidRDefault="006B0374" w:rsidP="006B0374">
      <w:pPr>
        <w:pStyle w:val="TOC5"/>
        <w:rPr>
          <w:rFonts w:eastAsiaTheme="minorEastAsia"/>
        </w:rPr>
      </w:pPr>
      <w:r w:rsidRPr="00970680">
        <w:t>A12-1</w:t>
      </w:r>
      <w:r w:rsidRPr="00970680">
        <w:rPr>
          <w:rFonts w:eastAsiaTheme="minorEastAsia"/>
        </w:rPr>
        <w:tab/>
      </w:r>
      <w:r w:rsidRPr="00970680">
        <w:t>Estimates of respondent burden including annualized hourly cost</w:t>
      </w:r>
      <w:r w:rsidRPr="00970680">
        <w:tab/>
      </w:r>
      <w:r>
        <w:tab/>
      </w:r>
      <w:r w:rsidR="003B589C">
        <w:t>21</w:t>
      </w:r>
    </w:p>
    <w:p w14:paraId="693CAB98" w14:textId="77777777" w:rsidR="006B0374" w:rsidRDefault="006B0374" w:rsidP="006B0374">
      <w:pPr>
        <w:pStyle w:val="TOC5"/>
      </w:pPr>
    </w:p>
    <w:p w14:paraId="578FC9F2" w14:textId="0826B0E8" w:rsidR="006B0374" w:rsidRPr="00970680" w:rsidRDefault="006B0374" w:rsidP="006B0374">
      <w:pPr>
        <w:pStyle w:val="TOC5"/>
        <w:rPr>
          <w:rFonts w:eastAsiaTheme="minorEastAsia"/>
        </w:rPr>
      </w:pPr>
      <w:r w:rsidRPr="00970680">
        <w:t>A16-1</w:t>
      </w:r>
      <w:r w:rsidRPr="00970680">
        <w:rPr>
          <w:rFonts w:eastAsiaTheme="minorEastAsia"/>
        </w:rPr>
        <w:tab/>
      </w:r>
      <w:r w:rsidRPr="00970680">
        <w:t>Proposed study schedule</w:t>
      </w:r>
      <w:r w:rsidRPr="00970680">
        <w:tab/>
      </w:r>
      <w:r>
        <w:tab/>
      </w:r>
      <w:r w:rsidR="00D81237">
        <w:t>2</w:t>
      </w:r>
      <w:r w:rsidR="003B589C">
        <w:t>7</w:t>
      </w:r>
    </w:p>
    <w:p w14:paraId="4243400D" w14:textId="77777777" w:rsidR="008D3EB6" w:rsidRPr="004E041D" w:rsidRDefault="008D3EB6" w:rsidP="008D3EB6">
      <w:pPr>
        <w:pStyle w:val="T0-ChapPgHd"/>
      </w:pPr>
    </w:p>
    <w:p w14:paraId="5B12CC79" w14:textId="77777777" w:rsidR="005F75FC" w:rsidRDefault="005F75FC" w:rsidP="0027013D">
      <w:pPr>
        <w:pStyle w:val="C2-CtrSglSp"/>
        <w:jc w:val="left"/>
        <w:rPr>
          <w:rFonts w:ascii="Franklin Gothic Medium" w:hAnsi="Franklin Gothic Medium"/>
          <w:u w:val="words"/>
        </w:rPr>
      </w:pPr>
      <w:r w:rsidRPr="0027013D">
        <w:rPr>
          <w:rFonts w:ascii="Franklin Gothic Medium" w:hAnsi="Franklin Gothic Medium"/>
          <w:u w:val="words"/>
        </w:rPr>
        <w:t>Figures</w:t>
      </w:r>
    </w:p>
    <w:p w14:paraId="62E69600" w14:textId="77777777" w:rsidR="00AE1860" w:rsidRDefault="00AE1860" w:rsidP="0027013D">
      <w:pPr>
        <w:pStyle w:val="C2-CtrSglSp"/>
        <w:jc w:val="left"/>
        <w:rPr>
          <w:rFonts w:ascii="Franklin Gothic Medium" w:hAnsi="Franklin Gothic Medium"/>
          <w:u w:val="words"/>
        </w:rPr>
      </w:pPr>
    </w:p>
    <w:p w14:paraId="3D1265E8" w14:textId="6EEBA77D" w:rsidR="005F75FC" w:rsidRPr="00970680" w:rsidRDefault="005F75FC" w:rsidP="005F75FC">
      <w:pPr>
        <w:pStyle w:val="TOC5"/>
        <w:rPr>
          <w:rFonts w:eastAsiaTheme="minorEastAsia"/>
        </w:rPr>
      </w:pPr>
      <w:r w:rsidRPr="00970680">
        <w:t>A2-1</w:t>
      </w:r>
      <w:r w:rsidRPr="00970680">
        <w:rPr>
          <w:rFonts w:eastAsiaTheme="minorEastAsia"/>
        </w:rPr>
        <w:tab/>
      </w:r>
      <w:r>
        <w:t>APEC III Data Collection Schedule</w:t>
      </w:r>
      <w:r w:rsidRPr="00970680">
        <w:tab/>
      </w:r>
      <w:r w:rsidR="003B589C">
        <w:tab/>
        <w:t>9</w:t>
      </w:r>
    </w:p>
    <w:p w14:paraId="28FD0538" w14:textId="7B3B376A" w:rsidR="00144CDA" w:rsidRDefault="002255F3" w:rsidP="0027013D">
      <w:pPr>
        <w:pStyle w:val="C2-CtrSglSp"/>
        <w:jc w:val="left"/>
        <w:rPr>
          <w:b/>
        </w:rPr>
      </w:pPr>
      <w:r>
        <w:rPr>
          <w:rFonts w:ascii="Franklin Gothic Medium" w:hAnsi="Franklin Gothic Medium"/>
          <w:u w:val="words"/>
        </w:rPr>
        <w:br w:type="page"/>
      </w:r>
      <w:r w:rsidR="00144CDA" w:rsidRPr="008D3EB6">
        <w:rPr>
          <w:b/>
        </w:rPr>
        <w:t xml:space="preserve">LIST OF APPENDICES TO </w:t>
      </w:r>
      <w:r w:rsidR="00C16198" w:rsidRPr="008D3EB6">
        <w:rPr>
          <w:b/>
        </w:rPr>
        <w:t>APEC III</w:t>
      </w:r>
      <w:r w:rsidR="00144CDA" w:rsidRPr="008D3EB6">
        <w:rPr>
          <w:b/>
        </w:rPr>
        <w:t xml:space="preserve"> </w:t>
      </w:r>
      <w:r w:rsidR="00F15490" w:rsidRPr="008D3EB6">
        <w:rPr>
          <w:b/>
        </w:rPr>
        <w:t>OMB SUPPORTING STATEMENT</w:t>
      </w:r>
    </w:p>
    <w:p w14:paraId="0DBE0EA9" w14:textId="77777777" w:rsidR="00D5560D" w:rsidRPr="008D3EB6" w:rsidRDefault="00D5560D" w:rsidP="008D3EB6">
      <w:pPr>
        <w:pStyle w:val="C2-CtrSglSp"/>
        <w:rPr>
          <w:b/>
        </w:rPr>
      </w:pPr>
    </w:p>
    <w:p w14:paraId="4F4530A7" w14:textId="77777777" w:rsidR="008D3EB6" w:rsidRDefault="008D3EB6" w:rsidP="008D3EB6">
      <w:pPr>
        <w:pStyle w:val="T0-ChapPgHd"/>
      </w:pPr>
      <w:r>
        <w:t>Appendix</w:t>
      </w:r>
    </w:p>
    <w:p w14:paraId="2C68468B" w14:textId="77777777" w:rsidR="008D3EB6" w:rsidRPr="00F15490" w:rsidRDefault="008D3EB6" w:rsidP="008D3EB6">
      <w:pPr>
        <w:pStyle w:val="T0-ChapPgHd"/>
      </w:pPr>
    </w:p>
    <w:p w14:paraId="37670E19" w14:textId="77777777" w:rsidR="00E05528" w:rsidRPr="00D5560D" w:rsidRDefault="008D3EB6" w:rsidP="008D3EB6">
      <w:pPr>
        <w:pStyle w:val="TOC1"/>
        <w:rPr>
          <w:b/>
        </w:rPr>
      </w:pPr>
      <w:r w:rsidRPr="00D5560D">
        <w:rPr>
          <w:b/>
        </w:rPr>
        <w:t>A</w:t>
      </w:r>
      <w:r w:rsidRPr="00D5560D">
        <w:rPr>
          <w:b/>
        </w:rPr>
        <w:tab/>
        <w:t>Applicable Statutes, Regulations</w:t>
      </w:r>
      <w:r w:rsidR="00DA1BFF">
        <w:rPr>
          <w:b/>
        </w:rPr>
        <w:t>,</w:t>
      </w:r>
      <w:r w:rsidRPr="00D5560D">
        <w:rPr>
          <w:b/>
        </w:rPr>
        <w:t xml:space="preserve"> </w:t>
      </w:r>
      <w:r w:rsidR="007D297C" w:rsidRPr="00D5560D">
        <w:rPr>
          <w:b/>
        </w:rPr>
        <w:t>and</w:t>
      </w:r>
      <w:r w:rsidRPr="00D5560D">
        <w:rPr>
          <w:b/>
        </w:rPr>
        <w:t xml:space="preserve"> Reference Documents</w:t>
      </w:r>
    </w:p>
    <w:p w14:paraId="0794B97D" w14:textId="77777777" w:rsidR="008D3EB6" w:rsidRPr="00132FCE" w:rsidRDefault="008D3EB6" w:rsidP="008D3EB6">
      <w:pPr>
        <w:pStyle w:val="TOC1"/>
        <w:rPr>
          <w:b/>
        </w:rPr>
      </w:pPr>
    </w:p>
    <w:p w14:paraId="6F9CB32B" w14:textId="77777777" w:rsidR="00E05528" w:rsidRPr="00C643C0" w:rsidRDefault="00E05528" w:rsidP="00C80B79">
      <w:pPr>
        <w:pStyle w:val="SP-SglSpPara"/>
        <w:ind w:left="1440" w:hanging="864"/>
      </w:pPr>
      <w:r w:rsidRPr="00C643C0">
        <w:t>A1.</w:t>
      </w:r>
      <w:r w:rsidRPr="00C643C0">
        <w:tab/>
      </w:r>
      <w:r w:rsidR="008D3EB6" w:rsidRPr="004E041D">
        <w:rPr>
          <w:rFonts w:eastAsia="Calibri" w:cs="NewCenturySchlbk-Bold"/>
          <w:bCs/>
        </w:rPr>
        <w:t>Richard B. Russell National School Lunch Act</w:t>
      </w:r>
      <w:r w:rsidR="008D3EB6" w:rsidRPr="004E041D">
        <w:rPr>
          <w:rFonts w:eastAsia="Calibri" w:cs="NewCenturySchlbk-Bold"/>
          <w:b/>
          <w:bCs/>
        </w:rPr>
        <w:t xml:space="preserve"> </w:t>
      </w:r>
      <w:r w:rsidR="008D3EB6" w:rsidRPr="004E041D">
        <w:rPr>
          <w:rFonts w:eastAsia="Calibri"/>
        </w:rPr>
        <w:t>(as amended through P.L. 113–79, Enacted February 07, 2014)</w:t>
      </w:r>
    </w:p>
    <w:p w14:paraId="699272C1" w14:textId="77777777" w:rsidR="00E05528" w:rsidRPr="00C643C0" w:rsidRDefault="00E05528" w:rsidP="001D29F8">
      <w:pPr>
        <w:pStyle w:val="SP-SglSpPara"/>
      </w:pPr>
      <w:r w:rsidRPr="00C643C0">
        <w:t>A2.</w:t>
      </w:r>
      <w:r w:rsidRPr="00C643C0">
        <w:tab/>
      </w:r>
      <w:r w:rsidR="008D3EB6" w:rsidRPr="00C643C0">
        <w:t xml:space="preserve">Improper Payments Information Act </w:t>
      </w:r>
      <w:r w:rsidR="0069192E">
        <w:t xml:space="preserve">(IPIA) </w:t>
      </w:r>
      <w:r w:rsidR="008D3EB6" w:rsidRPr="00C643C0">
        <w:t xml:space="preserve">of </w:t>
      </w:r>
      <w:r w:rsidRPr="00C643C0">
        <w:t>2002 (P.L. 107-300)</w:t>
      </w:r>
    </w:p>
    <w:p w14:paraId="324932F3" w14:textId="77777777" w:rsidR="001D29F8" w:rsidRDefault="00E05528" w:rsidP="001D29F8">
      <w:pPr>
        <w:pStyle w:val="SP-SglSpPara"/>
      </w:pPr>
      <w:r w:rsidRPr="00C643C0">
        <w:t>A3.</w:t>
      </w:r>
      <w:r w:rsidR="008D3EB6">
        <w:tab/>
      </w:r>
      <w:r w:rsidR="009F0400">
        <w:t xml:space="preserve">2009 </w:t>
      </w:r>
      <w:r w:rsidR="008D3EB6" w:rsidRPr="00C643C0">
        <w:t xml:space="preserve">Executive Order </w:t>
      </w:r>
      <w:r w:rsidRPr="00C643C0">
        <w:t>13520—</w:t>
      </w:r>
      <w:r w:rsidR="008D3EB6" w:rsidRPr="00C643C0">
        <w:t>Reducing Improper Payments</w:t>
      </w:r>
    </w:p>
    <w:p w14:paraId="3D347024" w14:textId="77777777" w:rsidR="00E05528" w:rsidRPr="00C643C0" w:rsidRDefault="00E05528" w:rsidP="001D29F8">
      <w:pPr>
        <w:pStyle w:val="SP-SglSpPara"/>
      </w:pPr>
      <w:r w:rsidRPr="00C643C0">
        <w:t>A4.</w:t>
      </w:r>
      <w:r w:rsidRPr="00C643C0">
        <w:tab/>
      </w:r>
      <w:r w:rsidR="008D3EB6" w:rsidRPr="00C643C0">
        <w:t xml:space="preserve">Improper Payments Elimination and Recovery Act </w:t>
      </w:r>
      <w:r w:rsidRPr="00C643C0">
        <w:t xml:space="preserve">(IPERA) </w:t>
      </w:r>
      <w:r w:rsidR="008D3EB6" w:rsidRPr="00C643C0">
        <w:t xml:space="preserve">of </w:t>
      </w:r>
      <w:r w:rsidRPr="00C643C0">
        <w:t>2010 (P.L. 111-204)</w:t>
      </w:r>
    </w:p>
    <w:p w14:paraId="1FBEE315" w14:textId="77777777" w:rsidR="00E05528" w:rsidRPr="00C643C0" w:rsidRDefault="001D29F8" w:rsidP="00C80B79">
      <w:pPr>
        <w:pStyle w:val="SP-SglSpPara"/>
        <w:ind w:left="1440" w:hanging="864"/>
      </w:pPr>
      <w:r>
        <w:t>A5.</w:t>
      </w:r>
      <w:r>
        <w:tab/>
      </w:r>
      <w:r w:rsidR="008D3EB6" w:rsidRPr="00C643C0">
        <w:t xml:space="preserve">Improper Payments Elimination and Recovery Improvement Act </w:t>
      </w:r>
      <w:r w:rsidR="00E05528" w:rsidRPr="00C643C0">
        <w:t xml:space="preserve">(IPERIA) </w:t>
      </w:r>
      <w:r w:rsidR="008D3EB6" w:rsidRPr="00C643C0">
        <w:t xml:space="preserve">of </w:t>
      </w:r>
      <w:r w:rsidR="00E05528" w:rsidRPr="00C643C0">
        <w:t>2012 (P.L. 112-248)</w:t>
      </w:r>
    </w:p>
    <w:p w14:paraId="791A5379" w14:textId="77777777" w:rsidR="00E05528" w:rsidRPr="00C643C0" w:rsidRDefault="00E05528" w:rsidP="00C80B79">
      <w:pPr>
        <w:pStyle w:val="SP-SglSpPara"/>
        <w:ind w:left="1440" w:hanging="864"/>
      </w:pPr>
      <w:r w:rsidRPr="00C643C0">
        <w:t>A6.</w:t>
      </w:r>
      <w:r w:rsidRPr="00C643C0">
        <w:tab/>
      </w:r>
      <w:r w:rsidR="008D3EB6" w:rsidRPr="00C643C0">
        <w:t xml:space="preserve">Office of Inspector General </w:t>
      </w:r>
      <w:r w:rsidRPr="00C643C0">
        <w:t>(OIG) USDA</w:t>
      </w:r>
      <w:r w:rsidR="001D29F8">
        <w:t>’</w:t>
      </w:r>
      <w:r w:rsidRPr="00C643C0">
        <w:t xml:space="preserve">S FY 2014 </w:t>
      </w:r>
      <w:r w:rsidR="008D3EB6" w:rsidRPr="00C643C0">
        <w:t>Compliance With Improper Payment Requirements</w:t>
      </w:r>
    </w:p>
    <w:p w14:paraId="06474C43" w14:textId="2CFF447F" w:rsidR="00482A02" w:rsidRDefault="00482A02" w:rsidP="00482A02">
      <w:pPr>
        <w:pStyle w:val="SP-SglSpPara"/>
        <w:ind w:left="1440" w:hanging="864"/>
      </w:pPr>
      <w:r w:rsidRPr="00C643C0">
        <w:t>A</w:t>
      </w:r>
      <w:r>
        <w:t>7</w:t>
      </w:r>
      <w:r w:rsidRPr="00C643C0">
        <w:t>.</w:t>
      </w:r>
      <w:r w:rsidRPr="00C643C0">
        <w:tab/>
        <w:t xml:space="preserve">M-15-02 – Appendix C to Circular No. A-123, </w:t>
      </w:r>
      <w:r w:rsidRPr="009275D2">
        <w:rPr>
          <w:i/>
        </w:rPr>
        <w:t>Requirements for Effective Estimation and Remediation of Improper Payments</w:t>
      </w:r>
    </w:p>
    <w:p w14:paraId="020147AA" w14:textId="57F380C5" w:rsidR="001D29F8" w:rsidRDefault="00E05528" w:rsidP="001D29F8">
      <w:pPr>
        <w:pStyle w:val="SP-SglSpPara"/>
      </w:pPr>
      <w:r w:rsidRPr="00C643C0">
        <w:t>A</w:t>
      </w:r>
      <w:r w:rsidR="00482A02">
        <w:t>8</w:t>
      </w:r>
      <w:r w:rsidRPr="00C643C0">
        <w:t>.</w:t>
      </w:r>
      <w:r w:rsidRPr="00C643C0">
        <w:tab/>
        <w:t xml:space="preserve">FNS FY 2014 </w:t>
      </w:r>
      <w:r w:rsidR="00D13E24" w:rsidRPr="00C643C0">
        <w:t>Research and Evaluation Plan</w:t>
      </w:r>
    </w:p>
    <w:p w14:paraId="0626FE3B" w14:textId="339FEE18" w:rsidR="00E05528" w:rsidRPr="00C643C0" w:rsidRDefault="00E05528" w:rsidP="001D29F8">
      <w:pPr>
        <w:pStyle w:val="SP-SglSpPara"/>
      </w:pPr>
      <w:r w:rsidRPr="00C643C0">
        <w:t>A</w:t>
      </w:r>
      <w:r w:rsidR="00482A02">
        <w:t>9</w:t>
      </w:r>
      <w:r w:rsidRPr="00C643C0">
        <w:t>.</w:t>
      </w:r>
      <w:r w:rsidR="00D13E24">
        <w:tab/>
      </w:r>
      <w:r w:rsidR="00D13E24" w:rsidRPr="00C643C0">
        <w:t>Healthy Hunger-Free Kids Act</w:t>
      </w:r>
      <w:r w:rsidRPr="00C643C0">
        <w:t xml:space="preserve"> 2010 (P.L. 111-296)</w:t>
      </w:r>
    </w:p>
    <w:p w14:paraId="4676EE3B" w14:textId="77777777" w:rsidR="00E05528" w:rsidRDefault="00E05528" w:rsidP="001D29F8">
      <w:pPr>
        <w:pStyle w:val="SP-SglSpPara"/>
      </w:pPr>
    </w:p>
    <w:p w14:paraId="5B9E2151" w14:textId="77777777" w:rsidR="00E05528" w:rsidRPr="00D5560D" w:rsidRDefault="00E05528" w:rsidP="00D13E24">
      <w:pPr>
        <w:pStyle w:val="TOC5"/>
        <w:rPr>
          <w:b/>
        </w:rPr>
      </w:pPr>
      <w:r w:rsidRPr="00D5560D">
        <w:rPr>
          <w:b/>
        </w:rPr>
        <w:t>B</w:t>
      </w:r>
      <w:r w:rsidRPr="00D5560D">
        <w:rPr>
          <w:b/>
        </w:rPr>
        <w:tab/>
        <w:t>SFA/</w:t>
      </w:r>
      <w:r w:rsidR="00D13E24" w:rsidRPr="00D5560D">
        <w:rPr>
          <w:b/>
        </w:rPr>
        <w:t>State Data Collection</w:t>
      </w:r>
      <w:r w:rsidR="00D13E24" w:rsidRPr="00D5560D">
        <w:rPr>
          <w:b/>
          <w:i/>
        </w:rPr>
        <w:t xml:space="preserve"> </w:t>
      </w:r>
      <w:r w:rsidR="00D13E24" w:rsidRPr="00D5560D">
        <w:rPr>
          <w:b/>
        </w:rPr>
        <w:t>Forms</w:t>
      </w:r>
    </w:p>
    <w:p w14:paraId="5C70F458" w14:textId="77777777" w:rsidR="00E05528" w:rsidRDefault="00E05528" w:rsidP="00E05528">
      <w:pPr>
        <w:tabs>
          <w:tab w:val="left" w:pos="432"/>
        </w:tabs>
        <w:spacing w:line="240" w:lineRule="auto"/>
        <w:ind w:left="1800" w:hanging="1800"/>
        <w:rPr>
          <w:rFonts w:ascii="Lucida Sans" w:hAnsi="Lucida Sans"/>
          <w:sz w:val="22"/>
          <w:szCs w:val="22"/>
        </w:rPr>
      </w:pPr>
    </w:p>
    <w:p w14:paraId="745ABE97" w14:textId="6076AE7B" w:rsidR="001D29F8" w:rsidRDefault="00E05528" w:rsidP="001D29F8">
      <w:pPr>
        <w:pStyle w:val="SP-SglSpPara"/>
      </w:pPr>
      <w:r>
        <w:t>B1</w:t>
      </w:r>
      <w:r w:rsidRPr="00894F71">
        <w:t>.</w:t>
      </w:r>
      <w:r w:rsidR="00D13E24">
        <w:tab/>
      </w:r>
      <w:r w:rsidRPr="00894F71">
        <w:t xml:space="preserve">SFA </w:t>
      </w:r>
      <w:r w:rsidR="00D13E24" w:rsidRPr="00894F71">
        <w:t xml:space="preserve">Request for </w:t>
      </w:r>
      <w:r w:rsidR="00D13E24">
        <w:t>E-Records</w:t>
      </w:r>
      <w:r w:rsidR="00B516C2">
        <w:t xml:space="preserve"> (</w:t>
      </w:r>
      <w:r w:rsidR="00D13E24">
        <w:t>Non</w:t>
      </w:r>
      <w:r w:rsidR="00B516C2">
        <w:t xml:space="preserve">-CEP </w:t>
      </w:r>
      <w:r w:rsidR="00A10A57">
        <w:t xml:space="preserve">Schools </w:t>
      </w:r>
      <w:r w:rsidR="00D13E24">
        <w:t xml:space="preserve">for </w:t>
      </w:r>
      <w:r w:rsidR="00A10A57">
        <w:t>Household Sampling)</w:t>
      </w:r>
    </w:p>
    <w:p w14:paraId="584E92E7" w14:textId="705E62F1" w:rsidR="001D29F8" w:rsidRDefault="00E05528" w:rsidP="001D29F8">
      <w:pPr>
        <w:pStyle w:val="SP-SglSpPara"/>
      </w:pPr>
      <w:r>
        <w:t>B2</w:t>
      </w:r>
      <w:r w:rsidRPr="00894F71">
        <w:t>.</w:t>
      </w:r>
      <w:r w:rsidR="00D13E24">
        <w:tab/>
      </w:r>
      <w:r w:rsidRPr="00894F71">
        <w:t xml:space="preserve">SFA </w:t>
      </w:r>
      <w:r w:rsidR="00D5560D" w:rsidRPr="00894F71">
        <w:t xml:space="preserve">Reminder for </w:t>
      </w:r>
      <w:r w:rsidR="00D5560D">
        <w:t>E-Records</w:t>
      </w:r>
      <w:r w:rsidR="00B516C2">
        <w:t xml:space="preserve"> (</w:t>
      </w:r>
      <w:r w:rsidR="00D5560D">
        <w:t>Non</w:t>
      </w:r>
      <w:r w:rsidR="00B516C2">
        <w:t xml:space="preserve">-CEP </w:t>
      </w:r>
      <w:r w:rsidR="00A10A57">
        <w:t xml:space="preserve">Schools </w:t>
      </w:r>
      <w:r w:rsidR="00D5560D">
        <w:t xml:space="preserve">for </w:t>
      </w:r>
      <w:r w:rsidR="00A10A57">
        <w:t>Household Sampling)</w:t>
      </w:r>
    </w:p>
    <w:p w14:paraId="59667F0F" w14:textId="38B6E841" w:rsidR="001D29F8" w:rsidRDefault="00E05528" w:rsidP="001D29F8">
      <w:pPr>
        <w:pStyle w:val="SP-SglSpPara"/>
      </w:pPr>
      <w:r>
        <w:t>B3</w:t>
      </w:r>
      <w:r w:rsidR="00D13E24">
        <w:t>.</w:t>
      </w:r>
      <w:r w:rsidR="00D13E24">
        <w:tab/>
      </w:r>
      <w:r w:rsidR="00EA018A">
        <w:t xml:space="preserve">SFA </w:t>
      </w:r>
      <w:r w:rsidR="00D13E24">
        <w:t>Request for E-Records</w:t>
      </w:r>
      <w:r w:rsidR="00EA018A">
        <w:t xml:space="preserve"> (CEP </w:t>
      </w:r>
      <w:r w:rsidR="00A10A57">
        <w:t xml:space="preserve">Schools </w:t>
      </w:r>
      <w:r w:rsidR="00D13E24">
        <w:t>for</w:t>
      </w:r>
      <w:r w:rsidR="00EA018A">
        <w:t xml:space="preserve"> ISP </w:t>
      </w:r>
      <w:r w:rsidR="00A10A57">
        <w:t>Data Abstraction</w:t>
      </w:r>
      <w:r w:rsidR="00D13E24">
        <w:t>)</w:t>
      </w:r>
    </w:p>
    <w:p w14:paraId="4C2545CE" w14:textId="6342DBA4" w:rsidR="001D29F8" w:rsidRDefault="00E05528" w:rsidP="001D29F8">
      <w:pPr>
        <w:pStyle w:val="SP-SglSpPara"/>
      </w:pPr>
      <w:r>
        <w:t>B4</w:t>
      </w:r>
      <w:r w:rsidR="00D13E24">
        <w:t>.</w:t>
      </w:r>
      <w:r w:rsidR="00D13E24">
        <w:tab/>
      </w:r>
      <w:r w:rsidR="00EA018A">
        <w:t xml:space="preserve">SFA </w:t>
      </w:r>
      <w:r w:rsidR="00D13E24">
        <w:t>Reminder for E-Records</w:t>
      </w:r>
      <w:r w:rsidR="00EA018A">
        <w:t xml:space="preserve"> (CEP </w:t>
      </w:r>
      <w:r w:rsidR="00A10A57">
        <w:t xml:space="preserve">Schools </w:t>
      </w:r>
      <w:r w:rsidR="00D13E24">
        <w:t>for</w:t>
      </w:r>
      <w:r w:rsidR="00EA018A">
        <w:t xml:space="preserve"> ISP </w:t>
      </w:r>
      <w:r w:rsidR="00A10A57">
        <w:t>Data Abstraction)</w:t>
      </w:r>
    </w:p>
    <w:p w14:paraId="4CF3C421" w14:textId="77777777" w:rsidR="00D13E24" w:rsidRDefault="00EA018A" w:rsidP="001D29F8">
      <w:pPr>
        <w:pStyle w:val="SP-SglSpPara"/>
      </w:pPr>
      <w:r>
        <w:t>B5</w:t>
      </w:r>
      <w:r w:rsidR="00D13E24">
        <w:t>.</w:t>
      </w:r>
      <w:r w:rsidR="00D13E24">
        <w:tab/>
      </w:r>
      <w:r w:rsidRPr="00894F71">
        <w:t xml:space="preserve">SFA </w:t>
      </w:r>
      <w:r w:rsidR="00D13E24" w:rsidRPr="00894F71">
        <w:t>Pre-Visit Interview</w:t>
      </w:r>
    </w:p>
    <w:p w14:paraId="3EB80D17" w14:textId="77777777" w:rsidR="00D13E24" w:rsidRDefault="00EA018A" w:rsidP="001D29F8">
      <w:pPr>
        <w:pStyle w:val="SP-SglSpPara"/>
      </w:pPr>
      <w:r>
        <w:t>B6</w:t>
      </w:r>
      <w:r w:rsidR="00D13E24">
        <w:t>.</w:t>
      </w:r>
      <w:r w:rsidR="00D13E24">
        <w:tab/>
      </w:r>
      <w:r w:rsidR="00E05528">
        <w:t xml:space="preserve">SFA </w:t>
      </w:r>
      <w:r w:rsidR="00D13E24">
        <w:t>Data Collection Visit Reminder Email</w:t>
      </w:r>
    </w:p>
    <w:p w14:paraId="35DB02CC" w14:textId="77777777" w:rsidR="00D13E24" w:rsidRDefault="00E05528" w:rsidP="001D29F8">
      <w:pPr>
        <w:pStyle w:val="SP-SglSpPara"/>
      </w:pPr>
      <w:r>
        <w:t>B</w:t>
      </w:r>
      <w:r w:rsidR="00EA018A">
        <w:t>7</w:t>
      </w:r>
      <w:r w:rsidR="00D13E24">
        <w:t>.</w:t>
      </w:r>
      <w:r w:rsidR="00D13E24">
        <w:tab/>
      </w:r>
      <w:r w:rsidR="00D13E24" w:rsidRPr="00D1336C">
        <w:t xml:space="preserve">Application </w:t>
      </w:r>
      <w:r w:rsidR="00D13E24">
        <w:t xml:space="preserve">Data </w:t>
      </w:r>
      <w:r w:rsidR="00D13E24" w:rsidRPr="00D1336C">
        <w:t>Abstraction Form</w:t>
      </w:r>
    </w:p>
    <w:p w14:paraId="2E0724FA" w14:textId="77777777" w:rsidR="00D13E24" w:rsidRDefault="00E05528" w:rsidP="001D29F8">
      <w:pPr>
        <w:pStyle w:val="SP-SglSpPara"/>
      </w:pPr>
      <w:r>
        <w:t>B</w:t>
      </w:r>
      <w:r w:rsidR="00EA018A">
        <w:t>8</w:t>
      </w:r>
      <w:r w:rsidR="00D13E24">
        <w:t>.</w:t>
      </w:r>
      <w:r w:rsidR="00D13E24">
        <w:tab/>
        <w:t xml:space="preserve">Round </w:t>
      </w:r>
      <w:r>
        <w:t xml:space="preserve">2 &amp; 3 </w:t>
      </w:r>
      <w:r w:rsidR="00D13E24">
        <w:t>Application Data Abstraction Scheduling Email</w:t>
      </w:r>
    </w:p>
    <w:p w14:paraId="63224EA1" w14:textId="77777777" w:rsidR="00D13E24" w:rsidRDefault="00E05528" w:rsidP="001D29F8">
      <w:pPr>
        <w:pStyle w:val="SP-SglSpPara"/>
      </w:pPr>
      <w:r>
        <w:t>B</w:t>
      </w:r>
      <w:r w:rsidR="00EA018A">
        <w:t>9</w:t>
      </w:r>
      <w:r w:rsidR="00D13E24">
        <w:t>.</w:t>
      </w:r>
      <w:r w:rsidR="00D13E24">
        <w:tab/>
      </w:r>
      <w:r>
        <w:t xml:space="preserve">SFA </w:t>
      </w:r>
      <w:r w:rsidR="00D13E24">
        <w:t>Reimbursement Claim Verification Form</w:t>
      </w:r>
      <w:r w:rsidR="00F76C48">
        <w:t>―</w:t>
      </w:r>
      <w:r w:rsidR="00D13E24">
        <w:t>Sampled Schools</w:t>
      </w:r>
    </w:p>
    <w:p w14:paraId="362F5F17" w14:textId="77777777" w:rsidR="00D13E24" w:rsidRDefault="00E05528" w:rsidP="001D29F8">
      <w:pPr>
        <w:pStyle w:val="SP-SglSpPara"/>
      </w:pPr>
      <w:r>
        <w:t>B</w:t>
      </w:r>
      <w:r w:rsidR="00EA018A">
        <w:t>10</w:t>
      </w:r>
      <w:r w:rsidR="00D13E24">
        <w:t>.</w:t>
      </w:r>
      <w:r w:rsidR="00D13E24">
        <w:tab/>
      </w:r>
      <w:r>
        <w:t xml:space="preserve">SFA </w:t>
      </w:r>
      <w:r w:rsidR="00D13E24">
        <w:t xml:space="preserve">Reimbursement Consolidation </w:t>
      </w:r>
      <w:r w:rsidR="007D297C">
        <w:t>and</w:t>
      </w:r>
      <w:r w:rsidR="00D13E24">
        <w:t xml:space="preserve"> Claim Verification Form</w:t>
      </w:r>
      <w:r w:rsidR="00F76C48">
        <w:t>―</w:t>
      </w:r>
      <w:r w:rsidR="00D13E24">
        <w:t>All Schools</w:t>
      </w:r>
    </w:p>
    <w:p w14:paraId="525FBEB6" w14:textId="77777777" w:rsidR="001D29F8" w:rsidRDefault="00E05528" w:rsidP="001D29F8">
      <w:pPr>
        <w:pStyle w:val="SP-SglSpPara"/>
      </w:pPr>
      <w:r>
        <w:t>B1</w:t>
      </w:r>
      <w:r w:rsidR="00EA018A">
        <w:t>1</w:t>
      </w:r>
      <w:r w:rsidR="00D13E24">
        <w:t>.</w:t>
      </w:r>
      <w:r w:rsidR="00D13E24">
        <w:tab/>
      </w:r>
      <w:r>
        <w:t xml:space="preserve">SFA </w:t>
      </w:r>
      <w:r w:rsidR="00D13E24">
        <w:t>Director Survey (web based)</w:t>
      </w:r>
    </w:p>
    <w:p w14:paraId="3E241F4A" w14:textId="77777777" w:rsidR="001D29F8" w:rsidRDefault="00E05528" w:rsidP="001D29F8">
      <w:pPr>
        <w:pStyle w:val="SP-SglSpPara"/>
      </w:pPr>
      <w:r>
        <w:t>B1</w:t>
      </w:r>
      <w:r w:rsidR="00EA018A">
        <w:t>2</w:t>
      </w:r>
      <w:r w:rsidR="00D13E24">
        <w:t>.</w:t>
      </w:r>
      <w:r w:rsidR="00D13E24">
        <w:tab/>
      </w:r>
      <w:r>
        <w:t xml:space="preserve">SFA </w:t>
      </w:r>
      <w:r w:rsidR="00D13E24">
        <w:t>Director Interview (by phone)</w:t>
      </w:r>
    </w:p>
    <w:p w14:paraId="0AD12530" w14:textId="77777777" w:rsidR="00D13E24" w:rsidRDefault="00E05528" w:rsidP="001D29F8">
      <w:pPr>
        <w:pStyle w:val="SP-SglSpPara"/>
      </w:pPr>
      <w:r>
        <w:t>B1</w:t>
      </w:r>
      <w:r w:rsidR="00EA018A">
        <w:t>3</w:t>
      </w:r>
      <w:r w:rsidR="00D13E24">
        <w:t>.</w:t>
      </w:r>
      <w:r w:rsidR="00D13E24">
        <w:tab/>
      </w:r>
      <w:r>
        <w:t xml:space="preserve">SFA </w:t>
      </w:r>
      <w:r w:rsidR="00D13E24">
        <w:t>Meal Participation Data Request</w:t>
      </w:r>
    </w:p>
    <w:p w14:paraId="148C6AF9" w14:textId="5F0146F0" w:rsidR="00D13E24" w:rsidRDefault="00E05528" w:rsidP="001D29F8">
      <w:pPr>
        <w:pStyle w:val="SP-SglSpPara"/>
      </w:pPr>
      <w:r>
        <w:t>B1</w:t>
      </w:r>
      <w:r w:rsidR="00EA018A">
        <w:t>4</w:t>
      </w:r>
      <w:r w:rsidR="00D13E24">
        <w:t>.</w:t>
      </w:r>
      <w:r w:rsidR="00D13E24">
        <w:tab/>
        <w:t xml:space="preserve">State Meal Claim </w:t>
      </w:r>
      <w:r w:rsidR="00F07B64">
        <w:t xml:space="preserve">Data </w:t>
      </w:r>
      <w:r w:rsidR="00D13E24">
        <w:t>Request</w:t>
      </w:r>
    </w:p>
    <w:p w14:paraId="69F07F56" w14:textId="77777777" w:rsidR="00D13E24" w:rsidRDefault="00D13E24" w:rsidP="001D29F8">
      <w:pPr>
        <w:pStyle w:val="SP-SglSpPara"/>
      </w:pPr>
    </w:p>
    <w:p w14:paraId="4A51FEE0" w14:textId="77777777" w:rsidR="00E05528" w:rsidRPr="00D5560D" w:rsidRDefault="00E05528" w:rsidP="00D13E24">
      <w:pPr>
        <w:pStyle w:val="TOC1"/>
        <w:rPr>
          <w:b/>
        </w:rPr>
      </w:pPr>
      <w:r w:rsidRPr="00D5560D">
        <w:rPr>
          <w:b/>
        </w:rPr>
        <w:t>C</w:t>
      </w:r>
      <w:r w:rsidRPr="00D5560D">
        <w:rPr>
          <w:b/>
        </w:rPr>
        <w:tab/>
      </w:r>
      <w:r w:rsidR="00D13E24" w:rsidRPr="00D5560D">
        <w:rPr>
          <w:b/>
        </w:rPr>
        <w:t>School Data Collection Forms</w:t>
      </w:r>
    </w:p>
    <w:p w14:paraId="46ABC226" w14:textId="77777777" w:rsidR="00E05528" w:rsidRDefault="00E05528" w:rsidP="001D29F8">
      <w:pPr>
        <w:pStyle w:val="SP-SglSpPara"/>
      </w:pPr>
    </w:p>
    <w:p w14:paraId="4643FF6D" w14:textId="77777777" w:rsidR="001D29F8" w:rsidRDefault="00E05528" w:rsidP="001D29F8">
      <w:pPr>
        <w:pStyle w:val="SP-SglSpPara"/>
      </w:pPr>
      <w:r>
        <w:t>C1.</w:t>
      </w:r>
      <w:r w:rsidR="00D5560D">
        <w:tab/>
        <w:t>School</w:t>
      </w:r>
      <w:r w:rsidR="00D5560D" w:rsidRPr="00D1336C">
        <w:t xml:space="preserve"> Pre-Visit Interview</w:t>
      </w:r>
    </w:p>
    <w:p w14:paraId="39AAC759" w14:textId="77777777" w:rsidR="00E05528" w:rsidRDefault="00E05528" w:rsidP="001D29F8">
      <w:pPr>
        <w:pStyle w:val="SP-SglSpPara"/>
      </w:pPr>
      <w:r>
        <w:t>C2.</w:t>
      </w:r>
      <w:r w:rsidR="00D5560D">
        <w:tab/>
        <w:t>School Data Collection Visit Reminder Email</w:t>
      </w:r>
    </w:p>
    <w:p w14:paraId="67AE777F" w14:textId="77777777" w:rsidR="00E05528" w:rsidRDefault="00E05528" w:rsidP="001D29F8">
      <w:pPr>
        <w:pStyle w:val="SP-SglSpPara"/>
      </w:pPr>
      <w:r>
        <w:t>C3.</w:t>
      </w:r>
      <w:r w:rsidR="00D5560D">
        <w:tab/>
        <w:t>Meal Transaction Observation Form</w:t>
      </w:r>
    </w:p>
    <w:p w14:paraId="2B2B3EFF" w14:textId="77777777" w:rsidR="00E05528" w:rsidRDefault="00D5560D" w:rsidP="001D29F8">
      <w:pPr>
        <w:pStyle w:val="SP-SglSpPara"/>
      </w:pPr>
      <w:r>
        <w:t>C4.</w:t>
      </w:r>
      <w:r>
        <w:tab/>
        <w:t>Example of Meal Transaction Sampling</w:t>
      </w:r>
    </w:p>
    <w:p w14:paraId="351C79C7" w14:textId="77777777" w:rsidR="00E05528" w:rsidRDefault="00D5560D" w:rsidP="001D29F8">
      <w:pPr>
        <w:pStyle w:val="SP-SglSpPara"/>
      </w:pPr>
      <w:r>
        <w:t>C5.</w:t>
      </w:r>
      <w:r>
        <w:tab/>
        <w:t>Cafeteria Manager Interview</w:t>
      </w:r>
    </w:p>
    <w:p w14:paraId="2078A987" w14:textId="77777777" w:rsidR="001D29F8" w:rsidRDefault="00E05528" w:rsidP="001D29F8">
      <w:pPr>
        <w:pStyle w:val="SP-SglSpPara"/>
      </w:pPr>
      <w:r>
        <w:t>C6.</w:t>
      </w:r>
      <w:r w:rsidR="00D5560D">
        <w:tab/>
        <w:t>School Meal Count Verification Form</w:t>
      </w:r>
    </w:p>
    <w:p w14:paraId="04AD7E54" w14:textId="77777777" w:rsidR="001D29F8" w:rsidRDefault="001D29F8" w:rsidP="001D29F8">
      <w:pPr>
        <w:spacing w:line="240" w:lineRule="auto"/>
        <w:rPr>
          <w:szCs w:val="22"/>
        </w:rPr>
      </w:pPr>
      <w:r>
        <w:br w:type="page"/>
      </w:r>
    </w:p>
    <w:p w14:paraId="0ED407FA" w14:textId="77777777" w:rsidR="001D29F8" w:rsidRDefault="001D29F8" w:rsidP="001D29F8">
      <w:pPr>
        <w:pStyle w:val="C2-CtrSglSp"/>
        <w:rPr>
          <w:b/>
        </w:rPr>
      </w:pPr>
      <w:r w:rsidRPr="008D3EB6">
        <w:rPr>
          <w:b/>
        </w:rPr>
        <w:t>LIST OF APPENDICES TO APEC III OMB SUPPORTING STATEMENT</w:t>
      </w:r>
      <w:r>
        <w:rPr>
          <w:b/>
        </w:rPr>
        <w:t xml:space="preserve"> (continued)</w:t>
      </w:r>
    </w:p>
    <w:p w14:paraId="7742C2C8" w14:textId="77777777" w:rsidR="001D29F8" w:rsidRPr="008D3EB6" w:rsidRDefault="001D29F8" w:rsidP="001D29F8">
      <w:pPr>
        <w:pStyle w:val="C2-CtrSglSp"/>
        <w:rPr>
          <w:b/>
        </w:rPr>
      </w:pPr>
    </w:p>
    <w:p w14:paraId="57375F00" w14:textId="77777777" w:rsidR="001D29F8" w:rsidRDefault="001D29F8" w:rsidP="001D29F8">
      <w:pPr>
        <w:pStyle w:val="T0-ChapPgHd"/>
      </w:pPr>
      <w:r>
        <w:t>Appendix</w:t>
      </w:r>
    </w:p>
    <w:p w14:paraId="02447605" w14:textId="77777777" w:rsidR="001D29F8" w:rsidRPr="00F15490" w:rsidRDefault="001D29F8" w:rsidP="001D29F8">
      <w:pPr>
        <w:pStyle w:val="T0-ChapPgHd"/>
      </w:pPr>
    </w:p>
    <w:p w14:paraId="17704A54" w14:textId="77777777" w:rsidR="00E05528" w:rsidRPr="00D5560D" w:rsidRDefault="00E05528" w:rsidP="00D5560D">
      <w:pPr>
        <w:pStyle w:val="TOC1"/>
        <w:rPr>
          <w:b/>
        </w:rPr>
      </w:pPr>
      <w:r w:rsidRPr="00D5560D">
        <w:rPr>
          <w:b/>
        </w:rPr>
        <w:t>D</w:t>
      </w:r>
      <w:r w:rsidRPr="00D5560D">
        <w:rPr>
          <w:b/>
        </w:rPr>
        <w:tab/>
      </w:r>
      <w:r w:rsidR="00D5560D" w:rsidRPr="00D5560D">
        <w:rPr>
          <w:b/>
        </w:rPr>
        <w:t>Household Data Collection Forms</w:t>
      </w:r>
    </w:p>
    <w:p w14:paraId="49E027F3" w14:textId="77777777" w:rsidR="00E05528" w:rsidRPr="00D5560D" w:rsidRDefault="00E05528" w:rsidP="001D29F8">
      <w:pPr>
        <w:pStyle w:val="SP-SglSpPara"/>
      </w:pPr>
    </w:p>
    <w:p w14:paraId="37695EEF" w14:textId="77777777" w:rsidR="001D29F8" w:rsidRDefault="00E05528" w:rsidP="001D29F8">
      <w:pPr>
        <w:pStyle w:val="SP-SglSpPara"/>
      </w:pPr>
      <w:r>
        <w:t>D1.</w:t>
      </w:r>
      <w:r w:rsidR="00D5560D">
        <w:tab/>
        <w:t xml:space="preserve">Household Survey </w:t>
      </w:r>
      <w:r w:rsidR="00D5560D" w:rsidRPr="00D1336C">
        <w:t>Appointment Reminder Letter</w:t>
      </w:r>
    </w:p>
    <w:p w14:paraId="606BBF81" w14:textId="77777777" w:rsidR="00E05528" w:rsidRPr="00D1336C" w:rsidRDefault="00E05528" w:rsidP="001D29F8">
      <w:pPr>
        <w:pStyle w:val="SP-SglSpPara"/>
      </w:pPr>
      <w:r>
        <w:t>D2.</w:t>
      </w:r>
      <w:r w:rsidR="00D5560D">
        <w:tab/>
        <w:t xml:space="preserve">Household Survey </w:t>
      </w:r>
      <w:r w:rsidR="00D5560D" w:rsidRPr="00132FCE">
        <w:t>Appointment</w:t>
      </w:r>
      <w:r w:rsidR="00D5560D">
        <w:t xml:space="preserve"> Reminder Letter</w:t>
      </w:r>
      <w:r w:rsidR="005B10BC">
        <w:t>―</w:t>
      </w:r>
      <w:r w:rsidR="00D5560D">
        <w:t>Spanish</w:t>
      </w:r>
    </w:p>
    <w:p w14:paraId="209E990C" w14:textId="77777777" w:rsidR="001D29F8" w:rsidRDefault="00E05528" w:rsidP="001D29F8">
      <w:pPr>
        <w:pStyle w:val="SP-SglSpPara"/>
      </w:pPr>
      <w:r>
        <w:t>D3</w:t>
      </w:r>
      <w:r w:rsidRPr="00D1336C">
        <w:t>.</w:t>
      </w:r>
      <w:r w:rsidR="00D5560D">
        <w:tab/>
        <w:t>Household</w:t>
      </w:r>
      <w:r w:rsidR="00D5560D" w:rsidRPr="00132FCE">
        <w:t xml:space="preserve"> </w:t>
      </w:r>
      <w:r w:rsidR="00D5560D">
        <w:t xml:space="preserve">Survey </w:t>
      </w:r>
      <w:r w:rsidR="00D5560D" w:rsidRPr="00132FCE">
        <w:t>Income Worksheet</w:t>
      </w:r>
    </w:p>
    <w:p w14:paraId="7F622B63" w14:textId="77777777" w:rsidR="001D29F8" w:rsidRDefault="00E05528" w:rsidP="001D29F8">
      <w:pPr>
        <w:pStyle w:val="SP-SglSpPara"/>
      </w:pPr>
      <w:r>
        <w:t>D</w:t>
      </w:r>
      <w:r w:rsidRPr="00DF20EA">
        <w:t>4.</w:t>
      </w:r>
      <w:r w:rsidR="001D29F8">
        <w:tab/>
      </w:r>
      <w:r w:rsidR="001D29F8" w:rsidRPr="00DF20EA">
        <w:t>Household Survey Income Worksheet</w:t>
      </w:r>
      <w:r w:rsidR="005B10BC">
        <w:t>―</w:t>
      </w:r>
      <w:r w:rsidR="001D29F8" w:rsidRPr="00DF20EA">
        <w:t>Spanish</w:t>
      </w:r>
    </w:p>
    <w:p w14:paraId="7427607C" w14:textId="77777777" w:rsidR="00E05528" w:rsidRPr="00DF20EA" w:rsidRDefault="00E05528" w:rsidP="001D29F8">
      <w:pPr>
        <w:pStyle w:val="SP-SglSpPara"/>
      </w:pPr>
      <w:r>
        <w:t>D5</w:t>
      </w:r>
      <w:r w:rsidRPr="00DF20EA">
        <w:t>.</w:t>
      </w:r>
      <w:r w:rsidR="001D29F8">
        <w:tab/>
      </w:r>
      <w:r w:rsidR="001D29F8" w:rsidRPr="00DF20EA">
        <w:t>Household Survey</w:t>
      </w:r>
    </w:p>
    <w:p w14:paraId="25AD6810" w14:textId="77777777" w:rsidR="001D29F8" w:rsidRDefault="00E05528" w:rsidP="001D29F8">
      <w:pPr>
        <w:pStyle w:val="SP-SglSpPara"/>
      </w:pPr>
      <w:r>
        <w:t>D6</w:t>
      </w:r>
      <w:r w:rsidRPr="00DF20EA">
        <w:t>.</w:t>
      </w:r>
      <w:r w:rsidR="001D29F8">
        <w:tab/>
      </w:r>
      <w:r w:rsidR="001D29F8" w:rsidRPr="00DF20EA">
        <w:t>Household Survey</w:t>
      </w:r>
      <w:r w:rsidR="00254FD7">
        <w:t>―</w:t>
      </w:r>
      <w:r w:rsidR="001D29F8" w:rsidRPr="00DF20EA">
        <w:t>Spanish</w:t>
      </w:r>
    </w:p>
    <w:p w14:paraId="087E00C3" w14:textId="77777777" w:rsidR="00E05528" w:rsidRPr="00DF20EA" w:rsidRDefault="00E05528" w:rsidP="001D29F8">
      <w:pPr>
        <w:pStyle w:val="SP-SglSpPara"/>
      </w:pPr>
      <w:r>
        <w:t>D7</w:t>
      </w:r>
      <w:r w:rsidR="001D29F8">
        <w:t>.</w:t>
      </w:r>
      <w:r w:rsidR="001D29F8">
        <w:tab/>
      </w:r>
      <w:r w:rsidR="001D29F8" w:rsidRPr="00DF20EA">
        <w:t>Household Survey Income Source Show Card</w:t>
      </w:r>
    </w:p>
    <w:p w14:paraId="64EFEF3C" w14:textId="77777777" w:rsidR="001D29F8" w:rsidRDefault="00E05528" w:rsidP="001D29F8">
      <w:pPr>
        <w:pStyle w:val="SP-SglSpPara"/>
      </w:pPr>
      <w:r>
        <w:t>D8</w:t>
      </w:r>
      <w:r w:rsidR="001D29F8">
        <w:t>.</w:t>
      </w:r>
      <w:r w:rsidR="001D29F8">
        <w:tab/>
      </w:r>
      <w:r w:rsidR="001D29F8" w:rsidRPr="00DF20EA">
        <w:t>Household Survey Income Source Show Card</w:t>
      </w:r>
      <w:r w:rsidR="005B10BC">
        <w:t>―</w:t>
      </w:r>
      <w:r w:rsidR="001D29F8" w:rsidRPr="00DF20EA">
        <w:t>Spanish</w:t>
      </w:r>
    </w:p>
    <w:p w14:paraId="63B9CC0D" w14:textId="77777777" w:rsidR="00E05528" w:rsidRDefault="00E05528" w:rsidP="001D29F8">
      <w:pPr>
        <w:pStyle w:val="SP-SglSpPara"/>
      </w:pPr>
      <w:r>
        <w:t>D9</w:t>
      </w:r>
      <w:r w:rsidR="001D29F8">
        <w:t>.</w:t>
      </w:r>
      <w:r w:rsidR="001D29F8">
        <w:tab/>
        <w:t>Household Survey Incentives Received Form</w:t>
      </w:r>
    </w:p>
    <w:p w14:paraId="69D60735" w14:textId="77777777" w:rsidR="001D29F8" w:rsidRDefault="00E05528" w:rsidP="001D29F8">
      <w:pPr>
        <w:pStyle w:val="SP-SglSpPara"/>
      </w:pPr>
      <w:r>
        <w:t>D10</w:t>
      </w:r>
      <w:r w:rsidR="001D29F8">
        <w:t>.</w:t>
      </w:r>
      <w:r w:rsidR="001D29F8">
        <w:tab/>
        <w:t>Household Survey Incentives Received Form</w:t>
      </w:r>
      <w:r w:rsidR="005B10BC">
        <w:t>―</w:t>
      </w:r>
      <w:r w:rsidR="001D29F8">
        <w:t>Spanish</w:t>
      </w:r>
    </w:p>
    <w:p w14:paraId="52DF5917" w14:textId="77777777" w:rsidR="00E05528" w:rsidRDefault="00E05528" w:rsidP="001D29F8">
      <w:pPr>
        <w:pStyle w:val="SP-SglSpPara"/>
      </w:pPr>
      <w:r>
        <w:t>D11</w:t>
      </w:r>
      <w:r w:rsidR="001D29F8">
        <w:t>.</w:t>
      </w:r>
      <w:r w:rsidR="001D29F8">
        <w:tab/>
        <w:t>Household Interview Appointment Reminder Letter</w:t>
      </w:r>
    </w:p>
    <w:p w14:paraId="5D69A337" w14:textId="77777777" w:rsidR="00E05528" w:rsidRDefault="00E05528" w:rsidP="001D29F8">
      <w:pPr>
        <w:pStyle w:val="SP-SglSpPara"/>
      </w:pPr>
      <w:r>
        <w:t>D12</w:t>
      </w:r>
      <w:r w:rsidR="001D29F8">
        <w:t>.</w:t>
      </w:r>
      <w:r w:rsidR="001D29F8">
        <w:tab/>
        <w:t>Household Interview Appointment Reminder Letter</w:t>
      </w:r>
      <w:r w:rsidR="005B10BC">
        <w:t>―</w:t>
      </w:r>
      <w:r w:rsidR="001D29F8">
        <w:t>Spanish</w:t>
      </w:r>
    </w:p>
    <w:p w14:paraId="38A76958" w14:textId="77777777" w:rsidR="00E05528" w:rsidRDefault="00E05528" w:rsidP="001D29F8">
      <w:pPr>
        <w:pStyle w:val="SP-SglSpPara"/>
      </w:pPr>
      <w:r>
        <w:t>D13</w:t>
      </w:r>
      <w:r w:rsidR="001D29F8">
        <w:t>.</w:t>
      </w:r>
      <w:r w:rsidR="001D29F8">
        <w:tab/>
        <w:t>Household Interview</w:t>
      </w:r>
    </w:p>
    <w:p w14:paraId="0981322F" w14:textId="77777777" w:rsidR="001D29F8" w:rsidRDefault="00E05528" w:rsidP="001D29F8">
      <w:pPr>
        <w:pStyle w:val="SP-SglSpPara"/>
      </w:pPr>
      <w:r>
        <w:t>D14</w:t>
      </w:r>
      <w:r w:rsidR="001D29F8">
        <w:t>.</w:t>
      </w:r>
      <w:r w:rsidR="001D29F8">
        <w:tab/>
        <w:t>Household Interview</w:t>
      </w:r>
      <w:r w:rsidR="005B10BC">
        <w:t>―</w:t>
      </w:r>
      <w:r w:rsidR="001D29F8">
        <w:t>Spanish</w:t>
      </w:r>
    </w:p>
    <w:p w14:paraId="3C6EE70D" w14:textId="77777777" w:rsidR="00E05528" w:rsidRDefault="00E05528" w:rsidP="001D29F8">
      <w:pPr>
        <w:pStyle w:val="SP-SglSpPara"/>
      </w:pPr>
      <w:r>
        <w:t>D1</w:t>
      </w:r>
      <w:r w:rsidR="00C47B1D">
        <w:t>5</w:t>
      </w:r>
      <w:r w:rsidR="001D29F8">
        <w:t>.</w:t>
      </w:r>
      <w:r w:rsidR="001D29F8">
        <w:tab/>
        <w:t>Household Interview Incentives Received Form</w:t>
      </w:r>
    </w:p>
    <w:p w14:paraId="05A2BD7C" w14:textId="77777777" w:rsidR="001D29F8" w:rsidRDefault="00E05528" w:rsidP="001D29F8">
      <w:pPr>
        <w:pStyle w:val="SP-SglSpPara"/>
      </w:pPr>
      <w:r>
        <w:t>D1</w:t>
      </w:r>
      <w:r w:rsidR="00C47B1D">
        <w:t>6</w:t>
      </w:r>
      <w:r w:rsidR="001D29F8">
        <w:t>.</w:t>
      </w:r>
      <w:r w:rsidR="001D29F8">
        <w:tab/>
        <w:t>Household Interview Incentives Received Form</w:t>
      </w:r>
      <w:r w:rsidR="005B10BC">
        <w:t>―</w:t>
      </w:r>
      <w:r w:rsidR="001D29F8">
        <w:t>Spanish</w:t>
      </w:r>
    </w:p>
    <w:p w14:paraId="4F4BF6C4" w14:textId="77777777" w:rsidR="001D29F8" w:rsidRDefault="001D29F8" w:rsidP="001D29F8">
      <w:pPr>
        <w:pStyle w:val="SP-SglSpPara"/>
      </w:pPr>
    </w:p>
    <w:p w14:paraId="3046AA4D" w14:textId="77777777" w:rsidR="00C47B1D" w:rsidRDefault="00C47B1D" w:rsidP="001D29F8">
      <w:pPr>
        <w:pStyle w:val="TOC1"/>
        <w:rPr>
          <w:b/>
        </w:rPr>
      </w:pPr>
      <w:r w:rsidRPr="001D29F8">
        <w:rPr>
          <w:b/>
        </w:rPr>
        <w:t>E</w:t>
      </w:r>
      <w:r w:rsidR="00E05528" w:rsidRPr="001D29F8">
        <w:rPr>
          <w:b/>
        </w:rPr>
        <w:tab/>
      </w:r>
      <w:r w:rsidR="001D29F8" w:rsidRPr="001D29F8">
        <w:rPr>
          <w:b/>
        </w:rPr>
        <w:t>Summary of Public Comments</w:t>
      </w:r>
    </w:p>
    <w:p w14:paraId="2200116F" w14:textId="77777777" w:rsidR="001D29F8" w:rsidRPr="001D29F8" w:rsidRDefault="001D29F8" w:rsidP="001D29F8">
      <w:pPr>
        <w:pStyle w:val="TOC1"/>
        <w:rPr>
          <w:b/>
        </w:rPr>
      </w:pPr>
    </w:p>
    <w:p w14:paraId="77A99168" w14:textId="77777777" w:rsidR="00C47B1D" w:rsidRDefault="00C47B1D" w:rsidP="001D29F8">
      <w:pPr>
        <w:pStyle w:val="SP-SglSpPara"/>
      </w:pPr>
      <w:r>
        <w:t>E1</w:t>
      </w:r>
      <w:r w:rsidR="001D29F8">
        <w:t>.</w:t>
      </w:r>
      <w:r w:rsidR="001D29F8">
        <w:tab/>
        <w:t>School Nutrition Association Comments</w:t>
      </w:r>
    </w:p>
    <w:p w14:paraId="3F3C4AED" w14:textId="77777777" w:rsidR="001D29F8" w:rsidRDefault="00C47B1D" w:rsidP="001D29F8">
      <w:pPr>
        <w:pStyle w:val="SP-SglSpPara"/>
      </w:pPr>
      <w:r>
        <w:t>E2</w:t>
      </w:r>
      <w:r w:rsidR="001D29F8">
        <w:t>.</w:t>
      </w:r>
      <w:r w:rsidR="001D29F8">
        <w:tab/>
        <w:t>Food Research and Action Center Comments</w:t>
      </w:r>
    </w:p>
    <w:p w14:paraId="07134197" w14:textId="77777777" w:rsidR="001D29F8" w:rsidRDefault="001D29F8" w:rsidP="001D29F8">
      <w:pPr>
        <w:pStyle w:val="SP-SglSpPara"/>
      </w:pPr>
    </w:p>
    <w:p w14:paraId="08C7E905" w14:textId="77777777" w:rsidR="00C47B1D" w:rsidRDefault="00C47B1D" w:rsidP="001D29F8">
      <w:pPr>
        <w:pStyle w:val="TOC1"/>
        <w:rPr>
          <w:b/>
        </w:rPr>
      </w:pPr>
      <w:r w:rsidRPr="001D29F8">
        <w:rPr>
          <w:b/>
        </w:rPr>
        <w:t>F</w:t>
      </w:r>
      <w:r w:rsidR="00E05528" w:rsidRPr="001D29F8">
        <w:rPr>
          <w:b/>
        </w:rPr>
        <w:tab/>
      </w:r>
      <w:r w:rsidR="001D29F8" w:rsidRPr="001D29F8">
        <w:rPr>
          <w:b/>
        </w:rPr>
        <w:t>Response to Public Comments</w:t>
      </w:r>
    </w:p>
    <w:p w14:paraId="784309E7" w14:textId="77777777" w:rsidR="001D29F8" w:rsidRPr="001D29F8" w:rsidRDefault="001D29F8" w:rsidP="001D29F8">
      <w:pPr>
        <w:pStyle w:val="TOC1"/>
        <w:rPr>
          <w:b/>
        </w:rPr>
      </w:pPr>
    </w:p>
    <w:p w14:paraId="3EDFDFC0" w14:textId="77777777" w:rsidR="001D29F8" w:rsidRDefault="00C47B1D" w:rsidP="001D29F8">
      <w:pPr>
        <w:pStyle w:val="SP-SglSpPara"/>
      </w:pPr>
      <w:r>
        <w:t>F1</w:t>
      </w:r>
      <w:r w:rsidR="001D29F8">
        <w:t>.</w:t>
      </w:r>
      <w:r w:rsidR="001D29F8">
        <w:tab/>
      </w:r>
      <w:r>
        <w:t xml:space="preserve">FNS </w:t>
      </w:r>
      <w:r w:rsidR="001D29F8">
        <w:t>Response to School Nutrition Association Comments</w:t>
      </w:r>
    </w:p>
    <w:p w14:paraId="2D9793E8" w14:textId="77777777" w:rsidR="001D29F8" w:rsidRDefault="00C47B1D" w:rsidP="001D29F8">
      <w:pPr>
        <w:pStyle w:val="SP-SglSpPara"/>
      </w:pPr>
      <w:r>
        <w:t>F2</w:t>
      </w:r>
      <w:r w:rsidR="001D29F8">
        <w:t>.</w:t>
      </w:r>
      <w:r w:rsidR="001D29F8">
        <w:tab/>
      </w:r>
      <w:r>
        <w:t xml:space="preserve">FNS </w:t>
      </w:r>
      <w:r w:rsidR="001D29F8">
        <w:t>Response to Food Research and Action Center Comments</w:t>
      </w:r>
    </w:p>
    <w:p w14:paraId="2B11E5E0" w14:textId="77777777" w:rsidR="001D29F8" w:rsidRDefault="001D29F8" w:rsidP="001D29F8">
      <w:pPr>
        <w:pStyle w:val="TOC1"/>
      </w:pPr>
    </w:p>
    <w:p w14:paraId="68AC9DDC" w14:textId="77777777" w:rsidR="001D29F8" w:rsidRPr="001D29F8" w:rsidRDefault="00C47B1D" w:rsidP="001D29F8">
      <w:pPr>
        <w:pStyle w:val="TOC1"/>
        <w:rPr>
          <w:b/>
        </w:rPr>
      </w:pPr>
      <w:r w:rsidRPr="001D29F8">
        <w:rPr>
          <w:b/>
        </w:rPr>
        <w:t>G</w:t>
      </w:r>
      <w:r w:rsidR="001D29F8" w:rsidRPr="001D29F8">
        <w:rPr>
          <w:b/>
        </w:rPr>
        <w:tab/>
        <w:t xml:space="preserve">National Agricultural Statistics Service </w:t>
      </w:r>
      <w:r w:rsidRPr="001D29F8">
        <w:rPr>
          <w:b/>
        </w:rPr>
        <w:t xml:space="preserve">(NASS) </w:t>
      </w:r>
      <w:r w:rsidR="001D29F8" w:rsidRPr="001D29F8">
        <w:rPr>
          <w:b/>
        </w:rPr>
        <w:t>Comments</w:t>
      </w:r>
    </w:p>
    <w:p w14:paraId="4130F8CF" w14:textId="77777777" w:rsidR="002831B0" w:rsidRDefault="002831B0" w:rsidP="00A10A57">
      <w:pPr>
        <w:pStyle w:val="TOC1"/>
        <w:ind w:right="0"/>
        <w:rPr>
          <w:b/>
        </w:rPr>
      </w:pPr>
    </w:p>
    <w:p w14:paraId="0EC5E8A8" w14:textId="77777777" w:rsidR="00C47B1D" w:rsidRPr="001D29F8" w:rsidRDefault="00C47B1D" w:rsidP="00A10A57">
      <w:pPr>
        <w:pStyle w:val="TOC1"/>
        <w:ind w:right="0"/>
        <w:rPr>
          <w:b/>
        </w:rPr>
      </w:pPr>
      <w:r w:rsidRPr="001D29F8">
        <w:rPr>
          <w:b/>
        </w:rPr>
        <w:t>H</w:t>
      </w:r>
      <w:r w:rsidR="001D29F8" w:rsidRPr="001D29F8">
        <w:rPr>
          <w:b/>
        </w:rPr>
        <w:tab/>
        <w:t xml:space="preserve">Response </w:t>
      </w:r>
      <w:r w:rsidR="007D297C" w:rsidRPr="001D29F8">
        <w:rPr>
          <w:b/>
        </w:rPr>
        <w:t>to</w:t>
      </w:r>
      <w:r w:rsidR="001D29F8" w:rsidRPr="001D29F8">
        <w:rPr>
          <w:b/>
        </w:rPr>
        <w:t xml:space="preserve"> National Agricultural Statistics Service </w:t>
      </w:r>
      <w:r w:rsidRPr="001D29F8">
        <w:rPr>
          <w:b/>
        </w:rPr>
        <w:t xml:space="preserve">(NASS) </w:t>
      </w:r>
      <w:r w:rsidR="001D29F8" w:rsidRPr="001D29F8">
        <w:rPr>
          <w:b/>
        </w:rPr>
        <w:t>Comments</w:t>
      </w:r>
    </w:p>
    <w:p w14:paraId="597B2522" w14:textId="77777777" w:rsidR="002831B0" w:rsidRDefault="002831B0" w:rsidP="001D29F8">
      <w:pPr>
        <w:pStyle w:val="TOC1"/>
        <w:rPr>
          <w:b/>
        </w:rPr>
      </w:pPr>
    </w:p>
    <w:p w14:paraId="644C7AB7" w14:textId="77777777" w:rsidR="00E05528" w:rsidRPr="001D29F8" w:rsidRDefault="008D50A7" w:rsidP="001D29F8">
      <w:pPr>
        <w:pStyle w:val="TOC1"/>
        <w:rPr>
          <w:b/>
        </w:rPr>
      </w:pPr>
      <w:r w:rsidRPr="001D29F8">
        <w:rPr>
          <w:b/>
        </w:rPr>
        <w:t>I</w:t>
      </w:r>
      <w:r w:rsidR="00E05528" w:rsidRPr="001D29F8">
        <w:rPr>
          <w:b/>
        </w:rPr>
        <w:tab/>
      </w:r>
      <w:r w:rsidR="001D29F8" w:rsidRPr="001D29F8">
        <w:rPr>
          <w:b/>
        </w:rPr>
        <w:t>Household Survey Consent Forms</w:t>
      </w:r>
    </w:p>
    <w:p w14:paraId="650CB7DD" w14:textId="77777777" w:rsidR="00E05528" w:rsidRDefault="00E05528" w:rsidP="001D29F8">
      <w:pPr>
        <w:pStyle w:val="TOC1"/>
      </w:pPr>
    </w:p>
    <w:p w14:paraId="33F67D04" w14:textId="77777777" w:rsidR="00E05528" w:rsidRPr="00DF20EA" w:rsidRDefault="008D50A7" w:rsidP="001D29F8">
      <w:pPr>
        <w:pStyle w:val="SP-SglSpPara"/>
      </w:pPr>
      <w:r>
        <w:t>I</w:t>
      </w:r>
      <w:r w:rsidR="00E05528">
        <w:t>1</w:t>
      </w:r>
      <w:r w:rsidR="001D29F8">
        <w:t>.</w:t>
      </w:r>
      <w:r w:rsidR="001D29F8">
        <w:tab/>
      </w:r>
      <w:r w:rsidR="001D29F8" w:rsidRPr="00DF20EA">
        <w:t>Household Survey Consent Form</w:t>
      </w:r>
    </w:p>
    <w:p w14:paraId="1226D33B" w14:textId="77777777" w:rsidR="001D29F8" w:rsidRDefault="008D50A7" w:rsidP="001D29F8">
      <w:pPr>
        <w:pStyle w:val="SP-SglSpPara"/>
      </w:pPr>
      <w:r>
        <w:t>I</w:t>
      </w:r>
      <w:r w:rsidR="00E05528">
        <w:t>2</w:t>
      </w:r>
      <w:r w:rsidR="001D29F8">
        <w:t>.</w:t>
      </w:r>
      <w:r w:rsidR="001D29F8">
        <w:tab/>
      </w:r>
      <w:r w:rsidR="001D29F8" w:rsidRPr="00DF20EA">
        <w:t>Household Survey Consent Form</w:t>
      </w:r>
      <w:r w:rsidR="005B10BC">
        <w:t>―</w:t>
      </w:r>
      <w:r w:rsidR="001D29F8" w:rsidRPr="00DF20EA">
        <w:t>Spanish</w:t>
      </w:r>
    </w:p>
    <w:p w14:paraId="76822A90" w14:textId="77777777" w:rsidR="00E05528" w:rsidRDefault="00E05528" w:rsidP="001D29F8">
      <w:pPr>
        <w:pStyle w:val="SP-SglSpPara"/>
      </w:pPr>
    </w:p>
    <w:p w14:paraId="7AA7D5FD" w14:textId="77777777" w:rsidR="001D29F8" w:rsidRPr="001D29F8" w:rsidRDefault="008D50A7" w:rsidP="001D29F8">
      <w:pPr>
        <w:pStyle w:val="TOC1"/>
        <w:rPr>
          <w:b/>
        </w:rPr>
      </w:pPr>
      <w:r w:rsidRPr="001D29F8">
        <w:rPr>
          <w:b/>
        </w:rPr>
        <w:t>J</w:t>
      </w:r>
      <w:r w:rsidR="00E05528" w:rsidRPr="001D29F8">
        <w:rPr>
          <w:b/>
        </w:rPr>
        <w:tab/>
      </w:r>
      <w:r w:rsidR="001D29F8" w:rsidRPr="001D29F8">
        <w:rPr>
          <w:b/>
        </w:rPr>
        <w:t>Westat Confidentiality Pledge</w:t>
      </w:r>
    </w:p>
    <w:p w14:paraId="13C93889" w14:textId="77777777" w:rsidR="002831B0" w:rsidRDefault="002831B0" w:rsidP="001D29F8">
      <w:pPr>
        <w:pStyle w:val="TOC1"/>
        <w:rPr>
          <w:b/>
        </w:rPr>
      </w:pPr>
    </w:p>
    <w:p w14:paraId="298A895B" w14:textId="77777777" w:rsidR="00E05528" w:rsidRPr="001D29F8" w:rsidRDefault="008D50A7" w:rsidP="001D29F8">
      <w:pPr>
        <w:pStyle w:val="TOC1"/>
        <w:rPr>
          <w:b/>
        </w:rPr>
      </w:pPr>
      <w:r w:rsidRPr="001D29F8">
        <w:rPr>
          <w:b/>
        </w:rPr>
        <w:t>K</w:t>
      </w:r>
      <w:r w:rsidR="00E05528" w:rsidRPr="001D29F8">
        <w:rPr>
          <w:b/>
        </w:rPr>
        <w:tab/>
      </w:r>
      <w:r w:rsidR="001D29F8" w:rsidRPr="001D29F8">
        <w:rPr>
          <w:b/>
        </w:rPr>
        <w:t>Westat Federal-Wide Assurance</w:t>
      </w:r>
    </w:p>
    <w:p w14:paraId="42C43AA1" w14:textId="77777777" w:rsidR="002831B0" w:rsidRDefault="002831B0" w:rsidP="001D29F8">
      <w:pPr>
        <w:pStyle w:val="TOC1"/>
        <w:rPr>
          <w:b/>
        </w:rPr>
      </w:pPr>
    </w:p>
    <w:p w14:paraId="7D0A12C5" w14:textId="77777777" w:rsidR="00A10A57" w:rsidRDefault="002255F3" w:rsidP="00A10A57">
      <w:pPr>
        <w:pStyle w:val="C2-CtrSglSp"/>
        <w:rPr>
          <w:b/>
        </w:rPr>
      </w:pPr>
      <w:r>
        <w:rPr>
          <w:b/>
        </w:rPr>
        <w:br w:type="page"/>
      </w:r>
      <w:r w:rsidR="00A10A57" w:rsidRPr="008D3EB6">
        <w:rPr>
          <w:b/>
        </w:rPr>
        <w:t>LIST OF APPENDICES TO APEC III OMB SUPPORTING STATEMENT</w:t>
      </w:r>
      <w:r w:rsidR="00A10A57">
        <w:rPr>
          <w:b/>
        </w:rPr>
        <w:t xml:space="preserve"> (continued)</w:t>
      </w:r>
    </w:p>
    <w:p w14:paraId="067EF912" w14:textId="77777777" w:rsidR="00A10A57" w:rsidRPr="008D3EB6" w:rsidRDefault="00A10A57" w:rsidP="00A10A57">
      <w:pPr>
        <w:pStyle w:val="C2-CtrSglSp"/>
        <w:rPr>
          <w:b/>
        </w:rPr>
      </w:pPr>
    </w:p>
    <w:p w14:paraId="5025D16C" w14:textId="77777777" w:rsidR="00A10A57" w:rsidRDefault="00A10A57" w:rsidP="00A10A57">
      <w:pPr>
        <w:pStyle w:val="T0-ChapPgHd"/>
      </w:pPr>
      <w:r>
        <w:t>Appendix</w:t>
      </w:r>
    </w:p>
    <w:p w14:paraId="55E00AAD" w14:textId="77777777" w:rsidR="00A10A57" w:rsidRPr="00F15490" w:rsidRDefault="00A10A57" w:rsidP="00A10A57">
      <w:pPr>
        <w:pStyle w:val="T0-ChapPgHd"/>
      </w:pPr>
    </w:p>
    <w:p w14:paraId="0F068503" w14:textId="77777777" w:rsidR="002255F3" w:rsidRDefault="002255F3" w:rsidP="002831B0">
      <w:pPr>
        <w:pStyle w:val="TOC1"/>
        <w:ind w:right="0"/>
        <w:rPr>
          <w:b/>
        </w:rPr>
      </w:pPr>
      <w:r w:rsidRPr="001D29F8">
        <w:rPr>
          <w:b/>
        </w:rPr>
        <w:t>L</w:t>
      </w:r>
      <w:r w:rsidRPr="001D29F8">
        <w:rPr>
          <w:b/>
        </w:rPr>
        <w:tab/>
        <w:t xml:space="preserve">Westat APEC III IRB Approval Letters </w:t>
      </w:r>
    </w:p>
    <w:p w14:paraId="082988BA" w14:textId="77777777" w:rsidR="002255F3" w:rsidRDefault="002255F3" w:rsidP="002831B0">
      <w:pPr>
        <w:pStyle w:val="TOC1"/>
        <w:ind w:right="0"/>
        <w:rPr>
          <w:b/>
        </w:rPr>
      </w:pPr>
    </w:p>
    <w:p w14:paraId="3C6F09BC" w14:textId="77777777" w:rsidR="002831B0" w:rsidRPr="001D29F8" w:rsidRDefault="002831B0" w:rsidP="002831B0">
      <w:pPr>
        <w:pStyle w:val="TOC1"/>
        <w:ind w:right="0"/>
        <w:rPr>
          <w:b/>
        </w:rPr>
      </w:pPr>
      <w:r w:rsidRPr="001D29F8">
        <w:rPr>
          <w:b/>
        </w:rPr>
        <w:t>M</w:t>
      </w:r>
      <w:r w:rsidRPr="001D29F8">
        <w:rPr>
          <w:b/>
        </w:rPr>
        <w:tab/>
        <w:t xml:space="preserve">Westat Information Technology </w:t>
      </w:r>
      <w:r>
        <w:rPr>
          <w:b/>
        </w:rPr>
        <w:t>a</w:t>
      </w:r>
      <w:r w:rsidRPr="001D29F8">
        <w:rPr>
          <w:b/>
        </w:rPr>
        <w:t xml:space="preserve">nd Systems Security Policy </w:t>
      </w:r>
      <w:r>
        <w:rPr>
          <w:b/>
        </w:rPr>
        <w:t>a</w:t>
      </w:r>
      <w:r w:rsidRPr="001D29F8">
        <w:rPr>
          <w:b/>
        </w:rPr>
        <w:t>nd Best Practices</w:t>
      </w:r>
    </w:p>
    <w:p w14:paraId="0AD533B0" w14:textId="77777777" w:rsidR="002831B0" w:rsidRDefault="002831B0" w:rsidP="002831B0">
      <w:pPr>
        <w:pStyle w:val="TOC1"/>
        <w:rPr>
          <w:b/>
        </w:rPr>
      </w:pPr>
    </w:p>
    <w:p w14:paraId="302C97DE" w14:textId="77777777" w:rsidR="002831B0" w:rsidRPr="001D29F8" w:rsidRDefault="002831B0" w:rsidP="002831B0">
      <w:pPr>
        <w:pStyle w:val="TOC1"/>
        <w:rPr>
          <w:b/>
        </w:rPr>
      </w:pPr>
      <w:r w:rsidRPr="001D29F8">
        <w:rPr>
          <w:b/>
        </w:rPr>
        <w:t>N</w:t>
      </w:r>
      <w:r w:rsidRPr="001D29F8">
        <w:rPr>
          <w:b/>
        </w:rPr>
        <w:tab/>
        <w:t>APEC III Burden Table</w:t>
      </w:r>
    </w:p>
    <w:p w14:paraId="39CAEA94" w14:textId="77777777" w:rsidR="002831B0" w:rsidRDefault="002831B0" w:rsidP="001D29F8">
      <w:pPr>
        <w:pStyle w:val="TOC1"/>
        <w:rPr>
          <w:b/>
        </w:rPr>
      </w:pPr>
    </w:p>
    <w:p w14:paraId="3895FBD2" w14:textId="77777777" w:rsidR="008D50A7" w:rsidRDefault="008D50A7" w:rsidP="001D29F8">
      <w:pPr>
        <w:pStyle w:val="TOC1"/>
        <w:rPr>
          <w:b/>
        </w:rPr>
      </w:pPr>
      <w:r w:rsidRPr="001D29F8">
        <w:rPr>
          <w:b/>
        </w:rPr>
        <w:t>O</w:t>
      </w:r>
      <w:r w:rsidRPr="001D29F8">
        <w:rPr>
          <w:b/>
        </w:rPr>
        <w:tab/>
      </w:r>
      <w:r w:rsidR="001D29F8" w:rsidRPr="001D29F8">
        <w:rPr>
          <w:b/>
        </w:rPr>
        <w:t>Sam</w:t>
      </w:r>
      <w:r w:rsidR="001D29F8">
        <w:rPr>
          <w:b/>
        </w:rPr>
        <w:t>p</w:t>
      </w:r>
      <w:r w:rsidR="001D29F8" w:rsidRPr="001D29F8">
        <w:rPr>
          <w:b/>
        </w:rPr>
        <w:t xml:space="preserve">le Frame Development </w:t>
      </w:r>
      <w:r w:rsidR="001D29F8">
        <w:rPr>
          <w:b/>
        </w:rPr>
        <w:t>a</w:t>
      </w:r>
      <w:r w:rsidR="001D29F8" w:rsidRPr="001D29F8">
        <w:rPr>
          <w:b/>
        </w:rPr>
        <w:t>nd Selection Process</w:t>
      </w:r>
    </w:p>
    <w:p w14:paraId="6CEA68C6" w14:textId="77777777" w:rsidR="001D29F8" w:rsidRPr="001D29F8" w:rsidRDefault="001D29F8" w:rsidP="001D29F8">
      <w:pPr>
        <w:pStyle w:val="TOC1"/>
        <w:rPr>
          <w:b/>
        </w:rPr>
      </w:pPr>
    </w:p>
    <w:p w14:paraId="77C26AB0" w14:textId="77777777" w:rsidR="00450367" w:rsidRDefault="00450367" w:rsidP="001D29F8">
      <w:pPr>
        <w:pStyle w:val="SP-SglSpPara"/>
      </w:pPr>
      <w:r>
        <w:t>O1</w:t>
      </w:r>
      <w:r w:rsidR="001D29F8">
        <w:t>.</w:t>
      </w:r>
      <w:r w:rsidR="001D29F8">
        <w:tab/>
        <w:t>Sample Frame Development and Selection Procedures</w:t>
      </w:r>
    </w:p>
    <w:p w14:paraId="7883DE64" w14:textId="77777777" w:rsidR="00450367" w:rsidRDefault="001D29F8" w:rsidP="001D29F8">
      <w:pPr>
        <w:pStyle w:val="SP-SglSpPara"/>
      </w:pPr>
      <w:r>
        <w:t>O2.</w:t>
      </w:r>
      <w:r>
        <w:tab/>
      </w:r>
      <w:r w:rsidRPr="00D6281A">
        <w:t>Temp</w:t>
      </w:r>
      <w:r w:rsidR="004E02BA">
        <w:t>late E-Letter f</w:t>
      </w:r>
      <w:r w:rsidRPr="00D6281A">
        <w:t>rom FNS Regional Lia</w:t>
      </w:r>
      <w:r>
        <w:t>i</w:t>
      </w:r>
      <w:r w:rsidRPr="00D6281A">
        <w:t xml:space="preserve">son </w:t>
      </w:r>
      <w:r>
        <w:t>t</w:t>
      </w:r>
      <w:r w:rsidRPr="00D6281A">
        <w:t>o State Child Nutrition Director</w:t>
      </w:r>
    </w:p>
    <w:p w14:paraId="75F7974A" w14:textId="77777777" w:rsidR="00450367" w:rsidRDefault="001D29F8" w:rsidP="001D29F8">
      <w:pPr>
        <w:pStyle w:val="SP-SglSpPara"/>
      </w:pPr>
      <w:r>
        <w:t>O3.</w:t>
      </w:r>
      <w:r>
        <w:tab/>
        <w:t>State Follow Up Contact Guide</w:t>
      </w:r>
    </w:p>
    <w:p w14:paraId="3673E08E" w14:textId="77777777" w:rsidR="00450367" w:rsidRDefault="001D29F8" w:rsidP="001D29F8">
      <w:pPr>
        <w:pStyle w:val="SP-SglSpPara"/>
      </w:pPr>
      <w:r>
        <w:t>O4.</w:t>
      </w:r>
      <w:r>
        <w:tab/>
      </w:r>
      <w:r w:rsidRPr="00D6281A">
        <w:t xml:space="preserve">SFA Study Notification </w:t>
      </w:r>
      <w:r w:rsidR="007D297C" w:rsidRPr="00D6281A">
        <w:t>and</w:t>
      </w:r>
      <w:r w:rsidRPr="00D6281A">
        <w:t xml:space="preserve"> School Data Verification E-Letter</w:t>
      </w:r>
    </w:p>
    <w:p w14:paraId="167A6601" w14:textId="77777777" w:rsidR="00450367" w:rsidRDefault="001D29F8" w:rsidP="001D29F8">
      <w:pPr>
        <w:pStyle w:val="SP-SglSpPara"/>
      </w:pPr>
      <w:r>
        <w:t>O5.</w:t>
      </w:r>
      <w:r>
        <w:tab/>
      </w:r>
      <w:r w:rsidRPr="00D6281A">
        <w:t xml:space="preserve">SFA Follow Up Contact Guide (Study Notification </w:t>
      </w:r>
      <w:r w:rsidR="007D297C" w:rsidRPr="00D6281A">
        <w:t>and</w:t>
      </w:r>
      <w:r w:rsidRPr="00D6281A">
        <w:t xml:space="preserve"> School Data Verification)</w:t>
      </w:r>
    </w:p>
    <w:p w14:paraId="70A7F39A" w14:textId="77777777" w:rsidR="00450367" w:rsidRDefault="001D29F8" w:rsidP="001D29F8">
      <w:pPr>
        <w:pStyle w:val="SP-SglSpPara"/>
      </w:pPr>
      <w:r>
        <w:t>O6.</w:t>
      </w:r>
      <w:r>
        <w:tab/>
      </w:r>
      <w:r w:rsidRPr="00D6281A">
        <w:t xml:space="preserve">SFA </w:t>
      </w:r>
      <w:r w:rsidR="00F96AD3" w:rsidRPr="00D6281A">
        <w:t>Automated Email</w:t>
      </w:r>
      <w:r w:rsidR="00254FD7">
        <w:rPr>
          <w:rFonts w:ascii="Calibri" w:hAnsi="Calibri"/>
        </w:rPr>
        <w:t>―</w:t>
      </w:r>
      <w:r w:rsidR="00F96AD3" w:rsidRPr="00D6281A">
        <w:t>Receipt of Verification of School Data</w:t>
      </w:r>
    </w:p>
    <w:p w14:paraId="76394078" w14:textId="77777777" w:rsidR="00450367" w:rsidRDefault="001D29F8" w:rsidP="001D29F8">
      <w:pPr>
        <w:pStyle w:val="SP-SglSpPara"/>
      </w:pPr>
      <w:r>
        <w:t>O7.</w:t>
      </w:r>
      <w:r>
        <w:tab/>
      </w:r>
      <w:r w:rsidRPr="00D6281A">
        <w:t xml:space="preserve">SFA </w:t>
      </w:r>
      <w:r w:rsidR="00F96AD3" w:rsidRPr="00D6281A">
        <w:t>Confirmation and Next Steps Email</w:t>
      </w:r>
    </w:p>
    <w:p w14:paraId="0D6B4098" w14:textId="77777777" w:rsidR="00450367" w:rsidRDefault="001D29F8" w:rsidP="001D29F8">
      <w:pPr>
        <w:pStyle w:val="SP-SglSpPara"/>
      </w:pPr>
      <w:r>
        <w:t>O8.</w:t>
      </w:r>
      <w:r>
        <w:tab/>
      </w:r>
      <w:r w:rsidRPr="00D6281A">
        <w:t xml:space="preserve">SFA </w:t>
      </w:r>
      <w:r w:rsidR="00F96AD3" w:rsidRPr="00D6281A">
        <w:t>School Sample Notification E-Letter</w:t>
      </w:r>
    </w:p>
    <w:p w14:paraId="6699CA94" w14:textId="77777777" w:rsidR="00450367" w:rsidRDefault="001D29F8" w:rsidP="001D29F8">
      <w:pPr>
        <w:pStyle w:val="SP-SglSpPara"/>
      </w:pPr>
      <w:r>
        <w:t>O9.</w:t>
      </w:r>
      <w:r>
        <w:tab/>
      </w:r>
      <w:r w:rsidR="00F96AD3" w:rsidRPr="004829FA">
        <w:t>School Study Notification E-Letter</w:t>
      </w:r>
    </w:p>
    <w:p w14:paraId="34FD74EB" w14:textId="77777777" w:rsidR="00450367" w:rsidRDefault="00450367" w:rsidP="001D29F8">
      <w:pPr>
        <w:pStyle w:val="SP-SglSpPara"/>
      </w:pPr>
      <w:r>
        <w:t>O10</w:t>
      </w:r>
      <w:r w:rsidR="001D29F8">
        <w:t>.</w:t>
      </w:r>
      <w:r w:rsidR="001D29F8">
        <w:tab/>
      </w:r>
      <w:r>
        <w:t xml:space="preserve">APEC III </w:t>
      </w:r>
      <w:r w:rsidR="00F96AD3">
        <w:t>Fact Sheet (for SFAs</w:t>
      </w:r>
      <w:r w:rsidR="00F96AD3" w:rsidRPr="004829FA">
        <w:t xml:space="preserve"> </w:t>
      </w:r>
      <w:r w:rsidR="007D297C" w:rsidRPr="004829FA">
        <w:t>and</w:t>
      </w:r>
      <w:r w:rsidR="00F96AD3" w:rsidRPr="004829FA">
        <w:t xml:space="preserve"> Schools)</w:t>
      </w:r>
    </w:p>
    <w:p w14:paraId="7A7B3D73" w14:textId="77777777" w:rsidR="001D29F8" w:rsidRDefault="001D29F8" w:rsidP="001D29F8">
      <w:pPr>
        <w:pStyle w:val="TOC1"/>
      </w:pPr>
    </w:p>
    <w:p w14:paraId="64F15C10" w14:textId="77777777" w:rsidR="00E05528" w:rsidRPr="001D29F8" w:rsidRDefault="003F53F1" w:rsidP="001D29F8">
      <w:pPr>
        <w:pStyle w:val="TOC1"/>
        <w:rPr>
          <w:b/>
        </w:rPr>
      </w:pPr>
      <w:r w:rsidRPr="001D29F8">
        <w:rPr>
          <w:b/>
        </w:rPr>
        <w:t>P</w:t>
      </w:r>
      <w:r w:rsidR="00E05528" w:rsidRPr="001D29F8">
        <w:rPr>
          <w:b/>
        </w:rPr>
        <w:tab/>
        <w:t xml:space="preserve">APEC III SFA </w:t>
      </w:r>
      <w:r w:rsidR="001D29F8" w:rsidRPr="001D29F8">
        <w:rPr>
          <w:b/>
        </w:rPr>
        <w:t>Sample Selection Memo</w:t>
      </w:r>
    </w:p>
    <w:p w14:paraId="1A65B23F" w14:textId="77777777" w:rsidR="002831B0" w:rsidRDefault="002831B0" w:rsidP="001D29F8">
      <w:pPr>
        <w:pStyle w:val="TOC1"/>
        <w:rPr>
          <w:b/>
        </w:rPr>
      </w:pPr>
    </w:p>
    <w:p w14:paraId="4A73EBF5" w14:textId="77777777" w:rsidR="001D29F8" w:rsidRPr="001D29F8" w:rsidRDefault="003F53F1" w:rsidP="001D29F8">
      <w:pPr>
        <w:pStyle w:val="TOC1"/>
        <w:rPr>
          <w:b/>
        </w:rPr>
      </w:pPr>
      <w:r w:rsidRPr="001D29F8">
        <w:rPr>
          <w:b/>
        </w:rPr>
        <w:t>Q</w:t>
      </w:r>
      <w:r w:rsidR="00E05528" w:rsidRPr="001D29F8">
        <w:rPr>
          <w:b/>
        </w:rPr>
        <w:tab/>
        <w:t xml:space="preserve">APEC III </w:t>
      </w:r>
      <w:r w:rsidR="001D29F8" w:rsidRPr="001D29F8">
        <w:rPr>
          <w:b/>
        </w:rPr>
        <w:t>School Sample Selection Memo</w:t>
      </w:r>
    </w:p>
    <w:p w14:paraId="5C30045F" w14:textId="77777777" w:rsidR="002831B0" w:rsidRDefault="002831B0" w:rsidP="001D29F8">
      <w:pPr>
        <w:pStyle w:val="TOC1"/>
        <w:rPr>
          <w:b/>
        </w:rPr>
      </w:pPr>
    </w:p>
    <w:p w14:paraId="39249FB5" w14:textId="77777777" w:rsidR="00E05528" w:rsidRPr="001D29F8" w:rsidRDefault="003F53F1" w:rsidP="001D29F8">
      <w:pPr>
        <w:pStyle w:val="TOC1"/>
        <w:rPr>
          <w:b/>
        </w:rPr>
      </w:pPr>
      <w:r w:rsidRPr="001D29F8">
        <w:rPr>
          <w:b/>
        </w:rPr>
        <w:t>R</w:t>
      </w:r>
      <w:r w:rsidR="00E05528" w:rsidRPr="001D29F8">
        <w:rPr>
          <w:b/>
        </w:rPr>
        <w:tab/>
      </w:r>
      <w:r w:rsidR="001D29F8" w:rsidRPr="001D29F8">
        <w:rPr>
          <w:b/>
        </w:rPr>
        <w:t xml:space="preserve">Special School Weights </w:t>
      </w:r>
      <w:r w:rsidR="007D297C" w:rsidRPr="001D29F8">
        <w:rPr>
          <w:b/>
        </w:rPr>
        <w:t>for</w:t>
      </w:r>
      <w:r w:rsidR="001D29F8" w:rsidRPr="001D29F8">
        <w:rPr>
          <w:b/>
        </w:rPr>
        <w:t xml:space="preserve"> Non-Certification Errors</w:t>
      </w:r>
    </w:p>
    <w:p w14:paraId="4D0FAB82" w14:textId="77777777" w:rsidR="002831B0" w:rsidRDefault="002831B0" w:rsidP="001D29F8">
      <w:pPr>
        <w:pStyle w:val="TOC1"/>
        <w:rPr>
          <w:b/>
        </w:rPr>
      </w:pPr>
    </w:p>
    <w:p w14:paraId="6D338260" w14:textId="77777777" w:rsidR="00E05528" w:rsidRPr="001D29F8" w:rsidRDefault="003F53F1" w:rsidP="001D29F8">
      <w:pPr>
        <w:pStyle w:val="TOC1"/>
        <w:rPr>
          <w:b/>
        </w:rPr>
      </w:pPr>
      <w:r w:rsidRPr="001D29F8">
        <w:rPr>
          <w:b/>
        </w:rPr>
        <w:t>S</w:t>
      </w:r>
      <w:r w:rsidR="00E05528" w:rsidRPr="001D29F8">
        <w:rPr>
          <w:b/>
        </w:rPr>
        <w:tab/>
      </w:r>
      <w:r w:rsidR="001D29F8" w:rsidRPr="001D29F8">
        <w:rPr>
          <w:b/>
        </w:rPr>
        <w:t>Data Collection Summary</w:t>
      </w:r>
    </w:p>
    <w:p w14:paraId="6C1D8925" w14:textId="77777777" w:rsidR="00DD64FF" w:rsidRDefault="00DD64FF" w:rsidP="001D29F8">
      <w:pPr>
        <w:pStyle w:val="TOC1"/>
        <w:rPr>
          <w:b/>
        </w:rPr>
      </w:pPr>
    </w:p>
    <w:p w14:paraId="44233C6A" w14:textId="77777777" w:rsidR="001D29F8" w:rsidRDefault="00E05528" w:rsidP="001D29F8">
      <w:pPr>
        <w:pStyle w:val="TOC1"/>
        <w:rPr>
          <w:b/>
        </w:rPr>
      </w:pPr>
      <w:r w:rsidRPr="001D29F8">
        <w:rPr>
          <w:b/>
        </w:rPr>
        <w:t>T</w:t>
      </w:r>
      <w:r w:rsidRPr="001D29F8">
        <w:rPr>
          <w:b/>
        </w:rPr>
        <w:tab/>
      </w:r>
      <w:r w:rsidR="00DD64FF" w:rsidRPr="001D29F8">
        <w:rPr>
          <w:b/>
        </w:rPr>
        <w:t>Household Recruitment</w:t>
      </w:r>
    </w:p>
    <w:p w14:paraId="16D17E9C" w14:textId="77777777" w:rsidR="00DD64FF" w:rsidRPr="001D29F8" w:rsidRDefault="00DD64FF" w:rsidP="001D29F8">
      <w:pPr>
        <w:pStyle w:val="TOC1"/>
        <w:rPr>
          <w:b/>
          <w:u w:val="single"/>
        </w:rPr>
      </w:pPr>
    </w:p>
    <w:p w14:paraId="7DF2E0D0" w14:textId="77777777" w:rsidR="00E05528" w:rsidRDefault="00E05528" w:rsidP="001D29F8">
      <w:pPr>
        <w:pStyle w:val="SP-SglSpPara"/>
      </w:pPr>
      <w:r>
        <w:t>T1</w:t>
      </w:r>
      <w:r w:rsidR="001D29F8">
        <w:t>.</w:t>
      </w:r>
      <w:r w:rsidR="001D29F8">
        <w:tab/>
      </w:r>
      <w:r w:rsidR="00DD64FF">
        <w:t>Household Survey Recruitment</w:t>
      </w:r>
      <w:r w:rsidR="00DD64FF" w:rsidRPr="00D1336C">
        <w:t xml:space="preserve"> Letter</w:t>
      </w:r>
    </w:p>
    <w:p w14:paraId="69A789F7" w14:textId="77777777" w:rsidR="00E05528" w:rsidRPr="00132FCE" w:rsidRDefault="00E05528" w:rsidP="001D29F8">
      <w:pPr>
        <w:pStyle w:val="SP-SglSpPara"/>
      </w:pPr>
      <w:r>
        <w:t>T2</w:t>
      </w:r>
      <w:r w:rsidR="001D29F8">
        <w:t>.</w:t>
      </w:r>
      <w:r w:rsidR="001D29F8">
        <w:tab/>
      </w:r>
      <w:r w:rsidR="00DD64FF">
        <w:t>Household Survey Recruitment Letter</w:t>
      </w:r>
      <w:r w:rsidR="000C7F02">
        <w:t>―</w:t>
      </w:r>
      <w:r w:rsidR="00DD64FF">
        <w:t>Spanish</w:t>
      </w:r>
    </w:p>
    <w:p w14:paraId="5B64B30D" w14:textId="77777777" w:rsidR="00E05528" w:rsidRPr="00132FCE" w:rsidRDefault="00E05528" w:rsidP="001D29F8">
      <w:pPr>
        <w:pStyle w:val="SP-SglSpPara"/>
      </w:pPr>
      <w:r>
        <w:t>T3</w:t>
      </w:r>
      <w:r w:rsidR="001D29F8">
        <w:t>.</w:t>
      </w:r>
      <w:r w:rsidR="001D29F8">
        <w:tab/>
      </w:r>
      <w:r w:rsidR="00DD64FF">
        <w:t>Household Survey Brochure</w:t>
      </w:r>
    </w:p>
    <w:p w14:paraId="4135F042" w14:textId="77777777" w:rsidR="001D29F8" w:rsidRDefault="001D29F8" w:rsidP="001D29F8">
      <w:pPr>
        <w:pStyle w:val="SP-SglSpPara"/>
      </w:pPr>
      <w:r>
        <w:t>T</w:t>
      </w:r>
      <w:r w:rsidR="00E05528">
        <w:t>4</w:t>
      </w:r>
      <w:r>
        <w:t>.</w:t>
      </w:r>
      <w:r>
        <w:tab/>
      </w:r>
      <w:r w:rsidR="00DD64FF">
        <w:t xml:space="preserve">Household Survey </w:t>
      </w:r>
      <w:r w:rsidR="00DD64FF" w:rsidRPr="00132FCE">
        <w:t>Broc</w:t>
      </w:r>
      <w:r w:rsidR="00DD64FF">
        <w:t>hure</w:t>
      </w:r>
      <w:r w:rsidR="000C7F02">
        <w:t>―</w:t>
      </w:r>
      <w:r w:rsidR="00DD64FF">
        <w:t>Spanish</w:t>
      </w:r>
    </w:p>
    <w:p w14:paraId="4D4EFB74" w14:textId="77777777" w:rsidR="00E05528" w:rsidRDefault="00E05528" w:rsidP="001D29F8">
      <w:pPr>
        <w:pStyle w:val="SP-SglSpPara"/>
      </w:pPr>
      <w:r>
        <w:t>T5</w:t>
      </w:r>
      <w:r w:rsidR="001D29F8">
        <w:t>.</w:t>
      </w:r>
      <w:r w:rsidR="001D29F8">
        <w:tab/>
      </w:r>
      <w:r w:rsidR="00DD64FF">
        <w:t>Household Survey Recruitment Contact Guide</w:t>
      </w:r>
    </w:p>
    <w:p w14:paraId="6A11650F" w14:textId="77777777" w:rsidR="00E05528" w:rsidRDefault="00E05528" w:rsidP="001D29F8">
      <w:pPr>
        <w:pStyle w:val="SP-SglSpPara"/>
      </w:pPr>
      <w:r>
        <w:t>T6</w:t>
      </w:r>
      <w:r w:rsidR="001D29F8">
        <w:t>.</w:t>
      </w:r>
      <w:r w:rsidR="001D29F8">
        <w:tab/>
      </w:r>
      <w:r w:rsidR="00DD64FF">
        <w:t>Household Survey Recruitment Contact Guide</w:t>
      </w:r>
      <w:r w:rsidR="000C7F02">
        <w:t>―</w:t>
      </w:r>
      <w:r w:rsidR="00DD64FF">
        <w:t>Spanish</w:t>
      </w:r>
    </w:p>
    <w:p w14:paraId="385EDB13" w14:textId="77777777" w:rsidR="00E05528" w:rsidRDefault="00E05528" w:rsidP="001D29F8">
      <w:pPr>
        <w:pStyle w:val="SP-SglSpPara"/>
      </w:pPr>
      <w:r>
        <w:t>T7</w:t>
      </w:r>
      <w:r w:rsidR="001D29F8">
        <w:t>.</w:t>
      </w:r>
      <w:r w:rsidR="001D29F8">
        <w:tab/>
      </w:r>
      <w:r w:rsidR="00DD64FF">
        <w:t>Household Interview Recruitment Contact Guide</w:t>
      </w:r>
    </w:p>
    <w:p w14:paraId="2A072D96" w14:textId="77777777" w:rsidR="00E05528" w:rsidRDefault="00E05528" w:rsidP="001D29F8">
      <w:pPr>
        <w:pStyle w:val="SP-SglSpPara"/>
      </w:pPr>
      <w:r>
        <w:t>T8</w:t>
      </w:r>
      <w:r w:rsidR="001D29F8">
        <w:t>.</w:t>
      </w:r>
      <w:r w:rsidR="001D29F8">
        <w:tab/>
      </w:r>
      <w:r w:rsidR="00DD64FF">
        <w:t>Household Interview Recruitment Contact Guide</w:t>
      </w:r>
      <w:r w:rsidR="000C7F02">
        <w:t>―</w:t>
      </w:r>
      <w:r w:rsidR="00DD64FF">
        <w:t>Spanish</w:t>
      </w:r>
    </w:p>
    <w:p w14:paraId="706CAA7B" w14:textId="77777777" w:rsidR="00444339" w:rsidRDefault="00444339" w:rsidP="001D29F8">
      <w:pPr>
        <w:pStyle w:val="SP-SglSpPara"/>
      </w:pPr>
    </w:p>
    <w:p w14:paraId="13D52C78" w14:textId="77777777" w:rsidR="00444339" w:rsidRPr="00444339" w:rsidRDefault="00444339" w:rsidP="00444339">
      <w:pPr>
        <w:pStyle w:val="TOC1"/>
        <w:rPr>
          <w:b/>
        </w:rPr>
      </w:pPr>
      <w:r w:rsidRPr="00444339">
        <w:rPr>
          <w:b/>
        </w:rPr>
        <w:t>U</w:t>
      </w:r>
      <w:r w:rsidRPr="00444339">
        <w:rPr>
          <w:b/>
        </w:rPr>
        <w:tab/>
        <w:t>APEC III Cognitive Pretest Findings Report</w:t>
      </w:r>
    </w:p>
    <w:p w14:paraId="7417ADC4" w14:textId="77777777" w:rsidR="00FD55DE" w:rsidRDefault="00FD55DE" w:rsidP="00520C1E">
      <w:pPr>
        <w:tabs>
          <w:tab w:val="left" w:pos="432"/>
        </w:tabs>
        <w:spacing w:after="240" w:line="240" w:lineRule="auto"/>
        <w:ind w:left="1728" w:hanging="1728"/>
        <w:rPr>
          <w:rFonts w:ascii="Lucida Sans" w:hAnsi="Lucida Sans"/>
          <w:sz w:val="22"/>
          <w:szCs w:val="22"/>
        </w:rPr>
      </w:pPr>
    </w:p>
    <w:p w14:paraId="4B721E8E" w14:textId="77777777" w:rsidR="008D3EB6" w:rsidRDefault="008D3EB6" w:rsidP="006E3562">
      <w:pPr>
        <w:tabs>
          <w:tab w:val="left" w:pos="432"/>
        </w:tabs>
        <w:spacing w:before="240" w:after="240" w:line="240" w:lineRule="auto"/>
        <w:jc w:val="center"/>
        <w:outlineLvl w:val="0"/>
        <w:rPr>
          <w:rFonts w:ascii="Lucida Sans" w:hAnsi="Lucida Sans"/>
          <w:b/>
          <w:caps/>
          <w:szCs w:val="24"/>
        </w:rPr>
        <w:sectPr w:rsidR="008D3EB6" w:rsidSect="008D3EB6">
          <w:headerReference w:type="default" r:id="rId10"/>
          <w:footerReference w:type="default" r:id="rId11"/>
          <w:endnotePr>
            <w:numFmt w:val="decimal"/>
          </w:endnotePr>
          <w:type w:val="continuous"/>
          <w:pgSz w:w="12240" w:h="15840" w:code="1"/>
          <w:pgMar w:top="1440" w:right="1440" w:bottom="1440" w:left="1440" w:header="720" w:footer="576" w:gutter="0"/>
          <w:pgNumType w:fmt="lowerRoman" w:start="1"/>
          <w:cols w:space="720"/>
          <w:docGrid w:linePitch="326"/>
        </w:sectPr>
      </w:pPr>
      <w:bookmarkStart w:id="6" w:name="_Toc316311769"/>
      <w:bookmarkStart w:id="7" w:name="_Toc318291759"/>
      <w:bookmarkStart w:id="8" w:name="_Toc318292443"/>
      <w:bookmarkStart w:id="9" w:name="_Toc409608432"/>
    </w:p>
    <w:p w14:paraId="740B0C38" w14:textId="77777777" w:rsidR="006E3562" w:rsidRDefault="006E3562" w:rsidP="009335C5">
      <w:pPr>
        <w:pStyle w:val="Heading1"/>
      </w:pPr>
      <w:r w:rsidRPr="006E3562">
        <w:t>PART A. JUSTIFICATION</w:t>
      </w:r>
      <w:bookmarkEnd w:id="6"/>
      <w:bookmarkEnd w:id="7"/>
      <w:bookmarkEnd w:id="8"/>
      <w:bookmarkEnd w:id="9"/>
    </w:p>
    <w:p w14:paraId="66E0A9FE" w14:textId="77777777" w:rsidR="009335C5" w:rsidRPr="006E3562" w:rsidRDefault="009335C5" w:rsidP="009335C5">
      <w:pPr>
        <w:pStyle w:val="Heading1"/>
      </w:pPr>
    </w:p>
    <w:p w14:paraId="53E6539B" w14:textId="77777777" w:rsidR="006E3562" w:rsidRPr="006E3562" w:rsidRDefault="006E3562" w:rsidP="008B6333">
      <w:pPr>
        <w:pStyle w:val="Heading2"/>
      </w:pPr>
      <w:bookmarkStart w:id="10" w:name="_Toc316309683"/>
      <w:bookmarkStart w:id="11" w:name="_Toc316311770"/>
      <w:bookmarkStart w:id="12" w:name="_Toc318291760"/>
      <w:bookmarkStart w:id="13" w:name="_Toc318292444"/>
      <w:bookmarkStart w:id="14" w:name="_Toc409608433"/>
      <w:r w:rsidRPr="006E3562">
        <w:t>1.</w:t>
      </w:r>
      <w:r w:rsidRPr="006E3562">
        <w:tab/>
        <w:t>Circumstances That Make the Collection of Information Necessary</w:t>
      </w:r>
      <w:bookmarkEnd w:id="10"/>
      <w:bookmarkEnd w:id="11"/>
      <w:bookmarkEnd w:id="12"/>
      <w:bookmarkEnd w:id="13"/>
      <w:bookmarkEnd w:id="14"/>
    </w:p>
    <w:p w14:paraId="46225573" w14:textId="77777777" w:rsidR="006E3562" w:rsidRPr="006E3562" w:rsidRDefault="009335C5" w:rsidP="009335C5">
      <w:pPr>
        <w:pStyle w:val="Heading5"/>
      </w:pPr>
      <w:r>
        <w:tab/>
      </w:r>
      <w:r w:rsidR="006E3562" w:rsidRPr="006E3562">
        <w:t>Identify any legal or administrative requirements that necessitate the collection. Attach a copy of the appropriate section of each statute and regulation mandating or authorizing the collection of information.</w:t>
      </w:r>
    </w:p>
    <w:p w14:paraId="2E34E516" w14:textId="77777777" w:rsidR="001D29F8" w:rsidRDefault="00C24FD2" w:rsidP="00533B5E">
      <w:pPr>
        <w:pStyle w:val="P1-StandPara"/>
      </w:pPr>
      <w:r w:rsidRPr="00E35C27">
        <w:t xml:space="preserve">This </w:t>
      </w:r>
      <w:r>
        <w:t xml:space="preserve">information collection request </w:t>
      </w:r>
      <w:r w:rsidRPr="00E35C27">
        <w:t xml:space="preserve">is a reinstatement with change of </w:t>
      </w:r>
      <w:r w:rsidR="000E209C">
        <w:t xml:space="preserve">a </w:t>
      </w:r>
      <w:r w:rsidRPr="00E35C27">
        <w:t xml:space="preserve">previously approved collection </w:t>
      </w:r>
      <w:r w:rsidR="000E209C">
        <w:t>[</w:t>
      </w:r>
      <w:r w:rsidR="00772BF9">
        <w:t>NSLP/SBP Access, Participation, Eligibility, and Certification Study</w:t>
      </w:r>
      <w:r w:rsidR="00E605CD">
        <w:t>;</w:t>
      </w:r>
      <w:r>
        <w:t xml:space="preserve"> OMB Number 0584-0530, </w:t>
      </w:r>
      <w:r w:rsidR="003C7024">
        <w:t>Discontinued</w:t>
      </w:r>
      <w:r>
        <w:t xml:space="preserve">: 08/31/2015]. </w:t>
      </w:r>
      <w:r w:rsidR="00772BF9">
        <w:t xml:space="preserve">For this submission, the title has been changed to </w:t>
      </w:r>
      <w:r w:rsidR="008B59A4">
        <w:t xml:space="preserve">the </w:t>
      </w:r>
      <w:r w:rsidR="00772BF9">
        <w:t>Third Access, Participation, Eligibility, and Certification Study Series (APEC III).</w:t>
      </w:r>
      <w:r w:rsidR="001D29F8">
        <w:t xml:space="preserve"> </w:t>
      </w:r>
      <w:r>
        <w:t>Appendices A1</w:t>
      </w:r>
      <w:r w:rsidR="00A9427A">
        <w:rPr>
          <w:rFonts w:ascii="Calibri" w:hAnsi="Calibri"/>
        </w:rPr>
        <w:t>‒</w:t>
      </w:r>
      <w:r>
        <w:t>A9 include appropriate statutes, regulations, and reference documents pertaining to the APEC study series, and APEC III in particular.</w:t>
      </w:r>
    </w:p>
    <w:p w14:paraId="3E453B55" w14:textId="37894093" w:rsidR="001D29F8" w:rsidRDefault="00E35C27" w:rsidP="00533B5E">
      <w:pPr>
        <w:pStyle w:val="P1-StandPara"/>
        <w:rPr>
          <w:rFonts w:cs="Arial"/>
          <w:color w:val="000000"/>
          <w:lang w:val="en"/>
        </w:rPr>
      </w:pPr>
      <w:r w:rsidRPr="00E35C27">
        <w:t xml:space="preserve">The </w:t>
      </w:r>
      <w:r w:rsidR="00A94613">
        <w:t xml:space="preserve">National School Lunch Program (NSLP) and the </w:t>
      </w:r>
      <w:r>
        <w:t xml:space="preserve">School Breakfast Program (SBP), commonly referred to as the </w:t>
      </w:r>
      <w:r w:rsidR="00CA1D66">
        <w:t>School M</w:t>
      </w:r>
      <w:r w:rsidRPr="00E35C27">
        <w:t>eal</w:t>
      </w:r>
      <w:r w:rsidR="00050264">
        <w:t>s</w:t>
      </w:r>
      <w:r w:rsidRPr="00E35C27">
        <w:t xml:space="preserve"> programs</w:t>
      </w:r>
      <w:r>
        <w:t>,</w:t>
      </w:r>
      <w:r w:rsidRPr="00E35C27">
        <w:t xml:space="preserve"> administered by the Food and Nutrition Service (FNS) of the U.S. Department of Agriculture (USDA)</w:t>
      </w:r>
      <w:r w:rsidR="00803597">
        <w:t>,</w:t>
      </w:r>
      <w:r w:rsidRPr="00E35C27">
        <w:t xml:space="preserve"> </w:t>
      </w:r>
      <w:r w:rsidR="00A94613">
        <w:t xml:space="preserve">are </w:t>
      </w:r>
      <w:r>
        <w:rPr>
          <w:rFonts w:cs="Arial"/>
          <w:color w:val="000000"/>
          <w:lang w:val="en"/>
        </w:rPr>
        <w:t xml:space="preserve">authorized under sections </w:t>
      </w:r>
      <w:r w:rsidR="00187DF6">
        <w:rPr>
          <w:rFonts w:cs="Arial"/>
          <w:color w:val="000000"/>
          <w:lang w:val="en"/>
        </w:rPr>
        <w:t xml:space="preserve">10 and 4, </w:t>
      </w:r>
      <w:r>
        <w:rPr>
          <w:rFonts w:cs="Arial"/>
          <w:color w:val="000000"/>
          <w:lang w:val="en"/>
        </w:rPr>
        <w:t xml:space="preserve">respectively, </w:t>
      </w:r>
      <w:r w:rsidRPr="006E3562">
        <w:rPr>
          <w:rFonts w:cs="Arial"/>
          <w:color w:val="000000"/>
          <w:lang w:val="en"/>
        </w:rPr>
        <w:t xml:space="preserve">of the </w:t>
      </w:r>
      <w:r w:rsidR="00D37D36">
        <w:rPr>
          <w:rFonts w:cs="Arial"/>
          <w:color w:val="000000"/>
          <w:lang w:val="en"/>
        </w:rPr>
        <w:t xml:space="preserve">Richard B. Russell </w:t>
      </w:r>
      <w:r w:rsidRPr="006E3562">
        <w:rPr>
          <w:rFonts w:cs="Arial"/>
          <w:color w:val="000000"/>
          <w:lang w:val="en"/>
        </w:rPr>
        <w:t xml:space="preserve">National School Lunch Act </w:t>
      </w:r>
      <w:r>
        <w:rPr>
          <w:rFonts w:cs="Arial"/>
          <w:color w:val="000000"/>
          <w:lang w:val="en"/>
        </w:rPr>
        <w:t xml:space="preserve">of 1966 </w:t>
      </w:r>
      <w:r w:rsidRPr="006E3562">
        <w:rPr>
          <w:rFonts w:cs="Arial"/>
          <w:color w:val="000000"/>
          <w:lang w:val="en"/>
        </w:rPr>
        <w:t>(42 U.S.C. 1766)</w:t>
      </w:r>
      <w:r>
        <w:rPr>
          <w:rFonts w:cs="Arial"/>
          <w:color w:val="000000"/>
          <w:lang w:val="en"/>
        </w:rPr>
        <w:t xml:space="preserve"> </w:t>
      </w:r>
      <w:r w:rsidRPr="00D37D36">
        <w:rPr>
          <w:rFonts w:cs="Arial"/>
          <w:color w:val="000000"/>
          <w:lang w:val="en"/>
        </w:rPr>
        <w:t>(Appendix A1</w:t>
      </w:r>
      <w:r w:rsidRPr="00D41C66">
        <w:rPr>
          <w:rFonts w:cs="Arial"/>
          <w:color w:val="000000"/>
          <w:lang w:val="en"/>
        </w:rPr>
        <w:t>)</w:t>
      </w:r>
      <w:r w:rsidR="00A94613">
        <w:rPr>
          <w:rFonts w:cs="Arial"/>
          <w:color w:val="000000"/>
          <w:lang w:val="en"/>
        </w:rPr>
        <w:t xml:space="preserve">. </w:t>
      </w:r>
      <w:r w:rsidR="00187DF6" w:rsidRPr="00B712B2">
        <w:rPr>
          <w:rFonts w:cs="Arial"/>
          <w:color w:val="000000"/>
          <w:lang w:val="en"/>
        </w:rPr>
        <w:t xml:space="preserve">The NSLP is the second largest of 15 nutrition assistance programs administered by FNS. </w:t>
      </w:r>
      <w:r w:rsidR="00187DF6">
        <w:rPr>
          <w:rFonts w:cs="Arial"/>
          <w:color w:val="000000"/>
          <w:lang w:val="en"/>
        </w:rPr>
        <w:t>The</w:t>
      </w:r>
      <w:r w:rsidR="00187DF6" w:rsidRPr="00B712B2">
        <w:rPr>
          <w:rFonts w:cs="Arial"/>
          <w:color w:val="000000"/>
          <w:lang w:val="en"/>
        </w:rPr>
        <w:t xml:space="preserve"> NSLP operates in virtually all public schools and 94 percent of all schools (public and private</w:t>
      </w:r>
      <w:r w:rsidR="00187DF6">
        <w:rPr>
          <w:rFonts w:cs="Arial"/>
          <w:color w:val="000000"/>
          <w:lang w:val="en"/>
        </w:rPr>
        <w:t xml:space="preserve"> combined) in the United States</w:t>
      </w:r>
      <w:r w:rsidR="00124F3A">
        <w:rPr>
          <w:rFonts w:cs="Arial"/>
          <w:color w:val="000000"/>
          <w:lang w:val="en"/>
        </w:rPr>
        <w:t>.</w:t>
      </w:r>
      <w:r w:rsidR="00187DF6">
        <w:rPr>
          <w:rStyle w:val="FootnoteReference"/>
          <w:rFonts w:cs="Arial"/>
          <w:color w:val="000000"/>
          <w:szCs w:val="24"/>
          <w:lang w:val="en"/>
        </w:rPr>
        <w:footnoteReference w:id="1"/>
      </w:r>
      <w:r w:rsidR="001D29F8">
        <w:rPr>
          <w:rFonts w:cs="Arial"/>
          <w:color w:val="000000"/>
          <w:lang w:val="en"/>
        </w:rPr>
        <w:t xml:space="preserve"> </w:t>
      </w:r>
      <w:r w:rsidR="00187DF6" w:rsidRPr="00B712B2">
        <w:rPr>
          <w:rFonts w:cs="Arial"/>
          <w:color w:val="000000"/>
          <w:lang w:val="en"/>
        </w:rPr>
        <w:t>More than two-thirds (71.1 percent) of these NSLP lunches were served free or at a reduced price to children from low-income households</w:t>
      </w:r>
      <w:r w:rsidR="00124F3A">
        <w:rPr>
          <w:rFonts w:cs="Arial"/>
          <w:color w:val="000000"/>
          <w:lang w:val="en"/>
        </w:rPr>
        <w:t>.</w:t>
      </w:r>
      <w:r w:rsidR="00187DF6">
        <w:rPr>
          <w:rStyle w:val="FootnoteReference"/>
          <w:rFonts w:cs="Arial"/>
          <w:color w:val="000000"/>
          <w:szCs w:val="24"/>
          <w:lang w:val="en"/>
        </w:rPr>
        <w:footnoteReference w:id="2"/>
      </w:r>
      <w:r w:rsidR="00187DF6">
        <w:rPr>
          <w:rFonts w:cs="Arial"/>
          <w:color w:val="000000"/>
          <w:lang w:val="en"/>
        </w:rPr>
        <w:t xml:space="preserve"> </w:t>
      </w:r>
      <w:r w:rsidR="00B712B2" w:rsidRPr="00B712B2">
        <w:rPr>
          <w:rFonts w:cs="Arial"/>
          <w:color w:val="000000"/>
          <w:lang w:val="en"/>
        </w:rPr>
        <w:t>The SBP is available in approximately 90 percent of all public schools that operate the NSLP. The program serves a greater proportion of child</w:t>
      </w:r>
      <w:r w:rsidR="00D37D36">
        <w:rPr>
          <w:rFonts w:cs="Arial"/>
          <w:color w:val="000000"/>
          <w:lang w:val="en"/>
        </w:rPr>
        <w:t xml:space="preserve">ren from low-income households, with </w:t>
      </w:r>
      <w:r w:rsidR="00B712B2" w:rsidRPr="00B712B2">
        <w:rPr>
          <w:rFonts w:cs="Arial"/>
          <w:color w:val="000000"/>
          <w:lang w:val="en"/>
        </w:rPr>
        <w:t>84.7 percent of SBP meals served free or at a reduced price</w:t>
      </w:r>
      <w:r w:rsidR="00D37D36">
        <w:rPr>
          <w:rFonts w:cs="Arial"/>
          <w:color w:val="000000"/>
          <w:lang w:val="en"/>
        </w:rPr>
        <w:t xml:space="preserve"> in FY 2014</w:t>
      </w:r>
      <w:r w:rsidR="00124F3A">
        <w:rPr>
          <w:rFonts w:cs="Arial"/>
          <w:color w:val="000000"/>
          <w:lang w:val="en"/>
        </w:rPr>
        <w:t>.</w:t>
      </w:r>
      <w:r w:rsidR="00B712B2">
        <w:rPr>
          <w:rStyle w:val="FootnoteReference"/>
          <w:rFonts w:cs="Arial"/>
          <w:color w:val="000000"/>
          <w:szCs w:val="24"/>
          <w:lang w:val="en"/>
        </w:rPr>
        <w:footnoteReference w:id="3"/>
      </w:r>
    </w:p>
    <w:p w14:paraId="01020A84" w14:textId="21698BDE" w:rsidR="00645894" w:rsidRDefault="004910B9" w:rsidP="00533B5E">
      <w:pPr>
        <w:pStyle w:val="P1-StandPara"/>
        <w:rPr>
          <w:rFonts w:cs="Arial"/>
          <w:color w:val="000000"/>
          <w:lang w:val="en"/>
        </w:rPr>
      </w:pPr>
      <w:r w:rsidRPr="004910B9">
        <w:rPr>
          <w:rFonts w:cs="Arial"/>
          <w:color w:val="000000"/>
          <w:lang w:val="en"/>
        </w:rPr>
        <w:t xml:space="preserve">The Improper Payment Information Act </w:t>
      </w:r>
      <w:r>
        <w:rPr>
          <w:rFonts w:cs="Arial"/>
          <w:color w:val="000000"/>
          <w:lang w:val="en"/>
        </w:rPr>
        <w:t xml:space="preserve">(IPIA) </w:t>
      </w:r>
      <w:r w:rsidRPr="004910B9">
        <w:rPr>
          <w:rFonts w:cs="Arial"/>
          <w:color w:val="000000"/>
          <w:lang w:val="en"/>
        </w:rPr>
        <w:t xml:space="preserve">of 2002 (PL 107-300) </w:t>
      </w:r>
      <w:r w:rsidRPr="00D41C66">
        <w:t>(</w:t>
      </w:r>
      <w:r w:rsidRPr="00927852">
        <w:t>Appendix A2)</w:t>
      </w:r>
      <w:r w:rsidR="00EB64A5">
        <w:t xml:space="preserve">, 2009 Executive Order </w:t>
      </w:r>
      <w:r w:rsidR="008D76BD">
        <w:t>13520 -</w:t>
      </w:r>
      <w:r w:rsidR="00EB64A5">
        <w:t xml:space="preserve"> </w:t>
      </w:r>
      <w:r w:rsidR="008D76BD">
        <w:t xml:space="preserve">Reducing Improper Payments </w:t>
      </w:r>
      <w:r w:rsidR="00EB64A5">
        <w:t xml:space="preserve">(Appendix A3); </w:t>
      </w:r>
      <w:r w:rsidR="00D2304A" w:rsidRPr="00927852">
        <w:rPr>
          <w:rFonts w:cs="Arial"/>
          <w:color w:val="000000"/>
          <w:lang w:val="en"/>
        </w:rPr>
        <w:t>t</w:t>
      </w:r>
      <w:r w:rsidRPr="00927852">
        <w:rPr>
          <w:rFonts w:cs="Arial"/>
          <w:color w:val="000000"/>
          <w:lang w:val="en"/>
        </w:rPr>
        <w:t>he Improper Payment</w:t>
      </w:r>
      <w:r w:rsidR="00F07B64">
        <w:rPr>
          <w:rFonts w:cs="Arial"/>
          <w:color w:val="000000"/>
          <w:lang w:val="en"/>
        </w:rPr>
        <w:t>s</w:t>
      </w:r>
      <w:r w:rsidRPr="00927852">
        <w:rPr>
          <w:rFonts w:cs="Arial"/>
          <w:color w:val="000000"/>
          <w:lang w:val="en"/>
        </w:rPr>
        <w:t xml:space="preserve"> Elimination and Recovery Act (IPERA) of 2010 (PL 111-204) (</w:t>
      </w:r>
      <w:r w:rsidRPr="00927852">
        <w:t>Appendix A</w:t>
      </w:r>
      <w:r w:rsidR="00F56934">
        <w:t>4</w:t>
      </w:r>
      <w:r w:rsidRPr="00927852">
        <w:t>)</w:t>
      </w:r>
      <w:r w:rsidR="00EB64A5">
        <w:t>; the Improper Payments Elimination and Recovery Improvement Act (IPERIA) of 2012 (Appendix A5); the Office of Inspector</w:t>
      </w:r>
      <w:r w:rsidR="008D76BD">
        <w:t xml:space="preserve"> </w:t>
      </w:r>
      <w:r w:rsidR="00EB64A5">
        <w:t xml:space="preserve"> General</w:t>
      </w:r>
      <w:r w:rsidR="00940E00">
        <w:t xml:space="preserve"> (OIG)</w:t>
      </w:r>
      <w:r w:rsidR="00EB64A5">
        <w:t xml:space="preserve"> USDA FY 2014 </w:t>
      </w:r>
      <w:r w:rsidR="008D76BD">
        <w:t xml:space="preserve">Compliance </w:t>
      </w:r>
      <w:r w:rsidR="00EB64A5">
        <w:t xml:space="preserve">with </w:t>
      </w:r>
      <w:r w:rsidR="008D76BD">
        <w:t xml:space="preserve">Improper Payments Requirements </w:t>
      </w:r>
      <w:r w:rsidR="00EB64A5">
        <w:t xml:space="preserve">(Appendix A6); and the </w:t>
      </w:r>
      <w:r w:rsidR="000B55DE" w:rsidRPr="003B2904">
        <w:rPr>
          <w:i/>
        </w:rPr>
        <w:t xml:space="preserve">Requirements </w:t>
      </w:r>
      <w:r w:rsidR="000B55DE">
        <w:rPr>
          <w:i/>
        </w:rPr>
        <w:t>f</w:t>
      </w:r>
      <w:r w:rsidR="000B55DE" w:rsidRPr="003B2904">
        <w:rPr>
          <w:i/>
        </w:rPr>
        <w:t xml:space="preserve">or Effective Estimation </w:t>
      </w:r>
      <w:r w:rsidR="000B55DE">
        <w:rPr>
          <w:i/>
        </w:rPr>
        <w:t>a</w:t>
      </w:r>
      <w:r w:rsidR="000B55DE" w:rsidRPr="003B2904">
        <w:rPr>
          <w:i/>
        </w:rPr>
        <w:t xml:space="preserve">nd Remediation </w:t>
      </w:r>
      <w:r w:rsidR="000B55DE">
        <w:rPr>
          <w:i/>
        </w:rPr>
        <w:t>o</w:t>
      </w:r>
      <w:r w:rsidR="000B55DE" w:rsidRPr="003B2904">
        <w:rPr>
          <w:i/>
        </w:rPr>
        <w:t>f Improper Payments</w:t>
      </w:r>
      <w:r w:rsidR="00EB64A5">
        <w:t xml:space="preserve"> (Appendix A</w:t>
      </w:r>
      <w:r w:rsidR="00482A02">
        <w:t>7</w:t>
      </w:r>
      <w:r w:rsidR="00EB64A5">
        <w:t>) set forth the priority, mandate</w:t>
      </w:r>
      <w:r w:rsidR="00956406">
        <w:t>,</w:t>
      </w:r>
      <w:r w:rsidR="00EB64A5">
        <w:t xml:space="preserve"> and requirements for</w:t>
      </w:r>
      <w:r w:rsidR="001D29F8">
        <w:t xml:space="preserve"> </w:t>
      </w:r>
      <w:r w:rsidRPr="004910B9">
        <w:rPr>
          <w:rFonts w:cs="Arial"/>
          <w:color w:val="000000"/>
          <w:lang w:val="en"/>
        </w:rPr>
        <w:t xml:space="preserve">FNS </w:t>
      </w:r>
      <w:r w:rsidR="00956406">
        <w:rPr>
          <w:rFonts w:cs="Arial"/>
          <w:color w:val="000000"/>
          <w:lang w:val="en"/>
        </w:rPr>
        <w:t xml:space="preserve">to </w:t>
      </w:r>
      <w:r w:rsidRPr="004910B9">
        <w:rPr>
          <w:rFonts w:cs="Arial"/>
          <w:color w:val="000000"/>
          <w:lang w:val="en"/>
        </w:rPr>
        <w:t>identify</w:t>
      </w:r>
      <w:r w:rsidR="00D72160">
        <w:rPr>
          <w:rFonts w:cs="Arial"/>
          <w:color w:val="000000"/>
          <w:lang w:val="en"/>
        </w:rPr>
        <w:t>, estimate,</w:t>
      </w:r>
      <w:r w:rsidRPr="004910B9">
        <w:rPr>
          <w:rFonts w:cs="Arial"/>
          <w:color w:val="000000"/>
          <w:lang w:val="en"/>
        </w:rPr>
        <w:t xml:space="preserve"> and reduce erroneous payments in these programs, including both underpayments and overpayments. </w:t>
      </w:r>
      <w:r w:rsidR="00D72160">
        <w:rPr>
          <w:rFonts w:cs="Arial"/>
          <w:color w:val="000000"/>
          <w:lang w:val="en"/>
        </w:rPr>
        <w:t xml:space="preserve">Correspondingly, </w:t>
      </w:r>
      <w:r w:rsidR="000B55DE">
        <w:rPr>
          <w:rFonts w:cs="Arial"/>
          <w:color w:val="000000"/>
          <w:lang w:val="en"/>
        </w:rPr>
        <w:t xml:space="preserve">the </w:t>
      </w:r>
      <w:r w:rsidR="00D72160">
        <w:rPr>
          <w:rFonts w:cs="Arial"/>
          <w:color w:val="000000"/>
          <w:lang w:val="en"/>
        </w:rPr>
        <w:t>FNS FY 2014 Research and Evaluation Plan (Appendix A</w:t>
      </w:r>
      <w:r w:rsidR="00482A02">
        <w:rPr>
          <w:rFonts w:cs="Arial"/>
          <w:color w:val="000000"/>
          <w:lang w:val="en"/>
        </w:rPr>
        <w:t>8</w:t>
      </w:r>
      <w:r w:rsidR="00D72160">
        <w:rPr>
          <w:rFonts w:cs="Arial"/>
          <w:color w:val="000000"/>
          <w:lang w:val="en"/>
        </w:rPr>
        <w:t>) includes promoting program integrity by reducing improper payments.</w:t>
      </w:r>
      <w:r w:rsidR="001D29F8">
        <w:rPr>
          <w:rFonts w:cs="Arial"/>
          <w:color w:val="000000"/>
          <w:lang w:val="en"/>
        </w:rPr>
        <w:t xml:space="preserve"> </w:t>
      </w:r>
      <w:r>
        <w:rPr>
          <w:rFonts w:cs="Arial"/>
          <w:color w:val="000000"/>
          <w:lang w:val="en"/>
        </w:rPr>
        <w:t>FNS</w:t>
      </w:r>
      <w:r w:rsidRPr="004910B9">
        <w:rPr>
          <w:rFonts w:cs="Arial"/>
          <w:color w:val="000000"/>
          <w:lang w:val="en"/>
        </w:rPr>
        <w:t xml:space="preserve"> </w:t>
      </w:r>
      <w:r w:rsidR="00E769FB">
        <w:rPr>
          <w:rFonts w:cs="Arial"/>
          <w:color w:val="000000"/>
          <w:lang w:val="en"/>
        </w:rPr>
        <w:t>relies</w:t>
      </w:r>
      <w:r w:rsidRPr="004910B9">
        <w:rPr>
          <w:rFonts w:cs="Arial"/>
          <w:color w:val="000000"/>
          <w:lang w:val="en"/>
        </w:rPr>
        <w:t xml:space="preserve"> upon the Access, Participation, Eligibility and Certification (APEC) Study Series to provide reliable, national estimates of erroneous payments made to school districts in wh</w:t>
      </w:r>
      <w:r w:rsidR="00B712B2">
        <w:rPr>
          <w:rFonts w:cs="Arial"/>
          <w:color w:val="000000"/>
          <w:lang w:val="en"/>
        </w:rPr>
        <w:t xml:space="preserve">ich the NSLP and SBP operate. </w:t>
      </w:r>
      <w:r w:rsidR="00A13EF9">
        <w:rPr>
          <w:rFonts w:cs="Arial"/>
          <w:color w:val="000000"/>
          <w:lang w:val="en"/>
        </w:rPr>
        <w:t xml:space="preserve">This third study in the APEC series </w:t>
      </w:r>
      <w:r w:rsidR="00A13EF9" w:rsidRPr="004910B9">
        <w:rPr>
          <w:rFonts w:cs="Arial"/>
          <w:color w:val="000000"/>
          <w:lang w:val="en"/>
        </w:rPr>
        <w:t>will provide the required information</w:t>
      </w:r>
      <w:r w:rsidR="00A13EF9">
        <w:rPr>
          <w:rFonts w:cs="Arial"/>
          <w:color w:val="000000"/>
          <w:lang w:val="en"/>
        </w:rPr>
        <w:t xml:space="preserve">. </w:t>
      </w:r>
      <w:r w:rsidR="00645894" w:rsidRPr="00A94613">
        <w:t xml:space="preserve">The process required to provide </w:t>
      </w:r>
      <w:r w:rsidR="00A13EF9">
        <w:t>NSLP and SBP</w:t>
      </w:r>
      <w:r w:rsidR="00645894" w:rsidRPr="00A94613">
        <w:t xml:space="preserve"> benefits is complicated</w:t>
      </w:r>
      <w:r w:rsidR="00956406">
        <w:t>;</w:t>
      </w:r>
      <w:r w:rsidR="00645894" w:rsidRPr="00A94613">
        <w:t xml:space="preserve"> the programs have three levels of reimbursement</w:t>
      </w:r>
      <w:r w:rsidR="009275D2">
        <w:t xml:space="preserve"> and</w:t>
      </w:r>
      <w:r w:rsidR="00645894" w:rsidRPr="00A94613">
        <w:t xml:space="preserve"> multiple ways for parents and/or for schools to certify children for reimbursement, and </w:t>
      </w:r>
      <w:r w:rsidR="00D01BFF">
        <w:t xml:space="preserve">there are multiple </w:t>
      </w:r>
      <w:r w:rsidR="00645894" w:rsidRPr="00A94613">
        <w:t xml:space="preserve">standards on the meal components that make a meal reimbursable. While most payments under the program are correct, in </w:t>
      </w:r>
      <w:r w:rsidR="00C109A1">
        <w:t xml:space="preserve">SY 2012-2013 approximately 20 percent </w:t>
      </w:r>
      <w:r w:rsidR="00A65E3A" w:rsidRPr="00A94613">
        <w:t>ha</w:t>
      </w:r>
      <w:r w:rsidR="00A65E3A">
        <w:t>s</w:t>
      </w:r>
      <w:r w:rsidR="00645894" w:rsidRPr="00A94613">
        <w:t xml:space="preserve"> been made in error.</w:t>
      </w:r>
    </w:p>
    <w:p w14:paraId="465A2D3D" w14:textId="77777777" w:rsidR="006E3562" w:rsidRPr="006E3562" w:rsidRDefault="006E3562" w:rsidP="008B6333">
      <w:pPr>
        <w:pStyle w:val="Heading2"/>
      </w:pPr>
      <w:bookmarkStart w:id="15" w:name="_Toc316309684"/>
      <w:bookmarkStart w:id="16" w:name="_Toc316311771"/>
      <w:bookmarkStart w:id="17" w:name="_Toc318291761"/>
      <w:bookmarkStart w:id="18" w:name="_Toc318292445"/>
      <w:bookmarkStart w:id="19" w:name="_Toc409608434"/>
      <w:r w:rsidRPr="006E3562">
        <w:t>2.</w:t>
      </w:r>
      <w:r w:rsidRPr="006E3562">
        <w:tab/>
        <w:t>Purpose and Use of the Information</w:t>
      </w:r>
      <w:bookmarkEnd w:id="15"/>
      <w:bookmarkEnd w:id="16"/>
      <w:bookmarkEnd w:id="17"/>
      <w:bookmarkEnd w:id="18"/>
      <w:bookmarkEnd w:id="19"/>
    </w:p>
    <w:p w14:paraId="0C865B5A" w14:textId="77777777" w:rsidR="00E35C27" w:rsidRPr="00564B4B" w:rsidRDefault="009335C5" w:rsidP="009335C5">
      <w:pPr>
        <w:pStyle w:val="Heading5"/>
      </w:pPr>
      <w:r>
        <w:tab/>
      </w:r>
      <w:r w:rsidR="006E3562" w:rsidRPr="006E3562">
        <w:t>Indicate how, by whom, and for what purpose the information is to be used. Except for a new collection, indicate how the agency has actually used the information receiv</w:t>
      </w:r>
      <w:r w:rsidR="00564B4B">
        <w:t>ed from the current collection.</w:t>
      </w:r>
    </w:p>
    <w:p w14:paraId="196B30A3" w14:textId="660D0388" w:rsidR="001D29F8" w:rsidRDefault="004E02BA" w:rsidP="00533B5E">
      <w:pPr>
        <w:pStyle w:val="P1-StandPara"/>
      </w:pPr>
      <w:r>
        <w:t>Based on findings from</w:t>
      </w:r>
      <w:r w:rsidR="00E35C27" w:rsidRPr="00E35C27">
        <w:t xml:space="preserve"> both APEC I</w:t>
      </w:r>
      <w:r w:rsidR="0041203C">
        <w:rPr>
          <w:rStyle w:val="FootnoteReference"/>
        </w:rPr>
        <w:footnoteReference w:id="4"/>
      </w:r>
      <w:r w:rsidR="00E35C27" w:rsidRPr="00E35C27">
        <w:t xml:space="preserve"> and APEC II</w:t>
      </w:r>
      <w:r w:rsidR="00AD482D">
        <w:rPr>
          <w:rStyle w:val="FootnoteReference"/>
        </w:rPr>
        <w:footnoteReference w:id="5"/>
      </w:r>
      <w:r w:rsidR="00E35C27" w:rsidRPr="00E35C27">
        <w:t>, FNS initiated a comprehensive plan to reduce errors in the s</w:t>
      </w:r>
      <w:r w:rsidR="00F36FA0">
        <w:t>chool meal</w:t>
      </w:r>
      <w:r w:rsidR="006312E5">
        <w:t>s</w:t>
      </w:r>
      <w:r w:rsidR="00F36FA0">
        <w:t xml:space="preserve"> programs, including </w:t>
      </w:r>
      <w:r w:rsidR="00C73EF0">
        <w:t>(</w:t>
      </w:r>
      <w:r w:rsidR="00F36FA0">
        <w:t>a)</w:t>
      </w:r>
      <w:r w:rsidR="003B2904">
        <w:t xml:space="preserve"> </w:t>
      </w:r>
      <w:r w:rsidR="00E35C27" w:rsidRPr="00E35C27">
        <w:t>providing several approaches to certification that can reduce certification error</w:t>
      </w:r>
      <w:r w:rsidR="00E27149">
        <w:t>;</w:t>
      </w:r>
      <w:r w:rsidR="00E35C27" w:rsidRPr="00E35C27">
        <w:t xml:space="preserve"> </w:t>
      </w:r>
      <w:r w:rsidR="00C73EF0">
        <w:t>(</w:t>
      </w:r>
      <w:r w:rsidR="00F36FA0">
        <w:t>b)</w:t>
      </w:r>
      <w:r w:rsidR="003B2904">
        <w:t xml:space="preserve"> </w:t>
      </w:r>
      <w:r w:rsidR="00E35C27" w:rsidRPr="00E35C27">
        <w:t>implementing training programs and professional certifications</w:t>
      </w:r>
      <w:r w:rsidR="00E27149">
        <w:t>;</w:t>
      </w:r>
      <w:r w:rsidR="00E35C27" w:rsidRPr="00E35C27">
        <w:t xml:space="preserve"> </w:t>
      </w:r>
      <w:r w:rsidR="00C73EF0">
        <w:t>(</w:t>
      </w:r>
      <w:r w:rsidR="00F36FA0">
        <w:t>c)</w:t>
      </w:r>
      <w:r w:rsidR="003B2904">
        <w:t xml:space="preserve"> </w:t>
      </w:r>
      <w:r w:rsidR="00E35C27" w:rsidRPr="00E35C27">
        <w:t>funding investments in State technology improvement</w:t>
      </w:r>
      <w:r w:rsidR="00E27149">
        <w:t>;</w:t>
      </w:r>
      <w:r w:rsidR="00E35C27" w:rsidRPr="00E35C27">
        <w:t xml:space="preserve"> and </w:t>
      </w:r>
      <w:r w:rsidR="00C73EF0">
        <w:t>(</w:t>
      </w:r>
      <w:r w:rsidR="00F36FA0">
        <w:t>d)</w:t>
      </w:r>
      <w:r w:rsidR="003B2904">
        <w:t xml:space="preserve"> </w:t>
      </w:r>
      <w:r w:rsidR="00E35C27" w:rsidRPr="00E35C27">
        <w:t>creating the Office of Program Integrity</w:t>
      </w:r>
      <w:r w:rsidR="00564B4B">
        <w:t xml:space="preserve"> for Child Nutrition Programs. </w:t>
      </w:r>
      <w:r w:rsidR="00E35C27" w:rsidRPr="00E35C27">
        <w:t>The objectives of APEC III support FNS</w:t>
      </w:r>
      <w:r w:rsidR="001D29F8">
        <w:t>’</w:t>
      </w:r>
      <w:r w:rsidR="00956406">
        <w:t>s</w:t>
      </w:r>
      <w:r w:rsidR="00E35C27" w:rsidRPr="00E35C27">
        <w:t xml:space="preserve"> continuing actions to reduce improper payments in the </w:t>
      </w:r>
      <w:r w:rsidR="00661E06">
        <w:t xml:space="preserve">school meals </w:t>
      </w:r>
      <w:r w:rsidR="00E35C27" w:rsidRPr="00E35C27">
        <w:t xml:space="preserve">programs. </w:t>
      </w:r>
      <w:r w:rsidR="002649B6">
        <w:t xml:space="preserve">In order </w:t>
      </w:r>
      <w:r w:rsidR="002649B6" w:rsidRPr="00E35C27">
        <w:t>to develop mitigation strategies to reduce errors in the future</w:t>
      </w:r>
      <w:r w:rsidR="002649B6">
        <w:t xml:space="preserve">, </w:t>
      </w:r>
      <w:r w:rsidR="00E35C27" w:rsidRPr="00E35C27">
        <w:t xml:space="preserve">FNS needs accurate and precise estimates of the error rates as well as an in-depth understanding of the causes of errors. </w:t>
      </w:r>
      <w:r w:rsidR="00FA22A6">
        <w:t>This</w:t>
      </w:r>
      <w:r w:rsidR="00E35C27">
        <w:t xml:space="preserve"> collection of primary </w:t>
      </w:r>
      <w:r w:rsidR="00F36FA0">
        <w:t>data during School Year (</w:t>
      </w:r>
      <w:r w:rsidR="00E35C27">
        <w:t>SY</w:t>
      </w:r>
      <w:r w:rsidR="00F36FA0">
        <w:t>)</w:t>
      </w:r>
      <w:r w:rsidR="00E35C27">
        <w:t xml:space="preserve"> 2017-2018 </w:t>
      </w:r>
      <w:r w:rsidR="006E3562" w:rsidRPr="006E3562">
        <w:t xml:space="preserve">will produce national estimates of </w:t>
      </w:r>
      <w:r w:rsidR="005A03F1">
        <w:t xml:space="preserve">improper </w:t>
      </w:r>
      <w:r w:rsidR="005A03F1" w:rsidRPr="006E3562">
        <w:t>payments</w:t>
      </w:r>
      <w:r w:rsidR="006E3562" w:rsidRPr="006E3562">
        <w:t xml:space="preserve"> </w:t>
      </w:r>
      <w:r w:rsidR="005A03F1">
        <w:t xml:space="preserve">(hereafter referred to as erroneous payments) </w:t>
      </w:r>
      <w:r w:rsidR="006E3562" w:rsidRPr="006E3562">
        <w:t xml:space="preserve">in the </w:t>
      </w:r>
      <w:r w:rsidR="00D2304A">
        <w:t>NSLP and SBP</w:t>
      </w:r>
      <w:r w:rsidR="006E3562" w:rsidRPr="006E3562">
        <w:t xml:space="preserve">. Additionally, </w:t>
      </w:r>
      <w:r w:rsidR="00543FBE">
        <w:t xml:space="preserve">due to </w:t>
      </w:r>
      <w:r w:rsidR="00543FBE" w:rsidRPr="006E3562">
        <w:t xml:space="preserve">prohibitive </w:t>
      </w:r>
      <w:r w:rsidR="006E3562" w:rsidRPr="006E3562">
        <w:t>cost</w:t>
      </w:r>
      <w:r w:rsidR="00543FBE">
        <w:t>s</w:t>
      </w:r>
      <w:r w:rsidR="006E3562" w:rsidRPr="006E3562">
        <w:t xml:space="preserve"> </w:t>
      </w:r>
      <w:r w:rsidR="00543FBE">
        <w:t xml:space="preserve">for </w:t>
      </w:r>
      <w:r w:rsidR="006E3562" w:rsidRPr="006E3562">
        <w:t>conduct</w:t>
      </w:r>
      <w:r w:rsidR="00543FBE">
        <w:t>ing</w:t>
      </w:r>
      <w:r w:rsidR="006E3562" w:rsidRPr="006E3562">
        <w:t xml:space="preserve"> large</w:t>
      </w:r>
      <w:r w:rsidR="00543FBE">
        <w:t>,</w:t>
      </w:r>
      <w:r w:rsidR="006E3562" w:rsidRPr="006E3562">
        <w:t xml:space="preserve"> nationally representative </w:t>
      </w:r>
      <w:r w:rsidR="00543FBE" w:rsidRPr="006E3562">
        <w:t>stud</w:t>
      </w:r>
      <w:r w:rsidR="00543FBE">
        <w:t>ies each</w:t>
      </w:r>
      <w:r w:rsidR="00543FBE" w:rsidRPr="006E3562">
        <w:t xml:space="preserve"> </w:t>
      </w:r>
      <w:r w:rsidR="006E3562" w:rsidRPr="006E3562">
        <w:t xml:space="preserve">year, these data will also </w:t>
      </w:r>
      <w:r w:rsidR="006312E5">
        <w:t xml:space="preserve">be </w:t>
      </w:r>
      <w:r w:rsidR="006E3562" w:rsidRPr="006E3562">
        <w:t xml:space="preserve">used to develop estimation models </w:t>
      </w:r>
      <w:r w:rsidR="00543FBE">
        <w:t xml:space="preserve">to </w:t>
      </w:r>
      <w:r w:rsidR="006E3562" w:rsidRPr="006E3562">
        <w:t>use</w:t>
      </w:r>
      <w:r w:rsidR="00543FBE">
        <w:t xml:space="preserve"> in estimating</w:t>
      </w:r>
      <w:r w:rsidR="006E3562" w:rsidRPr="006E3562">
        <w:t xml:space="preserve"> annual </w:t>
      </w:r>
      <w:r w:rsidR="00D731C4">
        <w:t xml:space="preserve">improper </w:t>
      </w:r>
      <w:r w:rsidR="00D2304A">
        <w:t xml:space="preserve">payments. </w:t>
      </w:r>
      <w:r w:rsidR="009F171C">
        <w:t xml:space="preserve">The APEC study series is FNS’ only source of nationally representative measure of improper payments in the NSLP and SBP.  </w:t>
      </w:r>
      <w:r w:rsidR="009061C6">
        <w:t>APEC III</w:t>
      </w:r>
      <w:r w:rsidR="00E35C27">
        <w:t xml:space="preserve"> will meet previous APEC study series objectives (Objective</w:t>
      </w:r>
      <w:r w:rsidR="009335C5">
        <w:t>s</w:t>
      </w:r>
      <w:r w:rsidR="00E35C27">
        <w:t xml:space="preserve"> 1 and 2) in addition to expanding its scope</w:t>
      </w:r>
      <w:r w:rsidR="00D2304A">
        <w:t xml:space="preserve"> </w:t>
      </w:r>
      <w:r w:rsidR="00564B4B">
        <w:t>(Objectives 3 and 4) as follows:</w:t>
      </w:r>
    </w:p>
    <w:p w14:paraId="4035A5BF" w14:textId="77777777" w:rsidR="001D29F8" w:rsidRDefault="001F3FCF" w:rsidP="000E2D19">
      <w:pPr>
        <w:pStyle w:val="N1-1stBullet"/>
      </w:pPr>
      <w:r>
        <w:t xml:space="preserve">Objective 1: </w:t>
      </w:r>
      <w:r w:rsidR="00D2304A" w:rsidRPr="00D2304A">
        <w:t>Generate a national estimate of the annual amount of erroneous payments based on School Year 2017-2018 by replicating the APEC methodology.</w:t>
      </w:r>
    </w:p>
    <w:p w14:paraId="652463A1" w14:textId="77777777" w:rsidR="00D2304A" w:rsidRPr="00D2304A" w:rsidRDefault="001F3FCF" w:rsidP="000E2D19">
      <w:pPr>
        <w:pStyle w:val="N1-1stBullet"/>
      </w:pPr>
      <w:r>
        <w:t xml:space="preserve">Objective 2: </w:t>
      </w:r>
      <w:r w:rsidR="00D2304A" w:rsidRPr="00D2304A">
        <w:t>Provide a robust examination of the relationship of student (household), school, and SFA characteristics to error rates.</w:t>
      </w:r>
    </w:p>
    <w:p w14:paraId="400F1020" w14:textId="77777777" w:rsidR="00D2304A" w:rsidRDefault="001F3FCF" w:rsidP="000E2D19">
      <w:pPr>
        <w:pStyle w:val="N1-1stBullet"/>
      </w:pPr>
      <w:r>
        <w:t>Objective 3:</w:t>
      </w:r>
      <w:r w:rsidR="00D2304A" w:rsidRPr="00D2304A">
        <w:t xml:space="preserve"> Conduct a sub-study on the differences in error rates among SFAs using different implementation strategies in their school meals programs.</w:t>
      </w:r>
    </w:p>
    <w:p w14:paraId="1CEA6009" w14:textId="77777777" w:rsidR="00D2304A" w:rsidRDefault="001F3FCF" w:rsidP="000E2D19">
      <w:pPr>
        <w:pStyle w:val="N1-1stBullet"/>
      </w:pPr>
      <w:r>
        <w:t xml:space="preserve">Objective 4: </w:t>
      </w:r>
      <w:r w:rsidR="00584ED4">
        <w:t>Conduct qualitative</w:t>
      </w:r>
      <w:r w:rsidR="00D2304A" w:rsidRPr="00203651">
        <w:t xml:space="preserve"> analyses examining the reasons for erroneous payments.</w:t>
      </w:r>
    </w:p>
    <w:p w14:paraId="66730CE3" w14:textId="3F689343" w:rsidR="001D29F8" w:rsidRDefault="003A0821" w:rsidP="00533B5E">
      <w:pPr>
        <w:pStyle w:val="P1-StandPara"/>
      </w:pPr>
      <w:r>
        <w:t>While participation in this study is part of Healthy, Hunger-Free Kids Act (HHFKA)</w:t>
      </w:r>
      <w:r w:rsidR="00F40E68">
        <w:t xml:space="preserve"> </w:t>
      </w:r>
      <w:r w:rsidR="00F40E68" w:rsidRPr="007D4BCC">
        <w:t>(Appendix A</w:t>
      </w:r>
      <w:r w:rsidR="00482A02">
        <w:t>9</w:t>
      </w:r>
      <w:r w:rsidR="00F40E68" w:rsidRPr="007D4BCC">
        <w:t>)</w:t>
      </w:r>
      <w:r w:rsidRPr="007D4BCC">
        <w:t xml:space="preserve"> requirements</w:t>
      </w:r>
      <w:r w:rsidR="00C8162E">
        <w:t xml:space="preserve"> to improve the management and integrity of child nutrition programs</w:t>
      </w:r>
      <w:r w:rsidR="00082BDB">
        <w:t xml:space="preserve"> through program evaluation</w:t>
      </w:r>
      <w:r>
        <w:t xml:space="preserve">, </w:t>
      </w:r>
      <w:r w:rsidR="007B7A6B">
        <w:t xml:space="preserve">State, </w:t>
      </w:r>
      <w:r w:rsidR="003E4A98">
        <w:t>School Food Authority (SFA</w:t>
      </w:r>
      <w:r w:rsidR="00564B4B">
        <w:t>), school</w:t>
      </w:r>
      <w:r>
        <w:t xml:space="preserve">, and household participation is voluntary and will not impact receipt of any benefits. </w:t>
      </w:r>
      <w:r w:rsidR="00F40E68">
        <w:t>The information collected from this study may be shared with other departments within the USDA and the government (as determined by FNS)</w:t>
      </w:r>
      <w:r w:rsidR="00E52962">
        <w:t xml:space="preserve">, and </w:t>
      </w:r>
      <w:r w:rsidR="009E5BDD">
        <w:t xml:space="preserve">eventually </w:t>
      </w:r>
      <w:r w:rsidR="00E52962">
        <w:t>made publicly available (aggregated with identifying information redacted)</w:t>
      </w:r>
      <w:r w:rsidR="00F40E68">
        <w:t>.</w:t>
      </w:r>
    </w:p>
    <w:p w14:paraId="66C25593" w14:textId="2F1A16A3" w:rsidR="003E4A98" w:rsidRDefault="003E4A98" w:rsidP="00533B5E">
      <w:pPr>
        <w:pStyle w:val="P1-StandPara"/>
      </w:pPr>
      <w:r w:rsidRPr="003E4A98">
        <w:t xml:space="preserve">Consistent with APEC </w:t>
      </w:r>
      <w:r w:rsidR="00584ED4">
        <w:t xml:space="preserve">II </w:t>
      </w:r>
      <w:r w:rsidRPr="003E4A98">
        <w:t xml:space="preserve">methodology, we propose to </w:t>
      </w:r>
      <w:r w:rsidR="003978DE">
        <w:t xml:space="preserve">implement the study </w:t>
      </w:r>
      <w:r w:rsidRPr="003E4A98">
        <w:t>using a multistage</w:t>
      </w:r>
      <w:r w:rsidR="008D76BD">
        <w:t xml:space="preserve"> </w:t>
      </w:r>
      <w:r w:rsidRPr="003E4A98">
        <w:t>clustered</w:t>
      </w:r>
      <w:r w:rsidR="008D76BD">
        <w:t>-</w:t>
      </w:r>
      <w:r w:rsidRPr="003E4A98">
        <w:t>sam</w:t>
      </w:r>
      <w:r>
        <w:t>ple design, which will include</w:t>
      </w:r>
      <w:r w:rsidR="00F76C48">
        <w:t xml:space="preserve"> the following</w:t>
      </w:r>
      <w:r>
        <w:t>:</w:t>
      </w:r>
    </w:p>
    <w:p w14:paraId="4859E4EF" w14:textId="77777777" w:rsidR="003E4A98" w:rsidRPr="003E4A98" w:rsidRDefault="003E4A98" w:rsidP="000E2D19">
      <w:pPr>
        <w:pStyle w:val="N1-1stBullet"/>
      </w:pPr>
      <w:r w:rsidRPr="003E4A98">
        <w:t>A nationally representative sample of SFAs in the contiguous 48 states and the District of Columbia;</w:t>
      </w:r>
    </w:p>
    <w:p w14:paraId="3BB07A51" w14:textId="77777777" w:rsidR="003E4A98" w:rsidRPr="003E4A98" w:rsidRDefault="003E4A98" w:rsidP="000E2D19">
      <w:pPr>
        <w:pStyle w:val="N1-1stBullet"/>
      </w:pPr>
      <w:r w:rsidRPr="003E4A98">
        <w:t xml:space="preserve">A stratified sample of schools </w:t>
      </w:r>
      <w:r w:rsidR="00715A0A">
        <w:t xml:space="preserve">(including both </w:t>
      </w:r>
      <w:r w:rsidR="00715A0A" w:rsidRPr="00715A0A">
        <w:t xml:space="preserve">schools participating in the Community Eligibility </w:t>
      </w:r>
      <w:r w:rsidR="009061C6">
        <w:t>Provision</w:t>
      </w:r>
      <w:r w:rsidR="009061C6" w:rsidRPr="00715A0A">
        <w:t xml:space="preserve"> </w:t>
      </w:r>
      <w:r w:rsidR="00715A0A" w:rsidRPr="00715A0A">
        <w:t>(CEP) and non-CEP schools</w:t>
      </w:r>
      <w:r w:rsidR="00715A0A">
        <w:t>)</w:t>
      </w:r>
      <w:r w:rsidR="00715A0A" w:rsidRPr="003E4A98">
        <w:t xml:space="preserve"> </w:t>
      </w:r>
      <w:r w:rsidR="00715A0A">
        <w:t>within each SFA;</w:t>
      </w:r>
      <w:r w:rsidR="009335C5">
        <w:t xml:space="preserve"> and</w:t>
      </w:r>
    </w:p>
    <w:p w14:paraId="7C5158ED" w14:textId="77777777" w:rsidR="001D29F8" w:rsidRDefault="003E4A98" w:rsidP="000E2D19">
      <w:pPr>
        <w:pStyle w:val="N1-1stBullet"/>
      </w:pPr>
      <w:r w:rsidRPr="003E4A98">
        <w:t xml:space="preserve">A random sample of students (households) within each sampled school that applied for free and reduced-price meals, were categorically </w:t>
      </w:r>
      <w:r w:rsidR="00EB6FFE">
        <w:t>eligible</w:t>
      </w:r>
      <w:r w:rsidR="00EB6FFE" w:rsidRPr="003E4A98">
        <w:t xml:space="preserve"> </w:t>
      </w:r>
      <w:r w:rsidRPr="003E4A98">
        <w:t>for free meals, or were directly certified for free meals</w:t>
      </w:r>
      <w:r w:rsidR="009335C5">
        <w:t>.</w:t>
      </w:r>
      <w:r w:rsidR="008705EA">
        <w:rPr>
          <w:rStyle w:val="FootnoteReference"/>
        </w:rPr>
        <w:footnoteReference w:id="6"/>
      </w:r>
    </w:p>
    <w:p w14:paraId="57CD84B1" w14:textId="0DB2C110" w:rsidR="009335C5" w:rsidRDefault="00BF5B2F" w:rsidP="00444339">
      <w:pPr>
        <w:pStyle w:val="P1-StandPara"/>
        <w:rPr>
          <w:szCs w:val="24"/>
        </w:rPr>
      </w:pPr>
      <w:r>
        <w:t>Table A2-1 provides a</w:t>
      </w:r>
      <w:r w:rsidR="00C71DA7">
        <w:t xml:space="preserve"> summary of the data collection </w:t>
      </w:r>
      <w:r>
        <w:t>instruments</w:t>
      </w:r>
      <w:r w:rsidR="00F95904">
        <w:t xml:space="preserve"> </w:t>
      </w:r>
      <w:r w:rsidR="00F95904" w:rsidRPr="00AA1100">
        <w:t>that will be used for analyses to meet the study objectives</w:t>
      </w:r>
      <w:r w:rsidR="00C71DA7" w:rsidRPr="00AA1100">
        <w:t>,</w:t>
      </w:r>
      <w:r w:rsidR="00C71DA7">
        <w:t xml:space="preserve"> including </w:t>
      </w:r>
      <w:r w:rsidR="00C73EF0">
        <w:t>(</w:t>
      </w:r>
      <w:r>
        <w:t>a)</w:t>
      </w:r>
      <w:r w:rsidR="003B2904">
        <w:t xml:space="preserve"> </w:t>
      </w:r>
      <w:r>
        <w:t xml:space="preserve">from whom the information will be collected; </w:t>
      </w:r>
      <w:r w:rsidR="00C73EF0">
        <w:t>(</w:t>
      </w:r>
      <w:r>
        <w:t>b)</w:t>
      </w:r>
      <w:r w:rsidR="003B2904">
        <w:t xml:space="preserve"> </w:t>
      </w:r>
      <w:r>
        <w:t xml:space="preserve">how the information will be collected; </w:t>
      </w:r>
      <w:r w:rsidR="00C73EF0">
        <w:t>(</w:t>
      </w:r>
      <w:r w:rsidR="00772BF9">
        <w:t>c)</w:t>
      </w:r>
      <w:r w:rsidR="003B2904">
        <w:t xml:space="preserve"> </w:t>
      </w:r>
      <w:r w:rsidR="00772BF9">
        <w:t>what information is collected</w:t>
      </w:r>
      <w:r w:rsidR="00F76C48">
        <w:t>;</w:t>
      </w:r>
      <w:r w:rsidR="00772BF9">
        <w:t xml:space="preserve"> </w:t>
      </w:r>
      <w:r w:rsidR="008841EA">
        <w:t xml:space="preserve">and </w:t>
      </w:r>
      <w:r w:rsidR="00C73EF0">
        <w:t>(</w:t>
      </w:r>
      <w:r w:rsidR="00772BF9">
        <w:t>d</w:t>
      </w:r>
      <w:r>
        <w:t>)</w:t>
      </w:r>
      <w:r w:rsidR="003B2904">
        <w:t xml:space="preserve"> </w:t>
      </w:r>
      <w:r>
        <w:t>how frequently the informa</w:t>
      </w:r>
      <w:r w:rsidR="00573D74">
        <w:t xml:space="preserve">tion will be collected. </w:t>
      </w:r>
      <w:r w:rsidR="00F95904">
        <w:t>These</w:t>
      </w:r>
      <w:r w:rsidR="00D343C2">
        <w:t xml:space="preserve"> include SFA/State data collection forms (Appendices B1</w:t>
      </w:r>
      <w:r w:rsidR="00F76C48">
        <w:rPr>
          <w:rFonts w:ascii="Calibri" w:hAnsi="Calibri"/>
        </w:rPr>
        <w:t>‒</w:t>
      </w:r>
      <w:r w:rsidR="00D343C2">
        <w:t>B1</w:t>
      </w:r>
      <w:r w:rsidR="006A3367">
        <w:t>4</w:t>
      </w:r>
      <w:r w:rsidR="00D343C2">
        <w:t>), school data collection forms (Appendices C1</w:t>
      </w:r>
      <w:r w:rsidR="00F76C48">
        <w:rPr>
          <w:rFonts w:ascii="Calibri" w:hAnsi="Calibri"/>
        </w:rPr>
        <w:t>‒</w:t>
      </w:r>
      <w:r w:rsidR="00D343C2">
        <w:t>C6</w:t>
      </w:r>
      <w:r w:rsidR="000E209C">
        <w:t>)</w:t>
      </w:r>
      <w:r w:rsidR="004B22D6">
        <w:t>,</w:t>
      </w:r>
      <w:r w:rsidR="00D343C2">
        <w:t xml:space="preserve"> and household data collection forms (Appendices D1</w:t>
      </w:r>
      <w:r w:rsidR="00F76C48">
        <w:rPr>
          <w:rFonts w:ascii="Calibri" w:hAnsi="Calibri"/>
        </w:rPr>
        <w:t>‒</w:t>
      </w:r>
      <w:r w:rsidR="00D343C2">
        <w:t>D1</w:t>
      </w:r>
      <w:r w:rsidR="006A3367">
        <w:t>6</w:t>
      </w:r>
      <w:r w:rsidR="00D343C2">
        <w:t xml:space="preserve">). </w:t>
      </w:r>
      <w:r w:rsidR="00737FF3" w:rsidRPr="00AA1100">
        <w:t xml:space="preserve">Table A2-1 does not include administrative materials that do not </w:t>
      </w:r>
      <w:r w:rsidR="00A772BF">
        <w:t>collect</w:t>
      </w:r>
      <w:r w:rsidR="00737FF3" w:rsidRPr="00AA1100">
        <w:t xml:space="preserve"> key data elements for analysis</w:t>
      </w:r>
      <w:r w:rsidR="00DD2AA0">
        <w:t xml:space="preserve"> (e.g., consent forms, reminder letters, etc.)</w:t>
      </w:r>
      <w:r w:rsidR="000B55DE">
        <w:t>; however, these items are included in th</w:t>
      </w:r>
      <w:r w:rsidR="00CA1D66">
        <w:t>e full burden table</w:t>
      </w:r>
      <w:r w:rsidR="000B55DE">
        <w:t>.</w:t>
      </w:r>
    </w:p>
    <w:p w14:paraId="0268593D" w14:textId="77777777" w:rsidR="00D01BFF" w:rsidRDefault="00D01BFF" w:rsidP="00CF5F34">
      <w:pPr>
        <w:tabs>
          <w:tab w:val="left" w:pos="432"/>
        </w:tabs>
        <w:spacing w:line="480" w:lineRule="auto"/>
        <w:ind w:firstLine="432"/>
        <w:jc w:val="both"/>
        <w:rPr>
          <w:szCs w:val="24"/>
        </w:rPr>
        <w:sectPr w:rsidR="00D01BFF" w:rsidSect="00444339">
          <w:endnotePr>
            <w:numFmt w:val="decimal"/>
          </w:endnotePr>
          <w:pgSz w:w="12240" w:h="15840" w:code="1"/>
          <w:pgMar w:top="1440" w:right="1440" w:bottom="1152" w:left="1440" w:header="720" w:footer="576" w:gutter="0"/>
          <w:pgNumType w:start="1"/>
          <w:cols w:space="720"/>
          <w:docGrid w:linePitch="326"/>
        </w:sectPr>
      </w:pPr>
    </w:p>
    <w:p w14:paraId="783431F4" w14:textId="67A61946" w:rsidR="00CF5F34" w:rsidRDefault="00CF5F34" w:rsidP="009335C5">
      <w:pPr>
        <w:pStyle w:val="TT-TableTitle"/>
      </w:pPr>
      <w:r w:rsidRPr="00403962">
        <w:t>Table A2-1</w:t>
      </w:r>
      <w:r w:rsidR="009335C5">
        <w:t>.</w:t>
      </w:r>
      <w:r w:rsidR="009335C5">
        <w:tab/>
      </w:r>
      <w:r w:rsidRPr="00403962">
        <w:t xml:space="preserve">Summary of </w:t>
      </w:r>
      <w:r w:rsidR="009335C5" w:rsidRPr="00403962">
        <w:t>data collection</w:t>
      </w:r>
      <w:r w:rsidR="009335C5">
        <w:t xml:space="preserve"> instruments and forms</w:t>
      </w:r>
      <w:r w:rsidR="001E1E24">
        <w:t xml:space="preserve">* </w:t>
      </w:r>
    </w:p>
    <w:p w14:paraId="056D51B6" w14:textId="77777777" w:rsidR="009335C5" w:rsidRPr="00E05CFF" w:rsidRDefault="009335C5" w:rsidP="009335C5">
      <w:pPr>
        <w:pStyle w:val="TT-TableTitle"/>
      </w:pPr>
    </w:p>
    <w:tbl>
      <w:tblPr>
        <w:tblW w:w="51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933"/>
        <w:gridCol w:w="3116"/>
        <w:gridCol w:w="3536"/>
        <w:gridCol w:w="1276"/>
        <w:gridCol w:w="1361"/>
      </w:tblGrid>
      <w:tr w:rsidR="002255F3" w:rsidRPr="00AC36F2" w14:paraId="260681F5" w14:textId="77777777" w:rsidTr="00C75786">
        <w:tc>
          <w:tcPr>
            <w:tcW w:w="1452" w:type="dxa"/>
            <w:shd w:val="clear" w:color="auto" w:fill="AFBED7"/>
            <w:vAlign w:val="bottom"/>
          </w:tcPr>
          <w:p w14:paraId="4DE46518" w14:textId="77777777" w:rsidR="00CF5F34" w:rsidRDefault="00CF5F34" w:rsidP="00650940">
            <w:pPr>
              <w:pStyle w:val="TH-TableHeading"/>
            </w:pPr>
            <w:r>
              <w:t xml:space="preserve">Respondent </w:t>
            </w:r>
            <w:r w:rsidR="009335C5">
              <w:t>category</w:t>
            </w:r>
          </w:p>
          <w:p w14:paraId="4E07297A" w14:textId="77777777" w:rsidR="00CF5F34" w:rsidRPr="00AC36F2" w:rsidRDefault="00CF5F34" w:rsidP="00650940">
            <w:pPr>
              <w:pStyle w:val="TH-TableHeading"/>
            </w:pPr>
            <w:r>
              <w:t>(</w:t>
            </w:r>
            <w:r w:rsidR="009335C5">
              <w:t xml:space="preserve">from </w:t>
            </w:r>
            <w:r>
              <w:t>whom collected)</w:t>
            </w:r>
          </w:p>
        </w:tc>
        <w:tc>
          <w:tcPr>
            <w:tcW w:w="2883" w:type="dxa"/>
            <w:shd w:val="clear" w:color="auto" w:fill="AFBED7"/>
            <w:vAlign w:val="bottom"/>
          </w:tcPr>
          <w:p w14:paraId="03CF0C69" w14:textId="77777777" w:rsidR="001D29F8" w:rsidRDefault="00CF5F34" w:rsidP="00650940">
            <w:pPr>
              <w:pStyle w:val="TH-TableHeading"/>
            </w:pPr>
            <w:r w:rsidRPr="00AC36F2">
              <w:t>Instrument/</w:t>
            </w:r>
            <w:r w:rsidR="009335C5" w:rsidRPr="00AC36F2">
              <w:t>form</w:t>
            </w:r>
          </w:p>
          <w:p w14:paraId="391BB884" w14:textId="77777777" w:rsidR="00CF5F34" w:rsidRPr="00AC36F2" w:rsidRDefault="00CF5F34" w:rsidP="00650940">
            <w:pPr>
              <w:pStyle w:val="TH-TableHeading"/>
            </w:pPr>
            <w:r w:rsidRPr="00AC36F2">
              <w:t>(</w:t>
            </w:r>
            <w:r w:rsidR="009335C5" w:rsidRPr="00AC36F2">
              <w:t>appendix reference)</w:t>
            </w:r>
          </w:p>
        </w:tc>
        <w:tc>
          <w:tcPr>
            <w:tcW w:w="3063" w:type="dxa"/>
            <w:shd w:val="clear" w:color="auto" w:fill="AFBED7"/>
            <w:vAlign w:val="bottom"/>
          </w:tcPr>
          <w:p w14:paraId="77826569" w14:textId="77777777" w:rsidR="00CF5F34" w:rsidRDefault="00CF5F34" w:rsidP="00650940">
            <w:pPr>
              <w:pStyle w:val="TH-TableHeading"/>
            </w:pPr>
            <w:r w:rsidRPr="00AC36F2">
              <w:t xml:space="preserve">Mode of </w:t>
            </w:r>
            <w:r w:rsidR="009335C5" w:rsidRPr="00AC36F2">
              <w:t>data collectio</w:t>
            </w:r>
            <w:r w:rsidRPr="00AC36F2">
              <w:t>n</w:t>
            </w:r>
          </w:p>
          <w:p w14:paraId="60795598" w14:textId="77777777" w:rsidR="00CF5F34" w:rsidRPr="00AC36F2" w:rsidRDefault="00CF5F34" w:rsidP="00650940">
            <w:pPr>
              <w:pStyle w:val="TH-TableHeading"/>
            </w:pPr>
            <w:r>
              <w:t>(</w:t>
            </w:r>
            <w:r w:rsidR="009335C5">
              <w:t xml:space="preserve">how </w:t>
            </w:r>
            <w:r>
              <w:t>collected)</w:t>
            </w:r>
          </w:p>
        </w:tc>
        <w:tc>
          <w:tcPr>
            <w:tcW w:w="3475" w:type="dxa"/>
            <w:shd w:val="clear" w:color="auto" w:fill="AFBED7"/>
            <w:vAlign w:val="bottom"/>
          </w:tcPr>
          <w:p w14:paraId="29D58A27" w14:textId="77777777" w:rsidR="00CF5F34" w:rsidRDefault="00CF5F34" w:rsidP="00650940">
            <w:pPr>
              <w:pStyle w:val="TH-TableHeading"/>
            </w:pPr>
            <w:r w:rsidRPr="00AC36F2">
              <w:t xml:space="preserve">Key </w:t>
            </w:r>
            <w:r w:rsidR="009335C5" w:rsidRPr="00AC36F2">
              <w:t>data elements</w:t>
            </w:r>
          </w:p>
          <w:p w14:paraId="0021BD28" w14:textId="77777777" w:rsidR="00CF5F34" w:rsidRPr="00AC36F2" w:rsidRDefault="00CF5F34" w:rsidP="00650940">
            <w:pPr>
              <w:pStyle w:val="TH-TableHeading"/>
            </w:pPr>
            <w:r>
              <w:t>(</w:t>
            </w:r>
            <w:r w:rsidR="009335C5">
              <w:t xml:space="preserve">what </w:t>
            </w:r>
            <w:r>
              <w:t>is collected)</w:t>
            </w:r>
          </w:p>
        </w:tc>
        <w:tc>
          <w:tcPr>
            <w:tcW w:w="1254" w:type="dxa"/>
            <w:shd w:val="clear" w:color="auto" w:fill="AFBED7"/>
            <w:vAlign w:val="bottom"/>
          </w:tcPr>
          <w:p w14:paraId="296269D8" w14:textId="77777777" w:rsidR="001D29F8" w:rsidRDefault="00CF5F34" w:rsidP="00650940">
            <w:pPr>
              <w:pStyle w:val="TH-TableHeading"/>
            </w:pPr>
            <w:r>
              <w:t>Frequency</w:t>
            </w:r>
          </w:p>
          <w:p w14:paraId="3F8353CB" w14:textId="77777777" w:rsidR="00CF5F34" w:rsidRPr="00AC36F2" w:rsidRDefault="00CF5F34" w:rsidP="00650940">
            <w:pPr>
              <w:pStyle w:val="TH-TableHeading"/>
            </w:pPr>
            <w:r>
              <w:t xml:space="preserve">per </w:t>
            </w:r>
            <w:r w:rsidR="009335C5">
              <w:t xml:space="preserve">respondent </w:t>
            </w:r>
          </w:p>
        </w:tc>
        <w:tc>
          <w:tcPr>
            <w:tcW w:w="1338" w:type="dxa"/>
            <w:tcBorders>
              <w:bottom w:val="single" w:sz="4" w:space="0" w:color="auto"/>
            </w:tcBorders>
            <w:shd w:val="clear" w:color="auto" w:fill="AFBED7"/>
            <w:vAlign w:val="bottom"/>
          </w:tcPr>
          <w:p w14:paraId="2C32702F" w14:textId="77777777" w:rsidR="00CF5F34" w:rsidRPr="00AC36F2" w:rsidRDefault="00CF5F34" w:rsidP="00650940">
            <w:pPr>
              <w:pStyle w:val="TH-TableHeading"/>
            </w:pPr>
            <w:r w:rsidRPr="00AC36F2">
              <w:t xml:space="preserve">Type of </w:t>
            </w:r>
            <w:r w:rsidR="009335C5" w:rsidRPr="00AC36F2">
              <w:t>error</w:t>
            </w:r>
          </w:p>
        </w:tc>
      </w:tr>
      <w:tr w:rsidR="002255F3" w:rsidRPr="00AC36F2" w14:paraId="6717C686" w14:textId="77777777" w:rsidTr="00C75786">
        <w:tc>
          <w:tcPr>
            <w:tcW w:w="1452" w:type="dxa"/>
            <w:vMerge w:val="restart"/>
            <w:shd w:val="clear" w:color="auto" w:fill="auto"/>
          </w:tcPr>
          <w:p w14:paraId="62B46766" w14:textId="77777777" w:rsidR="00CF5F34" w:rsidRPr="00AC36F2" w:rsidRDefault="00CF5F34" w:rsidP="00650940">
            <w:pPr>
              <w:pStyle w:val="TX-TableText"/>
            </w:pPr>
            <w:r w:rsidRPr="00AC36F2">
              <w:t>SFA</w:t>
            </w:r>
          </w:p>
        </w:tc>
        <w:tc>
          <w:tcPr>
            <w:tcW w:w="2883" w:type="dxa"/>
            <w:shd w:val="clear" w:color="auto" w:fill="auto"/>
          </w:tcPr>
          <w:p w14:paraId="3DEF9443" w14:textId="77777777" w:rsidR="00CF5F34" w:rsidRPr="004E041D" w:rsidRDefault="00CF5F34" w:rsidP="00650940">
            <w:pPr>
              <w:pStyle w:val="TX-TableText"/>
              <w:rPr>
                <w:spacing w:val="-1"/>
              </w:rPr>
            </w:pPr>
            <w:r w:rsidRPr="004E041D">
              <w:rPr>
                <w:spacing w:val="-1"/>
              </w:rPr>
              <w:t>SFA Request and Reminder Letters for E</w:t>
            </w:r>
            <w:r w:rsidR="00831CCD" w:rsidRPr="004E041D">
              <w:rPr>
                <w:spacing w:val="-1"/>
              </w:rPr>
              <w:t>-</w:t>
            </w:r>
            <w:r w:rsidRPr="004E041D">
              <w:rPr>
                <w:spacing w:val="-1"/>
              </w:rPr>
              <w:t xml:space="preserve"> Records (CEP and Non-CEP) (Appendices B1</w:t>
            </w:r>
            <w:r w:rsidR="00F76C48">
              <w:rPr>
                <w:spacing w:val="-1"/>
              </w:rPr>
              <w:t xml:space="preserve">, </w:t>
            </w:r>
            <w:r w:rsidRPr="004E041D">
              <w:rPr>
                <w:spacing w:val="-1"/>
              </w:rPr>
              <w:t>B2</w:t>
            </w:r>
            <w:r w:rsidR="00831CCD" w:rsidRPr="004E041D">
              <w:rPr>
                <w:spacing w:val="-1"/>
              </w:rPr>
              <w:t>, B3, and B4</w:t>
            </w:r>
            <w:r w:rsidRPr="004E041D">
              <w:rPr>
                <w:spacing w:val="-1"/>
              </w:rPr>
              <w:t>)</w:t>
            </w:r>
          </w:p>
        </w:tc>
        <w:tc>
          <w:tcPr>
            <w:tcW w:w="3063" w:type="dxa"/>
            <w:shd w:val="clear" w:color="auto" w:fill="auto"/>
          </w:tcPr>
          <w:p w14:paraId="2B17B0DF" w14:textId="77777777" w:rsidR="00CF5F34" w:rsidRDefault="00CF5F34" w:rsidP="004E041D">
            <w:pPr>
              <w:pStyle w:val="TB-TableBullet"/>
              <w:ind w:left="360"/>
            </w:pPr>
            <w:r>
              <w:t>Electronic data request, web portal for uploading data</w:t>
            </w:r>
          </w:p>
          <w:p w14:paraId="46E92F62" w14:textId="77777777" w:rsidR="00045732" w:rsidRPr="00AC36F2" w:rsidRDefault="00045732" w:rsidP="004E041D">
            <w:pPr>
              <w:pStyle w:val="TB-TableBullet"/>
              <w:ind w:left="360"/>
            </w:pPr>
            <w:r>
              <w:t>Backup manual process</w:t>
            </w:r>
          </w:p>
        </w:tc>
        <w:tc>
          <w:tcPr>
            <w:tcW w:w="3475" w:type="dxa"/>
            <w:shd w:val="clear" w:color="auto" w:fill="auto"/>
          </w:tcPr>
          <w:p w14:paraId="7ACB8A4E" w14:textId="77777777" w:rsidR="00CF5F34" w:rsidRDefault="00CF5F34" w:rsidP="004E041D">
            <w:pPr>
              <w:pStyle w:val="TB-TableBullet"/>
              <w:ind w:left="360"/>
            </w:pPr>
            <w:r>
              <w:t>Student information</w:t>
            </w:r>
          </w:p>
          <w:p w14:paraId="6D85CC04" w14:textId="77777777" w:rsidR="00CF5F34" w:rsidRPr="00AC36F2" w:rsidRDefault="00CF5F34" w:rsidP="004E041D">
            <w:pPr>
              <w:pStyle w:val="TB-TableBullet"/>
              <w:ind w:left="360"/>
            </w:pPr>
            <w:r>
              <w:t>Student certification status</w:t>
            </w:r>
          </w:p>
        </w:tc>
        <w:tc>
          <w:tcPr>
            <w:tcW w:w="1254" w:type="dxa"/>
            <w:shd w:val="clear" w:color="auto" w:fill="auto"/>
          </w:tcPr>
          <w:p w14:paraId="40F0B50E" w14:textId="77777777" w:rsidR="00CF5F34" w:rsidRDefault="00CF5F34" w:rsidP="00650940">
            <w:pPr>
              <w:pStyle w:val="TX-TableText"/>
            </w:pPr>
            <w:r>
              <w:t>Up to three times</w:t>
            </w:r>
          </w:p>
        </w:tc>
        <w:tc>
          <w:tcPr>
            <w:tcW w:w="1338" w:type="dxa"/>
            <w:shd w:val="clear" w:color="auto" w:fill="BFBFBF"/>
          </w:tcPr>
          <w:p w14:paraId="6D5EC0CF" w14:textId="77777777" w:rsidR="00CF5F34" w:rsidRPr="00AC36F2" w:rsidRDefault="00CF5F34" w:rsidP="00650940">
            <w:pPr>
              <w:pStyle w:val="TX-TableText"/>
            </w:pPr>
          </w:p>
        </w:tc>
      </w:tr>
      <w:tr w:rsidR="002255F3" w:rsidRPr="00AC36F2" w14:paraId="2E5D9F73" w14:textId="77777777" w:rsidTr="00C75786">
        <w:tc>
          <w:tcPr>
            <w:tcW w:w="1452" w:type="dxa"/>
            <w:vMerge/>
            <w:shd w:val="clear" w:color="auto" w:fill="auto"/>
          </w:tcPr>
          <w:p w14:paraId="1627F04D" w14:textId="77777777" w:rsidR="00CF5F34" w:rsidRPr="00AC36F2" w:rsidRDefault="00CF5F34" w:rsidP="00650940">
            <w:pPr>
              <w:pStyle w:val="TX-TableText"/>
            </w:pPr>
          </w:p>
        </w:tc>
        <w:tc>
          <w:tcPr>
            <w:tcW w:w="2883" w:type="dxa"/>
            <w:shd w:val="clear" w:color="auto" w:fill="auto"/>
          </w:tcPr>
          <w:p w14:paraId="153A89D9" w14:textId="77777777" w:rsidR="00CF5F34" w:rsidRPr="004E041D" w:rsidRDefault="00CF5F34" w:rsidP="00650940">
            <w:pPr>
              <w:pStyle w:val="TX-TableText"/>
              <w:rPr>
                <w:spacing w:val="-1"/>
              </w:rPr>
            </w:pPr>
            <w:r w:rsidRPr="004E041D">
              <w:rPr>
                <w:spacing w:val="-1"/>
              </w:rPr>
              <w:t>SFA Pre-Visit Interview</w:t>
            </w:r>
          </w:p>
          <w:p w14:paraId="01C71570" w14:textId="77777777" w:rsidR="00CF5F34" w:rsidRPr="004E041D" w:rsidRDefault="00CF5F34" w:rsidP="00650940">
            <w:pPr>
              <w:pStyle w:val="TX-TableText"/>
              <w:rPr>
                <w:spacing w:val="-1"/>
              </w:rPr>
            </w:pPr>
            <w:r w:rsidRPr="004E041D">
              <w:rPr>
                <w:spacing w:val="-1"/>
              </w:rPr>
              <w:t>(Appendix B</w:t>
            </w:r>
            <w:r w:rsidR="00294A58" w:rsidRPr="004E041D">
              <w:rPr>
                <w:spacing w:val="-1"/>
              </w:rPr>
              <w:t>5</w:t>
            </w:r>
            <w:r w:rsidRPr="004E041D">
              <w:rPr>
                <w:spacing w:val="-1"/>
              </w:rPr>
              <w:t>)</w:t>
            </w:r>
          </w:p>
        </w:tc>
        <w:tc>
          <w:tcPr>
            <w:tcW w:w="3063" w:type="dxa"/>
            <w:shd w:val="clear" w:color="auto" w:fill="auto"/>
          </w:tcPr>
          <w:p w14:paraId="4D8E27BA" w14:textId="77777777" w:rsidR="00CF5F34" w:rsidRPr="004E041D" w:rsidRDefault="00CF5F34" w:rsidP="004E041D">
            <w:pPr>
              <w:pStyle w:val="TB-TableBullet"/>
              <w:ind w:left="360"/>
              <w:rPr>
                <w:rFonts w:eastAsia="Franklin Gothic Medium" w:cs="Franklin Gothic Medium"/>
              </w:rPr>
            </w:pPr>
            <w:r w:rsidRPr="00AC36F2">
              <w:t>Phone/</w:t>
            </w:r>
            <w:r w:rsidR="004B22D6">
              <w:t>e</w:t>
            </w:r>
            <w:r w:rsidRPr="00AC36F2">
              <w:t>mail</w:t>
            </w:r>
          </w:p>
        </w:tc>
        <w:tc>
          <w:tcPr>
            <w:tcW w:w="3475" w:type="dxa"/>
            <w:shd w:val="clear" w:color="auto" w:fill="auto"/>
          </w:tcPr>
          <w:p w14:paraId="6196F3B2" w14:textId="77777777" w:rsidR="00CF5F34" w:rsidRPr="00AC36F2" w:rsidRDefault="00CF5F34" w:rsidP="004E041D">
            <w:pPr>
              <w:pStyle w:val="TB-TableBullet"/>
              <w:ind w:left="360"/>
            </w:pPr>
            <w:r w:rsidRPr="00AC36F2">
              <w:t>SFA and</w:t>
            </w:r>
            <w:r w:rsidRPr="004E041D">
              <w:rPr>
                <w:spacing w:val="-6"/>
              </w:rPr>
              <w:t xml:space="preserve"> </w:t>
            </w:r>
            <w:r w:rsidRPr="00AC36F2">
              <w:t>school</w:t>
            </w:r>
            <w:r w:rsidRPr="004E041D">
              <w:rPr>
                <w:spacing w:val="-4"/>
              </w:rPr>
              <w:t xml:space="preserve"> </w:t>
            </w:r>
            <w:r w:rsidRPr="00AC36F2">
              <w:t>information</w:t>
            </w:r>
            <w:r w:rsidRPr="004E041D">
              <w:rPr>
                <w:spacing w:val="-4"/>
              </w:rPr>
              <w:t xml:space="preserve"> (to prepare for</w:t>
            </w:r>
            <w:r w:rsidRPr="004E041D">
              <w:rPr>
                <w:spacing w:val="-8"/>
              </w:rPr>
              <w:t xml:space="preserve"> </w:t>
            </w:r>
            <w:r w:rsidRPr="00AC36F2">
              <w:t>data</w:t>
            </w:r>
            <w:r w:rsidRPr="004E041D">
              <w:rPr>
                <w:spacing w:val="-8"/>
              </w:rPr>
              <w:t xml:space="preserve"> </w:t>
            </w:r>
            <w:r w:rsidRPr="00AC36F2">
              <w:t>collection</w:t>
            </w:r>
            <w:r w:rsidRPr="004E041D">
              <w:rPr>
                <w:spacing w:val="-7"/>
              </w:rPr>
              <w:t xml:space="preserve"> </w:t>
            </w:r>
            <w:r w:rsidRPr="00AC36F2">
              <w:t>visit)</w:t>
            </w:r>
          </w:p>
        </w:tc>
        <w:tc>
          <w:tcPr>
            <w:tcW w:w="1254" w:type="dxa"/>
            <w:shd w:val="clear" w:color="auto" w:fill="auto"/>
          </w:tcPr>
          <w:p w14:paraId="770FDE6F" w14:textId="77777777" w:rsidR="00CF5F34" w:rsidRPr="00AC36F2" w:rsidRDefault="00CF5F34" w:rsidP="00650940">
            <w:pPr>
              <w:pStyle w:val="TX-TableText"/>
            </w:pPr>
            <w:r>
              <w:t>Once</w:t>
            </w:r>
          </w:p>
        </w:tc>
        <w:tc>
          <w:tcPr>
            <w:tcW w:w="1338" w:type="dxa"/>
            <w:shd w:val="clear" w:color="auto" w:fill="BFBFBF"/>
          </w:tcPr>
          <w:p w14:paraId="36D5424F" w14:textId="77777777" w:rsidR="00CF5F34" w:rsidRPr="00AC36F2" w:rsidRDefault="00CF5F34" w:rsidP="00650940">
            <w:pPr>
              <w:pStyle w:val="TX-TableText"/>
            </w:pPr>
          </w:p>
        </w:tc>
      </w:tr>
      <w:tr w:rsidR="002255F3" w:rsidRPr="00AC36F2" w14:paraId="4E792BA4" w14:textId="77777777" w:rsidTr="00C75786">
        <w:tc>
          <w:tcPr>
            <w:tcW w:w="1452" w:type="dxa"/>
            <w:vMerge/>
            <w:shd w:val="clear" w:color="auto" w:fill="auto"/>
          </w:tcPr>
          <w:p w14:paraId="58BAD4F2" w14:textId="77777777" w:rsidR="00CF5F34" w:rsidRPr="00AC36F2" w:rsidRDefault="00CF5F34" w:rsidP="00650940">
            <w:pPr>
              <w:pStyle w:val="TX-TableText"/>
            </w:pPr>
          </w:p>
        </w:tc>
        <w:tc>
          <w:tcPr>
            <w:tcW w:w="2883" w:type="dxa"/>
            <w:shd w:val="clear" w:color="auto" w:fill="auto"/>
          </w:tcPr>
          <w:p w14:paraId="12881D69" w14:textId="77777777" w:rsidR="00CF5F34" w:rsidRPr="00757BCD" w:rsidRDefault="00CF5F34" w:rsidP="00650940">
            <w:pPr>
              <w:pStyle w:val="TX-TableText"/>
            </w:pPr>
            <w:r w:rsidRPr="004E041D">
              <w:rPr>
                <w:spacing w:val="-1"/>
              </w:rPr>
              <w:t>Application Data Abstraction</w:t>
            </w:r>
            <w:r w:rsidRPr="004E041D">
              <w:rPr>
                <w:spacing w:val="20"/>
                <w:w w:val="99"/>
              </w:rPr>
              <w:t xml:space="preserve"> </w:t>
            </w:r>
            <w:r w:rsidRPr="00757BCD">
              <w:t>Form (Appendix B</w:t>
            </w:r>
            <w:r w:rsidR="00294A58">
              <w:t>7</w:t>
            </w:r>
            <w:r w:rsidRPr="00757BCD">
              <w:t xml:space="preserve">) </w:t>
            </w:r>
          </w:p>
        </w:tc>
        <w:tc>
          <w:tcPr>
            <w:tcW w:w="3063" w:type="dxa"/>
            <w:shd w:val="clear" w:color="auto" w:fill="auto"/>
          </w:tcPr>
          <w:p w14:paraId="0ADD024A" w14:textId="77777777" w:rsidR="00CF5F34" w:rsidRPr="004E041D" w:rsidRDefault="00CF5F34" w:rsidP="004E041D">
            <w:pPr>
              <w:pStyle w:val="TB-TableBullet"/>
              <w:ind w:left="360"/>
              <w:rPr>
                <w:rFonts w:eastAsia="Franklin Gothic Medium" w:cs="Franklin Gothic Medium"/>
              </w:rPr>
            </w:pPr>
            <w:r w:rsidRPr="00AC36F2">
              <w:t>In-</w:t>
            </w:r>
            <w:r w:rsidR="004B22D6">
              <w:t>p</w:t>
            </w:r>
            <w:r w:rsidRPr="00AC36F2">
              <w:t>erson</w:t>
            </w:r>
            <w:r w:rsidRPr="004E041D">
              <w:rPr>
                <w:spacing w:val="-8"/>
              </w:rPr>
              <w:t xml:space="preserve"> </w:t>
            </w:r>
            <w:r w:rsidRPr="00AC36F2">
              <w:t>record</w:t>
            </w:r>
            <w:r w:rsidRPr="004E041D">
              <w:rPr>
                <w:spacing w:val="-7"/>
              </w:rPr>
              <w:t xml:space="preserve"> </w:t>
            </w:r>
            <w:r w:rsidRPr="00AC36F2">
              <w:t>abstraction</w:t>
            </w:r>
          </w:p>
          <w:p w14:paraId="5BAD8CC0" w14:textId="77777777" w:rsidR="00CF5F34" w:rsidRPr="004E041D" w:rsidRDefault="00CF5F34" w:rsidP="004E041D">
            <w:pPr>
              <w:pStyle w:val="TB-TableBullet"/>
              <w:ind w:left="360"/>
              <w:rPr>
                <w:rFonts w:eastAsia="Franklin Gothic Medium" w:cs="Franklin Gothic Medium"/>
              </w:rPr>
            </w:pPr>
            <w:r w:rsidRPr="00AC36F2">
              <w:t>Data</w:t>
            </w:r>
            <w:r w:rsidRPr="004E041D">
              <w:rPr>
                <w:spacing w:val="-6"/>
              </w:rPr>
              <w:t xml:space="preserve"> </w:t>
            </w:r>
            <w:r w:rsidRPr="00AC36F2">
              <w:t>entry</w:t>
            </w:r>
            <w:r w:rsidRPr="004E041D">
              <w:rPr>
                <w:spacing w:val="-4"/>
              </w:rPr>
              <w:t xml:space="preserve"> </w:t>
            </w:r>
            <w:r w:rsidRPr="00AC36F2">
              <w:t>via</w:t>
            </w:r>
            <w:r w:rsidRPr="004E041D">
              <w:rPr>
                <w:spacing w:val="27"/>
                <w:w w:val="99"/>
              </w:rPr>
              <w:t xml:space="preserve"> </w:t>
            </w:r>
            <w:r w:rsidRPr="00AC36F2">
              <w:t>web/MiFi</w:t>
            </w:r>
          </w:p>
          <w:p w14:paraId="2BFD809C" w14:textId="77777777" w:rsidR="00CF5F34" w:rsidRPr="00AC36F2" w:rsidRDefault="00CF5F34" w:rsidP="004E041D">
            <w:pPr>
              <w:pStyle w:val="TB-TableBullet"/>
              <w:ind w:left="360"/>
            </w:pPr>
            <w:r>
              <w:t>Scanned</w:t>
            </w:r>
            <w:r w:rsidRPr="004E041D">
              <w:rPr>
                <w:spacing w:val="-14"/>
              </w:rPr>
              <w:t xml:space="preserve"> </w:t>
            </w:r>
            <w:r w:rsidRPr="00AC36F2">
              <w:t>backup</w:t>
            </w:r>
          </w:p>
        </w:tc>
        <w:tc>
          <w:tcPr>
            <w:tcW w:w="3475" w:type="dxa"/>
            <w:shd w:val="clear" w:color="auto" w:fill="auto"/>
          </w:tcPr>
          <w:p w14:paraId="373BB8DD" w14:textId="77777777" w:rsidR="00CF5F34" w:rsidRPr="004E041D" w:rsidRDefault="00CF5F34" w:rsidP="004E041D">
            <w:pPr>
              <w:pStyle w:val="TB-TableBullet"/>
              <w:ind w:left="360"/>
              <w:rPr>
                <w:rFonts w:eastAsia="Franklin Gothic Medium" w:cs="Franklin Gothic Medium"/>
              </w:rPr>
            </w:pPr>
            <w:r w:rsidRPr="00AC36F2">
              <w:t>Household</w:t>
            </w:r>
            <w:r w:rsidRPr="004E041D">
              <w:rPr>
                <w:spacing w:val="-7"/>
              </w:rPr>
              <w:t xml:space="preserve"> </w:t>
            </w:r>
            <w:r w:rsidRPr="00AC36F2">
              <w:t>size</w:t>
            </w:r>
            <w:r w:rsidRPr="004E041D">
              <w:rPr>
                <w:spacing w:val="-6"/>
              </w:rPr>
              <w:t xml:space="preserve"> </w:t>
            </w:r>
            <w:r w:rsidRPr="00AC36F2">
              <w:t>and</w:t>
            </w:r>
            <w:r w:rsidRPr="004E041D">
              <w:rPr>
                <w:spacing w:val="-6"/>
              </w:rPr>
              <w:t xml:space="preserve"> </w:t>
            </w:r>
            <w:r w:rsidRPr="00AC36F2">
              <w:t>income</w:t>
            </w:r>
          </w:p>
          <w:p w14:paraId="092FC81C" w14:textId="77777777" w:rsidR="00CF5F34" w:rsidRPr="004E041D" w:rsidRDefault="00CF5F34" w:rsidP="004E041D">
            <w:pPr>
              <w:pStyle w:val="TB-TableBullet"/>
              <w:ind w:left="360"/>
              <w:rPr>
                <w:rFonts w:eastAsia="Franklin Gothic Medium" w:cs="Franklin Gothic Medium"/>
              </w:rPr>
            </w:pPr>
            <w:r w:rsidRPr="00AC36F2">
              <w:t>Participation</w:t>
            </w:r>
            <w:r w:rsidRPr="004E041D">
              <w:rPr>
                <w:spacing w:val="-7"/>
              </w:rPr>
              <w:t xml:space="preserve"> </w:t>
            </w:r>
            <w:r w:rsidRPr="00AC36F2">
              <w:t>in</w:t>
            </w:r>
            <w:r w:rsidRPr="004E041D">
              <w:rPr>
                <w:spacing w:val="-6"/>
              </w:rPr>
              <w:t xml:space="preserve"> </w:t>
            </w:r>
            <w:r w:rsidRPr="00AC36F2">
              <w:t>SNAP,</w:t>
            </w:r>
            <w:r w:rsidRPr="004E041D">
              <w:rPr>
                <w:spacing w:val="-7"/>
              </w:rPr>
              <w:t xml:space="preserve"> </w:t>
            </w:r>
            <w:r w:rsidRPr="00AC36F2">
              <w:t>TANF,</w:t>
            </w:r>
            <w:r w:rsidRPr="004E041D">
              <w:rPr>
                <w:spacing w:val="-4"/>
              </w:rPr>
              <w:t xml:space="preserve"> </w:t>
            </w:r>
            <w:r w:rsidRPr="00AC36F2">
              <w:t>etc.</w:t>
            </w:r>
          </w:p>
          <w:p w14:paraId="091C9B23" w14:textId="77777777" w:rsidR="00CF5F34" w:rsidRPr="00AC36F2" w:rsidRDefault="00CF5F34" w:rsidP="004E041D">
            <w:pPr>
              <w:pStyle w:val="TB-TableBullet"/>
              <w:ind w:left="360"/>
            </w:pPr>
            <w:r w:rsidRPr="00AC36F2">
              <w:t>Basis for eligibility</w:t>
            </w:r>
          </w:p>
          <w:p w14:paraId="297853B3" w14:textId="77777777" w:rsidR="00CF5F34" w:rsidRPr="00AC36F2" w:rsidRDefault="00CF5F34" w:rsidP="004E041D">
            <w:pPr>
              <w:pStyle w:val="TB-TableBullet"/>
              <w:ind w:left="360"/>
            </w:pPr>
            <w:r w:rsidRPr="00AC36F2">
              <w:t>Eligibility determination</w:t>
            </w:r>
          </w:p>
        </w:tc>
        <w:tc>
          <w:tcPr>
            <w:tcW w:w="1254" w:type="dxa"/>
            <w:shd w:val="clear" w:color="auto" w:fill="auto"/>
          </w:tcPr>
          <w:p w14:paraId="082FC688" w14:textId="77777777" w:rsidR="00CF5F34" w:rsidRPr="00AC36F2" w:rsidRDefault="00CF5F34" w:rsidP="00650940">
            <w:pPr>
              <w:pStyle w:val="TX-TableText"/>
            </w:pPr>
            <w:r>
              <w:t>Up to three times</w:t>
            </w:r>
          </w:p>
        </w:tc>
        <w:tc>
          <w:tcPr>
            <w:tcW w:w="1338" w:type="dxa"/>
            <w:shd w:val="clear" w:color="auto" w:fill="auto"/>
          </w:tcPr>
          <w:p w14:paraId="2BE01458" w14:textId="77777777" w:rsidR="00CF5F34" w:rsidRPr="00AC36F2" w:rsidRDefault="00CF5F34" w:rsidP="00650940">
            <w:pPr>
              <w:pStyle w:val="TX-TableText"/>
            </w:pPr>
            <w:r w:rsidRPr="00AC36F2">
              <w:t>Certification</w:t>
            </w:r>
          </w:p>
        </w:tc>
      </w:tr>
      <w:tr w:rsidR="002255F3" w:rsidRPr="00AC36F2" w14:paraId="09B126F1" w14:textId="77777777" w:rsidTr="00C75786">
        <w:tc>
          <w:tcPr>
            <w:tcW w:w="1452" w:type="dxa"/>
            <w:vMerge/>
            <w:shd w:val="clear" w:color="auto" w:fill="auto"/>
          </w:tcPr>
          <w:p w14:paraId="198C0AD9" w14:textId="77777777" w:rsidR="00CF5F34" w:rsidRPr="00AC36F2" w:rsidRDefault="00CF5F34" w:rsidP="00650940">
            <w:pPr>
              <w:pStyle w:val="TX-TableText"/>
            </w:pPr>
          </w:p>
        </w:tc>
        <w:tc>
          <w:tcPr>
            <w:tcW w:w="2883" w:type="dxa"/>
            <w:shd w:val="clear" w:color="auto" w:fill="auto"/>
          </w:tcPr>
          <w:p w14:paraId="2C88D943" w14:textId="77777777" w:rsidR="00CF5F34" w:rsidRPr="004E041D" w:rsidRDefault="00CF5F34" w:rsidP="00650940">
            <w:pPr>
              <w:pStyle w:val="TX-TableText"/>
              <w:rPr>
                <w:spacing w:val="-1"/>
              </w:rPr>
            </w:pPr>
            <w:r w:rsidRPr="004E041D">
              <w:rPr>
                <w:spacing w:val="-1"/>
              </w:rPr>
              <w:t>SFA</w:t>
            </w:r>
            <w:r w:rsidR="001D29F8" w:rsidRPr="004E041D">
              <w:rPr>
                <w:spacing w:val="-1"/>
              </w:rPr>
              <w:t xml:space="preserve"> </w:t>
            </w:r>
            <w:r w:rsidRPr="004E041D">
              <w:rPr>
                <w:spacing w:val="-1"/>
              </w:rPr>
              <w:t>Reimbursement</w:t>
            </w:r>
            <w:r w:rsidR="001D29F8" w:rsidRPr="004E041D">
              <w:rPr>
                <w:spacing w:val="-1"/>
              </w:rPr>
              <w:t xml:space="preserve"> </w:t>
            </w:r>
            <w:r w:rsidRPr="004E041D">
              <w:rPr>
                <w:spacing w:val="-1"/>
              </w:rPr>
              <w:t>Claim Verification Form—Sampled Schools (Appendix B</w:t>
            </w:r>
            <w:r w:rsidR="00294A58" w:rsidRPr="004E041D">
              <w:rPr>
                <w:spacing w:val="-1"/>
              </w:rPr>
              <w:t>9</w:t>
            </w:r>
            <w:r w:rsidRPr="004E041D">
              <w:rPr>
                <w:spacing w:val="-1"/>
              </w:rPr>
              <w:t xml:space="preserve">) </w:t>
            </w:r>
            <w:r w:rsidRPr="004E041D">
              <w:rPr>
                <w:spacing w:val="-1"/>
                <w:u w:val="single"/>
              </w:rPr>
              <w:t>OR</w:t>
            </w:r>
            <w:r w:rsidRPr="004E041D">
              <w:rPr>
                <w:spacing w:val="-1"/>
              </w:rPr>
              <w:t xml:space="preserve"> SFA Reimbursement Consolidation and Claim Verification Form</w:t>
            </w:r>
            <w:r w:rsidR="00F76C48">
              <w:rPr>
                <w:rFonts w:ascii="Calibri" w:hAnsi="Calibri"/>
                <w:spacing w:val="-1"/>
              </w:rPr>
              <w:t>‒</w:t>
            </w:r>
            <w:r w:rsidRPr="004E041D">
              <w:rPr>
                <w:spacing w:val="-1"/>
              </w:rPr>
              <w:t>All Schools</w:t>
            </w:r>
          </w:p>
          <w:p w14:paraId="19039C2F" w14:textId="77777777" w:rsidR="00CF5F34" w:rsidRPr="004E041D" w:rsidRDefault="00CF5F34" w:rsidP="00650940">
            <w:pPr>
              <w:pStyle w:val="TX-TableText"/>
              <w:rPr>
                <w:spacing w:val="-1"/>
              </w:rPr>
            </w:pPr>
            <w:r w:rsidRPr="004E041D">
              <w:rPr>
                <w:spacing w:val="-1"/>
              </w:rPr>
              <w:t>(Appendix B</w:t>
            </w:r>
            <w:r w:rsidR="00294A58" w:rsidRPr="004E041D">
              <w:rPr>
                <w:spacing w:val="-1"/>
              </w:rPr>
              <w:t>10</w:t>
            </w:r>
            <w:r w:rsidRPr="004E041D">
              <w:rPr>
                <w:spacing w:val="-1"/>
              </w:rPr>
              <w:t>)</w:t>
            </w:r>
          </w:p>
        </w:tc>
        <w:tc>
          <w:tcPr>
            <w:tcW w:w="3063" w:type="dxa"/>
            <w:shd w:val="clear" w:color="auto" w:fill="auto"/>
          </w:tcPr>
          <w:p w14:paraId="3A8B7D6F" w14:textId="77777777" w:rsidR="00CF5F34" w:rsidRPr="004E041D" w:rsidRDefault="00CF5F34" w:rsidP="004E041D">
            <w:pPr>
              <w:pStyle w:val="TB-TableBullet"/>
              <w:ind w:left="360"/>
              <w:rPr>
                <w:rFonts w:eastAsia="Franklin Gothic Medium" w:cs="Franklin Gothic Medium"/>
              </w:rPr>
            </w:pPr>
            <w:r w:rsidRPr="00AC36F2">
              <w:t>In-person</w:t>
            </w:r>
            <w:r w:rsidRPr="004E041D">
              <w:rPr>
                <w:spacing w:val="-14"/>
              </w:rPr>
              <w:t xml:space="preserve"> </w:t>
            </w:r>
            <w:r w:rsidRPr="00AC36F2">
              <w:t>record</w:t>
            </w:r>
            <w:r w:rsidRPr="004E041D">
              <w:rPr>
                <w:spacing w:val="21"/>
                <w:w w:val="99"/>
              </w:rPr>
              <w:t xml:space="preserve"> </w:t>
            </w:r>
            <w:r w:rsidRPr="00AC36F2">
              <w:t>abstraction</w:t>
            </w:r>
          </w:p>
          <w:p w14:paraId="1457D44F" w14:textId="77777777" w:rsidR="00CF5F34" w:rsidRPr="004E041D" w:rsidRDefault="00CF5F34" w:rsidP="004E041D">
            <w:pPr>
              <w:pStyle w:val="TB-TableBullet"/>
              <w:ind w:left="360"/>
              <w:rPr>
                <w:rFonts w:eastAsia="Franklin Gothic Medium" w:cs="Franklin Gothic Medium"/>
              </w:rPr>
            </w:pPr>
            <w:r w:rsidRPr="00AC36F2">
              <w:t>Data</w:t>
            </w:r>
            <w:r w:rsidRPr="004E041D">
              <w:rPr>
                <w:spacing w:val="-6"/>
              </w:rPr>
              <w:t xml:space="preserve"> </w:t>
            </w:r>
            <w:r w:rsidRPr="00AC36F2">
              <w:t>entry</w:t>
            </w:r>
            <w:r w:rsidRPr="004E041D">
              <w:rPr>
                <w:spacing w:val="-4"/>
              </w:rPr>
              <w:t xml:space="preserve"> </w:t>
            </w:r>
            <w:r w:rsidRPr="00AC36F2">
              <w:t>via</w:t>
            </w:r>
            <w:r w:rsidRPr="004E041D">
              <w:rPr>
                <w:spacing w:val="27"/>
                <w:w w:val="99"/>
              </w:rPr>
              <w:t xml:space="preserve"> </w:t>
            </w:r>
            <w:r w:rsidRPr="00AC36F2">
              <w:t>web/MiFi</w:t>
            </w:r>
          </w:p>
          <w:p w14:paraId="08788B08" w14:textId="77777777" w:rsidR="00CF5F34" w:rsidRPr="00AC36F2" w:rsidRDefault="00CF5F34" w:rsidP="004E041D">
            <w:pPr>
              <w:pStyle w:val="TB-TableBullet"/>
              <w:ind w:left="360"/>
            </w:pPr>
            <w:r>
              <w:t>Scanned</w:t>
            </w:r>
            <w:r w:rsidRPr="004E041D">
              <w:rPr>
                <w:spacing w:val="-14"/>
              </w:rPr>
              <w:t xml:space="preserve"> </w:t>
            </w:r>
            <w:r w:rsidRPr="00AC36F2">
              <w:t>backup</w:t>
            </w:r>
          </w:p>
        </w:tc>
        <w:tc>
          <w:tcPr>
            <w:tcW w:w="3475" w:type="dxa"/>
            <w:shd w:val="clear" w:color="auto" w:fill="auto"/>
          </w:tcPr>
          <w:p w14:paraId="137A6B74" w14:textId="77777777" w:rsidR="00CF5F34" w:rsidRPr="00AC36F2" w:rsidRDefault="00CF5F34" w:rsidP="004E041D">
            <w:pPr>
              <w:pStyle w:val="TB-TableBullet"/>
              <w:ind w:left="360"/>
            </w:pPr>
            <w:r w:rsidRPr="00AC36F2">
              <w:t>Meal</w:t>
            </w:r>
            <w:r w:rsidRPr="004E041D">
              <w:rPr>
                <w:spacing w:val="-7"/>
              </w:rPr>
              <w:t xml:space="preserve"> </w:t>
            </w:r>
            <w:r w:rsidRPr="00AC36F2">
              <w:t>claims</w:t>
            </w:r>
            <w:r w:rsidRPr="004E041D">
              <w:rPr>
                <w:spacing w:val="-6"/>
              </w:rPr>
              <w:t xml:space="preserve"> </w:t>
            </w:r>
            <w:r w:rsidRPr="00AC36F2">
              <w:t>submitted</w:t>
            </w:r>
            <w:r w:rsidRPr="004E041D">
              <w:rPr>
                <w:spacing w:val="-5"/>
              </w:rPr>
              <w:t xml:space="preserve"> </w:t>
            </w:r>
            <w:r w:rsidRPr="00AC36F2">
              <w:t>to</w:t>
            </w:r>
            <w:r w:rsidRPr="004E041D">
              <w:rPr>
                <w:spacing w:val="-6"/>
              </w:rPr>
              <w:t xml:space="preserve"> </w:t>
            </w:r>
            <w:r w:rsidRPr="00AC36F2">
              <w:t>state</w:t>
            </w:r>
          </w:p>
        </w:tc>
        <w:tc>
          <w:tcPr>
            <w:tcW w:w="1254" w:type="dxa"/>
            <w:shd w:val="clear" w:color="auto" w:fill="auto"/>
          </w:tcPr>
          <w:p w14:paraId="5A7907CC" w14:textId="77777777" w:rsidR="00CF5F34" w:rsidRDefault="00CF5F34" w:rsidP="00650940">
            <w:pPr>
              <w:pStyle w:val="TX-TableText"/>
            </w:pPr>
            <w:r>
              <w:t xml:space="preserve">Once </w:t>
            </w:r>
          </w:p>
        </w:tc>
        <w:tc>
          <w:tcPr>
            <w:tcW w:w="1338" w:type="dxa"/>
            <w:tcBorders>
              <w:bottom w:val="single" w:sz="4" w:space="0" w:color="auto"/>
            </w:tcBorders>
            <w:shd w:val="clear" w:color="auto" w:fill="auto"/>
          </w:tcPr>
          <w:p w14:paraId="702D01F6" w14:textId="77777777" w:rsidR="00CF5F34" w:rsidRPr="00AC36F2" w:rsidRDefault="00CF5F34" w:rsidP="00650940">
            <w:pPr>
              <w:pStyle w:val="TX-TableText"/>
            </w:pPr>
            <w:r>
              <w:t>Aggregation</w:t>
            </w:r>
          </w:p>
        </w:tc>
      </w:tr>
      <w:tr w:rsidR="002255F3" w:rsidRPr="00AC36F2" w14:paraId="2DE31FE3" w14:textId="77777777" w:rsidTr="00C75786">
        <w:tc>
          <w:tcPr>
            <w:tcW w:w="1452" w:type="dxa"/>
            <w:vMerge/>
            <w:shd w:val="clear" w:color="auto" w:fill="auto"/>
          </w:tcPr>
          <w:p w14:paraId="6C2FA6AB" w14:textId="77777777" w:rsidR="00CF5F34" w:rsidRPr="00AC36F2" w:rsidRDefault="00CF5F34" w:rsidP="00650940">
            <w:pPr>
              <w:pStyle w:val="TX-TableText"/>
            </w:pPr>
          </w:p>
        </w:tc>
        <w:tc>
          <w:tcPr>
            <w:tcW w:w="2883" w:type="dxa"/>
            <w:shd w:val="clear" w:color="auto" w:fill="auto"/>
          </w:tcPr>
          <w:p w14:paraId="7B19D405" w14:textId="77777777" w:rsidR="00CF5F34" w:rsidRPr="004F05AF" w:rsidRDefault="00CF5F34" w:rsidP="00650940">
            <w:pPr>
              <w:pStyle w:val="TX-TableText"/>
            </w:pPr>
            <w:r>
              <w:t xml:space="preserve">SFA Director Survey </w:t>
            </w:r>
            <w:r w:rsidRPr="004F05AF">
              <w:t xml:space="preserve">(Appendix </w:t>
            </w:r>
            <w:r>
              <w:t>B1</w:t>
            </w:r>
            <w:r w:rsidR="00294A58">
              <w:t>1</w:t>
            </w:r>
            <w:r w:rsidRPr="004F05AF">
              <w:t>)</w:t>
            </w:r>
          </w:p>
        </w:tc>
        <w:tc>
          <w:tcPr>
            <w:tcW w:w="3063" w:type="dxa"/>
            <w:shd w:val="clear" w:color="auto" w:fill="auto"/>
          </w:tcPr>
          <w:p w14:paraId="28E7C538" w14:textId="77777777" w:rsidR="00CF5F34" w:rsidRPr="00AC36F2" w:rsidRDefault="00CF5F34" w:rsidP="004E041D">
            <w:pPr>
              <w:pStyle w:val="TB-TableBullet"/>
              <w:ind w:left="360"/>
            </w:pPr>
            <w:r w:rsidRPr="00AC36F2">
              <w:t>Web-based</w:t>
            </w:r>
            <w:r w:rsidRPr="004E041D">
              <w:rPr>
                <w:spacing w:val="-15"/>
              </w:rPr>
              <w:t xml:space="preserve"> </w:t>
            </w:r>
            <w:r w:rsidRPr="00AC36F2">
              <w:t>survey</w:t>
            </w:r>
          </w:p>
        </w:tc>
        <w:tc>
          <w:tcPr>
            <w:tcW w:w="3475" w:type="dxa"/>
            <w:shd w:val="clear" w:color="auto" w:fill="auto"/>
          </w:tcPr>
          <w:p w14:paraId="5E85C37E" w14:textId="77777777" w:rsidR="00CF5F34" w:rsidRPr="00AC36F2" w:rsidRDefault="00CF5F34" w:rsidP="004E041D">
            <w:pPr>
              <w:pStyle w:val="TB-TableBullet"/>
              <w:ind w:left="360"/>
            </w:pPr>
            <w:r w:rsidRPr="00AC36F2">
              <w:t>SFA</w:t>
            </w:r>
            <w:r w:rsidRPr="004E041D">
              <w:rPr>
                <w:spacing w:val="-10"/>
              </w:rPr>
              <w:t xml:space="preserve"> </w:t>
            </w:r>
            <w:r w:rsidRPr="00AC36F2">
              <w:t>characteristics</w:t>
            </w:r>
            <w:r w:rsidRPr="004E041D">
              <w:rPr>
                <w:spacing w:val="-9"/>
              </w:rPr>
              <w:t xml:space="preserve"> </w:t>
            </w:r>
            <w:r w:rsidRPr="00AC36F2">
              <w:t>and processes</w:t>
            </w:r>
          </w:p>
        </w:tc>
        <w:tc>
          <w:tcPr>
            <w:tcW w:w="1254" w:type="dxa"/>
            <w:shd w:val="clear" w:color="auto" w:fill="auto"/>
          </w:tcPr>
          <w:p w14:paraId="4CA9A3EC" w14:textId="77777777" w:rsidR="00CF5F34" w:rsidRPr="00AC36F2" w:rsidRDefault="00CF5F34" w:rsidP="00650940">
            <w:pPr>
              <w:pStyle w:val="TX-TableText"/>
            </w:pPr>
            <w:r>
              <w:t>Once</w:t>
            </w:r>
          </w:p>
        </w:tc>
        <w:tc>
          <w:tcPr>
            <w:tcW w:w="1338" w:type="dxa"/>
            <w:shd w:val="clear" w:color="auto" w:fill="BFBFBF"/>
          </w:tcPr>
          <w:p w14:paraId="230264D6" w14:textId="77777777" w:rsidR="00CF5F34" w:rsidRPr="00AC36F2" w:rsidRDefault="00CF5F34" w:rsidP="00650940">
            <w:pPr>
              <w:pStyle w:val="TX-TableText"/>
            </w:pPr>
          </w:p>
        </w:tc>
      </w:tr>
      <w:tr w:rsidR="002255F3" w:rsidRPr="00AC36F2" w14:paraId="5568F403" w14:textId="77777777" w:rsidTr="00C75786">
        <w:tc>
          <w:tcPr>
            <w:tcW w:w="1452" w:type="dxa"/>
            <w:vMerge/>
            <w:shd w:val="clear" w:color="auto" w:fill="auto"/>
          </w:tcPr>
          <w:p w14:paraId="7D4B1F81" w14:textId="77777777" w:rsidR="00CF5F34" w:rsidRPr="00AC36F2" w:rsidRDefault="00CF5F34" w:rsidP="00650940">
            <w:pPr>
              <w:pStyle w:val="TX-TableText"/>
            </w:pPr>
          </w:p>
        </w:tc>
        <w:tc>
          <w:tcPr>
            <w:tcW w:w="2883" w:type="dxa"/>
            <w:shd w:val="clear" w:color="auto" w:fill="auto"/>
          </w:tcPr>
          <w:p w14:paraId="4604821D" w14:textId="77777777" w:rsidR="001D29F8" w:rsidRPr="004E041D" w:rsidRDefault="00CF5F34" w:rsidP="00650940">
            <w:pPr>
              <w:pStyle w:val="TX-TableText"/>
              <w:rPr>
                <w:spacing w:val="23"/>
                <w:w w:val="99"/>
              </w:rPr>
            </w:pPr>
            <w:r w:rsidRPr="004E041D">
              <w:rPr>
                <w:spacing w:val="-1"/>
              </w:rPr>
              <w:t>SFA</w:t>
            </w:r>
            <w:r w:rsidRPr="004E041D">
              <w:rPr>
                <w:spacing w:val="-9"/>
              </w:rPr>
              <w:t xml:space="preserve"> </w:t>
            </w:r>
            <w:r w:rsidRPr="004F05AF">
              <w:t>Director</w:t>
            </w:r>
            <w:r w:rsidRPr="004E041D">
              <w:rPr>
                <w:spacing w:val="21"/>
                <w:w w:val="99"/>
              </w:rPr>
              <w:t xml:space="preserve"> </w:t>
            </w:r>
            <w:r w:rsidRPr="004F05AF">
              <w:t>Interview</w:t>
            </w:r>
          </w:p>
          <w:p w14:paraId="36005BE4" w14:textId="77777777" w:rsidR="00CF5F34" w:rsidRPr="004F05AF" w:rsidRDefault="00CF5F34" w:rsidP="00650940">
            <w:pPr>
              <w:pStyle w:val="TX-TableText"/>
            </w:pPr>
            <w:r w:rsidRPr="004E041D">
              <w:rPr>
                <w:spacing w:val="-1"/>
              </w:rPr>
              <w:t>(Appendix B1</w:t>
            </w:r>
            <w:r w:rsidR="001D4C5C" w:rsidRPr="004E041D">
              <w:rPr>
                <w:spacing w:val="-1"/>
              </w:rPr>
              <w:t>2</w:t>
            </w:r>
            <w:r w:rsidRPr="004E041D">
              <w:rPr>
                <w:spacing w:val="-1"/>
              </w:rPr>
              <w:t>)</w:t>
            </w:r>
          </w:p>
        </w:tc>
        <w:tc>
          <w:tcPr>
            <w:tcW w:w="3063" w:type="dxa"/>
            <w:shd w:val="clear" w:color="auto" w:fill="auto"/>
          </w:tcPr>
          <w:p w14:paraId="46D20D00" w14:textId="77777777" w:rsidR="00CF5F34" w:rsidRPr="004E041D" w:rsidRDefault="00CF5F34" w:rsidP="004E041D">
            <w:pPr>
              <w:pStyle w:val="TB-TableBullet"/>
              <w:ind w:left="360"/>
              <w:rPr>
                <w:rFonts w:eastAsia="Franklin Gothic Medium" w:cs="Franklin Gothic Medium"/>
              </w:rPr>
            </w:pPr>
            <w:r w:rsidRPr="00AC36F2">
              <w:t>Phone</w:t>
            </w:r>
            <w:r w:rsidRPr="004E041D">
              <w:rPr>
                <w:spacing w:val="-13"/>
              </w:rPr>
              <w:t xml:space="preserve"> </w:t>
            </w:r>
            <w:r w:rsidR="004B22D6">
              <w:t>i</w:t>
            </w:r>
            <w:r w:rsidRPr="00AC36F2">
              <w:t>nterview</w:t>
            </w:r>
          </w:p>
          <w:p w14:paraId="0349844F" w14:textId="77777777" w:rsidR="00CF5F34" w:rsidRPr="00AC36F2" w:rsidRDefault="00CF5F34" w:rsidP="004E041D">
            <w:pPr>
              <w:pStyle w:val="TB-TableBullet"/>
              <w:ind w:left="360"/>
            </w:pPr>
            <w:r w:rsidRPr="00AC36F2">
              <w:t>Recorded</w:t>
            </w:r>
            <w:r w:rsidRPr="004E041D">
              <w:rPr>
                <w:spacing w:val="-7"/>
              </w:rPr>
              <w:t xml:space="preserve"> </w:t>
            </w:r>
            <w:r w:rsidRPr="00AC36F2">
              <w:t>and</w:t>
            </w:r>
            <w:r w:rsidRPr="004E041D">
              <w:rPr>
                <w:spacing w:val="-7"/>
              </w:rPr>
              <w:t xml:space="preserve"> </w:t>
            </w:r>
            <w:r w:rsidRPr="00AC36F2">
              <w:t>later</w:t>
            </w:r>
            <w:r w:rsidRPr="004E041D">
              <w:rPr>
                <w:spacing w:val="22"/>
                <w:w w:val="99"/>
              </w:rPr>
              <w:t xml:space="preserve"> </w:t>
            </w:r>
            <w:r w:rsidRPr="00AC36F2">
              <w:t>transcribed</w:t>
            </w:r>
          </w:p>
        </w:tc>
        <w:tc>
          <w:tcPr>
            <w:tcW w:w="3475" w:type="dxa"/>
            <w:shd w:val="clear" w:color="auto" w:fill="auto"/>
          </w:tcPr>
          <w:p w14:paraId="36656CDE" w14:textId="77777777" w:rsidR="00CF5F34" w:rsidRPr="00AC36F2" w:rsidRDefault="00CF5F34" w:rsidP="004E041D">
            <w:pPr>
              <w:pStyle w:val="TB-TableBullet"/>
              <w:ind w:left="360"/>
            </w:pPr>
            <w:r w:rsidRPr="00AC36F2">
              <w:t>Questions</w:t>
            </w:r>
            <w:r w:rsidRPr="004E041D">
              <w:rPr>
                <w:spacing w:val="-6"/>
              </w:rPr>
              <w:t xml:space="preserve"> </w:t>
            </w:r>
            <w:r w:rsidRPr="00AC36F2">
              <w:t>on</w:t>
            </w:r>
            <w:r w:rsidRPr="004E041D">
              <w:rPr>
                <w:spacing w:val="-7"/>
              </w:rPr>
              <w:t xml:space="preserve"> </w:t>
            </w:r>
            <w:r w:rsidRPr="00AC36F2">
              <w:t>process</w:t>
            </w:r>
            <w:r w:rsidRPr="004E041D">
              <w:rPr>
                <w:spacing w:val="-5"/>
              </w:rPr>
              <w:t xml:space="preserve"> </w:t>
            </w:r>
            <w:r w:rsidRPr="00AC36F2">
              <w:t>for</w:t>
            </w:r>
            <w:r w:rsidRPr="004E041D">
              <w:rPr>
                <w:spacing w:val="24"/>
                <w:w w:val="99"/>
              </w:rPr>
              <w:t xml:space="preserve"> </w:t>
            </w:r>
            <w:r w:rsidRPr="00AC36F2">
              <w:t>eligibility</w:t>
            </w:r>
            <w:r w:rsidRPr="004E041D">
              <w:rPr>
                <w:spacing w:val="-11"/>
              </w:rPr>
              <w:t xml:space="preserve"> </w:t>
            </w:r>
            <w:r w:rsidRPr="00AC36F2">
              <w:t>determination</w:t>
            </w:r>
            <w:r w:rsidRPr="004E041D">
              <w:rPr>
                <w:spacing w:val="-12"/>
              </w:rPr>
              <w:t xml:space="preserve"> </w:t>
            </w:r>
            <w:r w:rsidRPr="00AC36F2">
              <w:t>and</w:t>
            </w:r>
            <w:r w:rsidRPr="004E041D">
              <w:rPr>
                <w:spacing w:val="28"/>
                <w:w w:val="99"/>
              </w:rPr>
              <w:t xml:space="preserve"> </w:t>
            </w:r>
            <w:r w:rsidRPr="00AC36F2">
              <w:t>potential</w:t>
            </w:r>
            <w:r w:rsidRPr="004E041D">
              <w:rPr>
                <w:spacing w:val="-8"/>
              </w:rPr>
              <w:t xml:space="preserve"> </w:t>
            </w:r>
            <w:r w:rsidRPr="00AC36F2">
              <w:t>sources</w:t>
            </w:r>
            <w:r w:rsidRPr="004E041D">
              <w:rPr>
                <w:spacing w:val="-6"/>
              </w:rPr>
              <w:t xml:space="preserve"> </w:t>
            </w:r>
            <w:r w:rsidRPr="00AC36F2">
              <w:t>of</w:t>
            </w:r>
            <w:r w:rsidRPr="004E041D">
              <w:rPr>
                <w:spacing w:val="-7"/>
              </w:rPr>
              <w:t xml:space="preserve"> </w:t>
            </w:r>
            <w:r w:rsidRPr="00AC36F2">
              <w:t>error</w:t>
            </w:r>
          </w:p>
        </w:tc>
        <w:tc>
          <w:tcPr>
            <w:tcW w:w="1254" w:type="dxa"/>
            <w:shd w:val="clear" w:color="auto" w:fill="auto"/>
          </w:tcPr>
          <w:p w14:paraId="6C0E53E5" w14:textId="77777777" w:rsidR="00CF5F34" w:rsidRPr="00AC36F2" w:rsidRDefault="00CF5F34" w:rsidP="00650940">
            <w:pPr>
              <w:pStyle w:val="TX-TableText"/>
            </w:pPr>
            <w:r>
              <w:t>Once</w:t>
            </w:r>
          </w:p>
        </w:tc>
        <w:tc>
          <w:tcPr>
            <w:tcW w:w="1338" w:type="dxa"/>
            <w:shd w:val="clear" w:color="auto" w:fill="BFBFBF"/>
          </w:tcPr>
          <w:p w14:paraId="7CB56176" w14:textId="77777777" w:rsidR="00CF5F34" w:rsidRPr="00AC36F2" w:rsidRDefault="00CF5F34" w:rsidP="00650940">
            <w:pPr>
              <w:pStyle w:val="TX-TableText"/>
            </w:pPr>
          </w:p>
        </w:tc>
      </w:tr>
      <w:tr w:rsidR="002255F3" w:rsidRPr="00AC36F2" w14:paraId="1D06BAFD" w14:textId="77777777" w:rsidTr="00C75786">
        <w:tc>
          <w:tcPr>
            <w:tcW w:w="1452" w:type="dxa"/>
            <w:vMerge/>
            <w:shd w:val="clear" w:color="auto" w:fill="auto"/>
          </w:tcPr>
          <w:p w14:paraId="3665F294" w14:textId="77777777" w:rsidR="009335C5" w:rsidRPr="00AC36F2" w:rsidRDefault="009335C5" w:rsidP="00650940">
            <w:pPr>
              <w:pStyle w:val="TX-TableText"/>
            </w:pPr>
          </w:p>
        </w:tc>
        <w:tc>
          <w:tcPr>
            <w:tcW w:w="2883" w:type="dxa"/>
            <w:shd w:val="clear" w:color="auto" w:fill="auto"/>
          </w:tcPr>
          <w:p w14:paraId="0017E94B" w14:textId="77777777" w:rsidR="009335C5" w:rsidRPr="004E041D" w:rsidRDefault="009335C5" w:rsidP="00650940">
            <w:pPr>
              <w:pStyle w:val="TX-TableText"/>
              <w:rPr>
                <w:spacing w:val="-1"/>
              </w:rPr>
            </w:pPr>
            <w:r w:rsidRPr="004E041D">
              <w:rPr>
                <w:spacing w:val="-1"/>
              </w:rPr>
              <w:t>SFA Meal Participation Data Request (Appendix B13)</w:t>
            </w:r>
          </w:p>
        </w:tc>
        <w:tc>
          <w:tcPr>
            <w:tcW w:w="3063" w:type="dxa"/>
            <w:shd w:val="clear" w:color="auto" w:fill="auto"/>
          </w:tcPr>
          <w:p w14:paraId="305D8756" w14:textId="77777777" w:rsidR="009335C5" w:rsidRPr="00AC36F2" w:rsidRDefault="009335C5" w:rsidP="004E041D">
            <w:pPr>
              <w:pStyle w:val="TB-TableBullet"/>
              <w:ind w:left="360"/>
            </w:pPr>
            <w:r>
              <w:t>Email</w:t>
            </w:r>
          </w:p>
        </w:tc>
        <w:tc>
          <w:tcPr>
            <w:tcW w:w="3475" w:type="dxa"/>
            <w:shd w:val="clear" w:color="auto" w:fill="auto"/>
          </w:tcPr>
          <w:p w14:paraId="0F1DC4B7" w14:textId="77777777" w:rsidR="009335C5" w:rsidRPr="00AC36F2" w:rsidRDefault="009335C5" w:rsidP="004E041D">
            <w:pPr>
              <w:pStyle w:val="TB-TableBullet"/>
              <w:ind w:left="360"/>
            </w:pPr>
            <w:r>
              <w:t>Meal participation and claiming data</w:t>
            </w:r>
          </w:p>
        </w:tc>
        <w:tc>
          <w:tcPr>
            <w:tcW w:w="1254" w:type="dxa"/>
            <w:shd w:val="clear" w:color="auto" w:fill="auto"/>
          </w:tcPr>
          <w:p w14:paraId="041052C3" w14:textId="77777777" w:rsidR="009335C5" w:rsidRDefault="009335C5" w:rsidP="00650940">
            <w:pPr>
              <w:pStyle w:val="TX-TableText"/>
            </w:pPr>
            <w:r>
              <w:t>Once</w:t>
            </w:r>
          </w:p>
        </w:tc>
        <w:tc>
          <w:tcPr>
            <w:tcW w:w="1338" w:type="dxa"/>
            <w:shd w:val="clear" w:color="auto" w:fill="auto"/>
          </w:tcPr>
          <w:p w14:paraId="0143B1C0" w14:textId="77777777" w:rsidR="009335C5" w:rsidRPr="00AC36F2" w:rsidRDefault="009335C5" w:rsidP="00650940">
            <w:pPr>
              <w:pStyle w:val="TX-TableText"/>
            </w:pPr>
            <w:r>
              <w:t>Meal Claiming</w:t>
            </w:r>
          </w:p>
        </w:tc>
      </w:tr>
      <w:tr w:rsidR="002255F3" w:rsidRPr="00AC36F2" w14:paraId="5EEF56DB" w14:textId="77777777" w:rsidTr="00C75786">
        <w:tc>
          <w:tcPr>
            <w:tcW w:w="1452" w:type="dxa"/>
            <w:shd w:val="clear" w:color="auto" w:fill="auto"/>
          </w:tcPr>
          <w:p w14:paraId="26404425" w14:textId="77777777" w:rsidR="00CF5F34" w:rsidRPr="00AC36F2" w:rsidRDefault="00CF5F34" w:rsidP="00650940">
            <w:pPr>
              <w:pStyle w:val="TX-TableText"/>
            </w:pPr>
            <w:r w:rsidRPr="00AC36F2">
              <w:t>State</w:t>
            </w:r>
            <w:r>
              <w:t xml:space="preserve"> Agency</w:t>
            </w:r>
          </w:p>
        </w:tc>
        <w:tc>
          <w:tcPr>
            <w:tcW w:w="2883" w:type="dxa"/>
            <w:shd w:val="clear" w:color="auto" w:fill="auto"/>
          </w:tcPr>
          <w:p w14:paraId="0A830252" w14:textId="017594C4" w:rsidR="00CF5F34" w:rsidRPr="004E041D" w:rsidRDefault="00CF5F34" w:rsidP="00650940">
            <w:pPr>
              <w:pStyle w:val="TX-TableText"/>
              <w:rPr>
                <w:spacing w:val="-1"/>
              </w:rPr>
            </w:pPr>
            <w:r w:rsidRPr="004E041D">
              <w:rPr>
                <w:spacing w:val="-1"/>
              </w:rPr>
              <w:t xml:space="preserve">State Meal Claim </w:t>
            </w:r>
            <w:r w:rsidR="00940E00">
              <w:rPr>
                <w:spacing w:val="-1"/>
              </w:rPr>
              <w:t xml:space="preserve">Data </w:t>
            </w:r>
            <w:r w:rsidRPr="004E041D">
              <w:rPr>
                <w:spacing w:val="-1"/>
              </w:rPr>
              <w:t>Request (Appendix B1</w:t>
            </w:r>
            <w:r w:rsidR="00045732" w:rsidRPr="004E041D">
              <w:rPr>
                <w:spacing w:val="-1"/>
              </w:rPr>
              <w:t>4</w:t>
            </w:r>
            <w:r w:rsidRPr="004E041D">
              <w:rPr>
                <w:spacing w:val="-1"/>
              </w:rPr>
              <w:t>)</w:t>
            </w:r>
          </w:p>
        </w:tc>
        <w:tc>
          <w:tcPr>
            <w:tcW w:w="3063" w:type="dxa"/>
            <w:shd w:val="clear" w:color="auto" w:fill="auto"/>
          </w:tcPr>
          <w:p w14:paraId="5EFCA877" w14:textId="77777777" w:rsidR="00CF5F34" w:rsidRPr="004E041D" w:rsidRDefault="00CF5F34" w:rsidP="004E041D">
            <w:pPr>
              <w:pStyle w:val="TB-TableBullet"/>
              <w:ind w:left="360"/>
              <w:rPr>
                <w:rFonts w:eastAsia="Franklin Gothic Medium" w:cs="Franklin Gothic Medium"/>
              </w:rPr>
            </w:pPr>
            <w:r w:rsidRPr="00AC36F2">
              <w:t>Electronic</w:t>
            </w:r>
            <w:r w:rsidRPr="004E041D">
              <w:rPr>
                <w:spacing w:val="-12"/>
              </w:rPr>
              <w:t xml:space="preserve"> </w:t>
            </w:r>
            <w:r w:rsidRPr="00AC36F2">
              <w:t>data</w:t>
            </w:r>
            <w:r w:rsidRPr="004E041D">
              <w:rPr>
                <w:spacing w:val="21"/>
                <w:w w:val="99"/>
              </w:rPr>
              <w:t xml:space="preserve"> </w:t>
            </w:r>
            <w:r w:rsidRPr="00AC36F2">
              <w:t>request</w:t>
            </w:r>
            <w:r>
              <w:t>, web portal for uploading data</w:t>
            </w:r>
          </w:p>
        </w:tc>
        <w:tc>
          <w:tcPr>
            <w:tcW w:w="3475" w:type="dxa"/>
            <w:shd w:val="clear" w:color="auto" w:fill="auto"/>
          </w:tcPr>
          <w:p w14:paraId="1DD7C6EB" w14:textId="77777777" w:rsidR="00CF5F34" w:rsidRPr="00AC36F2" w:rsidRDefault="00CF5F34" w:rsidP="004E041D">
            <w:pPr>
              <w:pStyle w:val="TB-TableBullet"/>
              <w:ind w:left="360"/>
            </w:pPr>
            <w:r w:rsidRPr="00AC36F2">
              <w:t>Meal</w:t>
            </w:r>
            <w:r w:rsidRPr="004E041D">
              <w:rPr>
                <w:spacing w:val="-8"/>
              </w:rPr>
              <w:t xml:space="preserve"> </w:t>
            </w:r>
            <w:r w:rsidRPr="00AC36F2">
              <w:t>claims</w:t>
            </w:r>
            <w:r w:rsidRPr="004E041D">
              <w:rPr>
                <w:spacing w:val="-5"/>
              </w:rPr>
              <w:t xml:space="preserve"> </w:t>
            </w:r>
            <w:r w:rsidRPr="00AC36F2">
              <w:t>submitted</w:t>
            </w:r>
            <w:r w:rsidRPr="004E041D">
              <w:rPr>
                <w:spacing w:val="-5"/>
              </w:rPr>
              <w:t xml:space="preserve"> </w:t>
            </w:r>
            <w:r w:rsidRPr="00AC36F2">
              <w:t>to</w:t>
            </w:r>
            <w:r w:rsidRPr="004E041D">
              <w:rPr>
                <w:spacing w:val="-7"/>
              </w:rPr>
              <w:t xml:space="preserve"> </w:t>
            </w:r>
            <w:r w:rsidRPr="00AC36F2">
              <w:t>USDA</w:t>
            </w:r>
          </w:p>
        </w:tc>
        <w:tc>
          <w:tcPr>
            <w:tcW w:w="1254" w:type="dxa"/>
            <w:shd w:val="clear" w:color="auto" w:fill="auto"/>
          </w:tcPr>
          <w:p w14:paraId="79F6F3E5" w14:textId="77777777" w:rsidR="00CF5F34" w:rsidRPr="00AC36F2" w:rsidRDefault="00CF5F34" w:rsidP="00650940">
            <w:pPr>
              <w:pStyle w:val="TX-TableText"/>
            </w:pPr>
            <w:r>
              <w:t>Once</w:t>
            </w:r>
          </w:p>
        </w:tc>
        <w:tc>
          <w:tcPr>
            <w:tcW w:w="1338" w:type="dxa"/>
            <w:shd w:val="clear" w:color="auto" w:fill="auto"/>
          </w:tcPr>
          <w:p w14:paraId="11F77FD2" w14:textId="77777777" w:rsidR="00CF5F34" w:rsidRPr="00AC36F2" w:rsidRDefault="00CF5F34" w:rsidP="00650940">
            <w:pPr>
              <w:pStyle w:val="TX-TableText"/>
            </w:pPr>
            <w:r w:rsidRPr="00AC36F2">
              <w:t>Aggregation</w:t>
            </w:r>
          </w:p>
        </w:tc>
      </w:tr>
    </w:tbl>
    <w:p w14:paraId="5F965D15" w14:textId="65BB84A7" w:rsidR="00C75786" w:rsidRPr="003B2904" w:rsidRDefault="00C75786" w:rsidP="0027013D">
      <w:pPr>
        <w:tabs>
          <w:tab w:val="left" w:pos="432"/>
        </w:tabs>
        <w:spacing w:line="240" w:lineRule="auto"/>
        <w:rPr>
          <w:sz w:val="20"/>
        </w:rPr>
        <w:sectPr w:rsidR="00C75786" w:rsidRPr="003B2904" w:rsidSect="00444339">
          <w:headerReference w:type="default" r:id="rId12"/>
          <w:footerReference w:type="default" r:id="rId13"/>
          <w:endnotePr>
            <w:numFmt w:val="decimal"/>
          </w:endnotePr>
          <w:pgSz w:w="15840" w:h="12240" w:orient="landscape" w:code="1"/>
          <w:pgMar w:top="1440" w:right="1440" w:bottom="1440" w:left="1440" w:header="576" w:footer="576" w:gutter="0"/>
          <w:cols w:space="720"/>
          <w:docGrid w:linePitch="326"/>
        </w:sectPr>
      </w:pPr>
      <w:r w:rsidRPr="00EC6FA3">
        <w:rPr>
          <w:sz w:val="20"/>
        </w:rPr>
        <w:t xml:space="preserve">*NOTE: Table A2-1 </w:t>
      </w:r>
      <w:r>
        <w:rPr>
          <w:sz w:val="20"/>
        </w:rPr>
        <w:t>only includes data collection instruments</w:t>
      </w:r>
      <w:r w:rsidR="00940E00">
        <w:rPr>
          <w:sz w:val="20"/>
        </w:rPr>
        <w:t xml:space="preserve"> that specifically collect the data needed to respond to the study objectives</w:t>
      </w:r>
      <w:r>
        <w:rPr>
          <w:sz w:val="20"/>
        </w:rPr>
        <w:t xml:space="preserve">. It </w:t>
      </w:r>
      <w:r w:rsidRPr="00EC6FA3">
        <w:rPr>
          <w:sz w:val="20"/>
        </w:rPr>
        <w:t>does not include administrative materials and forms that do not collect key data elements for analysis</w:t>
      </w:r>
      <w:r w:rsidR="008D76BD">
        <w:rPr>
          <w:sz w:val="20"/>
        </w:rPr>
        <w:t xml:space="preserve"> (</w:t>
      </w:r>
      <w:r w:rsidR="000D7651">
        <w:rPr>
          <w:sz w:val="20"/>
        </w:rPr>
        <w:t xml:space="preserve">i.e. </w:t>
      </w:r>
      <w:r w:rsidR="008D76BD">
        <w:rPr>
          <w:sz w:val="20"/>
        </w:rPr>
        <w:t>A</w:t>
      </w:r>
      <w:r w:rsidRPr="00EC6FA3">
        <w:rPr>
          <w:sz w:val="20"/>
        </w:rPr>
        <w:t>ppendices:</w:t>
      </w:r>
      <w:r>
        <w:rPr>
          <w:sz w:val="20"/>
        </w:rPr>
        <w:t xml:space="preserve"> B6, B8, C2, C4, D1, D2, D9</w:t>
      </w:r>
      <w:r w:rsidR="008D76BD">
        <w:rPr>
          <w:sz w:val="20"/>
        </w:rPr>
        <w:t>-12</w:t>
      </w:r>
      <w:r>
        <w:rPr>
          <w:sz w:val="20"/>
        </w:rPr>
        <w:t>, D15, D16, I1, I2, T1</w:t>
      </w:r>
      <w:r w:rsidR="008D76BD">
        <w:rPr>
          <w:sz w:val="20"/>
        </w:rPr>
        <w:t>-T8).</w:t>
      </w:r>
    </w:p>
    <w:p w14:paraId="1EE3F8E9" w14:textId="785758F0" w:rsidR="009A5616" w:rsidRDefault="009A5616" w:rsidP="00C75786">
      <w:pPr>
        <w:pStyle w:val="TT-TableTitle"/>
        <w:ind w:left="0" w:firstLine="0"/>
      </w:pPr>
      <w:r w:rsidRPr="00403962">
        <w:t>Table A2-1</w:t>
      </w:r>
      <w:r>
        <w:t>.</w:t>
      </w:r>
      <w:r>
        <w:tab/>
      </w:r>
      <w:r w:rsidRPr="00403962">
        <w:t>Summary of data collection</w:t>
      </w:r>
      <w:r>
        <w:t xml:space="preserve"> instruments and forms (continued)</w:t>
      </w:r>
      <w:r w:rsidR="001E1E24">
        <w:t>*</w:t>
      </w:r>
    </w:p>
    <w:p w14:paraId="2AD0C4F5" w14:textId="77777777" w:rsidR="009A5616" w:rsidRPr="00403962" w:rsidRDefault="009A5616" w:rsidP="009A5616">
      <w:pPr>
        <w:pStyle w:val="TT-TableTitle"/>
      </w:pPr>
    </w:p>
    <w:tbl>
      <w:tblPr>
        <w:tblW w:w="51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2931"/>
        <w:gridCol w:w="3114"/>
        <w:gridCol w:w="3533"/>
        <w:gridCol w:w="1275"/>
        <w:gridCol w:w="1360"/>
      </w:tblGrid>
      <w:tr w:rsidR="002255F3" w:rsidRPr="00AC36F2" w14:paraId="0FD4B16D" w14:textId="77777777" w:rsidTr="00F95904">
        <w:tc>
          <w:tcPr>
            <w:tcW w:w="1451" w:type="dxa"/>
            <w:shd w:val="clear" w:color="auto" w:fill="AFBED7"/>
            <w:vAlign w:val="bottom"/>
          </w:tcPr>
          <w:p w14:paraId="2620BB54" w14:textId="77777777" w:rsidR="009A5616" w:rsidRDefault="009A5616" w:rsidP="00533B5E">
            <w:pPr>
              <w:pStyle w:val="TH-TableHeading"/>
            </w:pPr>
            <w:r>
              <w:t>Respondent category</w:t>
            </w:r>
          </w:p>
          <w:p w14:paraId="50BF5490" w14:textId="77777777" w:rsidR="009A5616" w:rsidRPr="00AC36F2" w:rsidRDefault="009A5616" w:rsidP="00533B5E">
            <w:pPr>
              <w:pStyle w:val="TH-TableHeading"/>
            </w:pPr>
            <w:r>
              <w:t>(from whom collected)</w:t>
            </w:r>
          </w:p>
        </w:tc>
        <w:tc>
          <w:tcPr>
            <w:tcW w:w="2881" w:type="dxa"/>
            <w:shd w:val="clear" w:color="auto" w:fill="AFBED7"/>
            <w:vAlign w:val="bottom"/>
          </w:tcPr>
          <w:p w14:paraId="571C0A5A" w14:textId="77777777" w:rsidR="009A5616" w:rsidRDefault="009A5616" w:rsidP="00533B5E">
            <w:pPr>
              <w:pStyle w:val="TH-TableHeading"/>
            </w:pPr>
            <w:r w:rsidRPr="00AC36F2">
              <w:t>Instrument/form</w:t>
            </w:r>
          </w:p>
          <w:p w14:paraId="69C60A11" w14:textId="77777777" w:rsidR="009A5616" w:rsidRPr="00AC36F2" w:rsidRDefault="009A5616" w:rsidP="00533B5E">
            <w:pPr>
              <w:pStyle w:val="TH-TableHeading"/>
            </w:pPr>
            <w:r w:rsidRPr="00AC36F2">
              <w:t>(appendix reference)</w:t>
            </w:r>
          </w:p>
        </w:tc>
        <w:tc>
          <w:tcPr>
            <w:tcW w:w="3061" w:type="dxa"/>
            <w:shd w:val="clear" w:color="auto" w:fill="AFBED7"/>
            <w:vAlign w:val="bottom"/>
          </w:tcPr>
          <w:p w14:paraId="6D7D132D" w14:textId="77777777" w:rsidR="009A5616" w:rsidRDefault="009A5616" w:rsidP="00533B5E">
            <w:pPr>
              <w:pStyle w:val="TH-TableHeading"/>
            </w:pPr>
            <w:r w:rsidRPr="00AC36F2">
              <w:t>Mode of data collection</w:t>
            </w:r>
          </w:p>
          <w:p w14:paraId="72559FDA" w14:textId="77777777" w:rsidR="009A5616" w:rsidRPr="00AC36F2" w:rsidRDefault="009A5616" w:rsidP="00533B5E">
            <w:pPr>
              <w:pStyle w:val="TH-TableHeading"/>
            </w:pPr>
            <w:r>
              <w:t>(how collected)</w:t>
            </w:r>
          </w:p>
        </w:tc>
        <w:tc>
          <w:tcPr>
            <w:tcW w:w="3472" w:type="dxa"/>
            <w:shd w:val="clear" w:color="auto" w:fill="AFBED7"/>
            <w:vAlign w:val="bottom"/>
          </w:tcPr>
          <w:p w14:paraId="59E26DCC" w14:textId="77777777" w:rsidR="009A5616" w:rsidRDefault="009A5616" w:rsidP="00533B5E">
            <w:pPr>
              <w:pStyle w:val="TH-TableHeading"/>
            </w:pPr>
            <w:r w:rsidRPr="00AC36F2">
              <w:t>Key data elements</w:t>
            </w:r>
          </w:p>
          <w:p w14:paraId="5E9B11D6" w14:textId="77777777" w:rsidR="009A5616" w:rsidRPr="00AC36F2" w:rsidRDefault="009A5616" w:rsidP="00533B5E">
            <w:pPr>
              <w:pStyle w:val="TH-TableHeading"/>
            </w:pPr>
            <w:r>
              <w:t>(what is collected)</w:t>
            </w:r>
          </w:p>
        </w:tc>
        <w:tc>
          <w:tcPr>
            <w:tcW w:w="1253" w:type="dxa"/>
            <w:shd w:val="clear" w:color="auto" w:fill="AFBED7"/>
            <w:vAlign w:val="bottom"/>
          </w:tcPr>
          <w:p w14:paraId="7E0819B4" w14:textId="77777777" w:rsidR="009A5616" w:rsidRDefault="009A5616" w:rsidP="00533B5E">
            <w:pPr>
              <w:pStyle w:val="TH-TableHeading"/>
            </w:pPr>
            <w:r>
              <w:t>Frequency</w:t>
            </w:r>
          </w:p>
          <w:p w14:paraId="17CEFBDD" w14:textId="77777777" w:rsidR="009A5616" w:rsidRPr="00AC36F2" w:rsidRDefault="009A5616" w:rsidP="00533B5E">
            <w:pPr>
              <w:pStyle w:val="TH-TableHeading"/>
            </w:pPr>
            <w:r>
              <w:t xml:space="preserve">per respondent </w:t>
            </w:r>
          </w:p>
        </w:tc>
        <w:tc>
          <w:tcPr>
            <w:tcW w:w="1337" w:type="dxa"/>
            <w:tcBorders>
              <w:bottom w:val="single" w:sz="4" w:space="0" w:color="auto"/>
            </w:tcBorders>
            <w:shd w:val="clear" w:color="auto" w:fill="AFBED7"/>
            <w:vAlign w:val="bottom"/>
          </w:tcPr>
          <w:p w14:paraId="7AA10F4B" w14:textId="77777777" w:rsidR="009A5616" w:rsidRPr="00AC36F2" w:rsidRDefault="009A5616" w:rsidP="00533B5E">
            <w:pPr>
              <w:pStyle w:val="TH-TableHeading"/>
            </w:pPr>
            <w:r w:rsidRPr="00AC36F2">
              <w:t>Type of error</w:t>
            </w:r>
          </w:p>
        </w:tc>
      </w:tr>
      <w:tr w:rsidR="002255F3" w:rsidRPr="009335C5" w14:paraId="6A2DF5EE" w14:textId="77777777" w:rsidTr="00F95904">
        <w:tc>
          <w:tcPr>
            <w:tcW w:w="1451" w:type="dxa"/>
            <w:vMerge w:val="restart"/>
            <w:shd w:val="clear" w:color="auto" w:fill="auto"/>
          </w:tcPr>
          <w:p w14:paraId="6DA75BC4" w14:textId="77777777" w:rsidR="009335C5" w:rsidRPr="009335C5" w:rsidRDefault="009335C5" w:rsidP="009A5616">
            <w:pPr>
              <w:pStyle w:val="TX-TableText"/>
            </w:pPr>
            <w:r>
              <w:t>School</w:t>
            </w:r>
          </w:p>
        </w:tc>
        <w:tc>
          <w:tcPr>
            <w:tcW w:w="2881" w:type="dxa"/>
            <w:shd w:val="clear" w:color="auto" w:fill="auto"/>
          </w:tcPr>
          <w:p w14:paraId="48785EBF" w14:textId="77777777" w:rsidR="009335C5" w:rsidRPr="009335C5" w:rsidRDefault="009335C5" w:rsidP="009A5616">
            <w:pPr>
              <w:pStyle w:val="TX-TableText"/>
            </w:pPr>
            <w:r w:rsidRPr="009335C5">
              <w:t>School Pre-Visit Interview</w:t>
            </w:r>
          </w:p>
          <w:p w14:paraId="4CD798A2" w14:textId="77777777" w:rsidR="009335C5" w:rsidRPr="009335C5" w:rsidRDefault="009335C5" w:rsidP="009A5616">
            <w:pPr>
              <w:pStyle w:val="TX-TableText"/>
            </w:pPr>
            <w:r w:rsidRPr="009335C5">
              <w:t>(Appendix C1)</w:t>
            </w:r>
          </w:p>
        </w:tc>
        <w:tc>
          <w:tcPr>
            <w:tcW w:w="3061" w:type="dxa"/>
            <w:shd w:val="clear" w:color="auto" w:fill="auto"/>
          </w:tcPr>
          <w:p w14:paraId="06075120" w14:textId="77777777" w:rsidR="009335C5" w:rsidRPr="009335C5" w:rsidRDefault="009335C5" w:rsidP="004B22D6">
            <w:pPr>
              <w:pStyle w:val="TB-TableBullet"/>
              <w:ind w:left="360"/>
            </w:pPr>
            <w:r w:rsidRPr="009335C5">
              <w:t>Phone/</w:t>
            </w:r>
            <w:r w:rsidR="004B22D6">
              <w:t>e</w:t>
            </w:r>
            <w:r w:rsidRPr="009335C5">
              <w:t>mail</w:t>
            </w:r>
          </w:p>
        </w:tc>
        <w:tc>
          <w:tcPr>
            <w:tcW w:w="3472" w:type="dxa"/>
            <w:shd w:val="clear" w:color="auto" w:fill="auto"/>
          </w:tcPr>
          <w:p w14:paraId="61BFFD08" w14:textId="77777777" w:rsidR="009335C5" w:rsidRPr="009335C5" w:rsidRDefault="009335C5" w:rsidP="004E041D">
            <w:pPr>
              <w:pStyle w:val="TB-TableBullet"/>
              <w:ind w:left="360"/>
            </w:pPr>
            <w:r w:rsidRPr="009335C5">
              <w:t>SFA and school information (to prepare for data collection visit)</w:t>
            </w:r>
          </w:p>
        </w:tc>
        <w:tc>
          <w:tcPr>
            <w:tcW w:w="1253" w:type="dxa"/>
            <w:shd w:val="clear" w:color="auto" w:fill="auto"/>
          </w:tcPr>
          <w:p w14:paraId="1D5B15E4" w14:textId="77777777" w:rsidR="009335C5" w:rsidRPr="009335C5" w:rsidRDefault="009335C5" w:rsidP="009A5616">
            <w:pPr>
              <w:pStyle w:val="TX-TableText"/>
            </w:pPr>
            <w:r w:rsidRPr="009335C5">
              <w:t>Once</w:t>
            </w:r>
          </w:p>
        </w:tc>
        <w:tc>
          <w:tcPr>
            <w:tcW w:w="1337" w:type="dxa"/>
            <w:shd w:val="clear" w:color="auto" w:fill="BFBFBF"/>
          </w:tcPr>
          <w:p w14:paraId="4A639A94" w14:textId="77777777" w:rsidR="009335C5" w:rsidRPr="009335C5" w:rsidRDefault="009335C5" w:rsidP="009A5616">
            <w:pPr>
              <w:pStyle w:val="TX-TableText"/>
            </w:pPr>
          </w:p>
        </w:tc>
      </w:tr>
      <w:tr w:rsidR="002255F3" w:rsidRPr="009335C5" w14:paraId="5A4C11A8" w14:textId="77777777" w:rsidTr="00F95904">
        <w:tc>
          <w:tcPr>
            <w:tcW w:w="1451" w:type="dxa"/>
            <w:vMerge/>
            <w:shd w:val="clear" w:color="auto" w:fill="auto"/>
          </w:tcPr>
          <w:p w14:paraId="0040A752" w14:textId="77777777" w:rsidR="009335C5" w:rsidRPr="009335C5" w:rsidRDefault="009335C5" w:rsidP="009A5616">
            <w:pPr>
              <w:pStyle w:val="TX-TableText"/>
            </w:pPr>
          </w:p>
        </w:tc>
        <w:tc>
          <w:tcPr>
            <w:tcW w:w="2881" w:type="dxa"/>
            <w:shd w:val="clear" w:color="auto" w:fill="auto"/>
          </w:tcPr>
          <w:p w14:paraId="4B5FB1EE" w14:textId="77777777" w:rsidR="009335C5" w:rsidRPr="009335C5" w:rsidRDefault="009335C5" w:rsidP="009A5616">
            <w:pPr>
              <w:pStyle w:val="TX-TableText"/>
            </w:pPr>
            <w:r w:rsidRPr="009335C5">
              <w:t>Meal Transaction Observation Form (Appendix C3)</w:t>
            </w:r>
          </w:p>
        </w:tc>
        <w:tc>
          <w:tcPr>
            <w:tcW w:w="3061" w:type="dxa"/>
            <w:shd w:val="clear" w:color="auto" w:fill="auto"/>
          </w:tcPr>
          <w:p w14:paraId="3139D9B2" w14:textId="77777777" w:rsidR="009335C5" w:rsidRPr="009335C5" w:rsidRDefault="009335C5" w:rsidP="004E041D">
            <w:pPr>
              <w:pStyle w:val="TB-TableBullet"/>
              <w:ind w:left="360"/>
            </w:pPr>
            <w:r w:rsidRPr="009335C5">
              <w:t>Observation</w:t>
            </w:r>
          </w:p>
          <w:p w14:paraId="1361488D" w14:textId="77777777" w:rsidR="009335C5" w:rsidRPr="009335C5" w:rsidRDefault="009335C5" w:rsidP="004E041D">
            <w:pPr>
              <w:pStyle w:val="TB-TableBullet"/>
              <w:ind w:left="360"/>
            </w:pPr>
            <w:r w:rsidRPr="009335C5">
              <w:t>Hard</w:t>
            </w:r>
            <w:r w:rsidR="00F76C48">
              <w:t>-</w:t>
            </w:r>
            <w:r w:rsidRPr="009335C5">
              <w:t>copy booklet, later entry</w:t>
            </w:r>
          </w:p>
        </w:tc>
        <w:tc>
          <w:tcPr>
            <w:tcW w:w="3472" w:type="dxa"/>
            <w:shd w:val="clear" w:color="auto" w:fill="auto"/>
          </w:tcPr>
          <w:p w14:paraId="1628F642" w14:textId="77777777" w:rsidR="009335C5" w:rsidRPr="009335C5" w:rsidRDefault="009335C5" w:rsidP="004E041D">
            <w:pPr>
              <w:pStyle w:val="TB-TableBullet"/>
              <w:ind w:left="360"/>
            </w:pPr>
            <w:r w:rsidRPr="009335C5">
              <w:t>Meal components, recipient and reimbursement status</w:t>
            </w:r>
          </w:p>
        </w:tc>
        <w:tc>
          <w:tcPr>
            <w:tcW w:w="1253" w:type="dxa"/>
            <w:shd w:val="clear" w:color="auto" w:fill="auto"/>
          </w:tcPr>
          <w:p w14:paraId="3C7BFBD2" w14:textId="77777777" w:rsidR="009335C5" w:rsidRPr="009335C5" w:rsidRDefault="009335C5" w:rsidP="009A5616">
            <w:pPr>
              <w:pStyle w:val="TX-TableText"/>
            </w:pPr>
            <w:r w:rsidRPr="009335C5">
              <w:t>Once</w:t>
            </w:r>
          </w:p>
        </w:tc>
        <w:tc>
          <w:tcPr>
            <w:tcW w:w="1337" w:type="dxa"/>
            <w:shd w:val="clear" w:color="auto" w:fill="auto"/>
          </w:tcPr>
          <w:p w14:paraId="7B7889D1" w14:textId="77777777" w:rsidR="009335C5" w:rsidRPr="009335C5" w:rsidRDefault="009335C5" w:rsidP="009A5616">
            <w:pPr>
              <w:pStyle w:val="TX-TableText"/>
            </w:pPr>
            <w:r w:rsidRPr="009335C5">
              <w:t>Meal Claiming</w:t>
            </w:r>
          </w:p>
        </w:tc>
      </w:tr>
      <w:tr w:rsidR="002255F3" w:rsidRPr="009335C5" w14:paraId="0C7851E1" w14:textId="77777777" w:rsidTr="00F95904">
        <w:tc>
          <w:tcPr>
            <w:tcW w:w="1451" w:type="dxa"/>
            <w:vMerge/>
            <w:shd w:val="clear" w:color="auto" w:fill="auto"/>
          </w:tcPr>
          <w:p w14:paraId="334E4840" w14:textId="77777777" w:rsidR="009335C5" w:rsidRPr="009335C5" w:rsidRDefault="009335C5" w:rsidP="009A5616">
            <w:pPr>
              <w:pStyle w:val="TX-TableText"/>
            </w:pPr>
          </w:p>
        </w:tc>
        <w:tc>
          <w:tcPr>
            <w:tcW w:w="2881" w:type="dxa"/>
            <w:shd w:val="clear" w:color="auto" w:fill="auto"/>
          </w:tcPr>
          <w:p w14:paraId="5D36A081" w14:textId="77777777" w:rsidR="009335C5" w:rsidRPr="009335C5" w:rsidRDefault="009335C5" w:rsidP="009A5616">
            <w:pPr>
              <w:pStyle w:val="TX-TableText"/>
            </w:pPr>
            <w:r w:rsidRPr="009335C5">
              <w:t>Cafeteria Manager Interview</w:t>
            </w:r>
          </w:p>
          <w:p w14:paraId="13B86C3A" w14:textId="77777777" w:rsidR="009335C5" w:rsidRPr="009335C5" w:rsidRDefault="009335C5" w:rsidP="009A5616">
            <w:pPr>
              <w:pStyle w:val="TX-TableText"/>
            </w:pPr>
            <w:r w:rsidRPr="009335C5">
              <w:t>(Appendix C5)</w:t>
            </w:r>
          </w:p>
        </w:tc>
        <w:tc>
          <w:tcPr>
            <w:tcW w:w="3061" w:type="dxa"/>
            <w:shd w:val="clear" w:color="auto" w:fill="auto"/>
          </w:tcPr>
          <w:p w14:paraId="251CAE1C" w14:textId="77777777" w:rsidR="009335C5" w:rsidRPr="004E041D" w:rsidRDefault="009335C5" w:rsidP="004E041D">
            <w:pPr>
              <w:pStyle w:val="TB-TableBullet"/>
              <w:ind w:left="360"/>
              <w:rPr>
                <w:rFonts w:eastAsia="Franklin Gothic Medium"/>
              </w:rPr>
            </w:pPr>
            <w:r w:rsidRPr="009335C5">
              <w:t>In</w:t>
            </w:r>
            <w:r w:rsidR="004B22D6">
              <w:t>-p</w:t>
            </w:r>
            <w:r w:rsidRPr="009335C5">
              <w:t xml:space="preserve">erson </w:t>
            </w:r>
            <w:r w:rsidR="004B22D6">
              <w:t>i</w:t>
            </w:r>
            <w:r w:rsidRPr="009335C5">
              <w:t>nterview</w:t>
            </w:r>
          </w:p>
          <w:p w14:paraId="5850351F" w14:textId="77777777" w:rsidR="009335C5" w:rsidRPr="009335C5" w:rsidRDefault="009335C5" w:rsidP="004E041D">
            <w:pPr>
              <w:pStyle w:val="TB-TableBullet"/>
              <w:ind w:left="360"/>
            </w:pPr>
            <w:r w:rsidRPr="009335C5">
              <w:t>Recorded and later transcribed</w:t>
            </w:r>
          </w:p>
        </w:tc>
        <w:tc>
          <w:tcPr>
            <w:tcW w:w="3472" w:type="dxa"/>
            <w:shd w:val="clear" w:color="auto" w:fill="auto"/>
          </w:tcPr>
          <w:p w14:paraId="1812D502" w14:textId="77777777" w:rsidR="009335C5" w:rsidRPr="009335C5" w:rsidRDefault="009335C5" w:rsidP="004E041D">
            <w:pPr>
              <w:pStyle w:val="TB-TableBullet"/>
              <w:ind w:left="360"/>
            </w:pPr>
            <w:r w:rsidRPr="009335C5">
              <w:t>Meal claiming protocol</w:t>
            </w:r>
          </w:p>
          <w:p w14:paraId="2582730A" w14:textId="77777777" w:rsidR="009335C5" w:rsidRPr="009335C5" w:rsidRDefault="009335C5" w:rsidP="004E041D">
            <w:pPr>
              <w:pStyle w:val="TB-TableBullet"/>
              <w:ind w:left="360"/>
            </w:pPr>
            <w:r w:rsidRPr="009335C5">
              <w:t>Staff training</w:t>
            </w:r>
          </w:p>
        </w:tc>
        <w:tc>
          <w:tcPr>
            <w:tcW w:w="1253" w:type="dxa"/>
            <w:shd w:val="clear" w:color="auto" w:fill="auto"/>
          </w:tcPr>
          <w:p w14:paraId="1883FAC9" w14:textId="77777777" w:rsidR="009335C5" w:rsidRPr="009335C5" w:rsidRDefault="009335C5" w:rsidP="009A5616">
            <w:pPr>
              <w:pStyle w:val="TX-TableText"/>
            </w:pPr>
            <w:r w:rsidRPr="009335C5">
              <w:t>Once</w:t>
            </w:r>
          </w:p>
        </w:tc>
        <w:tc>
          <w:tcPr>
            <w:tcW w:w="1337" w:type="dxa"/>
            <w:shd w:val="clear" w:color="auto" w:fill="auto"/>
          </w:tcPr>
          <w:p w14:paraId="1A38B4AF" w14:textId="77777777" w:rsidR="009335C5" w:rsidRPr="009335C5" w:rsidRDefault="009335C5" w:rsidP="009A5616">
            <w:pPr>
              <w:pStyle w:val="TX-TableText"/>
            </w:pPr>
            <w:r w:rsidRPr="009335C5">
              <w:t>Meal Claiming</w:t>
            </w:r>
          </w:p>
        </w:tc>
      </w:tr>
      <w:tr w:rsidR="002255F3" w:rsidRPr="009335C5" w14:paraId="43ED7364" w14:textId="77777777" w:rsidTr="00F95904">
        <w:tc>
          <w:tcPr>
            <w:tcW w:w="1451" w:type="dxa"/>
            <w:vMerge/>
            <w:shd w:val="clear" w:color="auto" w:fill="auto"/>
          </w:tcPr>
          <w:p w14:paraId="7EE9CFF8" w14:textId="77777777" w:rsidR="009335C5" w:rsidRPr="009335C5" w:rsidRDefault="009335C5" w:rsidP="009A5616">
            <w:pPr>
              <w:pStyle w:val="TX-TableText"/>
            </w:pPr>
          </w:p>
        </w:tc>
        <w:tc>
          <w:tcPr>
            <w:tcW w:w="2881" w:type="dxa"/>
            <w:shd w:val="clear" w:color="auto" w:fill="auto"/>
          </w:tcPr>
          <w:p w14:paraId="6ADC55E0" w14:textId="77777777" w:rsidR="009335C5" w:rsidRPr="009335C5" w:rsidRDefault="009335C5" w:rsidP="009A5616">
            <w:pPr>
              <w:pStyle w:val="TX-TableText"/>
            </w:pPr>
            <w:r w:rsidRPr="009335C5">
              <w:t>School Meal Count Verification Form (Appendix C6)</w:t>
            </w:r>
          </w:p>
        </w:tc>
        <w:tc>
          <w:tcPr>
            <w:tcW w:w="3061" w:type="dxa"/>
            <w:shd w:val="clear" w:color="auto" w:fill="auto"/>
          </w:tcPr>
          <w:p w14:paraId="21D76B16" w14:textId="77777777" w:rsidR="009335C5" w:rsidRPr="004E041D" w:rsidRDefault="009335C5" w:rsidP="004E041D">
            <w:pPr>
              <w:pStyle w:val="TB-TableBullet"/>
              <w:ind w:left="360"/>
              <w:rPr>
                <w:rFonts w:eastAsia="Franklin Gothic Medium"/>
              </w:rPr>
            </w:pPr>
            <w:r w:rsidRPr="009335C5">
              <w:t>In-person record abstraction</w:t>
            </w:r>
          </w:p>
          <w:p w14:paraId="6033F671" w14:textId="77777777" w:rsidR="009335C5" w:rsidRPr="004E041D" w:rsidRDefault="009335C5" w:rsidP="004E041D">
            <w:pPr>
              <w:pStyle w:val="TB-TableBullet"/>
              <w:ind w:left="360"/>
              <w:rPr>
                <w:rFonts w:eastAsia="Franklin Gothic Medium"/>
              </w:rPr>
            </w:pPr>
            <w:r w:rsidRPr="009335C5">
              <w:t>Data entry via web/MiFi</w:t>
            </w:r>
          </w:p>
          <w:p w14:paraId="448249E2" w14:textId="77777777" w:rsidR="009335C5" w:rsidRPr="009335C5" w:rsidRDefault="009335C5" w:rsidP="004E041D">
            <w:pPr>
              <w:pStyle w:val="TB-TableBullet"/>
              <w:ind w:left="360"/>
            </w:pPr>
            <w:r w:rsidRPr="009335C5">
              <w:t>Scanned backup, later data entry</w:t>
            </w:r>
          </w:p>
        </w:tc>
        <w:tc>
          <w:tcPr>
            <w:tcW w:w="3472" w:type="dxa"/>
            <w:shd w:val="clear" w:color="auto" w:fill="auto"/>
          </w:tcPr>
          <w:p w14:paraId="55592E1B" w14:textId="77777777" w:rsidR="009335C5" w:rsidRPr="004E041D" w:rsidRDefault="009335C5" w:rsidP="004E041D">
            <w:pPr>
              <w:pStyle w:val="TB-TableBullet"/>
              <w:ind w:left="360"/>
              <w:rPr>
                <w:rFonts w:eastAsia="Franklin Gothic Medium"/>
              </w:rPr>
            </w:pPr>
            <w:r w:rsidRPr="009335C5">
              <w:t>Meal counts cashier and school level</w:t>
            </w:r>
          </w:p>
          <w:p w14:paraId="594A94D4" w14:textId="77777777" w:rsidR="009335C5" w:rsidRPr="009335C5" w:rsidRDefault="009335C5" w:rsidP="004E041D">
            <w:pPr>
              <w:pStyle w:val="TB-TableBullet"/>
              <w:ind w:left="360"/>
            </w:pPr>
            <w:r w:rsidRPr="009335C5">
              <w:t>Meal counts submitted to SFA</w:t>
            </w:r>
          </w:p>
        </w:tc>
        <w:tc>
          <w:tcPr>
            <w:tcW w:w="1253" w:type="dxa"/>
            <w:shd w:val="clear" w:color="auto" w:fill="auto"/>
          </w:tcPr>
          <w:p w14:paraId="1D3C6CBF" w14:textId="77777777" w:rsidR="009335C5" w:rsidRPr="009335C5" w:rsidRDefault="009335C5" w:rsidP="009A5616">
            <w:pPr>
              <w:pStyle w:val="TX-TableText"/>
            </w:pPr>
            <w:r w:rsidRPr="009335C5">
              <w:t>Once</w:t>
            </w:r>
          </w:p>
        </w:tc>
        <w:tc>
          <w:tcPr>
            <w:tcW w:w="1337" w:type="dxa"/>
            <w:tcBorders>
              <w:bottom w:val="single" w:sz="4" w:space="0" w:color="auto"/>
            </w:tcBorders>
            <w:shd w:val="clear" w:color="auto" w:fill="auto"/>
          </w:tcPr>
          <w:p w14:paraId="3224AC29" w14:textId="77777777" w:rsidR="009335C5" w:rsidRPr="009335C5" w:rsidRDefault="009335C5" w:rsidP="009A5616">
            <w:pPr>
              <w:pStyle w:val="TX-TableText"/>
            </w:pPr>
            <w:r w:rsidRPr="009335C5">
              <w:t>Aggregation</w:t>
            </w:r>
          </w:p>
        </w:tc>
      </w:tr>
      <w:tr w:rsidR="004508D1" w:rsidRPr="009335C5" w14:paraId="4EE29BF5" w14:textId="77777777" w:rsidTr="00F95904">
        <w:tc>
          <w:tcPr>
            <w:tcW w:w="1451" w:type="dxa"/>
            <w:vMerge w:val="restart"/>
            <w:shd w:val="clear" w:color="auto" w:fill="auto"/>
          </w:tcPr>
          <w:p w14:paraId="07709CA5" w14:textId="77777777" w:rsidR="004508D1" w:rsidRPr="009335C5" w:rsidRDefault="004508D1" w:rsidP="009A5616">
            <w:pPr>
              <w:pStyle w:val="TX-TableText"/>
            </w:pPr>
            <w:r w:rsidRPr="009335C5">
              <w:t>Households (Parents / Guardians)</w:t>
            </w:r>
          </w:p>
        </w:tc>
        <w:tc>
          <w:tcPr>
            <w:tcW w:w="2881" w:type="dxa"/>
            <w:shd w:val="clear" w:color="auto" w:fill="auto"/>
          </w:tcPr>
          <w:p w14:paraId="06362D34" w14:textId="77777777" w:rsidR="004508D1" w:rsidRPr="009335C5" w:rsidRDefault="004508D1" w:rsidP="009A5616">
            <w:pPr>
              <w:pStyle w:val="TX-TableText"/>
            </w:pPr>
            <w:r w:rsidRPr="009335C5">
              <w:t>Household Survey Income Worksheet</w:t>
            </w:r>
          </w:p>
          <w:p w14:paraId="6770CD66" w14:textId="77777777" w:rsidR="004508D1" w:rsidRPr="009335C5" w:rsidRDefault="004508D1" w:rsidP="009A5616">
            <w:pPr>
              <w:pStyle w:val="TX-TableText"/>
            </w:pPr>
            <w:r w:rsidRPr="009335C5">
              <w:t>(Appendix D3/D4 )</w:t>
            </w:r>
          </w:p>
        </w:tc>
        <w:tc>
          <w:tcPr>
            <w:tcW w:w="3061" w:type="dxa"/>
            <w:shd w:val="clear" w:color="auto" w:fill="auto"/>
          </w:tcPr>
          <w:p w14:paraId="6D84B405" w14:textId="77777777" w:rsidR="004508D1" w:rsidRPr="009335C5" w:rsidRDefault="004508D1" w:rsidP="004E041D">
            <w:pPr>
              <w:pStyle w:val="TB-TableBullet"/>
              <w:ind w:left="360"/>
            </w:pPr>
            <w:r w:rsidRPr="009335C5">
              <w:t>Hard</w:t>
            </w:r>
            <w:r>
              <w:t>-</w:t>
            </w:r>
            <w:r w:rsidRPr="009335C5">
              <w:t>copy worksheet sent via email</w:t>
            </w:r>
          </w:p>
        </w:tc>
        <w:tc>
          <w:tcPr>
            <w:tcW w:w="3472" w:type="dxa"/>
            <w:shd w:val="clear" w:color="auto" w:fill="auto"/>
          </w:tcPr>
          <w:p w14:paraId="16FB0839" w14:textId="77777777" w:rsidR="004508D1" w:rsidRPr="009335C5" w:rsidRDefault="004508D1" w:rsidP="004E041D">
            <w:pPr>
              <w:pStyle w:val="TB-TableBullet"/>
              <w:ind w:left="360"/>
            </w:pPr>
            <w:r w:rsidRPr="009335C5">
              <w:t>Sources of income</w:t>
            </w:r>
          </w:p>
          <w:p w14:paraId="37773578" w14:textId="77777777" w:rsidR="004508D1" w:rsidRPr="009335C5" w:rsidRDefault="004508D1" w:rsidP="004E041D">
            <w:pPr>
              <w:pStyle w:val="TB-TableBullet"/>
              <w:ind w:left="360"/>
            </w:pPr>
            <w:r w:rsidRPr="009335C5">
              <w:t>Acceptable forms of documentation</w:t>
            </w:r>
          </w:p>
        </w:tc>
        <w:tc>
          <w:tcPr>
            <w:tcW w:w="1253" w:type="dxa"/>
            <w:shd w:val="clear" w:color="auto" w:fill="auto"/>
          </w:tcPr>
          <w:p w14:paraId="734B105C" w14:textId="77777777" w:rsidR="004508D1" w:rsidRPr="009335C5" w:rsidRDefault="004508D1" w:rsidP="009A5616">
            <w:pPr>
              <w:pStyle w:val="TX-TableText"/>
            </w:pPr>
            <w:r w:rsidRPr="009335C5">
              <w:t>Once</w:t>
            </w:r>
          </w:p>
        </w:tc>
        <w:tc>
          <w:tcPr>
            <w:tcW w:w="1337" w:type="dxa"/>
            <w:shd w:val="clear" w:color="auto" w:fill="BFBFBF"/>
          </w:tcPr>
          <w:p w14:paraId="21BF9C79" w14:textId="77777777" w:rsidR="004508D1" w:rsidRPr="009335C5" w:rsidRDefault="004508D1" w:rsidP="009A5616">
            <w:pPr>
              <w:pStyle w:val="TX-TableText"/>
            </w:pPr>
          </w:p>
        </w:tc>
      </w:tr>
      <w:tr w:rsidR="004508D1" w:rsidRPr="009335C5" w14:paraId="29436E41" w14:textId="77777777" w:rsidTr="00F95904">
        <w:tc>
          <w:tcPr>
            <w:tcW w:w="1451" w:type="dxa"/>
            <w:vMerge/>
            <w:shd w:val="clear" w:color="auto" w:fill="auto"/>
          </w:tcPr>
          <w:p w14:paraId="6685E336" w14:textId="77777777" w:rsidR="004508D1" w:rsidRPr="009335C5" w:rsidRDefault="004508D1" w:rsidP="009A5616">
            <w:pPr>
              <w:pStyle w:val="TX-TableText"/>
            </w:pPr>
          </w:p>
        </w:tc>
        <w:tc>
          <w:tcPr>
            <w:tcW w:w="2881" w:type="dxa"/>
            <w:shd w:val="clear" w:color="auto" w:fill="auto"/>
          </w:tcPr>
          <w:p w14:paraId="396A8D52" w14:textId="77777777" w:rsidR="004508D1" w:rsidRPr="009335C5" w:rsidRDefault="004508D1" w:rsidP="009A5616">
            <w:pPr>
              <w:pStyle w:val="TX-TableText"/>
            </w:pPr>
            <w:r w:rsidRPr="009335C5">
              <w:t>Household Survey</w:t>
            </w:r>
          </w:p>
          <w:p w14:paraId="47BC628C" w14:textId="77777777" w:rsidR="004508D1" w:rsidRPr="009335C5" w:rsidRDefault="004508D1" w:rsidP="009A5616">
            <w:pPr>
              <w:pStyle w:val="TX-TableText"/>
            </w:pPr>
            <w:r w:rsidRPr="009335C5">
              <w:t>(Appendix D5/D6 )</w:t>
            </w:r>
          </w:p>
        </w:tc>
        <w:tc>
          <w:tcPr>
            <w:tcW w:w="3061" w:type="dxa"/>
            <w:shd w:val="clear" w:color="auto" w:fill="auto"/>
          </w:tcPr>
          <w:p w14:paraId="211D73F2" w14:textId="77777777" w:rsidR="004508D1" w:rsidRPr="004E041D" w:rsidRDefault="004508D1" w:rsidP="004E041D">
            <w:pPr>
              <w:pStyle w:val="TB-TableBullet"/>
              <w:ind w:left="360"/>
              <w:rPr>
                <w:rFonts w:eastAsia="Franklin Gothic Medium"/>
              </w:rPr>
            </w:pPr>
            <w:r w:rsidRPr="009335C5">
              <w:t>In</w:t>
            </w:r>
            <w:r>
              <w:t>-p</w:t>
            </w:r>
            <w:r w:rsidRPr="009335C5">
              <w:t xml:space="preserve">erson </w:t>
            </w:r>
            <w:r>
              <w:t>i</w:t>
            </w:r>
            <w:r w:rsidRPr="009335C5">
              <w:t>nterview</w:t>
            </w:r>
          </w:p>
          <w:p w14:paraId="01F5D1A7" w14:textId="77777777" w:rsidR="004508D1" w:rsidRPr="009335C5" w:rsidRDefault="004508D1" w:rsidP="004E041D">
            <w:pPr>
              <w:pStyle w:val="TB-TableBullet"/>
              <w:ind w:left="360"/>
            </w:pPr>
            <w:r w:rsidRPr="009335C5">
              <w:t>CAPI</w:t>
            </w:r>
          </w:p>
        </w:tc>
        <w:tc>
          <w:tcPr>
            <w:tcW w:w="3472" w:type="dxa"/>
            <w:shd w:val="clear" w:color="auto" w:fill="auto"/>
          </w:tcPr>
          <w:p w14:paraId="4E7892C3" w14:textId="77777777" w:rsidR="004508D1" w:rsidRPr="004E041D" w:rsidRDefault="004508D1" w:rsidP="004E041D">
            <w:pPr>
              <w:pStyle w:val="TB-TableBullet"/>
              <w:ind w:left="360"/>
              <w:rPr>
                <w:rFonts w:eastAsia="Franklin Gothic Medium"/>
              </w:rPr>
            </w:pPr>
            <w:r w:rsidRPr="009335C5">
              <w:t>Household size and income</w:t>
            </w:r>
          </w:p>
          <w:p w14:paraId="02A32B4C" w14:textId="77777777" w:rsidR="004508D1" w:rsidRPr="004E041D" w:rsidRDefault="004508D1" w:rsidP="004E041D">
            <w:pPr>
              <w:pStyle w:val="TB-TableBullet"/>
              <w:ind w:left="360"/>
              <w:rPr>
                <w:rFonts w:eastAsia="Franklin Gothic Medium"/>
              </w:rPr>
            </w:pPr>
            <w:r w:rsidRPr="009335C5">
              <w:t>Participation in SNAP, TANF, etc.</w:t>
            </w:r>
          </w:p>
          <w:p w14:paraId="48C0AEAB" w14:textId="77777777" w:rsidR="004508D1" w:rsidRPr="009335C5" w:rsidRDefault="004508D1" w:rsidP="004E041D">
            <w:pPr>
              <w:pStyle w:val="TB-TableBullet"/>
              <w:ind w:left="360"/>
            </w:pPr>
            <w:r w:rsidRPr="009335C5">
              <w:t>Application process</w:t>
            </w:r>
          </w:p>
        </w:tc>
        <w:tc>
          <w:tcPr>
            <w:tcW w:w="1253" w:type="dxa"/>
            <w:shd w:val="clear" w:color="auto" w:fill="auto"/>
          </w:tcPr>
          <w:p w14:paraId="22F9A879" w14:textId="77777777" w:rsidR="004508D1" w:rsidRPr="009335C5" w:rsidRDefault="004508D1" w:rsidP="009A5616">
            <w:pPr>
              <w:pStyle w:val="TX-TableText"/>
            </w:pPr>
            <w:r w:rsidRPr="009335C5">
              <w:t>Once</w:t>
            </w:r>
          </w:p>
        </w:tc>
        <w:tc>
          <w:tcPr>
            <w:tcW w:w="1337" w:type="dxa"/>
            <w:tcBorders>
              <w:bottom w:val="single" w:sz="4" w:space="0" w:color="auto"/>
            </w:tcBorders>
            <w:shd w:val="clear" w:color="auto" w:fill="auto"/>
          </w:tcPr>
          <w:p w14:paraId="5EC0E5F9" w14:textId="77777777" w:rsidR="004508D1" w:rsidRPr="009335C5" w:rsidRDefault="004508D1" w:rsidP="009A5616">
            <w:pPr>
              <w:pStyle w:val="TX-TableText"/>
            </w:pPr>
            <w:r w:rsidRPr="009335C5">
              <w:t>Certification</w:t>
            </w:r>
          </w:p>
        </w:tc>
      </w:tr>
      <w:tr w:rsidR="004508D1" w:rsidRPr="009335C5" w14:paraId="06210457" w14:textId="77777777" w:rsidTr="00F95904">
        <w:tc>
          <w:tcPr>
            <w:tcW w:w="1451" w:type="dxa"/>
            <w:vMerge/>
            <w:shd w:val="clear" w:color="auto" w:fill="auto"/>
          </w:tcPr>
          <w:p w14:paraId="1AE98390" w14:textId="77777777" w:rsidR="004508D1" w:rsidRPr="009335C5" w:rsidRDefault="004508D1" w:rsidP="009A5616">
            <w:pPr>
              <w:pStyle w:val="TX-TableText"/>
            </w:pPr>
          </w:p>
        </w:tc>
        <w:tc>
          <w:tcPr>
            <w:tcW w:w="2881" w:type="dxa"/>
            <w:shd w:val="clear" w:color="auto" w:fill="auto"/>
          </w:tcPr>
          <w:p w14:paraId="0B68FDE3" w14:textId="77777777" w:rsidR="004508D1" w:rsidRPr="009335C5" w:rsidRDefault="004508D1" w:rsidP="009A5616">
            <w:pPr>
              <w:pStyle w:val="TX-TableText"/>
            </w:pPr>
            <w:r w:rsidRPr="009335C5">
              <w:t>Household Survey Income Source Show Card (Appendix D7/D8)</w:t>
            </w:r>
          </w:p>
        </w:tc>
        <w:tc>
          <w:tcPr>
            <w:tcW w:w="3061" w:type="dxa"/>
            <w:shd w:val="clear" w:color="auto" w:fill="auto"/>
          </w:tcPr>
          <w:p w14:paraId="55E0A762" w14:textId="77777777" w:rsidR="004508D1" w:rsidRPr="009335C5" w:rsidRDefault="004508D1" w:rsidP="00F76C48">
            <w:pPr>
              <w:pStyle w:val="TB-TableBullet"/>
              <w:ind w:left="360"/>
            </w:pPr>
            <w:r w:rsidRPr="009335C5">
              <w:t>Hard</w:t>
            </w:r>
            <w:r>
              <w:t xml:space="preserve"> </w:t>
            </w:r>
            <w:r w:rsidRPr="009335C5">
              <w:t xml:space="preserve">copy shown during </w:t>
            </w:r>
            <w:r>
              <w:t>i</w:t>
            </w:r>
            <w:r w:rsidRPr="009335C5">
              <w:t>n-</w:t>
            </w:r>
            <w:r>
              <w:t>p</w:t>
            </w:r>
            <w:r w:rsidRPr="009335C5">
              <w:t xml:space="preserve">erson </w:t>
            </w:r>
            <w:r>
              <w:t>i</w:t>
            </w:r>
            <w:r w:rsidRPr="009335C5">
              <w:t>nterview</w:t>
            </w:r>
          </w:p>
        </w:tc>
        <w:tc>
          <w:tcPr>
            <w:tcW w:w="3472" w:type="dxa"/>
            <w:shd w:val="clear" w:color="auto" w:fill="auto"/>
          </w:tcPr>
          <w:p w14:paraId="2682441A" w14:textId="77777777" w:rsidR="004508D1" w:rsidRPr="009335C5" w:rsidRDefault="004508D1" w:rsidP="004E041D">
            <w:pPr>
              <w:pStyle w:val="TB-TableBullet"/>
              <w:ind w:left="360"/>
            </w:pPr>
            <w:r w:rsidRPr="009335C5">
              <w:t>List of income sources</w:t>
            </w:r>
          </w:p>
        </w:tc>
        <w:tc>
          <w:tcPr>
            <w:tcW w:w="1253" w:type="dxa"/>
            <w:shd w:val="clear" w:color="auto" w:fill="auto"/>
          </w:tcPr>
          <w:p w14:paraId="6E7B69B1" w14:textId="77777777" w:rsidR="004508D1" w:rsidRPr="009335C5" w:rsidRDefault="004508D1" w:rsidP="009A5616">
            <w:pPr>
              <w:pStyle w:val="TX-TableText"/>
            </w:pPr>
            <w:r w:rsidRPr="009335C5">
              <w:t>Once</w:t>
            </w:r>
          </w:p>
        </w:tc>
        <w:tc>
          <w:tcPr>
            <w:tcW w:w="1337" w:type="dxa"/>
            <w:tcBorders>
              <w:bottom w:val="single" w:sz="4" w:space="0" w:color="auto"/>
            </w:tcBorders>
            <w:shd w:val="clear" w:color="auto" w:fill="BFBFBF"/>
          </w:tcPr>
          <w:p w14:paraId="0F9299C0" w14:textId="77777777" w:rsidR="004508D1" w:rsidRPr="009335C5" w:rsidRDefault="004508D1" w:rsidP="009A5616">
            <w:pPr>
              <w:pStyle w:val="TX-TableText"/>
            </w:pPr>
          </w:p>
        </w:tc>
      </w:tr>
      <w:tr w:rsidR="004508D1" w:rsidRPr="009335C5" w14:paraId="72A949D0" w14:textId="77777777" w:rsidTr="00F95904">
        <w:tc>
          <w:tcPr>
            <w:tcW w:w="1451" w:type="dxa"/>
            <w:vMerge/>
            <w:shd w:val="clear" w:color="auto" w:fill="auto"/>
          </w:tcPr>
          <w:p w14:paraId="3BB029D0" w14:textId="77777777" w:rsidR="004508D1" w:rsidRPr="009335C5" w:rsidRDefault="004508D1" w:rsidP="009A5616">
            <w:pPr>
              <w:pStyle w:val="TX-TableText"/>
            </w:pPr>
          </w:p>
        </w:tc>
        <w:tc>
          <w:tcPr>
            <w:tcW w:w="2881" w:type="dxa"/>
            <w:shd w:val="clear" w:color="auto" w:fill="auto"/>
          </w:tcPr>
          <w:p w14:paraId="7040F0D8" w14:textId="77777777" w:rsidR="00594598" w:rsidRDefault="004508D1" w:rsidP="00594598">
            <w:pPr>
              <w:pStyle w:val="TX-TableText"/>
            </w:pPr>
            <w:r w:rsidRPr="009335C5">
              <w:t>House</w:t>
            </w:r>
            <w:r w:rsidR="00594598">
              <w:t xml:space="preserve">hold Interview </w:t>
            </w:r>
          </w:p>
          <w:p w14:paraId="066477F9" w14:textId="77777777" w:rsidR="004508D1" w:rsidRPr="009335C5" w:rsidRDefault="004508D1" w:rsidP="00594598">
            <w:pPr>
              <w:pStyle w:val="TX-TableText"/>
            </w:pPr>
            <w:r w:rsidRPr="009335C5">
              <w:t>(Appendix D13/D14 )</w:t>
            </w:r>
          </w:p>
        </w:tc>
        <w:tc>
          <w:tcPr>
            <w:tcW w:w="3061" w:type="dxa"/>
            <w:shd w:val="clear" w:color="auto" w:fill="auto"/>
          </w:tcPr>
          <w:p w14:paraId="575B3557" w14:textId="77777777" w:rsidR="004508D1" w:rsidRPr="004E041D" w:rsidRDefault="004508D1" w:rsidP="001626AC">
            <w:pPr>
              <w:pStyle w:val="TB-TableBullet"/>
              <w:ind w:left="360"/>
              <w:rPr>
                <w:rFonts w:eastAsia="Franklin Gothic Medium"/>
              </w:rPr>
            </w:pPr>
            <w:r w:rsidRPr="009335C5">
              <w:t xml:space="preserve">Phone </w:t>
            </w:r>
            <w:r>
              <w:t>i</w:t>
            </w:r>
            <w:r w:rsidRPr="009335C5">
              <w:t>nterview</w:t>
            </w:r>
          </w:p>
          <w:p w14:paraId="611A390C" w14:textId="77777777" w:rsidR="004508D1" w:rsidRPr="009335C5" w:rsidRDefault="004508D1" w:rsidP="001626AC">
            <w:pPr>
              <w:pStyle w:val="TB-TableBullet"/>
              <w:ind w:left="360"/>
            </w:pPr>
            <w:r w:rsidRPr="009335C5">
              <w:t>Recorded and later transcribed</w:t>
            </w:r>
          </w:p>
        </w:tc>
        <w:tc>
          <w:tcPr>
            <w:tcW w:w="3472" w:type="dxa"/>
            <w:shd w:val="clear" w:color="auto" w:fill="auto"/>
          </w:tcPr>
          <w:p w14:paraId="460B7785" w14:textId="77777777" w:rsidR="004508D1" w:rsidRPr="009335C5" w:rsidRDefault="004508D1" w:rsidP="001626AC">
            <w:pPr>
              <w:pStyle w:val="TB-TableBullet"/>
              <w:ind w:left="360"/>
            </w:pPr>
            <w:r w:rsidRPr="009335C5">
              <w:t>Risk, privacy, and voluntary participation</w:t>
            </w:r>
          </w:p>
          <w:p w14:paraId="40F51450" w14:textId="77777777" w:rsidR="004508D1" w:rsidRPr="009335C5" w:rsidRDefault="004508D1" w:rsidP="001626AC">
            <w:pPr>
              <w:pStyle w:val="TB-TableBullet"/>
              <w:ind w:left="360"/>
            </w:pPr>
            <w:r w:rsidRPr="009335C5">
              <w:t>Targeted questions to further understand reasons for errors</w:t>
            </w:r>
          </w:p>
        </w:tc>
        <w:tc>
          <w:tcPr>
            <w:tcW w:w="1253" w:type="dxa"/>
            <w:shd w:val="clear" w:color="auto" w:fill="auto"/>
          </w:tcPr>
          <w:p w14:paraId="15192997" w14:textId="77777777" w:rsidR="004508D1" w:rsidRPr="009335C5" w:rsidRDefault="004508D1" w:rsidP="009A5616">
            <w:pPr>
              <w:pStyle w:val="TX-TableText"/>
            </w:pPr>
            <w:r w:rsidRPr="009335C5">
              <w:t>Once</w:t>
            </w:r>
          </w:p>
        </w:tc>
        <w:tc>
          <w:tcPr>
            <w:tcW w:w="1337" w:type="dxa"/>
            <w:shd w:val="clear" w:color="auto" w:fill="auto"/>
          </w:tcPr>
          <w:p w14:paraId="015D483F" w14:textId="77777777" w:rsidR="004508D1" w:rsidRPr="009335C5" w:rsidRDefault="004508D1" w:rsidP="009A5616">
            <w:pPr>
              <w:pStyle w:val="TX-TableText"/>
            </w:pPr>
            <w:r w:rsidRPr="009335C5">
              <w:t>Certification</w:t>
            </w:r>
          </w:p>
        </w:tc>
      </w:tr>
    </w:tbl>
    <w:p w14:paraId="6381A1DA" w14:textId="77777777" w:rsidR="00CF5F34" w:rsidRDefault="00CF5F34" w:rsidP="001626AC">
      <w:pPr>
        <w:spacing w:line="20" w:lineRule="exact"/>
        <w:rPr>
          <w:szCs w:val="24"/>
        </w:rPr>
      </w:pPr>
    </w:p>
    <w:p w14:paraId="7F2B2625" w14:textId="3F1A11AC" w:rsidR="00CF5F34" w:rsidRDefault="00CF5F34" w:rsidP="0006595B">
      <w:pPr>
        <w:tabs>
          <w:tab w:val="left" w:pos="432"/>
        </w:tabs>
        <w:spacing w:line="480" w:lineRule="auto"/>
        <w:ind w:firstLine="432"/>
        <w:jc w:val="both"/>
        <w:rPr>
          <w:szCs w:val="24"/>
        </w:rPr>
      </w:pPr>
    </w:p>
    <w:p w14:paraId="67244530" w14:textId="4618D135" w:rsidR="001E1E24" w:rsidRDefault="001E1E24" w:rsidP="00EC6FA3">
      <w:pPr>
        <w:tabs>
          <w:tab w:val="left" w:pos="432"/>
        </w:tabs>
        <w:spacing w:line="240" w:lineRule="auto"/>
        <w:jc w:val="both"/>
        <w:rPr>
          <w:sz w:val="20"/>
        </w:rPr>
      </w:pPr>
      <w:r w:rsidRPr="00EC6FA3">
        <w:rPr>
          <w:sz w:val="20"/>
        </w:rPr>
        <w:t xml:space="preserve">*NOTE: Table A2-1 </w:t>
      </w:r>
      <w:r w:rsidR="00286D46">
        <w:rPr>
          <w:sz w:val="20"/>
        </w:rPr>
        <w:t xml:space="preserve">only includes data collection instruments. It </w:t>
      </w:r>
      <w:r w:rsidRPr="00EC6FA3">
        <w:rPr>
          <w:sz w:val="20"/>
        </w:rPr>
        <w:t xml:space="preserve">does not </w:t>
      </w:r>
      <w:r w:rsidR="00EC6FA3" w:rsidRPr="00EC6FA3">
        <w:rPr>
          <w:sz w:val="20"/>
        </w:rPr>
        <w:t>include administrative</w:t>
      </w:r>
      <w:r w:rsidRPr="00EC6FA3">
        <w:rPr>
          <w:sz w:val="20"/>
        </w:rPr>
        <w:t xml:space="preserve"> materials and forms that do not collect key data elements for analysis</w:t>
      </w:r>
      <w:r w:rsidR="008D76BD">
        <w:rPr>
          <w:sz w:val="20"/>
        </w:rPr>
        <w:t xml:space="preserve"> </w:t>
      </w:r>
    </w:p>
    <w:p w14:paraId="6624C24F" w14:textId="4DA5466C" w:rsidR="001E1E24" w:rsidRPr="003B2904" w:rsidRDefault="008D76BD" w:rsidP="0027013D">
      <w:pPr>
        <w:tabs>
          <w:tab w:val="left" w:pos="432"/>
        </w:tabs>
        <w:spacing w:line="240" w:lineRule="auto"/>
        <w:rPr>
          <w:sz w:val="20"/>
        </w:rPr>
        <w:sectPr w:rsidR="001E1E24" w:rsidRPr="003B2904" w:rsidSect="00444339">
          <w:headerReference w:type="default" r:id="rId14"/>
          <w:footerReference w:type="default" r:id="rId15"/>
          <w:endnotePr>
            <w:numFmt w:val="decimal"/>
          </w:endnotePr>
          <w:pgSz w:w="15840" w:h="12240" w:orient="landscape" w:code="1"/>
          <w:pgMar w:top="1440" w:right="1440" w:bottom="1440" w:left="1440" w:header="576" w:footer="576" w:gutter="0"/>
          <w:cols w:space="720"/>
          <w:docGrid w:linePitch="326"/>
        </w:sectPr>
      </w:pPr>
      <w:r>
        <w:rPr>
          <w:sz w:val="20"/>
        </w:rPr>
        <w:t>(</w:t>
      </w:r>
      <w:r w:rsidRPr="008D76BD">
        <w:rPr>
          <w:sz w:val="20"/>
        </w:rPr>
        <w:t>Appendices: B6, B8, C2, C4, D1, D2, D9-12, D15, D16, I1, I2, T1-T8</w:t>
      </w:r>
      <w:r>
        <w:rPr>
          <w:sz w:val="20"/>
        </w:rPr>
        <w:t>)</w:t>
      </w:r>
      <w:r w:rsidR="00EC6FA3">
        <w:rPr>
          <w:sz w:val="20"/>
        </w:rPr>
        <w:t xml:space="preserve">. </w:t>
      </w:r>
    </w:p>
    <w:p w14:paraId="3563669B" w14:textId="0A1ACB00" w:rsidR="00533B5E" w:rsidRDefault="000E2D19" w:rsidP="000E2D19">
      <w:pPr>
        <w:pStyle w:val="L1-FlLSp12"/>
      </w:pPr>
      <w:r w:rsidRPr="004A1C53">
        <w:t xml:space="preserve">All of the information collection </w:t>
      </w:r>
      <w:r w:rsidR="0027013D">
        <w:t>(on individual students/households</w:t>
      </w:r>
      <w:r w:rsidR="00170E7B">
        <w:t>/records</w:t>
      </w:r>
      <w:r w:rsidR="0027013D">
        <w:t xml:space="preserve">) </w:t>
      </w:r>
      <w:r w:rsidRPr="004A1C53">
        <w:t xml:space="preserve">will </w:t>
      </w:r>
      <w:r>
        <w:t>be conducted once for APEC III</w:t>
      </w:r>
      <w:r w:rsidR="008232AA">
        <w:t xml:space="preserve"> </w:t>
      </w:r>
      <w:r w:rsidR="0027013D">
        <w:t>in three phases during school year 2017-201</w:t>
      </w:r>
      <w:r w:rsidR="008232AA">
        <w:t>8.</w:t>
      </w:r>
      <w:r w:rsidRPr="004A1C53">
        <w:t xml:space="preserve"> The contractor will deliver summary reports </w:t>
      </w:r>
      <w:r w:rsidR="00340116">
        <w:t>(</w:t>
      </w:r>
      <w:r w:rsidRPr="004A1C53">
        <w:t xml:space="preserve">as described in the response to </w:t>
      </w:r>
      <w:r w:rsidR="00A9427A">
        <w:t>Q</w:t>
      </w:r>
      <w:r w:rsidRPr="004A1C53">
        <w:t xml:space="preserve">uestion 16 of this </w:t>
      </w:r>
      <w:r>
        <w:t>supporting statement</w:t>
      </w:r>
      <w:r w:rsidR="00340116">
        <w:t>)</w:t>
      </w:r>
      <w:r w:rsidRPr="004A1C53">
        <w:t xml:space="preserve"> along with the corresponding data sets and codebook (with de-identified data). </w:t>
      </w:r>
    </w:p>
    <w:p w14:paraId="6AF3AFF7" w14:textId="77777777" w:rsidR="0007312C" w:rsidRDefault="0007312C" w:rsidP="0007312C">
      <w:pPr>
        <w:pStyle w:val="Heading4"/>
      </w:pPr>
      <w:r w:rsidRPr="00FB12AD">
        <w:t>Data Collection Procedures</w:t>
      </w:r>
    </w:p>
    <w:p w14:paraId="58D9DD3A" w14:textId="09124CE0" w:rsidR="0007312C" w:rsidRPr="00AF5794" w:rsidRDefault="0007312C" w:rsidP="00F0721E">
      <w:pPr>
        <w:pStyle w:val="P1-StandPara"/>
      </w:pPr>
      <w:r>
        <w:t>Table A2-1 provides a description of each data collection instrument</w:t>
      </w:r>
      <w:r w:rsidR="00F0721E">
        <w:t xml:space="preserve"> by respondent category</w:t>
      </w:r>
      <w:r>
        <w:t>.</w:t>
      </w:r>
      <w:r w:rsidR="005F75FC">
        <w:t xml:space="preserve"> </w:t>
      </w:r>
      <w:r w:rsidR="000045B9">
        <w:t xml:space="preserve">As shown in Figure A2-1, </w:t>
      </w:r>
      <w:r w:rsidR="00F83902">
        <w:t xml:space="preserve">which outlines the timeline for data collection, </w:t>
      </w:r>
      <w:r w:rsidR="000045B9">
        <w:t>t</w:t>
      </w:r>
      <w:r w:rsidR="005F75FC">
        <w:t xml:space="preserve">he data will be collected in three phases with the majority of the </w:t>
      </w:r>
      <w:r w:rsidR="00A85384">
        <w:t xml:space="preserve">household survey </w:t>
      </w:r>
      <w:r w:rsidR="005F75FC" w:rsidRPr="00A85384">
        <w:t xml:space="preserve">data collected </w:t>
      </w:r>
      <w:r w:rsidR="00987FB5" w:rsidRPr="00A85384">
        <w:t>during the first phase</w:t>
      </w:r>
      <w:r w:rsidR="005F75FC" w:rsidRPr="00A85384">
        <w:t xml:space="preserve">. </w:t>
      </w:r>
      <w:r w:rsidR="00A85384">
        <w:t xml:space="preserve">Sampling and </w:t>
      </w:r>
      <w:r w:rsidRPr="00A85384">
        <w:t xml:space="preserve">household surveys will take place three times during the study year to ensure coverage of applications submitted at different times during the year. </w:t>
      </w:r>
      <w:r w:rsidR="00CA1D66" w:rsidRPr="00A85384">
        <w:t>At the mutually agreed upon</w:t>
      </w:r>
      <w:r w:rsidRPr="00A85384">
        <w:t xml:space="preserve"> time, the data collectors will travel t</w:t>
      </w:r>
      <w:r w:rsidRPr="00AF5794">
        <w:t xml:space="preserve">o sampled </w:t>
      </w:r>
      <w:r w:rsidR="00AF1151">
        <w:t xml:space="preserve">and recruited </w:t>
      </w:r>
      <w:r w:rsidRPr="00AF5794">
        <w:t>households to conduct the in-person household survey as a computer assisted personal interv</w:t>
      </w:r>
      <w:r w:rsidR="00CA1D66">
        <w:t>iew (CAPI)</w:t>
      </w:r>
      <w:r w:rsidRPr="00AF5794">
        <w:t xml:space="preserve">. </w:t>
      </w:r>
      <w:r>
        <w:t>T</w:t>
      </w:r>
      <w:r w:rsidRPr="0067099B">
        <w:t xml:space="preserve">he </w:t>
      </w:r>
      <w:r>
        <w:t>h</w:t>
      </w:r>
      <w:r w:rsidRPr="0067099B">
        <w:t xml:space="preserve">ousehold </w:t>
      </w:r>
      <w:r>
        <w:t>in-depth interviews</w:t>
      </w:r>
      <w:r w:rsidRPr="0067099B">
        <w:t xml:space="preserve"> will </w:t>
      </w:r>
      <w:r>
        <w:t>be c</w:t>
      </w:r>
      <w:r w:rsidR="00CA1D66">
        <w:t>onducted via phone with a random sample</w:t>
      </w:r>
      <w:r>
        <w:t xml:space="preserve"> of 60 parents/guardians who completed the household survey and will </w:t>
      </w:r>
      <w:r w:rsidRPr="0067099B">
        <w:t xml:space="preserve">include questions on general experience with the application process to identify any areas that were confusing to </w:t>
      </w:r>
      <w:r>
        <w:t>the respondent</w:t>
      </w:r>
      <w:r w:rsidRPr="0067099B">
        <w:t>, if the respondent used a paper application or web-based version</w:t>
      </w:r>
      <w:r>
        <w:t>,</w:t>
      </w:r>
      <w:r w:rsidRPr="0067099B">
        <w:t xml:space="preserve"> and if any school staff or other knowledgeable individuals were available to answer questions.</w:t>
      </w:r>
      <w:r>
        <w:t xml:space="preserve"> </w:t>
      </w:r>
      <w:r w:rsidR="00AF1151">
        <w:t xml:space="preserve">Each household will complete a survey </w:t>
      </w:r>
      <w:r w:rsidR="00CA1D66">
        <w:t xml:space="preserve">(and </w:t>
      </w:r>
      <w:r w:rsidR="00BE6F97">
        <w:t xml:space="preserve">an in-depth phone </w:t>
      </w:r>
      <w:r w:rsidR="00CA1D66">
        <w:t xml:space="preserve">interview if selected) </w:t>
      </w:r>
      <w:r w:rsidR="00AF1151">
        <w:t xml:space="preserve">once. </w:t>
      </w:r>
    </w:p>
    <w:p w14:paraId="3908D76F" w14:textId="2BAFD7B8" w:rsidR="0007312C" w:rsidRDefault="00A85384" w:rsidP="0007312C">
      <w:pPr>
        <w:pStyle w:val="P1-StandPara"/>
      </w:pPr>
      <w:r>
        <w:t xml:space="preserve">Beginning in Phase 2, </w:t>
      </w:r>
      <w:r w:rsidRPr="00A85384">
        <w:t xml:space="preserve">SFAs and schools will be contacted by phone to complete the pre-visit interviews (to obtain information to prepare for the data collection visits) and to schedule the data collection visits. </w:t>
      </w:r>
      <w:r>
        <w:t xml:space="preserve">SFA and school data collection will commence in Phase 2 and continue in Phase 3.  </w:t>
      </w:r>
      <w:r w:rsidR="0007312C">
        <w:t>During phase</w:t>
      </w:r>
      <w:r w:rsidR="00834465">
        <w:t>s</w:t>
      </w:r>
      <w:r w:rsidR="0007312C">
        <w:t xml:space="preserve"> 2 and 3 of data collection, SFA directors</w:t>
      </w:r>
      <w:r w:rsidR="0007312C" w:rsidRPr="00AF5794">
        <w:t xml:space="preserve"> will also be as</w:t>
      </w:r>
      <w:r w:rsidR="0007312C">
        <w:t xml:space="preserve">ked to complete the web-based </w:t>
      </w:r>
      <w:r w:rsidR="00AF1151">
        <w:t>SFA Director S</w:t>
      </w:r>
      <w:r w:rsidR="0007312C" w:rsidRPr="00B6262A">
        <w:t>urvey (Appendi</w:t>
      </w:r>
      <w:r w:rsidR="0007312C">
        <w:t>x B11</w:t>
      </w:r>
      <w:r w:rsidR="0007312C" w:rsidRPr="00B6262A">
        <w:t xml:space="preserve">), which will provide relevant SFA characteristics for later analyses and comparisons. An </w:t>
      </w:r>
      <w:r w:rsidR="0007312C">
        <w:t xml:space="preserve">in-depth </w:t>
      </w:r>
      <w:r w:rsidR="00AF1151">
        <w:t>SFA Director I</w:t>
      </w:r>
      <w:r w:rsidR="0007312C">
        <w:t>nterview</w:t>
      </w:r>
      <w:r w:rsidR="0007312C" w:rsidRPr="00B6262A">
        <w:t xml:space="preserve"> (Appendix </w:t>
      </w:r>
      <w:r w:rsidR="0007312C">
        <w:t>B12</w:t>
      </w:r>
      <w:r w:rsidR="0007312C" w:rsidRPr="00B6262A">
        <w:t xml:space="preserve">) will be conducted </w:t>
      </w:r>
      <w:r w:rsidR="008D76BD">
        <w:t xml:space="preserve">by phone </w:t>
      </w:r>
      <w:r w:rsidR="0007312C" w:rsidRPr="00B6262A">
        <w:t>with</w:t>
      </w:r>
      <w:r w:rsidR="00CA1D66">
        <w:t xml:space="preserve"> a random sample </w:t>
      </w:r>
      <w:r w:rsidR="0007312C">
        <w:t xml:space="preserve">of 60 SFA directors to garner a better understanding of </w:t>
      </w:r>
      <w:r w:rsidR="0007312C" w:rsidRPr="00F62E18">
        <w:t>how SFA policies, procedures, and characteristics affect errors, in addition to actions that would be most effective in reducing errors</w:t>
      </w:r>
      <w:r w:rsidR="0007312C">
        <w:t>.</w:t>
      </w:r>
    </w:p>
    <w:p w14:paraId="233D7D3D" w14:textId="1FD579E3" w:rsidR="0007312C" w:rsidRDefault="0007312C" w:rsidP="0007312C">
      <w:pPr>
        <w:pStyle w:val="P1-StandPara"/>
      </w:pPr>
      <w:r>
        <w:t>Finally, during phase 3 of data collection, a</w:t>
      </w:r>
      <w:r w:rsidRPr="00AF5794">
        <w:t>ll State-level data will be requested directly from the State</w:t>
      </w:r>
      <w:r>
        <w:t xml:space="preserve"> </w:t>
      </w:r>
      <w:r w:rsidR="00AF1151">
        <w:t xml:space="preserve">via the State Meal Claim </w:t>
      </w:r>
      <w:r w:rsidR="008D76BD">
        <w:t xml:space="preserve">Data </w:t>
      </w:r>
      <w:r w:rsidR="00AF1151">
        <w:t xml:space="preserve">Request </w:t>
      </w:r>
      <w:r>
        <w:t>(Appendix B14)</w:t>
      </w:r>
      <w:r w:rsidRPr="00AF5794">
        <w:t xml:space="preserve"> for </w:t>
      </w:r>
      <w:r>
        <w:t xml:space="preserve">direct, </w:t>
      </w:r>
      <w:r w:rsidRPr="00AF5794">
        <w:t xml:space="preserve">electronic submission. All data </w:t>
      </w:r>
      <w:r>
        <w:t>will be</w:t>
      </w:r>
      <w:r w:rsidRPr="00AF5794">
        <w:t xml:space="preserve"> received and stored in a secure, password protected computer-based system.</w:t>
      </w:r>
    </w:p>
    <w:p w14:paraId="18BCB558" w14:textId="0FD9E1ED" w:rsidR="0007312C" w:rsidRDefault="0007312C" w:rsidP="0007312C">
      <w:pPr>
        <w:pStyle w:val="P1-StandPara"/>
      </w:pPr>
      <w:r>
        <w:t xml:space="preserve">Additional information about recruitment and data collection procedures are presented in Question 2 of the Supporting Statement Part B. </w:t>
      </w:r>
    </w:p>
    <w:p w14:paraId="3202039A" w14:textId="54729595" w:rsidR="005F75FC" w:rsidRDefault="005F75FC" w:rsidP="005F75FC">
      <w:pPr>
        <w:pStyle w:val="TT-TableTitle"/>
        <w:spacing w:before="240"/>
        <w:ind w:left="0" w:firstLine="0"/>
      </w:pPr>
      <w:r>
        <w:t xml:space="preserve">Figure A2-1. </w:t>
      </w:r>
      <w:r w:rsidRPr="00A85384">
        <w:t>APEC III Data Collection Schedule</w:t>
      </w:r>
    </w:p>
    <w:p w14:paraId="0F729CCD" w14:textId="7BF48259" w:rsidR="00A85384" w:rsidRDefault="00A85384" w:rsidP="00A85384">
      <w:pPr>
        <w:pStyle w:val="TT-TableTitle"/>
      </w:pPr>
    </w:p>
    <w:p w14:paraId="3AF62AD5" w14:textId="77777777" w:rsidR="00A85384" w:rsidRDefault="00A85384" w:rsidP="00A85384">
      <w:pPr>
        <w:pStyle w:val="TT-TableTitle"/>
      </w:pPr>
    </w:p>
    <w:tbl>
      <w:tblPr>
        <w:tblW w:w="9375" w:type="dxa"/>
        <w:tblInd w:w="93" w:type="dxa"/>
        <w:tblLayout w:type="fixed"/>
        <w:tblLook w:val="04A0" w:firstRow="1" w:lastRow="0" w:firstColumn="1" w:lastColumn="0" w:noHBand="0" w:noVBand="1"/>
      </w:tblPr>
      <w:tblGrid>
        <w:gridCol w:w="2895"/>
        <w:gridCol w:w="266"/>
        <w:gridCol w:w="2974"/>
        <w:gridCol w:w="266"/>
        <w:gridCol w:w="2974"/>
      </w:tblGrid>
      <w:tr w:rsidR="00A85384" w:rsidRPr="0071524B" w14:paraId="1EFCF5E7" w14:textId="77777777" w:rsidTr="00D7651E">
        <w:trPr>
          <w:trHeight w:val="300"/>
        </w:trPr>
        <w:tc>
          <w:tcPr>
            <w:tcW w:w="2895" w:type="dxa"/>
            <w:shd w:val="clear" w:color="auto" w:fill="AFBED7"/>
            <w:noWrap/>
            <w:vAlign w:val="bottom"/>
            <w:hideMark/>
          </w:tcPr>
          <w:p w14:paraId="10D5F65D" w14:textId="77777777" w:rsidR="00A85384" w:rsidRPr="0071524B" w:rsidRDefault="00A85384" w:rsidP="00D7651E">
            <w:pPr>
              <w:pStyle w:val="TH-TableHeading"/>
              <w:rPr>
                <w:rFonts w:ascii="Franklin Gothic Book" w:hAnsi="Franklin Gothic Book"/>
                <w:b w:val="0"/>
                <w:i/>
                <w:sz w:val="16"/>
                <w:szCs w:val="16"/>
                <w:u w:val="single"/>
              </w:rPr>
            </w:pPr>
            <w:r w:rsidRPr="0071524B">
              <w:rPr>
                <w:rFonts w:ascii="Franklin Gothic Book" w:hAnsi="Franklin Gothic Book"/>
                <w:b w:val="0"/>
                <w:i/>
                <w:sz w:val="16"/>
                <w:szCs w:val="16"/>
                <w:u w:val="single"/>
              </w:rPr>
              <w:t>Phase 1</w:t>
            </w:r>
          </w:p>
        </w:tc>
        <w:tc>
          <w:tcPr>
            <w:tcW w:w="266" w:type="dxa"/>
            <w:vMerge w:val="restart"/>
            <w:shd w:val="clear" w:color="auto" w:fill="FFFFFF" w:themeFill="background1"/>
            <w:noWrap/>
            <w:vAlign w:val="bottom"/>
          </w:tcPr>
          <w:p w14:paraId="7B58FE1C" w14:textId="77777777" w:rsidR="00A85384" w:rsidRPr="0071524B" w:rsidRDefault="00A85384" w:rsidP="00D7651E">
            <w:pPr>
              <w:pStyle w:val="TH-TableHeading"/>
              <w:rPr>
                <w:rFonts w:ascii="Franklin Gothic Book" w:hAnsi="Franklin Gothic Book"/>
                <w:b w:val="0"/>
                <w:i/>
                <w:sz w:val="16"/>
                <w:szCs w:val="16"/>
              </w:rPr>
            </w:pPr>
          </w:p>
        </w:tc>
        <w:tc>
          <w:tcPr>
            <w:tcW w:w="2974" w:type="dxa"/>
            <w:shd w:val="clear" w:color="auto" w:fill="AFBED7"/>
            <w:noWrap/>
            <w:vAlign w:val="bottom"/>
            <w:hideMark/>
          </w:tcPr>
          <w:p w14:paraId="20197E72" w14:textId="77777777" w:rsidR="00A85384" w:rsidRPr="0071524B" w:rsidRDefault="00A85384" w:rsidP="00D7651E">
            <w:pPr>
              <w:pStyle w:val="TH-TableHeading"/>
              <w:rPr>
                <w:rFonts w:ascii="Franklin Gothic Book" w:hAnsi="Franklin Gothic Book"/>
                <w:b w:val="0"/>
                <w:i/>
                <w:sz w:val="16"/>
                <w:szCs w:val="16"/>
                <w:u w:val="single"/>
              </w:rPr>
            </w:pPr>
            <w:r w:rsidRPr="0071524B">
              <w:rPr>
                <w:rFonts w:ascii="Franklin Gothic Book" w:hAnsi="Franklin Gothic Book"/>
                <w:b w:val="0"/>
                <w:i/>
                <w:sz w:val="16"/>
                <w:szCs w:val="16"/>
                <w:u w:val="single"/>
              </w:rPr>
              <w:t>Phase 2</w:t>
            </w:r>
          </w:p>
        </w:tc>
        <w:tc>
          <w:tcPr>
            <w:tcW w:w="266" w:type="dxa"/>
            <w:vMerge w:val="restart"/>
            <w:shd w:val="clear" w:color="auto" w:fill="FFFFFF" w:themeFill="background1"/>
            <w:noWrap/>
            <w:vAlign w:val="bottom"/>
          </w:tcPr>
          <w:p w14:paraId="0D14A213" w14:textId="77777777" w:rsidR="00A85384" w:rsidRPr="0071524B" w:rsidRDefault="00A85384" w:rsidP="00D7651E">
            <w:pPr>
              <w:pStyle w:val="TH-TableHeading"/>
              <w:rPr>
                <w:rFonts w:ascii="Franklin Gothic Book" w:hAnsi="Franklin Gothic Book"/>
                <w:b w:val="0"/>
                <w:i/>
                <w:sz w:val="16"/>
                <w:szCs w:val="16"/>
              </w:rPr>
            </w:pPr>
          </w:p>
        </w:tc>
        <w:tc>
          <w:tcPr>
            <w:tcW w:w="2974" w:type="dxa"/>
            <w:shd w:val="clear" w:color="auto" w:fill="AFBED7"/>
            <w:noWrap/>
            <w:vAlign w:val="bottom"/>
            <w:hideMark/>
          </w:tcPr>
          <w:p w14:paraId="6B9A7164" w14:textId="77777777" w:rsidR="00A85384" w:rsidRPr="0071524B" w:rsidRDefault="00A85384" w:rsidP="00D7651E">
            <w:pPr>
              <w:pStyle w:val="TH-TableHeading"/>
              <w:rPr>
                <w:rFonts w:ascii="Franklin Gothic Book" w:hAnsi="Franklin Gothic Book"/>
                <w:b w:val="0"/>
                <w:i/>
                <w:sz w:val="16"/>
                <w:szCs w:val="16"/>
                <w:u w:val="single"/>
              </w:rPr>
            </w:pPr>
            <w:r w:rsidRPr="0071524B">
              <w:rPr>
                <w:rFonts w:ascii="Franklin Gothic Book" w:hAnsi="Franklin Gothic Book"/>
                <w:b w:val="0"/>
                <w:i/>
                <w:sz w:val="16"/>
                <w:szCs w:val="16"/>
                <w:u w:val="single"/>
              </w:rPr>
              <w:t>Phase 3</w:t>
            </w:r>
          </w:p>
        </w:tc>
      </w:tr>
      <w:tr w:rsidR="00A85384" w:rsidRPr="0071524B" w14:paraId="6F1910F7" w14:textId="77777777" w:rsidTr="00D7651E">
        <w:trPr>
          <w:trHeight w:val="315"/>
        </w:trPr>
        <w:tc>
          <w:tcPr>
            <w:tcW w:w="2895" w:type="dxa"/>
            <w:tcBorders>
              <w:bottom w:val="single" w:sz="24" w:space="0" w:color="323E4F" w:themeColor="text2" w:themeShade="BF"/>
            </w:tcBorders>
            <w:shd w:val="clear" w:color="auto" w:fill="AFBED7"/>
            <w:noWrap/>
            <w:vAlign w:val="bottom"/>
            <w:hideMark/>
          </w:tcPr>
          <w:p w14:paraId="69725A09" w14:textId="77777777" w:rsidR="00A85384" w:rsidRPr="0071524B" w:rsidRDefault="00A85384" w:rsidP="00D7651E">
            <w:pPr>
              <w:pStyle w:val="TH-TableHeading"/>
              <w:rPr>
                <w:rFonts w:ascii="Franklin Gothic Book" w:hAnsi="Franklin Gothic Book"/>
                <w:sz w:val="16"/>
                <w:szCs w:val="16"/>
              </w:rPr>
            </w:pPr>
            <w:r>
              <w:rPr>
                <w:rFonts w:ascii="Franklin Gothic Book" w:hAnsi="Franklin Gothic Book"/>
                <w:sz w:val="16"/>
                <w:szCs w:val="16"/>
              </w:rPr>
              <w:t>August 2017 to November 2017</w:t>
            </w:r>
          </w:p>
        </w:tc>
        <w:tc>
          <w:tcPr>
            <w:tcW w:w="266" w:type="dxa"/>
            <w:vMerge/>
            <w:tcBorders>
              <w:bottom w:val="single" w:sz="24" w:space="0" w:color="323E4F" w:themeColor="text2" w:themeShade="BF"/>
            </w:tcBorders>
            <w:shd w:val="clear" w:color="auto" w:fill="FFFFFF" w:themeFill="background1"/>
            <w:noWrap/>
            <w:vAlign w:val="bottom"/>
          </w:tcPr>
          <w:p w14:paraId="62F4F12C" w14:textId="77777777" w:rsidR="00A85384" w:rsidRPr="0071524B" w:rsidRDefault="00A85384" w:rsidP="00D7651E">
            <w:pPr>
              <w:pStyle w:val="TH-TableHeading"/>
              <w:rPr>
                <w:rFonts w:ascii="Franklin Gothic Book" w:hAnsi="Franklin Gothic Book"/>
                <w:sz w:val="16"/>
                <w:szCs w:val="16"/>
              </w:rPr>
            </w:pPr>
          </w:p>
        </w:tc>
        <w:tc>
          <w:tcPr>
            <w:tcW w:w="2974" w:type="dxa"/>
            <w:tcBorders>
              <w:bottom w:val="single" w:sz="24" w:space="0" w:color="323E4F" w:themeColor="text2" w:themeShade="BF"/>
            </w:tcBorders>
            <w:shd w:val="clear" w:color="auto" w:fill="AFBED7"/>
            <w:noWrap/>
            <w:vAlign w:val="bottom"/>
            <w:hideMark/>
          </w:tcPr>
          <w:p w14:paraId="69D50005" w14:textId="77777777" w:rsidR="00A85384" w:rsidRPr="0071524B" w:rsidRDefault="00A85384" w:rsidP="00D7651E">
            <w:pPr>
              <w:pStyle w:val="TH-TableHeading"/>
              <w:rPr>
                <w:rFonts w:ascii="Franklin Gothic Book" w:hAnsi="Franklin Gothic Book"/>
                <w:sz w:val="16"/>
                <w:szCs w:val="16"/>
              </w:rPr>
            </w:pPr>
            <w:r>
              <w:rPr>
                <w:rFonts w:ascii="Franklin Gothic Book" w:hAnsi="Franklin Gothic Book"/>
                <w:sz w:val="16"/>
                <w:szCs w:val="16"/>
              </w:rPr>
              <w:t>December 2017 to February 2018</w:t>
            </w:r>
          </w:p>
        </w:tc>
        <w:tc>
          <w:tcPr>
            <w:tcW w:w="266" w:type="dxa"/>
            <w:vMerge/>
            <w:tcBorders>
              <w:bottom w:val="single" w:sz="24" w:space="0" w:color="323E4F" w:themeColor="text2" w:themeShade="BF"/>
            </w:tcBorders>
            <w:shd w:val="clear" w:color="auto" w:fill="FFFFFF" w:themeFill="background1"/>
            <w:noWrap/>
            <w:vAlign w:val="bottom"/>
          </w:tcPr>
          <w:p w14:paraId="2B6EB442" w14:textId="77777777" w:rsidR="00A85384" w:rsidRPr="0071524B" w:rsidRDefault="00A85384" w:rsidP="00D7651E">
            <w:pPr>
              <w:pStyle w:val="TH-TableHeading"/>
              <w:rPr>
                <w:rFonts w:ascii="Franklin Gothic Book" w:hAnsi="Franklin Gothic Book"/>
                <w:sz w:val="16"/>
                <w:szCs w:val="16"/>
              </w:rPr>
            </w:pPr>
          </w:p>
        </w:tc>
        <w:tc>
          <w:tcPr>
            <w:tcW w:w="2974" w:type="dxa"/>
            <w:tcBorders>
              <w:bottom w:val="single" w:sz="24" w:space="0" w:color="323E4F" w:themeColor="text2" w:themeShade="BF"/>
            </w:tcBorders>
            <w:shd w:val="clear" w:color="auto" w:fill="AFBED7"/>
            <w:noWrap/>
            <w:vAlign w:val="bottom"/>
            <w:hideMark/>
          </w:tcPr>
          <w:p w14:paraId="510605CB" w14:textId="77777777" w:rsidR="00A85384" w:rsidRPr="0071524B" w:rsidRDefault="00A85384" w:rsidP="00D7651E">
            <w:pPr>
              <w:pStyle w:val="TH-TableHeading"/>
              <w:rPr>
                <w:rFonts w:ascii="Franklin Gothic Book" w:hAnsi="Franklin Gothic Book"/>
                <w:sz w:val="16"/>
                <w:szCs w:val="16"/>
              </w:rPr>
            </w:pPr>
            <w:r>
              <w:rPr>
                <w:rFonts w:ascii="Franklin Gothic Book" w:hAnsi="Franklin Gothic Book"/>
                <w:sz w:val="16"/>
                <w:szCs w:val="16"/>
              </w:rPr>
              <w:t>March 2018  to June 2018</w:t>
            </w:r>
          </w:p>
        </w:tc>
      </w:tr>
      <w:tr w:rsidR="00A85384" w:rsidRPr="0071524B" w14:paraId="53E3F614" w14:textId="77777777" w:rsidTr="00D7651E">
        <w:trPr>
          <w:trHeight w:val="565"/>
        </w:trPr>
        <w:tc>
          <w:tcPr>
            <w:tcW w:w="2895" w:type="dxa"/>
            <w:tcBorders>
              <w:top w:val="single" w:sz="24" w:space="0" w:color="323E4F" w:themeColor="text2" w:themeShade="BF"/>
            </w:tcBorders>
            <w:shd w:val="clear" w:color="auto" w:fill="AFBED7"/>
            <w:noWrap/>
            <w:vAlign w:val="bottom"/>
            <w:hideMark/>
          </w:tcPr>
          <w:p w14:paraId="2FACB3DD" w14:textId="77777777" w:rsidR="00A85384" w:rsidRPr="0071524B" w:rsidRDefault="00A85384" w:rsidP="00D7651E">
            <w:pPr>
              <w:spacing w:line="240" w:lineRule="auto"/>
              <w:jc w:val="center"/>
              <w:rPr>
                <w:rFonts w:ascii="Franklin Gothic Book" w:hAnsi="Franklin Gothic Book"/>
                <w:b/>
                <w:bCs/>
                <w:color w:val="000000"/>
                <w:sz w:val="16"/>
                <w:szCs w:val="16"/>
              </w:rPr>
            </w:pPr>
            <w:r w:rsidRPr="0071524B">
              <w:rPr>
                <w:rFonts w:ascii="Franklin Gothic Book" w:hAnsi="Franklin Gothic Book"/>
                <w:b/>
                <w:bCs/>
                <w:color w:val="000000"/>
                <w:sz w:val="16"/>
                <w:szCs w:val="16"/>
              </w:rPr>
              <w:t>Household Wave 1</w:t>
            </w:r>
          </w:p>
        </w:tc>
        <w:tc>
          <w:tcPr>
            <w:tcW w:w="266" w:type="dxa"/>
            <w:vMerge/>
            <w:tcBorders>
              <w:top w:val="single" w:sz="24" w:space="0" w:color="323E4F" w:themeColor="text2" w:themeShade="BF"/>
            </w:tcBorders>
            <w:shd w:val="clear" w:color="auto" w:fill="FFFFFF" w:themeFill="background1"/>
            <w:noWrap/>
            <w:vAlign w:val="bottom"/>
            <w:hideMark/>
          </w:tcPr>
          <w:p w14:paraId="0F7D00ED" w14:textId="77777777" w:rsidR="00A85384" w:rsidRPr="0071524B" w:rsidRDefault="00A85384" w:rsidP="00D7651E">
            <w:pPr>
              <w:spacing w:line="240" w:lineRule="auto"/>
              <w:jc w:val="center"/>
              <w:rPr>
                <w:rFonts w:ascii="Franklin Gothic Book" w:hAnsi="Franklin Gothic Book"/>
                <w:b/>
                <w:bCs/>
                <w:color w:val="000000"/>
                <w:sz w:val="16"/>
                <w:szCs w:val="16"/>
              </w:rPr>
            </w:pPr>
          </w:p>
        </w:tc>
        <w:tc>
          <w:tcPr>
            <w:tcW w:w="2974" w:type="dxa"/>
            <w:tcBorders>
              <w:top w:val="single" w:sz="24" w:space="0" w:color="323E4F" w:themeColor="text2" w:themeShade="BF"/>
            </w:tcBorders>
            <w:shd w:val="clear" w:color="auto" w:fill="AFBED7"/>
            <w:noWrap/>
            <w:vAlign w:val="bottom"/>
            <w:hideMark/>
          </w:tcPr>
          <w:p w14:paraId="49993D31" w14:textId="77777777" w:rsidR="00A85384" w:rsidRPr="0071524B" w:rsidRDefault="00A85384" w:rsidP="00D7651E">
            <w:pPr>
              <w:spacing w:line="240" w:lineRule="auto"/>
              <w:jc w:val="center"/>
              <w:rPr>
                <w:rFonts w:ascii="Franklin Gothic Book" w:hAnsi="Franklin Gothic Book"/>
                <w:b/>
                <w:bCs/>
                <w:color w:val="000000"/>
                <w:sz w:val="16"/>
                <w:szCs w:val="16"/>
              </w:rPr>
            </w:pPr>
            <w:r w:rsidRPr="0071524B">
              <w:rPr>
                <w:rFonts w:ascii="Franklin Gothic Book" w:hAnsi="Franklin Gothic Book"/>
                <w:b/>
                <w:bCs/>
                <w:color w:val="000000"/>
                <w:sz w:val="16"/>
                <w:szCs w:val="16"/>
              </w:rPr>
              <w:t xml:space="preserve">SFA/School Visit &amp; </w:t>
            </w:r>
          </w:p>
          <w:p w14:paraId="16CD6A61" w14:textId="77777777" w:rsidR="00A85384" w:rsidRPr="0071524B" w:rsidRDefault="00A85384" w:rsidP="00D7651E">
            <w:pPr>
              <w:spacing w:line="240" w:lineRule="auto"/>
              <w:jc w:val="center"/>
              <w:rPr>
                <w:rFonts w:ascii="Franklin Gothic Book" w:hAnsi="Franklin Gothic Book"/>
                <w:b/>
                <w:bCs/>
                <w:color w:val="000000"/>
                <w:sz w:val="16"/>
                <w:szCs w:val="16"/>
              </w:rPr>
            </w:pPr>
            <w:r w:rsidRPr="0071524B">
              <w:rPr>
                <w:rFonts w:ascii="Franklin Gothic Book" w:hAnsi="Franklin Gothic Book"/>
                <w:b/>
                <w:bCs/>
                <w:color w:val="000000"/>
                <w:sz w:val="16"/>
                <w:szCs w:val="16"/>
              </w:rPr>
              <w:t>Household Survey Wave 2</w:t>
            </w:r>
          </w:p>
        </w:tc>
        <w:tc>
          <w:tcPr>
            <w:tcW w:w="266" w:type="dxa"/>
            <w:vMerge/>
            <w:tcBorders>
              <w:top w:val="single" w:sz="24" w:space="0" w:color="323E4F" w:themeColor="text2" w:themeShade="BF"/>
            </w:tcBorders>
            <w:shd w:val="clear" w:color="auto" w:fill="FFFFFF" w:themeFill="background1"/>
            <w:noWrap/>
            <w:vAlign w:val="bottom"/>
            <w:hideMark/>
          </w:tcPr>
          <w:p w14:paraId="6176BC17" w14:textId="77777777" w:rsidR="00A85384" w:rsidRPr="0071524B" w:rsidRDefault="00A85384" w:rsidP="00D7651E">
            <w:pPr>
              <w:spacing w:line="240" w:lineRule="auto"/>
              <w:jc w:val="center"/>
              <w:rPr>
                <w:rFonts w:ascii="Franklin Gothic Book" w:hAnsi="Franklin Gothic Book"/>
                <w:color w:val="000000"/>
                <w:sz w:val="16"/>
                <w:szCs w:val="16"/>
              </w:rPr>
            </w:pPr>
          </w:p>
        </w:tc>
        <w:tc>
          <w:tcPr>
            <w:tcW w:w="2974" w:type="dxa"/>
            <w:tcBorders>
              <w:top w:val="single" w:sz="24" w:space="0" w:color="323E4F" w:themeColor="text2" w:themeShade="BF"/>
            </w:tcBorders>
            <w:shd w:val="clear" w:color="auto" w:fill="AFBED7"/>
            <w:noWrap/>
            <w:vAlign w:val="bottom"/>
            <w:hideMark/>
          </w:tcPr>
          <w:p w14:paraId="231AA8AE" w14:textId="77777777" w:rsidR="00A85384" w:rsidRPr="0071524B" w:rsidRDefault="00A85384" w:rsidP="00D7651E">
            <w:pPr>
              <w:spacing w:line="240" w:lineRule="auto"/>
              <w:jc w:val="center"/>
              <w:rPr>
                <w:rFonts w:ascii="Franklin Gothic Book" w:hAnsi="Franklin Gothic Book"/>
                <w:b/>
                <w:bCs/>
                <w:color w:val="000000"/>
                <w:sz w:val="16"/>
                <w:szCs w:val="16"/>
              </w:rPr>
            </w:pPr>
            <w:r w:rsidRPr="0071524B">
              <w:rPr>
                <w:rFonts w:ascii="Franklin Gothic Book" w:hAnsi="Franklin Gothic Book"/>
                <w:b/>
                <w:bCs/>
                <w:color w:val="000000"/>
                <w:sz w:val="16"/>
                <w:szCs w:val="16"/>
              </w:rPr>
              <w:t xml:space="preserve">SFA/School Visit </w:t>
            </w:r>
            <w:r>
              <w:rPr>
                <w:rFonts w:ascii="Franklin Gothic Book" w:hAnsi="Franklin Gothic Book"/>
                <w:b/>
                <w:bCs/>
                <w:color w:val="000000"/>
                <w:sz w:val="16"/>
                <w:szCs w:val="16"/>
              </w:rPr>
              <w:t xml:space="preserve">(continued) </w:t>
            </w:r>
            <w:r w:rsidRPr="0071524B">
              <w:rPr>
                <w:rFonts w:ascii="Franklin Gothic Book" w:hAnsi="Franklin Gothic Book"/>
                <w:b/>
                <w:bCs/>
                <w:color w:val="000000"/>
                <w:sz w:val="16"/>
                <w:szCs w:val="16"/>
              </w:rPr>
              <w:t xml:space="preserve">&amp; </w:t>
            </w:r>
          </w:p>
          <w:p w14:paraId="50C5EB62" w14:textId="77777777" w:rsidR="00A85384" w:rsidRPr="0071524B" w:rsidRDefault="00A85384" w:rsidP="00D7651E">
            <w:pPr>
              <w:spacing w:line="240" w:lineRule="auto"/>
              <w:jc w:val="center"/>
              <w:rPr>
                <w:rFonts w:ascii="Franklin Gothic Book" w:hAnsi="Franklin Gothic Book"/>
                <w:b/>
                <w:bCs/>
                <w:color w:val="000000"/>
                <w:sz w:val="16"/>
                <w:szCs w:val="16"/>
              </w:rPr>
            </w:pPr>
            <w:r w:rsidRPr="0071524B">
              <w:rPr>
                <w:rFonts w:ascii="Franklin Gothic Book" w:hAnsi="Franklin Gothic Book"/>
                <w:b/>
                <w:bCs/>
                <w:color w:val="000000"/>
                <w:sz w:val="16"/>
                <w:szCs w:val="16"/>
              </w:rPr>
              <w:t>Household Survey Wave 3</w:t>
            </w:r>
          </w:p>
        </w:tc>
      </w:tr>
      <w:tr w:rsidR="00A85384" w:rsidRPr="0071524B" w14:paraId="4AF8E17C" w14:textId="77777777" w:rsidTr="00D7651E">
        <w:trPr>
          <w:trHeight w:val="300"/>
        </w:trPr>
        <w:tc>
          <w:tcPr>
            <w:tcW w:w="2895" w:type="dxa"/>
            <w:shd w:val="clear" w:color="auto" w:fill="auto"/>
            <w:noWrap/>
            <w:vAlign w:val="center"/>
          </w:tcPr>
          <w:p w14:paraId="6B64312F" w14:textId="77777777" w:rsidR="00A85384" w:rsidRPr="0071524B" w:rsidRDefault="00A85384" w:rsidP="00D7651E">
            <w:pPr>
              <w:pStyle w:val="TX-TableText"/>
              <w:rPr>
                <w:rFonts w:ascii="Franklin Gothic Book" w:hAnsi="Franklin Gothic Book"/>
                <w:sz w:val="16"/>
                <w:szCs w:val="16"/>
              </w:rPr>
            </w:pPr>
            <w:r w:rsidRPr="0071524B">
              <w:rPr>
                <w:rFonts w:ascii="Franklin Gothic Book" w:hAnsi="Franklin Gothic Book"/>
                <w:sz w:val="16"/>
                <w:szCs w:val="16"/>
              </w:rPr>
              <w:t xml:space="preserve">Sampling for Household Survey </w:t>
            </w:r>
          </w:p>
        </w:tc>
        <w:tc>
          <w:tcPr>
            <w:tcW w:w="266" w:type="dxa"/>
            <w:vMerge/>
            <w:shd w:val="clear" w:color="auto" w:fill="FFFFFF" w:themeFill="background1"/>
            <w:noWrap/>
            <w:vAlign w:val="bottom"/>
          </w:tcPr>
          <w:p w14:paraId="7DBFC2B2" w14:textId="77777777" w:rsidR="00A85384" w:rsidRPr="0071524B" w:rsidRDefault="00A85384" w:rsidP="00D7651E">
            <w:pPr>
              <w:pStyle w:val="TX-TableText"/>
              <w:rPr>
                <w:rFonts w:ascii="Franklin Gothic Book" w:hAnsi="Franklin Gothic Book"/>
                <w:sz w:val="16"/>
                <w:szCs w:val="16"/>
              </w:rPr>
            </w:pPr>
          </w:p>
        </w:tc>
        <w:tc>
          <w:tcPr>
            <w:tcW w:w="2974" w:type="dxa"/>
            <w:shd w:val="clear" w:color="auto" w:fill="auto"/>
            <w:noWrap/>
            <w:vAlign w:val="center"/>
          </w:tcPr>
          <w:p w14:paraId="409D12C9" w14:textId="77777777" w:rsidR="00A85384" w:rsidRPr="0071524B" w:rsidRDefault="00A85384" w:rsidP="00D7651E">
            <w:pPr>
              <w:pStyle w:val="TX-TableText"/>
              <w:rPr>
                <w:rFonts w:ascii="Franklin Gothic Book" w:hAnsi="Franklin Gothic Book"/>
                <w:sz w:val="16"/>
                <w:szCs w:val="16"/>
              </w:rPr>
            </w:pPr>
            <w:r w:rsidRPr="0071524B">
              <w:rPr>
                <w:rFonts w:ascii="Franklin Gothic Book" w:hAnsi="Franklin Gothic Book"/>
                <w:sz w:val="16"/>
                <w:szCs w:val="16"/>
              </w:rPr>
              <w:t xml:space="preserve">Sampling for Household Survey </w:t>
            </w:r>
          </w:p>
        </w:tc>
        <w:tc>
          <w:tcPr>
            <w:tcW w:w="266" w:type="dxa"/>
            <w:vMerge/>
            <w:shd w:val="clear" w:color="auto" w:fill="FFFFFF" w:themeFill="background1"/>
            <w:noWrap/>
            <w:vAlign w:val="bottom"/>
          </w:tcPr>
          <w:p w14:paraId="64E6870D" w14:textId="77777777" w:rsidR="00A85384" w:rsidRPr="0071524B" w:rsidRDefault="00A85384" w:rsidP="00D7651E">
            <w:pPr>
              <w:pStyle w:val="TX-TableText"/>
              <w:rPr>
                <w:rFonts w:ascii="Franklin Gothic Book" w:hAnsi="Franklin Gothic Book"/>
                <w:sz w:val="16"/>
                <w:szCs w:val="16"/>
              </w:rPr>
            </w:pPr>
          </w:p>
        </w:tc>
        <w:tc>
          <w:tcPr>
            <w:tcW w:w="2974" w:type="dxa"/>
            <w:shd w:val="clear" w:color="auto" w:fill="auto"/>
            <w:noWrap/>
            <w:vAlign w:val="center"/>
          </w:tcPr>
          <w:p w14:paraId="7AD7FC59" w14:textId="77777777" w:rsidR="00A85384" w:rsidRPr="0071524B" w:rsidRDefault="00A85384" w:rsidP="00D7651E">
            <w:pPr>
              <w:pStyle w:val="TX-TableText"/>
              <w:rPr>
                <w:rFonts w:ascii="Franklin Gothic Book" w:hAnsi="Franklin Gothic Book"/>
                <w:sz w:val="16"/>
                <w:szCs w:val="16"/>
              </w:rPr>
            </w:pPr>
            <w:r>
              <w:rPr>
                <w:rFonts w:ascii="Franklin Gothic Book" w:hAnsi="Franklin Gothic Book"/>
                <w:sz w:val="16"/>
                <w:szCs w:val="16"/>
              </w:rPr>
              <w:t xml:space="preserve">Sampling for Household Survey </w:t>
            </w:r>
          </w:p>
        </w:tc>
      </w:tr>
      <w:tr w:rsidR="00A85384" w:rsidRPr="0071524B" w14:paraId="20A1385F" w14:textId="77777777" w:rsidTr="00D7651E">
        <w:trPr>
          <w:trHeight w:val="300"/>
        </w:trPr>
        <w:tc>
          <w:tcPr>
            <w:tcW w:w="2895" w:type="dxa"/>
            <w:shd w:val="clear" w:color="auto" w:fill="auto"/>
            <w:noWrap/>
            <w:vAlign w:val="center"/>
            <w:hideMark/>
          </w:tcPr>
          <w:p w14:paraId="48EF3554" w14:textId="77777777" w:rsidR="00A85384" w:rsidRPr="0071524B" w:rsidRDefault="00A85384" w:rsidP="00D7651E">
            <w:pPr>
              <w:pStyle w:val="TX-TableText"/>
              <w:rPr>
                <w:rFonts w:ascii="Franklin Gothic Book" w:hAnsi="Franklin Gothic Book"/>
                <w:sz w:val="16"/>
                <w:szCs w:val="16"/>
              </w:rPr>
            </w:pPr>
            <w:r w:rsidRPr="0071524B">
              <w:rPr>
                <w:rFonts w:ascii="Franklin Gothic Book" w:hAnsi="Franklin Gothic Book"/>
                <w:sz w:val="16"/>
                <w:szCs w:val="16"/>
              </w:rPr>
              <w:t>Household Surveys</w:t>
            </w:r>
          </w:p>
        </w:tc>
        <w:tc>
          <w:tcPr>
            <w:tcW w:w="266" w:type="dxa"/>
            <w:vMerge/>
            <w:shd w:val="clear" w:color="auto" w:fill="FFFFFF" w:themeFill="background1"/>
            <w:noWrap/>
            <w:vAlign w:val="bottom"/>
            <w:hideMark/>
          </w:tcPr>
          <w:p w14:paraId="1BDDA4D8" w14:textId="77777777" w:rsidR="00A85384" w:rsidRPr="0071524B" w:rsidRDefault="00A85384" w:rsidP="00D7651E">
            <w:pPr>
              <w:pStyle w:val="TX-TableText"/>
              <w:rPr>
                <w:rFonts w:ascii="Franklin Gothic Book" w:hAnsi="Franklin Gothic Book"/>
                <w:sz w:val="16"/>
                <w:szCs w:val="16"/>
              </w:rPr>
            </w:pPr>
          </w:p>
        </w:tc>
        <w:tc>
          <w:tcPr>
            <w:tcW w:w="2974" w:type="dxa"/>
            <w:shd w:val="clear" w:color="auto" w:fill="auto"/>
            <w:noWrap/>
            <w:vAlign w:val="center"/>
          </w:tcPr>
          <w:p w14:paraId="2109B754" w14:textId="77777777" w:rsidR="00A85384" w:rsidRPr="0071524B" w:rsidRDefault="00A85384" w:rsidP="00D7651E">
            <w:pPr>
              <w:pStyle w:val="TX-TableText"/>
              <w:rPr>
                <w:rFonts w:ascii="Franklin Gothic Book" w:hAnsi="Franklin Gothic Book"/>
                <w:sz w:val="16"/>
                <w:szCs w:val="16"/>
              </w:rPr>
            </w:pPr>
            <w:r>
              <w:rPr>
                <w:rFonts w:ascii="Franklin Gothic Book" w:hAnsi="Franklin Gothic Book"/>
                <w:sz w:val="16"/>
                <w:szCs w:val="16"/>
              </w:rPr>
              <w:t>Household Surveys</w:t>
            </w:r>
          </w:p>
        </w:tc>
        <w:tc>
          <w:tcPr>
            <w:tcW w:w="266" w:type="dxa"/>
            <w:vMerge/>
            <w:shd w:val="clear" w:color="auto" w:fill="FFFFFF" w:themeFill="background1"/>
            <w:noWrap/>
            <w:vAlign w:val="bottom"/>
            <w:hideMark/>
          </w:tcPr>
          <w:p w14:paraId="0CCAE896" w14:textId="77777777" w:rsidR="00A85384" w:rsidRPr="0071524B" w:rsidRDefault="00A85384" w:rsidP="00D7651E">
            <w:pPr>
              <w:pStyle w:val="TX-TableText"/>
              <w:rPr>
                <w:rFonts w:ascii="Franklin Gothic Book" w:hAnsi="Franklin Gothic Book"/>
                <w:sz w:val="16"/>
                <w:szCs w:val="16"/>
              </w:rPr>
            </w:pPr>
          </w:p>
        </w:tc>
        <w:tc>
          <w:tcPr>
            <w:tcW w:w="2974" w:type="dxa"/>
            <w:shd w:val="clear" w:color="auto" w:fill="auto"/>
            <w:noWrap/>
            <w:vAlign w:val="center"/>
          </w:tcPr>
          <w:p w14:paraId="5F497884" w14:textId="77777777" w:rsidR="00A85384" w:rsidRPr="0071524B" w:rsidRDefault="00A85384" w:rsidP="00D7651E">
            <w:pPr>
              <w:pStyle w:val="TX-TableText"/>
              <w:rPr>
                <w:rFonts w:ascii="Franklin Gothic Book" w:hAnsi="Franklin Gothic Book"/>
                <w:sz w:val="16"/>
                <w:szCs w:val="16"/>
              </w:rPr>
            </w:pPr>
            <w:r>
              <w:rPr>
                <w:rFonts w:ascii="Franklin Gothic Book" w:hAnsi="Franklin Gothic Book"/>
                <w:sz w:val="16"/>
                <w:szCs w:val="16"/>
              </w:rPr>
              <w:t xml:space="preserve">Household Surveys </w:t>
            </w:r>
            <w:r w:rsidRPr="0071524B">
              <w:rPr>
                <w:rFonts w:ascii="Franklin Gothic Book" w:hAnsi="Franklin Gothic Book"/>
                <w:sz w:val="16"/>
                <w:szCs w:val="16"/>
              </w:rPr>
              <w:t xml:space="preserve"> </w:t>
            </w:r>
          </w:p>
        </w:tc>
      </w:tr>
      <w:tr w:rsidR="00A85384" w:rsidRPr="0071524B" w14:paraId="02735A24" w14:textId="77777777" w:rsidTr="00D7651E">
        <w:trPr>
          <w:trHeight w:val="300"/>
        </w:trPr>
        <w:tc>
          <w:tcPr>
            <w:tcW w:w="2895" w:type="dxa"/>
            <w:shd w:val="clear" w:color="auto" w:fill="auto"/>
            <w:noWrap/>
            <w:vAlign w:val="bottom"/>
            <w:hideMark/>
          </w:tcPr>
          <w:p w14:paraId="63FC54E0" w14:textId="77777777" w:rsidR="00A85384" w:rsidRPr="0071524B" w:rsidRDefault="00A85384" w:rsidP="00D7651E">
            <w:pPr>
              <w:pStyle w:val="TX-TableText"/>
              <w:rPr>
                <w:rFonts w:ascii="Franklin Gothic Book" w:hAnsi="Franklin Gothic Book"/>
                <w:sz w:val="16"/>
                <w:szCs w:val="16"/>
              </w:rPr>
            </w:pPr>
            <w:r w:rsidRPr="0071524B">
              <w:rPr>
                <w:rFonts w:ascii="Franklin Gothic Book" w:hAnsi="Franklin Gothic Book"/>
                <w:sz w:val="16"/>
                <w:szCs w:val="16"/>
              </w:rPr>
              <w:t>Household In</w:t>
            </w:r>
            <w:r>
              <w:rPr>
                <w:rFonts w:ascii="Franklin Gothic Book" w:hAnsi="Franklin Gothic Book"/>
                <w:sz w:val="16"/>
                <w:szCs w:val="16"/>
              </w:rPr>
              <w:t>-</w:t>
            </w:r>
            <w:r w:rsidRPr="0071524B">
              <w:rPr>
                <w:rFonts w:ascii="Franklin Gothic Book" w:hAnsi="Franklin Gothic Book"/>
                <w:sz w:val="16"/>
                <w:szCs w:val="16"/>
              </w:rPr>
              <w:t>Depth Interviews</w:t>
            </w:r>
          </w:p>
        </w:tc>
        <w:tc>
          <w:tcPr>
            <w:tcW w:w="266" w:type="dxa"/>
            <w:vMerge/>
            <w:shd w:val="clear" w:color="auto" w:fill="FFFFFF" w:themeFill="background1"/>
            <w:noWrap/>
            <w:vAlign w:val="bottom"/>
            <w:hideMark/>
          </w:tcPr>
          <w:p w14:paraId="6250F056" w14:textId="77777777" w:rsidR="00A85384" w:rsidRPr="0071524B" w:rsidRDefault="00A85384" w:rsidP="00D7651E">
            <w:pPr>
              <w:pStyle w:val="TX-TableText"/>
              <w:rPr>
                <w:rFonts w:ascii="Franklin Gothic Book" w:hAnsi="Franklin Gothic Book"/>
                <w:sz w:val="16"/>
                <w:szCs w:val="16"/>
              </w:rPr>
            </w:pPr>
          </w:p>
        </w:tc>
        <w:tc>
          <w:tcPr>
            <w:tcW w:w="2974" w:type="dxa"/>
            <w:shd w:val="clear" w:color="auto" w:fill="auto"/>
            <w:noWrap/>
            <w:vAlign w:val="center"/>
          </w:tcPr>
          <w:p w14:paraId="562100B6" w14:textId="77777777" w:rsidR="00A85384" w:rsidRPr="0071524B" w:rsidRDefault="00A85384" w:rsidP="00D7651E">
            <w:pPr>
              <w:pStyle w:val="TX-TableText"/>
              <w:rPr>
                <w:rFonts w:ascii="Franklin Gothic Book" w:hAnsi="Franklin Gothic Book"/>
                <w:sz w:val="16"/>
                <w:szCs w:val="16"/>
              </w:rPr>
            </w:pPr>
            <w:r>
              <w:rPr>
                <w:rFonts w:ascii="Franklin Gothic Book" w:hAnsi="Franklin Gothic Book"/>
                <w:sz w:val="16"/>
                <w:szCs w:val="16"/>
              </w:rPr>
              <w:t>Household In-Depth Interviews</w:t>
            </w:r>
            <w:r w:rsidRPr="0071524B" w:rsidDel="008D78C5">
              <w:rPr>
                <w:rFonts w:ascii="Franklin Gothic Book" w:hAnsi="Franklin Gothic Book"/>
                <w:sz w:val="16"/>
                <w:szCs w:val="16"/>
              </w:rPr>
              <w:t xml:space="preserve"> </w:t>
            </w:r>
          </w:p>
        </w:tc>
        <w:tc>
          <w:tcPr>
            <w:tcW w:w="266" w:type="dxa"/>
            <w:vMerge/>
            <w:shd w:val="clear" w:color="auto" w:fill="FFFFFF" w:themeFill="background1"/>
            <w:noWrap/>
            <w:vAlign w:val="bottom"/>
            <w:hideMark/>
          </w:tcPr>
          <w:p w14:paraId="4B252E6B" w14:textId="77777777" w:rsidR="00A85384" w:rsidRPr="0071524B" w:rsidRDefault="00A85384" w:rsidP="00D7651E">
            <w:pPr>
              <w:pStyle w:val="TX-TableText"/>
              <w:rPr>
                <w:rFonts w:ascii="Franklin Gothic Book" w:hAnsi="Franklin Gothic Book"/>
                <w:sz w:val="16"/>
                <w:szCs w:val="16"/>
              </w:rPr>
            </w:pPr>
          </w:p>
        </w:tc>
        <w:tc>
          <w:tcPr>
            <w:tcW w:w="2974" w:type="dxa"/>
            <w:shd w:val="clear" w:color="auto" w:fill="auto"/>
            <w:noWrap/>
            <w:vAlign w:val="center"/>
          </w:tcPr>
          <w:p w14:paraId="6C7292B7" w14:textId="77777777" w:rsidR="00A85384" w:rsidRPr="0071524B" w:rsidRDefault="00A85384" w:rsidP="00D7651E">
            <w:pPr>
              <w:pStyle w:val="TX-TableText"/>
              <w:rPr>
                <w:rFonts w:ascii="Franklin Gothic Book" w:hAnsi="Franklin Gothic Book"/>
                <w:sz w:val="16"/>
                <w:szCs w:val="16"/>
              </w:rPr>
            </w:pPr>
            <w:r>
              <w:rPr>
                <w:rFonts w:ascii="Franklin Gothic Book" w:hAnsi="Franklin Gothic Book"/>
                <w:sz w:val="16"/>
                <w:szCs w:val="16"/>
              </w:rPr>
              <w:t>Household In-Depth Interviews</w:t>
            </w:r>
          </w:p>
        </w:tc>
      </w:tr>
      <w:tr w:rsidR="00A85384" w:rsidRPr="0071524B" w14:paraId="2DE1888D" w14:textId="77777777" w:rsidTr="00D7651E">
        <w:trPr>
          <w:trHeight w:val="300"/>
        </w:trPr>
        <w:tc>
          <w:tcPr>
            <w:tcW w:w="2895" w:type="dxa"/>
            <w:shd w:val="clear" w:color="auto" w:fill="auto"/>
            <w:noWrap/>
            <w:vAlign w:val="bottom"/>
          </w:tcPr>
          <w:p w14:paraId="1E55BAAC" w14:textId="77777777" w:rsidR="00A85384" w:rsidRPr="0071524B" w:rsidRDefault="00A85384" w:rsidP="00D7651E">
            <w:pPr>
              <w:pStyle w:val="TX-TableText"/>
              <w:rPr>
                <w:rFonts w:ascii="Franklin Gothic Book" w:hAnsi="Franklin Gothic Book"/>
                <w:sz w:val="16"/>
                <w:szCs w:val="16"/>
              </w:rPr>
            </w:pPr>
          </w:p>
        </w:tc>
        <w:tc>
          <w:tcPr>
            <w:tcW w:w="266" w:type="dxa"/>
            <w:vMerge/>
            <w:shd w:val="clear" w:color="auto" w:fill="FFFFFF" w:themeFill="background1"/>
            <w:noWrap/>
            <w:vAlign w:val="bottom"/>
          </w:tcPr>
          <w:p w14:paraId="59E716AD" w14:textId="77777777" w:rsidR="00A85384" w:rsidRPr="0071524B" w:rsidRDefault="00A85384" w:rsidP="00D7651E">
            <w:pPr>
              <w:pStyle w:val="TX-TableText"/>
              <w:rPr>
                <w:rFonts w:ascii="Franklin Gothic Book" w:hAnsi="Franklin Gothic Book"/>
                <w:sz w:val="16"/>
                <w:szCs w:val="16"/>
              </w:rPr>
            </w:pPr>
          </w:p>
        </w:tc>
        <w:tc>
          <w:tcPr>
            <w:tcW w:w="2974" w:type="dxa"/>
            <w:shd w:val="clear" w:color="auto" w:fill="auto"/>
            <w:noWrap/>
            <w:vAlign w:val="center"/>
          </w:tcPr>
          <w:p w14:paraId="115DD28D" w14:textId="77777777" w:rsidR="00A85384" w:rsidRDefault="00A85384" w:rsidP="00D7651E">
            <w:pPr>
              <w:pStyle w:val="TX-TableText"/>
              <w:rPr>
                <w:rFonts w:ascii="Franklin Gothic Book" w:hAnsi="Franklin Gothic Book"/>
                <w:sz w:val="16"/>
                <w:szCs w:val="16"/>
              </w:rPr>
            </w:pPr>
            <w:r>
              <w:rPr>
                <w:rFonts w:ascii="Franklin Gothic Book" w:hAnsi="Franklin Gothic Book"/>
                <w:sz w:val="16"/>
                <w:szCs w:val="16"/>
              </w:rPr>
              <w:t>SFA Pre-Visit Interview</w:t>
            </w:r>
          </w:p>
        </w:tc>
        <w:tc>
          <w:tcPr>
            <w:tcW w:w="266" w:type="dxa"/>
            <w:vMerge/>
            <w:shd w:val="clear" w:color="auto" w:fill="FFFFFF" w:themeFill="background1"/>
            <w:vAlign w:val="center"/>
          </w:tcPr>
          <w:p w14:paraId="57632DAF" w14:textId="77777777" w:rsidR="00A85384" w:rsidRPr="0071524B" w:rsidRDefault="00A85384" w:rsidP="00D7651E">
            <w:pPr>
              <w:pStyle w:val="TX-TableText"/>
              <w:rPr>
                <w:rFonts w:ascii="Franklin Gothic Book" w:hAnsi="Franklin Gothic Book"/>
                <w:sz w:val="16"/>
                <w:szCs w:val="16"/>
              </w:rPr>
            </w:pPr>
          </w:p>
        </w:tc>
        <w:tc>
          <w:tcPr>
            <w:tcW w:w="2974" w:type="dxa"/>
            <w:shd w:val="clear" w:color="auto" w:fill="auto"/>
            <w:noWrap/>
            <w:vAlign w:val="center"/>
          </w:tcPr>
          <w:p w14:paraId="12DC70D6" w14:textId="77777777" w:rsidR="00A85384" w:rsidRDefault="00A85384" w:rsidP="00D7651E">
            <w:pPr>
              <w:pStyle w:val="TX-TableText"/>
              <w:rPr>
                <w:rFonts w:ascii="Franklin Gothic Book" w:hAnsi="Franklin Gothic Book"/>
                <w:sz w:val="16"/>
                <w:szCs w:val="16"/>
              </w:rPr>
            </w:pPr>
            <w:r>
              <w:rPr>
                <w:rFonts w:ascii="Franklin Gothic Book" w:hAnsi="Franklin Gothic Book"/>
                <w:sz w:val="16"/>
                <w:szCs w:val="16"/>
              </w:rPr>
              <w:t>SFA Pre-Visit Interview</w:t>
            </w:r>
          </w:p>
        </w:tc>
      </w:tr>
      <w:tr w:rsidR="00A85384" w:rsidRPr="0071524B" w14:paraId="43A6564B" w14:textId="77777777" w:rsidTr="00D7651E">
        <w:trPr>
          <w:trHeight w:val="300"/>
        </w:trPr>
        <w:tc>
          <w:tcPr>
            <w:tcW w:w="2895" w:type="dxa"/>
            <w:shd w:val="clear" w:color="auto" w:fill="auto"/>
            <w:noWrap/>
            <w:vAlign w:val="bottom"/>
          </w:tcPr>
          <w:p w14:paraId="404055A6" w14:textId="77777777" w:rsidR="00A85384" w:rsidRPr="0071524B" w:rsidRDefault="00A85384" w:rsidP="00D7651E">
            <w:pPr>
              <w:pStyle w:val="TX-TableText"/>
              <w:rPr>
                <w:rFonts w:ascii="Franklin Gothic Book" w:hAnsi="Franklin Gothic Book"/>
                <w:sz w:val="16"/>
                <w:szCs w:val="16"/>
              </w:rPr>
            </w:pPr>
          </w:p>
        </w:tc>
        <w:tc>
          <w:tcPr>
            <w:tcW w:w="266" w:type="dxa"/>
            <w:vMerge/>
            <w:shd w:val="clear" w:color="auto" w:fill="FFFFFF" w:themeFill="background1"/>
            <w:noWrap/>
            <w:vAlign w:val="bottom"/>
          </w:tcPr>
          <w:p w14:paraId="7F22A5A1" w14:textId="77777777" w:rsidR="00A85384" w:rsidRPr="0071524B" w:rsidRDefault="00A85384" w:rsidP="00D7651E">
            <w:pPr>
              <w:pStyle w:val="TX-TableText"/>
              <w:rPr>
                <w:rFonts w:ascii="Franklin Gothic Book" w:hAnsi="Franklin Gothic Book"/>
                <w:sz w:val="16"/>
                <w:szCs w:val="16"/>
              </w:rPr>
            </w:pPr>
          </w:p>
        </w:tc>
        <w:tc>
          <w:tcPr>
            <w:tcW w:w="2974" w:type="dxa"/>
            <w:shd w:val="clear" w:color="auto" w:fill="auto"/>
            <w:noWrap/>
            <w:vAlign w:val="center"/>
          </w:tcPr>
          <w:p w14:paraId="6F391A01" w14:textId="77777777" w:rsidR="00A85384" w:rsidRPr="0071524B" w:rsidRDefault="00A85384" w:rsidP="00D7651E">
            <w:pPr>
              <w:pStyle w:val="TX-TableText"/>
              <w:rPr>
                <w:rFonts w:ascii="Franklin Gothic Book" w:hAnsi="Franklin Gothic Book"/>
                <w:sz w:val="16"/>
                <w:szCs w:val="16"/>
              </w:rPr>
            </w:pPr>
            <w:r>
              <w:rPr>
                <w:rFonts w:ascii="Franklin Gothic Book" w:hAnsi="Franklin Gothic Book"/>
                <w:sz w:val="16"/>
                <w:szCs w:val="16"/>
              </w:rPr>
              <w:t xml:space="preserve">Application Abstractions </w:t>
            </w:r>
          </w:p>
        </w:tc>
        <w:tc>
          <w:tcPr>
            <w:tcW w:w="266" w:type="dxa"/>
            <w:vMerge/>
            <w:shd w:val="clear" w:color="auto" w:fill="FFFFFF" w:themeFill="background1"/>
            <w:vAlign w:val="center"/>
          </w:tcPr>
          <w:p w14:paraId="7CA796C4" w14:textId="77777777" w:rsidR="00A85384" w:rsidRPr="0071524B" w:rsidRDefault="00A85384" w:rsidP="00D7651E">
            <w:pPr>
              <w:pStyle w:val="TX-TableText"/>
              <w:rPr>
                <w:rFonts w:ascii="Franklin Gothic Book" w:hAnsi="Franklin Gothic Book"/>
                <w:sz w:val="16"/>
                <w:szCs w:val="16"/>
              </w:rPr>
            </w:pPr>
          </w:p>
        </w:tc>
        <w:tc>
          <w:tcPr>
            <w:tcW w:w="2974" w:type="dxa"/>
            <w:shd w:val="clear" w:color="auto" w:fill="auto"/>
            <w:noWrap/>
            <w:vAlign w:val="center"/>
          </w:tcPr>
          <w:p w14:paraId="444FC787" w14:textId="77777777" w:rsidR="00A85384" w:rsidRPr="0071524B" w:rsidRDefault="00A85384" w:rsidP="00D7651E">
            <w:pPr>
              <w:pStyle w:val="TX-TableText"/>
              <w:rPr>
                <w:rFonts w:ascii="Franklin Gothic Book" w:hAnsi="Franklin Gothic Book"/>
                <w:sz w:val="16"/>
                <w:szCs w:val="16"/>
              </w:rPr>
            </w:pPr>
            <w:r>
              <w:rPr>
                <w:rFonts w:ascii="Franklin Gothic Book" w:hAnsi="Franklin Gothic Book"/>
                <w:sz w:val="16"/>
                <w:szCs w:val="16"/>
              </w:rPr>
              <w:t>Application Abstractions</w:t>
            </w:r>
          </w:p>
        </w:tc>
      </w:tr>
      <w:tr w:rsidR="00A85384" w:rsidRPr="0071524B" w14:paraId="5303F18B" w14:textId="77777777" w:rsidTr="00D7651E">
        <w:trPr>
          <w:trHeight w:val="300"/>
        </w:trPr>
        <w:tc>
          <w:tcPr>
            <w:tcW w:w="2895" w:type="dxa"/>
            <w:shd w:val="clear" w:color="auto" w:fill="auto"/>
            <w:noWrap/>
            <w:vAlign w:val="bottom"/>
          </w:tcPr>
          <w:p w14:paraId="5F494353" w14:textId="77777777" w:rsidR="00A85384" w:rsidRPr="0071524B" w:rsidRDefault="00A85384" w:rsidP="00D7651E">
            <w:pPr>
              <w:pStyle w:val="TX-TableText"/>
              <w:rPr>
                <w:rFonts w:ascii="Franklin Gothic Book" w:hAnsi="Franklin Gothic Book"/>
                <w:sz w:val="16"/>
                <w:szCs w:val="16"/>
              </w:rPr>
            </w:pPr>
          </w:p>
        </w:tc>
        <w:tc>
          <w:tcPr>
            <w:tcW w:w="266" w:type="dxa"/>
            <w:vMerge/>
            <w:shd w:val="clear" w:color="auto" w:fill="FFFFFF" w:themeFill="background1"/>
            <w:noWrap/>
            <w:vAlign w:val="bottom"/>
          </w:tcPr>
          <w:p w14:paraId="18A8BD51" w14:textId="77777777" w:rsidR="00A85384" w:rsidRPr="0071524B" w:rsidRDefault="00A85384" w:rsidP="00D7651E">
            <w:pPr>
              <w:pStyle w:val="TX-TableText"/>
              <w:rPr>
                <w:rFonts w:ascii="Franklin Gothic Book" w:hAnsi="Franklin Gothic Book"/>
                <w:sz w:val="16"/>
                <w:szCs w:val="16"/>
              </w:rPr>
            </w:pPr>
          </w:p>
        </w:tc>
        <w:tc>
          <w:tcPr>
            <w:tcW w:w="2974" w:type="dxa"/>
            <w:shd w:val="clear" w:color="auto" w:fill="auto"/>
            <w:noWrap/>
            <w:vAlign w:val="bottom"/>
          </w:tcPr>
          <w:p w14:paraId="1C739110" w14:textId="77777777" w:rsidR="00A85384" w:rsidRPr="0071524B" w:rsidRDefault="00A85384" w:rsidP="00D7651E">
            <w:pPr>
              <w:pStyle w:val="TX-TableText"/>
              <w:rPr>
                <w:rFonts w:ascii="Franklin Gothic Book" w:hAnsi="Franklin Gothic Book"/>
                <w:sz w:val="16"/>
                <w:szCs w:val="16"/>
              </w:rPr>
            </w:pPr>
            <w:r w:rsidRPr="0071524B">
              <w:rPr>
                <w:rFonts w:ascii="Franklin Gothic Book" w:hAnsi="Franklin Gothic Book"/>
                <w:sz w:val="16"/>
                <w:szCs w:val="16"/>
              </w:rPr>
              <w:t>CEP Records Reviews</w:t>
            </w:r>
          </w:p>
        </w:tc>
        <w:tc>
          <w:tcPr>
            <w:tcW w:w="266" w:type="dxa"/>
            <w:vMerge/>
            <w:shd w:val="clear" w:color="auto" w:fill="FFFFFF" w:themeFill="background1"/>
            <w:vAlign w:val="center"/>
          </w:tcPr>
          <w:p w14:paraId="1890D4FA" w14:textId="77777777" w:rsidR="00A85384" w:rsidRPr="0071524B" w:rsidRDefault="00A85384" w:rsidP="00D7651E">
            <w:pPr>
              <w:pStyle w:val="TX-TableText"/>
              <w:rPr>
                <w:rFonts w:ascii="Franklin Gothic Book" w:hAnsi="Franklin Gothic Book"/>
                <w:sz w:val="16"/>
                <w:szCs w:val="16"/>
              </w:rPr>
            </w:pPr>
          </w:p>
        </w:tc>
        <w:tc>
          <w:tcPr>
            <w:tcW w:w="2974" w:type="dxa"/>
            <w:shd w:val="clear" w:color="auto" w:fill="auto"/>
            <w:noWrap/>
            <w:vAlign w:val="center"/>
          </w:tcPr>
          <w:p w14:paraId="07473D36" w14:textId="77777777" w:rsidR="00A85384" w:rsidRPr="0071524B" w:rsidRDefault="00A85384" w:rsidP="00D7651E">
            <w:pPr>
              <w:pStyle w:val="TX-TableText"/>
              <w:rPr>
                <w:rFonts w:ascii="Franklin Gothic Book" w:hAnsi="Franklin Gothic Book"/>
                <w:sz w:val="16"/>
                <w:szCs w:val="16"/>
              </w:rPr>
            </w:pPr>
            <w:r>
              <w:rPr>
                <w:rFonts w:ascii="Franklin Gothic Book" w:hAnsi="Franklin Gothic Book"/>
                <w:sz w:val="16"/>
                <w:szCs w:val="16"/>
              </w:rPr>
              <w:t xml:space="preserve">SFA Meal Participation Data Request </w:t>
            </w:r>
          </w:p>
        </w:tc>
      </w:tr>
      <w:tr w:rsidR="00A85384" w:rsidRPr="0071524B" w14:paraId="1542B949" w14:textId="77777777" w:rsidTr="00D7651E">
        <w:trPr>
          <w:trHeight w:val="300"/>
        </w:trPr>
        <w:tc>
          <w:tcPr>
            <w:tcW w:w="2895" w:type="dxa"/>
            <w:shd w:val="clear" w:color="auto" w:fill="auto"/>
            <w:noWrap/>
            <w:vAlign w:val="bottom"/>
          </w:tcPr>
          <w:p w14:paraId="595652C9" w14:textId="77777777" w:rsidR="00A85384" w:rsidRPr="0071524B" w:rsidRDefault="00A85384" w:rsidP="00D7651E">
            <w:pPr>
              <w:pStyle w:val="TX-TableText"/>
              <w:rPr>
                <w:rFonts w:ascii="Franklin Gothic Book" w:hAnsi="Franklin Gothic Book"/>
                <w:b/>
                <w:bCs/>
                <w:color w:val="000000"/>
                <w:sz w:val="16"/>
                <w:szCs w:val="16"/>
              </w:rPr>
            </w:pPr>
          </w:p>
        </w:tc>
        <w:tc>
          <w:tcPr>
            <w:tcW w:w="266" w:type="dxa"/>
            <w:vMerge/>
            <w:shd w:val="clear" w:color="auto" w:fill="FFFFFF" w:themeFill="background1"/>
            <w:noWrap/>
            <w:vAlign w:val="bottom"/>
          </w:tcPr>
          <w:p w14:paraId="5FB2DB6F" w14:textId="77777777" w:rsidR="00A85384" w:rsidRPr="0071524B" w:rsidRDefault="00A85384" w:rsidP="00D7651E">
            <w:pPr>
              <w:pStyle w:val="TX-TableText"/>
              <w:rPr>
                <w:rFonts w:ascii="Franklin Gothic Book" w:hAnsi="Franklin Gothic Book"/>
                <w:sz w:val="16"/>
                <w:szCs w:val="16"/>
              </w:rPr>
            </w:pPr>
          </w:p>
        </w:tc>
        <w:tc>
          <w:tcPr>
            <w:tcW w:w="2974" w:type="dxa"/>
            <w:shd w:val="clear" w:color="auto" w:fill="auto"/>
            <w:noWrap/>
            <w:vAlign w:val="center"/>
          </w:tcPr>
          <w:p w14:paraId="6B99192C" w14:textId="77777777" w:rsidR="00A85384" w:rsidRPr="0071524B" w:rsidRDefault="00A85384" w:rsidP="00D7651E">
            <w:pPr>
              <w:pStyle w:val="TX-TableText"/>
              <w:rPr>
                <w:rFonts w:ascii="Franklin Gothic Book" w:hAnsi="Franklin Gothic Book"/>
                <w:sz w:val="16"/>
                <w:szCs w:val="16"/>
              </w:rPr>
            </w:pPr>
          </w:p>
        </w:tc>
        <w:tc>
          <w:tcPr>
            <w:tcW w:w="266" w:type="dxa"/>
            <w:vMerge/>
            <w:shd w:val="clear" w:color="auto" w:fill="FFFFFF" w:themeFill="background1"/>
            <w:noWrap/>
            <w:vAlign w:val="bottom"/>
          </w:tcPr>
          <w:p w14:paraId="6B67A3BE" w14:textId="77777777" w:rsidR="00A85384" w:rsidRPr="0071524B" w:rsidRDefault="00A85384" w:rsidP="00D7651E">
            <w:pPr>
              <w:pStyle w:val="TX-TableText"/>
              <w:rPr>
                <w:rFonts w:ascii="Franklin Gothic Book" w:hAnsi="Franklin Gothic Book"/>
                <w:sz w:val="16"/>
                <w:szCs w:val="16"/>
              </w:rPr>
            </w:pPr>
          </w:p>
        </w:tc>
        <w:tc>
          <w:tcPr>
            <w:tcW w:w="2974" w:type="dxa"/>
            <w:shd w:val="clear" w:color="auto" w:fill="auto"/>
            <w:noWrap/>
            <w:vAlign w:val="center"/>
          </w:tcPr>
          <w:p w14:paraId="0201AC7C" w14:textId="77777777" w:rsidR="00A85384" w:rsidRDefault="00A85384" w:rsidP="00D7651E">
            <w:pPr>
              <w:pStyle w:val="TX-TableText"/>
              <w:rPr>
                <w:rFonts w:ascii="Franklin Gothic Book" w:hAnsi="Franklin Gothic Book"/>
                <w:sz w:val="16"/>
                <w:szCs w:val="16"/>
              </w:rPr>
            </w:pPr>
          </w:p>
        </w:tc>
      </w:tr>
      <w:tr w:rsidR="00A85384" w:rsidRPr="0071524B" w14:paraId="23A33256" w14:textId="77777777" w:rsidTr="00D7651E">
        <w:trPr>
          <w:trHeight w:val="300"/>
        </w:trPr>
        <w:tc>
          <w:tcPr>
            <w:tcW w:w="2895" w:type="dxa"/>
            <w:shd w:val="clear" w:color="auto" w:fill="auto"/>
            <w:noWrap/>
            <w:vAlign w:val="bottom"/>
          </w:tcPr>
          <w:p w14:paraId="3BCAEDC1" w14:textId="77777777" w:rsidR="00A85384" w:rsidRPr="0071524B" w:rsidRDefault="00A85384" w:rsidP="00D7651E">
            <w:pPr>
              <w:pStyle w:val="TX-TableText"/>
              <w:rPr>
                <w:rFonts w:ascii="Franklin Gothic Book" w:hAnsi="Franklin Gothic Book"/>
                <w:b/>
                <w:bCs/>
                <w:color w:val="000000"/>
                <w:sz w:val="16"/>
                <w:szCs w:val="16"/>
              </w:rPr>
            </w:pPr>
          </w:p>
        </w:tc>
        <w:tc>
          <w:tcPr>
            <w:tcW w:w="266" w:type="dxa"/>
            <w:vMerge/>
            <w:shd w:val="clear" w:color="auto" w:fill="FFFFFF" w:themeFill="background1"/>
            <w:noWrap/>
            <w:vAlign w:val="bottom"/>
          </w:tcPr>
          <w:p w14:paraId="730FD37C" w14:textId="77777777" w:rsidR="00A85384" w:rsidRPr="0071524B" w:rsidRDefault="00A85384" w:rsidP="00D7651E">
            <w:pPr>
              <w:pStyle w:val="TX-TableText"/>
              <w:rPr>
                <w:rFonts w:ascii="Franklin Gothic Book" w:hAnsi="Franklin Gothic Book"/>
                <w:sz w:val="16"/>
                <w:szCs w:val="16"/>
              </w:rPr>
            </w:pPr>
          </w:p>
        </w:tc>
        <w:tc>
          <w:tcPr>
            <w:tcW w:w="2974" w:type="dxa"/>
            <w:shd w:val="clear" w:color="auto" w:fill="FFF2CC" w:themeFill="accent4" w:themeFillTint="33"/>
            <w:noWrap/>
            <w:vAlign w:val="center"/>
          </w:tcPr>
          <w:p w14:paraId="41313C19" w14:textId="77777777" w:rsidR="00A85384" w:rsidRPr="0071524B" w:rsidRDefault="00A85384" w:rsidP="00D7651E">
            <w:pPr>
              <w:pStyle w:val="TX-TableText"/>
              <w:rPr>
                <w:rFonts w:ascii="Franklin Gothic Book" w:hAnsi="Franklin Gothic Book"/>
                <w:sz w:val="16"/>
                <w:szCs w:val="16"/>
              </w:rPr>
            </w:pPr>
            <w:r>
              <w:rPr>
                <w:rFonts w:ascii="Franklin Gothic Book" w:hAnsi="Franklin Gothic Book"/>
                <w:b/>
                <w:bCs/>
                <w:sz w:val="16"/>
                <w:szCs w:val="16"/>
              </w:rPr>
              <w:t>SFA Director Web Survey and Phone Interview</w:t>
            </w:r>
          </w:p>
        </w:tc>
        <w:tc>
          <w:tcPr>
            <w:tcW w:w="266" w:type="dxa"/>
            <w:vMerge/>
            <w:shd w:val="clear" w:color="auto" w:fill="FFFFFF" w:themeFill="background1"/>
            <w:noWrap/>
            <w:vAlign w:val="bottom"/>
          </w:tcPr>
          <w:p w14:paraId="18DB7542" w14:textId="77777777" w:rsidR="00A85384" w:rsidRPr="0071524B" w:rsidRDefault="00A85384" w:rsidP="00D7651E">
            <w:pPr>
              <w:pStyle w:val="TX-TableText"/>
              <w:rPr>
                <w:rFonts w:ascii="Franklin Gothic Book" w:hAnsi="Franklin Gothic Book"/>
                <w:sz w:val="16"/>
                <w:szCs w:val="16"/>
              </w:rPr>
            </w:pPr>
          </w:p>
        </w:tc>
        <w:tc>
          <w:tcPr>
            <w:tcW w:w="2974" w:type="dxa"/>
            <w:shd w:val="clear" w:color="auto" w:fill="FFF2CC" w:themeFill="accent4" w:themeFillTint="33"/>
            <w:noWrap/>
            <w:vAlign w:val="center"/>
          </w:tcPr>
          <w:p w14:paraId="362E2737" w14:textId="77777777" w:rsidR="00A85384" w:rsidRDefault="00A85384" w:rsidP="00D7651E">
            <w:pPr>
              <w:pStyle w:val="TX-TableText"/>
              <w:rPr>
                <w:rFonts w:ascii="Franklin Gothic Book" w:hAnsi="Franklin Gothic Book"/>
                <w:sz w:val="16"/>
                <w:szCs w:val="16"/>
              </w:rPr>
            </w:pPr>
            <w:r>
              <w:rPr>
                <w:rFonts w:ascii="Franklin Gothic Book" w:hAnsi="Franklin Gothic Book"/>
                <w:b/>
                <w:bCs/>
                <w:sz w:val="16"/>
                <w:szCs w:val="16"/>
              </w:rPr>
              <w:t>SFA Director Web Survey and Phone Interview (continued)</w:t>
            </w:r>
          </w:p>
        </w:tc>
      </w:tr>
      <w:tr w:rsidR="00A85384" w:rsidRPr="0071524B" w14:paraId="16540CC7" w14:textId="77777777" w:rsidTr="00D7651E">
        <w:trPr>
          <w:trHeight w:val="300"/>
        </w:trPr>
        <w:tc>
          <w:tcPr>
            <w:tcW w:w="2895" w:type="dxa"/>
            <w:shd w:val="clear" w:color="auto" w:fill="auto"/>
            <w:noWrap/>
            <w:vAlign w:val="bottom"/>
          </w:tcPr>
          <w:p w14:paraId="46CEE06A" w14:textId="77777777" w:rsidR="00A85384" w:rsidRPr="0071524B" w:rsidRDefault="00A85384" w:rsidP="00D7651E">
            <w:pPr>
              <w:pStyle w:val="TX-TableText"/>
              <w:rPr>
                <w:rFonts w:ascii="Franklin Gothic Book" w:hAnsi="Franklin Gothic Book"/>
                <w:b/>
                <w:bCs/>
                <w:color w:val="000000"/>
                <w:sz w:val="16"/>
                <w:szCs w:val="16"/>
              </w:rPr>
            </w:pPr>
          </w:p>
        </w:tc>
        <w:tc>
          <w:tcPr>
            <w:tcW w:w="266" w:type="dxa"/>
            <w:vMerge/>
            <w:shd w:val="clear" w:color="auto" w:fill="FFFFFF" w:themeFill="background1"/>
            <w:noWrap/>
            <w:vAlign w:val="bottom"/>
          </w:tcPr>
          <w:p w14:paraId="09840DD0" w14:textId="77777777" w:rsidR="00A85384" w:rsidRPr="0071524B" w:rsidRDefault="00A85384" w:rsidP="00D7651E">
            <w:pPr>
              <w:pStyle w:val="TX-TableText"/>
              <w:rPr>
                <w:rFonts w:ascii="Franklin Gothic Book" w:hAnsi="Franklin Gothic Book"/>
                <w:sz w:val="16"/>
                <w:szCs w:val="16"/>
              </w:rPr>
            </w:pPr>
          </w:p>
        </w:tc>
        <w:tc>
          <w:tcPr>
            <w:tcW w:w="2974" w:type="dxa"/>
            <w:shd w:val="clear" w:color="auto" w:fill="auto"/>
            <w:noWrap/>
            <w:vAlign w:val="center"/>
          </w:tcPr>
          <w:p w14:paraId="2A12AD18" w14:textId="77777777" w:rsidR="00A85384" w:rsidRPr="0071524B" w:rsidRDefault="00A85384" w:rsidP="00D7651E">
            <w:pPr>
              <w:pStyle w:val="TX-TableText"/>
              <w:rPr>
                <w:rFonts w:ascii="Franklin Gothic Book" w:hAnsi="Franklin Gothic Book"/>
                <w:sz w:val="16"/>
                <w:szCs w:val="16"/>
              </w:rPr>
            </w:pPr>
          </w:p>
        </w:tc>
        <w:tc>
          <w:tcPr>
            <w:tcW w:w="266" w:type="dxa"/>
            <w:vMerge/>
            <w:shd w:val="clear" w:color="auto" w:fill="FFFFFF" w:themeFill="background1"/>
            <w:noWrap/>
            <w:vAlign w:val="bottom"/>
          </w:tcPr>
          <w:p w14:paraId="298744F7" w14:textId="77777777" w:rsidR="00A85384" w:rsidRPr="0071524B" w:rsidRDefault="00A85384" w:rsidP="00D7651E">
            <w:pPr>
              <w:pStyle w:val="TX-TableText"/>
              <w:rPr>
                <w:rFonts w:ascii="Franklin Gothic Book" w:hAnsi="Franklin Gothic Book"/>
                <w:sz w:val="16"/>
                <w:szCs w:val="16"/>
              </w:rPr>
            </w:pPr>
          </w:p>
        </w:tc>
        <w:tc>
          <w:tcPr>
            <w:tcW w:w="2974" w:type="dxa"/>
            <w:shd w:val="clear" w:color="auto" w:fill="auto"/>
            <w:noWrap/>
            <w:vAlign w:val="center"/>
          </w:tcPr>
          <w:p w14:paraId="456D8A00" w14:textId="77777777" w:rsidR="00A85384" w:rsidRDefault="00A85384" w:rsidP="00D7651E">
            <w:pPr>
              <w:pStyle w:val="TX-TableText"/>
              <w:rPr>
                <w:rFonts w:ascii="Franklin Gothic Book" w:hAnsi="Franklin Gothic Book"/>
                <w:sz w:val="16"/>
                <w:szCs w:val="16"/>
              </w:rPr>
            </w:pPr>
          </w:p>
        </w:tc>
      </w:tr>
      <w:tr w:rsidR="00A85384" w:rsidRPr="0071524B" w14:paraId="69ACD304" w14:textId="77777777" w:rsidTr="00D7651E">
        <w:trPr>
          <w:trHeight w:val="300"/>
        </w:trPr>
        <w:tc>
          <w:tcPr>
            <w:tcW w:w="2895" w:type="dxa"/>
            <w:shd w:val="clear" w:color="auto" w:fill="auto"/>
            <w:noWrap/>
            <w:vAlign w:val="bottom"/>
          </w:tcPr>
          <w:p w14:paraId="317ADB8D" w14:textId="77777777" w:rsidR="00A85384" w:rsidRPr="0071524B" w:rsidRDefault="00A85384" w:rsidP="00D7651E">
            <w:pPr>
              <w:pStyle w:val="TX-TableText"/>
              <w:rPr>
                <w:rFonts w:ascii="Franklin Gothic Book" w:hAnsi="Franklin Gothic Book"/>
                <w:b/>
                <w:bCs/>
                <w:color w:val="000000"/>
                <w:sz w:val="16"/>
                <w:szCs w:val="16"/>
              </w:rPr>
            </w:pPr>
          </w:p>
        </w:tc>
        <w:tc>
          <w:tcPr>
            <w:tcW w:w="266" w:type="dxa"/>
            <w:vMerge/>
            <w:shd w:val="clear" w:color="auto" w:fill="FFFFFF" w:themeFill="background1"/>
            <w:noWrap/>
            <w:vAlign w:val="bottom"/>
          </w:tcPr>
          <w:p w14:paraId="51457EF9" w14:textId="77777777" w:rsidR="00A85384" w:rsidRPr="0071524B" w:rsidRDefault="00A85384" w:rsidP="00D7651E">
            <w:pPr>
              <w:pStyle w:val="TX-TableText"/>
              <w:rPr>
                <w:rFonts w:ascii="Franklin Gothic Book" w:hAnsi="Franklin Gothic Book"/>
                <w:sz w:val="16"/>
                <w:szCs w:val="16"/>
              </w:rPr>
            </w:pPr>
          </w:p>
        </w:tc>
        <w:tc>
          <w:tcPr>
            <w:tcW w:w="2974" w:type="dxa"/>
            <w:shd w:val="clear" w:color="auto" w:fill="C5E0B3" w:themeFill="accent6" w:themeFillTint="66"/>
            <w:noWrap/>
            <w:vAlign w:val="center"/>
          </w:tcPr>
          <w:p w14:paraId="7224EC9F" w14:textId="77777777" w:rsidR="00A85384" w:rsidRPr="0071524B" w:rsidRDefault="00A85384" w:rsidP="00D7651E">
            <w:pPr>
              <w:pStyle w:val="TX-TableText"/>
              <w:rPr>
                <w:rFonts w:ascii="Franklin Gothic Book" w:hAnsi="Franklin Gothic Book"/>
                <w:sz w:val="16"/>
                <w:szCs w:val="16"/>
              </w:rPr>
            </w:pPr>
            <w:r w:rsidRPr="0071524B">
              <w:rPr>
                <w:rFonts w:ascii="Franklin Gothic Book" w:hAnsi="Franklin Gothic Book"/>
                <w:b/>
                <w:bCs/>
                <w:color w:val="000000"/>
                <w:sz w:val="16"/>
                <w:szCs w:val="16"/>
              </w:rPr>
              <w:t>School Visits for Meal Claiming and Aggregation Data Collection</w:t>
            </w:r>
          </w:p>
        </w:tc>
        <w:tc>
          <w:tcPr>
            <w:tcW w:w="266" w:type="dxa"/>
            <w:vMerge/>
            <w:shd w:val="clear" w:color="auto" w:fill="FFFFFF" w:themeFill="background1"/>
            <w:noWrap/>
            <w:vAlign w:val="bottom"/>
          </w:tcPr>
          <w:p w14:paraId="0D968B9F" w14:textId="77777777" w:rsidR="00A85384" w:rsidRPr="0071524B" w:rsidRDefault="00A85384" w:rsidP="00D7651E">
            <w:pPr>
              <w:pStyle w:val="TX-TableText"/>
              <w:rPr>
                <w:rFonts w:ascii="Franklin Gothic Book" w:hAnsi="Franklin Gothic Book"/>
                <w:sz w:val="16"/>
                <w:szCs w:val="16"/>
              </w:rPr>
            </w:pPr>
          </w:p>
        </w:tc>
        <w:tc>
          <w:tcPr>
            <w:tcW w:w="2974" w:type="dxa"/>
            <w:shd w:val="clear" w:color="auto" w:fill="C5E0B3" w:themeFill="accent6" w:themeFillTint="66"/>
            <w:noWrap/>
            <w:vAlign w:val="center"/>
          </w:tcPr>
          <w:p w14:paraId="63770FFA" w14:textId="77777777" w:rsidR="00A85384" w:rsidRDefault="00A85384" w:rsidP="00D7651E">
            <w:pPr>
              <w:pStyle w:val="TX-TableText"/>
              <w:rPr>
                <w:rFonts w:ascii="Franklin Gothic Book" w:hAnsi="Franklin Gothic Book"/>
                <w:sz w:val="16"/>
                <w:szCs w:val="16"/>
              </w:rPr>
            </w:pPr>
            <w:r w:rsidRPr="0071524B">
              <w:rPr>
                <w:rFonts w:ascii="Franklin Gothic Book" w:hAnsi="Franklin Gothic Book"/>
                <w:b/>
                <w:bCs/>
                <w:color w:val="000000"/>
                <w:sz w:val="16"/>
                <w:szCs w:val="16"/>
              </w:rPr>
              <w:t>School Visits for Meal Claiming and Aggregation Data Collection</w:t>
            </w:r>
            <w:r>
              <w:rPr>
                <w:rFonts w:ascii="Franklin Gothic Book" w:hAnsi="Franklin Gothic Book"/>
                <w:b/>
                <w:bCs/>
                <w:color w:val="000000"/>
                <w:sz w:val="16"/>
                <w:szCs w:val="16"/>
              </w:rPr>
              <w:t xml:space="preserve"> (continued)</w:t>
            </w:r>
          </w:p>
        </w:tc>
      </w:tr>
      <w:tr w:rsidR="00A85384" w:rsidRPr="0071524B" w14:paraId="2D5CBD4E" w14:textId="77777777" w:rsidTr="00D7651E">
        <w:trPr>
          <w:trHeight w:val="300"/>
        </w:trPr>
        <w:tc>
          <w:tcPr>
            <w:tcW w:w="2895" w:type="dxa"/>
            <w:shd w:val="clear" w:color="auto" w:fill="auto"/>
            <w:noWrap/>
            <w:vAlign w:val="bottom"/>
          </w:tcPr>
          <w:p w14:paraId="2628418E" w14:textId="77777777" w:rsidR="00A85384" w:rsidRPr="0071524B" w:rsidRDefault="00A85384" w:rsidP="00D7651E">
            <w:pPr>
              <w:pStyle w:val="TX-TableText"/>
              <w:rPr>
                <w:rFonts w:ascii="Franklin Gothic Book" w:hAnsi="Franklin Gothic Book"/>
                <w:sz w:val="16"/>
                <w:szCs w:val="16"/>
              </w:rPr>
            </w:pPr>
          </w:p>
        </w:tc>
        <w:tc>
          <w:tcPr>
            <w:tcW w:w="266" w:type="dxa"/>
            <w:vMerge/>
            <w:shd w:val="clear" w:color="auto" w:fill="FFFFFF" w:themeFill="background1"/>
            <w:noWrap/>
            <w:vAlign w:val="bottom"/>
          </w:tcPr>
          <w:p w14:paraId="7167BD26" w14:textId="77777777" w:rsidR="00A85384" w:rsidRPr="0071524B" w:rsidRDefault="00A85384" w:rsidP="00D7651E">
            <w:pPr>
              <w:pStyle w:val="TX-TableText"/>
              <w:rPr>
                <w:rFonts w:ascii="Franklin Gothic Book" w:hAnsi="Franklin Gothic Book"/>
                <w:sz w:val="16"/>
                <w:szCs w:val="16"/>
              </w:rPr>
            </w:pPr>
          </w:p>
        </w:tc>
        <w:tc>
          <w:tcPr>
            <w:tcW w:w="2974" w:type="dxa"/>
            <w:shd w:val="clear" w:color="auto" w:fill="auto"/>
            <w:noWrap/>
            <w:vAlign w:val="center"/>
          </w:tcPr>
          <w:p w14:paraId="33D04F78" w14:textId="77777777" w:rsidR="00A85384" w:rsidRDefault="00A85384" w:rsidP="00D7651E">
            <w:pPr>
              <w:pStyle w:val="TX-TableText"/>
              <w:rPr>
                <w:rFonts w:ascii="Franklin Gothic Book" w:hAnsi="Franklin Gothic Book"/>
                <w:sz w:val="16"/>
                <w:szCs w:val="16"/>
              </w:rPr>
            </w:pPr>
            <w:r>
              <w:rPr>
                <w:rFonts w:ascii="Franklin Gothic Book" w:hAnsi="Franklin Gothic Book"/>
                <w:sz w:val="16"/>
                <w:szCs w:val="16"/>
              </w:rPr>
              <w:t>School Pre-Visit Interview</w:t>
            </w:r>
          </w:p>
        </w:tc>
        <w:tc>
          <w:tcPr>
            <w:tcW w:w="266" w:type="dxa"/>
            <w:vMerge/>
            <w:shd w:val="clear" w:color="auto" w:fill="FFFFFF" w:themeFill="background1"/>
            <w:noWrap/>
            <w:vAlign w:val="bottom"/>
          </w:tcPr>
          <w:p w14:paraId="59858163" w14:textId="77777777" w:rsidR="00A85384" w:rsidRPr="0071524B" w:rsidRDefault="00A85384" w:rsidP="00D7651E">
            <w:pPr>
              <w:pStyle w:val="TX-TableText"/>
              <w:rPr>
                <w:rFonts w:ascii="Franklin Gothic Book" w:hAnsi="Franklin Gothic Book"/>
                <w:sz w:val="16"/>
                <w:szCs w:val="16"/>
              </w:rPr>
            </w:pPr>
          </w:p>
        </w:tc>
        <w:tc>
          <w:tcPr>
            <w:tcW w:w="2974" w:type="dxa"/>
            <w:shd w:val="clear" w:color="auto" w:fill="auto"/>
            <w:noWrap/>
            <w:vAlign w:val="center"/>
          </w:tcPr>
          <w:p w14:paraId="71C1A826" w14:textId="77777777" w:rsidR="00A85384" w:rsidRPr="0071524B" w:rsidRDefault="00A85384" w:rsidP="00D7651E">
            <w:pPr>
              <w:pStyle w:val="TX-TableText"/>
              <w:rPr>
                <w:rFonts w:ascii="Franklin Gothic Book" w:hAnsi="Franklin Gothic Book"/>
                <w:sz w:val="16"/>
                <w:szCs w:val="16"/>
              </w:rPr>
            </w:pPr>
            <w:r>
              <w:rPr>
                <w:rFonts w:ascii="Franklin Gothic Book" w:hAnsi="Franklin Gothic Book"/>
                <w:sz w:val="16"/>
                <w:szCs w:val="16"/>
              </w:rPr>
              <w:t>School Pre-Visit Interview</w:t>
            </w:r>
          </w:p>
        </w:tc>
      </w:tr>
      <w:tr w:rsidR="00A85384" w:rsidRPr="0071524B" w14:paraId="1C041C25" w14:textId="77777777" w:rsidTr="00D7651E">
        <w:trPr>
          <w:trHeight w:val="300"/>
        </w:trPr>
        <w:tc>
          <w:tcPr>
            <w:tcW w:w="2895" w:type="dxa"/>
            <w:shd w:val="clear" w:color="auto" w:fill="auto"/>
            <w:noWrap/>
            <w:vAlign w:val="bottom"/>
          </w:tcPr>
          <w:p w14:paraId="59D72AC8" w14:textId="77777777" w:rsidR="00A85384" w:rsidRPr="0071524B" w:rsidRDefault="00A85384" w:rsidP="00D7651E">
            <w:pPr>
              <w:pStyle w:val="TX-TableText"/>
              <w:rPr>
                <w:rFonts w:ascii="Franklin Gothic Book" w:hAnsi="Franklin Gothic Book"/>
                <w:sz w:val="16"/>
                <w:szCs w:val="16"/>
              </w:rPr>
            </w:pPr>
          </w:p>
        </w:tc>
        <w:tc>
          <w:tcPr>
            <w:tcW w:w="266" w:type="dxa"/>
            <w:vMerge/>
            <w:shd w:val="clear" w:color="auto" w:fill="FFFFFF" w:themeFill="background1"/>
            <w:noWrap/>
            <w:vAlign w:val="bottom"/>
          </w:tcPr>
          <w:p w14:paraId="2E912581" w14:textId="77777777" w:rsidR="00A85384" w:rsidRPr="0071524B" w:rsidRDefault="00A85384" w:rsidP="00D7651E">
            <w:pPr>
              <w:pStyle w:val="TX-TableText"/>
              <w:rPr>
                <w:rFonts w:ascii="Franklin Gothic Book" w:hAnsi="Franklin Gothic Book"/>
                <w:sz w:val="16"/>
                <w:szCs w:val="16"/>
              </w:rPr>
            </w:pPr>
          </w:p>
        </w:tc>
        <w:tc>
          <w:tcPr>
            <w:tcW w:w="2974" w:type="dxa"/>
            <w:shd w:val="clear" w:color="auto" w:fill="auto"/>
            <w:noWrap/>
            <w:vAlign w:val="center"/>
          </w:tcPr>
          <w:p w14:paraId="1158A074" w14:textId="77777777" w:rsidR="00A85384" w:rsidRPr="0071524B" w:rsidRDefault="00A85384" w:rsidP="00D7651E">
            <w:pPr>
              <w:pStyle w:val="TX-TableText"/>
              <w:rPr>
                <w:rFonts w:ascii="Franklin Gothic Book" w:hAnsi="Franklin Gothic Book"/>
                <w:sz w:val="16"/>
                <w:szCs w:val="16"/>
              </w:rPr>
            </w:pPr>
            <w:r>
              <w:rPr>
                <w:rFonts w:ascii="Franklin Gothic Book" w:hAnsi="Franklin Gothic Book"/>
                <w:sz w:val="16"/>
                <w:szCs w:val="16"/>
              </w:rPr>
              <w:t>Meal Observations</w:t>
            </w:r>
          </w:p>
        </w:tc>
        <w:tc>
          <w:tcPr>
            <w:tcW w:w="266" w:type="dxa"/>
            <w:vMerge/>
            <w:shd w:val="clear" w:color="auto" w:fill="FFFFFF" w:themeFill="background1"/>
            <w:noWrap/>
            <w:vAlign w:val="bottom"/>
          </w:tcPr>
          <w:p w14:paraId="10104CC6" w14:textId="77777777" w:rsidR="00A85384" w:rsidRPr="0071524B" w:rsidRDefault="00A85384" w:rsidP="00D7651E">
            <w:pPr>
              <w:pStyle w:val="TX-TableText"/>
              <w:rPr>
                <w:rFonts w:ascii="Franklin Gothic Book" w:hAnsi="Franklin Gothic Book"/>
                <w:sz w:val="16"/>
                <w:szCs w:val="16"/>
              </w:rPr>
            </w:pPr>
          </w:p>
        </w:tc>
        <w:tc>
          <w:tcPr>
            <w:tcW w:w="2974" w:type="dxa"/>
            <w:shd w:val="clear" w:color="auto" w:fill="auto"/>
            <w:noWrap/>
            <w:vAlign w:val="center"/>
          </w:tcPr>
          <w:p w14:paraId="5C5DF81B" w14:textId="77777777" w:rsidR="00A85384" w:rsidRPr="0071524B" w:rsidRDefault="00A85384" w:rsidP="00D7651E">
            <w:pPr>
              <w:pStyle w:val="TX-TableText"/>
              <w:rPr>
                <w:rFonts w:ascii="Franklin Gothic Book" w:hAnsi="Franklin Gothic Book"/>
                <w:sz w:val="16"/>
                <w:szCs w:val="16"/>
              </w:rPr>
            </w:pPr>
            <w:r>
              <w:rPr>
                <w:rFonts w:ascii="Franklin Gothic Book" w:hAnsi="Franklin Gothic Book"/>
                <w:sz w:val="16"/>
                <w:szCs w:val="16"/>
              </w:rPr>
              <w:t>Meal Observations</w:t>
            </w:r>
          </w:p>
        </w:tc>
      </w:tr>
      <w:tr w:rsidR="00A85384" w:rsidRPr="0071524B" w14:paraId="63892C52" w14:textId="77777777" w:rsidTr="00D7651E">
        <w:trPr>
          <w:trHeight w:val="300"/>
        </w:trPr>
        <w:tc>
          <w:tcPr>
            <w:tcW w:w="2895" w:type="dxa"/>
            <w:shd w:val="clear" w:color="auto" w:fill="auto"/>
            <w:noWrap/>
            <w:vAlign w:val="bottom"/>
          </w:tcPr>
          <w:p w14:paraId="64B88657" w14:textId="77777777" w:rsidR="00A85384" w:rsidRPr="0071524B" w:rsidRDefault="00A85384" w:rsidP="00D7651E">
            <w:pPr>
              <w:pStyle w:val="TX-TableText"/>
              <w:rPr>
                <w:rFonts w:ascii="Franklin Gothic Book" w:hAnsi="Franklin Gothic Book"/>
                <w:sz w:val="16"/>
                <w:szCs w:val="16"/>
              </w:rPr>
            </w:pPr>
          </w:p>
        </w:tc>
        <w:tc>
          <w:tcPr>
            <w:tcW w:w="266" w:type="dxa"/>
            <w:vMerge/>
            <w:shd w:val="clear" w:color="auto" w:fill="FFFFFF" w:themeFill="background1"/>
            <w:noWrap/>
            <w:vAlign w:val="bottom"/>
            <w:hideMark/>
          </w:tcPr>
          <w:p w14:paraId="16069BB6" w14:textId="77777777" w:rsidR="00A85384" w:rsidRPr="0071524B" w:rsidRDefault="00A85384" w:rsidP="00D7651E">
            <w:pPr>
              <w:pStyle w:val="TX-TableText"/>
              <w:rPr>
                <w:rFonts w:ascii="Franklin Gothic Book" w:hAnsi="Franklin Gothic Book"/>
                <w:sz w:val="16"/>
                <w:szCs w:val="16"/>
              </w:rPr>
            </w:pPr>
          </w:p>
        </w:tc>
        <w:tc>
          <w:tcPr>
            <w:tcW w:w="2974" w:type="dxa"/>
            <w:shd w:val="clear" w:color="auto" w:fill="auto"/>
            <w:noWrap/>
            <w:vAlign w:val="bottom"/>
            <w:hideMark/>
          </w:tcPr>
          <w:p w14:paraId="1690625F" w14:textId="77777777" w:rsidR="00A85384" w:rsidRPr="0071524B" w:rsidRDefault="00A85384" w:rsidP="00D7651E">
            <w:pPr>
              <w:pStyle w:val="TX-TableText"/>
              <w:rPr>
                <w:rFonts w:ascii="Franklin Gothic Book" w:hAnsi="Franklin Gothic Book"/>
                <w:sz w:val="16"/>
                <w:szCs w:val="16"/>
              </w:rPr>
            </w:pPr>
            <w:r>
              <w:rPr>
                <w:rFonts w:ascii="Franklin Gothic Book" w:hAnsi="Franklin Gothic Book"/>
                <w:sz w:val="16"/>
                <w:szCs w:val="16"/>
              </w:rPr>
              <w:t>Cafeteria Manager Interview</w:t>
            </w:r>
          </w:p>
        </w:tc>
        <w:tc>
          <w:tcPr>
            <w:tcW w:w="266" w:type="dxa"/>
            <w:vMerge/>
            <w:shd w:val="clear" w:color="auto" w:fill="FFFFFF" w:themeFill="background1"/>
            <w:noWrap/>
            <w:vAlign w:val="bottom"/>
            <w:hideMark/>
          </w:tcPr>
          <w:p w14:paraId="3C1A9467" w14:textId="77777777" w:rsidR="00A85384" w:rsidRPr="0071524B" w:rsidRDefault="00A85384" w:rsidP="00D7651E">
            <w:pPr>
              <w:pStyle w:val="TX-TableText"/>
              <w:rPr>
                <w:rFonts w:ascii="Franklin Gothic Book" w:hAnsi="Franklin Gothic Book"/>
                <w:sz w:val="16"/>
                <w:szCs w:val="16"/>
              </w:rPr>
            </w:pPr>
          </w:p>
        </w:tc>
        <w:tc>
          <w:tcPr>
            <w:tcW w:w="2974" w:type="dxa"/>
            <w:shd w:val="clear" w:color="auto" w:fill="auto"/>
            <w:noWrap/>
            <w:vAlign w:val="bottom"/>
          </w:tcPr>
          <w:p w14:paraId="62BC0E9B" w14:textId="77777777" w:rsidR="00A85384" w:rsidRPr="0071524B" w:rsidRDefault="00A85384" w:rsidP="00D7651E">
            <w:pPr>
              <w:pStyle w:val="TX-TableText"/>
              <w:rPr>
                <w:rFonts w:ascii="Franklin Gothic Book" w:hAnsi="Franklin Gothic Book"/>
                <w:sz w:val="16"/>
                <w:szCs w:val="16"/>
              </w:rPr>
            </w:pPr>
            <w:r>
              <w:rPr>
                <w:rFonts w:ascii="Franklin Gothic Book" w:hAnsi="Franklin Gothic Book"/>
                <w:sz w:val="16"/>
                <w:szCs w:val="16"/>
              </w:rPr>
              <w:t>Cafeteria Manager Interview</w:t>
            </w:r>
          </w:p>
        </w:tc>
      </w:tr>
      <w:tr w:rsidR="00A85384" w:rsidRPr="0071524B" w14:paraId="63D53453" w14:textId="77777777" w:rsidTr="00D7651E">
        <w:trPr>
          <w:trHeight w:val="207"/>
        </w:trPr>
        <w:tc>
          <w:tcPr>
            <w:tcW w:w="2895" w:type="dxa"/>
            <w:shd w:val="clear" w:color="auto" w:fill="auto"/>
            <w:noWrap/>
          </w:tcPr>
          <w:p w14:paraId="207621BA" w14:textId="77777777" w:rsidR="00A85384" w:rsidRPr="0071524B" w:rsidRDefault="00A85384" w:rsidP="00D7651E">
            <w:pPr>
              <w:spacing w:line="240" w:lineRule="auto"/>
              <w:rPr>
                <w:rFonts w:ascii="Franklin Gothic Book" w:hAnsi="Franklin Gothic Book"/>
                <w:color w:val="000000"/>
                <w:sz w:val="16"/>
                <w:szCs w:val="16"/>
              </w:rPr>
            </w:pPr>
          </w:p>
        </w:tc>
        <w:tc>
          <w:tcPr>
            <w:tcW w:w="266" w:type="dxa"/>
            <w:shd w:val="clear" w:color="auto" w:fill="auto"/>
            <w:noWrap/>
            <w:vAlign w:val="bottom"/>
          </w:tcPr>
          <w:p w14:paraId="6EF8B189" w14:textId="77777777" w:rsidR="00A85384" w:rsidRPr="0071524B" w:rsidRDefault="00A85384" w:rsidP="00D7651E">
            <w:pPr>
              <w:spacing w:line="240" w:lineRule="auto"/>
              <w:rPr>
                <w:rFonts w:ascii="Franklin Gothic Book" w:hAnsi="Franklin Gothic Book"/>
                <w:color w:val="000000"/>
                <w:sz w:val="16"/>
                <w:szCs w:val="16"/>
              </w:rPr>
            </w:pPr>
          </w:p>
        </w:tc>
        <w:tc>
          <w:tcPr>
            <w:tcW w:w="2974" w:type="dxa"/>
            <w:shd w:val="clear" w:color="auto" w:fill="auto"/>
            <w:noWrap/>
            <w:vAlign w:val="bottom"/>
          </w:tcPr>
          <w:p w14:paraId="55BFD439" w14:textId="77777777" w:rsidR="00A85384" w:rsidRPr="0071524B" w:rsidRDefault="00A85384" w:rsidP="00D7651E">
            <w:pPr>
              <w:spacing w:line="240" w:lineRule="auto"/>
              <w:rPr>
                <w:rFonts w:ascii="Franklin Gothic Book" w:hAnsi="Franklin Gothic Book"/>
                <w:color w:val="000000"/>
                <w:sz w:val="16"/>
                <w:szCs w:val="16"/>
              </w:rPr>
            </w:pPr>
            <w:r>
              <w:rPr>
                <w:rFonts w:ascii="Franklin Gothic Book" w:hAnsi="Franklin Gothic Book"/>
                <w:color w:val="000000"/>
                <w:sz w:val="16"/>
                <w:szCs w:val="16"/>
              </w:rPr>
              <w:t xml:space="preserve">School Meal Counts and Claims </w:t>
            </w:r>
          </w:p>
        </w:tc>
        <w:tc>
          <w:tcPr>
            <w:tcW w:w="266" w:type="dxa"/>
            <w:vMerge/>
            <w:shd w:val="clear" w:color="auto" w:fill="FFFFFF" w:themeFill="background1"/>
            <w:noWrap/>
            <w:vAlign w:val="bottom"/>
          </w:tcPr>
          <w:p w14:paraId="3B3D677F" w14:textId="77777777" w:rsidR="00A85384" w:rsidRPr="0071524B" w:rsidRDefault="00A85384" w:rsidP="00D7651E">
            <w:pPr>
              <w:spacing w:line="240" w:lineRule="auto"/>
              <w:rPr>
                <w:rFonts w:ascii="Franklin Gothic Book" w:hAnsi="Franklin Gothic Book"/>
                <w:color w:val="000000"/>
                <w:sz w:val="16"/>
                <w:szCs w:val="16"/>
              </w:rPr>
            </w:pPr>
          </w:p>
        </w:tc>
        <w:tc>
          <w:tcPr>
            <w:tcW w:w="2974" w:type="dxa"/>
            <w:shd w:val="clear" w:color="auto" w:fill="auto"/>
            <w:noWrap/>
            <w:vAlign w:val="bottom"/>
          </w:tcPr>
          <w:p w14:paraId="3DB85658" w14:textId="77777777" w:rsidR="00A85384" w:rsidRPr="0071524B" w:rsidRDefault="00A85384" w:rsidP="00D7651E">
            <w:pPr>
              <w:pStyle w:val="TX-TableText"/>
              <w:rPr>
                <w:rFonts w:ascii="Franklin Gothic Book" w:hAnsi="Franklin Gothic Book"/>
                <w:sz w:val="16"/>
                <w:szCs w:val="16"/>
              </w:rPr>
            </w:pPr>
            <w:r>
              <w:rPr>
                <w:rFonts w:ascii="Franklin Gothic Book" w:hAnsi="Franklin Gothic Book"/>
                <w:color w:val="000000"/>
                <w:sz w:val="16"/>
                <w:szCs w:val="16"/>
              </w:rPr>
              <w:t xml:space="preserve">School Meal Counts and Claims </w:t>
            </w:r>
          </w:p>
        </w:tc>
      </w:tr>
      <w:tr w:rsidR="00A85384" w:rsidRPr="0071524B" w14:paraId="7779F33E" w14:textId="77777777" w:rsidTr="00D7651E">
        <w:trPr>
          <w:trHeight w:val="207"/>
        </w:trPr>
        <w:tc>
          <w:tcPr>
            <w:tcW w:w="2895" w:type="dxa"/>
            <w:shd w:val="clear" w:color="auto" w:fill="auto"/>
            <w:noWrap/>
          </w:tcPr>
          <w:p w14:paraId="05454380" w14:textId="77777777" w:rsidR="00A85384" w:rsidRPr="0071524B" w:rsidRDefault="00A85384" w:rsidP="00D7651E">
            <w:pPr>
              <w:spacing w:line="240" w:lineRule="auto"/>
              <w:rPr>
                <w:rFonts w:ascii="Franklin Gothic Book" w:hAnsi="Franklin Gothic Book"/>
                <w:color w:val="000000"/>
                <w:sz w:val="16"/>
                <w:szCs w:val="16"/>
              </w:rPr>
            </w:pPr>
          </w:p>
        </w:tc>
        <w:tc>
          <w:tcPr>
            <w:tcW w:w="266" w:type="dxa"/>
            <w:shd w:val="clear" w:color="auto" w:fill="auto"/>
            <w:noWrap/>
            <w:vAlign w:val="bottom"/>
          </w:tcPr>
          <w:p w14:paraId="4D3B35D4" w14:textId="77777777" w:rsidR="00A85384" w:rsidRPr="0071524B" w:rsidRDefault="00A85384" w:rsidP="00D7651E">
            <w:pPr>
              <w:spacing w:line="240" w:lineRule="auto"/>
              <w:rPr>
                <w:rFonts w:ascii="Franklin Gothic Book" w:hAnsi="Franklin Gothic Book"/>
                <w:color w:val="000000"/>
                <w:sz w:val="16"/>
                <w:szCs w:val="16"/>
              </w:rPr>
            </w:pPr>
          </w:p>
        </w:tc>
        <w:tc>
          <w:tcPr>
            <w:tcW w:w="2974" w:type="dxa"/>
            <w:shd w:val="clear" w:color="auto" w:fill="auto"/>
            <w:noWrap/>
            <w:vAlign w:val="bottom"/>
          </w:tcPr>
          <w:p w14:paraId="738CE5EC" w14:textId="77777777" w:rsidR="00A85384" w:rsidRDefault="00A85384" w:rsidP="00D7651E">
            <w:pPr>
              <w:spacing w:line="240" w:lineRule="auto"/>
              <w:rPr>
                <w:rFonts w:ascii="Franklin Gothic Book" w:hAnsi="Franklin Gothic Book"/>
                <w:color w:val="000000"/>
                <w:sz w:val="16"/>
                <w:szCs w:val="16"/>
              </w:rPr>
            </w:pPr>
          </w:p>
        </w:tc>
        <w:tc>
          <w:tcPr>
            <w:tcW w:w="266" w:type="dxa"/>
            <w:shd w:val="clear" w:color="auto" w:fill="FFFFFF" w:themeFill="background1"/>
            <w:noWrap/>
            <w:vAlign w:val="bottom"/>
          </w:tcPr>
          <w:p w14:paraId="7F5D7BC0" w14:textId="77777777" w:rsidR="00A85384" w:rsidRPr="0071524B" w:rsidRDefault="00A85384" w:rsidP="00D7651E">
            <w:pPr>
              <w:spacing w:line="240" w:lineRule="auto"/>
              <w:rPr>
                <w:rFonts w:ascii="Franklin Gothic Book" w:hAnsi="Franklin Gothic Book"/>
                <w:color w:val="000000"/>
                <w:sz w:val="16"/>
                <w:szCs w:val="16"/>
              </w:rPr>
            </w:pPr>
          </w:p>
        </w:tc>
        <w:tc>
          <w:tcPr>
            <w:tcW w:w="2974" w:type="dxa"/>
            <w:shd w:val="clear" w:color="auto" w:fill="auto"/>
            <w:noWrap/>
            <w:vAlign w:val="bottom"/>
          </w:tcPr>
          <w:p w14:paraId="4061800B" w14:textId="77777777" w:rsidR="00A85384" w:rsidRDefault="00A85384" w:rsidP="00D7651E">
            <w:pPr>
              <w:pStyle w:val="TX-TableText"/>
              <w:rPr>
                <w:rFonts w:ascii="Franklin Gothic Book" w:hAnsi="Franklin Gothic Book"/>
                <w:color w:val="000000"/>
                <w:sz w:val="16"/>
                <w:szCs w:val="16"/>
              </w:rPr>
            </w:pPr>
          </w:p>
        </w:tc>
      </w:tr>
      <w:tr w:rsidR="00A85384" w:rsidRPr="0071524B" w14:paraId="306C78EF" w14:textId="77777777" w:rsidTr="00D7651E">
        <w:trPr>
          <w:trHeight w:val="207"/>
        </w:trPr>
        <w:tc>
          <w:tcPr>
            <w:tcW w:w="2895" w:type="dxa"/>
            <w:shd w:val="clear" w:color="auto" w:fill="auto"/>
            <w:noWrap/>
          </w:tcPr>
          <w:p w14:paraId="1C759C25" w14:textId="77777777" w:rsidR="00A85384" w:rsidRPr="0071524B" w:rsidRDefault="00A85384" w:rsidP="00D7651E">
            <w:pPr>
              <w:spacing w:line="240" w:lineRule="auto"/>
              <w:rPr>
                <w:rFonts w:ascii="Franklin Gothic Book" w:hAnsi="Franklin Gothic Book"/>
                <w:color w:val="000000"/>
                <w:sz w:val="16"/>
                <w:szCs w:val="16"/>
              </w:rPr>
            </w:pPr>
          </w:p>
        </w:tc>
        <w:tc>
          <w:tcPr>
            <w:tcW w:w="266" w:type="dxa"/>
            <w:shd w:val="clear" w:color="auto" w:fill="auto"/>
            <w:noWrap/>
            <w:vAlign w:val="bottom"/>
          </w:tcPr>
          <w:p w14:paraId="66F3EC6A" w14:textId="77777777" w:rsidR="00A85384" w:rsidRPr="0071524B" w:rsidRDefault="00A85384" w:rsidP="00D7651E">
            <w:pPr>
              <w:spacing w:line="240" w:lineRule="auto"/>
              <w:rPr>
                <w:rFonts w:ascii="Franklin Gothic Book" w:hAnsi="Franklin Gothic Book"/>
                <w:color w:val="000000"/>
                <w:sz w:val="16"/>
                <w:szCs w:val="16"/>
              </w:rPr>
            </w:pPr>
          </w:p>
        </w:tc>
        <w:tc>
          <w:tcPr>
            <w:tcW w:w="2974" w:type="dxa"/>
            <w:shd w:val="clear" w:color="auto" w:fill="auto"/>
            <w:noWrap/>
            <w:vAlign w:val="bottom"/>
          </w:tcPr>
          <w:p w14:paraId="36C18875" w14:textId="77777777" w:rsidR="00A85384" w:rsidRDefault="00A85384" w:rsidP="00D7651E">
            <w:pPr>
              <w:spacing w:line="240" w:lineRule="auto"/>
              <w:rPr>
                <w:rFonts w:ascii="Franklin Gothic Book" w:hAnsi="Franklin Gothic Book"/>
                <w:color w:val="000000"/>
                <w:sz w:val="16"/>
                <w:szCs w:val="16"/>
              </w:rPr>
            </w:pPr>
          </w:p>
        </w:tc>
        <w:tc>
          <w:tcPr>
            <w:tcW w:w="266" w:type="dxa"/>
            <w:shd w:val="clear" w:color="auto" w:fill="FFFFFF" w:themeFill="background1"/>
            <w:noWrap/>
            <w:vAlign w:val="bottom"/>
          </w:tcPr>
          <w:p w14:paraId="399CC433" w14:textId="77777777" w:rsidR="00A85384" w:rsidRPr="0071524B" w:rsidRDefault="00A85384" w:rsidP="00D7651E">
            <w:pPr>
              <w:spacing w:line="240" w:lineRule="auto"/>
              <w:rPr>
                <w:rFonts w:ascii="Franklin Gothic Book" w:hAnsi="Franklin Gothic Book"/>
                <w:color w:val="000000"/>
                <w:sz w:val="16"/>
                <w:szCs w:val="16"/>
              </w:rPr>
            </w:pPr>
          </w:p>
        </w:tc>
        <w:tc>
          <w:tcPr>
            <w:tcW w:w="2974" w:type="dxa"/>
            <w:shd w:val="clear" w:color="auto" w:fill="auto"/>
            <w:noWrap/>
            <w:vAlign w:val="bottom"/>
          </w:tcPr>
          <w:p w14:paraId="4E1FAE3F" w14:textId="77777777" w:rsidR="00A85384" w:rsidRPr="00E413CE" w:rsidRDefault="00A85384" w:rsidP="00D7651E">
            <w:pPr>
              <w:pStyle w:val="TX-TableText"/>
              <w:rPr>
                <w:rFonts w:ascii="Franklin Gothic Book" w:hAnsi="Franklin Gothic Book"/>
                <w:b/>
                <w:color w:val="000000"/>
                <w:sz w:val="16"/>
                <w:szCs w:val="16"/>
              </w:rPr>
            </w:pPr>
            <w:r w:rsidRPr="00E413CE">
              <w:rPr>
                <w:rFonts w:ascii="Franklin Gothic Book" w:hAnsi="Franklin Gothic Book"/>
                <w:b/>
                <w:color w:val="000000"/>
                <w:sz w:val="16"/>
                <w:szCs w:val="16"/>
              </w:rPr>
              <w:t>State Meal Claim Data Request</w:t>
            </w:r>
          </w:p>
        </w:tc>
      </w:tr>
    </w:tbl>
    <w:p w14:paraId="4C683EB1" w14:textId="77777777" w:rsidR="00A85384" w:rsidRPr="00224750" w:rsidRDefault="00A85384" w:rsidP="00A85384">
      <w:pPr>
        <w:pStyle w:val="L1-FlLSp12"/>
      </w:pPr>
    </w:p>
    <w:p w14:paraId="0AB22B95" w14:textId="77777777" w:rsidR="0007312C" w:rsidRPr="000E2D19" w:rsidRDefault="0007312C" w:rsidP="000E2D19">
      <w:pPr>
        <w:pStyle w:val="L1-FlLSp12"/>
        <w:rPr>
          <w:szCs w:val="24"/>
        </w:rPr>
      </w:pPr>
    </w:p>
    <w:p w14:paraId="41642A3D" w14:textId="77777777" w:rsidR="00533B5E" w:rsidRPr="006E3562" w:rsidRDefault="00533B5E" w:rsidP="008B6333">
      <w:pPr>
        <w:pStyle w:val="Heading2"/>
      </w:pPr>
      <w:bookmarkStart w:id="20" w:name="_Toc316309685"/>
      <w:bookmarkStart w:id="21" w:name="_Toc316311772"/>
      <w:bookmarkStart w:id="22" w:name="_Toc318291762"/>
      <w:bookmarkStart w:id="23" w:name="_Toc318292446"/>
      <w:bookmarkStart w:id="24" w:name="_Toc409608435"/>
      <w:r w:rsidRPr="006E3562">
        <w:t>3.</w:t>
      </w:r>
      <w:r w:rsidRPr="006E3562">
        <w:tab/>
        <w:t>Use of Information Technology and Burden Reduction</w:t>
      </w:r>
      <w:bookmarkEnd w:id="20"/>
      <w:bookmarkEnd w:id="21"/>
      <w:bookmarkEnd w:id="22"/>
      <w:bookmarkEnd w:id="23"/>
      <w:bookmarkEnd w:id="24"/>
    </w:p>
    <w:p w14:paraId="3AB54F83" w14:textId="77777777" w:rsidR="00533B5E" w:rsidRDefault="00533B5E" w:rsidP="00533B5E">
      <w:pPr>
        <w:pStyle w:val="Heading5"/>
      </w:pPr>
      <w:r>
        <w:tab/>
      </w:r>
      <w:r w:rsidRPr="006E3562">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8B816E6" w14:textId="77777777" w:rsidR="00681718" w:rsidRDefault="0006595B" w:rsidP="00533B5E">
      <w:pPr>
        <w:pStyle w:val="P1-StandPara"/>
      </w:pPr>
      <w:r w:rsidRPr="006E3562">
        <w:t>FNS is committed to complying with the E-</w:t>
      </w:r>
      <w:r w:rsidR="004B22D6">
        <w:t>G</w:t>
      </w:r>
      <w:r w:rsidRPr="006E3562">
        <w:t>overnment Act</w:t>
      </w:r>
      <w:r>
        <w:t xml:space="preserve"> of</w:t>
      </w:r>
      <w:r w:rsidRPr="006E3562">
        <w:t xml:space="preserve"> 2002 to promote the use of technology. Most </w:t>
      </w:r>
      <w:r>
        <w:t xml:space="preserve">of the </w:t>
      </w:r>
      <w:r w:rsidRPr="006E3562">
        <w:t xml:space="preserve">information to be collected for this study will come from existing records and </w:t>
      </w:r>
      <w:r>
        <w:t>data collector</w:t>
      </w:r>
      <w:r w:rsidRPr="006E3562">
        <w:t xml:space="preserve"> observations </w:t>
      </w:r>
      <w:r w:rsidR="00A13EF9">
        <w:t>rather than relying</w:t>
      </w:r>
      <w:r>
        <w:t xml:space="preserve"> on</w:t>
      </w:r>
      <w:r w:rsidRPr="006E3562">
        <w:t xml:space="preserve"> </w:t>
      </w:r>
      <w:r>
        <w:t>SFA and school</w:t>
      </w:r>
      <w:r w:rsidRPr="006E3562">
        <w:t xml:space="preserve"> staff to </w:t>
      </w:r>
      <w:r>
        <w:t>provide the needed data</w:t>
      </w:r>
      <w:r w:rsidRPr="006E3562">
        <w:t xml:space="preserve">. Wherever possible, </w:t>
      </w:r>
      <w:r w:rsidR="00496A77">
        <w:t xml:space="preserve">use of </w:t>
      </w:r>
      <w:r w:rsidRPr="006E3562">
        <w:t xml:space="preserve">technology has been incorporated into the data collection to reduce respondent burden. </w:t>
      </w:r>
      <w:r w:rsidR="00040682">
        <w:t>This includes the</w:t>
      </w:r>
      <w:r w:rsidR="00496A77">
        <w:t xml:space="preserve"> electronic submission of data files and electronic data entry (by data collectors) of abstractions</w:t>
      </w:r>
      <w:r w:rsidR="00B37ED7">
        <w:t xml:space="preserve"> from hard</w:t>
      </w:r>
      <w:r w:rsidR="00174360">
        <w:t>-</w:t>
      </w:r>
      <w:r w:rsidR="00B37ED7">
        <w:t xml:space="preserve">copy records. </w:t>
      </w:r>
      <w:r w:rsidR="00C739FD">
        <w:t>T</w:t>
      </w:r>
      <w:r w:rsidR="00040682">
        <w:t xml:space="preserve">hese efforts </w:t>
      </w:r>
      <w:r w:rsidR="009C46B2">
        <w:t>are</w:t>
      </w:r>
      <w:r w:rsidR="00040682">
        <w:t xml:space="preserve"> described below.</w:t>
      </w:r>
    </w:p>
    <w:p w14:paraId="29536C3E" w14:textId="77777777" w:rsidR="0006595B" w:rsidRPr="006E3562" w:rsidRDefault="0006595B" w:rsidP="00533B5E">
      <w:pPr>
        <w:pStyle w:val="P1-StandPara"/>
      </w:pPr>
      <w:r w:rsidRPr="006D50C8">
        <w:t>Field staff will be equipped with mobile internet hot-spot (MiFi) devices to enable them to connect to the internet anywhere mobile service is available</w:t>
      </w:r>
      <w:r>
        <w:t xml:space="preserve">. </w:t>
      </w:r>
      <w:r w:rsidR="009C46B2">
        <w:t xml:space="preserve">This will allow access to the study management system for electronic data entry. </w:t>
      </w:r>
      <w:r w:rsidR="00343FB7" w:rsidRPr="006E3562">
        <w:t xml:space="preserve">Laptops will </w:t>
      </w:r>
      <w:r w:rsidR="00343FB7">
        <w:t xml:space="preserve">be configured with </w:t>
      </w:r>
      <w:r w:rsidR="00343FB7" w:rsidRPr="006E3562">
        <w:t xml:space="preserve">security </w:t>
      </w:r>
      <w:r w:rsidR="00343FB7">
        <w:t xml:space="preserve">settings </w:t>
      </w:r>
      <w:r w:rsidR="00343FB7" w:rsidRPr="006E3562">
        <w:t>that feature numerous technical controls to protect study data and maintain the laptop</w:t>
      </w:r>
      <w:r w:rsidR="001D29F8">
        <w:t>’</w:t>
      </w:r>
      <w:r w:rsidR="00343FB7" w:rsidRPr="006E3562">
        <w:t>s integrity during the communication sessions. Access to the private data networks is controlled by many security features</w:t>
      </w:r>
      <w:r w:rsidR="004B22D6">
        <w:t>,</w:t>
      </w:r>
      <w:r w:rsidR="00343FB7" w:rsidRPr="006E3562">
        <w:t xml:space="preserve"> including a firewall for port filtering and an SSL/VPN gateway that requires user authentication</w:t>
      </w:r>
      <w:r w:rsidR="00B37ED7">
        <w:t>.</w:t>
      </w:r>
    </w:p>
    <w:p w14:paraId="006C5594" w14:textId="0E4C9474" w:rsidR="001D29F8" w:rsidRDefault="00343FB7" w:rsidP="00533B5E">
      <w:pPr>
        <w:pStyle w:val="P1-StandPara"/>
      </w:pPr>
      <w:r>
        <w:t>The</w:t>
      </w:r>
      <w:r w:rsidRPr="006E3562">
        <w:t xml:space="preserve"> </w:t>
      </w:r>
      <w:r>
        <w:t xml:space="preserve">administration of </w:t>
      </w:r>
      <w:r w:rsidRPr="006E3562">
        <w:t xml:space="preserve">the in-person </w:t>
      </w:r>
      <w:r w:rsidR="000C7F02">
        <w:t>h</w:t>
      </w:r>
      <w:r>
        <w:t>ousehold</w:t>
      </w:r>
      <w:r w:rsidRPr="006E3562">
        <w:t xml:space="preserve"> </w:t>
      </w:r>
      <w:r w:rsidRPr="000E0E67">
        <w:t xml:space="preserve">survey </w:t>
      </w:r>
      <w:r w:rsidRPr="000C5C1F">
        <w:t>(</w:t>
      </w:r>
      <w:r w:rsidR="00FF7893">
        <w:t>discussed in Question 2 of Supporting Statement Part B</w:t>
      </w:r>
      <w:r w:rsidRPr="000C5C1F">
        <w:t>)</w:t>
      </w:r>
      <w:r w:rsidRPr="000E0E67">
        <w:t xml:space="preserve"> will use computer-assisted personal interviewing (CAPI). </w:t>
      </w:r>
      <w:r>
        <w:t xml:space="preserve">Thus, </w:t>
      </w:r>
      <w:r w:rsidR="00406590">
        <w:t xml:space="preserve">all </w:t>
      </w:r>
      <w:r>
        <w:t xml:space="preserve">of the 4,818 household survey responses will be collected electronically. </w:t>
      </w:r>
      <w:r w:rsidRPr="000E0E67">
        <w:t xml:space="preserve">Use of CAPI automates skip patterns, customizes wording, completes response code validity checks, and applies consistent editing checks. </w:t>
      </w:r>
      <w:r>
        <w:t xml:space="preserve">The SFA </w:t>
      </w:r>
      <w:r w:rsidR="00A9427A">
        <w:t xml:space="preserve">director survey </w:t>
      </w:r>
      <w:r>
        <w:t xml:space="preserve">data will also be collected electronically via a web-based survey (275 </w:t>
      </w:r>
      <w:r w:rsidR="002C70EB">
        <w:t>survey responses</w:t>
      </w:r>
      <w:r w:rsidR="00B37ED7">
        <w:t>).</w:t>
      </w:r>
      <w:r>
        <w:t xml:space="preserve"> </w:t>
      </w:r>
      <w:r w:rsidRPr="000E0E67">
        <w:t xml:space="preserve">The research team will be prepared to receive and process electronic records from </w:t>
      </w:r>
      <w:r>
        <w:t xml:space="preserve">States and </w:t>
      </w:r>
      <w:r w:rsidRPr="00403962">
        <w:t>SFAs (</w:t>
      </w:r>
      <w:r w:rsidR="00FF7893">
        <w:t>discussed in Question 2 of Supporting Statement Part B</w:t>
      </w:r>
      <w:r w:rsidRPr="000C5C1F">
        <w:t>)</w:t>
      </w:r>
      <w:r>
        <w:t xml:space="preserve"> </w:t>
      </w:r>
      <w:r w:rsidRPr="000E0E67">
        <w:t>in</w:t>
      </w:r>
      <w:r w:rsidRPr="006E3562">
        <w:t xml:space="preserve"> place of the production of hard-copy documents or completion of specific </w:t>
      </w:r>
      <w:r w:rsidRPr="00952C06">
        <w:t xml:space="preserve">forms. We estimate that </w:t>
      </w:r>
      <w:r w:rsidR="00040682">
        <w:t>all</w:t>
      </w:r>
      <w:r w:rsidRPr="00952C06">
        <w:t xml:space="preserve"> (approximately </w:t>
      </w:r>
      <w:r>
        <w:t>319</w:t>
      </w:r>
      <w:r w:rsidRPr="00952C06">
        <w:t>)</w:t>
      </w:r>
      <w:r w:rsidR="00F83902">
        <w:rPr>
          <w:rStyle w:val="FootnoteReference"/>
        </w:rPr>
        <w:footnoteReference w:id="7"/>
      </w:r>
      <w:r w:rsidRPr="00952C06">
        <w:t xml:space="preserve"> of these records request</w:t>
      </w:r>
      <w:r w:rsidR="002C70EB">
        <w:t>ed</w:t>
      </w:r>
      <w:r w:rsidRPr="00952C06">
        <w:t xml:space="preserve"> will be collected electronically.</w:t>
      </w:r>
    </w:p>
    <w:p w14:paraId="571BB414" w14:textId="1C1E290A" w:rsidR="001D29F8" w:rsidRDefault="00343FB7" w:rsidP="00533B5E">
      <w:pPr>
        <w:pStyle w:val="P1-StandPara"/>
      </w:pPr>
      <w:r w:rsidRPr="009F063B">
        <w:t xml:space="preserve">FNS estimates that out of the </w:t>
      </w:r>
      <w:r w:rsidR="00D11EAF">
        <w:t>59,016</w:t>
      </w:r>
      <w:r w:rsidR="008D76BD" w:rsidRPr="009F063B">
        <w:t xml:space="preserve"> </w:t>
      </w:r>
      <w:r w:rsidRPr="009F063B">
        <w:t>total re</w:t>
      </w:r>
      <w:r w:rsidR="00CC4A8D" w:rsidRPr="009F063B">
        <w:t>sponses</w:t>
      </w:r>
      <w:r w:rsidR="00CC4A8D" w:rsidRPr="009F063B">
        <w:rPr>
          <w:rStyle w:val="FootnoteReference"/>
          <w:szCs w:val="24"/>
        </w:rPr>
        <w:footnoteReference w:id="8"/>
      </w:r>
      <w:r w:rsidR="00CC4A8D" w:rsidRPr="009F063B">
        <w:t xml:space="preserve"> for this collection, </w:t>
      </w:r>
      <w:r w:rsidR="00F83902">
        <w:t xml:space="preserve">approximately </w:t>
      </w:r>
      <w:r w:rsidR="00CC4A8D" w:rsidRPr="009F063B">
        <w:t>9</w:t>
      </w:r>
      <w:r w:rsidR="00BB564B">
        <w:t>.</w:t>
      </w:r>
      <w:r w:rsidR="00CD70CC">
        <w:t>2</w:t>
      </w:r>
      <w:r w:rsidR="000C7F02">
        <w:t xml:space="preserve"> percent</w:t>
      </w:r>
      <w:r w:rsidRPr="009F063B">
        <w:t xml:space="preserve"> (5,412) of responses will be submitted electronically</w:t>
      </w:r>
      <w:r w:rsidR="00124F3A">
        <w:t>.</w:t>
      </w:r>
      <w:r w:rsidR="003B62FA">
        <w:rPr>
          <w:rStyle w:val="FootnoteReference"/>
          <w:szCs w:val="24"/>
        </w:rPr>
        <w:footnoteReference w:id="9"/>
      </w:r>
      <w:r w:rsidRPr="009F063B">
        <w:t xml:space="preserve"> </w:t>
      </w:r>
      <w:r w:rsidR="001C44AF">
        <w:t>A</w:t>
      </w:r>
      <w:r w:rsidR="0031332E">
        <w:t>n additional 7,324</w:t>
      </w:r>
      <w:r w:rsidRPr="009F063B">
        <w:t xml:space="preserve"> </w:t>
      </w:r>
      <w:r w:rsidR="003A35C8">
        <w:t>records from 1,175</w:t>
      </w:r>
      <w:r w:rsidR="002D5186">
        <w:t xml:space="preserve"> </w:t>
      </w:r>
      <w:r w:rsidR="009F312D">
        <w:t>requests</w:t>
      </w:r>
      <w:r w:rsidR="009F312D">
        <w:rPr>
          <w:rStyle w:val="FootnoteReference"/>
          <w:szCs w:val="24"/>
        </w:rPr>
        <w:footnoteReference w:id="10"/>
      </w:r>
      <w:r w:rsidR="002D5186">
        <w:t xml:space="preserve"> will be electronically entered into the study database by data collectors from abstraction from existing hard</w:t>
      </w:r>
      <w:r w:rsidR="001C44AF">
        <w:t>-</w:t>
      </w:r>
      <w:r w:rsidR="002D5186">
        <w:t>copy SFA and school records</w:t>
      </w:r>
      <w:r w:rsidR="0046645D">
        <w:t>, and thus present minimal burden on respondents</w:t>
      </w:r>
      <w:r w:rsidR="00124F3A">
        <w:t>.</w:t>
      </w:r>
      <w:r w:rsidR="000076C5">
        <w:rPr>
          <w:rStyle w:val="FootnoteReference"/>
          <w:szCs w:val="24"/>
        </w:rPr>
        <w:footnoteReference w:id="11"/>
      </w:r>
    </w:p>
    <w:p w14:paraId="5CD84EA3" w14:textId="77777777" w:rsidR="001D29F8" w:rsidRDefault="00085CAD" w:rsidP="008B6333">
      <w:pPr>
        <w:pStyle w:val="Heading2"/>
      </w:pPr>
      <w:bookmarkStart w:id="25" w:name="_Toc409608436"/>
      <w:bookmarkStart w:id="26" w:name="_Toc316309686"/>
      <w:bookmarkStart w:id="27" w:name="_Toc316311773"/>
      <w:bookmarkStart w:id="28" w:name="_Toc318291763"/>
      <w:bookmarkStart w:id="29" w:name="_Toc318292447"/>
      <w:r w:rsidRPr="006E3562">
        <w:t>4.</w:t>
      </w:r>
      <w:r w:rsidRPr="006E3562">
        <w:tab/>
        <w:t>Efforts to Identify Duplication</w:t>
      </w:r>
      <w:bookmarkEnd w:id="25"/>
      <w:bookmarkEnd w:id="26"/>
      <w:bookmarkEnd w:id="27"/>
      <w:bookmarkEnd w:id="28"/>
      <w:bookmarkEnd w:id="29"/>
    </w:p>
    <w:p w14:paraId="714DB3AE" w14:textId="77777777" w:rsidR="00085CAD" w:rsidRPr="006E3562" w:rsidRDefault="00155C59" w:rsidP="00155C59">
      <w:pPr>
        <w:pStyle w:val="Heading5"/>
      </w:pPr>
      <w:r>
        <w:tab/>
      </w:r>
      <w:r w:rsidR="00085CAD" w:rsidRPr="006E3562">
        <w:t>Describe efforts to identify duplication. Show specifically why any similar information already available cannot be used or modified for use for the purposes described in Question 2.</w:t>
      </w:r>
    </w:p>
    <w:p w14:paraId="4CF30CB3" w14:textId="77777777" w:rsidR="00085CAD" w:rsidRDefault="00085CAD" w:rsidP="00533B5E">
      <w:pPr>
        <w:pStyle w:val="P1-StandPara"/>
      </w:pPr>
      <w:r w:rsidRPr="006E3562">
        <w:t>Every effort has been made to avoid duplication of data collection efforts. These efforts include a review of USDA reporting requirements, State administrative agency reporting requirements, and special studies by g</w:t>
      </w:r>
      <w:r>
        <w:t xml:space="preserve">overnment and private agencies. Specifically, we have obtained </w:t>
      </w:r>
      <w:r w:rsidRPr="00F01929">
        <w:t xml:space="preserve">extant, district-level administrative data from the SFA Verification </w:t>
      </w:r>
      <w:r>
        <w:t>Summary Reports (Form FNS-742)</w:t>
      </w:r>
      <w:r w:rsidR="00CF7729">
        <w:t xml:space="preserve"> (approved under OMB # 0584-0594 Food Programs Reporting System (FPRS), expiration date</w:t>
      </w:r>
      <w:r w:rsidR="001D29F8">
        <w:t xml:space="preserve"> </w:t>
      </w:r>
      <w:r w:rsidR="00CF7729">
        <w:t>9/30/2019</w:t>
      </w:r>
      <w:r w:rsidR="001C44AF">
        <w:t>)</w:t>
      </w:r>
      <w:r>
        <w:t xml:space="preserve"> and </w:t>
      </w:r>
      <w:r w:rsidRPr="00F01929">
        <w:t xml:space="preserve">public school district-level data from the </w:t>
      </w:r>
      <w:r>
        <w:t>National Center for Education Statistics (NCES) Common Core Data (</w:t>
      </w:r>
      <w:r w:rsidRPr="00F01929">
        <w:t>C</w:t>
      </w:r>
      <w:r>
        <w:t>C</w:t>
      </w:r>
      <w:r w:rsidRPr="00F01929">
        <w:t>D</w:t>
      </w:r>
      <w:r w:rsidR="00B37ED7">
        <w:t xml:space="preserve">). </w:t>
      </w:r>
      <w:r>
        <w:t>T</w:t>
      </w:r>
      <w:r w:rsidRPr="00F01929">
        <w:t xml:space="preserve">he </w:t>
      </w:r>
      <w:r>
        <w:t xml:space="preserve">additional </w:t>
      </w:r>
      <w:r w:rsidRPr="00F01929">
        <w:t>information required for this study is not currently reported to FNS on a regular basis in a standardized form or available from any other previous, contemporary study.</w:t>
      </w:r>
    </w:p>
    <w:p w14:paraId="233B1DD9" w14:textId="77777777" w:rsidR="006E3562" w:rsidRPr="006E3562" w:rsidRDefault="006E3562" w:rsidP="008B6333">
      <w:pPr>
        <w:pStyle w:val="Heading2"/>
      </w:pPr>
      <w:bookmarkStart w:id="30" w:name="_Toc316309687"/>
      <w:bookmarkStart w:id="31" w:name="_Toc316311774"/>
      <w:bookmarkStart w:id="32" w:name="_Toc318291764"/>
      <w:bookmarkStart w:id="33" w:name="_Toc318292448"/>
      <w:bookmarkStart w:id="34" w:name="_Toc409608437"/>
      <w:r w:rsidRPr="006E3562">
        <w:t>5.</w:t>
      </w:r>
      <w:r w:rsidRPr="006E3562">
        <w:tab/>
        <w:t>Impacts on Small Businesses or Other Small Entities</w:t>
      </w:r>
      <w:bookmarkEnd w:id="30"/>
      <w:bookmarkEnd w:id="31"/>
      <w:bookmarkEnd w:id="32"/>
      <w:bookmarkEnd w:id="33"/>
      <w:bookmarkEnd w:id="34"/>
    </w:p>
    <w:p w14:paraId="2DF4DA1C" w14:textId="77777777" w:rsidR="006E3562" w:rsidRPr="006E3562" w:rsidRDefault="00155C59" w:rsidP="00155C59">
      <w:pPr>
        <w:pStyle w:val="Heading5"/>
      </w:pPr>
      <w:r>
        <w:tab/>
      </w:r>
      <w:r w:rsidR="006E3562" w:rsidRPr="006E3562">
        <w:t>If the collection of information impacts small businesses or other small entities (Item 5 of OMB Form 83-I), describe any methods used to minimize burden.</w:t>
      </w:r>
    </w:p>
    <w:p w14:paraId="25603A91" w14:textId="45EB6F81" w:rsidR="00C01FEA" w:rsidRDefault="00381A03" w:rsidP="00533B5E">
      <w:pPr>
        <w:pStyle w:val="P1-StandPara"/>
      </w:pPr>
      <w:r w:rsidRPr="00381A03">
        <w:t>Information being requested or required has been held to the minimum required for the intended use. Although smaller SFAs are involved in this data collection effort, they deliver the same program benefits and perform the same function as any other SFA. FNS</w:t>
      </w:r>
      <w:r w:rsidR="00CA1D66">
        <w:t xml:space="preserve"> estimates that 2 percent of</w:t>
      </w:r>
      <w:r w:rsidRPr="00381A03">
        <w:t xml:space="preserve"> SFA respondents are small entities, which equates to approximately 19 respondents </w:t>
      </w:r>
      <w:r w:rsidR="00CA1D66">
        <w:t>(</w:t>
      </w:r>
      <w:r w:rsidRPr="00381A03">
        <w:t>7 SFA directors, 6 SFA s</w:t>
      </w:r>
      <w:r>
        <w:t>taff and 6 SFA data managers).</w:t>
      </w:r>
      <w:r w:rsidR="00644096">
        <w:t xml:space="preserve">  Out of the total number of respondents for this study (9,45</w:t>
      </w:r>
      <w:r w:rsidR="00F37E12">
        <w:t>2</w:t>
      </w:r>
      <w:r w:rsidR="00644096">
        <w:t>), FNS estimates that 0.2% of them will be small entities.</w:t>
      </w:r>
    </w:p>
    <w:p w14:paraId="77B390B5" w14:textId="77777777" w:rsidR="006E3562" w:rsidRPr="006E3562" w:rsidRDefault="006E3562" w:rsidP="008B6333">
      <w:pPr>
        <w:pStyle w:val="Heading2"/>
      </w:pPr>
      <w:bookmarkStart w:id="35" w:name="_Toc316309688"/>
      <w:bookmarkStart w:id="36" w:name="_Toc316311775"/>
      <w:bookmarkStart w:id="37" w:name="_Toc318291765"/>
      <w:bookmarkStart w:id="38" w:name="_Toc318292449"/>
      <w:bookmarkStart w:id="39" w:name="_Toc409608438"/>
      <w:r w:rsidRPr="006E3562">
        <w:t>6.</w:t>
      </w:r>
      <w:r w:rsidRPr="006E3562">
        <w:tab/>
        <w:t>Consequences of Collecting the Information Less Frequently</w:t>
      </w:r>
      <w:bookmarkEnd w:id="35"/>
      <w:bookmarkEnd w:id="36"/>
      <w:bookmarkEnd w:id="37"/>
      <w:bookmarkEnd w:id="38"/>
      <w:bookmarkEnd w:id="39"/>
    </w:p>
    <w:p w14:paraId="3EC36D42" w14:textId="77777777" w:rsidR="006E3562" w:rsidRPr="006E3562" w:rsidRDefault="00155C59" w:rsidP="00155C59">
      <w:pPr>
        <w:pStyle w:val="Heading5"/>
      </w:pPr>
      <w:r>
        <w:tab/>
      </w:r>
      <w:r w:rsidR="006E3562" w:rsidRPr="006E3562">
        <w:t>Describe the consequence to Federal program or policy activities if the collection is not conducted, or is conducted less frequently, as well as any technical or legal obstacles to reducing burden.</w:t>
      </w:r>
    </w:p>
    <w:p w14:paraId="6A436067" w14:textId="30961A4F" w:rsidR="001D29F8" w:rsidRDefault="00F01929" w:rsidP="00533B5E">
      <w:pPr>
        <w:pStyle w:val="P1-StandPara"/>
      </w:pPr>
      <w:r w:rsidRPr="00F01929">
        <w:t xml:space="preserve">If this data collection were not performed, </w:t>
      </w:r>
      <w:r w:rsidR="006000FF">
        <w:t xml:space="preserve">FNS </w:t>
      </w:r>
      <w:r w:rsidRPr="00F01929">
        <w:t xml:space="preserve">would be </w:t>
      </w:r>
      <w:r w:rsidR="00D8343C">
        <w:t>unable to meet its F</w:t>
      </w:r>
      <w:r w:rsidRPr="00F01929">
        <w:t>ederal reporting requirements under IP</w:t>
      </w:r>
      <w:r w:rsidR="00AE13D5">
        <w:t>ER</w:t>
      </w:r>
      <w:r w:rsidRPr="00F01929">
        <w:t>IA to annually measure erroneous payments in the NSLP and SBP and identify the sources of erroneous payments</w:t>
      </w:r>
      <w:r w:rsidR="006000FF" w:rsidRPr="006000FF">
        <w:t xml:space="preserve"> </w:t>
      </w:r>
      <w:r w:rsidR="006000FF">
        <w:t xml:space="preserve">as outlined in </w:t>
      </w:r>
      <w:r w:rsidR="00C6519A">
        <w:t xml:space="preserve">M-15-02 - </w:t>
      </w:r>
      <w:r w:rsidR="006000FF">
        <w:t>Appendix C</w:t>
      </w:r>
      <w:r w:rsidR="006000FF" w:rsidRPr="00726B0C">
        <w:t xml:space="preserve"> to Circular No. A-123, </w:t>
      </w:r>
      <w:r w:rsidR="006000FF" w:rsidRPr="00726B0C">
        <w:rPr>
          <w:i/>
        </w:rPr>
        <w:t>Requirements for Effective Estimation and Remediation of Improper Payments</w:t>
      </w:r>
      <w:r w:rsidR="006000FF" w:rsidRPr="00726B0C">
        <w:rPr>
          <w:u w:color="000080"/>
          <w:vertAlign w:val="superscript"/>
        </w:rPr>
        <w:footnoteReference w:id="12"/>
      </w:r>
      <w:r w:rsidR="006000FF">
        <w:t xml:space="preserve"> </w:t>
      </w:r>
      <w:r w:rsidR="006000FF" w:rsidRPr="00171AF3">
        <w:t>(Appendix A</w:t>
      </w:r>
      <w:r w:rsidR="00482A02">
        <w:t>7</w:t>
      </w:r>
      <w:r w:rsidR="006000FF" w:rsidRPr="00171AF3">
        <w:t>)</w:t>
      </w:r>
      <w:r w:rsidR="00D8343C" w:rsidRPr="00171AF3">
        <w:t>.</w:t>
      </w:r>
      <w:r w:rsidR="00D8343C">
        <w:t xml:space="preserve"> This study will be conducted once as a one-time study. </w:t>
      </w:r>
      <w:r w:rsidR="00553CCD">
        <w:t>The household survey respondents will only be contacted once</w:t>
      </w:r>
      <w:r w:rsidR="0045576E">
        <w:t xml:space="preserve"> at various times throughout the school year</w:t>
      </w:r>
      <w:r w:rsidR="00553CCD">
        <w:t>.</w:t>
      </w:r>
      <w:r w:rsidR="001D29F8">
        <w:t xml:space="preserve"> </w:t>
      </w:r>
      <w:r w:rsidR="00553CCD">
        <w:t>To ensure that the household survey respondents are representative of applicants throughout the school year, the SFA directors will be contacted three times throughout the school year to provide information on additional income eligibility applications submitted since the prior visit.</w:t>
      </w:r>
    </w:p>
    <w:p w14:paraId="35D6510B" w14:textId="77777777" w:rsidR="006E3562" w:rsidRPr="006E3562" w:rsidRDefault="006E3562" w:rsidP="008B6333">
      <w:pPr>
        <w:pStyle w:val="Heading2"/>
      </w:pPr>
      <w:bookmarkStart w:id="40" w:name="_Toc316309689"/>
      <w:bookmarkStart w:id="41" w:name="_Toc316311776"/>
      <w:bookmarkStart w:id="42" w:name="_Toc318291766"/>
      <w:bookmarkStart w:id="43" w:name="_Toc318292450"/>
      <w:bookmarkStart w:id="44" w:name="_Toc409608439"/>
      <w:r w:rsidRPr="006E3562">
        <w:t>7.</w:t>
      </w:r>
      <w:r w:rsidRPr="006E3562">
        <w:tab/>
        <w:t>Special Circumstances Relating to the Guidelines of 5 CFR 1320.5</w:t>
      </w:r>
      <w:bookmarkEnd w:id="40"/>
      <w:bookmarkEnd w:id="41"/>
      <w:bookmarkEnd w:id="42"/>
      <w:bookmarkEnd w:id="43"/>
      <w:bookmarkEnd w:id="44"/>
    </w:p>
    <w:p w14:paraId="79EFF5F9" w14:textId="77777777" w:rsidR="006E3562" w:rsidRPr="006E3562" w:rsidRDefault="00155C59" w:rsidP="00155C59">
      <w:pPr>
        <w:pStyle w:val="Heading5"/>
      </w:pPr>
      <w:r>
        <w:tab/>
      </w:r>
      <w:r w:rsidR="006E3562" w:rsidRPr="006E3562">
        <w:t>Explain any special circumstances that would cause an information collection to be conducted in a manner:</w:t>
      </w:r>
    </w:p>
    <w:p w14:paraId="05BC4FA4" w14:textId="77777777" w:rsidR="006E3562" w:rsidRPr="0008336E" w:rsidRDefault="006E3562" w:rsidP="003B2904">
      <w:pPr>
        <w:pStyle w:val="N1-1stBullet"/>
        <w:spacing w:line="240" w:lineRule="auto"/>
      </w:pPr>
      <w:r w:rsidRPr="0008336E">
        <w:t>Requiring respondents to report information to the agency more often than quarterly;</w:t>
      </w:r>
    </w:p>
    <w:p w14:paraId="2447F58F" w14:textId="77777777" w:rsidR="006E3562" w:rsidRPr="0008336E" w:rsidRDefault="006E3562" w:rsidP="003B2904">
      <w:pPr>
        <w:pStyle w:val="N1-1stBullet"/>
        <w:spacing w:line="240" w:lineRule="auto"/>
      </w:pPr>
      <w:r w:rsidRPr="0008336E">
        <w:t>Requiring respondents to prepare a written response to a collection of information in fewer than 30 days after receipt of it;</w:t>
      </w:r>
    </w:p>
    <w:p w14:paraId="77A44484" w14:textId="77777777" w:rsidR="006E3562" w:rsidRPr="0008336E" w:rsidRDefault="006E3562" w:rsidP="003B2904">
      <w:pPr>
        <w:pStyle w:val="N1-1stBullet"/>
        <w:spacing w:line="240" w:lineRule="auto"/>
      </w:pPr>
      <w:r w:rsidRPr="0008336E">
        <w:t>Requiring respondents to submit more than an original and two copies of any document;</w:t>
      </w:r>
    </w:p>
    <w:p w14:paraId="73E5666C" w14:textId="77777777" w:rsidR="006E3562" w:rsidRPr="0008336E" w:rsidRDefault="006E3562" w:rsidP="003B2904">
      <w:pPr>
        <w:pStyle w:val="N1-1stBullet"/>
        <w:spacing w:line="240" w:lineRule="auto"/>
      </w:pPr>
      <w:r w:rsidRPr="0008336E">
        <w:t>Requiring respondents to retain records, other than health, medical, government contract, grant-in-aid, or tax records</w:t>
      </w:r>
      <w:r w:rsidR="001C44AF">
        <w:t>,</w:t>
      </w:r>
      <w:r w:rsidRPr="0008336E">
        <w:t xml:space="preserve"> for more than </w:t>
      </w:r>
      <w:r w:rsidR="001C44AF">
        <w:t>3</w:t>
      </w:r>
      <w:r w:rsidR="001C44AF" w:rsidRPr="0008336E">
        <w:t xml:space="preserve"> </w:t>
      </w:r>
      <w:r w:rsidRPr="0008336E">
        <w:t>years;</w:t>
      </w:r>
    </w:p>
    <w:p w14:paraId="429741C8" w14:textId="77777777" w:rsidR="006E3562" w:rsidRPr="0008336E" w:rsidRDefault="006E3562" w:rsidP="003B2904">
      <w:pPr>
        <w:pStyle w:val="N1-1stBullet"/>
        <w:spacing w:line="240" w:lineRule="auto"/>
      </w:pPr>
      <w:r w:rsidRPr="0008336E">
        <w:t>In connection with a statistical survey, that is not designed to produce valid and reliable results that can be generalized to the universe of study;</w:t>
      </w:r>
    </w:p>
    <w:p w14:paraId="3FC37BEF" w14:textId="77777777" w:rsidR="006E3562" w:rsidRPr="0008336E" w:rsidRDefault="006E3562" w:rsidP="003B2904">
      <w:pPr>
        <w:pStyle w:val="N1-1stBullet"/>
        <w:spacing w:line="240" w:lineRule="auto"/>
      </w:pPr>
      <w:r w:rsidRPr="0008336E">
        <w:t>Requiring the use of a statistical data classification that has not been reviewed and approved by OMB;</w:t>
      </w:r>
    </w:p>
    <w:p w14:paraId="49765757" w14:textId="77777777" w:rsidR="006E3562" w:rsidRPr="0008336E" w:rsidRDefault="006E3562" w:rsidP="003B2904">
      <w:pPr>
        <w:pStyle w:val="N1-1stBullet"/>
        <w:spacing w:line="240" w:lineRule="auto"/>
      </w:pPr>
      <w:r w:rsidRPr="0008336E">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C018470" w14:textId="77777777" w:rsidR="006E3562" w:rsidRPr="0008336E" w:rsidRDefault="006E3562" w:rsidP="003B2904">
      <w:pPr>
        <w:pStyle w:val="N1-1stBullet"/>
        <w:spacing w:line="240" w:lineRule="auto"/>
      </w:pPr>
      <w:r w:rsidRPr="0008336E">
        <w:t>Requiring respondents to submit proprietary trade secret, or other confidential information unless the agency can demonstrate that it has instituted procedures to protect the information</w:t>
      </w:r>
      <w:r w:rsidR="001D29F8">
        <w:t>’</w:t>
      </w:r>
      <w:r w:rsidRPr="0008336E">
        <w:t>s confidentiality to the extent permitted by law.</w:t>
      </w:r>
    </w:p>
    <w:p w14:paraId="4142A2BD" w14:textId="6D6B8DCF" w:rsidR="001D29F8" w:rsidRDefault="006E3562" w:rsidP="00533B5E">
      <w:pPr>
        <w:pStyle w:val="P1-StandPara"/>
      </w:pPr>
      <w:r w:rsidRPr="006E3562">
        <w:t xml:space="preserve">The </w:t>
      </w:r>
      <w:r w:rsidR="005932C3">
        <w:t xml:space="preserve">collection of information is conducted in a manner consistent with the guidelines in </w:t>
      </w:r>
      <w:r w:rsidR="005457EB">
        <w:t xml:space="preserve">5 CFR 1320.5. </w:t>
      </w:r>
      <w:r w:rsidRPr="006E3562">
        <w:t>None of the special circumstances listed are applicable to this data collection effort.</w:t>
      </w:r>
    </w:p>
    <w:p w14:paraId="40879D9E" w14:textId="15166E53" w:rsidR="009A1107" w:rsidRPr="006E3562" w:rsidRDefault="009A1107" w:rsidP="00C116D0">
      <w:pPr>
        <w:pStyle w:val="Heading2"/>
        <w:ind w:left="720" w:hanging="720"/>
      </w:pPr>
      <w:r w:rsidRPr="006E3562">
        <w:t>8.</w:t>
      </w:r>
      <w:r w:rsidRPr="006E3562">
        <w:tab/>
        <w:t xml:space="preserve">Comments to the </w:t>
      </w:r>
      <w:r w:rsidRPr="006E3562">
        <w:rPr>
          <w:i/>
        </w:rPr>
        <w:t>Federal Register</w:t>
      </w:r>
      <w:r w:rsidRPr="006E3562">
        <w:t xml:space="preserve"> Notice and Efforts for Consultation</w:t>
      </w:r>
    </w:p>
    <w:p w14:paraId="2DB68EBE" w14:textId="77777777" w:rsidR="009A1107" w:rsidRPr="006E3562" w:rsidRDefault="009A1107" w:rsidP="009A1107">
      <w:pPr>
        <w:pStyle w:val="Heading5"/>
      </w:pPr>
      <w:r>
        <w:tab/>
      </w:r>
      <w:r w:rsidRPr="006E3562">
        <w:t xml:space="preserve">If applicable, provide a copy and identify the date and page number of publication in the </w:t>
      </w:r>
      <w:r w:rsidRPr="009275D2">
        <w:rPr>
          <w:i w:val="0"/>
        </w:rPr>
        <w:t>Federal Register</w:t>
      </w:r>
      <w:r w:rsidRPr="006E3562">
        <w:t xml:space="preserve"> of the agency</w:t>
      </w:r>
      <w:r>
        <w:t>’</w:t>
      </w:r>
      <w:r w:rsidRPr="006E3562">
        <w:t>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06BC75C" w14:textId="1C2D2EA7" w:rsidR="009A1107" w:rsidRDefault="009A1107" w:rsidP="009A1107">
      <w:pPr>
        <w:pStyle w:val="Heading5"/>
      </w:pPr>
      <w:r>
        <w:tab/>
      </w:r>
      <w:r w:rsidRPr="006E3562">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70AA510" w14:textId="77777777" w:rsidR="006E3562" w:rsidRPr="006E3562" w:rsidRDefault="00155C59" w:rsidP="00155C59">
      <w:pPr>
        <w:pStyle w:val="Heading5"/>
      </w:pPr>
      <w:r>
        <w:tab/>
      </w:r>
      <w:r w:rsidR="006E3562" w:rsidRPr="006E3562">
        <w:t>Consultation with representatives of those from whom information is to be obtained or those who must compile records should occur at least every 3 years even if the collection of information activity is the same as in prior years. There may be circumstances that may preclude consultation in a specific situation. These circumstances should be explained.</w:t>
      </w:r>
    </w:p>
    <w:p w14:paraId="5E6B0DBC" w14:textId="3267B56B" w:rsidR="001D29F8" w:rsidRDefault="006D6177" w:rsidP="00533B5E">
      <w:pPr>
        <w:pStyle w:val="P1-StandPara"/>
      </w:pPr>
      <w:r>
        <w:t xml:space="preserve">A notice was published in the </w:t>
      </w:r>
      <w:r w:rsidRPr="009275D2">
        <w:rPr>
          <w:i/>
        </w:rPr>
        <w:t>Federal Register</w:t>
      </w:r>
      <w:r>
        <w:t xml:space="preserve"> on</w:t>
      </w:r>
      <w:r w:rsidR="00AB7DD1">
        <w:t xml:space="preserve"> </w:t>
      </w:r>
      <w:r w:rsidR="00D20655">
        <w:t>August 10, 2016, Volume 81, Number 154, Pages 52814</w:t>
      </w:r>
      <w:r w:rsidR="00FC0F46">
        <w:rPr>
          <w:rFonts w:ascii="Calibri" w:hAnsi="Calibri"/>
        </w:rPr>
        <w:t>‒</w:t>
      </w:r>
      <w:r w:rsidR="00156378">
        <w:t>52819</w:t>
      </w:r>
      <w:r w:rsidR="00AB7DD1" w:rsidRPr="00572C11">
        <w:t>.</w:t>
      </w:r>
      <w:r w:rsidR="00B37ED7">
        <w:t xml:space="preserve"> </w:t>
      </w:r>
      <w:r w:rsidRPr="00726B0C">
        <w:t>The public comment period ended on</w:t>
      </w:r>
      <w:r w:rsidR="00AB7DD1" w:rsidRPr="00726B0C">
        <w:t xml:space="preserve"> </w:t>
      </w:r>
      <w:r w:rsidR="00593C1A">
        <w:t>October 11</w:t>
      </w:r>
      <w:r w:rsidR="00F3117E">
        <w:t>, 2016.</w:t>
      </w:r>
      <w:r w:rsidR="000C3FC2">
        <w:t xml:space="preserve"> </w:t>
      </w:r>
      <w:r w:rsidR="00594598">
        <w:t xml:space="preserve"> </w:t>
      </w:r>
      <w:r w:rsidR="003C460C">
        <w:t xml:space="preserve">The </w:t>
      </w:r>
      <w:r w:rsidR="00594598">
        <w:t xml:space="preserve">two </w:t>
      </w:r>
      <w:r w:rsidR="003C460C">
        <w:t>public comments</w:t>
      </w:r>
      <w:r w:rsidR="00594598">
        <w:t xml:space="preserve"> received</w:t>
      </w:r>
      <w:r w:rsidR="003C460C">
        <w:t xml:space="preserve">, detailed in </w:t>
      </w:r>
      <w:r w:rsidR="00594598">
        <w:t xml:space="preserve">Appendices </w:t>
      </w:r>
      <w:r w:rsidR="003C460C">
        <w:t>E</w:t>
      </w:r>
      <w:r w:rsidR="00594598">
        <w:t>1 and E2</w:t>
      </w:r>
      <w:r w:rsidR="003C460C">
        <w:t xml:space="preserve">, were related to </w:t>
      </w:r>
      <w:r w:rsidR="00C73EF0">
        <w:t>(</w:t>
      </w:r>
      <w:r w:rsidR="003C460C">
        <w:t>a)</w:t>
      </w:r>
      <w:r w:rsidR="003B2904">
        <w:t xml:space="preserve"> </w:t>
      </w:r>
      <w:r w:rsidR="003C460C">
        <w:t xml:space="preserve">data collection methods to reduce burden; </w:t>
      </w:r>
      <w:r w:rsidR="00C73EF0">
        <w:t>(</w:t>
      </w:r>
      <w:r w:rsidR="003C460C">
        <w:t>b)</w:t>
      </w:r>
      <w:r w:rsidR="003B2904">
        <w:t xml:space="preserve"> </w:t>
      </w:r>
      <w:r w:rsidR="003C460C">
        <w:t xml:space="preserve">special considerations for the study such as meal pattern requirements and CEP; and </w:t>
      </w:r>
      <w:r w:rsidR="00C73EF0">
        <w:t>(</w:t>
      </w:r>
      <w:r w:rsidR="003C460C">
        <w:t>c) estimat</w:t>
      </w:r>
      <w:r w:rsidR="0026616E">
        <w:t xml:space="preserve">ing </w:t>
      </w:r>
      <w:r w:rsidR="003C460C">
        <w:t xml:space="preserve">State and </w:t>
      </w:r>
      <w:r w:rsidR="00521191">
        <w:t>national errors</w:t>
      </w:r>
      <w:r w:rsidR="003C460C">
        <w:t xml:space="preserve">. </w:t>
      </w:r>
      <w:r w:rsidR="00A647FC">
        <w:t>FNS</w:t>
      </w:r>
      <w:r w:rsidR="001D29F8">
        <w:t>’</w:t>
      </w:r>
      <w:r w:rsidR="00521191">
        <w:t>s</w:t>
      </w:r>
      <w:r w:rsidR="00A647FC">
        <w:t xml:space="preserve"> </w:t>
      </w:r>
      <w:r w:rsidR="0049145A">
        <w:t>response, detailed in Appendices</w:t>
      </w:r>
      <w:r w:rsidR="00BB564B">
        <w:t xml:space="preserve"> F</w:t>
      </w:r>
      <w:r w:rsidR="0049145A">
        <w:t>1 and F2</w:t>
      </w:r>
      <w:r w:rsidR="00A647FC">
        <w:t xml:space="preserve">, included </w:t>
      </w:r>
      <w:r w:rsidR="00C73EF0">
        <w:t>(</w:t>
      </w:r>
      <w:r w:rsidR="00A647FC">
        <w:t>a)</w:t>
      </w:r>
      <w:r w:rsidR="003B2904">
        <w:t xml:space="preserve"> </w:t>
      </w:r>
      <w:r w:rsidR="00A647FC">
        <w:t>description</w:t>
      </w:r>
      <w:r w:rsidR="00521191">
        <w:t>-</w:t>
      </w:r>
      <w:r w:rsidR="00A647FC">
        <w:t xml:space="preserve">specific approaches implemented to streamline the process for SFAs and schools to minimize their burden; </w:t>
      </w:r>
      <w:r w:rsidR="00C73EF0">
        <w:t>(</w:t>
      </w:r>
      <w:r w:rsidR="00A647FC">
        <w:t>b)</w:t>
      </w:r>
      <w:r w:rsidR="003B2904">
        <w:t xml:space="preserve"> </w:t>
      </w:r>
      <w:r w:rsidR="00A647FC">
        <w:t xml:space="preserve">enhancements to the APEC III design to incorporate special considerations for NSLP and SBP; and </w:t>
      </w:r>
      <w:r w:rsidR="00C73EF0">
        <w:t>(</w:t>
      </w:r>
      <w:r w:rsidR="00A647FC">
        <w:t>c)</w:t>
      </w:r>
      <w:r w:rsidR="003B2904">
        <w:t xml:space="preserve"> </w:t>
      </w:r>
      <w:r w:rsidR="00521191">
        <w:t xml:space="preserve">an </w:t>
      </w:r>
      <w:r w:rsidR="00A647FC">
        <w:t>explanation that supplemental modeling techniques will be added to the data analysis plan.</w:t>
      </w:r>
    </w:p>
    <w:p w14:paraId="4BFAC49B" w14:textId="51B3E93D" w:rsidR="001D29F8" w:rsidRDefault="00B501AD" w:rsidP="00533B5E">
      <w:pPr>
        <w:pStyle w:val="P1-StandPara"/>
      </w:pPr>
      <w:r>
        <w:t>The research team is supplemen</w:t>
      </w:r>
      <w:r w:rsidR="00BB564B">
        <w:t xml:space="preserve">ted with technical advisors, </w:t>
      </w:r>
      <w:r>
        <w:t>survey methodologists and sampling experts.</w:t>
      </w:r>
      <w:r w:rsidR="001D29F8">
        <w:t xml:space="preserve"> </w:t>
      </w:r>
      <w:r>
        <w:t>In addition, c</w:t>
      </w:r>
      <w:r w:rsidR="006E3562" w:rsidRPr="006E3562">
        <w:t>onsultations about the research design, sample design, data sources and needs, and study reports occurred during the study</w:t>
      </w:r>
      <w:r w:rsidR="001D29F8">
        <w:t>’</w:t>
      </w:r>
      <w:r w:rsidR="006E3562" w:rsidRPr="006E3562">
        <w:t xml:space="preserve">s </w:t>
      </w:r>
      <w:r w:rsidR="004C19C2">
        <w:t xml:space="preserve">planning and </w:t>
      </w:r>
      <w:r w:rsidR="006E3562" w:rsidRPr="006E3562">
        <w:t>design phase</w:t>
      </w:r>
      <w:r w:rsidR="000A61E0">
        <w:t>,</w:t>
      </w:r>
      <w:r w:rsidR="006E3562" w:rsidRPr="006E3562">
        <w:t xml:space="preserve"> and will continue throughout the study. The purpose of these consultations is to ensure the technical soundness of the study and the relevance of its findings and to verify the importance, relevance, and accessibility of the information sought in the study.</w:t>
      </w:r>
      <w:r w:rsidR="00B92035">
        <w:t xml:space="preserve"> </w:t>
      </w:r>
      <w:r w:rsidR="00085CAD">
        <w:t xml:space="preserve"> </w:t>
      </w:r>
      <w:bookmarkStart w:id="45" w:name="_Toc316309691"/>
      <w:bookmarkStart w:id="46" w:name="_Toc316311778"/>
      <w:bookmarkStart w:id="47" w:name="_Toc318291768"/>
      <w:bookmarkStart w:id="48" w:name="_Toc318292452"/>
      <w:bookmarkStart w:id="49" w:name="_Toc409608441"/>
      <w:r w:rsidR="00D94F64" w:rsidRPr="00D94F64">
        <w:t xml:space="preserve">Other individuals outside the </w:t>
      </w:r>
      <w:r w:rsidR="0033459C">
        <w:t xml:space="preserve">research team </w:t>
      </w:r>
      <w:r w:rsidR="00D94F64">
        <w:t xml:space="preserve"> who</w:t>
      </w:r>
      <w:r w:rsidR="00D94F64" w:rsidRPr="00D94F64">
        <w:t xml:space="preserve"> reviewed and commented upon key documents </w:t>
      </w:r>
      <w:r w:rsidR="00D94F64">
        <w:t>produced by the study include</w:t>
      </w:r>
      <w:r w:rsidR="00D94F64" w:rsidRPr="00D94F64">
        <w:t xml:space="preserve"> Jen</w:t>
      </w:r>
      <w:r w:rsidR="00D94F64">
        <w:t>nifer Rhorer, 202-720-2616,</w:t>
      </w:r>
      <w:r w:rsidR="00D94F64" w:rsidRPr="00D94F64">
        <w:t xml:space="preserve"> National Agricultural Statistics Se</w:t>
      </w:r>
      <w:r w:rsidR="00D94F64">
        <w:t>rvice (NASS), Methods Division.</w:t>
      </w:r>
      <w:r w:rsidR="00D94F64" w:rsidRPr="00D94F64">
        <w:t xml:space="preserve"> </w:t>
      </w:r>
      <w:r w:rsidR="006E5096">
        <w:t>Appendix G provid</w:t>
      </w:r>
      <w:r w:rsidR="00D94F64">
        <w:t xml:space="preserve">es a summary of NASS comments. </w:t>
      </w:r>
      <w:r w:rsidR="006E5096">
        <w:t>Appendix H provides the response to NASS comments</w:t>
      </w:r>
      <w:r w:rsidR="00DA62DB">
        <w:t>.</w:t>
      </w:r>
    </w:p>
    <w:p w14:paraId="6E5549F2" w14:textId="77777777" w:rsidR="006E3562" w:rsidRPr="006E3562" w:rsidRDefault="006E3562" w:rsidP="008B6333">
      <w:pPr>
        <w:pStyle w:val="Heading2"/>
      </w:pPr>
      <w:r w:rsidRPr="006E3562">
        <w:t>9.</w:t>
      </w:r>
      <w:r w:rsidRPr="006E3562">
        <w:tab/>
        <w:t>Explanation of Any Decisions to Provide Any Payment or Gift to Respondents</w:t>
      </w:r>
      <w:bookmarkEnd w:id="45"/>
      <w:bookmarkEnd w:id="46"/>
      <w:bookmarkEnd w:id="47"/>
      <w:bookmarkEnd w:id="48"/>
      <w:bookmarkEnd w:id="49"/>
    </w:p>
    <w:p w14:paraId="5902A85F" w14:textId="77777777" w:rsidR="001D29F8" w:rsidRDefault="00155C59" w:rsidP="00155C59">
      <w:pPr>
        <w:pStyle w:val="Heading5"/>
      </w:pPr>
      <w:r>
        <w:tab/>
      </w:r>
      <w:r w:rsidR="006E3562" w:rsidRPr="006E3562">
        <w:t>Explain any decision to provide any payment or gift to respondents, other than remuneration of contractors or grantees.</w:t>
      </w:r>
    </w:p>
    <w:p w14:paraId="56022E3C" w14:textId="77777777" w:rsidR="001D29F8" w:rsidRDefault="00D3363B" w:rsidP="00533B5E">
      <w:pPr>
        <w:pStyle w:val="P1-StandPara"/>
      </w:pPr>
      <w:r>
        <w:t xml:space="preserve">The household survey will include questions of a </w:t>
      </w:r>
      <w:r w:rsidR="00BF3E5E">
        <w:t>sensitive nature</w:t>
      </w:r>
      <w:r w:rsidR="001D29F8">
        <w:t xml:space="preserve"> </w:t>
      </w:r>
      <w:r w:rsidR="00BF3E5E">
        <w:t xml:space="preserve">(income related), </w:t>
      </w:r>
      <w:r w:rsidR="00521191">
        <w:t xml:space="preserve">including a </w:t>
      </w:r>
      <w:r w:rsidR="00BF3E5E">
        <w:t xml:space="preserve">request for documentation of income, and </w:t>
      </w:r>
      <w:r>
        <w:t xml:space="preserve">will take place in </w:t>
      </w:r>
      <w:r w:rsidR="007D297C">
        <w:t>respondents’</w:t>
      </w:r>
      <w:r>
        <w:t xml:space="preserve"> homes</w:t>
      </w:r>
      <w:r w:rsidR="00DA670D">
        <w:t>.</w:t>
      </w:r>
      <w:r w:rsidR="001D29F8">
        <w:t xml:space="preserve"> </w:t>
      </w:r>
      <w:r w:rsidR="00DA670D">
        <w:t xml:space="preserve">For this reason, </w:t>
      </w:r>
      <w:r w:rsidR="00D75707">
        <w:t xml:space="preserve">FNS is requesting the use of </w:t>
      </w:r>
      <w:r w:rsidR="00BF3E5E">
        <w:t>incentives to household members (i.e.</w:t>
      </w:r>
      <w:r w:rsidR="00521191">
        <w:t>,</w:t>
      </w:r>
      <w:r w:rsidR="00BF3E5E">
        <w:t xml:space="preserve"> parents/guardians).</w:t>
      </w:r>
      <w:r w:rsidR="00BF3E5E">
        <w:rPr>
          <w:rStyle w:val="FootnoteReference"/>
          <w:szCs w:val="24"/>
        </w:rPr>
        <w:footnoteReference w:id="13"/>
      </w:r>
      <w:r w:rsidR="00D75707">
        <w:t xml:space="preserve"> </w:t>
      </w:r>
      <w:r w:rsidR="00E224FC">
        <w:t>P</w:t>
      </w:r>
      <w:r w:rsidR="00D75707">
        <w:t>roviding survey participants with a monetary incentive reduces nonresponse bias and improves survey representativeness</w:t>
      </w:r>
      <w:r w:rsidR="004C01A7">
        <w:rPr>
          <w:rFonts w:cs="CJPCAL+TimesNewRoman"/>
        </w:rPr>
        <w:t>.</w:t>
      </w:r>
      <w:r w:rsidR="00D75707">
        <w:rPr>
          <w:rStyle w:val="FootnoteReference"/>
        </w:rPr>
        <w:footnoteReference w:id="14"/>
      </w:r>
      <w:r w:rsidR="00D75707" w:rsidRPr="00281DF3">
        <w:rPr>
          <w:vertAlign w:val="superscript"/>
        </w:rPr>
        <w:t>,</w:t>
      </w:r>
      <w:r w:rsidR="00D75707">
        <w:rPr>
          <w:rStyle w:val="FootnoteReference"/>
        </w:rPr>
        <w:footnoteReference w:id="15"/>
      </w:r>
      <w:r w:rsidR="00D75707">
        <w:rPr>
          <w:vertAlign w:val="superscript"/>
        </w:rPr>
        <w:t>,</w:t>
      </w:r>
      <w:r w:rsidR="00D75707">
        <w:rPr>
          <w:rStyle w:val="FootnoteReference"/>
        </w:rPr>
        <w:footnoteReference w:id="16"/>
      </w:r>
      <w:r w:rsidR="00D75707" w:rsidRPr="00B4742F">
        <w:rPr>
          <w:rFonts w:cs="CJPCAL+TimesNewRoman"/>
        </w:rPr>
        <w:t xml:space="preserve"> </w:t>
      </w:r>
      <w:r w:rsidR="00C12BF3">
        <w:rPr>
          <w:rFonts w:cs="CJPCAL+TimesNewRoman"/>
        </w:rPr>
        <w:t xml:space="preserve">Given the sensitive nature of the survey </w:t>
      </w:r>
      <w:r w:rsidR="002A62A2">
        <w:rPr>
          <w:rFonts w:cs="CJPCAL+TimesNewRoman"/>
        </w:rPr>
        <w:t xml:space="preserve">questions </w:t>
      </w:r>
      <w:r w:rsidR="00C12BF3">
        <w:rPr>
          <w:rFonts w:cs="CJPCAL+TimesNewRoman"/>
        </w:rPr>
        <w:t>and the time required in participants</w:t>
      </w:r>
      <w:r w:rsidR="001D29F8">
        <w:rPr>
          <w:rFonts w:cs="CJPCAL+TimesNewRoman"/>
        </w:rPr>
        <w:t>’</w:t>
      </w:r>
      <w:r w:rsidR="00C12BF3">
        <w:rPr>
          <w:rFonts w:cs="CJPCAL+TimesNewRoman"/>
        </w:rPr>
        <w:t xml:space="preserve"> home</w:t>
      </w:r>
      <w:r w:rsidR="00C6519A">
        <w:rPr>
          <w:rFonts w:cs="CJPCAL+TimesNewRoman"/>
        </w:rPr>
        <w:t>s</w:t>
      </w:r>
      <w:r w:rsidR="00C12BF3">
        <w:rPr>
          <w:rFonts w:cs="CJPCAL+TimesNewRoman"/>
        </w:rPr>
        <w:t>, incentives will be essential for minimizing nonresponse and ensuring that there are non-meaningful differences between respondents and nonrespondents. Finally,</w:t>
      </w:r>
      <w:r w:rsidR="001D29F8">
        <w:rPr>
          <w:rFonts w:cs="CJPCAL+TimesNewRoman"/>
        </w:rPr>
        <w:t xml:space="preserve"> </w:t>
      </w:r>
      <w:r w:rsidR="00D75707">
        <w:rPr>
          <w:rFonts w:cs="CJPCAL+TimesNewRoman"/>
        </w:rPr>
        <w:t>incentives improve survey response rates</w:t>
      </w:r>
      <w:r w:rsidR="00C12BF3">
        <w:rPr>
          <w:rFonts w:cs="CJPCAL+TimesNewRoman"/>
        </w:rPr>
        <w:t>, which in turn reduce nonresponse bias</w:t>
      </w:r>
      <w:r w:rsidR="00D75707">
        <w:rPr>
          <w:rFonts w:cs="CJPCAL+TimesNewRoman"/>
        </w:rPr>
        <w:t xml:space="preserve">. Having an adequate number of completed surveys is essential </w:t>
      </w:r>
      <w:r w:rsidR="00D75707">
        <w:t>to detect statistically significant differences.</w:t>
      </w:r>
      <w:r w:rsidR="0012226A">
        <w:rPr>
          <w:rFonts w:cs="CJPCAL+TimesNewRoman"/>
        </w:rPr>
        <w:t xml:space="preserve"> Incentives are a</w:t>
      </w:r>
      <w:r w:rsidR="00D75707">
        <w:rPr>
          <w:rFonts w:cs="CJPCAL+TimesNewRoman"/>
        </w:rPr>
        <w:t xml:space="preserve"> </w:t>
      </w:r>
      <w:r w:rsidR="0012226A">
        <w:rPr>
          <w:rFonts w:cs="CJPCAL+TimesNewRoman"/>
        </w:rPr>
        <w:t xml:space="preserve">key </w:t>
      </w:r>
      <w:r w:rsidR="00D75707">
        <w:rPr>
          <w:rFonts w:cs="CJPCAL+TimesNewRoman"/>
        </w:rPr>
        <w:t>component of multi-pronged approaches used to minimize nonresponse bias</w:t>
      </w:r>
      <w:r w:rsidR="001D29F8">
        <w:rPr>
          <w:rFonts w:cs="CJPCAL+TimesNewRoman"/>
        </w:rPr>
        <w:t xml:space="preserve"> </w:t>
      </w:r>
      <w:r w:rsidR="00D75707">
        <w:t>and time to achieve completion rates without affecting data quality</w:t>
      </w:r>
      <w:r w:rsidR="004C01A7">
        <w:t>.</w:t>
      </w:r>
      <w:r w:rsidR="00D75707">
        <w:rPr>
          <w:rStyle w:val="FootnoteReference"/>
        </w:rPr>
        <w:footnoteReference w:id="17"/>
      </w:r>
    </w:p>
    <w:p w14:paraId="2CB498F4" w14:textId="2A497D15" w:rsidR="00C6519A" w:rsidRDefault="00C85F85" w:rsidP="00533B5E">
      <w:pPr>
        <w:pStyle w:val="P1-StandPara"/>
      </w:pPr>
      <w:r>
        <w:t xml:space="preserve">FNS is proposing </w:t>
      </w:r>
      <w:r w:rsidR="006E3562" w:rsidRPr="006E3562">
        <w:t xml:space="preserve">to offer financial </w:t>
      </w:r>
      <w:r w:rsidR="001D33A5">
        <w:t xml:space="preserve">incentives </w:t>
      </w:r>
      <w:r w:rsidR="004B7CF5">
        <w:t xml:space="preserve">of </w:t>
      </w:r>
      <w:r w:rsidR="002D66DC">
        <w:t xml:space="preserve">$30 or </w:t>
      </w:r>
      <w:r w:rsidR="00271743">
        <w:t>$50</w:t>
      </w:r>
      <w:r w:rsidR="002D66DC">
        <w:t xml:space="preserve"> </w:t>
      </w:r>
      <w:r w:rsidR="00B645BF">
        <w:t xml:space="preserve">(depending on level of participation) </w:t>
      </w:r>
      <w:r w:rsidR="002D66DC">
        <w:t>for completing the in-person household survey component of the study</w:t>
      </w:r>
      <w:r w:rsidR="004D380D">
        <w:t xml:space="preserve">. </w:t>
      </w:r>
      <w:r w:rsidR="00736A85">
        <w:t xml:space="preserve">All respondents completing the </w:t>
      </w:r>
      <w:r w:rsidR="004436B8">
        <w:t>in</w:t>
      </w:r>
      <w:r w:rsidR="00EC5D0B">
        <w:t>-</w:t>
      </w:r>
      <w:r w:rsidR="004436B8">
        <w:t xml:space="preserve">person </w:t>
      </w:r>
      <w:r w:rsidR="00037B1E">
        <w:t>h</w:t>
      </w:r>
      <w:r w:rsidR="00ED5AC2">
        <w:t xml:space="preserve">ousehold survey would be </w:t>
      </w:r>
      <w:r w:rsidR="002B2985">
        <w:t>provided $30. R</w:t>
      </w:r>
      <w:r w:rsidR="00ED5AC2">
        <w:t xml:space="preserve">espondents who </w:t>
      </w:r>
      <w:r w:rsidR="00170212">
        <w:t xml:space="preserve">also </w:t>
      </w:r>
      <w:r w:rsidR="002B2985">
        <w:t xml:space="preserve">obtain and </w:t>
      </w:r>
      <w:r w:rsidR="00ED5AC2">
        <w:t xml:space="preserve">provide documents </w:t>
      </w:r>
      <w:r w:rsidR="00B740CE">
        <w:t>to verify</w:t>
      </w:r>
      <w:r w:rsidR="00ED5AC2">
        <w:t xml:space="preserve"> income </w:t>
      </w:r>
      <w:r w:rsidR="00E468F1">
        <w:t xml:space="preserve">during the household survey </w:t>
      </w:r>
      <w:r w:rsidR="002B2985">
        <w:t xml:space="preserve">will receive an additional </w:t>
      </w:r>
      <w:r w:rsidR="00ED5AC2">
        <w:t>$20</w:t>
      </w:r>
      <w:r w:rsidR="00E468F1">
        <w:t>, for a total of $50</w:t>
      </w:r>
      <w:r w:rsidR="00CA1D66">
        <w:t>. T</w:t>
      </w:r>
      <w:r w:rsidR="00DA3FB0">
        <w:t xml:space="preserve">he lack of this documentation was a limitation from APEC II and a concern for the quality of the data. </w:t>
      </w:r>
      <w:r w:rsidR="00DA1000">
        <w:t xml:space="preserve">The additional $20 incentive is added to reflect the additional activity and level of effort for respondents of reviewing and completing the income worksheet in advance, and compiling the necessary documentation. </w:t>
      </w:r>
      <w:r w:rsidR="00564433">
        <w:t>In another meta-analysis of monetary incentives, Mercer and colleagues examined dose-response</w:t>
      </w:r>
      <w:r w:rsidR="00564433">
        <w:rPr>
          <w:rStyle w:val="FootnoteReference"/>
          <w:szCs w:val="24"/>
        </w:rPr>
        <w:footnoteReference w:id="18"/>
      </w:r>
      <w:r w:rsidR="00564433">
        <w:t xml:space="preserve"> analysis effects of increasing monetary incentive amounts on response rates.</w:t>
      </w:r>
      <w:r w:rsidR="00564433">
        <w:rPr>
          <w:rStyle w:val="FootnoteReference"/>
          <w:szCs w:val="24"/>
        </w:rPr>
        <w:footnoteReference w:id="19"/>
      </w:r>
      <w:r w:rsidR="00564433">
        <w:t xml:space="preserve"> They found a strong, nonlinear effect for increased response rates through increasing monetary incentive amounts. </w:t>
      </w:r>
    </w:p>
    <w:p w14:paraId="275C845C" w14:textId="45E5C634" w:rsidR="001D29F8" w:rsidRDefault="00037B1E" w:rsidP="00533B5E">
      <w:pPr>
        <w:pStyle w:val="P1-StandPara"/>
      </w:pPr>
      <w:r>
        <w:t>Respondents (sub-sample of 60) who are randomly selected for and complete the h</w:t>
      </w:r>
      <w:r w:rsidR="004B7CF5">
        <w:t xml:space="preserve">ousehold </w:t>
      </w:r>
      <w:r>
        <w:t>in</w:t>
      </w:r>
      <w:r w:rsidR="00EC5D0B">
        <w:t>-</w:t>
      </w:r>
      <w:r>
        <w:t xml:space="preserve">depth interview </w:t>
      </w:r>
      <w:r w:rsidR="004436B8">
        <w:t xml:space="preserve">by phone </w:t>
      </w:r>
      <w:r>
        <w:t>w</w:t>
      </w:r>
      <w:r w:rsidR="004B7CF5">
        <w:t xml:space="preserve">ill receive a separate $20 incentive. </w:t>
      </w:r>
      <w:r w:rsidR="00CA1D66">
        <w:t xml:space="preserve">All </w:t>
      </w:r>
      <w:r w:rsidR="009731BC">
        <w:t xml:space="preserve">incentives will be provided in the form of a </w:t>
      </w:r>
      <w:r>
        <w:t xml:space="preserve">Visa </w:t>
      </w:r>
      <w:r w:rsidR="009731BC">
        <w:t>gift card</w:t>
      </w:r>
      <w:r>
        <w:t>.</w:t>
      </w:r>
      <w:r w:rsidR="0087301B">
        <w:t xml:space="preserve"> The incentive amounts were calculated based </w:t>
      </w:r>
      <w:r w:rsidR="00DA1000">
        <w:t xml:space="preserve">on incentive amounts </w:t>
      </w:r>
      <w:r w:rsidR="009E2A14">
        <w:t xml:space="preserve">approved for </w:t>
      </w:r>
      <w:r w:rsidR="0087301B">
        <w:t xml:space="preserve">APEC </w:t>
      </w:r>
      <w:r w:rsidR="00DA1000">
        <w:t>II</w:t>
      </w:r>
      <w:r w:rsidR="00DA1000">
        <w:rPr>
          <w:rStyle w:val="FootnoteReference"/>
          <w:szCs w:val="24"/>
        </w:rPr>
        <w:footnoteReference w:id="20"/>
      </w:r>
      <w:r w:rsidR="0087301B">
        <w:t xml:space="preserve"> </w:t>
      </w:r>
      <w:r w:rsidR="00DA1000">
        <w:t>(</w:t>
      </w:r>
      <w:r w:rsidR="0087301B">
        <w:t>adjusted for inflation</w:t>
      </w:r>
      <w:r w:rsidR="000D33E0">
        <w:t xml:space="preserve"> and additional survey burden</w:t>
      </w:r>
      <w:r w:rsidR="00DA1000">
        <w:t>)</w:t>
      </w:r>
      <w:r w:rsidR="0087301B">
        <w:t xml:space="preserve">; </w:t>
      </w:r>
      <w:r w:rsidR="000A61E0">
        <w:t xml:space="preserve">and </w:t>
      </w:r>
      <w:r w:rsidR="0087301B">
        <w:t>the time and burden on respondents</w:t>
      </w:r>
      <w:r w:rsidR="003B2904">
        <w:t>’ in their home.</w:t>
      </w:r>
      <w:r w:rsidR="0087301B">
        <w:t xml:space="preserve"> There are no participation costs for the respondents.</w:t>
      </w:r>
    </w:p>
    <w:p w14:paraId="234E8E59" w14:textId="77777777" w:rsidR="006E3562" w:rsidRPr="006E3562" w:rsidRDefault="006E3562" w:rsidP="008B6333">
      <w:pPr>
        <w:pStyle w:val="Heading2"/>
      </w:pPr>
      <w:bookmarkStart w:id="50" w:name="_Toc316309692"/>
      <w:bookmarkStart w:id="51" w:name="_Toc316311779"/>
      <w:bookmarkStart w:id="52" w:name="_Toc318291769"/>
      <w:bookmarkStart w:id="53" w:name="_Toc318292453"/>
      <w:bookmarkStart w:id="54" w:name="_Toc409608442"/>
      <w:r w:rsidRPr="006E3562">
        <w:t>10.</w:t>
      </w:r>
      <w:r w:rsidRPr="006E3562">
        <w:tab/>
        <w:t>Assurances of Confidentiality Provided to Respondents</w:t>
      </w:r>
      <w:bookmarkEnd w:id="50"/>
      <w:bookmarkEnd w:id="51"/>
      <w:bookmarkEnd w:id="52"/>
      <w:bookmarkEnd w:id="53"/>
      <w:bookmarkEnd w:id="54"/>
    </w:p>
    <w:p w14:paraId="17B7A667" w14:textId="77777777" w:rsidR="006E3562" w:rsidRPr="006E3562" w:rsidRDefault="004E305E" w:rsidP="004E305E">
      <w:pPr>
        <w:pStyle w:val="Heading5"/>
      </w:pPr>
      <w:r>
        <w:tab/>
      </w:r>
      <w:r w:rsidR="006E3562" w:rsidRPr="006E3562">
        <w:t>Describe any assurance of confidentiality provided to respondents and the basis for the assurance in statute, regulation, or agency policy.</w:t>
      </w:r>
    </w:p>
    <w:p w14:paraId="7B778E7D" w14:textId="08A2685C" w:rsidR="001D29F8" w:rsidRDefault="00B627B2" w:rsidP="00533B5E">
      <w:pPr>
        <w:pStyle w:val="P1-StandPara"/>
      </w:pPr>
      <w:r>
        <w:t xml:space="preserve">The </w:t>
      </w:r>
      <w:r w:rsidR="00C9790E">
        <w:t xml:space="preserve">FNS </w:t>
      </w:r>
      <w:r>
        <w:t xml:space="preserve">complies with the Privacy Act of 1974 </w:t>
      </w:r>
      <w:r w:rsidRPr="006E3562">
        <w:t>(5 USC §552a)</w:t>
      </w:r>
      <w:r>
        <w:t>.</w:t>
      </w:r>
      <w:r w:rsidR="001D29F8">
        <w:t xml:space="preserve"> </w:t>
      </w:r>
      <w:r w:rsidR="006E3562" w:rsidRPr="006E3562">
        <w:t>Study participants will be subject to assurances as provided by the Privacy Act of 1974, which requires the safeguarding of individuals against invasion of privacy</w:t>
      </w:r>
      <w:r w:rsidR="00EF31EE">
        <w:t>. T</w:t>
      </w:r>
      <w:r w:rsidR="006E3562" w:rsidRPr="006E3562">
        <w:t xml:space="preserve">hese assurances will be documented in an informed consent form </w:t>
      </w:r>
      <w:r w:rsidR="006E3562" w:rsidRPr="00996CBA">
        <w:t xml:space="preserve">(Appendix </w:t>
      </w:r>
      <w:r w:rsidR="007746D3">
        <w:t xml:space="preserve">I1 </w:t>
      </w:r>
      <w:r w:rsidR="00F56934">
        <w:t xml:space="preserve">and </w:t>
      </w:r>
      <w:r w:rsidR="007746D3">
        <w:t>I</w:t>
      </w:r>
      <w:r w:rsidR="00321CB5">
        <w:t>2</w:t>
      </w:r>
      <w:r w:rsidR="006E3562" w:rsidRPr="00996CBA">
        <w:t>). In addition, all project staff</w:t>
      </w:r>
      <w:r w:rsidR="00996CBA">
        <w:t>, field data collectors,</w:t>
      </w:r>
      <w:r w:rsidR="006E3562" w:rsidRPr="00996CBA">
        <w:t xml:space="preserve"> and subcontractors </w:t>
      </w:r>
      <w:r w:rsidR="00CA1D66">
        <w:t>will/</w:t>
      </w:r>
      <w:r w:rsidR="006E3562" w:rsidRPr="00996CBA">
        <w:t>have sign</w:t>
      </w:r>
      <w:r>
        <w:t>(</w:t>
      </w:r>
      <w:r w:rsidR="006E3562" w:rsidRPr="00996CBA">
        <w:t>ed</w:t>
      </w:r>
      <w:r>
        <w:t>)</w:t>
      </w:r>
      <w:r w:rsidR="006E3562" w:rsidRPr="00996CBA">
        <w:t xml:space="preserve"> a </w:t>
      </w:r>
      <w:r w:rsidR="003702D5" w:rsidRPr="00996CBA">
        <w:t>Westat Confidentiality</w:t>
      </w:r>
      <w:r w:rsidR="006625FA" w:rsidRPr="00996CBA">
        <w:t xml:space="preserve"> </w:t>
      </w:r>
      <w:r w:rsidR="005457EB" w:rsidRPr="00996CBA">
        <w:t xml:space="preserve">Pledge </w:t>
      </w:r>
      <w:r w:rsidR="006625FA" w:rsidRPr="00996CBA">
        <w:t xml:space="preserve">(Appendix </w:t>
      </w:r>
      <w:r w:rsidR="007746D3">
        <w:t>J</w:t>
      </w:r>
      <w:r w:rsidR="006E3562" w:rsidRPr="00996CBA">
        <w:t xml:space="preserve">). </w:t>
      </w:r>
      <w:r w:rsidR="00481AFD" w:rsidRPr="00996CBA">
        <w:t>All procedures</w:t>
      </w:r>
      <w:r w:rsidR="00481AFD">
        <w:t xml:space="preserve"> planned for the study </w:t>
      </w:r>
      <w:r w:rsidR="006E3562" w:rsidRPr="006E3562">
        <w:t>will ensure the privacy and security of electronic data during the data collection and processing period</w:t>
      </w:r>
      <w:r w:rsidR="0059093F">
        <w:t xml:space="preserve">. </w:t>
      </w:r>
      <w:r w:rsidR="00BF3E5E">
        <w:t>FNS published a system of record</w:t>
      </w:r>
      <w:r>
        <w:t>s</w:t>
      </w:r>
      <w:r w:rsidR="00BF3E5E">
        <w:t xml:space="preserve"> notice (SORN) titled FNS-8 USDA/FNS Studies and Reports in the </w:t>
      </w:r>
      <w:r w:rsidR="00BF3E5E">
        <w:rPr>
          <w:i/>
        </w:rPr>
        <w:t>Federal Register</w:t>
      </w:r>
      <w:r w:rsidR="00BF3E5E">
        <w:t xml:space="preserve"> on April 25, 1991, volume 56, pages 19078</w:t>
      </w:r>
      <w:r w:rsidR="00A82142">
        <w:rPr>
          <w:rFonts w:ascii="Calibri" w:hAnsi="Calibri"/>
        </w:rPr>
        <w:t>‒</w:t>
      </w:r>
      <w:r w:rsidR="00BF3E5E">
        <w:t xml:space="preserve">19080, that discusses the terms of protections that will be provided to respondents. </w:t>
      </w:r>
      <w:r w:rsidR="006E3562" w:rsidRPr="006E3562">
        <w:t>Names and phone numbers will not be linked to participants</w:t>
      </w:r>
      <w:r w:rsidR="001D29F8">
        <w:t>’</w:t>
      </w:r>
      <w:r w:rsidR="006E3562" w:rsidRPr="006E3562">
        <w:t xml:space="preserve"> responses, survey respondents will have a unique ID number, and analys</w:t>
      </w:r>
      <w:r w:rsidR="000D0C4E">
        <w:t>e</w:t>
      </w:r>
      <w:r w:rsidR="006E3562" w:rsidRPr="006E3562">
        <w:t>s will be conducted on data sets that include only respondent ID numbers.</w:t>
      </w:r>
      <w:r w:rsidR="00AB7EEF">
        <w:t xml:space="preserve"> Finally</w:t>
      </w:r>
      <w:r w:rsidR="00D5595B">
        <w:t>,</w:t>
      </w:r>
      <w:r w:rsidR="00AB7EEF">
        <w:t xml:space="preserve"> a nondisclosure analysis </w:t>
      </w:r>
      <w:r w:rsidR="0060704B">
        <w:t xml:space="preserve">will be performed </w:t>
      </w:r>
      <w:r w:rsidR="00AB7EEF">
        <w:t>on each</w:t>
      </w:r>
      <w:r w:rsidR="00996CBA">
        <w:t xml:space="preserve"> of the files slated to become public u</w:t>
      </w:r>
      <w:r w:rsidR="00AB7EEF">
        <w:t>se files</w:t>
      </w:r>
      <w:r w:rsidR="00EC5D0B">
        <w:t>,</w:t>
      </w:r>
      <w:r w:rsidR="00AB7EEF">
        <w:t xml:space="preserve"> and the appropriate remedial actions</w:t>
      </w:r>
      <w:r>
        <w:t xml:space="preserve"> will be taken as necessary</w:t>
      </w:r>
      <w:r w:rsidR="00AB7EEF">
        <w:t>. I</w:t>
      </w:r>
      <w:r w:rsidR="00996CBA">
        <w:t>n addition, an initial r</w:t>
      </w:r>
      <w:r w:rsidR="00AB7EEF">
        <w:t xml:space="preserve">isk </w:t>
      </w:r>
      <w:r w:rsidR="00996CBA">
        <w:t>a</w:t>
      </w:r>
      <w:r w:rsidR="00AB7EEF">
        <w:t xml:space="preserve">nalysis </w:t>
      </w:r>
      <w:r w:rsidR="00736C29">
        <w:t xml:space="preserve">will be conducted </w:t>
      </w:r>
      <w:r w:rsidR="00AB7EEF">
        <w:t xml:space="preserve">by evaluating all the potential personal, geographic, and other identifiers in the files that could be disseminated using a rigorous step-by-step process. </w:t>
      </w:r>
      <w:r w:rsidR="00643B20">
        <w:t>The</w:t>
      </w:r>
      <w:r w:rsidR="00AB7EEF">
        <w:t xml:space="preserve"> outcomes and implications </w:t>
      </w:r>
      <w:r w:rsidR="00643B20">
        <w:t xml:space="preserve">will be summarized, and </w:t>
      </w:r>
      <w:r w:rsidR="00AB7EEF">
        <w:t>a disclosure mitigation plan</w:t>
      </w:r>
      <w:r w:rsidR="00643B20">
        <w:t xml:space="preserve"> will be</w:t>
      </w:r>
      <w:r w:rsidR="003A4600">
        <w:t xml:space="preserve"> developed.</w:t>
      </w:r>
    </w:p>
    <w:p w14:paraId="34A23FC8" w14:textId="50321A1D" w:rsidR="001D29F8" w:rsidRDefault="006E3562" w:rsidP="00533B5E">
      <w:pPr>
        <w:pStyle w:val="P1-StandPara"/>
      </w:pPr>
      <w:r w:rsidRPr="006E3562">
        <w:t>All collected data will be securely transmitted using closed and secure data transmission. Any hard</w:t>
      </w:r>
      <w:r w:rsidR="00EC5D0B">
        <w:t>-</w:t>
      </w:r>
      <w:r w:rsidRPr="006E3562">
        <w:t xml:space="preserve">copy materials will be stored in locked file cabinets. Electronic data can only be accessed using a logon routine with </w:t>
      </w:r>
      <w:r w:rsidR="006B3F3C" w:rsidRPr="006E3562">
        <w:t>approved</w:t>
      </w:r>
      <w:r w:rsidRPr="006E3562">
        <w:t xml:space="preserve"> user identification and </w:t>
      </w:r>
      <w:r w:rsidR="00414312">
        <w:t xml:space="preserve">a </w:t>
      </w:r>
      <w:r w:rsidR="00CA1D66">
        <w:t>strong password. A</w:t>
      </w:r>
      <w:r w:rsidRPr="006E3562">
        <w:t xml:space="preserve">ccess to records is limited to those persons who process the records for the specific uses stated in </w:t>
      </w:r>
      <w:r w:rsidR="00414312">
        <w:t>the</w:t>
      </w:r>
      <w:r w:rsidR="00414312" w:rsidRPr="006E3562">
        <w:t xml:space="preserve"> </w:t>
      </w:r>
      <w:r w:rsidRPr="006E3562">
        <w:t xml:space="preserve">Privacy Act notice. FNS does not have any connection to the personal data collected and will not handle any data containing identifying information. </w:t>
      </w:r>
      <w:r w:rsidR="003E2115">
        <w:t>The compiled report for FNS</w:t>
      </w:r>
      <w:r w:rsidR="003E2115" w:rsidRPr="006E3562">
        <w:t xml:space="preserve"> </w:t>
      </w:r>
      <w:r w:rsidR="00D82A0B">
        <w:t xml:space="preserve">(from the contractor) </w:t>
      </w:r>
      <w:r w:rsidR="003E2115">
        <w:t>will</w:t>
      </w:r>
      <w:r w:rsidR="003E2115" w:rsidRPr="006E3562">
        <w:t xml:space="preserve"> contain no personal information and </w:t>
      </w:r>
      <w:r w:rsidR="0059093F">
        <w:t>will be</w:t>
      </w:r>
      <w:r w:rsidR="0059093F" w:rsidRPr="006E3562">
        <w:t xml:space="preserve"> </w:t>
      </w:r>
      <w:r w:rsidR="003E2115" w:rsidRPr="006E3562">
        <w:t xml:space="preserve">publicly posted. </w:t>
      </w:r>
      <w:r w:rsidRPr="006E3562">
        <w:t>Data will be presented in aggregate statistical form only. Names and p</w:t>
      </w:r>
      <w:r w:rsidR="006625FA">
        <w:t>hone numbers will be destroyed two</w:t>
      </w:r>
      <w:r w:rsidRPr="006E3562">
        <w:t xml:space="preserve"> years after the completion of analysis and delivery of the contractual reports.</w:t>
      </w:r>
    </w:p>
    <w:p w14:paraId="4F75A490" w14:textId="4D2C7235" w:rsidR="001D29F8" w:rsidRDefault="006E3562" w:rsidP="00533B5E">
      <w:pPr>
        <w:pStyle w:val="P1-StandPara"/>
      </w:pPr>
      <w:r w:rsidRPr="006E3562">
        <w:t>Westat</w:t>
      </w:r>
      <w:r w:rsidR="001D29F8">
        <w:t>’</w:t>
      </w:r>
      <w:r w:rsidRPr="006E3562">
        <w:t xml:space="preserve">s Institutional Review Board (IRB) serves as the </w:t>
      </w:r>
      <w:r w:rsidR="001B0E41">
        <w:t>contractor</w:t>
      </w:r>
      <w:r w:rsidR="001D29F8">
        <w:t>’</w:t>
      </w:r>
      <w:r w:rsidR="001B0E41">
        <w:t>s</w:t>
      </w:r>
      <w:r w:rsidR="001B0E41" w:rsidRPr="006E3562">
        <w:t xml:space="preserve"> </w:t>
      </w:r>
      <w:r w:rsidRPr="006E3562">
        <w:t xml:space="preserve">administrative body </w:t>
      </w:r>
      <w:r w:rsidR="0084710C">
        <w:t>overseeing a</w:t>
      </w:r>
      <w:r w:rsidRPr="006E3562">
        <w:t>ll research involving human subjects</w:t>
      </w:r>
      <w:r w:rsidR="00C6124C">
        <w:t>.</w:t>
      </w:r>
      <w:r w:rsidRPr="006E3562">
        <w:t xml:space="preserve"> Westat holds a </w:t>
      </w:r>
      <w:r w:rsidR="00C6519A">
        <w:t>F</w:t>
      </w:r>
      <w:r w:rsidRPr="006E3562">
        <w:t>ederal-</w:t>
      </w:r>
      <w:r w:rsidR="00C6519A">
        <w:t>W</w:t>
      </w:r>
      <w:r w:rsidRPr="006E3562">
        <w:t xml:space="preserve">ide </w:t>
      </w:r>
      <w:r w:rsidR="00C6519A">
        <w:t>A</w:t>
      </w:r>
      <w:r w:rsidRPr="006E3562">
        <w:t>ssurance (FWA) of compliance from the U.S. Department of Health and Human Services</w:t>
      </w:r>
      <w:r w:rsidR="001D29F8">
        <w:t>’</w:t>
      </w:r>
      <w:r w:rsidRPr="006E3562">
        <w:t xml:space="preserve"> Office of Human Research Protections (DHHS/OHRP</w:t>
      </w:r>
      <w:r w:rsidRPr="00996CBA">
        <w:t>)</w:t>
      </w:r>
      <w:r w:rsidR="003702D5" w:rsidRPr="00996CBA">
        <w:t xml:space="preserve"> (</w:t>
      </w:r>
      <w:r w:rsidR="00444975" w:rsidRPr="00996CBA">
        <w:t xml:space="preserve">Appendix </w:t>
      </w:r>
      <w:r w:rsidR="007746D3">
        <w:t>K</w:t>
      </w:r>
      <w:r w:rsidR="003702D5" w:rsidRPr="00996CBA">
        <w:t>)</w:t>
      </w:r>
      <w:r w:rsidRPr="00996CBA">
        <w:t>.</w:t>
      </w:r>
      <w:r w:rsidRPr="00D5595B">
        <w:t xml:space="preserve"> </w:t>
      </w:r>
      <w:r w:rsidR="00DD5F88">
        <w:t>The study protocol was submitted for review and approval in phase</w:t>
      </w:r>
      <w:r w:rsidR="00B37ED7">
        <w:t xml:space="preserve">s. </w:t>
      </w:r>
      <w:r w:rsidR="00DD5F88">
        <w:t>The initial submission was to obtain approval to conduct the cognit</w:t>
      </w:r>
      <w:r w:rsidR="00B37ED7">
        <w:t xml:space="preserve">ive testing of the instrument. </w:t>
      </w:r>
      <w:r w:rsidR="00DD5F88">
        <w:t>This approval was obtained on February 19, 2016.</w:t>
      </w:r>
      <w:r w:rsidR="001D29F8">
        <w:t xml:space="preserve"> </w:t>
      </w:r>
      <w:r w:rsidR="00DD5F88">
        <w:t>Subsequent submissions for the main study data collection and amendments to study materials were approved on August 8, 2016, August 9, 2016, and August 12, 2016</w:t>
      </w:r>
      <w:r w:rsidR="0084710C">
        <w:t xml:space="preserve"> (</w:t>
      </w:r>
      <w:r w:rsidR="00C6519A">
        <w:t xml:space="preserve">see </w:t>
      </w:r>
      <w:r w:rsidR="00301AB9">
        <w:t xml:space="preserve">Appendix </w:t>
      </w:r>
      <w:r w:rsidR="007746D3">
        <w:t>L</w:t>
      </w:r>
      <w:r w:rsidR="0084710C">
        <w:t>).</w:t>
      </w:r>
    </w:p>
    <w:p w14:paraId="6F36F809" w14:textId="77777777" w:rsidR="006E3562" w:rsidRPr="006E3562" w:rsidRDefault="006E3562" w:rsidP="008B6333">
      <w:pPr>
        <w:pStyle w:val="Heading2"/>
      </w:pPr>
      <w:bookmarkStart w:id="55" w:name="_Toc316309693"/>
      <w:bookmarkStart w:id="56" w:name="_Toc316311780"/>
      <w:bookmarkStart w:id="57" w:name="_Toc318291770"/>
      <w:bookmarkStart w:id="58" w:name="_Toc318292454"/>
      <w:bookmarkStart w:id="59" w:name="_Toc409608443"/>
      <w:r w:rsidRPr="006E3562">
        <w:t>11.</w:t>
      </w:r>
      <w:r w:rsidRPr="006E3562">
        <w:tab/>
        <w:t xml:space="preserve">Justification for </w:t>
      </w:r>
      <w:bookmarkEnd w:id="55"/>
      <w:bookmarkEnd w:id="56"/>
      <w:bookmarkEnd w:id="57"/>
      <w:bookmarkEnd w:id="58"/>
      <w:r w:rsidRPr="006E3562">
        <w:t>Any Questions of a Sensitive Nature</w:t>
      </w:r>
      <w:bookmarkEnd w:id="59"/>
    </w:p>
    <w:p w14:paraId="2AD6554D" w14:textId="77777777" w:rsidR="006E3562" w:rsidRPr="006E3562" w:rsidRDefault="004E305E" w:rsidP="004E305E">
      <w:pPr>
        <w:pStyle w:val="Heading5"/>
      </w:pPr>
      <w:r>
        <w:tab/>
      </w:r>
      <w:r w:rsidR="006E3562" w:rsidRPr="006E3562">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B933154" w14:textId="77777777" w:rsidR="006E3562" w:rsidRPr="006E3562" w:rsidRDefault="00C12829" w:rsidP="00533B5E">
      <w:pPr>
        <w:pStyle w:val="P1-StandPara"/>
      </w:pPr>
      <w:r>
        <w:t xml:space="preserve">The </w:t>
      </w:r>
      <w:r w:rsidR="00EC5D0B">
        <w:t>h</w:t>
      </w:r>
      <w:r w:rsidR="00447BA6">
        <w:t>ousehold</w:t>
      </w:r>
      <w:r w:rsidR="006E3562" w:rsidRPr="006E3562">
        <w:t xml:space="preserve"> survey includes </w:t>
      </w:r>
      <w:r w:rsidR="00FC0DD3">
        <w:t xml:space="preserve">sensitive </w:t>
      </w:r>
      <w:r w:rsidR="006E3562" w:rsidRPr="006E3562">
        <w:t xml:space="preserve">questions, including questions </w:t>
      </w:r>
      <w:r w:rsidR="00FC0DD3">
        <w:t>on</w:t>
      </w:r>
      <w:r w:rsidR="00FC0DD3" w:rsidRPr="006E3562">
        <w:t xml:space="preserve"> </w:t>
      </w:r>
      <w:r w:rsidR="006E3562" w:rsidRPr="006E3562">
        <w:t>demographics, household composition, income, and rec</w:t>
      </w:r>
      <w:r w:rsidR="00C6124C">
        <w:t>eipt of Federal or State public assistance.</w:t>
      </w:r>
      <w:r w:rsidR="00513851">
        <w:t xml:space="preserve"> The </w:t>
      </w:r>
      <w:r w:rsidR="00FC0DD3">
        <w:t>consent form</w:t>
      </w:r>
      <w:r w:rsidR="00C6519A">
        <w:t>s</w:t>
      </w:r>
      <w:r w:rsidR="00AA203F">
        <w:t xml:space="preserve"> (Appendix </w:t>
      </w:r>
      <w:r w:rsidR="00D63D5D">
        <w:t>I</w:t>
      </w:r>
      <w:r w:rsidR="00AA203F">
        <w:t xml:space="preserve">1 and </w:t>
      </w:r>
      <w:r w:rsidR="00D63D5D">
        <w:t>I</w:t>
      </w:r>
      <w:r w:rsidR="00AA203F">
        <w:t>2)</w:t>
      </w:r>
      <w:r w:rsidR="00FC0DD3">
        <w:t xml:space="preserve"> will inform </w:t>
      </w:r>
      <w:r w:rsidR="006E3562" w:rsidRPr="006E3562">
        <w:t xml:space="preserve">all respondents </w:t>
      </w:r>
      <w:r w:rsidR="00FC0DD3">
        <w:t xml:space="preserve">of their right to </w:t>
      </w:r>
      <w:r w:rsidR="006E3562" w:rsidRPr="006E3562">
        <w:t>decline to</w:t>
      </w:r>
      <w:r w:rsidR="00FC0DD3">
        <w:t xml:space="preserve"> participate or</w:t>
      </w:r>
      <w:r w:rsidR="00414312">
        <w:t xml:space="preserve"> </w:t>
      </w:r>
      <w:r w:rsidR="006E3562" w:rsidRPr="006E3562">
        <w:t xml:space="preserve">answer any question they do not wish to answer </w:t>
      </w:r>
      <w:r w:rsidR="00FC0DD3">
        <w:t xml:space="preserve">without </w:t>
      </w:r>
      <w:r w:rsidR="006E3562" w:rsidRPr="006E3562">
        <w:t xml:space="preserve">consequences. Similar </w:t>
      </w:r>
      <w:r w:rsidR="0059093F">
        <w:t xml:space="preserve">sensitive </w:t>
      </w:r>
      <w:r w:rsidR="006E3562" w:rsidRPr="006E3562">
        <w:t xml:space="preserve">questions were asked in the </w:t>
      </w:r>
      <w:r w:rsidR="00BE3BE3">
        <w:t xml:space="preserve">previous </w:t>
      </w:r>
      <w:r w:rsidR="006E3562" w:rsidRPr="006E3562">
        <w:t>APEC studies, with no evidence of harm</w:t>
      </w:r>
      <w:r w:rsidR="0059093F">
        <w:t xml:space="preserve"> to the respondents</w:t>
      </w:r>
      <w:r w:rsidR="006E3562" w:rsidRPr="006E3562">
        <w:t>.</w:t>
      </w:r>
      <w:r w:rsidR="005217EC">
        <w:t xml:space="preserve"> </w:t>
      </w:r>
      <w:r w:rsidR="0059093F">
        <w:t xml:space="preserve">Participating in </w:t>
      </w:r>
      <w:r w:rsidR="005217EC" w:rsidRPr="00E456C1">
        <w:t>th</w:t>
      </w:r>
      <w:r w:rsidR="0059093F">
        <w:t>is</w:t>
      </w:r>
      <w:r w:rsidR="005217EC" w:rsidRPr="00E456C1">
        <w:t xml:space="preserve"> study will not affect any USDA benefits received by programs or families</w:t>
      </w:r>
      <w:r w:rsidR="005217EC">
        <w:t>.</w:t>
      </w:r>
    </w:p>
    <w:p w14:paraId="58D852DC" w14:textId="6282405F" w:rsidR="006E3562" w:rsidRDefault="006E3562" w:rsidP="00533B5E">
      <w:pPr>
        <w:pStyle w:val="P1-StandPara"/>
      </w:pPr>
      <w:r w:rsidRPr="006E3562">
        <w:t xml:space="preserve">Questions </w:t>
      </w:r>
      <w:r w:rsidR="00FC0DD3">
        <w:t>on</w:t>
      </w:r>
      <w:r w:rsidR="00FC0DD3" w:rsidRPr="006E3562">
        <w:t xml:space="preserve"> </w:t>
      </w:r>
      <w:r w:rsidRPr="006E3562">
        <w:t>income and the receipt of public assistance are necessary to establish the family</w:t>
      </w:r>
      <w:r w:rsidR="001D29F8">
        <w:t>’</w:t>
      </w:r>
      <w:r w:rsidRPr="006E3562">
        <w:t xml:space="preserve">s actual eligibility </w:t>
      </w:r>
      <w:r w:rsidR="00447BA6">
        <w:t xml:space="preserve">for free </w:t>
      </w:r>
      <w:r w:rsidR="000D54E0">
        <w:t xml:space="preserve">or </w:t>
      </w:r>
      <w:r w:rsidR="00447BA6">
        <w:t>reduced-price NSLP</w:t>
      </w:r>
      <w:r w:rsidR="000D54E0">
        <w:t>/</w:t>
      </w:r>
      <w:r w:rsidR="00447BA6">
        <w:t>SBP</w:t>
      </w:r>
      <w:r w:rsidRPr="006E3562">
        <w:t xml:space="preserve"> meal benefits</w:t>
      </w:r>
      <w:r w:rsidR="00FC0DD3">
        <w:t xml:space="preserve"> and will be used </w:t>
      </w:r>
      <w:r w:rsidRPr="006E3562">
        <w:t>to estimate certification error and derive estimates of erroneous payments</w:t>
      </w:r>
      <w:r w:rsidR="0059093F">
        <w:t xml:space="preserve">, which are </w:t>
      </w:r>
      <w:r w:rsidR="002318B3">
        <w:t>key objectives of this study.</w:t>
      </w:r>
      <w:r w:rsidR="009E5BDD">
        <w:t xml:space="preserve"> </w:t>
      </w:r>
      <w:r w:rsidR="009E3D75">
        <w:t xml:space="preserve">The study letter, brochure, consent form, and </w:t>
      </w:r>
      <w:r w:rsidR="009E5BDD">
        <w:t xml:space="preserve">the data collector (using the </w:t>
      </w:r>
      <w:r w:rsidR="009E3D75">
        <w:t>recruitment call guide/protocol</w:t>
      </w:r>
      <w:r w:rsidR="009E5BDD">
        <w:t>)</w:t>
      </w:r>
      <w:r w:rsidR="009E3D75">
        <w:t xml:space="preserve"> will inform participants that their participation, and any information they provide, will not affect any benefits they are receiving.  </w:t>
      </w:r>
    </w:p>
    <w:p w14:paraId="19818029" w14:textId="2CED68B2" w:rsidR="00351EF9" w:rsidRDefault="00021A06" w:rsidP="00533B5E">
      <w:pPr>
        <w:pStyle w:val="P1-StandPara"/>
      </w:pPr>
      <w:r>
        <w:t xml:space="preserve">The data that will be obtained from the household survey </w:t>
      </w:r>
      <w:r w:rsidR="00C6519A">
        <w:t xml:space="preserve">are </w:t>
      </w:r>
      <w:r>
        <w:t>not accessible to FNS</w:t>
      </w:r>
      <w:r w:rsidR="003D42D9">
        <w:t>,</w:t>
      </w:r>
      <w:r>
        <w:t xml:space="preserve"> as </w:t>
      </w:r>
      <w:r w:rsidR="00C6519A">
        <w:t xml:space="preserve">the survey </w:t>
      </w:r>
      <w:r>
        <w:t>requires an independent and one-on-one review of respondents</w:t>
      </w:r>
      <w:r w:rsidR="001D29F8">
        <w:t>’</w:t>
      </w:r>
      <w:r>
        <w:t xml:space="preserve"> household information as reported on their income eligibility application to confirm their current eligibility status for free or reduced</w:t>
      </w:r>
      <w:r w:rsidR="003D42D9">
        <w:t>-</w:t>
      </w:r>
      <w:r>
        <w:t>priced meals.</w:t>
      </w:r>
      <w:r w:rsidR="001D29F8">
        <w:t xml:space="preserve"> </w:t>
      </w:r>
      <w:r w:rsidR="00A35D70">
        <w:t>The</w:t>
      </w:r>
      <w:r w:rsidR="000816A3">
        <w:t xml:space="preserve"> data that will be obtained from the SFAs and schools will be </w:t>
      </w:r>
      <w:r w:rsidR="00EA278C">
        <w:t xml:space="preserve">obtained from </w:t>
      </w:r>
      <w:r w:rsidR="000816A3">
        <w:t>existing records review.</w:t>
      </w:r>
    </w:p>
    <w:p w14:paraId="67714480" w14:textId="2D0A0D35" w:rsidR="00EE5587" w:rsidRPr="00F9359C" w:rsidRDefault="001D76F9" w:rsidP="00533B5E">
      <w:pPr>
        <w:pStyle w:val="P1-StandPara"/>
      </w:pPr>
      <w:r>
        <w:t>This</w:t>
      </w:r>
      <w:r w:rsidR="00454285">
        <w:t xml:space="preserve"> study will adhere to Westat</w:t>
      </w:r>
      <w:r w:rsidR="001D29F8">
        <w:t>’</w:t>
      </w:r>
      <w:r w:rsidR="00454285">
        <w:t xml:space="preserve">s Information Technology and Systems Security Policy and Best </w:t>
      </w:r>
      <w:r w:rsidR="00454285" w:rsidRPr="00D5595B">
        <w:t xml:space="preserve">Practices </w:t>
      </w:r>
      <w:r w:rsidR="002E0A6D" w:rsidRPr="003D38B3">
        <w:t>(</w:t>
      </w:r>
      <w:r w:rsidR="00454285" w:rsidRPr="003D38B3">
        <w:t xml:space="preserve">Appendix </w:t>
      </w:r>
      <w:r>
        <w:t>M</w:t>
      </w:r>
      <w:r w:rsidR="00454285" w:rsidRPr="003D38B3">
        <w:t>).</w:t>
      </w:r>
      <w:r w:rsidR="00B37ED7">
        <w:t xml:space="preserve"> </w:t>
      </w:r>
      <w:r w:rsidR="00EE5587">
        <w:t>These</w:t>
      </w:r>
      <w:r w:rsidR="00EE5587">
        <w:rPr>
          <w:spacing w:val="83"/>
          <w:w w:val="99"/>
        </w:rPr>
        <w:t xml:space="preserve"> </w:t>
      </w:r>
      <w:r w:rsidR="00EE5587">
        <w:t>protections</w:t>
      </w:r>
      <w:r w:rsidR="00EE5587">
        <w:rPr>
          <w:spacing w:val="-8"/>
        </w:rPr>
        <w:t xml:space="preserve"> </w:t>
      </w:r>
      <w:r w:rsidR="00EE5587">
        <w:t>include</w:t>
      </w:r>
      <w:r w:rsidR="00EE5587">
        <w:rPr>
          <w:spacing w:val="-5"/>
        </w:rPr>
        <w:t xml:space="preserve"> </w:t>
      </w:r>
      <w:r w:rsidR="00EE5587">
        <w:t>management</w:t>
      </w:r>
      <w:r w:rsidR="00EE5587">
        <w:rPr>
          <w:spacing w:val="-6"/>
        </w:rPr>
        <w:t xml:space="preserve"> </w:t>
      </w:r>
      <w:r w:rsidR="00EE5587">
        <w:t>(e.g.,</w:t>
      </w:r>
      <w:r w:rsidR="00EE5587">
        <w:rPr>
          <w:spacing w:val="-8"/>
        </w:rPr>
        <w:t xml:space="preserve"> </w:t>
      </w:r>
      <w:r w:rsidR="00EE5587">
        <w:t>certification,</w:t>
      </w:r>
      <w:r w:rsidR="00EE5587">
        <w:rPr>
          <w:spacing w:val="-5"/>
        </w:rPr>
        <w:t xml:space="preserve"> </w:t>
      </w:r>
      <w:r w:rsidR="00EE5587">
        <w:t>accreditation,</w:t>
      </w:r>
      <w:r w:rsidR="00EE5587">
        <w:rPr>
          <w:spacing w:val="-5"/>
        </w:rPr>
        <w:t xml:space="preserve"> </w:t>
      </w:r>
      <w:r w:rsidR="00EE5587">
        <w:t>and</w:t>
      </w:r>
      <w:r w:rsidR="00EE5587">
        <w:rPr>
          <w:spacing w:val="-6"/>
        </w:rPr>
        <w:t xml:space="preserve"> </w:t>
      </w:r>
      <w:r w:rsidR="00EE5587">
        <w:t>security</w:t>
      </w:r>
      <w:r w:rsidR="00EE5587">
        <w:rPr>
          <w:spacing w:val="-7"/>
        </w:rPr>
        <w:t xml:space="preserve"> </w:t>
      </w:r>
      <w:r w:rsidR="00EE5587">
        <w:t>assessments,</w:t>
      </w:r>
      <w:r w:rsidR="00EE5587">
        <w:rPr>
          <w:spacing w:val="-5"/>
        </w:rPr>
        <w:t xml:space="preserve"> </w:t>
      </w:r>
      <w:r w:rsidR="00EE5587">
        <w:t>planning,</w:t>
      </w:r>
      <w:r w:rsidR="004C4AA3">
        <w:rPr>
          <w:spacing w:val="91"/>
          <w:w w:val="99"/>
        </w:rPr>
        <w:t xml:space="preserve"> </w:t>
      </w:r>
      <w:r w:rsidR="00EE5587">
        <w:t>risk</w:t>
      </w:r>
      <w:r w:rsidR="00EE5587">
        <w:rPr>
          <w:spacing w:val="-6"/>
        </w:rPr>
        <w:t xml:space="preserve"> </w:t>
      </w:r>
      <w:r w:rsidR="00EE5587">
        <w:t>assessment),</w:t>
      </w:r>
      <w:r w:rsidR="00EE5587">
        <w:rPr>
          <w:spacing w:val="-5"/>
        </w:rPr>
        <w:t xml:space="preserve"> </w:t>
      </w:r>
      <w:r w:rsidR="00EE5587">
        <w:t>operational</w:t>
      </w:r>
      <w:r w:rsidR="00EE5587">
        <w:rPr>
          <w:spacing w:val="-5"/>
        </w:rPr>
        <w:t xml:space="preserve"> </w:t>
      </w:r>
      <w:r w:rsidR="00EE5587">
        <w:t>(e.g.,</w:t>
      </w:r>
      <w:r w:rsidR="00EE5587">
        <w:rPr>
          <w:spacing w:val="-8"/>
        </w:rPr>
        <w:t xml:space="preserve"> </w:t>
      </w:r>
      <w:r w:rsidR="00EE5587">
        <w:t>awareness</w:t>
      </w:r>
      <w:r w:rsidR="00EE5587">
        <w:rPr>
          <w:spacing w:val="-7"/>
        </w:rPr>
        <w:t xml:space="preserve"> </w:t>
      </w:r>
      <w:r w:rsidR="00EE5587">
        <w:t>and</w:t>
      </w:r>
      <w:r w:rsidR="00EE5587">
        <w:rPr>
          <w:spacing w:val="-5"/>
        </w:rPr>
        <w:t xml:space="preserve"> </w:t>
      </w:r>
      <w:r w:rsidR="00EE5587">
        <w:t>training,</w:t>
      </w:r>
      <w:r w:rsidR="00EE5587">
        <w:rPr>
          <w:spacing w:val="-5"/>
        </w:rPr>
        <w:t xml:space="preserve"> </w:t>
      </w:r>
      <w:r w:rsidR="00EE5587">
        <w:t>configuration</w:t>
      </w:r>
      <w:r w:rsidR="00EE5587">
        <w:rPr>
          <w:spacing w:val="-7"/>
        </w:rPr>
        <w:t xml:space="preserve"> </w:t>
      </w:r>
      <w:r w:rsidR="00EE5587">
        <w:t>management,</w:t>
      </w:r>
      <w:r w:rsidR="00EE5587">
        <w:rPr>
          <w:spacing w:val="-5"/>
        </w:rPr>
        <w:t xml:space="preserve"> </w:t>
      </w:r>
      <w:r w:rsidR="00EE5587">
        <w:t>contingency</w:t>
      </w:r>
      <w:r w:rsidR="00356929">
        <w:rPr>
          <w:spacing w:val="85"/>
          <w:w w:val="99"/>
        </w:rPr>
        <w:t xml:space="preserve"> </w:t>
      </w:r>
      <w:r w:rsidR="00EE5587">
        <w:t>planning),</w:t>
      </w:r>
      <w:r w:rsidR="00EE5587">
        <w:rPr>
          <w:spacing w:val="-4"/>
        </w:rPr>
        <w:t xml:space="preserve"> </w:t>
      </w:r>
      <w:r w:rsidR="00EE5587">
        <w:t>and</w:t>
      </w:r>
      <w:r w:rsidR="00EE5587">
        <w:rPr>
          <w:spacing w:val="-3"/>
        </w:rPr>
        <w:t xml:space="preserve"> </w:t>
      </w:r>
      <w:r w:rsidR="00EE5587">
        <w:t>technical</w:t>
      </w:r>
      <w:r w:rsidR="00EE5587">
        <w:rPr>
          <w:spacing w:val="-4"/>
        </w:rPr>
        <w:t xml:space="preserve"> </w:t>
      </w:r>
      <w:r w:rsidR="00EE5587">
        <w:t>(e.g.,</w:t>
      </w:r>
      <w:r w:rsidR="00EE5587">
        <w:rPr>
          <w:spacing w:val="-3"/>
        </w:rPr>
        <w:t xml:space="preserve"> </w:t>
      </w:r>
      <w:r w:rsidR="00EE5587">
        <w:t>access</w:t>
      </w:r>
      <w:r w:rsidR="00EE5587">
        <w:rPr>
          <w:spacing w:val="-6"/>
        </w:rPr>
        <w:t xml:space="preserve"> </w:t>
      </w:r>
      <w:r w:rsidR="00EE5587">
        <w:t>control,</w:t>
      </w:r>
      <w:r w:rsidR="00EE5587">
        <w:rPr>
          <w:spacing w:val="-3"/>
        </w:rPr>
        <w:t xml:space="preserve"> </w:t>
      </w:r>
      <w:r w:rsidR="00EE5587">
        <w:t>audit</w:t>
      </w:r>
      <w:r w:rsidR="00EE5587">
        <w:rPr>
          <w:spacing w:val="-4"/>
        </w:rPr>
        <w:t xml:space="preserve"> </w:t>
      </w:r>
      <w:r w:rsidR="00EE5587">
        <w:t>and</w:t>
      </w:r>
      <w:r w:rsidR="00EE5587">
        <w:rPr>
          <w:spacing w:val="-4"/>
        </w:rPr>
        <w:t xml:space="preserve"> </w:t>
      </w:r>
      <w:r w:rsidR="00EE5587">
        <w:t>accountability,</w:t>
      </w:r>
      <w:r w:rsidR="00EE5587">
        <w:rPr>
          <w:spacing w:val="-3"/>
        </w:rPr>
        <w:t xml:space="preserve"> </w:t>
      </w:r>
      <w:r w:rsidR="00EE5587">
        <w:t>identification</w:t>
      </w:r>
      <w:r w:rsidR="00A82142">
        <w:t>,</w:t>
      </w:r>
      <w:r w:rsidR="00EE5587">
        <w:rPr>
          <w:spacing w:val="-4"/>
        </w:rPr>
        <w:t xml:space="preserve"> </w:t>
      </w:r>
      <w:r w:rsidR="00EE5587">
        <w:t>and</w:t>
      </w:r>
      <w:r w:rsidR="00EE5587">
        <w:rPr>
          <w:spacing w:val="64"/>
        </w:rPr>
        <w:t xml:space="preserve"> </w:t>
      </w:r>
      <w:r w:rsidR="00EE5587">
        <w:t>authentication)</w:t>
      </w:r>
      <w:r w:rsidR="00EE5587">
        <w:rPr>
          <w:spacing w:val="-5"/>
        </w:rPr>
        <w:t xml:space="preserve"> </w:t>
      </w:r>
      <w:r w:rsidR="00EE5587">
        <w:t>controls</w:t>
      </w:r>
      <w:r w:rsidR="00EE5587">
        <w:rPr>
          <w:spacing w:val="-5"/>
        </w:rPr>
        <w:t xml:space="preserve"> </w:t>
      </w:r>
      <w:r w:rsidR="00EE5587">
        <w:t>that</w:t>
      </w:r>
      <w:r w:rsidR="00EE5587">
        <w:rPr>
          <w:spacing w:val="-4"/>
        </w:rPr>
        <w:t xml:space="preserve"> </w:t>
      </w:r>
      <w:r w:rsidR="000D54E0">
        <w:t>are</w:t>
      </w:r>
      <w:r w:rsidR="000D54E0">
        <w:rPr>
          <w:spacing w:val="-3"/>
        </w:rPr>
        <w:t xml:space="preserve"> </w:t>
      </w:r>
      <w:r w:rsidR="00EE5587">
        <w:t>implement</w:t>
      </w:r>
      <w:r w:rsidR="000D54E0">
        <w:rPr>
          <w:spacing w:val="-4"/>
        </w:rPr>
        <w:t>ed</w:t>
      </w:r>
      <w:r w:rsidR="007519D3">
        <w:rPr>
          <w:spacing w:val="-4"/>
        </w:rPr>
        <w:t xml:space="preserve"> </w:t>
      </w:r>
      <w:r w:rsidR="00EE5587">
        <w:t>to</w:t>
      </w:r>
      <w:r w:rsidR="00EE5587">
        <w:rPr>
          <w:spacing w:val="-4"/>
        </w:rPr>
        <w:t xml:space="preserve"> </w:t>
      </w:r>
      <w:r w:rsidR="00EE5587">
        <w:t>secure</w:t>
      </w:r>
      <w:r w:rsidR="00EE5587">
        <w:rPr>
          <w:spacing w:val="-3"/>
        </w:rPr>
        <w:t xml:space="preserve"> </w:t>
      </w:r>
      <w:r w:rsidR="00EE5587">
        <w:t>study</w:t>
      </w:r>
      <w:r w:rsidR="00EE5587">
        <w:rPr>
          <w:spacing w:val="-3"/>
        </w:rPr>
        <w:t xml:space="preserve"> </w:t>
      </w:r>
      <w:r w:rsidR="00EE5587">
        <w:t>data.</w:t>
      </w:r>
      <w:r w:rsidR="00EE5587">
        <w:rPr>
          <w:spacing w:val="-4"/>
        </w:rPr>
        <w:t xml:space="preserve"> </w:t>
      </w:r>
      <w:r w:rsidR="000D54E0">
        <w:t>This research</w:t>
      </w:r>
      <w:r w:rsidR="00EE5587">
        <w:rPr>
          <w:spacing w:val="-3"/>
        </w:rPr>
        <w:t xml:space="preserve"> </w:t>
      </w:r>
      <w:r w:rsidR="00EE5587">
        <w:rPr>
          <w:spacing w:val="-2"/>
        </w:rPr>
        <w:t>will</w:t>
      </w:r>
      <w:r w:rsidR="00EE5587">
        <w:rPr>
          <w:spacing w:val="-3"/>
        </w:rPr>
        <w:t xml:space="preserve"> </w:t>
      </w:r>
      <w:r w:rsidR="00EE5587">
        <w:t>fully</w:t>
      </w:r>
      <w:r w:rsidR="00EE5587">
        <w:rPr>
          <w:spacing w:val="-3"/>
        </w:rPr>
        <w:t xml:space="preserve"> </w:t>
      </w:r>
      <w:r w:rsidR="00EE5587">
        <w:t>comply</w:t>
      </w:r>
      <w:r w:rsidR="00EE5587">
        <w:rPr>
          <w:spacing w:val="-3"/>
        </w:rPr>
        <w:t xml:space="preserve"> </w:t>
      </w:r>
      <w:r w:rsidR="00EE5587">
        <w:t>with</w:t>
      </w:r>
      <w:r w:rsidR="00EE5587">
        <w:rPr>
          <w:spacing w:val="-6"/>
        </w:rPr>
        <w:t xml:space="preserve"> </w:t>
      </w:r>
      <w:r w:rsidR="00EE5587">
        <w:t>all</w:t>
      </w:r>
      <w:r w:rsidR="00EE5587">
        <w:rPr>
          <w:spacing w:val="81"/>
        </w:rPr>
        <w:t xml:space="preserve"> </w:t>
      </w:r>
      <w:r w:rsidR="00EE5587">
        <w:t>Government-wide</w:t>
      </w:r>
      <w:r w:rsidR="00EE5587">
        <w:rPr>
          <w:spacing w:val="-4"/>
        </w:rPr>
        <w:t xml:space="preserve"> </w:t>
      </w:r>
      <w:r w:rsidR="00EE5587">
        <w:t>guidance</w:t>
      </w:r>
      <w:r w:rsidR="00EE5587">
        <w:rPr>
          <w:spacing w:val="-3"/>
        </w:rPr>
        <w:t xml:space="preserve"> </w:t>
      </w:r>
      <w:r w:rsidR="00EE5587">
        <w:t>and</w:t>
      </w:r>
      <w:r w:rsidR="00EE5587">
        <w:rPr>
          <w:spacing w:val="-3"/>
        </w:rPr>
        <w:t xml:space="preserve"> </w:t>
      </w:r>
      <w:r w:rsidR="00EE5587">
        <w:t>regulations</w:t>
      </w:r>
      <w:r w:rsidR="00EE5587">
        <w:rPr>
          <w:spacing w:val="-6"/>
        </w:rPr>
        <w:t xml:space="preserve"> </w:t>
      </w:r>
      <w:r w:rsidR="00EE5587">
        <w:t>as</w:t>
      </w:r>
      <w:r w:rsidR="00EE5587">
        <w:rPr>
          <w:spacing w:val="-5"/>
        </w:rPr>
        <w:t xml:space="preserve"> </w:t>
      </w:r>
      <w:r w:rsidR="00EE5587">
        <w:t>well</w:t>
      </w:r>
      <w:r w:rsidR="00EE5587">
        <w:rPr>
          <w:spacing w:val="-6"/>
        </w:rPr>
        <w:t xml:space="preserve"> </w:t>
      </w:r>
      <w:r w:rsidR="00EE5587">
        <w:t>as</w:t>
      </w:r>
      <w:r w:rsidR="00EE5587">
        <w:rPr>
          <w:spacing w:val="-5"/>
        </w:rPr>
        <w:t xml:space="preserve"> </w:t>
      </w:r>
      <w:r w:rsidR="00EE5587">
        <w:t>USDA</w:t>
      </w:r>
      <w:r w:rsidR="00EE5587">
        <w:rPr>
          <w:spacing w:val="-4"/>
        </w:rPr>
        <w:t xml:space="preserve"> </w:t>
      </w:r>
      <w:r w:rsidR="00EE5587">
        <w:t>Office</w:t>
      </w:r>
      <w:r w:rsidR="00EE5587">
        <w:rPr>
          <w:spacing w:val="-3"/>
        </w:rPr>
        <w:t xml:space="preserve"> </w:t>
      </w:r>
      <w:r w:rsidR="00EE5587">
        <w:t>of</w:t>
      </w:r>
      <w:r w:rsidR="00EE5587">
        <w:rPr>
          <w:spacing w:val="-4"/>
        </w:rPr>
        <w:t xml:space="preserve"> </w:t>
      </w:r>
      <w:r w:rsidR="00EE5587">
        <w:t>the</w:t>
      </w:r>
      <w:r w:rsidR="00EE5587">
        <w:rPr>
          <w:spacing w:val="-4"/>
        </w:rPr>
        <w:t xml:space="preserve"> </w:t>
      </w:r>
      <w:r w:rsidR="001D1BFA">
        <w:t>Chief</w:t>
      </w:r>
      <w:r w:rsidR="001D1BFA">
        <w:rPr>
          <w:spacing w:val="-4"/>
        </w:rPr>
        <w:t xml:space="preserve"> Information</w:t>
      </w:r>
      <w:r w:rsidR="00EE5587">
        <w:t xml:space="preserve"> Officer</w:t>
      </w:r>
      <w:r w:rsidR="00EE5587">
        <w:rPr>
          <w:spacing w:val="-7"/>
        </w:rPr>
        <w:t xml:space="preserve"> </w:t>
      </w:r>
      <w:r w:rsidR="00EE5587">
        <w:t>(OCIO)</w:t>
      </w:r>
      <w:r w:rsidR="00EE5587">
        <w:rPr>
          <w:spacing w:val="-6"/>
        </w:rPr>
        <w:t xml:space="preserve"> </w:t>
      </w:r>
      <w:r w:rsidR="00EE5587">
        <w:t>directives,</w:t>
      </w:r>
      <w:r w:rsidR="00EE5587">
        <w:rPr>
          <w:spacing w:val="-5"/>
        </w:rPr>
        <w:t xml:space="preserve"> </w:t>
      </w:r>
      <w:r w:rsidR="00EE5587">
        <w:t>guidelines</w:t>
      </w:r>
      <w:r w:rsidR="003D42D9">
        <w:t>,</w:t>
      </w:r>
      <w:r w:rsidR="00EE5587">
        <w:rPr>
          <w:spacing w:val="-7"/>
        </w:rPr>
        <w:t xml:space="preserve"> </w:t>
      </w:r>
      <w:r w:rsidR="00EE5587">
        <w:t>and</w:t>
      </w:r>
      <w:r w:rsidR="00EE5587">
        <w:rPr>
          <w:spacing w:val="-5"/>
        </w:rPr>
        <w:t xml:space="preserve"> </w:t>
      </w:r>
      <w:r w:rsidR="00EE5587">
        <w:t>requirements.</w:t>
      </w:r>
    </w:p>
    <w:p w14:paraId="7F5DD61C" w14:textId="77777777" w:rsidR="00304051" w:rsidRPr="006E3562" w:rsidRDefault="00304051" w:rsidP="008B6333">
      <w:pPr>
        <w:pStyle w:val="Heading2"/>
      </w:pPr>
      <w:bookmarkStart w:id="60" w:name="_Toc90785924"/>
      <w:bookmarkStart w:id="61" w:name="_Toc96323934"/>
      <w:bookmarkStart w:id="62" w:name="_Toc316309694"/>
      <w:bookmarkStart w:id="63" w:name="_Toc316311781"/>
      <w:bookmarkStart w:id="64" w:name="_Toc318291771"/>
      <w:bookmarkStart w:id="65" w:name="_Toc318292455"/>
      <w:bookmarkStart w:id="66" w:name="_Toc409608444"/>
      <w:r w:rsidRPr="006E3562">
        <w:t>12.</w:t>
      </w:r>
      <w:r w:rsidRPr="006E3562">
        <w:tab/>
        <w:t xml:space="preserve">Estimates of the Hour Burden </w:t>
      </w:r>
      <w:bookmarkEnd w:id="60"/>
      <w:bookmarkEnd w:id="61"/>
      <w:bookmarkEnd w:id="62"/>
      <w:bookmarkEnd w:id="63"/>
      <w:bookmarkEnd w:id="64"/>
      <w:bookmarkEnd w:id="65"/>
      <w:r w:rsidRPr="006E3562">
        <w:t>of the Collection of Information</w:t>
      </w:r>
      <w:bookmarkEnd w:id="66"/>
    </w:p>
    <w:p w14:paraId="4DEBFACA" w14:textId="77777777" w:rsidR="00304051" w:rsidRPr="006E3562" w:rsidRDefault="004E305E" w:rsidP="008B6333">
      <w:pPr>
        <w:pStyle w:val="Heading5"/>
        <w:spacing w:after="240"/>
      </w:pPr>
      <w:r>
        <w:tab/>
      </w:r>
      <w:r w:rsidR="00304051" w:rsidRPr="006E3562">
        <w:t>Provide estimates of the hour burden of the collection of information. Indicate the number of respondents, frequency of response, annual hour burden, and an explanation of how the burden was estimated. The statement should:</w:t>
      </w:r>
    </w:p>
    <w:p w14:paraId="7100F2B8" w14:textId="77777777" w:rsidR="00304051" w:rsidRPr="001D76F9" w:rsidRDefault="004E305E" w:rsidP="008B6333">
      <w:pPr>
        <w:pStyle w:val="Heading5"/>
        <w:tabs>
          <w:tab w:val="clear" w:pos="1152"/>
          <w:tab w:val="left" w:pos="1620"/>
        </w:tabs>
        <w:spacing w:after="240"/>
        <w:ind w:left="1612" w:hanging="446"/>
      </w:pPr>
      <w:r>
        <w:t>A)</w:t>
      </w:r>
      <w:r>
        <w:tab/>
      </w:r>
      <w:r w:rsidR="00304051" w:rsidRPr="001D76F9">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4C6C66CB" w14:textId="7A3DC2C9" w:rsidR="00F15490" w:rsidRDefault="000763BE" w:rsidP="00533B5E">
      <w:pPr>
        <w:pStyle w:val="P1-StandPara"/>
      </w:pPr>
      <w:r w:rsidRPr="006D1DC0">
        <w:t xml:space="preserve">With this reinstatement, there are </w:t>
      </w:r>
      <w:r w:rsidR="00907971">
        <w:t>9,</w:t>
      </w:r>
      <w:r w:rsidR="00C95FA1">
        <w:t>45</w:t>
      </w:r>
      <w:r w:rsidR="00EA1DFA">
        <w:t>2</w:t>
      </w:r>
      <w:r w:rsidR="00C95FA1">
        <w:t xml:space="preserve"> </w:t>
      </w:r>
      <w:r w:rsidRPr="006D1DC0">
        <w:t xml:space="preserve">respondents, </w:t>
      </w:r>
      <w:r w:rsidR="00DE6EE6">
        <w:t>59,016</w:t>
      </w:r>
      <w:r w:rsidR="006D6DFB">
        <w:t xml:space="preserve"> </w:t>
      </w:r>
      <w:r w:rsidRPr="006D1DC0">
        <w:t xml:space="preserve">responses, and </w:t>
      </w:r>
      <w:r w:rsidR="00DE6EE6">
        <w:t>13,04</w:t>
      </w:r>
      <w:r w:rsidR="0020283A">
        <w:t>2</w:t>
      </w:r>
      <w:r w:rsidR="006D6DFB" w:rsidRPr="006D1DC0">
        <w:t xml:space="preserve"> </w:t>
      </w:r>
      <w:r w:rsidRPr="006D1DC0">
        <w:t>burden hours.</w:t>
      </w:r>
      <w:r w:rsidR="001D29F8">
        <w:t xml:space="preserve"> </w:t>
      </w:r>
      <w:r w:rsidR="00C7505C" w:rsidRPr="006D1DC0">
        <w:t>The estimated burden for this information collection</w:t>
      </w:r>
      <w:r w:rsidR="003D42D9">
        <w:t>,</w:t>
      </w:r>
      <w:r w:rsidR="00C7505C" w:rsidRPr="006D1DC0">
        <w:t xml:space="preserve"> including the number of respondents, frequency of response, average time to respond, and annual hour burden</w:t>
      </w:r>
      <w:r w:rsidR="003D42D9">
        <w:t>,</w:t>
      </w:r>
      <w:r w:rsidR="00C7505C" w:rsidRPr="006D1DC0">
        <w:t xml:space="preserve"> </w:t>
      </w:r>
      <w:r w:rsidR="00BA1EF9">
        <w:t>is</w:t>
      </w:r>
      <w:r w:rsidR="00BA1EF9" w:rsidRPr="006D1DC0">
        <w:t xml:space="preserve"> </w:t>
      </w:r>
      <w:r w:rsidR="00304051" w:rsidRPr="006D1DC0">
        <w:t>provided in</w:t>
      </w:r>
      <w:r w:rsidR="00412220" w:rsidRPr="006D1DC0">
        <w:t xml:space="preserve"> </w:t>
      </w:r>
      <w:r w:rsidR="00304051" w:rsidRPr="006D1DC0">
        <w:t>Appendix</w:t>
      </w:r>
      <w:r w:rsidR="00412220" w:rsidRPr="006D1DC0">
        <w:t xml:space="preserve"> </w:t>
      </w:r>
      <w:r w:rsidR="001D76F9" w:rsidRPr="006D1DC0">
        <w:t>N</w:t>
      </w:r>
      <w:r w:rsidR="00F15490" w:rsidRPr="006D1DC0">
        <w:t xml:space="preserve">. </w:t>
      </w:r>
      <w:r w:rsidR="00B01FD4" w:rsidRPr="006D1DC0">
        <w:t>A summary of the burden table appears below</w:t>
      </w:r>
      <w:r w:rsidR="00650DEE" w:rsidRPr="006D1DC0">
        <w:t xml:space="preserve"> (Table A12</w:t>
      </w:r>
      <w:r w:rsidRPr="006D1DC0">
        <w:t>-1</w:t>
      </w:r>
      <w:r w:rsidR="00650DEE" w:rsidRPr="006D1DC0">
        <w:t>)</w:t>
      </w:r>
      <w:r w:rsidR="00B01FD4" w:rsidRPr="006D1DC0">
        <w:t xml:space="preserve">. </w:t>
      </w:r>
      <w:r w:rsidR="00983216" w:rsidRPr="006D1DC0">
        <w:t>The</w:t>
      </w:r>
      <w:r w:rsidRPr="006D1DC0">
        <w:t xml:space="preserve"> </w:t>
      </w:r>
      <w:r w:rsidR="00006E94">
        <w:t>9,</w:t>
      </w:r>
      <w:r w:rsidR="00C95FA1">
        <w:t>45</w:t>
      </w:r>
      <w:r w:rsidR="00275CD3">
        <w:t>2</w:t>
      </w:r>
      <w:r w:rsidR="00C95FA1">
        <w:t xml:space="preserve"> </w:t>
      </w:r>
      <w:r w:rsidR="00983216" w:rsidRPr="006D1DC0">
        <w:t xml:space="preserve">respondents </w:t>
      </w:r>
      <w:r w:rsidR="00DD22B0" w:rsidRPr="006D1DC0">
        <w:t>include</w:t>
      </w:r>
      <w:r w:rsidR="00983216" w:rsidRPr="006D1DC0">
        <w:t xml:space="preserve"> 7,6</w:t>
      </w:r>
      <w:r w:rsidR="00C95FA1">
        <w:t>2</w:t>
      </w:r>
      <w:r w:rsidR="007C050C">
        <w:t>8</w:t>
      </w:r>
      <w:r w:rsidR="00983216" w:rsidRPr="006D1DC0">
        <w:t xml:space="preserve"> respondents and 1,824 nonrespond</w:t>
      </w:r>
      <w:r w:rsidR="00B37ED7" w:rsidRPr="006D1DC0">
        <w:t xml:space="preserve">ents. </w:t>
      </w:r>
      <w:r w:rsidR="00650DEE" w:rsidRPr="006D1DC0">
        <w:t xml:space="preserve">The </w:t>
      </w:r>
      <w:r w:rsidR="00015820" w:rsidRPr="006D1DC0">
        <w:t xml:space="preserve">average </w:t>
      </w:r>
      <w:r w:rsidR="00650DEE" w:rsidRPr="006D1DC0">
        <w:t xml:space="preserve">frequency of response </w:t>
      </w:r>
      <w:r w:rsidR="003E77D7" w:rsidRPr="006D1DC0">
        <w:t xml:space="preserve">per year </w:t>
      </w:r>
      <w:r w:rsidR="00650DEE" w:rsidRPr="006D1DC0">
        <w:t xml:space="preserve">for respondents and nonrespondents is </w:t>
      </w:r>
      <w:r w:rsidR="00DE6EE6">
        <w:t>7.0</w:t>
      </w:r>
      <w:r w:rsidR="00874488">
        <w:t>4</w:t>
      </w:r>
      <w:r w:rsidR="00650DEE" w:rsidRPr="006D1DC0">
        <w:t xml:space="preserve"> and </w:t>
      </w:r>
      <w:r w:rsidR="00907971">
        <w:t>2.92</w:t>
      </w:r>
      <w:r w:rsidR="00650DEE" w:rsidRPr="006D1DC0">
        <w:t xml:space="preserve">, respectively. </w:t>
      </w:r>
      <w:r w:rsidR="003D38B3" w:rsidRPr="006D1DC0">
        <w:t xml:space="preserve">The total annualized hour burden to the public </w:t>
      </w:r>
      <w:r w:rsidR="002D7057" w:rsidRPr="006D1DC0">
        <w:t xml:space="preserve">is </w:t>
      </w:r>
      <w:r w:rsidR="00DE6EE6">
        <w:t>13,04</w:t>
      </w:r>
      <w:r w:rsidR="0020283A">
        <w:t>2</w:t>
      </w:r>
      <w:r w:rsidR="00C95FA1" w:rsidRPr="006D1DC0">
        <w:t xml:space="preserve"> </w:t>
      </w:r>
      <w:r w:rsidR="003D38B3" w:rsidRPr="006D1DC0">
        <w:t xml:space="preserve">hours (including </w:t>
      </w:r>
      <w:r w:rsidR="00DE6EE6">
        <w:t>12,631</w:t>
      </w:r>
      <w:r w:rsidR="002D7057" w:rsidRPr="006D1DC0">
        <w:t xml:space="preserve"> for </w:t>
      </w:r>
      <w:r w:rsidR="003D38B3" w:rsidRPr="006D1DC0">
        <w:t xml:space="preserve">respondents and </w:t>
      </w:r>
      <w:r w:rsidR="00C95FA1">
        <w:t>41</w:t>
      </w:r>
      <w:r w:rsidR="0020283A">
        <w:t xml:space="preserve">1 </w:t>
      </w:r>
      <w:r w:rsidR="002D7057" w:rsidRPr="006D1DC0">
        <w:t xml:space="preserve">for </w:t>
      </w:r>
      <w:r w:rsidR="003D38B3" w:rsidRPr="006D1DC0">
        <w:t>nonrespondents)</w:t>
      </w:r>
      <w:r w:rsidR="00C26AD3" w:rsidRPr="006D1DC0">
        <w:t>.</w:t>
      </w:r>
      <w:r w:rsidR="007519D3" w:rsidRPr="006D1DC0">
        <w:t xml:space="preserve"> </w:t>
      </w:r>
      <w:r w:rsidR="00650DEE" w:rsidRPr="006D1DC0">
        <w:t>The estimates are based on prior experience with comparable instruments on APEC I and II, as well as estimates from cognitive testing of instruments.</w:t>
      </w:r>
    </w:p>
    <w:p w14:paraId="75B04D97" w14:textId="77777777" w:rsidR="00035F85" w:rsidRDefault="00035F85" w:rsidP="006E3562">
      <w:pPr>
        <w:tabs>
          <w:tab w:val="left" w:pos="432"/>
        </w:tabs>
        <w:spacing w:line="480" w:lineRule="auto"/>
        <w:ind w:firstLine="432"/>
        <w:jc w:val="both"/>
        <w:rPr>
          <w:szCs w:val="24"/>
        </w:rPr>
        <w:sectPr w:rsidR="00035F85" w:rsidSect="008B6333">
          <w:headerReference w:type="default" r:id="rId16"/>
          <w:footerReference w:type="default" r:id="rId17"/>
          <w:endnotePr>
            <w:numFmt w:val="decimal"/>
          </w:endnotePr>
          <w:pgSz w:w="12240" w:h="15840" w:code="1"/>
          <w:pgMar w:top="1440" w:right="1440" w:bottom="1152" w:left="1440" w:header="576" w:footer="576" w:gutter="0"/>
          <w:cols w:space="720"/>
          <w:docGrid w:linePitch="326"/>
        </w:sectPr>
      </w:pPr>
    </w:p>
    <w:p w14:paraId="16A5019E" w14:textId="33DB0F7F" w:rsidR="00D7651E" w:rsidRDefault="00856BC9" w:rsidP="004A12EC">
      <w:pPr>
        <w:pStyle w:val="TT-TableTitle"/>
      </w:pPr>
      <w:bookmarkStart w:id="67" w:name="RANGE!A1:N20"/>
      <w:r>
        <w:rPr>
          <w:noProof/>
        </w:rPr>
        <mc:AlternateContent>
          <mc:Choice Requires="wps">
            <w:drawing>
              <wp:anchor distT="0" distB="0" distL="114300" distR="114300" simplePos="0" relativeHeight="251659264" behindDoc="0" locked="0" layoutInCell="1" allowOverlap="1" wp14:anchorId="158D77EE" wp14:editId="37187F15">
                <wp:simplePos x="0" y="0"/>
                <wp:positionH relativeFrom="column">
                  <wp:posOffset>-72114</wp:posOffset>
                </wp:positionH>
                <wp:positionV relativeFrom="paragraph">
                  <wp:posOffset>159026</wp:posOffset>
                </wp:positionV>
                <wp:extent cx="8467725" cy="5740593"/>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8467725" cy="5740593"/>
                        </a:xfrm>
                        <a:prstGeom prst="rect">
                          <a:avLst/>
                        </a:prstGeom>
                        <a:solidFill>
                          <a:schemeClr val="lt1"/>
                        </a:solidFill>
                        <a:ln w="6350">
                          <a:noFill/>
                        </a:ln>
                      </wps:spPr>
                      <wps:txbx>
                        <w:txbxContent>
                          <w:p w14:paraId="51C01C9E" w14:textId="7D201C81" w:rsidR="00316029" w:rsidRDefault="00316029">
                            <w:r>
                              <w:rPr>
                                <w:noProof/>
                              </w:rPr>
                              <w:drawing>
                                <wp:inline distT="0" distB="0" distL="0" distR="0" wp14:anchorId="53F26A36" wp14:editId="534C2800">
                                  <wp:extent cx="8229600" cy="561579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249521" cy="56293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7pt;margin-top:12.5pt;width:666.75pt;height: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" fillcolor="white [3201]" stroked="f" strokeweight=".5pt">
                <v:textbox>
                  <w:txbxContent>
                    <w:p w14:paraId="51C01C9E" w14:textId="7D201C81" w:rsidR="00316029" w:rsidRDefault="00316029">
                      <w:r>
                        <w:rPr>
                          <w:noProof/>
                        </w:rPr>
                        <w:drawing>
                          <wp:inline distT="0" distB="0" distL="0" distR="0" wp14:anchorId="53F26A36" wp14:editId="534C2800">
                            <wp:extent cx="8229600" cy="561579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249521" cy="5629390"/>
                                    </a:xfrm>
                                    <a:prstGeom prst="rect">
                                      <a:avLst/>
                                    </a:prstGeom>
                                  </pic:spPr>
                                </pic:pic>
                              </a:graphicData>
                            </a:graphic>
                          </wp:inline>
                        </w:drawing>
                      </w:r>
                    </w:p>
                  </w:txbxContent>
                </v:textbox>
              </v:shape>
            </w:pict>
          </mc:Fallback>
        </mc:AlternateContent>
      </w:r>
      <w:r w:rsidR="00444DB3" w:rsidRPr="00927E83">
        <w:t>Table A12-1</w:t>
      </w:r>
      <w:r w:rsidR="004E305E">
        <w:t>.</w:t>
      </w:r>
      <w:r w:rsidR="004E305E">
        <w:tab/>
      </w:r>
      <w:r w:rsidR="00444DB3" w:rsidRPr="00927E83">
        <w:t xml:space="preserve">Estimates of </w:t>
      </w:r>
      <w:r w:rsidR="004E305E" w:rsidRPr="00927E83">
        <w:t>respondent burden including annualized hourly cost</w:t>
      </w:r>
      <w:r>
        <w:t xml:space="preserve"> (See Appendix N) (Page 1 of 3)</w:t>
      </w:r>
    </w:p>
    <w:p w14:paraId="45C2EF8B" w14:textId="6C2DCB3F" w:rsidR="004A12EC" w:rsidRDefault="004A12EC" w:rsidP="00AF13AF">
      <w:pPr>
        <w:pStyle w:val="TT-TableTitle"/>
      </w:pPr>
    </w:p>
    <w:p w14:paraId="049B8603" w14:textId="2523DEC5" w:rsidR="00856BC9" w:rsidRDefault="00856BC9">
      <w:pPr>
        <w:spacing w:line="240" w:lineRule="auto"/>
        <w:rPr>
          <w:rFonts w:ascii="Franklin Gothic Medium" w:hAnsi="Franklin Gothic Medium"/>
          <w:sz w:val="22"/>
          <w:szCs w:val="24"/>
        </w:rPr>
      </w:pPr>
      <w:r>
        <w:br w:type="page"/>
      </w:r>
    </w:p>
    <w:p w14:paraId="6C26022E" w14:textId="77777777" w:rsidR="00856BC9" w:rsidRDefault="00856BC9" w:rsidP="00AF13AF">
      <w:pPr>
        <w:pStyle w:val="TT-TableTitle"/>
      </w:pPr>
    </w:p>
    <w:p w14:paraId="39114960" w14:textId="16383024" w:rsidR="00AF13AF" w:rsidRDefault="00AF13AF" w:rsidP="00AF13AF">
      <w:pPr>
        <w:pStyle w:val="TT-TableTitle"/>
      </w:pPr>
      <w:r w:rsidRPr="00927E83">
        <w:t>Table A12-1</w:t>
      </w:r>
      <w:r>
        <w:t>.</w:t>
      </w:r>
      <w:r>
        <w:tab/>
      </w:r>
      <w:r w:rsidRPr="00927E83">
        <w:t>Estimates of respondent burden including annualized hourly cost</w:t>
      </w:r>
      <w:r w:rsidR="00425B10">
        <w:t xml:space="preserve"> (See Appendix N) (Page 2</w:t>
      </w:r>
      <w:r>
        <w:t xml:space="preserve"> of 3)</w:t>
      </w:r>
    </w:p>
    <w:p w14:paraId="58C295E7" w14:textId="77777777" w:rsidR="002E20E7" w:rsidRDefault="002E20E7">
      <w:pPr>
        <w:spacing w:line="240" w:lineRule="auto"/>
        <w:rPr>
          <w:noProof/>
        </w:rPr>
      </w:pPr>
    </w:p>
    <w:p w14:paraId="6738A996" w14:textId="6D1E7E77" w:rsidR="002E20E7" w:rsidRDefault="002E20E7">
      <w:pPr>
        <w:spacing w:line="240" w:lineRule="auto"/>
        <w:rPr>
          <w:rFonts w:ascii="Franklin Gothic Medium" w:hAnsi="Franklin Gothic Medium"/>
          <w:noProof/>
          <w:sz w:val="22"/>
          <w:szCs w:val="24"/>
        </w:rPr>
      </w:pPr>
      <w:r>
        <w:rPr>
          <w:noProof/>
        </w:rPr>
        <w:drawing>
          <wp:inline distT="0" distB="0" distL="0" distR="0" wp14:anchorId="45E67B97" wp14:editId="4B8488B6">
            <wp:extent cx="8168345" cy="5417388"/>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199751" cy="5438217"/>
                    </a:xfrm>
                    <a:prstGeom prst="rect">
                      <a:avLst/>
                    </a:prstGeom>
                  </pic:spPr>
                </pic:pic>
              </a:graphicData>
            </a:graphic>
          </wp:inline>
        </w:drawing>
      </w:r>
      <w:r>
        <w:rPr>
          <w:noProof/>
        </w:rPr>
        <w:br w:type="page"/>
      </w:r>
    </w:p>
    <w:p w14:paraId="3FDB6342" w14:textId="77777777" w:rsidR="00AF13AF" w:rsidRDefault="00AF13AF" w:rsidP="00AF13AF">
      <w:pPr>
        <w:pStyle w:val="TT-TableTitle"/>
      </w:pPr>
    </w:p>
    <w:p w14:paraId="45A2C6DF" w14:textId="4110B43F" w:rsidR="00425B10" w:rsidRDefault="00425B10" w:rsidP="00F25E9F">
      <w:pPr>
        <w:pStyle w:val="TT-TableTitle"/>
      </w:pPr>
      <w:r w:rsidRPr="00927E83">
        <w:t>Table A12-1</w:t>
      </w:r>
      <w:r>
        <w:t>.</w:t>
      </w:r>
      <w:r>
        <w:tab/>
      </w:r>
      <w:r w:rsidRPr="00927E83">
        <w:t>Estimates of respondent burden including annualized hourly cost</w:t>
      </w:r>
      <w:r>
        <w:t xml:space="preserve"> (See Appendix N) (Page 3 of 3)</w:t>
      </w:r>
    </w:p>
    <w:p w14:paraId="2676A137" w14:textId="0E6828D2" w:rsidR="00D7651E" w:rsidRDefault="00D7651E">
      <w:pPr>
        <w:spacing w:line="240" w:lineRule="auto"/>
        <w:rPr>
          <w:szCs w:val="24"/>
        </w:rPr>
      </w:pPr>
    </w:p>
    <w:p w14:paraId="77E50A7A" w14:textId="33A39D3B" w:rsidR="00D7651E" w:rsidRDefault="002E20E7">
      <w:pPr>
        <w:spacing w:line="240" w:lineRule="auto"/>
        <w:rPr>
          <w:szCs w:val="24"/>
        </w:rPr>
      </w:pPr>
      <w:r>
        <w:rPr>
          <w:noProof/>
        </w:rPr>
        <w:drawing>
          <wp:inline distT="0" distB="0" distL="0" distR="0" wp14:anchorId="26D3BC5F" wp14:editId="546BBC11">
            <wp:extent cx="8134350" cy="505507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163097" cy="5072944"/>
                    </a:xfrm>
                    <a:prstGeom prst="rect">
                      <a:avLst/>
                    </a:prstGeom>
                  </pic:spPr>
                </pic:pic>
              </a:graphicData>
            </a:graphic>
          </wp:inline>
        </w:drawing>
      </w:r>
      <w:r w:rsidR="00D7651E">
        <w:rPr>
          <w:szCs w:val="24"/>
        </w:rPr>
        <w:br w:type="page"/>
      </w:r>
    </w:p>
    <w:p w14:paraId="19AE5060" w14:textId="77777777" w:rsidR="00D7651E" w:rsidRDefault="00D7651E" w:rsidP="00D7651E">
      <w:pPr>
        <w:tabs>
          <w:tab w:val="left" w:pos="432"/>
        </w:tabs>
        <w:spacing w:line="480" w:lineRule="auto"/>
        <w:jc w:val="both"/>
        <w:rPr>
          <w:szCs w:val="24"/>
        </w:rPr>
        <w:sectPr w:rsidR="00D7651E" w:rsidSect="008B6333">
          <w:headerReference w:type="default" r:id="rId21"/>
          <w:footerReference w:type="default" r:id="rId22"/>
          <w:endnotePr>
            <w:numFmt w:val="decimal"/>
          </w:endnotePr>
          <w:pgSz w:w="15840" w:h="12240" w:orient="landscape" w:code="1"/>
          <w:pgMar w:top="1440" w:right="1440" w:bottom="1440" w:left="1440" w:header="576" w:footer="576" w:gutter="0"/>
          <w:cols w:space="720"/>
          <w:docGrid w:linePitch="326"/>
        </w:sectPr>
      </w:pPr>
    </w:p>
    <w:p w14:paraId="1B9336C4" w14:textId="77777777" w:rsidR="00C73EF0" w:rsidRPr="001D76F9" w:rsidRDefault="00C73EF0" w:rsidP="00C73EF0">
      <w:pPr>
        <w:pStyle w:val="Heading5"/>
        <w:tabs>
          <w:tab w:val="clear" w:pos="1152"/>
          <w:tab w:val="left" w:pos="1620"/>
        </w:tabs>
        <w:ind w:left="1620" w:hanging="450"/>
      </w:pPr>
      <w:bookmarkStart w:id="68" w:name="_Toc409608445"/>
      <w:bookmarkStart w:id="69" w:name="_Toc316309695"/>
      <w:bookmarkStart w:id="70" w:name="_Toc316311782"/>
      <w:bookmarkStart w:id="71" w:name="_Toc318291772"/>
      <w:bookmarkStart w:id="72" w:name="_Toc318292456"/>
      <w:bookmarkStart w:id="73" w:name="_Toc90785926"/>
      <w:bookmarkStart w:id="74" w:name="_Toc96323935"/>
      <w:bookmarkStart w:id="75" w:name="_Toc316309696"/>
      <w:bookmarkStart w:id="76" w:name="_Toc316311783"/>
      <w:bookmarkStart w:id="77" w:name="_Toc318291773"/>
      <w:bookmarkStart w:id="78" w:name="_Toc318292457"/>
      <w:bookmarkStart w:id="79" w:name="_Toc409608446"/>
      <w:bookmarkEnd w:id="67"/>
      <w:r>
        <w:rPr>
          <w:b w:val="0"/>
        </w:rPr>
        <w:t>B)</w:t>
      </w:r>
      <w:r>
        <w:rPr>
          <w:b w:val="0"/>
        </w:rPr>
        <w:tab/>
      </w:r>
      <w:r w:rsidRPr="00E2334E">
        <w:rPr>
          <w:b w:val="0"/>
        </w:rPr>
        <w:t>Provide estimates of annualized cost to respondents for the hour burdens for collections of information, identifying and using appropriate wage rate categories.</w:t>
      </w:r>
      <w:r w:rsidRPr="004E305E">
        <w:t xml:space="preserve"> </w:t>
      </w:r>
    </w:p>
    <w:p w14:paraId="79A8B446" w14:textId="33483513" w:rsidR="00C73EF0" w:rsidRDefault="00C73EF0" w:rsidP="00C73EF0">
      <w:pPr>
        <w:pStyle w:val="P1-StandPara"/>
      </w:pPr>
      <w:r>
        <w:t xml:space="preserve">The estimates of respondent cost are based on the burden estimates and use the U.S. Department of Labor, Bureau of Labor Statistics, </w:t>
      </w:r>
      <w:r w:rsidRPr="00336B46">
        <w:t xml:space="preserve">May </w:t>
      </w:r>
      <w:r w:rsidR="004C6D43">
        <w:t xml:space="preserve">2016 </w:t>
      </w:r>
      <w:r>
        <w:t xml:space="preserve">National Occupational and Wage Statistics. Both Occupational Group (999200) State Government (excluding schools and hospitals) and Occupational Group (611000) </w:t>
      </w:r>
      <w:r w:rsidRPr="00656443">
        <w:t xml:space="preserve">Educational Services (including private, state, and local government schools) </w:t>
      </w:r>
      <w:r>
        <w:t xml:space="preserve">were used </w:t>
      </w:r>
      <w:r w:rsidRPr="006E3562">
        <w:t>to estimate annualized costs for managers or di</w:t>
      </w:r>
      <w:r>
        <w:t>rectors at the State agencies, SFAs</w:t>
      </w:r>
      <w:r w:rsidRPr="006E3562">
        <w:t xml:space="preserve">, and </w:t>
      </w:r>
      <w:r>
        <w:t>schools</w:t>
      </w:r>
      <w:r w:rsidRPr="006E3562">
        <w:t xml:space="preserve">. </w:t>
      </w:r>
      <w:r>
        <w:t xml:space="preserve">Annualized costs were based on the mean hourly wage for each job category. The hourly wage rate used for the State CN </w:t>
      </w:r>
      <w:r w:rsidR="003D42D9">
        <w:t xml:space="preserve">director </w:t>
      </w:r>
      <w:r>
        <w:t xml:space="preserve">is </w:t>
      </w:r>
      <w:r w:rsidRPr="004C6D43">
        <w:t>$</w:t>
      </w:r>
      <w:r w:rsidR="004C6D43">
        <w:t>43.82</w:t>
      </w:r>
      <w:r>
        <w:t xml:space="preserve"> (Occupation Code 11-9030</w:t>
      </w:r>
      <w:r w:rsidRPr="0063539B">
        <w:t>, State Government</w:t>
      </w:r>
      <w:r w:rsidR="00EF1836">
        <w:t>-999200</w:t>
      </w:r>
      <w:r>
        <w:t>).</w:t>
      </w:r>
      <w:r>
        <w:rPr>
          <w:rStyle w:val="FootnoteReference"/>
          <w:szCs w:val="24"/>
        </w:rPr>
        <w:footnoteReference w:id="21"/>
      </w:r>
      <w:r>
        <w:t xml:space="preserve"> The hourly</w:t>
      </w:r>
      <w:r w:rsidR="00CA1D66">
        <w:t xml:space="preserve"> wage rate used for State CN </w:t>
      </w:r>
      <w:r>
        <w:t xml:space="preserve">data manager </w:t>
      </w:r>
      <w:r w:rsidR="006A5BBF">
        <w:t xml:space="preserve">is </w:t>
      </w:r>
      <w:r w:rsidR="006A5BBF" w:rsidRPr="004C6D43">
        <w:t>$</w:t>
      </w:r>
      <w:r w:rsidR="004C6D43">
        <w:t>35.97</w:t>
      </w:r>
      <w:r w:rsidR="006A5BBF">
        <w:t xml:space="preserve"> (Occupation Code 15-1141, Database Administraor-999200)</w:t>
      </w:r>
      <w:r w:rsidR="006A5BBF">
        <w:rPr>
          <w:rStyle w:val="CommentReference"/>
        </w:rPr>
        <w:t xml:space="preserve">. </w:t>
      </w:r>
      <w:r>
        <w:t xml:space="preserve">The hourly wage rate used for the SFA </w:t>
      </w:r>
      <w:r w:rsidR="003D42D9">
        <w:t>director</w:t>
      </w:r>
      <w:r w:rsidR="006A5BBF">
        <w:t xml:space="preserve"> and the school principal or other school administrator</w:t>
      </w:r>
      <w:r w:rsidR="003D42D9">
        <w:t xml:space="preserve"> </w:t>
      </w:r>
      <w:r>
        <w:t xml:space="preserve">is </w:t>
      </w:r>
      <w:r w:rsidRPr="004C6D43">
        <w:t>$</w:t>
      </w:r>
      <w:r w:rsidR="004C6D43">
        <w:t>39.34</w:t>
      </w:r>
      <w:r>
        <w:t xml:space="preserve"> (Occupation Code 11-9039</w:t>
      </w:r>
      <w:r w:rsidR="00EF1836">
        <w:t>-611000</w:t>
      </w:r>
      <w:r>
        <w:t xml:space="preserve">). </w:t>
      </w:r>
      <w:r w:rsidR="001158A9">
        <w:t xml:space="preserve">The hourly wage rate used for the SFA level data manager is </w:t>
      </w:r>
      <w:r w:rsidR="001158A9" w:rsidRPr="004C6D43">
        <w:t>$</w:t>
      </w:r>
      <w:r w:rsidR="004C6D43">
        <w:t>35.17</w:t>
      </w:r>
      <w:r w:rsidR="001158A9">
        <w:t xml:space="preserve"> (Occupation Code 15-1141, Database Administrator-611000). </w:t>
      </w:r>
      <w:r>
        <w:t xml:space="preserve">The hourly wage rate used for </w:t>
      </w:r>
      <w:r w:rsidR="003D42D9">
        <w:t xml:space="preserve">food service </w:t>
      </w:r>
      <w:r>
        <w:t>(</w:t>
      </w:r>
      <w:r w:rsidR="003D42D9">
        <w:t>cafeteria</w:t>
      </w:r>
      <w:r>
        <w:t xml:space="preserve">) </w:t>
      </w:r>
      <w:r w:rsidR="003D42D9">
        <w:t xml:space="preserve">manager </w:t>
      </w:r>
      <w:r>
        <w:t xml:space="preserve">in schools is </w:t>
      </w:r>
      <w:r w:rsidRPr="004C6D43">
        <w:t>$</w:t>
      </w:r>
      <w:r w:rsidR="004C6D43">
        <w:t>29.97</w:t>
      </w:r>
      <w:r>
        <w:t xml:space="preserve"> (Occupation Code 11-9051, Food Service Manger</w:t>
      </w:r>
      <w:r w:rsidR="00EF1836">
        <w:t>-611000</w:t>
      </w:r>
      <w:r>
        <w:t>).</w:t>
      </w:r>
      <w:r>
        <w:rPr>
          <w:rStyle w:val="FootnoteReference"/>
          <w:szCs w:val="24"/>
        </w:rPr>
        <w:footnoteReference w:id="22"/>
      </w:r>
      <w:r>
        <w:t xml:space="preserve"> </w:t>
      </w:r>
      <w:r w:rsidRPr="006E3562">
        <w:t xml:space="preserve">The estimated annualized cost for the household survey respondent uses the </w:t>
      </w:r>
      <w:r w:rsidRPr="00813619">
        <w:t xml:space="preserve">Federal minimum wage of </w:t>
      </w:r>
      <w:r w:rsidRPr="004C6D43">
        <w:t>$7.25</w:t>
      </w:r>
      <w:r>
        <w:t>.</w:t>
      </w:r>
      <w:r>
        <w:rPr>
          <w:rStyle w:val="FootnoteReference"/>
          <w:szCs w:val="24"/>
        </w:rPr>
        <w:footnoteReference w:id="23"/>
      </w:r>
      <w:r w:rsidRPr="006E3562">
        <w:t xml:space="preserve"> The </w:t>
      </w:r>
      <w:r>
        <w:t xml:space="preserve">total </w:t>
      </w:r>
      <w:r w:rsidRPr="006E3562">
        <w:t xml:space="preserve">estimated annualized cost </w:t>
      </w:r>
      <w:r w:rsidRPr="009F063B">
        <w:t xml:space="preserve">is </w:t>
      </w:r>
      <w:r w:rsidR="00F7161D" w:rsidRPr="00275CD3">
        <w:t>$</w:t>
      </w:r>
      <w:r w:rsidR="007C050C" w:rsidRPr="00275CD3">
        <w:t>236,67</w:t>
      </w:r>
      <w:r w:rsidR="0020283A">
        <w:t>0.28</w:t>
      </w:r>
      <w:r w:rsidRPr="009F063B">
        <w:t>.</w:t>
      </w:r>
    </w:p>
    <w:p w14:paraId="5818CEAD" w14:textId="77777777" w:rsidR="00533B5E" w:rsidRDefault="00533B5E" w:rsidP="008B6333">
      <w:pPr>
        <w:pStyle w:val="Heading2"/>
      </w:pPr>
      <w:r w:rsidRPr="006E3562">
        <w:t>13.</w:t>
      </w:r>
      <w:r w:rsidRPr="006E3562">
        <w:tab/>
        <w:t xml:space="preserve">Estimates of </w:t>
      </w:r>
      <w:r w:rsidRPr="006E3562">
        <w:rPr>
          <w:bCs/>
        </w:rPr>
        <w:t xml:space="preserve">Other Total Annual </w:t>
      </w:r>
      <w:r w:rsidRPr="006E3562">
        <w:t>Cost Burden</w:t>
      </w:r>
      <w:bookmarkEnd w:id="68"/>
      <w:bookmarkEnd w:id="69"/>
      <w:bookmarkEnd w:id="70"/>
      <w:bookmarkEnd w:id="71"/>
      <w:bookmarkEnd w:id="72"/>
    </w:p>
    <w:p w14:paraId="4ABD9664" w14:textId="77777777" w:rsidR="00533B5E" w:rsidRPr="006E3562" w:rsidRDefault="00533B5E" w:rsidP="00533B5E">
      <w:pPr>
        <w:pStyle w:val="Heading5"/>
      </w:pPr>
      <w:r>
        <w:tab/>
      </w:r>
      <w:r w:rsidRPr="006E3562">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663F6879" w14:textId="77777777" w:rsidR="00533B5E" w:rsidRDefault="00533B5E" w:rsidP="00533B5E">
      <w:pPr>
        <w:pStyle w:val="P1-StandPara"/>
      </w:pPr>
      <w:r w:rsidRPr="006E3562">
        <w:t xml:space="preserve">There </w:t>
      </w:r>
      <w:r>
        <w:t xml:space="preserve">are </w:t>
      </w:r>
      <w:r w:rsidRPr="006E3562">
        <w:t>no capital</w:t>
      </w:r>
      <w:r>
        <w:t>/</w:t>
      </w:r>
      <w:r w:rsidRPr="006E3562">
        <w:t>startup or ongoing operation</w:t>
      </w:r>
      <w:r>
        <w:t>/</w:t>
      </w:r>
      <w:r w:rsidRPr="006E3562">
        <w:t xml:space="preserve">maintenance costs associated with this </w:t>
      </w:r>
      <w:r>
        <w:t>information</w:t>
      </w:r>
      <w:r w:rsidRPr="006E3562">
        <w:t xml:space="preserve"> collection.</w:t>
      </w:r>
    </w:p>
    <w:p w14:paraId="2997C43F" w14:textId="77777777" w:rsidR="006E3562" w:rsidRPr="006E3562" w:rsidRDefault="006E3562" w:rsidP="008B6333">
      <w:pPr>
        <w:pStyle w:val="Heading2"/>
      </w:pPr>
      <w:r w:rsidRPr="006E3562">
        <w:t>14.</w:t>
      </w:r>
      <w:r w:rsidRPr="006E3562">
        <w:tab/>
        <w:t xml:space="preserve">Estimates of </w:t>
      </w:r>
      <w:r w:rsidRPr="006E3562">
        <w:rPr>
          <w:bCs/>
        </w:rPr>
        <w:t xml:space="preserve">Annualized </w:t>
      </w:r>
      <w:r w:rsidRPr="006E3562">
        <w:t>Cost to the Federal Government</w:t>
      </w:r>
      <w:bookmarkEnd w:id="73"/>
      <w:bookmarkEnd w:id="74"/>
      <w:bookmarkEnd w:id="75"/>
      <w:bookmarkEnd w:id="76"/>
      <w:bookmarkEnd w:id="77"/>
      <w:bookmarkEnd w:id="78"/>
      <w:bookmarkEnd w:id="79"/>
    </w:p>
    <w:p w14:paraId="3E507A01" w14:textId="77777777" w:rsidR="006E3562" w:rsidRPr="006E3562" w:rsidRDefault="00597AF5" w:rsidP="00597AF5">
      <w:pPr>
        <w:pStyle w:val="Heading5"/>
      </w:pPr>
      <w:r>
        <w:tab/>
      </w:r>
      <w:r w:rsidR="006E3562" w:rsidRPr="006E3562">
        <w:t>Provide estimates of annualized cost to the Federal government. Provide a description of the method used to estimate cost and any other expense that would not have been incurred without this collection of information.</w:t>
      </w:r>
    </w:p>
    <w:p w14:paraId="30655F64" w14:textId="37B90F02" w:rsidR="001D29F8" w:rsidRDefault="006E3562" w:rsidP="00533B5E">
      <w:pPr>
        <w:pStyle w:val="P1-StandPara"/>
      </w:pPr>
      <w:r w:rsidRPr="00FB233C">
        <w:t xml:space="preserve">The total estimated cost of the study to the </w:t>
      </w:r>
      <w:r w:rsidR="009D3044">
        <w:t>F</w:t>
      </w:r>
      <w:r w:rsidRPr="00FB233C">
        <w:t xml:space="preserve">ederal government </w:t>
      </w:r>
      <w:r w:rsidRPr="00B16EC1">
        <w:t xml:space="preserve">is </w:t>
      </w:r>
      <w:r w:rsidR="0039066C" w:rsidRPr="00B16EC1">
        <w:t>$</w:t>
      </w:r>
      <w:r w:rsidR="00F00E23">
        <w:t>11,820,923.60</w:t>
      </w:r>
      <w:r w:rsidR="003D42D9">
        <w:t>,</w:t>
      </w:r>
      <w:r w:rsidR="00A11B94" w:rsidRPr="00B16EC1">
        <w:rPr>
          <w:rStyle w:val="FootnoteReference"/>
          <w:szCs w:val="24"/>
        </w:rPr>
        <w:footnoteReference w:id="24"/>
      </w:r>
      <w:r w:rsidR="0039066C" w:rsidRPr="00B16EC1">
        <w:t xml:space="preserve"> </w:t>
      </w:r>
      <w:r w:rsidR="00EE572D" w:rsidRPr="00B16EC1">
        <w:t>including</w:t>
      </w:r>
      <w:r w:rsidR="006E0F0A" w:rsidRPr="00B16EC1">
        <w:t xml:space="preserve"> contractor </w:t>
      </w:r>
      <w:r w:rsidR="00EE572D" w:rsidRPr="00B16EC1">
        <w:t>and Federal government employee costs</w:t>
      </w:r>
      <w:r w:rsidR="002E0A6D" w:rsidRPr="00B16EC1">
        <w:t xml:space="preserve">. </w:t>
      </w:r>
      <w:r w:rsidR="006E0F0A" w:rsidRPr="00B16EC1">
        <w:t>The average</w:t>
      </w:r>
      <w:r w:rsidR="00A11B94" w:rsidRPr="00B16EC1">
        <w:rPr>
          <w:rStyle w:val="FootnoteReference"/>
          <w:szCs w:val="24"/>
        </w:rPr>
        <w:footnoteReference w:id="25"/>
      </w:r>
      <w:r w:rsidR="006E0F0A" w:rsidRPr="00B16EC1">
        <w:t xml:space="preserve"> </w:t>
      </w:r>
      <w:r w:rsidR="006E0F0A" w:rsidRPr="00B16EC1">
        <w:rPr>
          <w:i/>
        </w:rPr>
        <w:t>annual</w:t>
      </w:r>
      <w:r w:rsidR="006E0F0A" w:rsidRPr="00B16EC1">
        <w:t xml:space="preserve"> cost to the Federal government</w:t>
      </w:r>
      <w:r w:rsidR="003D42D9">
        <w:t>,</w:t>
      </w:r>
      <w:r w:rsidR="006E0F0A" w:rsidRPr="00B16EC1">
        <w:t xml:space="preserve"> including contractor and Federal government employee cost</w:t>
      </w:r>
      <w:r w:rsidR="003D42D9">
        <w:t>,</w:t>
      </w:r>
      <w:r w:rsidR="006E0F0A" w:rsidRPr="00B16EC1">
        <w:t xml:space="preserve"> is </w:t>
      </w:r>
      <w:r w:rsidR="006747DF" w:rsidRPr="00B16EC1">
        <w:t>$</w:t>
      </w:r>
      <w:r w:rsidR="00F00E23">
        <w:t>2,364,184.72</w:t>
      </w:r>
      <w:r w:rsidR="00EE572D" w:rsidRPr="00B16EC1">
        <w:t>.</w:t>
      </w:r>
    </w:p>
    <w:p w14:paraId="3C094FCD" w14:textId="77777777" w:rsidR="001D29F8" w:rsidRDefault="00EE572D" w:rsidP="00533B5E">
      <w:pPr>
        <w:pStyle w:val="P1-StandPara"/>
      </w:pPr>
      <w:r w:rsidRPr="00B16EC1">
        <w:t>T</w:t>
      </w:r>
      <w:r w:rsidR="00FB233C" w:rsidRPr="00B16EC1">
        <w:t xml:space="preserve">he total estimated cost to the contractor is </w:t>
      </w:r>
      <w:r w:rsidR="0039066C" w:rsidRPr="00B16EC1">
        <w:t>$11,728,218.00</w:t>
      </w:r>
      <w:r w:rsidR="00A11B94" w:rsidRPr="00B16EC1">
        <w:rPr>
          <w:rStyle w:val="FootnoteReference"/>
          <w:szCs w:val="24"/>
        </w:rPr>
        <w:footnoteReference w:id="26"/>
      </w:r>
      <w:r w:rsidR="0039066C" w:rsidRPr="00B16EC1">
        <w:t xml:space="preserve"> </w:t>
      </w:r>
      <w:r w:rsidR="006E3562" w:rsidRPr="00B16EC1">
        <w:t xml:space="preserve">over </w:t>
      </w:r>
      <w:r w:rsidR="003D42D9">
        <w:t>5</w:t>
      </w:r>
      <w:r w:rsidR="003D42D9" w:rsidRPr="00B16EC1">
        <w:t xml:space="preserve"> </w:t>
      </w:r>
      <w:r w:rsidR="006E3562" w:rsidRPr="00B16EC1">
        <w:t>years (</w:t>
      </w:r>
      <w:r w:rsidR="003571DE" w:rsidRPr="00B16EC1">
        <w:t>September 2015 through September 2020</w:t>
      </w:r>
      <w:r w:rsidR="006E3562" w:rsidRPr="00B16EC1">
        <w:t>), re</w:t>
      </w:r>
      <w:r w:rsidR="00321EE6" w:rsidRPr="00B16EC1">
        <w:t xml:space="preserve">presenting </w:t>
      </w:r>
      <w:r w:rsidR="006E3562" w:rsidRPr="00B16EC1">
        <w:t xml:space="preserve">an </w:t>
      </w:r>
      <w:r w:rsidR="00FB233C" w:rsidRPr="00B16EC1">
        <w:t>average</w:t>
      </w:r>
      <w:r w:rsidR="00681A59" w:rsidRPr="00B16EC1">
        <w:rPr>
          <w:rStyle w:val="FootnoteReference"/>
          <w:szCs w:val="24"/>
        </w:rPr>
        <w:footnoteReference w:id="27"/>
      </w:r>
      <w:r w:rsidR="00FB233C" w:rsidRPr="00B16EC1">
        <w:t xml:space="preserve"> </w:t>
      </w:r>
      <w:r w:rsidR="006E3562" w:rsidRPr="00B16EC1">
        <w:t>annualized cost of $</w:t>
      </w:r>
      <w:r w:rsidR="0039066C" w:rsidRPr="00B16EC1">
        <w:t>2,345,643.60</w:t>
      </w:r>
      <w:r w:rsidR="006E3562" w:rsidRPr="00B16EC1">
        <w:t>. This represents the contractor</w:t>
      </w:r>
      <w:r w:rsidR="001D29F8">
        <w:t>’</w:t>
      </w:r>
      <w:r w:rsidR="006E3562" w:rsidRPr="00B16EC1">
        <w:t>s costs for labor, other direct costs, and indirect</w:t>
      </w:r>
      <w:r w:rsidR="006E3562" w:rsidRPr="00FB233C">
        <w:t xml:space="preserve"> costs.</w:t>
      </w:r>
    </w:p>
    <w:p w14:paraId="4C474875" w14:textId="77777777" w:rsidR="00B1320F" w:rsidRPr="00B1320F" w:rsidRDefault="00B1320F" w:rsidP="00533B5E">
      <w:pPr>
        <w:pStyle w:val="P1-StandPara"/>
      </w:pPr>
      <w:r w:rsidRPr="00B1320F">
        <w:t xml:space="preserve">The total estimated cost to the Federal government for the FNS employee, </w:t>
      </w:r>
      <w:r w:rsidR="003D42D9">
        <w:t>s</w:t>
      </w:r>
      <w:r w:rsidRPr="00B1320F">
        <w:t xml:space="preserve">ocial </w:t>
      </w:r>
      <w:r w:rsidR="003D42D9">
        <w:t>s</w:t>
      </w:r>
      <w:r w:rsidR="003D42D9" w:rsidRPr="00B1320F">
        <w:t xml:space="preserve">cience </w:t>
      </w:r>
      <w:r w:rsidR="003D42D9">
        <w:t>r</w:t>
      </w:r>
      <w:r w:rsidR="003D42D9" w:rsidRPr="00B1320F">
        <w:t xml:space="preserve">esearch </w:t>
      </w:r>
      <w:r w:rsidR="003D42D9">
        <w:t>a</w:t>
      </w:r>
      <w:r w:rsidR="003D42D9" w:rsidRPr="00B1320F">
        <w:t>nalyst</w:t>
      </w:r>
      <w:r w:rsidRPr="00B1320F">
        <w:t>/</w:t>
      </w:r>
      <w:r w:rsidR="003D42D9">
        <w:t>p</w:t>
      </w:r>
      <w:r w:rsidR="003D42D9" w:rsidRPr="00B1320F">
        <w:t xml:space="preserve">roject </w:t>
      </w:r>
      <w:r w:rsidR="003D42D9">
        <w:t>o</w:t>
      </w:r>
      <w:r w:rsidRPr="00B1320F">
        <w:t xml:space="preserve">fficer, involved in project oversight with the study is estimated at $92,705.60 over </w:t>
      </w:r>
      <w:r w:rsidR="003D42D9">
        <w:t>5</w:t>
      </w:r>
      <w:r w:rsidR="003D42D9" w:rsidRPr="00B1320F">
        <w:t xml:space="preserve"> </w:t>
      </w:r>
      <w:r w:rsidRPr="00B1320F">
        <w:t>years. This represents an estimated annual cost of $18,541.12</w:t>
      </w:r>
      <w:r w:rsidR="001D29F8">
        <w:t xml:space="preserve"> </w:t>
      </w:r>
      <w:r w:rsidRPr="00B1320F">
        <w:t>(GS-12, step 6 at $44.57 per hour</w:t>
      </w:r>
      <w:r w:rsidR="00E05122">
        <w:t>,</w:t>
      </w:r>
      <w:r w:rsidRPr="00B1320F">
        <w:t xml:space="preserve"> 416 hours per year). Federal employee pay rates are based on the Office of Personnel Management (OPM) salary table for 2017 for the Washington, DC</w:t>
      </w:r>
      <w:r w:rsidR="00E2576F">
        <w:t>,</w:t>
      </w:r>
      <w:r w:rsidRPr="00B1320F">
        <w:t xml:space="preserve"> metro area locality</w:t>
      </w:r>
      <w:r>
        <w:t xml:space="preserve"> (for the locality pay area of Washington-Baltimore-Arlington, DC-MD-VA-WV-PA)</w:t>
      </w:r>
      <w:r w:rsidRPr="00B1320F">
        <w:t>.</w:t>
      </w:r>
      <w:r w:rsidR="00875161">
        <w:rPr>
          <w:rStyle w:val="FootnoteReference"/>
          <w:szCs w:val="24"/>
        </w:rPr>
        <w:footnoteReference w:id="28"/>
      </w:r>
    </w:p>
    <w:p w14:paraId="65B39A4D" w14:textId="77777777" w:rsidR="006E3562" w:rsidRPr="006E3562" w:rsidRDefault="006E3562" w:rsidP="008B6333">
      <w:pPr>
        <w:pStyle w:val="Heading2"/>
      </w:pPr>
      <w:bookmarkStart w:id="80" w:name="_Toc90785927"/>
      <w:bookmarkStart w:id="81" w:name="_Toc96323936"/>
      <w:bookmarkStart w:id="82" w:name="_Toc316309697"/>
      <w:bookmarkStart w:id="83" w:name="_Toc316311784"/>
      <w:bookmarkStart w:id="84" w:name="_Toc318291774"/>
      <w:bookmarkStart w:id="85" w:name="_Toc318292458"/>
      <w:bookmarkStart w:id="86" w:name="_Toc409608447"/>
      <w:r w:rsidRPr="006E3562">
        <w:t>15.</w:t>
      </w:r>
      <w:r w:rsidRPr="006E3562">
        <w:tab/>
      </w:r>
      <w:r w:rsidRPr="006E3562">
        <w:rPr>
          <w:bCs/>
        </w:rPr>
        <w:t xml:space="preserve">Explanation of </w:t>
      </w:r>
      <w:r w:rsidRPr="006E3562">
        <w:t>Program Changes or Adjustments</w:t>
      </w:r>
      <w:bookmarkEnd w:id="80"/>
      <w:bookmarkEnd w:id="81"/>
      <w:bookmarkEnd w:id="82"/>
      <w:bookmarkEnd w:id="83"/>
      <w:bookmarkEnd w:id="84"/>
      <w:bookmarkEnd w:id="85"/>
      <w:bookmarkEnd w:id="86"/>
    </w:p>
    <w:p w14:paraId="36336818" w14:textId="77777777" w:rsidR="000A7F66" w:rsidRDefault="00597AF5" w:rsidP="00597AF5">
      <w:pPr>
        <w:pStyle w:val="Heading5"/>
      </w:pPr>
      <w:r>
        <w:tab/>
      </w:r>
      <w:r w:rsidR="006E3562" w:rsidRPr="006E3562">
        <w:t>Explain the reasons for any program changes or adjustments reported in Items 13 or 14 of the OMB Form 83-1.</w:t>
      </w:r>
    </w:p>
    <w:p w14:paraId="6D2D3EAD" w14:textId="47F61DFF" w:rsidR="001D29F8" w:rsidRDefault="000A7F66" w:rsidP="00533B5E">
      <w:pPr>
        <w:pStyle w:val="P1-StandPara"/>
      </w:pPr>
      <w:r w:rsidRPr="009F063B">
        <w:t>This collection is a reinstatement of a previously approved information collection</w:t>
      </w:r>
      <w:r w:rsidR="002F22EF" w:rsidRPr="009F063B">
        <w:rPr>
          <w:rStyle w:val="FootnoteReference"/>
          <w:szCs w:val="24"/>
        </w:rPr>
        <w:footnoteReference w:id="29"/>
      </w:r>
      <w:r w:rsidRPr="009F063B">
        <w:t xml:space="preserve"> </w:t>
      </w:r>
      <w:r w:rsidR="0034666F" w:rsidRPr="009F063B">
        <w:t>as a result of program changes</w:t>
      </w:r>
      <w:r w:rsidR="000C2C93" w:rsidRPr="009F063B">
        <w:t>,</w:t>
      </w:r>
      <w:r w:rsidR="0034666F" w:rsidRPr="009F063B">
        <w:t xml:space="preserve"> and will add </w:t>
      </w:r>
      <w:r w:rsidR="00F7161D">
        <w:t>13,04</w:t>
      </w:r>
      <w:r w:rsidR="00286129">
        <w:t xml:space="preserve">2 </w:t>
      </w:r>
      <w:r w:rsidR="0034666F" w:rsidRPr="009F063B">
        <w:t xml:space="preserve">hours of </w:t>
      </w:r>
      <w:r w:rsidR="00AE0E96" w:rsidRPr="009F063B">
        <w:t xml:space="preserve">annual </w:t>
      </w:r>
      <w:r w:rsidR="0034666F" w:rsidRPr="009F063B">
        <w:t xml:space="preserve">burden and </w:t>
      </w:r>
      <w:r w:rsidR="00F7161D">
        <w:t>59,016</w:t>
      </w:r>
      <w:r w:rsidR="007853ED" w:rsidRPr="009F063B">
        <w:t xml:space="preserve"> </w:t>
      </w:r>
      <w:r w:rsidR="0034666F" w:rsidRPr="009F063B">
        <w:t>responses to OMB</w:t>
      </w:r>
      <w:r w:rsidR="001D29F8">
        <w:t>’</w:t>
      </w:r>
      <w:r w:rsidR="0034666F" w:rsidRPr="009F063B">
        <w:t>s inventory.</w:t>
      </w:r>
      <w:r w:rsidR="0034666F">
        <w:t xml:space="preserve"> </w:t>
      </w:r>
      <w:r w:rsidR="00B07906">
        <w:t>When this collection was discontinued, it had 5,363 burden hours and 7,974 response</w:t>
      </w:r>
      <w:r w:rsidR="00247C43">
        <w:t>s</w:t>
      </w:r>
      <w:r w:rsidR="00B07906">
        <w:t>, so this reinstatement reflects an increase from APEC</w:t>
      </w:r>
      <w:r w:rsidR="00286129">
        <w:t xml:space="preserve"> II (approximately </w:t>
      </w:r>
      <w:r w:rsidR="00F7161D">
        <w:t>7,6</w:t>
      </w:r>
      <w:r w:rsidR="00286129">
        <w:t>79</w:t>
      </w:r>
      <w:r w:rsidR="00B07906" w:rsidRPr="00F7161D">
        <w:t xml:space="preserve"> burden hours and </w:t>
      </w:r>
      <w:r w:rsidR="00F7161D">
        <w:t>51,042</w:t>
      </w:r>
      <w:r w:rsidR="00B07906" w:rsidRPr="00F7161D">
        <w:t xml:space="preserve"> r</w:t>
      </w:r>
      <w:r w:rsidR="00B07906">
        <w:t xml:space="preserve">esponses).  </w:t>
      </w:r>
      <w:r w:rsidR="00F7161D">
        <w:t xml:space="preserve">This </w:t>
      </w:r>
      <w:r w:rsidR="00F42068">
        <w:t>substantia</w:t>
      </w:r>
      <w:r w:rsidR="00CD4994">
        <w:t xml:space="preserve">l increase from APEC II </w:t>
      </w:r>
      <w:r w:rsidR="00B07906">
        <w:t xml:space="preserve">is </w:t>
      </w:r>
      <w:r w:rsidR="00F42068">
        <w:t xml:space="preserve">due to enhancements to the APEC III design to </w:t>
      </w:r>
      <w:r w:rsidR="00CD4994">
        <w:t>increase precisi</w:t>
      </w:r>
      <w:r w:rsidR="002F5F11">
        <w:t>on for estimating errors;</w:t>
      </w:r>
      <w:r w:rsidR="00CD4994">
        <w:t xml:space="preserve"> collect qualitative </w:t>
      </w:r>
      <w:r w:rsidR="002735BF">
        <w:t>data</w:t>
      </w:r>
      <w:r w:rsidR="002735BF">
        <w:rPr>
          <w:rStyle w:val="FootnoteReference"/>
          <w:szCs w:val="24"/>
        </w:rPr>
        <w:footnoteReference w:id="30"/>
      </w:r>
      <w:r w:rsidR="002735BF">
        <w:t xml:space="preserve"> </w:t>
      </w:r>
      <w:r w:rsidR="00CD4994">
        <w:t>to provide information on the causes of error</w:t>
      </w:r>
      <w:r w:rsidR="002F5F11">
        <w:t xml:space="preserve"> to help guide policy decisions; address the concern about sample seasonality; and have more accurate measures of improper payments. </w:t>
      </w:r>
      <w:r w:rsidR="005D1411">
        <w:t xml:space="preserve">These design enhancements required the following </w:t>
      </w:r>
      <w:r w:rsidR="001D23CD">
        <w:t>changes (</w:t>
      </w:r>
      <w:r w:rsidR="005D1411">
        <w:t>that in turn increase</w:t>
      </w:r>
      <w:r w:rsidR="004C0FF9">
        <w:t>d</w:t>
      </w:r>
      <w:r w:rsidR="005D1411">
        <w:t xml:space="preserve"> the burden </w:t>
      </w:r>
      <w:r w:rsidR="002735BF">
        <w:t>hours and number of responses</w:t>
      </w:r>
      <w:r w:rsidR="001D23CD">
        <w:t>)</w:t>
      </w:r>
      <w:r w:rsidR="002735BF">
        <w:t xml:space="preserve">: </w:t>
      </w:r>
      <w:r w:rsidR="004C01A7">
        <w:t>(</w:t>
      </w:r>
      <w:r w:rsidR="002735BF">
        <w:t>1)</w:t>
      </w:r>
      <w:r w:rsidR="004C01A7">
        <w:t> </w:t>
      </w:r>
      <w:r w:rsidR="002735BF">
        <w:t xml:space="preserve">increased sample of SFAs; </w:t>
      </w:r>
      <w:r w:rsidR="004C01A7">
        <w:t>(</w:t>
      </w:r>
      <w:r w:rsidR="002735BF">
        <w:t>2)</w:t>
      </w:r>
      <w:r w:rsidR="004C01A7">
        <w:t> </w:t>
      </w:r>
      <w:r w:rsidR="002735BF">
        <w:t xml:space="preserve">an increased sample of schools due to the increase of SFAs; </w:t>
      </w:r>
      <w:r w:rsidR="004C01A7">
        <w:t>(</w:t>
      </w:r>
      <w:r w:rsidR="002735BF">
        <w:t>3)</w:t>
      </w:r>
      <w:r w:rsidR="004C01A7">
        <w:t> </w:t>
      </w:r>
      <w:r w:rsidR="002735BF">
        <w:t xml:space="preserve">expansion of the SFA director survey; </w:t>
      </w:r>
      <w:r w:rsidR="004C01A7">
        <w:t>(</w:t>
      </w:r>
      <w:r w:rsidR="002735BF">
        <w:t>4)</w:t>
      </w:r>
      <w:r w:rsidR="004C01A7">
        <w:t> </w:t>
      </w:r>
      <w:r w:rsidR="002735BF">
        <w:t>addition of an SFA director qualitative interview (for a sub</w:t>
      </w:r>
      <w:r w:rsidR="00E2576F">
        <w:t>-</w:t>
      </w:r>
      <w:r w:rsidR="002735BF">
        <w:t xml:space="preserve">sample only); </w:t>
      </w:r>
      <w:r w:rsidR="004C01A7">
        <w:t>(</w:t>
      </w:r>
      <w:r w:rsidR="002735BF">
        <w:t>5)</w:t>
      </w:r>
      <w:r w:rsidR="004C01A7">
        <w:t> </w:t>
      </w:r>
      <w:r w:rsidR="002735BF" w:rsidRPr="003A35C8">
        <w:t>addition of a cafeteria manager interview (for a sub</w:t>
      </w:r>
      <w:r w:rsidR="00E2576F" w:rsidRPr="003A35C8">
        <w:t>-</w:t>
      </w:r>
      <w:r w:rsidR="002735BF" w:rsidRPr="003A35C8">
        <w:t>sample only)</w:t>
      </w:r>
      <w:r w:rsidR="008B2754" w:rsidRPr="003A35C8">
        <w:t>;</w:t>
      </w:r>
      <w:r w:rsidR="008B2754">
        <w:t xml:space="preserve"> </w:t>
      </w:r>
      <w:r w:rsidR="004C01A7">
        <w:t>(</w:t>
      </w:r>
      <w:r w:rsidR="008B2754">
        <w:t>6)</w:t>
      </w:r>
      <w:r w:rsidR="004C01A7">
        <w:t> </w:t>
      </w:r>
      <w:r w:rsidR="00685195">
        <w:t>increase</w:t>
      </w:r>
      <w:r w:rsidR="005F6A08">
        <w:t>d</w:t>
      </w:r>
      <w:r w:rsidR="00685195">
        <w:t xml:space="preserve"> sample of households due to the increase</w:t>
      </w:r>
      <w:r w:rsidR="005F6A08">
        <w:t>d</w:t>
      </w:r>
      <w:r w:rsidR="00685195">
        <w:t xml:space="preserve"> </w:t>
      </w:r>
      <w:r w:rsidR="005F6A08">
        <w:t>sample of</w:t>
      </w:r>
      <w:r w:rsidR="00685195">
        <w:t xml:space="preserve"> schools; </w:t>
      </w:r>
      <w:r w:rsidR="004C01A7">
        <w:t>(</w:t>
      </w:r>
      <w:r w:rsidR="00685195">
        <w:t>7)</w:t>
      </w:r>
      <w:r w:rsidR="004C01A7">
        <w:t> </w:t>
      </w:r>
      <w:r w:rsidR="008B2754">
        <w:t>expansion of the household survey to better u</w:t>
      </w:r>
      <w:r w:rsidR="00DC0E4F">
        <w:t>nde</w:t>
      </w:r>
      <w:r w:rsidR="00685195">
        <w:t xml:space="preserve">rstand reasons for errors; and </w:t>
      </w:r>
      <w:r w:rsidR="004C01A7">
        <w:t>(</w:t>
      </w:r>
      <w:r w:rsidR="00685195">
        <w:t>8</w:t>
      </w:r>
      <w:r w:rsidR="00DC0E4F">
        <w:t>)</w:t>
      </w:r>
      <w:r w:rsidR="004C01A7">
        <w:t> </w:t>
      </w:r>
      <w:r w:rsidR="00DC0E4F">
        <w:t>addition of a household interview (with a sub</w:t>
      </w:r>
      <w:r w:rsidR="00E2576F">
        <w:t>-</w:t>
      </w:r>
      <w:r w:rsidR="00DC0E4F">
        <w:t>sample only).</w:t>
      </w:r>
    </w:p>
    <w:p w14:paraId="7BCA6A81" w14:textId="77777777" w:rsidR="006E3562" w:rsidRPr="006E3562" w:rsidRDefault="006E3562" w:rsidP="008B6333">
      <w:pPr>
        <w:pStyle w:val="Heading2"/>
      </w:pPr>
      <w:bookmarkStart w:id="87" w:name="_Toc316309698"/>
      <w:bookmarkStart w:id="88" w:name="_Toc316311785"/>
      <w:bookmarkStart w:id="89" w:name="_Toc318291775"/>
      <w:bookmarkStart w:id="90" w:name="_Toc318292459"/>
      <w:bookmarkStart w:id="91" w:name="_Toc409608448"/>
      <w:r w:rsidRPr="006E3562">
        <w:t>16.</w:t>
      </w:r>
      <w:r w:rsidRPr="006E3562">
        <w:tab/>
        <w:t>Plans for Tabulations, and Publication a</w:t>
      </w:r>
      <w:r w:rsidRPr="006E3562">
        <w:rPr>
          <w:bCs/>
        </w:rPr>
        <w:t>nd Project Time Schedule</w:t>
      </w:r>
      <w:bookmarkEnd w:id="87"/>
      <w:bookmarkEnd w:id="88"/>
      <w:bookmarkEnd w:id="89"/>
      <w:bookmarkEnd w:id="90"/>
      <w:bookmarkEnd w:id="91"/>
    </w:p>
    <w:p w14:paraId="1F64DA37" w14:textId="77777777" w:rsidR="006E3562" w:rsidRPr="006E3562" w:rsidRDefault="00597AF5" w:rsidP="00597AF5">
      <w:pPr>
        <w:pStyle w:val="Heading5"/>
      </w:pPr>
      <w:bookmarkStart w:id="92" w:name="_Toc90785929"/>
      <w:bookmarkStart w:id="93" w:name="_Toc96323938"/>
      <w:bookmarkStart w:id="94" w:name="_Toc316309699"/>
      <w:r>
        <w:tab/>
      </w:r>
      <w:r w:rsidR="006E3562" w:rsidRPr="006E3562">
        <w:t>For collections of information whose results are planned to be published, outline plans for tabulation and publication.</w:t>
      </w:r>
    </w:p>
    <w:bookmarkEnd w:id="92"/>
    <w:bookmarkEnd w:id="93"/>
    <w:bookmarkEnd w:id="94"/>
    <w:p w14:paraId="7B14337D" w14:textId="77777777" w:rsidR="005C40FF" w:rsidRDefault="005C40FF" w:rsidP="00533B5E">
      <w:pPr>
        <w:pStyle w:val="P1-StandPara"/>
      </w:pPr>
      <w:r w:rsidRPr="002E17BD">
        <w:t xml:space="preserve">Table A16-1 below </w:t>
      </w:r>
      <w:r w:rsidR="006E3562" w:rsidRPr="002E17BD">
        <w:t xml:space="preserve">provides the schedule for </w:t>
      </w:r>
      <w:r w:rsidR="00BE3BE3" w:rsidRPr="002E17BD">
        <w:t>APEC III</w:t>
      </w:r>
      <w:r w:rsidR="006E3562" w:rsidRPr="002E17BD">
        <w:t xml:space="preserve"> activities.</w:t>
      </w:r>
    </w:p>
    <w:p w14:paraId="51083580" w14:textId="77777777" w:rsidR="006E3562" w:rsidRDefault="005C40FF" w:rsidP="00597AF5">
      <w:pPr>
        <w:pStyle w:val="TT-TableTitle"/>
      </w:pPr>
      <w:r>
        <w:t>Table A16-1</w:t>
      </w:r>
      <w:r w:rsidR="00597AF5">
        <w:t>.</w:t>
      </w:r>
      <w:r w:rsidR="00597AF5">
        <w:tab/>
      </w:r>
      <w:r>
        <w:t xml:space="preserve">Proposed </w:t>
      </w:r>
      <w:r w:rsidR="00597AF5">
        <w:t>study schedule</w:t>
      </w:r>
    </w:p>
    <w:p w14:paraId="42F94957" w14:textId="77777777" w:rsidR="00597AF5" w:rsidRPr="006E3562" w:rsidRDefault="00597AF5" w:rsidP="00597AF5">
      <w:pPr>
        <w:pStyle w:val="TT-TableTitle"/>
      </w:pPr>
    </w:p>
    <w:tbl>
      <w:tblPr>
        <w:tblW w:w="5000" w:type="pct"/>
        <w:tblBorders>
          <w:bottom w:val="single" w:sz="4" w:space="0" w:color="auto"/>
        </w:tblBorders>
        <w:tblLook w:val="04A0" w:firstRow="1" w:lastRow="0" w:firstColumn="1" w:lastColumn="0" w:noHBand="0" w:noVBand="1"/>
      </w:tblPr>
      <w:tblGrid>
        <w:gridCol w:w="6138"/>
        <w:gridCol w:w="3438"/>
      </w:tblGrid>
      <w:tr w:rsidR="006E3562" w:rsidRPr="006E3562" w14:paraId="6D0CA25F" w14:textId="77777777" w:rsidTr="004E041D">
        <w:tc>
          <w:tcPr>
            <w:tcW w:w="3205" w:type="pct"/>
            <w:tcBorders>
              <w:top w:val="single" w:sz="4" w:space="0" w:color="auto"/>
              <w:left w:val="nil"/>
              <w:bottom w:val="single" w:sz="4" w:space="0" w:color="auto"/>
              <w:right w:val="nil"/>
              <w:tl2br w:val="nil"/>
              <w:tr2bl w:val="nil"/>
            </w:tcBorders>
            <w:shd w:val="clear" w:color="auto" w:fill="AFBED7"/>
          </w:tcPr>
          <w:p w14:paraId="707F6046" w14:textId="77777777" w:rsidR="006E3562" w:rsidRPr="006E3562" w:rsidRDefault="006E3562" w:rsidP="00597AF5">
            <w:pPr>
              <w:pStyle w:val="TH-TableHeading"/>
            </w:pPr>
            <w:r w:rsidRPr="006E3562">
              <w:t xml:space="preserve">Project </w:t>
            </w:r>
            <w:r w:rsidR="00597AF5" w:rsidRPr="006E3562">
              <w:t>activity</w:t>
            </w:r>
          </w:p>
        </w:tc>
        <w:tc>
          <w:tcPr>
            <w:tcW w:w="1795" w:type="pct"/>
            <w:tcBorders>
              <w:top w:val="single" w:sz="4" w:space="0" w:color="auto"/>
              <w:left w:val="nil"/>
              <w:bottom w:val="single" w:sz="4" w:space="0" w:color="auto"/>
              <w:right w:val="nil"/>
              <w:tl2br w:val="nil"/>
              <w:tr2bl w:val="nil"/>
            </w:tcBorders>
            <w:shd w:val="clear" w:color="auto" w:fill="AFBED7"/>
          </w:tcPr>
          <w:p w14:paraId="619D5D2E" w14:textId="77777777" w:rsidR="006E3562" w:rsidRPr="006E3562" w:rsidRDefault="006E3562" w:rsidP="00597AF5">
            <w:pPr>
              <w:pStyle w:val="TH-TableHeading"/>
            </w:pPr>
            <w:r w:rsidRPr="006E3562">
              <w:t>Schedule</w:t>
            </w:r>
          </w:p>
        </w:tc>
      </w:tr>
      <w:tr w:rsidR="00E66BC3" w:rsidRPr="006E3562" w14:paraId="334131F2" w14:textId="77777777" w:rsidTr="004E041D">
        <w:tc>
          <w:tcPr>
            <w:tcW w:w="3205" w:type="pct"/>
            <w:shd w:val="clear" w:color="auto" w:fill="auto"/>
          </w:tcPr>
          <w:p w14:paraId="18BE0F99" w14:textId="348110E8" w:rsidR="00E66BC3" w:rsidRDefault="00C37F6D" w:rsidP="00597AF5">
            <w:pPr>
              <w:pStyle w:val="TX-TableText"/>
            </w:pPr>
            <w:r>
              <w:t>Pre Data Collection Activities (</w:t>
            </w:r>
            <w:r w:rsidR="00E66BC3" w:rsidRPr="00883184">
              <w:t>Sample Frame Development</w:t>
            </w:r>
            <w:r>
              <w:t>)</w:t>
            </w:r>
            <w:r w:rsidR="00E2306D" w:rsidRPr="00883184">
              <w:t>*</w:t>
            </w:r>
          </w:p>
        </w:tc>
        <w:tc>
          <w:tcPr>
            <w:tcW w:w="1795" w:type="pct"/>
            <w:shd w:val="clear" w:color="auto" w:fill="auto"/>
          </w:tcPr>
          <w:p w14:paraId="4E692870" w14:textId="77777777" w:rsidR="00E66BC3" w:rsidRDefault="00E66BC3" w:rsidP="00597AF5">
            <w:pPr>
              <w:pStyle w:val="TX-TableText"/>
            </w:pPr>
            <w:r>
              <w:t>Feb 2016 – Apr 2017</w:t>
            </w:r>
          </w:p>
        </w:tc>
      </w:tr>
      <w:tr w:rsidR="006E3562" w:rsidRPr="006E3562" w14:paraId="67748C4F" w14:textId="77777777" w:rsidTr="004E041D">
        <w:tc>
          <w:tcPr>
            <w:tcW w:w="3205" w:type="pct"/>
            <w:shd w:val="clear" w:color="auto" w:fill="auto"/>
          </w:tcPr>
          <w:p w14:paraId="6725E1E9" w14:textId="77777777" w:rsidR="006E3562" w:rsidRPr="002E17BD" w:rsidRDefault="006E3562" w:rsidP="00597AF5">
            <w:pPr>
              <w:pStyle w:val="TX-TableText"/>
            </w:pPr>
            <w:r w:rsidRPr="002E17BD">
              <w:t xml:space="preserve">Train Data Collectors </w:t>
            </w:r>
          </w:p>
        </w:tc>
        <w:tc>
          <w:tcPr>
            <w:tcW w:w="1795" w:type="pct"/>
            <w:shd w:val="clear" w:color="auto" w:fill="auto"/>
          </w:tcPr>
          <w:p w14:paraId="33588F0C" w14:textId="77777777" w:rsidR="006E3562" w:rsidRPr="002E17BD" w:rsidRDefault="00F74852" w:rsidP="00597AF5">
            <w:pPr>
              <w:pStyle w:val="TX-TableText"/>
            </w:pPr>
            <w:r>
              <w:t xml:space="preserve">Aug 2017 </w:t>
            </w:r>
          </w:p>
        </w:tc>
      </w:tr>
      <w:tr w:rsidR="006E3562" w:rsidRPr="006E3562" w14:paraId="64E72ECB" w14:textId="77777777" w:rsidTr="004E041D">
        <w:tc>
          <w:tcPr>
            <w:tcW w:w="3205" w:type="pct"/>
            <w:shd w:val="clear" w:color="auto" w:fill="auto"/>
          </w:tcPr>
          <w:p w14:paraId="7D37A171" w14:textId="77777777" w:rsidR="006E3562" w:rsidRPr="002E17BD" w:rsidRDefault="006E3562" w:rsidP="00597AF5">
            <w:pPr>
              <w:pStyle w:val="TX-TableText"/>
            </w:pPr>
            <w:r w:rsidRPr="002E17BD">
              <w:t>Conduct Data Collection</w:t>
            </w:r>
            <w:r w:rsidR="00201159">
              <w:t>*</w:t>
            </w:r>
            <w:r w:rsidR="00383B32">
              <w:t>*</w:t>
            </w:r>
          </w:p>
        </w:tc>
        <w:tc>
          <w:tcPr>
            <w:tcW w:w="1795" w:type="pct"/>
            <w:shd w:val="clear" w:color="auto" w:fill="auto"/>
          </w:tcPr>
          <w:p w14:paraId="5A3957B9" w14:textId="5672656D" w:rsidR="006E3562" w:rsidRPr="002E17BD" w:rsidRDefault="00F74852" w:rsidP="00AA25DB">
            <w:pPr>
              <w:pStyle w:val="TX-TableText"/>
            </w:pPr>
            <w:r>
              <w:t xml:space="preserve">Aug </w:t>
            </w:r>
            <w:r w:rsidR="00EB6AA8">
              <w:t xml:space="preserve">2017 </w:t>
            </w:r>
            <w:r w:rsidR="00AA25DB">
              <w:t>–</w:t>
            </w:r>
            <w:r w:rsidR="00EB6AA8">
              <w:t xml:space="preserve"> </w:t>
            </w:r>
            <w:r w:rsidR="003E0736">
              <w:t>Jun</w:t>
            </w:r>
            <w:r w:rsidR="00AC64A7" w:rsidRPr="002E17BD">
              <w:t xml:space="preserve"> 2018</w:t>
            </w:r>
          </w:p>
        </w:tc>
      </w:tr>
      <w:tr w:rsidR="006E3562" w:rsidRPr="006E3562" w14:paraId="0F89A3DE" w14:textId="77777777" w:rsidTr="004E041D">
        <w:tc>
          <w:tcPr>
            <w:tcW w:w="3205" w:type="pct"/>
            <w:shd w:val="clear" w:color="auto" w:fill="auto"/>
          </w:tcPr>
          <w:p w14:paraId="13FB12BE" w14:textId="77777777" w:rsidR="006E3562" w:rsidRPr="002E17BD" w:rsidRDefault="00201159" w:rsidP="00597AF5">
            <w:pPr>
              <w:pStyle w:val="TX-TableText"/>
            </w:pPr>
            <w:r>
              <w:t>Create Study Database</w:t>
            </w:r>
          </w:p>
        </w:tc>
        <w:tc>
          <w:tcPr>
            <w:tcW w:w="1795" w:type="pct"/>
            <w:shd w:val="clear" w:color="auto" w:fill="auto"/>
          </w:tcPr>
          <w:p w14:paraId="220AB334" w14:textId="77777777" w:rsidR="00DE438C" w:rsidRPr="002E17BD" w:rsidRDefault="00EB6AA8" w:rsidP="00597AF5">
            <w:pPr>
              <w:pStyle w:val="TX-TableText"/>
            </w:pPr>
            <w:r>
              <w:t>Feb 2017 – Aug 2017</w:t>
            </w:r>
          </w:p>
        </w:tc>
      </w:tr>
      <w:tr w:rsidR="00EB6AA8" w:rsidRPr="006E3562" w14:paraId="26DBC8F7" w14:textId="77777777" w:rsidTr="004E041D">
        <w:tc>
          <w:tcPr>
            <w:tcW w:w="3205" w:type="pct"/>
            <w:shd w:val="clear" w:color="auto" w:fill="auto"/>
          </w:tcPr>
          <w:p w14:paraId="2E602430" w14:textId="77777777" w:rsidR="00EB6AA8" w:rsidRDefault="00EB6AA8" w:rsidP="00597AF5">
            <w:pPr>
              <w:pStyle w:val="TX-TableText"/>
            </w:pPr>
            <w:r w:rsidRPr="002E17BD">
              <w:t>Analyze Data</w:t>
            </w:r>
          </w:p>
        </w:tc>
        <w:tc>
          <w:tcPr>
            <w:tcW w:w="1795" w:type="pct"/>
            <w:shd w:val="clear" w:color="auto" w:fill="auto"/>
          </w:tcPr>
          <w:p w14:paraId="3959032E" w14:textId="77777777" w:rsidR="00EB6AA8" w:rsidRDefault="00EB6AA8" w:rsidP="00597AF5">
            <w:pPr>
              <w:pStyle w:val="TX-TableText"/>
            </w:pPr>
            <w:r>
              <w:t>Aug 2018 – Mar 2019</w:t>
            </w:r>
          </w:p>
        </w:tc>
      </w:tr>
      <w:tr w:rsidR="00201159" w:rsidRPr="006E3562" w14:paraId="4C70ED4A" w14:textId="77777777" w:rsidTr="004E041D">
        <w:tc>
          <w:tcPr>
            <w:tcW w:w="3205" w:type="pct"/>
            <w:shd w:val="clear" w:color="auto" w:fill="auto"/>
          </w:tcPr>
          <w:p w14:paraId="58B9699F" w14:textId="77777777" w:rsidR="00201159" w:rsidRPr="002E17BD" w:rsidRDefault="00201159" w:rsidP="00597AF5">
            <w:pPr>
              <w:pStyle w:val="TX-TableText"/>
            </w:pPr>
            <w:r>
              <w:t>Create and Validate National &amp; State-</w:t>
            </w:r>
            <w:r w:rsidR="00E2576F">
              <w:t>L</w:t>
            </w:r>
            <w:r>
              <w:t>evel Estimation Models</w:t>
            </w:r>
          </w:p>
        </w:tc>
        <w:tc>
          <w:tcPr>
            <w:tcW w:w="1795" w:type="pct"/>
            <w:shd w:val="clear" w:color="auto" w:fill="auto"/>
          </w:tcPr>
          <w:p w14:paraId="5C15D3F3" w14:textId="77777777" w:rsidR="00201159" w:rsidRPr="002E17BD" w:rsidRDefault="00EB6AA8" w:rsidP="00597AF5">
            <w:pPr>
              <w:pStyle w:val="TX-TableText"/>
            </w:pPr>
            <w:r>
              <w:t>Apr 2019 – Sep</w:t>
            </w:r>
            <w:r w:rsidR="00201159">
              <w:t xml:space="preserve"> 2019</w:t>
            </w:r>
          </w:p>
        </w:tc>
      </w:tr>
      <w:tr w:rsidR="00201159" w:rsidRPr="006E3562" w14:paraId="1D705912" w14:textId="77777777" w:rsidTr="004E041D">
        <w:tc>
          <w:tcPr>
            <w:tcW w:w="3205" w:type="pct"/>
            <w:shd w:val="clear" w:color="auto" w:fill="auto"/>
          </w:tcPr>
          <w:p w14:paraId="234C0BD2" w14:textId="77777777" w:rsidR="00201159" w:rsidRPr="002E17BD" w:rsidRDefault="00201159" w:rsidP="00597AF5">
            <w:pPr>
              <w:pStyle w:val="TX-TableText"/>
            </w:pPr>
            <w:r w:rsidRPr="002E17BD">
              <w:t>Draft, Revised</w:t>
            </w:r>
            <w:r w:rsidR="00E2576F">
              <w:t>,</w:t>
            </w:r>
            <w:r w:rsidRPr="002E17BD">
              <w:t xml:space="preserve"> and Final Reports </w:t>
            </w:r>
          </w:p>
        </w:tc>
        <w:tc>
          <w:tcPr>
            <w:tcW w:w="1795" w:type="pct"/>
            <w:shd w:val="clear" w:color="auto" w:fill="auto"/>
          </w:tcPr>
          <w:p w14:paraId="376E4C42" w14:textId="77777777" w:rsidR="00201159" w:rsidRPr="002E17BD" w:rsidRDefault="00EB6AA8" w:rsidP="00597AF5">
            <w:pPr>
              <w:pStyle w:val="TX-TableText"/>
            </w:pPr>
            <w:r>
              <w:t>Jun 2019 – Jun</w:t>
            </w:r>
            <w:r w:rsidR="00201159">
              <w:t xml:space="preserve"> 2020</w:t>
            </w:r>
          </w:p>
        </w:tc>
      </w:tr>
      <w:tr w:rsidR="00201159" w:rsidRPr="006E3562" w14:paraId="61D222BA" w14:textId="77777777" w:rsidTr="004E041D">
        <w:tc>
          <w:tcPr>
            <w:tcW w:w="3205" w:type="pct"/>
            <w:shd w:val="clear" w:color="auto" w:fill="auto"/>
          </w:tcPr>
          <w:p w14:paraId="7A15B9E3" w14:textId="77777777" w:rsidR="00201159" w:rsidRPr="002E17BD" w:rsidRDefault="00201159" w:rsidP="00597AF5">
            <w:pPr>
              <w:pStyle w:val="TX-TableText"/>
            </w:pPr>
            <w:r>
              <w:t>Presentation of Preliminary Findings</w:t>
            </w:r>
          </w:p>
        </w:tc>
        <w:tc>
          <w:tcPr>
            <w:tcW w:w="1795" w:type="pct"/>
            <w:shd w:val="clear" w:color="auto" w:fill="auto"/>
          </w:tcPr>
          <w:p w14:paraId="2E893C11" w14:textId="77777777" w:rsidR="00201159" w:rsidRPr="002E17BD" w:rsidRDefault="00EB6AA8" w:rsidP="00597AF5">
            <w:pPr>
              <w:pStyle w:val="TX-TableText"/>
            </w:pPr>
            <w:r>
              <w:t>Jan</w:t>
            </w:r>
            <w:r w:rsidR="00201159">
              <w:t xml:space="preserve"> 2020</w:t>
            </w:r>
          </w:p>
        </w:tc>
      </w:tr>
      <w:tr w:rsidR="00DE438C" w:rsidRPr="006E3562" w14:paraId="3ED76C50" w14:textId="77777777" w:rsidTr="004E041D">
        <w:tc>
          <w:tcPr>
            <w:tcW w:w="3205" w:type="pct"/>
            <w:shd w:val="clear" w:color="auto" w:fill="auto"/>
          </w:tcPr>
          <w:p w14:paraId="558B2F82" w14:textId="77777777" w:rsidR="00DE438C" w:rsidRPr="002E17BD" w:rsidRDefault="00DE438C" w:rsidP="00597AF5">
            <w:pPr>
              <w:pStyle w:val="TX-TableText"/>
            </w:pPr>
            <w:r w:rsidRPr="002E17BD">
              <w:t>Draft, Revised, and Final Briefing Materials</w:t>
            </w:r>
          </w:p>
        </w:tc>
        <w:tc>
          <w:tcPr>
            <w:tcW w:w="1795" w:type="pct"/>
            <w:shd w:val="clear" w:color="auto" w:fill="auto"/>
          </w:tcPr>
          <w:p w14:paraId="57AA6451" w14:textId="77777777" w:rsidR="00DE438C" w:rsidRPr="002E17BD" w:rsidRDefault="00EB6AA8" w:rsidP="00597AF5">
            <w:pPr>
              <w:pStyle w:val="TX-TableText"/>
            </w:pPr>
            <w:r>
              <w:t>Jun 2020 – Aug</w:t>
            </w:r>
            <w:r w:rsidR="00201159">
              <w:t xml:space="preserve"> 2020</w:t>
            </w:r>
          </w:p>
        </w:tc>
      </w:tr>
      <w:tr w:rsidR="00DE438C" w:rsidRPr="006E3562" w14:paraId="19880B21" w14:textId="77777777" w:rsidTr="004E041D">
        <w:tc>
          <w:tcPr>
            <w:tcW w:w="3205" w:type="pct"/>
            <w:shd w:val="clear" w:color="auto" w:fill="auto"/>
          </w:tcPr>
          <w:p w14:paraId="696320B0" w14:textId="77777777" w:rsidR="00DE438C" w:rsidRPr="002E17BD" w:rsidRDefault="00DE438C" w:rsidP="00597AF5">
            <w:pPr>
              <w:pStyle w:val="TX-TableText"/>
            </w:pPr>
            <w:r w:rsidRPr="002E17BD">
              <w:t xml:space="preserve">Additional Reports and Analyses </w:t>
            </w:r>
          </w:p>
        </w:tc>
        <w:tc>
          <w:tcPr>
            <w:tcW w:w="1795" w:type="pct"/>
            <w:shd w:val="clear" w:color="auto" w:fill="auto"/>
          </w:tcPr>
          <w:p w14:paraId="1AE9E1CC" w14:textId="77777777" w:rsidR="00DE438C" w:rsidRPr="002E17BD" w:rsidRDefault="00EB6AA8" w:rsidP="00AA25DB">
            <w:pPr>
              <w:pStyle w:val="TX-TableText"/>
            </w:pPr>
            <w:r>
              <w:t>May 2020</w:t>
            </w:r>
            <w:r w:rsidR="00AA25DB">
              <w:t xml:space="preserve"> –</w:t>
            </w:r>
            <w:r>
              <w:t xml:space="preserve"> Sep</w:t>
            </w:r>
            <w:r w:rsidR="00201159">
              <w:t xml:space="preserve"> 2020</w:t>
            </w:r>
          </w:p>
        </w:tc>
      </w:tr>
    </w:tbl>
    <w:p w14:paraId="131FB76D" w14:textId="05FC1CD5" w:rsidR="00E2306D" w:rsidRDefault="00E2306D" w:rsidP="00E2306D">
      <w:pPr>
        <w:pStyle w:val="TF-TblFN"/>
      </w:pPr>
      <w:r w:rsidRPr="00883184">
        <w:t>* These pre data collection activities include the use of FNS administrative data and public records to develop the sample frame</w:t>
      </w:r>
      <w:r>
        <w:t xml:space="preserve"> </w:t>
      </w:r>
    </w:p>
    <w:p w14:paraId="42CC7A2F" w14:textId="77777777" w:rsidR="001D29F8" w:rsidRDefault="006E3562" w:rsidP="00597AF5">
      <w:pPr>
        <w:pStyle w:val="TF-TblFN"/>
      </w:pPr>
      <w:r w:rsidRPr="00201159">
        <w:t>*</w:t>
      </w:r>
      <w:r w:rsidR="00383B32">
        <w:t>*</w:t>
      </w:r>
      <w:r w:rsidRPr="00201159">
        <w:t xml:space="preserve"> </w:t>
      </w:r>
      <w:r w:rsidR="005951D4" w:rsidRPr="00201159">
        <w:t xml:space="preserve">The data collection and analysis schedule will be adjusted as needed if OMB approval is not received by </w:t>
      </w:r>
      <w:r w:rsidR="00F7533F">
        <w:t>August</w:t>
      </w:r>
      <w:r w:rsidR="00F7533F" w:rsidRPr="00201159">
        <w:t xml:space="preserve"> </w:t>
      </w:r>
      <w:r w:rsidR="00201159" w:rsidRPr="00201159">
        <w:t>2017</w:t>
      </w:r>
      <w:r w:rsidRPr="00201159">
        <w:t>.</w:t>
      </w:r>
    </w:p>
    <w:p w14:paraId="39782FA5" w14:textId="77777777" w:rsidR="005C40FF" w:rsidRPr="006E3562" w:rsidRDefault="005C40FF" w:rsidP="00533B5E">
      <w:pPr>
        <w:pStyle w:val="P1-StandPara"/>
      </w:pPr>
    </w:p>
    <w:p w14:paraId="52C8AD39" w14:textId="77777777" w:rsidR="00E25103" w:rsidRDefault="005737B9" w:rsidP="00533B5E">
      <w:pPr>
        <w:pStyle w:val="P1-StandPara"/>
      </w:pPr>
      <w:r w:rsidRPr="0034352C">
        <w:rPr>
          <w:b/>
        </w:rPr>
        <w:t>Generate a national estimate of the annual amount of erroneous payments based on School Year 2017-2018.</w:t>
      </w:r>
      <w:r w:rsidR="006E3562" w:rsidRPr="0034352C">
        <w:rPr>
          <w:b/>
        </w:rPr>
        <w:t xml:space="preserve"> (Objective 1). </w:t>
      </w:r>
      <w:r w:rsidR="00544ACF">
        <w:t xml:space="preserve">The weighted statistical tables will be </w:t>
      </w:r>
      <w:r w:rsidR="00AE60F9">
        <w:t xml:space="preserve">used </w:t>
      </w:r>
      <w:r w:rsidR="00544ACF">
        <w:t xml:space="preserve">to derive the national estimates of erroneous payments due to </w:t>
      </w:r>
      <w:r w:rsidR="003124FC" w:rsidRPr="0034352C">
        <w:t>certification, meal claiming, and aggregation error.</w:t>
      </w:r>
      <w:r w:rsidR="00E25103">
        <w:rPr>
          <w:b/>
        </w:rPr>
        <w:t xml:space="preserve"> </w:t>
      </w:r>
      <w:r w:rsidR="00E25103">
        <w:t>W</w:t>
      </w:r>
      <w:r w:rsidR="00E25103" w:rsidRPr="00E25103">
        <w:t>e will estimate erroneous payment rates and associated dollar amounts of erroneous payments, including overpayments, underpayments, and gross and net erroneous payments separately for NSLP and SBP, as well as provide a combined school meals estimate</w:t>
      </w:r>
      <w:r w:rsidR="00B34CF2">
        <w:t xml:space="preserve"> of erroneous payments</w:t>
      </w:r>
      <w:r w:rsidR="00E25103" w:rsidRPr="00E25103">
        <w:t>.</w:t>
      </w:r>
    </w:p>
    <w:p w14:paraId="77AA4D34" w14:textId="77777777" w:rsidR="001D29F8" w:rsidRDefault="006E3562" w:rsidP="000E2D19">
      <w:pPr>
        <w:pStyle w:val="N1-1stBullet"/>
      </w:pPr>
      <w:r w:rsidRPr="00C12829">
        <w:rPr>
          <w:b/>
        </w:rPr>
        <w:t>Calculation of Certification Rate Errors</w:t>
      </w:r>
      <w:r w:rsidR="00613C8F" w:rsidRPr="00C12829">
        <w:rPr>
          <w:b/>
        </w:rPr>
        <w:t xml:space="preserve"> –</w:t>
      </w:r>
      <w:r w:rsidR="00BD3A18">
        <w:rPr>
          <w:b/>
        </w:rPr>
        <w:t xml:space="preserve"> </w:t>
      </w:r>
      <w:r w:rsidR="00BD3A18">
        <w:t>Ce</w:t>
      </w:r>
      <w:r w:rsidR="003124FC" w:rsidRPr="00C12829">
        <w:t>rtification error occurs when students are certified for levels of benefits</w:t>
      </w:r>
      <w:r w:rsidR="008C5529">
        <w:t xml:space="preserve"> for which they are not </w:t>
      </w:r>
      <w:r w:rsidR="00AE60F9">
        <w:t xml:space="preserve">eligible </w:t>
      </w:r>
      <w:r w:rsidR="008C5529">
        <w:t>(e.g., certified for free meals when they should be</w:t>
      </w:r>
      <w:r w:rsidR="00710901">
        <w:t xml:space="preserve"> certified for</w:t>
      </w:r>
      <w:r w:rsidR="008C5529">
        <w:t xml:space="preserve"> reduced-priced </w:t>
      </w:r>
      <w:r w:rsidR="00710901">
        <w:t>meals</w:t>
      </w:r>
      <w:r w:rsidR="00E05122">
        <w:t>,</w:t>
      </w:r>
      <w:r w:rsidR="00710901">
        <w:t xml:space="preserve"> </w:t>
      </w:r>
      <w:r w:rsidR="008C5529">
        <w:t>or vice versa)</w:t>
      </w:r>
      <w:r w:rsidR="003124FC" w:rsidRPr="00C12829">
        <w:t>. For non-CEP schools, program eligibility and the associated reimbursement rate is determined separately for each student. In CEP schools, the CEP group</w:t>
      </w:r>
      <w:r w:rsidR="001D29F8">
        <w:t>’</w:t>
      </w:r>
      <w:r w:rsidR="003124FC" w:rsidRPr="00C12829">
        <w:t>s eligibility is determined jointly</w:t>
      </w:r>
      <w:r w:rsidR="00E2576F">
        <w:t>,</w:t>
      </w:r>
      <w:r w:rsidR="003124FC" w:rsidRPr="00C12829">
        <w:t xml:space="preserve"> resulting in one reimbursement rate for all the schools in the group.</w:t>
      </w:r>
    </w:p>
    <w:p w14:paraId="5B60BA80" w14:textId="77777777" w:rsidR="001D29F8" w:rsidRDefault="00B3238A" w:rsidP="00EA278C">
      <w:pPr>
        <w:pStyle w:val="N1-1stBullet"/>
        <w:numPr>
          <w:ilvl w:val="0"/>
          <w:numId w:val="0"/>
        </w:numPr>
        <w:ind w:left="540"/>
      </w:pPr>
      <w:r>
        <w:t>For non-CEP schools, o</w:t>
      </w:r>
      <w:r w:rsidR="00161697" w:rsidRPr="00C12829">
        <w:t xml:space="preserve">nce the </w:t>
      </w:r>
      <w:r w:rsidR="002B3FF4" w:rsidRPr="00C12829">
        <w:t>applicant</w:t>
      </w:r>
      <w:r w:rsidR="001D29F8">
        <w:t>’</w:t>
      </w:r>
      <w:r w:rsidR="002B3FF4" w:rsidRPr="00C12829">
        <w:t xml:space="preserve">s </w:t>
      </w:r>
      <w:r w:rsidR="00161697" w:rsidRPr="00C12829">
        <w:t xml:space="preserve">true certification status </w:t>
      </w:r>
      <w:r w:rsidR="00613C8F" w:rsidRPr="00C12829">
        <w:t xml:space="preserve">is </w:t>
      </w:r>
      <w:r w:rsidR="00996B74">
        <w:t xml:space="preserve">independently </w:t>
      </w:r>
      <w:r w:rsidR="002E0A6D" w:rsidRPr="00C12829">
        <w:t>determined</w:t>
      </w:r>
      <w:r w:rsidR="00710901">
        <w:t>,</w:t>
      </w:r>
      <w:r w:rsidR="00613C8F" w:rsidRPr="00C12829">
        <w:t xml:space="preserve"> </w:t>
      </w:r>
      <w:r w:rsidR="00005C7F" w:rsidRPr="00C12829">
        <w:t xml:space="preserve">it </w:t>
      </w:r>
      <w:r w:rsidR="005C2092" w:rsidRPr="00C12829">
        <w:t>will</w:t>
      </w:r>
      <w:r w:rsidR="00005C7F" w:rsidRPr="00C12829">
        <w:t xml:space="preserve"> be </w:t>
      </w:r>
      <w:r w:rsidR="00161697" w:rsidRPr="00C12829">
        <w:t>compar</w:t>
      </w:r>
      <w:r w:rsidR="00005C7F" w:rsidRPr="00C12829">
        <w:t xml:space="preserve">ed </w:t>
      </w:r>
      <w:r w:rsidR="002B3FF4" w:rsidRPr="00C12829">
        <w:t xml:space="preserve">with </w:t>
      </w:r>
      <w:r w:rsidR="009275D2">
        <w:t>his or her</w:t>
      </w:r>
      <w:r w:rsidR="009275D2" w:rsidRPr="00C12829">
        <w:t xml:space="preserve"> </w:t>
      </w:r>
      <w:r w:rsidR="00161697" w:rsidRPr="00C12829">
        <w:t xml:space="preserve">current certification status. </w:t>
      </w:r>
      <w:r w:rsidR="00D230FD">
        <w:t xml:space="preserve">For CEP schools, we will identify certification errors by independently estimating the variation between the </w:t>
      </w:r>
      <w:r w:rsidR="00710901">
        <w:t xml:space="preserve">verified </w:t>
      </w:r>
      <w:r w:rsidR="00D230FD">
        <w:t>identified student percentage (ISP) and the current ISP being used for reimbursement purposes.</w:t>
      </w:r>
      <w:r w:rsidR="001D29F8">
        <w:t xml:space="preserve"> </w:t>
      </w:r>
      <w:r w:rsidRPr="00F30ADF">
        <w:t xml:space="preserve">Once we </w:t>
      </w:r>
      <w:r>
        <w:t>estimate</w:t>
      </w:r>
      <w:r w:rsidRPr="00F30ADF">
        <w:t xml:space="preserve"> </w:t>
      </w:r>
      <w:r>
        <w:t xml:space="preserve">the </w:t>
      </w:r>
      <w:r w:rsidRPr="00F30ADF">
        <w:t>certification error</w:t>
      </w:r>
      <w:r>
        <w:t>s</w:t>
      </w:r>
      <w:r w:rsidRPr="00F30ADF">
        <w:t xml:space="preserve"> for each meal type, we will compute </w:t>
      </w:r>
      <w:r>
        <w:t xml:space="preserve">the </w:t>
      </w:r>
      <w:r w:rsidRPr="00F30ADF">
        <w:t xml:space="preserve">per-meal erroneous payments for a given </w:t>
      </w:r>
      <w:r>
        <w:t xml:space="preserve">student. The next steps are to </w:t>
      </w:r>
      <w:r w:rsidR="00C73EF0">
        <w:t>(</w:t>
      </w:r>
      <w:r>
        <w:t>a)</w:t>
      </w:r>
      <w:r w:rsidR="00C73EF0">
        <w:t> </w:t>
      </w:r>
      <w:r>
        <w:t>calculate the erroneous payment per meal</w:t>
      </w:r>
      <w:r w:rsidR="00E05122">
        <w:t>;</w:t>
      </w:r>
      <w:r>
        <w:t xml:space="preserve"> </w:t>
      </w:r>
      <w:r w:rsidR="00C73EF0">
        <w:t>(</w:t>
      </w:r>
      <w:r>
        <w:t>b)</w:t>
      </w:r>
      <w:r w:rsidR="00C73EF0">
        <w:t> </w:t>
      </w:r>
      <w:r>
        <w:t xml:space="preserve">sum over students to get national level </w:t>
      </w:r>
      <w:r w:rsidR="00D72ACA">
        <w:t xml:space="preserve">error </w:t>
      </w:r>
      <w:r>
        <w:t>estimates</w:t>
      </w:r>
      <w:r w:rsidR="00E05122">
        <w:t>;</w:t>
      </w:r>
      <w:r>
        <w:t xml:space="preserve"> </w:t>
      </w:r>
      <w:r w:rsidR="00C73EF0">
        <w:t>(</w:t>
      </w:r>
      <w:r>
        <w:t>c)</w:t>
      </w:r>
      <w:r w:rsidR="00C73EF0">
        <w:t> </w:t>
      </w:r>
      <w:r>
        <w:t>estimate student or school level erroneous payments</w:t>
      </w:r>
      <w:r w:rsidR="00E05122">
        <w:t>;</w:t>
      </w:r>
      <w:r>
        <w:t xml:space="preserve"> </w:t>
      </w:r>
      <w:r w:rsidR="00C73EF0">
        <w:t>(</w:t>
      </w:r>
      <w:r>
        <w:t>d)</w:t>
      </w:r>
      <w:r w:rsidR="00C73EF0">
        <w:t> </w:t>
      </w:r>
      <w:r>
        <w:t>budget calibrate the weights</w:t>
      </w:r>
      <w:r w:rsidR="00E05122">
        <w:t xml:space="preserve">; </w:t>
      </w:r>
      <w:r>
        <w:t xml:space="preserve">and </w:t>
      </w:r>
      <w:r w:rsidR="00C73EF0">
        <w:t>(</w:t>
      </w:r>
      <w:r>
        <w:t>e)</w:t>
      </w:r>
      <w:r w:rsidR="00C73EF0">
        <w:t> </w:t>
      </w:r>
      <w:r>
        <w:t xml:space="preserve">estimate national </w:t>
      </w:r>
      <w:r w:rsidR="007874C9">
        <w:t>erroneous</w:t>
      </w:r>
      <w:r>
        <w:t xml:space="preserve"> payments.</w:t>
      </w:r>
    </w:p>
    <w:p w14:paraId="28DFAF05" w14:textId="77777777" w:rsidR="001D29F8" w:rsidRDefault="006E3562" w:rsidP="000E2D19">
      <w:pPr>
        <w:pStyle w:val="N1-1stBullet"/>
        <w:rPr>
          <w:b/>
        </w:rPr>
      </w:pPr>
      <w:r w:rsidRPr="00C12829">
        <w:rPr>
          <w:b/>
        </w:rPr>
        <w:t xml:space="preserve">Calculation of </w:t>
      </w:r>
      <w:r w:rsidR="00C23B75" w:rsidRPr="00C12829">
        <w:rPr>
          <w:b/>
        </w:rPr>
        <w:t xml:space="preserve">Aggregation </w:t>
      </w:r>
      <w:r w:rsidRPr="00C12829">
        <w:rPr>
          <w:b/>
        </w:rPr>
        <w:t xml:space="preserve">Error Rates. </w:t>
      </w:r>
      <w:r w:rsidR="00933143" w:rsidRPr="00C12829">
        <w:t>Aggregation errors occur in the process of tallying the number of meals served each month by claiming category (</w:t>
      </w:r>
      <w:r w:rsidR="00710901">
        <w:t>which occur a</w:t>
      </w:r>
      <w:r w:rsidR="004E05BD">
        <w:t xml:space="preserve">t the </w:t>
      </w:r>
      <w:r w:rsidR="00933143" w:rsidRPr="00C12829">
        <w:t>point of sale within the school) and transferring it from school to SFA, from SFA to State</w:t>
      </w:r>
      <w:r w:rsidR="00E2576F">
        <w:t>,</w:t>
      </w:r>
      <w:r w:rsidR="00933143" w:rsidRPr="00C12829">
        <w:t xml:space="preserve"> and from State to USDA for reimbursement. For non-CEP schools, at each stage there can be meal over counts or under counts within each reimbursement category</w:t>
      </w:r>
      <w:r w:rsidR="001153EA">
        <w:t>,</w:t>
      </w:r>
      <w:r w:rsidR="00933143" w:rsidRPr="00C12829">
        <w:t xml:space="preserve"> leading to potentially six types of errors at each of the four aggregations stages. For CEP schools, all reimbursable meals are free</w:t>
      </w:r>
      <w:r w:rsidR="001153EA">
        <w:t>,</w:t>
      </w:r>
      <w:r w:rsidR="00933143" w:rsidRPr="00C12829">
        <w:t xml:space="preserve"> so they only report the total number of reimbursable meals. As such</w:t>
      </w:r>
      <w:r w:rsidR="001153EA">
        <w:t>,</w:t>
      </w:r>
      <w:r w:rsidR="00933143" w:rsidRPr="00C12829">
        <w:t xml:space="preserve"> they can only make two types of errors (under or over report) at each aggregation stage.</w:t>
      </w:r>
    </w:p>
    <w:p w14:paraId="284A2996" w14:textId="77777777" w:rsidR="001D29F8" w:rsidRDefault="001B117C" w:rsidP="00B5291F">
      <w:pPr>
        <w:pStyle w:val="N1-1stBullet"/>
        <w:numPr>
          <w:ilvl w:val="0"/>
          <w:numId w:val="0"/>
        </w:numPr>
        <w:ind w:left="540"/>
      </w:pPr>
      <w:r>
        <w:t>We will</w:t>
      </w:r>
      <w:r w:rsidRPr="006A3B0D">
        <w:t xml:space="preserve"> identify errors from daily meal count totals not being summed correctly</w:t>
      </w:r>
      <w:r>
        <w:t xml:space="preserve"> at each of the four stages of aggregation</w:t>
      </w:r>
      <w:r w:rsidRPr="006A3B0D">
        <w:t>.</w:t>
      </w:r>
      <w:r>
        <w:t xml:space="preserve"> B</w:t>
      </w:r>
      <w:r w:rsidRPr="001E12A6">
        <w:t>ecause the meals for this analysis are</w:t>
      </w:r>
      <w:r>
        <w:t xml:space="preserve"> reported at the school level, a</w:t>
      </w:r>
      <w:r w:rsidRPr="001E12A6">
        <w:t xml:space="preserve"> school-level analysis weight will be derived for each sampled school</w:t>
      </w:r>
      <w:r w:rsidR="00B37ED7">
        <w:t>.</w:t>
      </w:r>
      <w:r>
        <w:t xml:space="preserve"> Once the errors are identified, the next steps are </w:t>
      </w:r>
      <w:r w:rsidR="00C73EF0">
        <w:t>(</w:t>
      </w:r>
      <w:r w:rsidR="00E26C9B">
        <w:t>a</w:t>
      </w:r>
      <w:r>
        <w:t>)</w:t>
      </w:r>
      <w:r w:rsidR="00C73EF0">
        <w:t> </w:t>
      </w:r>
      <w:r>
        <w:t>estimate the national error rate by applying school weights</w:t>
      </w:r>
      <w:r w:rsidR="001153EA">
        <w:t xml:space="preserve">; </w:t>
      </w:r>
      <w:r w:rsidR="00C73EF0">
        <w:t>(</w:t>
      </w:r>
      <w:r w:rsidR="00E26C9B">
        <w:t>b</w:t>
      </w:r>
      <w:r>
        <w:t>)</w:t>
      </w:r>
      <w:r w:rsidR="00C73EF0">
        <w:t> </w:t>
      </w:r>
      <w:r>
        <w:t>estimate school level erroneous payments</w:t>
      </w:r>
      <w:r w:rsidR="001153EA">
        <w:t>;</w:t>
      </w:r>
      <w:r>
        <w:t xml:space="preserve"> a</w:t>
      </w:r>
      <w:r w:rsidR="00E26C9B">
        <w:t xml:space="preserve">nd </w:t>
      </w:r>
      <w:r w:rsidR="00C73EF0">
        <w:t>(</w:t>
      </w:r>
      <w:r w:rsidR="00E26C9B">
        <w:t>c</w:t>
      </w:r>
      <w:r>
        <w:t>)</w:t>
      </w:r>
      <w:r w:rsidR="00C73EF0">
        <w:t> </w:t>
      </w:r>
      <w:r>
        <w:t>estimate national erroneous payments by applying budget-calibrated school weights.</w:t>
      </w:r>
    </w:p>
    <w:p w14:paraId="402A2001" w14:textId="77777777" w:rsidR="006E3562" w:rsidRDefault="005951D4" w:rsidP="000E2D19">
      <w:pPr>
        <w:pStyle w:val="N1-1stBullet"/>
      </w:pPr>
      <w:r w:rsidRPr="00C12829">
        <w:rPr>
          <w:b/>
        </w:rPr>
        <w:t>Calculation of Meal Claiming Errors</w:t>
      </w:r>
      <w:r w:rsidRPr="00C12829">
        <w:t xml:space="preserve">. These </w:t>
      </w:r>
      <w:r w:rsidR="006E3562" w:rsidRPr="00C12829">
        <w:t>errors occur when a meal is incorrectly classified as reimbursable</w:t>
      </w:r>
      <w:r w:rsidR="004E05BD">
        <w:t xml:space="preserve"> or not</w:t>
      </w:r>
      <w:r w:rsidR="006E3562" w:rsidRPr="00C12829">
        <w:t xml:space="preserve">, </w:t>
      </w:r>
      <w:r w:rsidR="004E05BD">
        <w:t xml:space="preserve">based on whether </w:t>
      </w:r>
      <w:r w:rsidR="00E9633B" w:rsidRPr="00C12829">
        <w:t>the meal served meet</w:t>
      </w:r>
      <w:r w:rsidR="004E05BD">
        <w:t>s</w:t>
      </w:r>
      <w:r w:rsidR="00E9633B" w:rsidRPr="00C12829">
        <w:t xml:space="preserve"> the specific meal patterns required for NSLP or SBP</w:t>
      </w:r>
      <w:r w:rsidR="006E3562" w:rsidRPr="00C12829">
        <w:t xml:space="preserve">. </w:t>
      </w:r>
      <w:r w:rsidR="00933143" w:rsidRPr="00C12829">
        <w:t>This error occur</w:t>
      </w:r>
      <w:r w:rsidR="002B008B">
        <w:t>s</w:t>
      </w:r>
      <w:r w:rsidR="00933143" w:rsidRPr="00C12829">
        <w:t xml:space="preserve"> </w:t>
      </w:r>
      <w:r w:rsidR="001A01A4">
        <w:t xml:space="preserve">in school cafeterias at the </w:t>
      </w:r>
      <w:r w:rsidR="00933143" w:rsidRPr="00C12829">
        <w:t xml:space="preserve">point of sale, </w:t>
      </w:r>
      <w:r w:rsidR="001A01A4">
        <w:t xml:space="preserve">with </w:t>
      </w:r>
      <w:r w:rsidR="00933143" w:rsidRPr="00C12829">
        <w:t xml:space="preserve">the unit of analysis </w:t>
      </w:r>
      <w:r w:rsidR="001A01A4">
        <w:t xml:space="preserve">being </w:t>
      </w:r>
      <w:r w:rsidR="00933143" w:rsidRPr="00C12829">
        <w:t xml:space="preserve">a </w:t>
      </w:r>
      <w:r w:rsidR="001D29F8">
        <w:t>“</w:t>
      </w:r>
      <w:r w:rsidR="00933143" w:rsidRPr="00C12829">
        <w:t>meal</w:t>
      </w:r>
      <w:r w:rsidR="00E2576F">
        <w:t>.</w:t>
      </w:r>
      <w:r w:rsidR="001D29F8">
        <w:t>”</w:t>
      </w:r>
      <w:r w:rsidR="00933143" w:rsidRPr="00C12829">
        <w:t xml:space="preserve"> </w:t>
      </w:r>
      <w:r w:rsidR="00227882" w:rsidRPr="00C12829">
        <w:t xml:space="preserve">That is, </w:t>
      </w:r>
      <w:r w:rsidR="00223FB5">
        <w:t>t</w:t>
      </w:r>
      <w:r w:rsidR="001A01A4">
        <w:t>h</w:t>
      </w:r>
      <w:r w:rsidR="006E05AA">
        <w:t>r</w:t>
      </w:r>
      <w:r w:rsidR="001A01A4">
        <w:t>ough observation we can determine if a cashier correctly classifies meals, but we will not know the student</w:t>
      </w:r>
      <w:r w:rsidR="001D29F8">
        <w:t>’</w:t>
      </w:r>
      <w:r w:rsidR="001A01A4">
        <w:t>s eligibility</w:t>
      </w:r>
      <w:r w:rsidR="00D230FD">
        <w:t xml:space="preserve"> status</w:t>
      </w:r>
      <w:r w:rsidR="00D37420">
        <w:t xml:space="preserve">. </w:t>
      </w:r>
      <w:r w:rsidR="001A01A4">
        <w:t xml:space="preserve">We will assume that errors are randomly distributed and affect the reimbursement for each </w:t>
      </w:r>
      <w:r w:rsidR="00D230FD">
        <w:t xml:space="preserve">eligibility </w:t>
      </w:r>
      <w:r w:rsidR="001A01A4">
        <w:t xml:space="preserve">type proportionally. </w:t>
      </w:r>
      <w:r w:rsidR="00E26C9B">
        <w:t xml:space="preserve">Once the errors are identified, the next steps are </w:t>
      </w:r>
      <w:r w:rsidR="0044765F">
        <w:t>(</w:t>
      </w:r>
      <w:r w:rsidR="00E26C9B">
        <w:t>a)</w:t>
      </w:r>
      <w:r w:rsidR="0044765F">
        <w:t> </w:t>
      </w:r>
      <w:r w:rsidR="00E26C9B">
        <w:t>estimate the national error rate by applying school weights</w:t>
      </w:r>
      <w:r w:rsidR="001153EA">
        <w:t>;</w:t>
      </w:r>
      <w:r w:rsidR="00E26C9B">
        <w:t xml:space="preserve"> </w:t>
      </w:r>
      <w:r w:rsidR="0044765F">
        <w:t>(</w:t>
      </w:r>
      <w:r w:rsidR="00E26C9B">
        <w:t>b)</w:t>
      </w:r>
      <w:r w:rsidR="0044765F">
        <w:t> </w:t>
      </w:r>
      <w:r w:rsidR="00E26C9B">
        <w:t>estimate school level erroneous payments</w:t>
      </w:r>
      <w:r w:rsidR="001153EA">
        <w:t>;</w:t>
      </w:r>
      <w:r w:rsidR="00E26C9B">
        <w:t xml:space="preserve"> and </w:t>
      </w:r>
      <w:r w:rsidR="0044765F">
        <w:t>(</w:t>
      </w:r>
      <w:r w:rsidR="00E26C9B">
        <w:t>c)</w:t>
      </w:r>
      <w:r w:rsidR="0044765F">
        <w:t> </w:t>
      </w:r>
      <w:r w:rsidR="00E26C9B">
        <w:t>estimate national erroneous payments by applying budget-calibrated school weights.</w:t>
      </w:r>
    </w:p>
    <w:p w14:paraId="2B1AAF44" w14:textId="77777777" w:rsidR="001D29F8" w:rsidRDefault="004E05BD" w:rsidP="00533B5E">
      <w:pPr>
        <w:pStyle w:val="P1-StandPara"/>
      </w:pPr>
      <w:r>
        <w:t>The analyses</w:t>
      </w:r>
      <w:r w:rsidRPr="00263AF8">
        <w:t xml:space="preserve"> </w:t>
      </w:r>
      <w:r w:rsidR="00263AF8" w:rsidRPr="00263AF8">
        <w:t xml:space="preserve">will </w:t>
      </w:r>
      <w:r w:rsidR="00A72A73">
        <w:t xml:space="preserve">also </w:t>
      </w:r>
      <w:r w:rsidR="00263AF8" w:rsidRPr="00263AF8">
        <w:t xml:space="preserve">compare key </w:t>
      </w:r>
      <w:r w:rsidR="00A72A73">
        <w:t xml:space="preserve">findings of APEC III </w:t>
      </w:r>
      <w:r w:rsidR="00263AF8" w:rsidRPr="00263AF8">
        <w:t>to those found in the previous two APEC studies</w:t>
      </w:r>
      <w:r w:rsidR="00246CB9">
        <w:t xml:space="preserve"> </w:t>
      </w:r>
      <w:r>
        <w:t xml:space="preserve">using </w:t>
      </w:r>
      <w:r w:rsidR="00263AF8" w:rsidRPr="00263AF8">
        <w:t xml:space="preserve">tests of significance. These key </w:t>
      </w:r>
      <w:r w:rsidR="0049558A">
        <w:t>comparisons</w:t>
      </w:r>
      <w:r w:rsidR="0049558A" w:rsidRPr="00263AF8">
        <w:t xml:space="preserve"> </w:t>
      </w:r>
      <w:r w:rsidR="00263AF8" w:rsidRPr="00263AF8">
        <w:t>include certification and non-certification (meal claiming and aggregation) error rates as well as improper payment rates by each category (i.e., under</w:t>
      </w:r>
      <w:r w:rsidR="00E2576F">
        <w:t>-</w:t>
      </w:r>
      <w:r w:rsidR="00263AF8" w:rsidRPr="00263AF8">
        <w:t xml:space="preserve"> and over-payment) and source of error (e.g., point-of-sale, SFA meal counts) </w:t>
      </w:r>
      <w:r w:rsidR="00263AF8">
        <w:t>for NSLP and SLP separately.</w:t>
      </w:r>
      <w:r w:rsidR="007E1063">
        <w:t xml:space="preserve"> A regression model will be used to estimate both the effects of procedural</w:t>
      </w:r>
      <w:r w:rsidR="00E2576F">
        <w:t xml:space="preserve"> </w:t>
      </w:r>
      <w:r w:rsidR="007E1063">
        <w:t xml:space="preserve">changes and </w:t>
      </w:r>
      <w:r w:rsidR="00D230FD">
        <w:t xml:space="preserve">effects of </w:t>
      </w:r>
      <w:r w:rsidR="007E1063">
        <w:t>trends on the certification error measures</w:t>
      </w:r>
      <w:r w:rsidR="00263AF8">
        <w:t xml:space="preserve"> </w:t>
      </w:r>
      <w:r w:rsidR="007E1063">
        <w:t xml:space="preserve">for APEC III compared </w:t>
      </w:r>
      <w:r>
        <w:t xml:space="preserve">to </w:t>
      </w:r>
      <w:r w:rsidR="007E1063">
        <w:t>APEC II</w:t>
      </w:r>
      <w:r w:rsidR="00A72A73">
        <w:t>. T</w:t>
      </w:r>
      <w:r w:rsidR="00A72A73" w:rsidRPr="00A72A73">
        <w:t xml:space="preserve">hese estimates </w:t>
      </w:r>
      <w:r w:rsidR="00A72A73">
        <w:t xml:space="preserve">will be used </w:t>
      </w:r>
      <w:r w:rsidR="00A72A73" w:rsidRPr="00A72A73">
        <w:t>to adjust the data over</w:t>
      </w:r>
      <w:r w:rsidR="00246CB9">
        <w:t xml:space="preserve"> </w:t>
      </w:r>
      <w:r w:rsidR="00A72A73" w:rsidRPr="00A72A73">
        <w:t>time to create a consistent series.</w:t>
      </w:r>
      <w:r w:rsidR="00A72A73">
        <w:t xml:space="preserve"> T-tests will be implemented t</w:t>
      </w:r>
      <w:r w:rsidR="00A72A73" w:rsidRPr="00A72A73">
        <w:t>o test the significance of variation in certification</w:t>
      </w:r>
      <w:r w:rsidR="00A72A73">
        <w:t xml:space="preserve"> errors across APEC studies</w:t>
      </w:r>
      <w:r w:rsidR="00922B81">
        <w:t xml:space="preserve">. </w:t>
      </w:r>
      <w:r w:rsidR="00D230FD">
        <w:t>N</w:t>
      </w:r>
      <w:r w:rsidR="00922B81" w:rsidRPr="00922B81">
        <w:t xml:space="preserve">on-certification errors and rate of improper payments are </w:t>
      </w:r>
      <w:r w:rsidR="00D230FD">
        <w:t xml:space="preserve">computed as </w:t>
      </w:r>
      <w:r w:rsidR="00922B81" w:rsidRPr="00922B81">
        <w:t xml:space="preserve">means or proportions. Standard statistical </w:t>
      </w:r>
      <w:r w:rsidR="0049558A">
        <w:t>analyses</w:t>
      </w:r>
      <w:r w:rsidR="0049558A" w:rsidRPr="00922B81">
        <w:t xml:space="preserve"> </w:t>
      </w:r>
      <w:r w:rsidR="00922B81" w:rsidRPr="00922B81">
        <w:t xml:space="preserve">such as the SURVEY PROCs in SAS can be used to </w:t>
      </w:r>
      <w:r w:rsidR="0049558A">
        <w:t>conduct</w:t>
      </w:r>
      <w:r w:rsidR="0049558A" w:rsidRPr="00922B81">
        <w:t xml:space="preserve"> </w:t>
      </w:r>
      <w:r w:rsidR="00922B81" w:rsidRPr="00922B81">
        <w:t xml:space="preserve">the adjusted Wald F </w:t>
      </w:r>
      <w:r w:rsidR="0049558A">
        <w:t xml:space="preserve">statistical </w:t>
      </w:r>
      <w:r w:rsidR="00922B81" w:rsidRPr="00922B81">
        <w:t xml:space="preserve">tests to </w:t>
      </w:r>
      <w:r w:rsidR="00D230FD" w:rsidRPr="003020BD">
        <w:t>such</w:t>
      </w:r>
      <w:r w:rsidR="006E05AA" w:rsidRPr="003020BD">
        <w:t xml:space="preserve"> outcomes across</w:t>
      </w:r>
      <w:r w:rsidR="00922B81" w:rsidRPr="003020BD">
        <w:t xml:space="preserve"> </w:t>
      </w:r>
      <w:r w:rsidR="008006F5">
        <w:t xml:space="preserve">studies in different </w:t>
      </w:r>
      <w:r w:rsidR="00922B81" w:rsidRPr="003020BD">
        <w:t>years</w:t>
      </w:r>
      <w:r w:rsidR="008006F5">
        <w:t xml:space="preserve"> (i.e., APEC I, II, and III)</w:t>
      </w:r>
      <w:r w:rsidR="00922B81">
        <w:t>.</w:t>
      </w:r>
    </w:p>
    <w:p w14:paraId="39C28292" w14:textId="77777777" w:rsidR="001D29F8" w:rsidRDefault="00523346" w:rsidP="00533B5E">
      <w:pPr>
        <w:pStyle w:val="P1-StandPara"/>
      </w:pPr>
      <w:r w:rsidRPr="00523346">
        <w:rPr>
          <w:b/>
        </w:rPr>
        <w:t>Provide a robust examination of the relationship of student, school, and SFA</w:t>
      </w:r>
      <w:r>
        <w:rPr>
          <w:b/>
        </w:rPr>
        <w:t xml:space="preserve"> characteristics to error rates (Objective 2). </w:t>
      </w:r>
      <w:r w:rsidR="00BC25EF">
        <w:t>FNS</w:t>
      </w:r>
      <w:r w:rsidR="00BC25EF" w:rsidRPr="00523346">
        <w:t xml:space="preserve"> </w:t>
      </w:r>
      <w:r w:rsidRPr="00523346">
        <w:t xml:space="preserve">will collect information on the administrative and operational structure of SFAs and schools sampled for the study. After applying the appropriate weights, </w:t>
      </w:r>
      <w:r>
        <w:t>data will be tabulated</w:t>
      </w:r>
      <w:r w:rsidRPr="00523346">
        <w:t xml:space="preserve"> to provide descriptive summaries that are representative of SFAs and schools participating in the school meal</w:t>
      </w:r>
      <w:r w:rsidR="00C750C3">
        <w:t>s</w:t>
      </w:r>
      <w:r w:rsidRPr="00523346">
        <w:t xml:space="preserve"> programs nationally during</w:t>
      </w:r>
      <w:r>
        <w:t xml:space="preserve"> SY 2017-2018. T</w:t>
      </w:r>
      <w:r w:rsidRPr="00523346">
        <w:t>he relationship between student, school, and SFA characteristics on each of the key types and sources of error</w:t>
      </w:r>
      <w:r>
        <w:t xml:space="preserve"> will be examined. T</w:t>
      </w:r>
      <w:r w:rsidRPr="00523346">
        <w:t xml:space="preserve">he distribution of </w:t>
      </w:r>
      <w:r w:rsidR="008006F5">
        <w:t xml:space="preserve">program </w:t>
      </w:r>
      <w:r w:rsidRPr="00523346">
        <w:t>error data at all levels before starting the analyses</w:t>
      </w:r>
      <w:r>
        <w:t xml:space="preserve"> will be examined</w:t>
      </w:r>
      <w:r w:rsidR="001153EA">
        <w:t>,</w:t>
      </w:r>
      <w:r>
        <w:t xml:space="preserve"> and outliers will be flagged</w:t>
      </w:r>
      <w:r w:rsidRPr="00523346">
        <w:t xml:space="preserve">, especially among unusual contextual factors that may be contributing to the </w:t>
      </w:r>
      <w:r w:rsidR="008006F5">
        <w:t xml:space="preserve">program </w:t>
      </w:r>
      <w:r w:rsidRPr="00523346">
        <w:t xml:space="preserve">errors observed on the data collection day. </w:t>
      </w:r>
      <w:r>
        <w:t>Analyses will be conducted on</w:t>
      </w:r>
      <w:r w:rsidRPr="00523346">
        <w:t xml:space="preserve"> </w:t>
      </w:r>
      <w:r w:rsidR="008006F5">
        <w:t xml:space="preserve">program </w:t>
      </w:r>
      <w:r>
        <w:t xml:space="preserve">errors </w:t>
      </w:r>
      <w:r w:rsidRPr="00523346">
        <w:t>with and without outliers.</w:t>
      </w:r>
    </w:p>
    <w:p w14:paraId="7617DDB9" w14:textId="77777777" w:rsidR="001D29F8" w:rsidRDefault="00A72A73" w:rsidP="00533B5E">
      <w:pPr>
        <w:pStyle w:val="P1-StandPara"/>
      </w:pPr>
      <w:r w:rsidRPr="0044765F">
        <w:rPr>
          <w:b/>
        </w:rPr>
        <w:t>Conduct a sub-study on the differences in error rates among SFAs using different implementation strategies in their school meals programs (Objective 3).</w:t>
      </w:r>
      <w:r w:rsidRPr="00A72A73">
        <w:t xml:space="preserve"> </w:t>
      </w:r>
      <w:r w:rsidR="00464909">
        <w:t xml:space="preserve">Sub-studies will </w:t>
      </w:r>
      <w:r w:rsidR="00E9633B">
        <w:t xml:space="preserve">include </w:t>
      </w:r>
      <w:r w:rsidR="00E9633B" w:rsidRPr="00A72A73">
        <w:t>analyses</w:t>
      </w:r>
      <w:r w:rsidR="00464909">
        <w:t xml:space="preserve"> to </w:t>
      </w:r>
      <w:r w:rsidR="00C750C3">
        <w:t>determine</w:t>
      </w:r>
      <w:r w:rsidRPr="00A72A73">
        <w:t xml:space="preserve"> whether there is a statistically</w:t>
      </w:r>
      <w:r w:rsidR="00C750C3">
        <w:t xml:space="preserve"> </w:t>
      </w:r>
      <w:r w:rsidRPr="00A72A73">
        <w:t xml:space="preserve">significant difference in error rates </w:t>
      </w:r>
      <w:r w:rsidR="003A6BA8">
        <w:t xml:space="preserve">that may be </w:t>
      </w:r>
      <w:r w:rsidR="00E9633B">
        <w:t xml:space="preserve">associated with </w:t>
      </w:r>
      <w:r w:rsidRPr="00A72A73">
        <w:t>SFA characteristics</w:t>
      </w:r>
      <w:r w:rsidR="00464909">
        <w:t xml:space="preserve"> </w:t>
      </w:r>
      <w:r w:rsidR="00B27174">
        <w:t xml:space="preserve">(e.g., </w:t>
      </w:r>
      <w:r w:rsidR="00464909">
        <w:t>implementation strategies in school meals programs</w:t>
      </w:r>
      <w:r w:rsidR="00B27174">
        <w:t>)</w:t>
      </w:r>
      <w:r>
        <w:t>. Bivariate and multivariate regression analys</w:t>
      </w:r>
      <w:r w:rsidR="00C750C3">
        <w:t>e</w:t>
      </w:r>
      <w:r>
        <w:t>s at the SFA level will be used to answer this research question. Bivariate analys</w:t>
      </w:r>
      <w:r w:rsidR="00C750C3">
        <w:t>e</w:t>
      </w:r>
      <w:r>
        <w:t xml:space="preserve">s will examine the </w:t>
      </w:r>
      <w:r w:rsidR="003A6BA8">
        <w:t xml:space="preserve">relationship between an </w:t>
      </w:r>
      <w:r>
        <w:t xml:space="preserve">error rate </w:t>
      </w:r>
      <w:r w:rsidR="003A6BA8">
        <w:t>and a specific SFA characteristic (e.g., SFA size, location)</w:t>
      </w:r>
      <w:r>
        <w:t xml:space="preserve">. In contrast, multivariate analysis will use regression </w:t>
      </w:r>
      <w:r w:rsidR="00C750C3">
        <w:t xml:space="preserve">techniques </w:t>
      </w:r>
      <w:r>
        <w:t xml:space="preserve">to examine the </w:t>
      </w:r>
      <w:r w:rsidR="003A6BA8">
        <w:t>relationship between</w:t>
      </w:r>
      <w:r>
        <w:t xml:space="preserve"> a set of </w:t>
      </w:r>
      <w:r w:rsidR="003A6BA8">
        <w:t xml:space="preserve">independent </w:t>
      </w:r>
      <w:r>
        <w:t xml:space="preserve">variables </w:t>
      </w:r>
      <w:r w:rsidR="00D230FD">
        <w:t xml:space="preserve">and </w:t>
      </w:r>
      <w:r>
        <w:t>the error rate</w:t>
      </w:r>
      <w:r w:rsidR="003A6BA8">
        <w:t>.</w:t>
      </w:r>
      <w:r>
        <w:t xml:space="preserve"> </w:t>
      </w:r>
      <w:r w:rsidR="003A6BA8">
        <w:t xml:space="preserve">The coefficients in the regression will indicate how much and in what direction the error rate changes with a one-unit increase in the independent variable, controlling for other variables in the model. </w:t>
      </w:r>
      <w:r>
        <w:t xml:space="preserve">Additionally, </w:t>
      </w:r>
      <w:r w:rsidR="00D230FD">
        <w:t>we</w:t>
      </w:r>
      <w:r>
        <w:t xml:space="preserve"> will use the findings from the qualitative analysis of the semi-structured interview to assist in interpreting the implications of the findings. The data will be weighted as appropriate given the sampling plan and nonresponse</w:t>
      </w:r>
      <w:r w:rsidR="00C750C3">
        <w:t xml:space="preserve"> rates</w:t>
      </w:r>
      <w:r>
        <w:t xml:space="preserve">. Chi-square tests will be used to test if differences in SFA characteristics and policies </w:t>
      </w:r>
      <w:r w:rsidR="003A6BA8">
        <w:t xml:space="preserve">are related to </w:t>
      </w:r>
      <w:r>
        <w:t>the error rates.</w:t>
      </w:r>
    </w:p>
    <w:p w14:paraId="0CA1F560" w14:textId="77777777" w:rsidR="001D29F8" w:rsidRDefault="001C1C3B" w:rsidP="00533B5E">
      <w:pPr>
        <w:pStyle w:val="P1-StandPara"/>
      </w:pPr>
      <w:r w:rsidRPr="001C1C3B">
        <w:rPr>
          <w:b/>
        </w:rPr>
        <w:t>Provide qualitative analyses examining the reasons for erroneous payments (Objective 4).</w:t>
      </w:r>
      <w:r>
        <w:t xml:space="preserve"> Data collection efforts will provide</w:t>
      </w:r>
      <w:r w:rsidRPr="001C1C3B">
        <w:t xml:space="preserve"> qualitative data from in-depth interviews with households and SFA directors along with the in-person interviews with cafeteria managers regarding their perceptions of the </w:t>
      </w:r>
      <w:r w:rsidR="00540117">
        <w:t xml:space="preserve">possible </w:t>
      </w:r>
      <w:r w:rsidRPr="001C1C3B">
        <w:t xml:space="preserve">causes of errors. Additionally, </w:t>
      </w:r>
      <w:r>
        <w:t>there will be data from</w:t>
      </w:r>
      <w:r w:rsidRPr="001C1C3B">
        <w:t xml:space="preserve"> a few open-ended question</w:t>
      </w:r>
      <w:r w:rsidR="00E9633B">
        <w:t>s</w:t>
      </w:r>
      <w:r w:rsidRPr="001C1C3B">
        <w:t xml:space="preserve"> from the </w:t>
      </w:r>
      <w:r w:rsidR="006343F4">
        <w:t>h</w:t>
      </w:r>
      <w:r w:rsidR="006343F4" w:rsidRPr="001C1C3B">
        <w:t xml:space="preserve">ousehold </w:t>
      </w:r>
      <w:r w:rsidR="006343F4">
        <w:t>s</w:t>
      </w:r>
      <w:r w:rsidR="006343F4" w:rsidRPr="001C1C3B">
        <w:t xml:space="preserve">urvey </w:t>
      </w:r>
      <w:r w:rsidRPr="001C1C3B">
        <w:t xml:space="preserve">and SFA </w:t>
      </w:r>
      <w:r w:rsidR="006343F4">
        <w:t>d</w:t>
      </w:r>
      <w:r w:rsidR="006343F4" w:rsidRPr="001C1C3B">
        <w:t xml:space="preserve">irector </w:t>
      </w:r>
      <w:r w:rsidR="006343F4">
        <w:t>s</w:t>
      </w:r>
      <w:r w:rsidR="006343F4" w:rsidRPr="001C1C3B">
        <w:t>urvey</w:t>
      </w:r>
      <w:r>
        <w:t xml:space="preserve">. </w:t>
      </w:r>
      <w:r w:rsidRPr="001C1C3B">
        <w:t xml:space="preserve">Analyses of the qualitative data will involve conducting a thorough examination of the data to detect patterns and relationships </w:t>
      </w:r>
      <w:r w:rsidR="00D230FD">
        <w:t>related to</w:t>
      </w:r>
      <w:r w:rsidRPr="001C1C3B">
        <w:t xml:space="preserve"> the reasons for erroneous payments. </w:t>
      </w:r>
      <w:r w:rsidR="00FF558F">
        <w:t>Q</w:t>
      </w:r>
      <w:r w:rsidRPr="001C1C3B">
        <w:t>ualitative analysts will conduct content analysis of open-ended responses using thematic analysis guided by principles of iterative emergent coding (Silverman, 1993)</w:t>
      </w:r>
      <w:r w:rsidR="004C01A7">
        <w:t>.</w:t>
      </w:r>
      <w:r w:rsidR="003F593E">
        <w:rPr>
          <w:rStyle w:val="FootnoteReference"/>
          <w:szCs w:val="24"/>
        </w:rPr>
        <w:footnoteReference w:id="31"/>
      </w:r>
      <w:r w:rsidRPr="001C1C3B">
        <w:t xml:space="preserve"> This approach involves comparing concepts or categories and finding similarities and differences between them (Glaser, 1992)</w:t>
      </w:r>
      <w:r w:rsidR="004C01A7">
        <w:t>,</w:t>
      </w:r>
      <w:r w:rsidR="001C7A3E">
        <w:rPr>
          <w:rStyle w:val="FootnoteReference"/>
          <w:szCs w:val="24"/>
        </w:rPr>
        <w:footnoteReference w:id="32"/>
      </w:r>
      <w:r w:rsidRPr="001C1C3B">
        <w:t xml:space="preserve"> identifying themes that recur across households, schools, and SFAs.</w:t>
      </w:r>
    </w:p>
    <w:p w14:paraId="3C4F1E65" w14:textId="6C4C08A3" w:rsidR="001D29F8" w:rsidRDefault="001C1C3B" w:rsidP="00533B5E">
      <w:pPr>
        <w:pStyle w:val="P1-StandPara"/>
      </w:pPr>
      <w:r w:rsidRPr="001C1C3B">
        <w:rPr>
          <w:b/>
        </w:rPr>
        <w:t>Estimate Future Errors and State Level Estimates</w:t>
      </w:r>
      <w:r>
        <w:t>.</w:t>
      </w:r>
      <w:r w:rsidRPr="001C1C3B">
        <w:t xml:space="preserve"> </w:t>
      </w:r>
      <w:r w:rsidR="00FF558F">
        <w:t>Models</w:t>
      </w:r>
      <w:r w:rsidR="00FF558F" w:rsidRPr="001C1C3B">
        <w:t xml:space="preserve"> </w:t>
      </w:r>
      <w:r w:rsidRPr="001C1C3B">
        <w:t xml:space="preserve">will </w:t>
      </w:r>
      <w:r w:rsidR="00FF558F">
        <w:t xml:space="preserve">be </w:t>
      </w:r>
      <w:r w:rsidRPr="001C1C3B">
        <w:t>develop</w:t>
      </w:r>
      <w:r w:rsidR="00FF558F">
        <w:t>ed</w:t>
      </w:r>
      <w:r w:rsidRPr="001C1C3B">
        <w:t xml:space="preserve"> for estimating </w:t>
      </w:r>
      <w:r w:rsidR="00D230FD">
        <w:t xml:space="preserve">future </w:t>
      </w:r>
      <w:r w:rsidRPr="001C1C3B">
        <w:t xml:space="preserve">error rates </w:t>
      </w:r>
      <w:r w:rsidR="00D230FD">
        <w:t xml:space="preserve">at the national </w:t>
      </w:r>
      <w:r w:rsidRPr="001C1C3B">
        <w:t>and State level</w:t>
      </w:r>
      <w:r>
        <w:t>. First,</w:t>
      </w:r>
      <w:r w:rsidRPr="001C1C3B">
        <w:t xml:space="preserve"> </w:t>
      </w:r>
      <w:r w:rsidR="00D230FD">
        <w:t xml:space="preserve">we will use </w:t>
      </w:r>
      <w:r w:rsidRPr="001C1C3B">
        <w:t xml:space="preserve">econometric forecasting models similar to those used </w:t>
      </w:r>
      <w:r w:rsidR="00627106">
        <w:t>i</w:t>
      </w:r>
      <w:r w:rsidRPr="001C1C3B">
        <w:t>n the previous APEC studies to estimate future error rates and produce State</w:t>
      </w:r>
      <w:r w:rsidR="006343F4">
        <w:t>-</w:t>
      </w:r>
      <w:r w:rsidRPr="001C1C3B">
        <w:t xml:space="preserve">level estimates. In addition, </w:t>
      </w:r>
      <w:r w:rsidR="00D230FD">
        <w:t xml:space="preserve">we will employ </w:t>
      </w:r>
      <w:r w:rsidR="001153EA">
        <w:t xml:space="preserve">a </w:t>
      </w:r>
      <w:r w:rsidRPr="001C1C3B">
        <w:t>Bayesian estimation approach with a Markov Chain Monte Carlo (MCMC) to model the error rates</w:t>
      </w:r>
      <w:r w:rsidR="00D230FD">
        <w:t>.</w:t>
      </w:r>
      <w:r w:rsidRPr="001C1C3B">
        <w:t xml:space="preserve"> The MCMC model </w:t>
      </w:r>
      <w:r w:rsidR="00B5291F">
        <w:t xml:space="preserve">will be </w:t>
      </w:r>
      <w:r w:rsidRPr="001C1C3B">
        <w:t>estimated using a</w:t>
      </w:r>
      <w:r w:rsidR="00E56CCB">
        <w:t xml:space="preserve"> Bayesian approach</w:t>
      </w:r>
      <w:r w:rsidRPr="001C1C3B">
        <w:t xml:space="preserve">, unlike the econometric model, </w:t>
      </w:r>
      <w:r w:rsidR="00254FD7">
        <w:t xml:space="preserve">which </w:t>
      </w:r>
      <w:r w:rsidRPr="001C1C3B">
        <w:t>allows for the way variables affect errors to potentially change over time.</w:t>
      </w:r>
    </w:p>
    <w:p w14:paraId="424DDD36" w14:textId="77777777" w:rsidR="006E3562" w:rsidRPr="006E3562" w:rsidRDefault="006E3562" w:rsidP="008B6333">
      <w:pPr>
        <w:pStyle w:val="Heading2"/>
      </w:pPr>
      <w:bookmarkStart w:id="95" w:name="_Toc316309701"/>
      <w:bookmarkStart w:id="96" w:name="_Toc316311786"/>
      <w:bookmarkStart w:id="97" w:name="_Toc318291776"/>
      <w:bookmarkStart w:id="98" w:name="_Toc318292460"/>
      <w:bookmarkStart w:id="99" w:name="_Toc409608449"/>
      <w:r w:rsidRPr="006E3562">
        <w:t>17.</w:t>
      </w:r>
      <w:r w:rsidRPr="006E3562">
        <w:tab/>
        <w:t>Displaying the OMB Approval</w:t>
      </w:r>
      <w:bookmarkEnd w:id="95"/>
      <w:bookmarkEnd w:id="96"/>
      <w:bookmarkEnd w:id="97"/>
      <w:bookmarkEnd w:id="98"/>
      <w:r w:rsidRPr="006E3562">
        <w:t xml:space="preserve"> Expiration Date</w:t>
      </w:r>
      <w:bookmarkEnd w:id="99"/>
    </w:p>
    <w:p w14:paraId="402C3643" w14:textId="77777777" w:rsidR="006E3562" w:rsidRPr="006E3562" w:rsidRDefault="0044765F" w:rsidP="0044765F">
      <w:pPr>
        <w:pStyle w:val="Heading5"/>
      </w:pPr>
      <w:r>
        <w:tab/>
      </w:r>
      <w:r w:rsidR="006E3562" w:rsidRPr="006E3562">
        <w:t>If seeking approval to not display the expiration date for OMB approval of the information collection, explain the reasons that display would be inappropriate.</w:t>
      </w:r>
    </w:p>
    <w:p w14:paraId="7B2A736A" w14:textId="77777777" w:rsidR="006E3562" w:rsidRDefault="006E3562" w:rsidP="00533B5E">
      <w:pPr>
        <w:pStyle w:val="P1-StandPara"/>
      </w:pPr>
      <w:r w:rsidRPr="006E3562">
        <w:t>The agency plans to display the expiration date for OMB approval of the information collection on all instruments.</w:t>
      </w:r>
    </w:p>
    <w:p w14:paraId="269AA9DD" w14:textId="77777777" w:rsidR="006E3562" w:rsidRPr="006E3562" w:rsidRDefault="006E3562" w:rsidP="008B6333">
      <w:pPr>
        <w:pStyle w:val="Heading2"/>
      </w:pPr>
      <w:bookmarkStart w:id="100" w:name="_Toc316309702"/>
      <w:bookmarkStart w:id="101" w:name="_Toc316311787"/>
      <w:bookmarkStart w:id="102" w:name="_Toc318291777"/>
      <w:bookmarkStart w:id="103" w:name="_Toc318292461"/>
      <w:bookmarkStart w:id="104" w:name="_Toc409608450"/>
      <w:r w:rsidRPr="006E3562">
        <w:t>18.</w:t>
      </w:r>
      <w:r w:rsidRPr="006E3562">
        <w:tab/>
        <w:t>Exceptions to the Certification Statement Identified in Item 19</w:t>
      </w:r>
      <w:bookmarkEnd w:id="100"/>
      <w:bookmarkEnd w:id="101"/>
      <w:bookmarkEnd w:id="102"/>
      <w:bookmarkEnd w:id="103"/>
      <w:bookmarkEnd w:id="104"/>
    </w:p>
    <w:p w14:paraId="16733C9C" w14:textId="77777777" w:rsidR="006E3562" w:rsidRPr="006E3562" w:rsidRDefault="0044765F" w:rsidP="0044765F">
      <w:pPr>
        <w:pStyle w:val="Heading5"/>
      </w:pPr>
      <w:r>
        <w:tab/>
      </w:r>
      <w:r w:rsidR="006E3562" w:rsidRPr="006E3562">
        <w:t>Explain each exception to the certification statement identified in Item 19 of the OMB 83-I Certification for Paperwork Reduction Act.</w:t>
      </w:r>
    </w:p>
    <w:p w14:paraId="5DE8DE6C" w14:textId="77777777" w:rsidR="008C7480" w:rsidRPr="000F10BB" w:rsidRDefault="006E3562" w:rsidP="00533B5E">
      <w:pPr>
        <w:pStyle w:val="P1-StandPara"/>
      </w:pPr>
      <w:r w:rsidRPr="006E3562">
        <w:t>There are no exceptions to the certification statement.</w:t>
      </w:r>
      <w:r w:rsidR="001D29F8">
        <w:t xml:space="preserve"> </w:t>
      </w:r>
      <w:r w:rsidR="004B0D8C">
        <w:t>The agency is able to certify compliance with all provisions under</w:t>
      </w:r>
      <w:r w:rsidR="00BE599D">
        <w:t xml:space="preserve"> Item 19 of OMB Form 83-I.</w:t>
      </w:r>
    </w:p>
    <w:sectPr w:rsidR="008C7480" w:rsidRPr="000F10BB" w:rsidSect="008D3EB6">
      <w:headerReference w:type="default" r:id="rId23"/>
      <w:footerReference w:type="default" r:id="rId24"/>
      <w:endnotePr>
        <w:numFmt w:val="decimal"/>
      </w:endnotePr>
      <w:type w:val="continuous"/>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38372" w14:textId="77777777" w:rsidR="00644240" w:rsidRDefault="00644240" w:rsidP="00444C39">
      <w:r>
        <w:separator/>
      </w:r>
    </w:p>
  </w:endnote>
  <w:endnote w:type="continuationSeparator" w:id="0">
    <w:p w14:paraId="717FF188" w14:textId="77777777" w:rsidR="00644240" w:rsidRDefault="00644240" w:rsidP="0044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NewCenturySchlbk-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JPCAL+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EEC1D" w14:textId="2D5A4CC7" w:rsidR="00316029" w:rsidRPr="00B86265" w:rsidRDefault="00316029" w:rsidP="00D5560D">
    <w:pPr>
      <w:pStyle w:val="Footer"/>
      <w:pBdr>
        <w:top w:val="single" w:sz="4" w:space="1" w:color="auto"/>
      </w:pBdr>
      <w:tabs>
        <w:tab w:val="center" w:pos="4770"/>
        <w:tab w:val="right" w:pos="9360"/>
      </w:tabs>
      <w:rPr>
        <w:rStyle w:val="PageNumber"/>
        <w:szCs w:val="24"/>
      </w:rPr>
    </w:pPr>
    <w:r w:rsidRPr="00B86265">
      <w:rPr>
        <w:szCs w:val="24"/>
      </w:rPr>
      <w:t xml:space="preserve">APEC III OMB Supporting Statement Part A </w:t>
    </w:r>
    <w:r w:rsidRPr="00B86265">
      <w:rPr>
        <w:szCs w:val="24"/>
      </w:rPr>
      <w:tab/>
    </w:r>
    <w:r w:rsidRPr="00B86265">
      <w:rPr>
        <w:rStyle w:val="PageNumber"/>
        <w:szCs w:val="24"/>
      </w:rPr>
      <w:tab/>
    </w:r>
    <w:r w:rsidRPr="00B86265">
      <w:rPr>
        <w:rStyle w:val="PageNumber"/>
        <w:szCs w:val="24"/>
      </w:rPr>
      <w:fldChar w:fldCharType="begin"/>
    </w:r>
    <w:r w:rsidRPr="00B86265">
      <w:rPr>
        <w:rStyle w:val="PageNumber"/>
        <w:szCs w:val="24"/>
      </w:rPr>
      <w:instrText xml:space="preserve"> PAGE </w:instrText>
    </w:r>
    <w:r w:rsidRPr="00B86265">
      <w:rPr>
        <w:rStyle w:val="PageNumber"/>
        <w:szCs w:val="24"/>
      </w:rPr>
      <w:fldChar w:fldCharType="separate"/>
    </w:r>
    <w:r w:rsidR="003B589C">
      <w:rPr>
        <w:rStyle w:val="PageNumber"/>
        <w:noProof/>
        <w:szCs w:val="24"/>
      </w:rPr>
      <w:t>iv</w:t>
    </w:r>
    <w:r w:rsidRPr="00B86265">
      <w:rPr>
        <w:rStyle w:val="PageNumber"/>
        <w:szCs w:val="24"/>
      </w:rPr>
      <w:fldChar w:fldCharType="end"/>
    </w:r>
  </w:p>
  <w:p w14:paraId="27B4D6C6" w14:textId="6B358811" w:rsidR="00316029" w:rsidRPr="00B86265" w:rsidRDefault="00316029" w:rsidP="008D3EB6">
    <w:pPr>
      <w:pStyle w:val="Footer"/>
      <w:tabs>
        <w:tab w:val="center" w:pos="4770"/>
        <w:tab w:val="right" w:pos="9360"/>
      </w:tabs>
      <w:rPr>
        <w:rStyle w:val="PageNumber"/>
        <w:szCs w:val="24"/>
      </w:rPr>
    </w:pPr>
    <w:r>
      <w:rPr>
        <w:rStyle w:val="PageNumber"/>
        <w:szCs w:val="24"/>
      </w:rPr>
      <w:t xml:space="preserve">May </w:t>
    </w:r>
    <w:r w:rsidRPr="00B86265">
      <w:rPr>
        <w:rStyle w:val="PageNumber"/>
        <w:szCs w:val="24"/>
      </w:rPr>
      <w:t>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55767" w14:textId="77777777" w:rsidR="00316029" w:rsidRPr="00533B5E" w:rsidRDefault="00316029" w:rsidP="00533B5E">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A89D7" w14:textId="77777777" w:rsidR="00316029" w:rsidRPr="00533B5E" w:rsidRDefault="00316029" w:rsidP="00533B5E">
    <w:pPr>
      <w:pStyle w:val="Foote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6EC90" w14:textId="354BE7ED" w:rsidR="00316029" w:rsidRPr="00B86265" w:rsidRDefault="00316029" w:rsidP="00D5560D">
    <w:pPr>
      <w:pStyle w:val="Footer"/>
      <w:pBdr>
        <w:top w:val="single" w:sz="4" w:space="1" w:color="auto"/>
      </w:pBdr>
      <w:tabs>
        <w:tab w:val="center" w:pos="4770"/>
        <w:tab w:val="right" w:pos="9360"/>
      </w:tabs>
      <w:rPr>
        <w:rStyle w:val="PageNumber"/>
        <w:szCs w:val="24"/>
      </w:rPr>
    </w:pPr>
    <w:r w:rsidRPr="00B86265">
      <w:rPr>
        <w:szCs w:val="24"/>
      </w:rPr>
      <w:t xml:space="preserve">APEC III OMB Supporting Statement Part A </w:t>
    </w:r>
    <w:r w:rsidRPr="00B86265">
      <w:rPr>
        <w:szCs w:val="24"/>
      </w:rPr>
      <w:tab/>
    </w:r>
    <w:r w:rsidRPr="00B86265">
      <w:rPr>
        <w:rStyle w:val="PageNumber"/>
        <w:szCs w:val="24"/>
      </w:rPr>
      <w:tab/>
    </w:r>
    <w:r w:rsidRPr="00B86265">
      <w:rPr>
        <w:rStyle w:val="PageNumber"/>
        <w:szCs w:val="24"/>
      </w:rPr>
      <w:fldChar w:fldCharType="begin"/>
    </w:r>
    <w:r w:rsidRPr="00B86265">
      <w:rPr>
        <w:rStyle w:val="PageNumber"/>
        <w:szCs w:val="24"/>
      </w:rPr>
      <w:instrText xml:space="preserve"> PAGE </w:instrText>
    </w:r>
    <w:r w:rsidRPr="00B86265">
      <w:rPr>
        <w:rStyle w:val="PageNumber"/>
        <w:szCs w:val="24"/>
      </w:rPr>
      <w:fldChar w:fldCharType="separate"/>
    </w:r>
    <w:r w:rsidR="003B589C">
      <w:rPr>
        <w:rStyle w:val="PageNumber"/>
        <w:noProof/>
        <w:szCs w:val="24"/>
      </w:rPr>
      <w:t>15</w:t>
    </w:r>
    <w:r w:rsidRPr="00B86265">
      <w:rPr>
        <w:rStyle w:val="PageNumber"/>
        <w:szCs w:val="24"/>
      </w:rPr>
      <w:fldChar w:fldCharType="end"/>
    </w:r>
  </w:p>
  <w:p w14:paraId="45ADFFAB" w14:textId="2BFD3FDD" w:rsidR="00316029" w:rsidRPr="00B86265" w:rsidRDefault="00316029" w:rsidP="008D3EB6">
    <w:pPr>
      <w:pStyle w:val="Footer"/>
      <w:tabs>
        <w:tab w:val="center" w:pos="4770"/>
        <w:tab w:val="right" w:pos="9360"/>
      </w:tabs>
      <w:rPr>
        <w:rStyle w:val="PageNumber"/>
        <w:szCs w:val="24"/>
      </w:rPr>
    </w:pPr>
    <w:r>
      <w:rPr>
        <w:rStyle w:val="PageNumber"/>
        <w:szCs w:val="24"/>
      </w:rPr>
      <w:t>May</w:t>
    </w:r>
    <w:r w:rsidRPr="00B86265">
      <w:rPr>
        <w:rStyle w:val="PageNumber"/>
        <w:szCs w:val="24"/>
      </w:rPr>
      <w:t xml:space="preserve"> 2017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D6751" w14:textId="77777777" w:rsidR="00316029" w:rsidRPr="008779BF" w:rsidRDefault="00316029" w:rsidP="008779BF">
    <w:pPr>
      <w:pStyle w:val="Footer"/>
      <w:rPr>
        <w:rStyle w:val="PageNumbe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7F754" w14:textId="58BD6EF9" w:rsidR="00316029" w:rsidRPr="00B86265" w:rsidRDefault="00316029" w:rsidP="00597AF5">
    <w:pPr>
      <w:pStyle w:val="Footer"/>
      <w:pBdr>
        <w:top w:val="single" w:sz="4" w:space="1" w:color="auto"/>
      </w:pBdr>
      <w:tabs>
        <w:tab w:val="center" w:pos="4770"/>
        <w:tab w:val="right" w:pos="9360"/>
      </w:tabs>
      <w:rPr>
        <w:rStyle w:val="PageNumber"/>
        <w:szCs w:val="24"/>
      </w:rPr>
    </w:pPr>
    <w:r w:rsidRPr="00B86265">
      <w:rPr>
        <w:szCs w:val="24"/>
      </w:rPr>
      <w:t xml:space="preserve">APEC III OMB Supporting Statement Part A </w:t>
    </w:r>
    <w:r w:rsidRPr="00B86265">
      <w:rPr>
        <w:szCs w:val="24"/>
      </w:rPr>
      <w:tab/>
    </w:r>
    <w:r w:rsidRPr="00B86265">
      <w:rPr>
        <w:rStyle w:val="PageNumber"/>
        <w:szCs w:val="24"/>
      </w:rPr>
      <w:tab/>
    </w:r>
    <w:r w:rsidRPr="00B86265">
      <w:rPr>
        <w:rStyle w:val="PageNumber"/>
        <w:szCs w:val="24"/>
      </w:rPr>
      <w:fldChar w:fldCharType="begin"/>
    </w:r>
    <w:r w:rsidRPr="00B86265">
      <w:rPr>
        <w:rStyle w:val="PageNumber"/>
        <w:szCs w:val="24"/>
      </w:rPr>
      <w:instrText xml:space="preserve"> PAGE </w:instrText>
    </w:r>
    <w:r w:rsidRPr="00B86265">
      <w:rPr>
        <w:rStyle w:val="PageNumber"/>
        <w:szCs w:val="24"/>
      </w:rPr>
      <w:fldChar w:fldCharType="separate"/>
    </w:r>
    <w:r w:rsidR="003B589C">
      <w:rPr>
        <w:rStyle w:val="PageNumber"/>
        <w:noProof/>
        <w:szCs w:val="24"/>
      </w:rPr>
      <w:t>31</w:t>
    </w:r>
    <w:r w:rsidRPr="00B86265">
      <w:rPr>
        <w:rStyle w:val="PageNumber"/>
        <w:szCs w:val="24"/>
      </w:rPr>
      <w:fldChar w:fldCharType="end"/>
    </w:r>
  </w:p>
  <w:p w14:paraId="29D803F2" w14:textId="0835F609" w:rsidR="00316029" w:rsidRPr="00B86265" w:rsidRDefault="00316029" w:rsidP="008D3EB6">
    <w:pPr>
      <w:pStyle w:val="Footer"/>
      <w:tabs>
        <w:tab w:val="center" w:pos="4770"/>
        <w:tab w:val="right" w:pos="9360"/>
      </w:tabs>
      <w:rPr>
        <w:rStyle w:val="PageNumber"/>
        <w:szCs w:val="24"/>
      </w:rPr>
    </w:pPr>
    <w:r>
      <w:rPr>
        <w:rStyle w:val="PageNumber"/>
        <w:szCs w:val="24"/>
      </w:rPr>
      <w:t xml:space="preserve">May </w:t>
    </w:r>
    <w:r w:rsidRPr="00B86265">
      <w:rPr>
        <w:rStyle w:val="PageNumber"/>
        <w:szCs w:val="24"/>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79C54" w14:textId="77777777" w:rsidR="00644240" w:rsidRDefault="00644240" w:rsidP="00444C39">
      <w:r>
        <w:separator/>
      </w:r>
    </w:p>
  </w:footnote>
  <w:footnote w:type="continuationSeparator" w:id="0">
    <w:p w14:paraId="69A08B00" w14:textId="77777777" w:rsidR="00644240" w:rsidRDefault="00644240" w:rsidP="00444C39">
      <w:r>
        <w:continuationSeparator/>
      </w:r>
    </w:p>
  </w:footnote>
  <w:footnote w:id="1">
    <w:p w14:paraId="04578353" w14:textId="77777777" w:rsidR="00316029" w:rsidRPr="007D297C" w:rsidRDefault="00316029" w:rsidP="00155C59">
      <w:pPr>
        <w:pStyle w:val="FootnoteText"/>
      </w:pPr>
      <w:r w:rsidRPr="007D297C">
        <w:rPr>
          <w:rStyle w:val="FootnoteReference"/>
        </w:rPr>
        <w:footnoteRef/>
      </w:r>
      <w:r w:rsidRPr="007D297C">
        <w:t xml:space="preserve"> </w:t>
      </w:r>
      <w:r w:rsidRPr="00473A9D">
        <w:rPr>
          <w:sz w:val="18"/>
          <w:szCs w:val="18"/>
        </w:rPr>
        <w:t xml:space="preserve">Food and Nutrition Service, </w:t>
      </w:r>
      <w:r w:rsidRPr="00473A9D">
        <w:rPr>
          <w:i/>
          <w:sz w:val="18"/>
          <w:szCs w:val="18"/>
        </w:rPr>
        <w:t>Measuring and Reducing Errors in the School Meal Programs (Summary)</w:t>
      </w:r>
      <w:r w:rsidRPr="00473A9D">
        <w:rPr>
          <w:sz w:val="18"/>
          <w:szCs w:val="18"/>
        </w:rPr>
        <w:t xml:space="preserve"> May 2015, </w:t>
      </w:r>
      <w:hyperlink r:id="rId1" w:history="1">
        <w:r w:rsidRPr="00473A9D">
          <w:rPr>
            <w:rStyle w:val="Hyperlink"/>
            <w:sz w:val="18"/>
            <w:szCs w:val="18"/>
          </w:rPr>
          <w:t>http://www.fns.usda.gov/sites/default/files/ops/APECII-Summary.pdf</w:t>
        </w:r>
      </w:hyperlink>
      <w:r w:rsidRPr="00473A9D">
        <w:rPr>
          <w:sz w:val="18"/>
          <w:szCs w:val="18"/>
        </w:rPr>
        <w:t>.</w:t>
      </w:r>
    </w:p>
  </w:footnote>
  <w:footnote w:id="2">
    <w:p w14:paraId="2C55A700" w14:textId="77777777" w:rsidR="00316029" w:rsidRPr="007D297C" w:rsidRDefault="00316029" w:rsidP="00155C59">
      <w:pPr>
        <w:pStyle w:val="FootnoteText"/>
      </w:pPr>
      <w:r w:rsidRPr="007D297C">
        <w:rPr>
          <w:rStyle w:val="FootnoteReference"/>
        </w:rPr>
        <w:footnoteRef/>
      </w:r>
      <w:r w:rsidRPr="007D297C">
        <w:t xml:space="preserve"> </w:t>
      </w:r>
      <w:r w:rsidRPr="00473A9D">
        <w:rPr>
          <w:i/>
          <w:sz w:val="18"/>
          <w:szCs w:val="18"/>
        </w:rPr>
        <w:t>U.S. Department of Agriculture, Food and Nutrition Service, Office of Policy Support, Program Error in the National School Lunch Program and School Breakfast Program: Findings from the Second Access, Participation, Eligibility and Certification Study (APEC II) Volume 1: Findings</w:t>
      </w:r>
      <w:r w:rsidRPr="00473A9D">
        <w:rPr>
          <w:sz w:val="18"/>
          <w:szCs w:val="18"/>
        </w:rPr>
        <w:t xml:space="preserve"> by Quinn Moore, Judith Cannon, Dallas Dotter, Esa Eslami, John Hall, Joanne Lee, Alicia Leonard, Nora Paxton, Michael Ponza, Emily Weaver, Eric Zeidman, Mustafa Karakus, Roline Milfort. Project Officer Joseph F. Robare. Alexandria, VA: May 2015.</w:t>
      </w:r>
    </w:p>
  </w:footnote>
  <w:footnote w:id="3">
    <w:p w14:paraId="6CF4660B" w14:textId="77777777" w:rsidR="00316029" w:rsidRPr="007D297C" w:rsidRDefault="00316029" w:rsidP="00155C59">
      <w:pPr>
        <w:pStyle w:val="FootnoteText"/>
      </w:pPr>
      <w:r w:rsidRPr="007D297C">
        <w:rPr>
          <w:rStyle w:val="FootnoteReference"/>
        </w:rPr>
        <w:footnoteRef/>
      </w:r>
      <w:r w:rsidRPr="007D297C">
        <w:t xml:space="preserve"> </w:t>
      </w:r>
      <w:r w:rsidRPr="00473A9D">
        <w:rPr>
          <w:i/>
          <w:sz w:val="18"/>
          <w:szCs w:val="18"/>
        </w:rPr>
        <w:t>U.S. Department of Agriculture, Food and Nutrition Service, Office of Policy Support, Program Error in the National School Lunch Program and School Breakfast Program: Findings from the Second Access, Participation, Eligibility and Certification Study (APEC II) Volume 1: Findings</w:t>
      </w:r>
      <w:r w:rsidRPr="00473A9D">
        <w:rPr>
          <w:sz w:val="18"/>
          <w:szCs w:val="18"/>
        </w:rPr>
        <w:t xml:space="preserve"> by Quinn Moore, Judith Cannon, Dallas Dotter, Esa Eslami, John Hall, Joanne Lee, Alicia Leonard, Nora Paxton, Michael Ponza, Emily Weaver, Eric Zeidman, Mustafa Karakus, Roline Milfort. Project Officer Joseph F. Robare. Alexandria, VA: May 2015.</w:t>
      </w:r>
    </w:p>
  </w:footnote>
  <w:footnote w:id="4">
    <w:p w14:paraId="4C4D6931" w14:textId="4C9501B0" w:rsidR="0041203C" w:rsidRDefault="0041203C">
      <w:pPr>
        <w:pStyle w:val="FootnoteText"/>
      </w:pPr>
      <w:r>
        <w:rPr>
          <w:rStyle w:val="FootnoteReference"/>
        </w:rPr>
        <w:footnoteRef/>
      </w:r>
      <w:r>
        <w:t xml:space="preserve"> </w:t>
      </w:r>
      <w:r w:rsidRPr="00473A9D">
        <w:rPr>
          <w:i/>
          <w:sz w:val="18"/>
          <w:szCs w:val="18"/>
        </w:rPr>
        <w:t xml:space="preserve">U.S. Department of Agriculture, Food and Nutrition Service, Office of </w:t>
      </w:r>
      <w:r>
        <w:rPr>
          <w:i/>
          <w:sz w:val="18"/>
          <w:szCs w:val="18"/>
        </w:rPr>
        <w:t xml:space="preserve">Analysis, Nutrition, and Evaluation. </w:t>
      </w:r>
      <w:r w:rsidRPr="00473A9D">
        <w:rPr>
          <w:i/>
          <w:sz w:val="18"/>
          <w:szCs w:val="18"/>
        </w:rPr>
        <w:t xml:space="preserve">Access, Participation, Eligibility </w:t>
      </w:r>
      <w:r>
        <w:rPr>
          <w:i/>
          <w:sz w:val="18"/>
          <w:szCs w:val="18"/>
        </w:rPr>
        <w:t>and Certification Study (APEC</w:t>
      </w:r>
      <w:r w:rsidRPr="00473A9D">
        <w:rPr>
          <w:i/>
          <w:sz w:val="18"/>
          <w:szCs w:val="18"/>
        </w:rPr>
        <w:t>)</w:t>
      </w:r>
      <w:r>
        <w:rPr>
          <w:i/>
          <w:sz w:val="18"/>
          <w:szCs w:val="18"/>
        </w:rPr>
        <w:t xml:space="preserve">: Erroneous Payments in the NSLP and SBP. </w:t>
      </w:r>
      <w:r w:rsidRPr="00473A9D">
        <w:rPr>
          <w:i/>
          <w:sz w:val="18"/>
          <w:szCs w:val="18"/>
        </w:rPr>
        <w:t>Volume 1: Findings</w:t>
      </w:r>
      <w:r w:rsidRPr="00473A9D">
        <w:rPr>
          <w:sz w:val="18"/>
          <w:szCs w:val="18"/>
        </w:rPr>
        <w:t xml:space="preserve"> by </w:t>
      </w:r>
      <w:r>
        <w:rPr>
          <w:sz w:val="18"/>
          <w:szCs w:val="18"/>
        </w:rPr>
        <w:t xml:space="preserve">Michael Ponza, Philip Gleason, Lara Hulsey, Quinn Moore. </w:t>
      </w:r>
      <w:r w:rsidRPr="00473A9D">
        <w:rPr>
          <w:sz w:val="18"/>
          <w:szCs w:val="18"/>
        </w:rPr>
        <w:t xml:space="preserve">Project Officer </w:t>
      </w:r>
      <w:r>
        <w:rPr>
          <w:sz w:val="18"/>
          <w:szCs w:val="18"/>
        </w:rPr>
        <w:t>John Endahl</w:t>
      </w:r>
      <w:r w:rsidRPr="00473A9D">
        <w:rPr>
          <w:sz w:val="18"/>
          <w:szCs w:val="18"/>
        </w:rPr>
        <w:t xml:space="preserve">. Alexandria, VA: </w:t>
      </w:r>
      <w:r>
        <w:rPr>
          <w:sz w:val="18"/>
          <w:szCs w:val="18"/>
        </w:rPr>
        <w:t>October 2007</w:t>
      </w:r>
      <w:r w:rsidRPr="00473A9D">
        <w:rPr>
          <w:sz w:val="18"/>
          <w:szCs w:val="18"/>
        </w:rPr>
        <w:t>.</w:t>
      </w:r>
    </w:p>
  </w:footnote>
  <w:footnote w:id="5">
    <w:p w14:paraId="723B1E72" w14:textId="0A842B3B" w:rsidR="00AD482D" w:rsidRDefault="00AD482D">
      <w:pPr>
        <w:pStyle w:val="FootnoteText"/>
      </w:pPr>
      <w:r>
        <w:rPr>
          <w:rStyle w:val="FootnoteReference"/>
        </w:rPr>
        <w:footnoteRef/>
      </w:r>
      <w:r>
        <w:t xml:space="preserve"> </w:t>
      </w:r>
      <w:r w:rsidRPr="00473A9D">
        <w:rPr>
          <w:i/>
          <w:sz w:val="18"/>
          <w:szCs w:val="18"/>
        </w:rPr>
        <w:t>U.S. Department of Agriculture, Food and Nutrition Service, Office of Policy Support, Program Error in the National School Lunch Program and School Breakfast Program: Findings from the Second Access, Participation, Eligibility and Certification Study (APEC II) Volume 1: Findings</w:t>
      </w:r>
      <w:r w:rsidRPr="00473A9D">
        <w:rPr>
          <w:sz w:val="18"/>
          <w:szCs w:val="18"/>
        </w:rPr>
        <w:t xml:space="preserve"> by Quinn Moore, Judith Cannon, Dallas Dotter, Esa Eslami, John Hall, Joanne Lee, Alicia Leonard, Nora Paxton, Michael Ponza, Emily Weaver, Eric Zeidman, Mustafa Karakus, Roline Milfort. Project Officer Joseph F. Robare. Alexandria, VA: May 2015.</w:t>
      </w:r>
    </w:p>
  </w:footnote>
  <w:footnote w:id="6">
    <w:p w14:paraId="76FB92ED" w14:textId="77777777" w:rsidR="00316029" w:rsidRPr="007D297C" w:rsidRDefault="00316029" w:rsidP="00155C59">
      <w:pPr>
        <w:pStyle w:val="FootnoteText"/>
      </w:pPr>
      <w:r w:rsidRPr="007D297C">
        <w:rPr>
          <w:rStyle w:val="FootnoteReference"/>
        </w:rPr>
        <w:footnoteRef/>
      </w:r>
      <w:r w:rsidRPr="007D297C">
        <w:t xml:space="preserve"> </w:t>
      </w:r>
      <w:r w:rsidRPr="002C02DA">
        <w:rPr>
          <w:sz w:val="18"/>
          <w:szCs w:val="18"/>
        </w:rPr>
        <w:t>Direct certification is a process in which States and/or local education agencies (LEAs) directly certify students for free meals without an application through an automatic process (i.e., computer/electronic match) using records of program participation (SNAP, TANF, etc.). Categorically eligible refers to students who are eligible for free meals because of their participation in assistance programs (e.g., SNAP, TANF)) or who are migrant, runaway, homeless, etc. Directly certified students are categorically eligible (unless certified from WIC Medicaid), whereas categorically eligible students are not necessarily directly certified.</w:t>
      </w:r>
    </w:p>
  </w:footnote>
  <w:footnote w:id="7">
    <w:p w14:paraId="2AE7D905" w14:textId="3FE80180" w:rsidR="00316029" w:rsidRDefault="00316029">
      <w:pPr>
        <w:pStyle w:val="FootnoteText"/>
      </w:pPr>
      <w:r>
        <w:rPr>
          <w:rStyle w:val="FootnoteReference"/>
        </w:rPr>
        <w:footnoteRef/>
      </w:r>
      <w:r>
        <w:t xml:space="preserve"> </w:t>
      </w:r>
      <w:r w:rsidRPr="00EA278C">
        <w:rPr>
          <w:sz w:val="18"/>
          <w:szCs w:val="18"/>
        </w:rPr>
        <w:t xml:space="preserve">This is the sum of 275 SFA Meal Participation Data Requests </w:t>
      </w:r>
      <w:r>
        <w:rPr>
          <w:sz w:val="18"/>
          <w:szCs w:val="18"/>
        </w:rPr>
        <w:t>plus</w:t>
      </w:r>
      <w:r w:rsidRPr="00EA278C">
        <w:rPr>
          <w:sz w:val="18"/>
          <w:szCs w:val="18"/>
        </w:rPr>
        <w:t xml:space="preserve"> 44 State Meal participation Data Requests</w:t>
      </w:r>
      <w:r>
        <w:rPr>
          <w:sz w:val="18"/>
          <w:szCs w:val="18"/>
        </w:rPr>
        <w:t>.</w:t>
      </w:r>
    </w:p>
  </w:footnote>
  <w:footnote w:id="8">
    <w:p w14:paraId="2C4093B2" w14:textId="4C19212D" w:rsidR="00316029" w:rsidRPr="00473A9D" w:rsidRDefault="00316029" w:rsidP="00155C59">
      <w:pPr>
        <w:pStyle w:val="FootnoteText"/>
        <w:rPr>
          <w:sz w:val="18"/>
          <w:szCs w:val="18"/>
        </w:rPr>
      </w:pPr>
      <w:r w:rsidRPr="00473A9D">
        <w:rPr>
          <w:rStyle w:val="FootnoteReference"/>
          <w:sz w:val="18"/>
          <w:szCs w:val="18"/>
        </w:rPr>
        <w:footnoteRef/>
      </w:r>
      <w:r>
        <w:rPr>
          <w:sz w:val="18"/>
          <w:szCs w:val="18"/>
        </w:rPr>
        <w:t xml:space="preserve"> This is the sum of 53,698 </w:t>
      </w:r>
      <w:r w:rsidRPr="00473A9D">
        <w:rPr>
          <w:sz w:val="18"/>
          <w:szCs w:val="18"/>
        </w:rPr>
        <w:t>responses from respondents plus 5,31</w:t>
      </w:r>
      <w:r>
        <w:rPr>
          <w:sz w:val="18"/>
          <w:szCs w:val="18"/>
        </w:rPr>
        <w:t>8</w:t>
      </w:r>
      <w:r w:rsidRPr="00473A9D">
        <w:rPr>
          <w:sz w:val="18"/>
          <w:szCs w:val="18"/>
        </w:rPr>
        <w:t xml:space="preserve"> responses from nonrespondents.</w:t>
      </w:r>
    </w:p>
  </w:footnote>
  <w:footnote w:id="9">
    <w:p w14:paraId="446EE868" w14:textId="77777777" w:rsidR="00316029" w:rsidRPr="00473A9D" w:rsidRDefault="00316029" w:rsidP="00155C59">
      <w:pPr>
        <w:pStyle w:val="FootnoteText"/>
        <w:rPr>
          <w:sz w:val="18"/>
          <w:szCs w:val="18"/>
        </w:rPr>
      </w:pPr>
      <w:r w:rsidRPr="00473A9D">
        <w:rPr>
          <w:rStyle w:val="FootnoteReference"/>
          <w:sz w:val="18"/>
          <w:szCs w:val="18"/>
        </w:rPr>
        <w:footnoteRef/>
      </w:r>
      <w:r w:rsidRPr="00473A9D">
        <w:rPr>
          <w:sz w:val="18"/>
          <w:szCs w:val="18"/>
        </w:rPr>
        <w:t xml:space="preserve"> The total responses submitted electronically equals 5,412 (4,818 household survey + 275 SFA director survey + 319 State/SFA electronic records). </w:t>
      </w:r>
    </w:p>
  </w:footnote>
  <w:footnote w:id="10">
    <w:p w14:paraId="6DD6C854" w14:textId="6EB35564" w:rsidR="00316029" w:rsidRPr="00473A9D" w:rsidRDefault="00316029" w:rsidP="00155C59">
      <w:pPr>
        <w:pStyle w:val="FootnoteText"/>
        <w:rPr>
          <w:sz w:val="18"/>
          <w:szCs w:val="18"/>
        </w:rPr>
      </w:pPr>
      <w:r w:rsidRPr="00473A9D">
        <w:rPr>
          <w:rStyle w:val="FootnoteReference"/>
          <w:sz w:val="18"/>
          <w:szCs w:val="18"/>
        </w:rPr>
        <w:footnoteRef/>
      </w:r>
      <w:r w:rsidRPr="00473A9D">
        <w:rPr>
          <w:sz w:val="18"/>
          <w:szCs w:val="18"/>
        </w:rPr>
        <w:t xml:space="preserve"> This includes requests for </w:t>
      </w:r>
      <w:r>
        <w:rPr>
          <w:sz w:val="18"/>
          <w:szCs w:val="18"/>
        </w:rPr>
        <w:t xml:space="preserve">6,424 </w:t>
      </w:r>
      <w:r w:rsidRPr="00473A9D">
        <w:rPr>
          <w:sz w:val="18"/>
          <w:szCs w:val="18"/>
        </w:rPr>
        <w:t>applications for abstraction from 275 SFA staff, requests</w:t>
      </w:r>
      <w:r>
        <w:rPr>
          <w:sz w:val="18"/>
          <w:szCs w:val="18"/>
        </w:rPr>
        <w:t xml:space="preserve"> for 625 school meal counts from 625 school staff, and </w:t>
      </w:r>
      <w:r w:rsidRPr="00473A9D">
        <w:rPr>
          <w:sz w:val="18"/>
          <w:szCs w:val="18"/>
        </w:rPr>
        <w:t xml:space="preserve">requests for </w:t>
      </w:r>
      <w:r>
        <w:rPr>
          <w:sz w:val="18"/>
          <w:szCs w:val="18"/>
        </w:rPr>
        <w:t xml:space="preserve">275 </w:t>
      </w:r>
      <w:r w:rsidRPr="00473A9D">
        <w:rPr>
          <w:sz w:val="18"/>
          <w:szCs w:val="18"/>
        </w:rPr>
        <w:t>SFA meal claims from 275</w:t>
      </w:r>
      <w:r>
        <w:rPr>
          <w:sz w:val="18"/>
          <w:szCs w:val="18"/>
        </w:rPr>
        <w:t xml:space="preserve"> SFA staff. This totals 1,175 requests and 7,324 records</w:t>
      </w:r>
      <w:r w:rsidRPr="00473A9D">
        <w:rPr>
          <w:sz w:val="18"/>
          <w:szCs w:val="18"/>
        </w:rPr>
        <w:t xml:space="preserve">. </w:t>
      </w:r>
    </w:p>
  </w:footnote>
  <w:footnote w:id="11">
    <w:p w14:paraId="63D02398" w14:textId="7B1A8C31" w:rsidR="00316029" w:rsidRPr="007D297C" w:rsidRDefault="00316029" w:rsidP="00155C59">
      <w:pPr>
        <w:pStyle w:val="FootnoteText"/>
      </w:pPr>
      <w:r w:rsidRPr="00473A9D">
        <w:rPr>
          <w:rStyle w:val="FootnoteReference"/>
          <w:sz w:val="18"/>
          <w:szCs w:val="18"/>
        </w:rPr>
        <w:footnoteRef/>
      </w:r>
      <w:r w:rsidRPr="00473A9D">
        <w:rPr>
          <w:sz w:val="18"/>
          <w:szCs w:val="18"/>
        </w:rPr>
        <w:t xml:space="preserve"> These additional 7,480 records are not included in the estimated 9.</w:t>
      </w:r>
      <w:r>
        <w:rPr>
          <w:sz w:val="18"/>
          <w:szCs w:val="18"/>
        </w:rPr>
        <w:t>2</w:t>
      </w:r>
      <w:r w:rsidRPr="00473A9D">
        <w:rPr>
          <w:sz w:val="18"/>
          <w:szCs w:val="18"/>
        </w:rPr>
        <w:t xml:space="preserve"> percent of responses submitted electronically.</w:t>
      </w:r>
      <w:r w:rsidRPr="007D297C">
        <w:t xml:space="preserve"> </w:t>
      </w:r>
    </w:p>
  </w:footnote>
  <w:footnote w:id="12">
    <w:p w14:paraId="42F25968" w14:textId="77777777" w:rsidR="00316029" w:rsidRPr="00473A9D" w:rsidRDefault="00316029" w:rsidP="00155C59">
      <w:pPr>
        <w:pStyle w:val="FootnoteText"/>
        <w:rPr>
          <w:sz w:val="18"/>
          <w:szCs w:val="18"/>
        </w:rPr>
      </w:pPr>
      <w:r w:rsidRPr="00473A9D">
        <w:rPr>
          <w:rStyle w:val="FootnoteReference"/>
          <w:sz w:val="18"/>
          <w:szCs w:val="18"/>
        </w:rPr>
        <w:footnoteRef/>
      </w:r>
      <w:r w:rsidRPr="00473A9D">
        <w:rPr>
          <w:sz w:val="18"/>
          <w:szCs w:val="18"/>
        </w:rPr>
        <w:t xml:space="preserve"> Accessed May 4, 2016, at: </w:t>
      </w:r>
      <w:hyperlink r:id="rId2" w:history="1">
        <w:r w:rsidRPr="00473A9D">
          <w:rPr>
            <w:rStyle w:val="Hyperlink"/>
            <w:sz w:val="18"/>
            <w:szCs w:val="18"/>
          </w:rPr>
          <w:t>http://www.whitehouse.gov/sites/default/files/omb/memoranda/2015/m-15-02.pdf</w:t>
        </w:r>
      </w:hyperlink>
      <w:r w:rsidRPr="00473A9D">
        <w:rPr>
          <w:rStyle w:val="Hyperlink"/>
          <w:sz w:val="18"/>
          <w:szCs w:val="18"/>
        </w:rPr>
        <w:t>.</w:t>
      </w:r>
      <w:r w:rsidRPr="00473A9D">
        <w:rPr>
          <w:sz w:val="18"/>
          <w:szCs w:val="18"/>
        </w:rPr>
        <w:t xml:space="preserve"> </w:t>
      </w:r>
    </w:p>
  </w:footnote>
  <w:footnote w:id="13">
    <w:p w14:paraId="665CC6CB" w14:textId="77777777" w:rsidR="00316029" w:rsidRPr="00473A9D" w:rsidRDefault="00316029" w:rsidP="00155C59">
      <w:pPr>
        <w:pStyle w:val="FootnoteText"/>
        <w:rPr>
          <w:sz w:val="18"/>
          <w:szCs w:val="18"/>
        </w:rPr>
      </w:pPr>
      <w:r w:rsidRPr="00473A9D">
        <w:rPr>
          <w:rStyle w:val="FootnoteReference"/>
          <w:sz w:val="18"/>
          <w:szCs w:val="18"/>
        </w:rPr>
        <w:footnoteRef/>
      </w:r>
      <w:r w:rsidRPr="00473A9D">
        <w:rPr>
          <w:sz w:val="18"/>
          <w:szCs w:val="18"/>
        </w:rPr>
        <w:t xml:space="preserve"> Incentives will only be provided to individuals and not to State, SFA, or school staff for their participation. </w:t>
      </w:r>
    </w:p>
  </w:footnote>
  <w:footnote w:id="14">
    <w:p w14:paraId="104335B0" w14:textId="77777777" w:rsidR="00316029" w:rsidRPr="00473A9D" w:rsidRDefault="00316029" w:rsidP="00155C59">
      <w:pPr>
        <w:pStyle w:val="FootnoteText"/>
        <w:rPr>
          <w:sz w:val="18"/>
          <w:szCs w:val="18"/>
        </w:rPr>
      </w:pPr>
      <w:r w:rsidRPr="00473A9D">
        <w:rPr>
          <w:rStyle w:val="FootnoteReference"/>
          <w:sz w:val="18"/>
          <w:szCs w:val="18"/>
        </w:rPr>
        <w:footnoteRef/>
      </w:r>
      <w:r w:rsidRPr="00473A9D">
        <w:rPr>
          <w:sz w:val="18"/>
          <w:szCs w:val="18"/>
        </w:rPr>
        <w:t xml:space="preserve"> Singer, E. (2002). The use of incentives to reduce non response in household surveys. In Groves, R., Dillman, D., Eltinge, J., Little, R. (Eds.). </w:t>
      </w:r>
      <w:r w:rsidRPr="00473A9D">
        <w:rPr>
          <w:i/>
          <w:sz w:val="18"/>
          <w:szCs w:val="18"/>
        </w:rPr>
        <w:t>Survey Non Response.</w:t>
      </w:r>
      <w:r w:rsidRPr="00473A9D">
        <w:rPr>
          <w:sz w:val="18"/>
          <w:szCs w:val="18"/>
        </w:rPr>
        <w:t xml:space="preserve"> New York: Wiley, pp 163-177.</w:t>
      </w:r>
    </w:p>
  </w:footnote>
  <w:footnote w:id="15">
    <w:p w14:paraId="7D6F4F8A" w14:textId="77777777" w:rsidR="00316029" w:rsidRPr="00473A9D" w:rsidRDefault="00316029" w:rsidP="00155C59">
      <w:pPr>
        <w:pStyle w:val="FootnoteText"/>
        <w:rPr>
          <w:sz w:val="18"/>
          <w:szCs w:val="18"/>
        </w:rPr>
      </w:pPr>
      <w:r w:rsidRPr="00473A9D">
        <w:rPr>
          <w:rStyle w:val="FootnoteReference"/>
          <w:sz w:val="18"/>
          <w:szCs w:val="18"/>
        </w:rPr>
        <w:footnoteRef/>
      </w:r>
      <w:r w:rsidRPr="00473A9D">
        <w:rPr>
          <w:sz w:val="18"/>
          <w:szCs w:val="18"/>
        </w:rPr>
        <w:t xml:space="preserve"> Groves, R., Fowler, F., Couper, M., Lepkowski, J., Singer, E., and Tourangeau, R. (2009). </w:t>
      </w:r>
      <w:r w:rsidRPr="00473A9D">
        <w:rPr>
          <w:i/>
          <w:sz w:val="18"/>
          <w:szCs w:val="18"/>
        </w:rPr>
        <w:t>Survey Methodology</w:t>
      </w:r>
      <w:r w:rsidRPr="00473A9D">
        <w:rPr>
          <w:sz w:val="18"/>
          <w:szCs w:val="18"/>
        </w:rPr>
        <w:t>. John Wiley &amp; Sons, pp 205-206.</w:t>
      </w:r>
    </w:p>
  </w:footnote>
  <w:footnote w:id="16">
    <w:p w14:paraId="324B6096" w14:textId="77777777" w:rsidR="00316029" w:rsidRPr="00473A9D" w:rsidRDefault="00316029" w:rsidP="00155C59">
      <w:pPr>
        <w:pStyle w:val="FootnoteText"/>
        <w:rPr>
          <w:sz w:val="18"/>
          <w:szCs w:val="18"/>
        </w:rPr>
      </w:pPr>
      <w:r w:rsidRPr="00473A9D">
        <w:rPr>
          <w:rStyle w:val="FootnoteReference"/>
          <w:sz w:val="18"/>
          <w:szCs w:val="18"/>
        </w:rPr>
        <w:footnoteRef/>
      </w:r>
      <w:r w:rsidRPr="00473A9D">
        <w:rPr>
          <w:sz w:val="18"/>
          <w:szCs w:val="18"/>
        </w:rPr>
        <w:t xml:space="preserve"> Singer, E., and Ye, C. (2013). The use and effectives of incentives in surveys. </w:t>
      </w:r>
      <w:r w:rsidRPr="00473A9D">
        <w:rPr>
          <w:i/>
          <w:sz w:val="18"/>
          <w:szCs w:val="18"/>
        </w:rPr>
        <w:t>Annals of the American Academy of Political and Social Science,</w:t>
      </w:r>
      <w:r w:rsidRPr="00473A9D">
        <w:rPr>
          <w:sz w:val="18"/>
          <w:szCs w:val="18"/>
        </w:rPr>
        <w:t xml:space="preserve"> 645(1):112-141.</w:t>
      </w:r>
    </w:p>
  </w:footnote>
  <w:footnote w:id="17">
    <w:p w14:paraId="10C53349" w14:textId="77777777" w:rsidR="00316029" w:rsidRPr="00473A9D" w:rsidRDefault="00316029" w:rsidP="00155C59">
      <w:pPr>
        <w:pStyle w:val="FootnoteText"/>
        <w:rPr>
          <w:sz w:val="18"/>
          <w:szCs w:val="18"/>
        </w:rPr>
      </w:pPr>
      <w:r w:rsidRPr="00473A9D">
        <w:rPr>
          <w:rStyle w:val="FootnoteReference"/>
          <w:sz w:val="18"/>
          <w:szCs w:val="18"/>
        </w:rPr>
        <w:footnoteRef/>
      </w:r>
      <w:r w:rsidRPr="00473A9D">
        <w:rPr>
          <w:sz w:val="18"/>
          <w:szCs w:val="18"/>
        </w:rPr>
        <w:t xml:space="preserve"> Singer, E. (2006). Introduction: Nonresponse Bias in Household Surveys. </w:t>
      </w:r>
      <w:r w:rsidRPr="00473A9D">
        <w:rPr>
          <w:i/>
          <w:sz w:val="18"/>
          <w:szCs w:val="18"/>
        </w:rPr>
        <w:t>Public Opinion Quarterly</w:t>
      </w:r>
      <w:r w:rsidRPr="00473A9D">
        <w:rPr>
          <w:sz w:val="18"/>
          <w:szCs w:val="18"/>
        </w:rPr>
        <w:t>, 70(5): 637-645.</w:t>
      </w:r>
    </w:p>
  </w:footnote>
  <w:footnote w:id="18">
    <w:p w14:paraId="784D345C" w14:textId="77777777" w:rsidR="00316029" w:rsidRPr="007D297C" w:rsidRDefault="00316029" w:rsidP="00155C59">
      <w:pPr>
        <w:pStyle w:val="FootnoteText"/>
      </w:pPr>
      <w:r w:rsidRPr="00473A9D">
        <w:rPr>
          <w:rStyle w:val="FootnoteReference"/>
          <w:sz w:val="18"/>
          <w:szCs w:val="18"/>
        </w:rPr>
        <w:footnoteRef/>
      </w:r>
      <w:r w:rsidRPr="00473A9D">
        <w:rPr>
          <w:sz w:val="18"/>
          <w:szCs w:val="18"/>
        </w:rPr>
        <w:t xml:space="preserve"> Dose-response analysis refers to the measurement of the relationship between the dose (in this case dollar amount of incentive) and the response (in this case response rates). Such analysis provides data for the expected improvement in response rate per additional dollar of incentive.</w:t>
      </w:r>
    </w:p>
  </w:footnote>
  <w:footnote w:id="19">
    <w:p w14:paraId="44DE9A25" w14:textId="77777777" w:rsidR="00316029" w:rsidRPr="00473A9D" w:rsidRDefault="00316029" w:rsidP="00155C59">
      <w:pPr>
        <w:pStyle w:val="FootnoteText"/>
        <w:rPr>
          <w:sz w:val="18"/>
          <w:szCs w:val="18"/>
        </w:rPr>
      </w:pPr>
      <w:r w:rsidRPr="00473A9D">
        <w:rPr>
          <w:rStyle w:val="FootnoteReference"/>
          <w:sz w:val="18"/>
          <w:szCs w:val="18"/>
        </w:rPr>
        <w:footnoteRef/>
      </w:r>
      <w:r w:rsidRPr="00473A9D">
        <w:rPr>
          <w:sz w:val="18"/>
          <w:szCs w:val="18"/>
        </w:rPr>
        <w:t xml:space="preserve"> Mercer, A., Caporaso, A., Cantor, D., and Townsend, R. (Spring 2015). How much gets you how much? Monetary incentives and response rates in household surveys. </w:t>
      </w:r>
      <w:r w:rsidRPr="00473A9D">
        <w:rPr>
          <w:i/>
          <w:sz w:val="18"/>
          <w:szCs w:val="18"/>
        </w:rPr>
        <w:t xml:space="preserve">Public Opinion Quarterly, </w:t>
      </w:r>
      <w:r w:rsidRPr="00473A9D">
        <w:rPr>
          <w:sz w:val="18"/>
          <w:szCs w:val="18"/>
        </w:rPr>
        <w:t>79(1): 102-129.</w:t>
      </w:r>
    </w:p>
  </w:footnote>
  <w:footnote w:id="20">
    <w:p w14:paraId="2ACC4680" w14:textId="2E28539A" w:rsidR="00316029" w:rsidRPr="007D297C" w:rsidRDefault="00316029" w:rsidP="00155C59">
      <w:pPr>
        <w:pStyle w:val="FootnoteText"/>
      </w:pPr>
      <w:r w:rsidRPr="00473A9D">
        <w:rPr>
          <w:rStyle w:val="FootnoteReference"/>
          <w:sz w:val="18"/>
          <w:szCs w:val="18"/>
        </w:rPr>
        <w:footnoteRef/>
      </w:r>
      <w:r w:rsidRPr="00473A9D">
        <w:rPr>
          <w:sz w:val="18"/>
          <w:szCs w:val="18"/>
        </w:rPr>
        <w:t xml:space="preserve"> Approval # 0584–0530 NSLP/SBP Access, Participation, Eligibility, and Certification Study, </w:t>
      </w:r>
      <w:r>
        <w:rPr>
          <w:sz w:val="18"/>
          <w:szCs w:val="18"/>
        </w:rPr>
        <w:t xml:space="preserve">Discontinued </w:t>
      </w:r>
      <w:r w:rsidRPr="00473A9D">
        <w:rPr>
          <w:sz w:val="18"/>
          <w:szCs w:val="18"/>
        </w:rPr>
        <w:t xml:space="preserve"> 08/31/2015.</w:t>
      </w:r>
    </w:p>
  </w:footnote>
  <w:footnote w:id="21">
    <w:p w14:paraId="79B953CB" w14:textId="77777777" w:rsidR="00316029" w:rsidRPr="00473A9D" w:rsidRDefault="00316029" w:rsidP="00C73EF0">
      <w:pPr>
        <w:pStyle w:val="FootnoteText"/>
        <w:rPr>
          <w:sz w:val="18"/>
          <w:szCs w:val="18"/>
        </w:rPr>
      </w:pPr>
      <w:r w:rsidRPr="00473A9D">
        <w:rPr>
          <w:rStyle w:val="FootnoteReference"/>
          <w:sz w:val="18"/>
          <w:szCs w:val="18"/>
        </w:rPr>
        <w:footnoteRef/>
      </w:r>
      <w:r w:rsidRPr="00473A9D">
        <w:rPr>
          <w:sz w:val="18"/>
          <w:szCs w:val="18"/>
        </w:rPr>
        <w:t xml:space="preserve"> </w:t>
      </w:r>
      <w:hyperlink r:id="rId3" w:history="1">
        <w:r w:rsidRPr="00473A9D">
          <w:rPr>
            <w:rStyle w:val="Hyperlink"/>
            <w:sz w:val="18"/>
            <w:szCs w:val="18"/>
          </w:rPr>
          <w:t>http://www.bls.gov/oes/current/naics4_999200.htm</w:t>
        </w:r>
      </w:hyperlink>
      <w:r w:rsidRPr="00473A9D">
        <w:rPr>
          <w:sz w:val="18"/>
          <w:szCs w:val="18"/>
        </w:rPr>
        <w:t xml:space="preserve"> </w:t>
      </w:r>
    </w:p>
  </w:footnote>
  <w:footnote w:id="22">
    <w:p w14:paraId="55D094E5" w14:textId="77777777" w:rsidR="00316029" w:rsidRPr="00473A9D" w:rsidRDefault="00316029" w:rsidP="00C73EF0">
      <w:pPr>
        <w:pStyle w:val="FootnoteText"/>
        <w:rPr>
          <w:sz w:val="18"/>
          <w:szCs w:val="18"/>
        </w:rPr>
      </w:pPr>
      <w:r w:rsidRPr="00473A9D">
        <w:rPr>
          <w:rStyle w:val="FootnoteReference"/>
          <w:sz w:val="18"/>
          <w:szCs w:val="18"/>
        </w:rPr>
        <w:footnoteRef/>
      </w:r>
      <w:r w:rsidRPr="00473A9D">
        <w:rPr>
          <w:sz w:val="18"/>
          <w:szCs w:val="18"/>
        </w:rPr>
        <w:t xml:space="preserve"> </w:t>
      </w:r>
      <w:hyperlink r:id="rId4" w:history="1">
        <w:r w:rsidRPr="00473A9D">
          <w:rPr>
            <w:rStyle w:val="Hyperlink"/>
            <w:sz w:val="18"/>
            <w:szCs w:val="18"/>
          </w:rPr>
          <w:t>http://www.bls.gov/oes/current/naics3_611000.htm</w:t>
        </w:r>
      </w:hyperlink>
      <w:r w:rsidRPr="00473A9D">
        <w:rPr>
          <w:sz w:val="18"/>
          <w:szCs w:val="18"/>
        </w:rPr>
        <w:t xml:space="preserve"> </w:t>
      </w:r>
    </w:p>
  </w:footnote>
  <w:footnote w:id="23">
    <w:p w14:paraId="3DED02A9" w14:textId="77777777" w:rsidR="00316029" w:rsidRPr="007D297C" w:rsidRDefault="00316029" w:rsidP="00C73EF0">
      <w:pPr>
        <w:pStyle w:val="FootnoteText"/>
      </w:pPr>
      <w:r w:rsidRPr="00473A9D">
        <w:rPr>
          <w:rStyle w:val="FootnoteReference"/>
          <w:sz w:val="18"/>
          <w:szCs w:val="18"/>
        </w:rPr>
        <w:footnoteRef/>
      </w:r>
      <w:r w:rsidRPr="00473A9D">
        <w:rPr>
          <w:sz w:val="18"/>
          <w:szCs w:val="18"/>
        </w:rPr>
        <w:t xml:space="preserve"> </w:t>
      </w:r>
      <w:hyperlink r:id="rId5" w:history="1">
        <w:r w:rsidRPr="00473A9D">
          <w:rPr>
            <w:rStyle w:val="Hyperlink"/>
            <w:sz w:val="18"/>
            <w:szCs w:val="18"/>
          </w:rPr>
          <w:t>http://www.dol.gov/general/topic/wages/minimumwage</w:t>
        </w:r>
      </w:hyperlink>
      <w:r w:rsidRPr="007D297C">
        <w:t xml:space="preserve"> </w:t>
      </w:r>
    </w:p>
  </w:footnote>
  <w:footnote w:id="24">
    <w:p w14:paraId="488BF5B2" w14:textId="289B9A6A" w:rsidR="00316029" w:rsidRPr="00473A9D" w:rsidRDefault="00316029" w:rsidP="00155C59">
      <w:pPr>
        <w:pStyle w:val="FootnoteText"/>
        <w:rPr>
          <w:sz w:val="18"/>
          <w:szCs w:val="18"/>
        </w:rPr>
      </w:pPr>
      <w:r w:rsidRPr="00473A9D">
        <w:rPr>
          <w:rStyle w:val="FootnoteReference"/>
          <w:sz w:val="18"/>
          <w:szCs w:val="18"/>
        </w:rPr>
        <w:footnoteRef/>
      </w:r>
      <w:r w:rsidRPr="00473A9D">
        <w:rPr>
          <w:sz w:val="18"/>
          <w:szCs w:val="18"/>
        </w:rPr>
        <w:t xml:space="preserve"> This amount reflects the total Westat contract value plus FNS oversight over the 5-year period ($11,728,218 + </w:t>
      </w:r>
      <w:r w:rsidRPr="00F7161D">
        <w:rPr>
          <w:sz w:val="18"/>
          <w:szCs w:val="18"/>
        </w:rPr>
        <w:t>$92,705.60).</w:t>
      </w:r>
    </w:p>
  </w:footnote>
  <w:footnote w:id="25">
    <w:p w14:paraId="3C5D8182" w14:textId="77777777" w:rsidR="00316029" w:rsidRPr="00473A9D" w:rsidRDefault="00316029" w:rsidP="00155C59">
      <w:pPr>
        <w:pStyle w:val="FootnoteText"/>
        <w:rPr>
          <w:sz w:val="18"/>
          <w:szCs w:val="18"/>
        </w:rPr>
      </w:pPr>
      <w:r w:rsidRPr="00473A9D">
        <w:rPr>
          <w:rStyle w:val="FootnoteReference"/>
          <w:sz w:val="18"/>
          <w:szCs w:val="18"/>
        </w:rPr>
        <w:footnoteRef/>
      </w:r>
      <w:r w:rsidRPr="00473A9D">
        <w:rPr>
          <w:sz w:val="18"/>
          <w:szCs w:val="18"/>
        </w:rPr>
        <w:t xml:space="preserve"> The average annual cost is over a 5-year period. </w:t>
      </w:r>
    </w:p>
  </w:footnote>
  <w:footnote w:id="26">
    <w:p w14:paraId="6A3E3BE1" w14:textId="77777777" w:rsidR="00316029" w:rsidRPr="00473A9D" w:rsidRDefault="00316029" w:rsidP="00155C59">
      <w:pPr>
        <w:pStyle w:val="FootnoteText"/>
        <w:rPr>
          <w:sz w:val="18"/>
          <w:szCs w:val="18"/>
        </w:rPr>
      </w:pPr>
      <w:r w:rsidRPr="00473A9D">
        <w:rPr>
          <w:rStyle w:val="FootnoteReference"/>
          <w:sz w:val="18"/>
          <w:szCs w:val="18"/>
        </w:rPr>
        <w:footnoteRef/>
      </w:r>
      <w:r w:rsidRPr="00473A9D">
        <w:rPr>
          <w:sz w:val="18"/>
          <w:szCs w:val="18"/>
        </w:rPr>
        <w:t xml:space="preserve"> This amount is the Westat total contract value. </w:t>
      </w:r>
    </w:p>
  </w:footnote>
  <w:footnote w:id="27">
    <w:p w14:paraId="708C16E7" w14:textId="77777777" w:rsidR="00316029" w:rsidRPr="007D297C" w:rsidRDefault="00316029" w:rsidP="00155C59">
      <w:pPr>
        <w:pStyle w:val="FootnoteText"/>
      </w:pPr>
      <w:r w:rsidRPr="00473A9D">
        <w:rPr>
          <w:rStyle w:val="FootnoteReference"/>
          <w:sz w:val="18"/>
          <w:szCs w:val="18"/>
        </w:rPr>
        <w:footnoteRef/>
      </w:r>
      <w:r w:rsidRPr="00473A9D">
        <w:rPr>
          <w:sz w:val="18"/>
          <w:szCs w:val="18"/>
        </w:rPr>
        <w:t xml:space="preserve"> This average annual cost is over a 5-year period.</w:t>
      </w:r>
    </w:p>
  </w:footnote>
  <w:footnote w:id="28">
    <w:p w14:paraId="495798E6" w14:textId="77777777" w:rsidR="00316029" w:rsidRPr="00473A9D" w:rsidRDefault="00316029" w:rsidP="00875161">
      <w:pPr>
        <w:pStyle w:val="FootnoteText"/>
        <w:rPr>
          <w:sz w:val="18"/>
          <w:szCs w:val="18"/>
        </w:rPr>
      </w:pPr>
      <w:r w:rsidRPr="00473A9D">
        <w:rPr>
          <w:rStyle w:val="FootnoteReference"/>
          <w:sz w:val="18"/>
          <w:szCs w:val="18"/>
        </w:rPr>
        <w:footnoteRef/>
      </w:r>
      <w:r w:rsidRPr="00473A9D">
        <w:rPr>
          <w:sz w:val="18"/>
          <w:szCs w:val="18"/>
        </w:rPr>
        <w:t xml:space="preserve"> Office of Personnel Management, General Schedule, accessed January 24, 2017, at: </w:t>
      </w:r>
      <w:hyperlink r:id="rId6" w:history="1">
        <w:r w:rsidRPr="00473A9D">
          <w:rPr>
            <w:rStyle w:val="Hyperlink"/>
            <w:sz w:val="18"/>
            <w:szCs w:val="18"/>
          </w:rPr>
          <w:t>https://www.opm.gov/policy-data-oversight/pay-leave/salaries-wages/salary-tables/pdf/2017/DCB_h.pdf</w:t>
        </w:r>
      </w:hyperlink>
      <w:r w:rsidRPr="00473A9D">
        <w:rPr>
          <w:rStyle w:val="Hyperlink"/>
          <w:sz w:val="18"/>
          <w:szCs w:val="18"/>
        </w:rPr>
        <w:t>.</w:t>
      </w:r>
    </w:p>
  </w:footnote>
  <w:footnote w:id="29">
    <w:p w14:paraId="4091887F" w14:textId="6557759E" w:rsidR="00316029" w:rsidRPr="00473A9D" w:rsidRDefault="00316029" w:rsidP="00155C59">
      <w:pPr>
        <w:pStyle w:val="FootnoteText"/>
        <w:rPr>
          <w:sz w:val="18"/>
          <w:szCs w:val="18"/>
        </w:rPr>
      </w:pPr>
      <w:r w:rsidRPr="00473A9D">
        <w:rPr>
          <w:rStyle w:val="FootnoteReference"/>
          <w:sz w:val="18"/>
          <w:szCs w:val="18"/>
        </w:rPr>
        <w:footnoteRef/>
      </w:r>
      <w:r w:rsidRPr="00473A9D">
        <w:rPr>
          <w:sz w:val="18"/>
          <w:szCs w:val="18"/>
        </w:rPr>
        <w:t xml:space="preserve"> Approval # 0584–0530 NSLP/SBP Access, Participation, Eligibility, and Certification Study, </w:t>
      </w:r>
      <w:r>
        <w:rPr>
          <w:sz w:val="18"/>
          <w:szCs w:val="18"/>
        </w:rPr>
        <w:t xml:space="preserve">Discontinued </w:t>
      </w:r>
      <w:r w:rsidRPr="00473A9D">
        <w:rPr>
          <w:sz w:val="18"/>
          <w:szCs w:val="18"/>
        </w:rPr>
        <w:t xml:space="preserve"> 08/31/2015.</w:t>
      </w:r>
    </w:p>
  </w:footnote>
  <w:footnote w:id="30">
    <w:p w14:paraId="2A2E3AEB" w14:textId="7D32EAE5" w:rsidR="00316029" w:rsidRPr="007D297C" w:rsidRDefault="00316029" w:rsidP="00155C59">
      <w:pPr>
        <w:pStyle w:val="FootnoteText"/>
      </w:pPr>
      <w:r w:rsidRPr="00473A9D">
        <w:rPr>
          <w:rStyle w:val="FootnoteReference"/>
          <w:sz w:val="18"/>
          <w:szCs w:val="18"/>
        </w:rPr>
        <w:footnoteRef/>
      </w:r>
      <w:r w:rsidRPr="00473A9D">
        <w:rPr>
          <w:sz w:val="18"/>
          <w:szCs w:val="18"/>
        </w:rPr>
        <w:t xml:space="preserve"> This includes qualitative interviews with a sub-sample of SFA directors, cafeteria managers, and household respondents.</w:t>
      </w:r>
      <w:r w:rsidRPr="007D297C">
        <w:t xml:space="preserve"> </w:t>
      </w:r>
    </w:p>
  </w:footnote>
  <w:footnote w:id="31">
    <w:p w14:paraId="4A97077D" w14:textId="77777777" w:rsidR="00316029" w:rsidRPr="00473A9D" w:rsidRDefault="00316029" w:rsidP="00155C59">
      <w:pPr>
        <w:pStyle w:val="FootnoteText"/>
        <w:rPr>
          <w:sz w:val="18"/>
          <w:szCs w:val="18"/>
        </w:rPr>
      </w:pPr>
      <w:r w:rsidRPr="00473A9D">
        <w:rPr>
          <w:rStyle w:val="FootnoteReference"/>
          <w:sz w:val="18"/>
          <w:szCs w:val="18"/>
        </w:rPr>
        <w:footnoteRef/>
      </w:r>
      <w:r w:rsidRPr="00473A9D">
        <w:rPr>
          <w:sz w:val="18"/>
          <w:szCs w:val="18"/>
        </w:rPr>
        <w:t xml:space="preserve"> Silverman, D. (1993). </w:t>
      </w:r>
      <w:r w:rsidRPr="00473A9D">
        <w:rPr>
          <w:i/>
          <w:sz w:val="18"/>
          <w:szCs w:val="18"/>
        </w:rPr>
        <w:t>Beginning Research. Interpreting Qualitative Data. Methods for Analysing Talk, Text and Interaction</w:t>
      </w:r>
      <w:r w:rsidRPr="00473A9D">
        <w:rPr>
          <w:sz w:val="18"/>
          <w:szCs w:val="18"/>
        </w:rPr>
        <w:t>. Londres: Sage Publications.</w:t>
      </w:r>
    </w:p>
  </w:footnote>
  <w:footnote w:id="32">
    <w:p w14:paraId="1F071024" w14:textId="77777777" w:rsidR="00316029" w:rsidRPr="007D297C" w:rsidRDefault="00316029" w:rsidP="00155C59">
      <w:pPr>
        <w:pStyle w:val="FootnoteText"/>
      </w:pPr>
      <w:r w:rsidRPr="00473A9D">
        <w:rPr>
          <w:rStyle w:val="FootnoteReference"/>
          <w:sz w:val="18"/>
          <w:szCs w:val="18"/>
        </w:rPr>
        <w:footnoteRef/>
      </w:r>
      <w:r w:rsidRPr="00473A9D">
        <w:rPr>
          <w:sz w:val="18"/>
          <w:szCs w:val="18"/>
        </w:rPr>
        <w:t xml:space="preserve"> Glaser, B.G. (1992). </w:t>
      </w:r>
      <w:r w:rsidRPr="00473A9D">
        <w:rPr>
          <w:i/>
          <w:sz w:val="18"/>
          <w:szCs w:val="18"/>
        </w:rPr>
        <w:t>Basics of Grounded Theory Analysis: Emergence vs. Forcing.</w:t>
      </w:r>
      <w:r w:rsidRPr="00473A9D">
        <w:rPr>
          <w:sz w:val="18"/>
          <w:szCs w:val="18"/>
        </w:rPr>
        <w:t xml:space="preserve"> Mill Valley, CA: Sociology Press.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CD5F0" w14:textId="77777777" w:rsidR="00316029" w:rsidRPr="00715322" w:rsidRDefault="00316029" w:rsidP="006E35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B0F4A" w14:textId="77777777" w:rsidR="00316029" w:rsidRPr="00715322" w:rsidRDefault="00316029" w:rsidP="006E3562">
    <w:pPr>
      <w:pStyle w:val="Header"/>
    </w:pPr>
    <w:r>
      <w:rPr>
        <w:noProof/>
      </w:rPr>
      <mc:AlternateContent>
        <mc:Choice Requires="wps">
          <w:drawing>
            <wp:anchor distT="0" distB="0" distL="114300" distR="114300" simplePos="0" relativeHeight="251660288" behindDoc="0" locked="0" layoutInCell="1" allowOverlap="1" wp14:anchorId="6DC8F695" wp14:editId="51A89662">
              <wp:simplePos x="0" y="0"/>
              <wp:positionH relativeFrom="column">
                <wp:posOffset>-718185</wp:posOffset>
              </wp:positionH>
              <wp:positionV relativeFrom="paragraph">
                <wp:posOffset>553085</wp:posOffset>
              </wp:positionV>
              <wp:extent cx="554355" cy="6035040"/>
              <wp:effectExtent l="0" t="635" r="1905" b="3175"/>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6035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DD1D6" w14:textId="615A3B9A" w:rsidR="00316029" w:rsidRPr="00B86265" w:rsidRDefault="00316029" w:rsidP="00624DDD">
                          <w:pPr>
                            <w:pStyle w:val="Footer"/>
                            <w:pBdr>
                              <w:top w:val="single" w:sz="4" w:space="1" w:color="auto"/>
                            </w:pBdr>
                            <w:tabs>
                              <w:tab w:val="center" w:pos="4770"/>
                              <w:tab w:val="right" w:pos="9360"/>
                            </w:tabs>
                            <w:rPr>
                              <w:rStyle w:val="PageNumber"/>
                              <w:szCs w:val="24"/>
                            </w:rPr>
                          </w:pPr>
                          <w:r w:rsidRPr="00B86265">
                            <w:rPr>
                              <w:szCs w:val="24"/>
                            </w:rPr>
                            <w:t xml:space="preserve">APEC III OMB Supporting Statement Part A </w:t>
                          </w:r>
                          <w:r w:rsidRPr="00B86265">
                            <w:rPr>
                              <w:szCs w:val="24"/>
                            </w:rPr>
                            <w:tab/>
                          </w:r>
                          <w:r w:rsidRPr="00B86265">
                            <w:rPr>
                              <w:rStyle w:val="PageNumber"/>
                              <w:szCs w:val="24"/>
                            </w:rPr>
                            <w:tab/>
                          </w:r>
                          <w:r w:rsidRPr="00B86265">
                            <w:rPr>
                              <w:rStyle w:val="PageNumber"/>
                              <w:szCs w:val="24"/>
                            </w:rPr>
                            <w:fldChar w:fldCharType="begin"/>
                          </w:r>
                          <w:r w:rsidRPr="00B86265">
                            <w:rPr>
                              <w:rStyle w:val="PageNumber"/>
                              <w:szCs w:val="24"/>
                            </w:rPr>
                            <w:instrText xml:space="preserve"> PAGE </w:instrText>
                          </w:r>
                          <w:r w:rsidRPr="00B86265">
                            <w:rPr>
                              <w:rStyle w:val="PageNumber"/>
                              <w:szCs w:val="24"/>
                            </w:rPr>
                            <w:fldChar w:fldCharType="separate"/>
                          </w:r>
                          <w:r w:rsidR="003B589C">
                            <w:rPr>
                              <w:rStyle w:val="PageNumber"/>
                              <w:noProof/>
                              <w:szCs w:val="24"/>
                            </w:rPr>
                            <w:t>6</w:t>
                          </w:r>
                          <w:r w:rsidRPr="00B86265">
                            <w:rPr>
                              <w:rStyle w:val="PageNumber"/>
                              <w:szCs w:val="24"/>
                            </w:rPr>
                            <w:fldChar w:fldCharType="end"/>
                          </w:r>
                        </w:p>
                        <w:p w14:paraId="43E7C51A" w14:textId="30B23B0B" w:rsidR="00316029" w:rsidRPr="00716085" w:rsidRDefault="00316029" w:rsidP="007D186E">
                          <w:pPr>
                            <w:pStyle w:val="Footer"/>
                            <w:tabs>
                              <w:tab w:val="center" w:pos="4770"/>
                              <w:tab w:val="right" w:pos="9360"/>
                            </w:tabs>
                            <w:rPr>
                              <w:szCs w:val="24"/>
                            </w:rPr>
                          </w:pPr>
                          <w:r>
                            <w:rPr>
                              <w:rStyle w:val="PageNumber"/>
                              <w:szCs w:val="24"/>
                            </w:rPr>
                            <w:t xml:space="preserve">May </w:t>
                          </w:r>
                          <w:r w:rsidRPr="00B86265">
                            <w:rPr>
                              <w:rStyle w:val="PageNumber"/>
                              <w:szCs w:val="24"/>
                            </w:rPr>
                            <w:t>2017</w:t>
                          </w:r>
                        </w:p>
                      </w:txbxContent>
                    </wps:txbx>
                    <wps:bodyPr rot="0" vert="vert"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56.55pt;margin-top:43.55pt;width:43.65pt;height:475.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" stroked="f">
              <v:textbox style="layout-flow:vertical;mso-fit-shape-to-text:t">
                <w:txbxContent>
                  <w:p w14:paraId="267DD1D6" w14:textId="615A3B9A" w:rsidR="00316029" w:rsidRPr="00B86265" w:rsidRDefault="00316029" w:rsidP="00624DDD">
                    <w:pPr>
                      <w:pStyle w:val="Footer"/>
                      <w:pBdr>
                        <w:top w:val="single" w:sz="4" w:space="1" w:color="auto"/>
                      </w:pBdr>
                      <w:tabs>
                        <w:tab w:val="center" w:pos="4770"/>
                        <w:tab w:val="right" w:pos="9360"/>
                      </w:tabs>
                      <w:rPr>
                        <w:rStyle w:val="PageNumber"/>
                        <w:szCs w:val="24"/>
                      </w:rPr>
                    </w:pPr>
                    <w:r w:rsidRPr="00B86265">
                      <w:rPr>
                        <w:szCs w:val="24"/>
                      </w:rPr>
                      <w:t xml:space="preserve">APEC III OMB Supporting Statement Part A </w:t>
                    </w:r>
                    <w:r w:rsidRPr="00B86265">
                      <w:rPr>
                        <w:szCs w:val="24"/>
                      </w:rPr>
                      <w:tab/>
                    </w:r>
                    <w:r w:rsidRPr="00B86265">
                      <w:rPr>
                        <w:rStyle w:val="PageNumber"/>
                        <w:szCs w:val="24"/>
                      </w:rPr>
                      <w:tab/>
                    </w:r>
                    <w:r w:rsidRPr="00B86265">
                      <w:rPr>
                        <w:rStyle w:val="PageNumber"/>
                        <w:szCs w:val="24"/>
                      </w:rPr>
                      <w:fldChar w:fldCharType="begin"/>
                    </w:r>
                    <w:r w:rsidRPr="00B86265">
                      <w:rPr>
                        <w:rStyle w:val="PageNumber"/>
                        <w:szCs w:val="24"/>
                      </w:rPr>
                      <w:instrText xml:space="preserve"> PAGE </w:instrText>
                    </w:r>
                    <w:r w:rsidRPr="00B86265">
                      <w:rPr>
                        <w:rStyle w:val="PageNumber"/>
                        <w:szCs w:val="24"/>
                      </w:rPr>
                      <w:fldChar w:fldCharType="separate"/>
                    </w:r>
                    <w:r w:rsidR="003B589C">
                      <w:rPr>
                        <w:rStyle w:val="PageNumber"/>
                        <w:noProof/>
                        <w:szCs w:val="24"/>
                      </w:rPr>
                      <w:t>6</w:t>
                    </w:r>
                    <w:r w:rsidRPr="00B86265">
                      <w:rPr>
                        <w:rStyle w:val="PageNumber"/>
                        <w:szCs w:val="24"/>
                      </w:rPr>
                      <w:fldChar w:fldCharType="end"/>
                    </w:r>
                  </w:p>
                  <w:p w14:paraId="43E7C51A" w14:textId="30B23B0B" w:rsidR="00316029" w:rsidRPr="00716085" w:rsidRDefault="00316029" w:rsidP="007D186E">
                    <w:pPr>
                      <w:pStyle w:val="Footer"/>
                      <w:tabs>
                        <w:tab w:val="center" w:pos="4770"/>
                        <w:tab w:val="right" w:pos="9360"/>
                      </w:tabs>
                      <w:rPr>
                        <w:szCs w:val="24"/>
                      </w:rPr>
                    </w:pPr>
                    <w:r>
                      <w:rPr>
                        <w:rStyle w:val="PageNumber"/>
                        <w:szCs w:val="24"/>
                      </w:rPr>
                      <w:t xml:space="preserve">May </w:t>
                    </w:r>
                    <w:r w:rsidRPr="00B86265">
                      <w:rPr>
                        <w:rStyle w:val="PageNumber"/>
                        <w:szCs w:val="24"/>
                      </w:rPr>
                      <w:t>2017</w:t>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C4AB1" w14:textId="77777777" w:rsidR="00316029" w:rsidRPr="00715322" w:rsidRDefault="00316029" w:rsidP="006E3562">
    <w:pPr>
      <w:pStyle w:val="Header"/>
    </w:pPr>
    <w:r>
      <w:rPr>
        <w:noProof/>
      </w:rPr>
      <mc:AlternateContent>
        <mc:Choice Requires="wps">
          <w:drawing>
            <wp:anchor distT="0" distB="0" distL="114300" distR="114300" simplePos="0" relativeHeight="251657216" behindDoc="0" locked="0" layoutInCell="1" allowOverlap="1" wp14:anchorId="427961B9" wp14:editId="45A6CCE6">
              <wp:simplePos x="0" y="0"/>
              <wp:positionH relativeFrom="column">
                <wp:posOffset>-718185</wp:posOffset>
              </wp:positionH>
              <wp:positionV relativeFrom="paragraph">
                <wp:posOffset>553085</wp:posOffset>
              </wp:positionV>
              <wp:extent cx="554355" cy="6035040"/>
              <wp:effectExtent l="0" t="635" r="1905" b="3175"/>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6035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930A2" w14:textId="313A1D56" w:rsidR="00316029" w:rsidRPr="00B86265" w:rsidRDefault="00316029" w:rsidP="00624DDD">
                          <w:pPr>
                            <w:pStyle w:val="Footer"/>
                            <w:pBdr>
                              <w:top w:val="single" w:sz="4" w:space="1" w:color="auto"/>
                            </w:pBdr>
                            <w:tabs>
                              <w:tab w:val="center" w:pos="4770"/>
                              <w:tab w:val="right" w:pos="9360"/>
                            </w:tabs>
                            <w:rPr>
                              <w:rStyle w:val="PageNumber"/>
                              <w:szCs w:val="24"/>
                            </w:rPr>
                          </w:pPr>
                          <w:r w:rsidRPr="00B86265">
                            <w:rPr>
                              <w:szCs w:val="24"/>
                            </w:rPr>
                            <w:t xml:space="preserve">APEC III OMB Supporting Statement Part A </w:t>
                          </w:r>
                          <w:r w:rsidRPr="00B86265">
                            <w:rPr>
                              <w:szCs w:val="24"/>
                            </w:rPr>
                            <w:tab/>
                          </w:r>
                          <w:r w:rsidRPr="00B86265">
                            <w:rPr>
                              <w:rStyle w:val="PageNumber"/>
                              <w:szCs w:val="24"/>
                            </w:rPr>
                            <w:tab/>
                          </w:r>
                          <w:r w:rsidRPr="00B86265">
                            <w:rPr>
                              <w:rStyle w:val="PageNumber"/>
                              <w:szCs w:val="24"/>
                            </w:rPr>
                            <w:fldChar w:fldCharType="begin"/>
                          </w:r>
                          <w:r w:rsidRPr="00B86265">
                            <w:rPr>
                              <w:rStyle w:val="PageNumber"/>
                              <w:szCs w:val="24"/>
                            </w:rPr>
                            <w:instrText xml:space="preserve"> PAGE </w:instrText>
                          </w:r>
                          <w:r w:rsidRPr="00B86265">
                            <w:rPr>
                              <w:rStyle w:val="PageNumber"/>
                              <w:szCs w:val="24"/>
                            </w:rPr>
                            <w:fldChar w:fldCharType="separate"/>
                          </w:r>
                          <w:r w:rsidR="003B589C">
                            <w:rPr>
                              <w:rStyle w:val="PageNumber"/>
                              <w:noProof/>
                              <w:szCs w:val="24"/>
                            </w:rPr>
                            <w:t>7</w:t>
                          </w:r>
                          <w:r w:rsidRPr="00B86265">
                            <w:rPr>
                              <w:rStyle w:val="PageNumber"/>
                              <w:szCs w:val="24"/>
                            </w:rPr>
                            <w:fldChar w:fldCharType="end"/>
                          </w:r>
                        </w:p>
                        <w:p w14:paraId="522B8168" w14:textId="04E32F3D" w:rsidR="00316029" w:rsidRPr="00716085" w:rsidRDefault="00316029" w:rsidP="007D186E">
                          <w:pPr>
                            <w:pStyle w:val="Footer"/>
                            <w:tabs>
                              <w:tab w:val="center" w:pos="4770"/>
                              <w:tab w:val="right" w:pos="9360"/>
                            </w:tabs>
                            <w:rPr>
                              <w:szCs w:val="24"/>
                            </w:rPr>
                          </w:pPr>
                          <w:r>
                            <w:rPr>
                              <w:rStyle w:val="PageNumber"/>
                              <w:szCs w:val="24"/>
                            </w:rPr>
                            <w:t xml:space="preserve">May </w:t>
                          </w:r>
                          <w:r w:rsidRPr="00B86265">
                            <w:rPr>
                              <w:rStyle w:val="PageNumber"/>
                              <w:szCs w:val="24"/>
                            </w:rPr>
                            <w:t>2017</w:t>
                          </w:r>
                        </w:p>
                      </w:txbxContent>
                    </wps:txbx>
                    <wps:bodyPr rot="0" vert="vert"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6.55pt;margin-top:43.55pt;width:43.65pt;height:475.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" stroked="f">
              <v:textbox style="layout-flow:vertical;mso-fit-shape-to-text:t">
                <w:txbxContent>
                  <w:p w14:paraId="27D930A2" w14:textId="313A1D56" w:rsidR="00316029" w:rsidRPr="00B86265" w:rsidRDefault="00316029" w:rsidP="00624DDD">
                    <w:pPr>
                      <w:pStyle w:val="Footer"/>
                      <w:pBdr>
                        <w:top w:val="single" w:sz="4" w:space="1" w:color="auto"/>
                      </w:pBdr>
                      <w:tabs>
                        <w:tab w:val="center" w:pos="4770"/>
                        <w:tab w:val="right" w:pos="9360"/>
                      </w:tabs>
                      <w:rPr>
                        <w:rStyle w:val="PageNumber"/>
                        <w:szCs w:val="24"/>
                      </w:rPr>
                    </w:pPr>
                    <w:r w:rsidRPr="00B86265">
                      <w:rPr>
                        <w:szCs w:val="24"/>
                      </w:rPr>
                      <w:t xml:space="preserve">APEC III OMB Supporting Statement Part A </w:t>
                    </w:r>
                    <w:r w:rsidRPr="00B86265">
                      <w:rPr>
                        <w:szCs w:val="24"/>
                      </w:rPr>
                      <w:tab/>
                    </w:r>
                    <w:r w:rsidRPr="00B86265">
                      <w:rPr>
                        <w:rStyle w:val="PageNumber"/>
                        <w:szCs w:val="24"/>
                      </w:rPr>
                      <w:tab/>
                    </w:r>
                    <w:r w:rsidRPr="00B86265">
                      <w:rPr>
                        <w:rStyle w:val="PageNumber"/>
                        <w:szCs w:val="24"/>
                      </w:rPr>
                      <w:fldChar w:fldCharType="begin"/>
                    </w:r>
                    <w:r w:rsidRPr="00B86265">
                      <w:rPr>
                        <w:rStyle w:val="PageNumber"/>
                        <w:szCs w:val="24"/>
                      </w:rPr>
                      <w:instrText xml:space="preserve"> PAGE </w:instrText>
                    </w:r>
                    <w:r w:rsidRPr="00B86265">
                      <w:rPr>
                        <w:rStyle w:val="PageNumber"/>
                        <w:szCs w:val="24"/>
                      </w:rPr>
                      <w:fldChar w:fldCharType="separate"/>
                    </w:r>
                    <w:r w:rsidR="003B589C">
                      <w:rPr>
                        <w:rStyle w:val="PageNumber"/>
                        <w:noProof/>
                        <w:szCs w:val="24"/>
                      </w:rPr>
                      <w:t>7</w:t>
                    </w:r>
                    <w:r w:rsidRPr="00B86265">
                      <w:rPr>
                        <w:rStyle w:val="PageNumber"/>
                        <w:szCs w:val="24"/>
                      </w:rPr>
                      <w:fldChar w:fldCharType="end"/>
                    </w:r>
                  </w:p>
                  <w:p w14:paraId="522B8168" w14:textId="04E32F3D" w:rsidR="00316029" w:rsidRPr="00716085" w:rsidRDefault="00316029" w:rsidP="007D186E">
                    <w:pPr>
                      <w:pStyle w:val="Footer"/>
                      <w:tabs>
                        <w:tab w:val="center" w:pos="4770"/>
                        <w:tab w:val="right" w:pos="9360"/>
                      </w:tabs>
                      <w:rPr>
                        <w:szCs w:val="24"/>
                      </w:rPr>
                    </w:pPr>
                    <w:r>
                      <w:rPr>
                        <w:rStyle w:val="PageNumber"/>
                        <w:szCs w:val="24"/>
                      </w:rPr>
                      <w:t xml:space="preserve">May </w:t>
                    </w:r>
                    <w:r w:rsidRPr="00B86265">
                      <w:rPr>
                        <w:rStyle w:val="PageNumber"/>
                        <w:szCs w:val="24"/>
                      </w:rPr>
                      <w:t>2017</w:t>
                    </w:r>
                  </w:p>
                </w:txbxContent>
              </v:textbox>
              <w10:wrap type="squar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3DEF7" w14:textId="77777777" w:rsidR="00316029" w:rsidRPr="00715322" w:rsidRDefault="00316029" w:rsidP="006E356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6E87E" w14:textId="77777777" w:rsidR="00316029" w:rsidRPr="00715322" w:rsidRDefault="00316029" w:rsidP="006E3562">
    <w:pPr>
      <w:pStyle w:val="Header"/>
    </w:pPr>
    <w:r>
      <w:rPr>
        <w:noProof/>
      </w:rPr>
      <mc:AlternateContent>
        <mc:Choice Requires="wps">
          <w:drawing>
            <wp:anchor distT="0" distB="0" distL="114300" distR="114300" simplePos="0" relativeHeight="251658240" behindDoc="0" locked="0" layoutInCell="1" allowOverlap="1" wp14:anchorId="2B0F7377" wp14:editId="27A07967">
              <wp:simplePos x="0" y="0"/>
              <wp:positionH relativeFrom="column">
                <wp:posOffset>-620395</wp:posOffset>
              </wp:positionH>
              <wp:positionV relativeFrom="paragraph">
                <wp:posOffset>555625</wp:posOffset>
              </wp:positionV>
              <wp:extent cx="554355" cy="6035040"/>
              <wp:effectExtent l="0" t="0" r="0" b="381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6035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E7328" w14:textId="3BFB4B98" w:rsidR="00316029" w:rsidRPr="00B86265" w:rsidRDefault="00316029" w:rsidP="00624DDD">
                          <w:pPr>
                            <w:pStyle w:val="Footer"/>
                            <w:pBdr>
                              <w:top w:val="single" w:sz="4" w:space="1" w:color="auto"/>
                            </w:pBdr>
                            <w:tabs>
                              <w:tab w:val="center" w:pos="4770"/>
                              <w:tab w:val="right" w:pos="9360"/>
                            </w:tabs>
                            <w:rPr>
                              <w:rStyle w:val="PageNumber"/>
                              <w:szCs w:val="24"/>
                            </w:rPr>
                          </w:pPr>
                          <w:r w:rsidRPr="00B86265">
                            <w:rPr>
                              <w:szCs w:val="24"/>
                            </w:rPr>
                            <w:t xml:space="preserve">APEC III OMB Supporting Statement Part A </w:t>
                          </w:r>
                          <w:r w:rsidRPr="00B86265">
                            <w:rPr>
                              <w:szCs w:val="24"/>
                            </w:rPr>
                            <w:tab/>
                          </w:r>
                          <w:r w:rsidRPr="00B86265">
                            <w:rPr>
                              <w:rStyle w:val="PageNumber"/>
                              <w:szCs w:val="24"/>
                            </w:rPr>
                            <w:tab/>
                          </w:r>
                          <w:r w:rsidRPr="00B86265">
                            <w:rPr>
                              <w:rStyle w:val="PageNumber"/>
                              <w:szCs w:val="24"/>
                            </w:rPr>
                            <w:fldChar w:fldCharType="begin"/>
                          </w:r>
                          <w:r w:rsidRPr="00B86265">
                            <w:rPr>
                              <w:rStyle w:val="PageNumber"/>
                              <w:szCs w:val="24"/>
                            </w:rPr>
                            <w:instrText xml:space="preserve"> PAGE </w:instrText>
                          </w:r>
                          <w:r w:rsidRPr="00B86265">
                            <w:rPr>
                              <w:rStyle w:val="PageNumber"/>
                              <w:szCs w:val="24"/>
                            </w:rPr>
                            <w:fldChar w:fldCharType="separate"/>
                          </w:r>
                          <w:r w:rsidR="003B589C">
                            <w:rPr>
                              <w:rStyle w:val="PageNumber"/>
                              <w:noProof/>
                              <w:szCs w:val="24"/>
                            </w:rPr>
                            <w:t>23</w:t>
                          </w:r>
                          <w:r w:rsidRPr="00B86265">
                            <w:rPr>
                              <w:rStyle w:val="PageNumber"/>
                              <w:szCs w:val="24"/>
                            </w:rPr>
                            <w:fldChar w:fldCharType="end"/>
                          </w:r>
                        </w:p>
                        <w:p w14:paraId="67246DB1" w14:textId="6FEE5120" w:rsidR="00316029" w:rsidRPr="00716085" w:rsidRDefault="00316029" w:rsidP="00624DDD">
                          <w:pPr>
                            <w:pStyle w:val="Footer"/>
                            <w:tabs>
                              <w:tab w:val="center" w:pos="4770"/>
                              <w:tab w:val="right" w:pos="9360"/>
                            </w:tabs>
                            <w:rPr>
                              <w:szCs w:val="24"/>
                            </w:rPr>
                          </w:pPr>
                          <w:r w:rsidRPr="00B86265">
                            <w:rPr>
                              <w:rStyle w:val="PageNumber"/>
                              <w:szCs w:val="24"/>
                            </w:rPr>
                            <w:t xml:space="preserve"> </w:t>
                          </w:r>
                          <w:r>
                            <w:rPr>
                              <w:rStyle w:val="PageNumber"/>
                              <w:szCs w:val="24"/>
                            </w:rPr>
                            <w:t xml:space="preserve">May </w:t>
                          </w:r>
                          <w:r w:rsidRPr="00B86265">
                            <w:rPr>
                              <w:rStyle w:val="PageNumber"/>
                              <w:szCs w:val="24"/>
                            </w:rPr>
                            <w:t>2017</w:t>
                          </w:r>
                        </w:p>
                      </w:txbxContent>
                    </wps:txbx>
                    <wps:bodyPr rot="0" vert="vert"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48.85pt;margin-top:43.75pt;width:43.65pt;height:475.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" stroked="f">
              <v:textbox style="layout-flow:vertical;mso-fit-shape-to-text:t">
                <w:txbxContent>
                  <w:p w14:paraId="0CCE7328" w14:textId="3BFB4B98" w:rsidR="00316029" w:rsidRPr="00B86265" w:rsidRDefault="00316029" w:rsidP="00624DDD">
                    <w:pPr>
                      <w:pStyle w:val="Footer"/>
                      <w:pBdr>
                        <w:top w:val="single" w:sz="4" w:space="1" w:color="auto"/>
                      </w:pBdr>
                      <w:tabs>
                        <w:tab w:val="center" w:pos="4770"/>
                        <w:tab w:val="right" w:pos="9360"/>
                      </w:tabs>
                      <w:rPr>
                        <w:rStyle w:val="PageNumber"/>
                        <w:szCs w:val="24"/>
                      </w:rPr>
                    </w:pPr>
                    <w:r w:rsidRPr="00B86265">
                      <w:rPr>
                        <w:szCs w:val="24"/>
                      </w:rPr>
                      <w:t xml:space="preserve">APEC III OMB Supporting Statement Part A </w:t>
                    </w:r>
                    <w:r w:rsidRPr="00B86265">
                      <w:rPr>
                        <w:szCs w:val="24"/>
                      </w:rPr>
                      <w:tab/>
                    </w:r>
                    <w:r w:rsidRPr="00B86265">
                      <w:rPr>
                        <w:rStyle w:val="PageNumber"/>
                        <w:szCs w:val="24"/>
                      </w:rPr>
                      <w:tab/>
                    </w:r>
                    <w:r w:rsidRPr="00B86265">
                      <w:rPr>
                        <w:rStyle w:val="PageNumber"/>
                        <w:szCs w:val="24"/>
                      </w:rPr>
                      <w:fldChar w:fldCharType="begin"/>
                    </w:r>
                    <w:r w:rsidRPr="00B86265">
                      <w:rPr>
                        <w:rStyle w:val="PageNumber"/>
                        <w:szCs w:val="24"/>
                      </w:rPr>
                      <w:instrText xml:space="preserve"> PAGE </w:instrText>
                    </w:r>
                    <w:r w:rsidRPr="00B86265">
                      <w:rPr>
                        <w:rStyle w:val="PageNumber"/>
                        <w:szCs w:val="24"/>
                      </w:rPr>
                      <w:fldChar w:fldCharType="separate"/>
                    </w:r>
                    <w:r w:rsidR="003B589C">
                      <w:rPr>
                        <w:rStyle w:val="PageNumber"/>
                        <w:noProof/>
                        <w:szCs w:val="24"/>
                      </w:rPr>
                      <w:t>23</w:t>
                    </w:r>
                    <w:r w:rsidRPr="00B86265">
                      <w:rPr>
                        <w:rStyle w:val="PageNumber"/>
                        <w:szCs w:val="24"/>
                      </w:rPr>
                      <w:fldChar w:fldCharType="end"/>
                    </w:r>
                  </w:p>
                  <w:p w14:paraId="67246DB1" w14:textId="6FEE5120" w:rsidR="00316029" w:rsidRPr="00716085" w:rsidRDefault="00316029" w:rsidP="00624DDD">
                    <w:pPr>
                      <w:pStyle w:val="Footer"/>
                      <w:tabs>
                        <w:tab w:val="center" w:pos="4770"/>
                        <w:tab w:val="right" w:pos="9360"/>
                      </w:tabs>
                      <w:rPr>
                        <w:szCs w:val="24"/>
                      </w:rPr>
                    </w:pPr>
                    <w:r w:rsidRPr="00B86265">
                      <w:rPr>
                        <w:rStyle w:val="PageNumber"/>
                        <w:szCs w:val="24"/>
                      </w:rPr>
                      <w:t xml:space="preserve"> </w:t>
                    </w:r>
                    <w:r>
                      <w:rPr>
                        <w:rStyle w:val="PageNumber"/>
                        <w:szCs w:val="24"/>
                      </w:rPr>
                      <w:t xml:space="preserve">May </w:t>
                    </w:r>
                    <w:r w:rsidRPr="00B86265">
                      <w:rPr>
                        <w:rStyle w:val="PageNumber"/>
                        <w:szCs w:val="24"/>
                      </w:rPr>
                      <w:t>2017</w:t>
                    </w:r>
                  </w:p>
                </w:txbxContent>
              </v:textbox>
              <w10:wrap type="squar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23E7A" w14:textId="77777777" w:rsidR="00316029" w:rsidRPr="00715322" w:rsidRDefault="00316029" w:rsidP="006E35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B0CCF122"/>
    <w:lvl w:ilvl="0" w:tplc="4B4CFEAE">
      <w:start w:val="1"/>
      <w:numFmt w:val="bullet"/>
      <w:pStyle w:val="N1-1stBullet"/>
      <w:lvlText w:val=""/>
      <w:lvlJc w:val="left"/>
      <w:pPr>
        <w:tabs>
          <w:tab w:val="num" w:pos="576"/>
        </w:tabs>
        <w:ind w:left="576" w:hanging="576"/>
      </w:pPr>
      <w:rPr>
        <w:rFonts w:ascii="Wingdings" w:hAnsi="Wingdings" w:hint="default"/>
        <w:sz w:val="18"/>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5BB726F"/>
    <w:multiLevelType w:val="hybridMultilevel"/>
    <w:tmpl w:val="9EAA6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480"/>
    <w:rsid w:val="000045B9"/>
    <w:rsid w:val="00005C7F"/>
    <w:rsid w:val="0000608A"/>
    <w:rsid w:val="00006E84"/>
    <w:rsid w:val="00006E94"/>
    <w:rsid w:val="000070A5"/>
    <w:rsid w:val="00007505"/>
    <w:rsid w:val="000076C5"/>
    <w:rsid w:val="00007AB7"/>
    <w:rsid w:val="00011261"/>
    <w:rsid w:val="000129F8"/>
    <w:rsid w:val="0001452D"/>
    <w:rsid w:val="00014C84"/>
    <w:rsid w:val="00015820"/>
    <w:rsid w:val="000173DF"/>
    <w:rsid w:val="00021A06"/>
    <w:rsid w:val="00021A0E"/>
    <w:rsid w:val="00023389"/>
    <w:rsid w:val="00026170"/>
    <w:rsid w:val="000265C4"/>
    <w:rsid w:val="00027CCF"/>
    <w:rsid w:val="00030138"/>
    <w:rsid w:val="000306F9"/>
    <w:rsid w:val="0003098F"/>
    <w:rsid w:val="000310FD"/>
    <w:rsid w:val="00032CB2"/>
    <w:rsid w:val="00035F85"/>
    <w:rsid w:val="00036950"/>
    <w:rsid w:val="000369B6"/>
    <w:rsid w:val="00037B1E"/>
    <w:rsid w:val="00040682"/>
    <w:rsid w:val="000419D3"/>
    <w:rsid w:val="00042159"/>
    <w:rsid w:val="000434A6"/>
    <w:rsid w:val="00045578"/>
    <w:rsid w:val="00045732"/>
    <w:rsid w:val="00045F09"/>
    <w:rsid w:val="00047389"/>
    <w:rsid w:val="00050264"/>
    <w:rsid w:val="00050EAB"/>
    <w:rsid w:val="00052024"/>
    <w:rsid w:val="00053B44"/>
    <w:rsid w:val="00055C08"/>
    <w:rsid w:val="000566DC"/>
    <w:rsid w:val="00057BD6"/>
    <w:rsid w:val="00057D7C"/>
    <w:rsid w:val="0006028D"/>
    <w:rsid w:val="000607FB"/>
    <w:rsid w:val="000622E0"/>
    <w:rsid w:val="000633B6"/>
    <w:rsid w:val="0006595B"/>
    <w:rsid w:val="00065EAD"/>
    <w:rsid w:val="00066AEC"/>
    <w:rsid w:val="0006755A"/>
    <w:rsid w:val="00067ACC"/>
    <w:rsid w:val="00072B8B"/>
    <w:rsid w:val="00072E64"/>
    <w:rsid w:val="0007312C"/>
    <w:rsid w:val="0007399A"/>
    <w:rsid w:val="0007412F"/>
    <w:rsid w:val="000761FA"/>
    <w:rsid w:val="000763BE"/>
    <w:rsid w:val="0007663E"/>
    <w:rsid w:val="00080872"/>
    <w:rsid w:val="00080AEA"/>
    <w:rsid w:val="00080ED6"/>
    <w:rsid w:val="000816A3"/>
    <w:rsid w:val="000817CD"/>
    <w:rsid w:val="00081C98"/>
    <w:rsid w:val="00081E9E"/>
    <w:rsid w:val="00082BDB"/>
    <w:rsid w:val="00083058"/>
    <w:rsid w:val="0008336E"/>
    <w:rsid w:val="00083554"/>
    <w:rsid w:val="00083972"/>
    <w:rsid w:val="00085CAD"/>
    <w:rsid w:val="000874CE"/>
    <w:rsid w:val="000878E9"/>
    <w:rsid w:val="0009522C"/>
    <w:rsid w:val="000A067F"/>
    <w:rsid w:val="000A1777"/>
    <w:rsid w:val="000A30EB"/>
    <w:rsid w:val="000A3C48"/>
    <w:rsid w:val="000A61DD"/>
    <w:rsid w:val="000A61E0"/>
    <w:rsid w:val="000A7F66"/>
    <w:rsid w:val="000B13A2"/>
    <w:rsid w:val="000B2336"/>
    <w:rsid w:val="000B3932"/>
    <w:rsid w:val="000B4051"/>
    <w:rsid w:val="000B4CFE"/>
    <w:rsid w:val="000B55AD"/>
    <w:rsid w:val="000B55DE"/>
    <w:rsid w:val="000B574C"/>
    <w:rsid w:val="000B6602"/>
    <w:rsid w:val="000C19F7"/>
    <w:rsid w:val="000C2C93"/>
    <w:rsid w:val="000C305F"/>
    <w:rsid w:val="000C381F"/>
    <w:rsid w:val="000C3FC2"/>
    <w:rsid w:val="000C5C1F"/>
    <w:rsid w:val="000C63D8"/>
    <w:rsid w:val="000C6A28"/>
    <w:rsid w:val="000C7108"/>
    <w:rsid w:val="000C76BB"/>
    <w:rsid w:val="000C7F02"/>
    <w:rsid w:val="000D0C4E"/>
    <w:rsid w:val="000D1F10"/>
    <w:rsid w:val="000D1FC2"/>
    <w:rsid w:val="000D3122"/>
    <w:rsid w:val="000D32E0"/>
    <w:rsid w:val="000D33E0"/>
    <w:rsid w:val="000D41DC"/>
    <w:rsid w:val="000D4B7E"/>
    <w:rsid w:val="000D54E0"/>
    <w:rsid w:val="000D7651"/>
    <w:rsid w:val="000E0E67"/>
    <w:rsid w:val="000E0F78"/>
    <w:rsid w:val="000E2097"/>
    <w:rsid w:val="000E209C"/>
    <w:rsid w:val="000E2D19"/>
    <w:rsid w:val="000E38E9"/>
    <w:rsid w:val="000E5C9D"/>
    <w:rsid w:val="000E5E38"/>
    <w:rsid w:val="000F16B8"/>
    <w:rsid w:val="000F1B18"/>
    <w:rsid w:val="000F5475"/>
    <w:rsid w:val="000F5873"/>
    <w:rsid w:val="00100322"/>
    <w:rsid w:val="00100831"/>
    <w:rsid w:val="00100B1D"/>
    <w:rsid w:val="00103947"/>
    <w:rsid w:val="00104B25"/>
    <w:rsid w:val="00107393"/>
    <w:rsid w:val="00113A5F"/>
    <w:rsid w:val="00114A8D"/>
    <w:rsid w:val="00114DFA"/>
    <w:rsid w:val="001153EA"/>
    <w:rsid w:val="00115868"/>
    <w:rsid w:val="001158A9"/>
    <w:rsid w:val="0011626D"/>
    <w:rsid w:val="00116E30"/>
    <w:rsid w:val="00120511"/>
    <w:rsid w:val="00120D79"/>
    <w:rsid w:val="0012226A"/>
    <w:rsid w:val="0012370D"/>
    <w:rsid w:val="00124A5F"/>
    <w:rsid w:val="00124F3A"/>
    <w:rsid w:val="0012589F"/>
    <w:rsid w:val="00125E86"/>
    <w:rsid w:val="00126BA3"/>
    <w:rsid w:val="00131A54"/>
    <w:rsid w:val="001329A2"/>
    <w:rsid w:val="00133089"/>
    <w:rsid w:val="00135262"/>
    <w:rsid w:val="00136B97"/>
    <w:rsid w:val="00136F47"/>
    <w:rsid w:val="00137512"/>
    <w:rsid w:val="001400DC"/>
    <w:rsid w:val="001411BE"/>
    <w:rsid w:val="001415CB"/>
    <w:rsid w:val="001449B0"/>
    <w:rsid w:val="00144CDA"/>
    <w:rsid w:val="00152633"/>
    <w:rsid w:val="00155C59"/>
    <w:rsid w:val="0015633B"/>
    <w:rsid w:val="00156378"/>
    <w:rsid w:val="00156EDD"/>
    <w:rsid w:val="00157179"/>
    <w:rsid w:val="00157E8E"/>
    <w:rsid w:val="00161697"/>
    <w:rsid w:val="001626AC"/>
    <w:rsid w:val="00166354"/>
    <w:rsid w:val="00170212"/>
    <w:rsid w:val="00170E7B"/>
    <w:rsid w:val="00171AF3"/>
    <w:rsid w:val="0017395E"/>
    <w:rsid w:val="00174360"/>
    <w:rsid w:val="00176D63"/>
    <w:rsid w:val="00180914"/>
    <w:rsid w:val="00182B2F"/>
    <w:rsid w:val="001849C7"/>
    <w:rsid w:val="00184ABC"/>
    <w:rsid w:val="00184C07"/>
    <w:rsid w:val="001852F4"/>
    <w:rsid w:val="001870E7"/>
    <w:rsid w:val="00187DF6"/>
    <w:rsid w:val="00192864"/>
    <w:rsid w:val="001941DD"/>
    <w:rsid w:val="00195A1F"/>
    <w:rsid w:val="001965E8"/>
    <w:rsid w:val="00196A44"/>
    <w:rsid w:val="001A01A4"/>
    <w:rsid w:val="001A4BDA"/>
    <w:rsid w:val="001A4E55"/>
    <w:rsid w:val="001B0E41"/>
    <w:rsid w:val="001B117C"/>
    <w:rsid w:val="001B29D1"/>
    <w:rsid w:val="001B2A64"/>
    <w:rsid w:val="001B36C4"/>
    <w:rsid w:val="001B3C7F"/>
    <w:rsid w:val="001B5358"/>
    <w:rsid w:val="001B650A"/>
    <w:rsid w:val="001B74F4"/>
    <w:rsid w:val="001C086B"/>
    <w:rsid w:val="001C1455"/>
    <w:rsid w:val="001C1C3B"/>
    <w:rsid w:val="001C1C77"/>
    <w:rsid w:val="001C27A6"/>
    <w:rsid w:val="001C44AF"/>
    <w:rsid w:val="001C450D"/>
    <w:rsid w:val="001C4A07"/>
    <w:rsid w:val="001C7A3E"/>
    <w:rsid w:val="001D09B8"/>
    <w:rsid w:val="001D1BFA"/>
    <w:rsid w:val="001D1C17"/>
    <w:rsid w:val="001D1D73"/>
    <w:rsid w:val="001D23CD"/>
    <w:rsid w:val="001D29F8"/>
    <w:rsid w:val="001D2EC3"/>
    <w:rsid w:val="001D33A5"/>
    <w:rsid w:val="001D39A7"/>
    <w:rsid w:val="001D4C5C"/>
    <w:rsid w:val="001D6ACA"/>
    <w:rsid w:val="001D7536"/>
    <w:rsid w:val="001D76F9"/>
    <w:rsid w:val="001E077A"/>
    <w:rsid w:val="001E152A"/>
    <w:rsid w:val="001E1AAF"/>
    <w:rsid w:val="001E1E24"/>
    <w:rsid w:val="001E35A4"/>
    <w:rsid w:val="001E4BD9"/>
    <w:rsid w:val="001F0519"/>
    <w:rsid w:val="001F064D"/>
    <w:rsid w:val="001F0AC3"/>
    <w:rsid w:val="001F10E5"/>
    <w:rsid w:val="001F16A0"/>
    <w:rsid w:val="001F370B"/>
    <w:rsid w:val="001F3FCF"/>
    <w:rsid w:val="001F4281"/>
    <w:rsid w:val="001F4283"/>
    <w:rsid w:val="001F668A"/>
    <w:rsid w:val="001F6983"/>
    <w:rsid w:val="001F6DF7"/>
    <w:rsid w:val="0020094B"/>
    <w:rsid w:val="00201159"/>
    <w:rsid w:val="0020261B"/>
    <w:rsid w:val="0020283A"/>
    <w:rsid w:val="002055F1"/>
    <w:rsid w:val="002100FA"/>
    <w:rsid w:val="00210426"/>
    <w:rsid w:val="00211EAA"/>
    <w:rsid w:val="00213911"/>
    <w:rsid w:val="00216446"/>
    <w:rsid w:val="00217DF7"/>
    <w:rsid w:val="002200F2"/>
    <w:rsid w:val="00220A94"/>
    <w:rsid w:val="00221164"/>
    <w:rsid w:val="00223FB5"/>
    <w:rsid w:val="00224F71"/>
    <w:rsid w:val="00225268"/>
    <w:rsid w:val="002255F3"/>
    <w:rsid w:val="00225C52"/>
    <w:rsid w:val="002274DE"/>
    <w:rsid w:val="00227882"/>
    <w:rsid w:val="002315E9"/>
    <w:rsid w:val="0023184A"/>
    <w:rsid w:val="002318B3"/>
    <w:rsid w:val="00231AD4"/>
    <w:rsid w:val="00232F07"/>
    <w:rsid w:val="00233055"/>
    <w:rsid w:val="00237CB4"/>
    <w:rsid w:val="002400DB"/>
    <w:rsid w:val="0024110D"/>
    <w:rsid w:val="00241D2C"/>
    <w:rsid w:val="00241F74"/>
    <w:rsid w:val="00242C39"/>
    <w:rsid w:val="00243B95"/>
    <w:rsid w:val="002456F6"/>
    <w:rsid w:val="0024579A"/>
    <w:rsid w:val="00246164"/>
    <w:rsid w:val="002468CB"/>
    <w:rsid w:val="00246CB9"/>
    <w:rsid w:val="00247A17"/>
    <w:rsid w:val="00247C43"/>
    <w:rsid w:val="00252CD5"/>
    <w:rsid w:val="00253419"/>
    <w:rsid w:val="00254270"/>
    <w:rsid w:val="00254C37"/>
    <w:rsid w:val="00254FD7"/>
    <w:rsid w:val="002574F5"/>
    <w:rsid w:val="002575BB"/>
    <w:rsid w:val="0025767C"/>
    <w:rsid w:val="00261F77"/>
    <w:rsid w:val="00263AF8"/>
    <w:rsid w:val="002649B6"/>
    <w:rsid w:val="0026616E"/>
    <w:rsid w:val="00266667"/>
    <w:rsid w:val="00267758"/>
    <w:rsid w:val="0027013D"/>
    <w:rsid w:val="00270DA5"/>
    <w:rsid w:val="00271144"/>
    <w:rsid w:val="00271743"/>
    <w:rsid w:val="002732A3"/>
    <w:rsid w:val="002735BF"/>
    <w:rsid w:val="00274C84"/>
    <w:rsid w:val="00275CD3"/>
    <w:rsid w:val="00276851"/>
    <w:rsid w:val="00277E34"/>
    <w:rsid w:val="002831B0"/>
    <w:rsid w:val="002858DF"/>
    <w:rsid w:val="00286129"/>
    <w:rsid w:val="00286646"/>
    <w:rsid w:val="00286D46"/>
    <w:rsid w:val="0029489A"/>
    <w:rsid w:val="00294A58"/>
    <w:rsid w:val="002956CC"/>
    <w:rsid w:val="0029656E"/>
    <w:rsid w:val="002969E6"/>
    <w:rsid w:val="002972E3"/>
    <w:rsid w:val="002A0953"/>
    <w:rsid w:val="002A127E"/>
    <w:rsid w:val="002A302E"/>
    <w:rsid w:val="002A4120"/>
    <w:rsid w:val="002A4A74"/>
    <w:rsid w:val="002A6127"/>
    <w:rsid w:val="002A62A2"/>
    <w:rsid w:val="002A71C8"/>
    <w:rsid w:val="002A7B77"/>
    <w:rsid w:val="002B008B"/>
    <w:rsid w:val="002B1FAC"/>
    <w:rsid w:val="002B2985"/>
    <w:rsid w:val="002B3099"/>
    <w:rsid w:val="002B3FF4"/>
    <w:rsid w:val="002B4A19"/>
    <w:rsid w:val="002B607D"/>
    <w:rsid w:val="002C02DA"/>
    <w:rsid w:val="002C207D"/>
    <w:rsid w:val="002C332C"/>
    <w:rsid w:val="002C7079"/>
    <w:rsid w:val="002C70EB"/>
    <w:rsid w:val="002C7646"/>
    <w:rsid w:val="002C7DBB"/>
    <w:rsid w:val="002D01B3"/>
    <w:rsid w:val="002D025F"/>
    <w:rsid w:val="002D1547"/>
    <w:rsid w:val="002D33B1"/>
    <w:rsid w:val="002D35A3"/>
    <w:rsid w:val="002D422A"/>
    <w:rsid w:val="002D5186"/>
    <w:rsid w:val="002D5ADC"/>
    <w:rsid w:val="002D66DC"/>
    <w:rsid w:val="002D7057"/>
    <w:rsid w:val="002E0A6D"/>
    <w:rsid w:val="002E15A1"/>
    <w:rsid w:val="002E17BD"/>
    <w:rsid w:val="002E20E7"/>
    <w:rsid w:val="002E511B"/>
    <w:rsid w:val="002E580A"/>
    <w:rsid w:val="002E5A6F"/>
    <w:rsid w:val="002E707A"/>
    <w:rsid w:val="002E73D6"/>
    <w:rsid w:val="002E7902"/>
    <w:rsid w:val="002F22EF"/>
    <w:rsid w:val="002F31A6"/>
    <w:rsid w:val="002F44C0"/>
    <w:rsid w:val="002F4C47"/>
    <w:rsid w:val="002F5F11"/>
    <w:rsid w:val="002F738D"/>
    <w:rsid w:val="002F73DE"/>
    <w:rsid w:val="002F74DE"/>
    <w:rsid w:val="00301AB9"/>
    <w:rsid w:val="003020BD"/>
    <w:rsid w:val="0030399A"/>
    <w:rsid w:val="00304051"/>
    <w:rsid w:val="0030611F"/>
    <w:rsid w:val="003124FC"/>
    <w:rsid w:val="003125B0"/>
    <w:rsid w:val="0031332E"/>
    <w:rsid w:val="00313814"/>
    <w:rsid w:val="00316029"/>
    <w:rsid w:val="003203FC"/>
    <w:rsid w:val="00320731"/>
    <w:rsid w:val="00321376"/>
    <w:rsid w:val="00321CB5"/>
    <w:rsid w:val="00321EE6"/>
    <w:rsid w:val="00322CCE"/>
    <w:rsid w:val="00323743"/>
    <w:rsid w:val="0032377D"/>
    <w:rsid w:val="00323ABA"/>
    <w:rsid w:val="003263BA"/>
    <w:rsid w:val="00326688"/>
    <w:rsid w:val="00326FF2"/>
    <w:rsid w:val="00331956"/>
    <w:rsid w:val="00332F40"/>
    <w:rsid w:val="0033459C"/>
    <w:rsid w:val="00336B46"/>
    <w:rsid w:val="00337420"/>
    <w:rsid w:val="00340116"/>
    <w:rsid w:val="00340ED5"/>
    <w:rsid w:val="00341A07"/>
    <w:rsid w:val="0034297D"/>
    <w:rsid w:val="0034352C"/>
    <w:rsid w:val="00343FB7"/>
    <w:rsid w:val="00346416"/>
    <w:rsid w:val="0034666F"/>
    <w:rsid w:val="00350FDF"/>
    <w:rsid w:val="00351ED4"/>
    <w:rsid w:val="00351EF9"/>
    <w:rsid w:val="00354808"/>
    <w:rsid w:val="003548DB"/>
    <w:rsid w:val="00355A53"/>
    <w:rsid w:val="00356929"/>
    <w:rsid w:val="00356BA6"/>
    <w:rsid w:val="003571DE"/>
    <w:rsid w:val="00357234"/>
    <w:rsid w:val="00357A33"/>
    <w:rsid w:val="0036217F"/>
    <w:rsid w:val="00362E3F"/>
    <w:rsid w:val="00364003"/>
    <w:rsid w:val="00366AEA"/>
    <w:rsid w:val="00367FA2"/>
    <w:rsid w:val="003702D5"/>
    <w:rsid w:val="003720A4"/>
    <w:rsid w:val="00373BB9"/>
    <w:rsid w:val="00375513"/>
    <w:rsid w:val="0037720B"/>
    <w:rsid w:val="00380BA4"/>
    <w:rsid w:val="00381404"/>
    <w:rsid w:val="00381A03"/>
    <w:rsid w:val="00381C1B"/>
    <w:rsid w:val="00382CF5"/>
    <w:rsid w:val="00383B32"/>
    <w:rsid w:val="0038418E"/>
    <w:rsid w:val="00384F67"/>
    <w:rsid w:val="0038622D"/>
    <w:rsid w:val="00386E2D"/>
    <w:rsid w:val="00390076"/>
    <w:rsid w:val="003905A7"/>
    <w:rsid w:val="0039066C"/>
    <w:rsid w:val="003913C2"/>
    <w:rsid w:val="00392727"/>
    <w:rsid w:val="003952F4"/>
    <w:rsid w:val="003978DE"/>
    <w:rsid w:val="003A0821"/>
    <w:rsid w:val="003A35C8"/>
    <w:rsid w:val="003A4600"/>
    <w:rsid w:val="003A6909"/>
    <w:rsid w:val="003A6BA8"/>
    <w:rsid w:val="003A7AE7"/>
    <w:rsid w:val="003A7C9C"/>
    <w:rsid w:val="003B2904"/>
    <w:rsid w:val="003B3546"/>
    <w:rsid w:val="003B36C4"/>
    <w:rsid w:val="003B589C"/>
    <w:rsid w:val="003B5A6A"/>
    <w:rsid w:val="003B5C63"/>
    <w:rsid w:val="003B62FA"/>
    <w:rsid w:val="003B7624"/>
    <w:rsid w:val="003B7F3E"/>
    <w:rsid w:val="003C0A45"/>
    <w:rsid w:val="003C335E"/>
    <w:rsid w:val="003C4355"/>
    <w:rsid w:val="003C460C"/>
    <w:rsid w:val="003C4BBA"/>
    <w:rsid w:val="003C5B8D"/>
    <w:rsid w:val="003C662C"/>
    <w:rsid w:val="003C7024"/>
    <w:rsid w:val="003C752F"/>
    <w:rsid w:val="003D0558"/>
    <w:rsid w:val="003D1F6E"/>
    <w:rsid w:val="003D2483"/>
    <w:rsid w:val="003D2FDE"/>
    <w:rsid w:val="003D31BA"/>
    <w:rsid w:val="003D34FD"/>
    <w:rsid w:val="003D371F"/>
    <w:rsid w:val="003D38B3"/>
    <w:rsid w:val="003D42D9"/>
    <w:rsid w:val="003D4966"/>
    <w:rsid w:val="003D4E5E"/>
    <w:rsid w:val="003D57B3"/>
    <w:rsid w:val="003D7790"/>
    <w:rsid w:val="003D7E45"/>
    <w:rsid w:val="003E0736"/>
    <w:rsid w:val="003E1A76"/>
    <w:rsid w:val="003E20D4"/>
    <w:rsid w:val="003E2115"/>
    <w:rsid w:val="003E3A1B"/>
    <w:rsid w:val="003E4766"/>
    <w:rsid w:val="003E4A98"/>
    <w:rsid w:val="003E77D7"/>
    <w:rsid w:val="003F112A"/>
    <w:rsid w:val="003F11DC"/>
    <w:rsid w:val="003F22E0"/>
    <w:rsid w:val="003F2953"/>
    <w:rsid w:val="003F4E17"/>
    <w:rsid w:val="003F53F1"/>
    <w:rsid w:val="003F593E"/>
    <w:rsid w:val="003F6F39"/>
    <w:rsid w:val="00401FF7"/>
    <w:rsid w:val="00403962"/>
    <w:rsid w:val="00405036"/>
    <w:rsid w:val="0040657C"/>
    <w:rsid w:val="00406590"/>
    <w:rsid w:val="004066DF"/>
    <w:rsid w:val="0041203C"/>
    <w:rsid w:val="00412220"/>
    <w:rsid w:val="00414312"/>
    <w:rsid w:val="0041711B"/>
    <w:rsid w:val="00420E18"/>
    <w:rsid w:val="00421597"/>
    <w:rsid w:val="00422500"/>
    <w:rsid w:val="0042383C"/>
    <w:rsid w:val="00423C5C"/>
    <w:rsid w:val="00425B10"/>
    <w:rsid w:val="0043054E"/>
    <w:rsid w:val="00430A81"/>
    <w:rsid w:val="00431063"/>
    <w:rsid w:val="00431DEB"/>
    <w:rsid w:val="00435CCA"/>
    <w:rsid w:val="00441E19"/>
    <w:rsid w:val="00443543"/>
    <w:rsid w:val="004436B8"/>
    <w:rsid w:val="0044396A"/>
    <w:rsid w:val="00444339"/>
    <w:rsid w:val="00444975"/>
    <w:rsid w:val="00444AE4"/>
    <w:rsid w:val="00444C39"/>
    <w:rsid w:val="00444DB3"/>
    <w:rsid w:val="0044765F"/>
    <w:rsid w:val="00447BA6"/>
    <w:rsid w:val="00447BCA"/>
    <w:rsid w:val="00447C88"/>
    <w:rsid w:val="00450367"/>
    <w:rsid w:val="004503C4"/>
    <w:rsid w:val="004508D1"/>
    <w:rsid w:val="00453AC3"/>
    <w:rsid w:val="00453D97"/>
    <w:rsid w:val="00454285"/>
    <w:rsid w:val="0045576E"/>
    <w:rsid w:val="0045647B"/>
    <w:rsid w:val="00460C7B"/>
    <w:rsid w:val="004634E3"/>
    <w:rsid w:val="0046373D"/>
    <w:rsid w:val="00463E14"/>
    <w:rsid w:val="00464909"/>
    <w:rsid w:val="004649A2"/>
    <w:rsid w:val="0046645D"/>
    <w:rsid w:val="00472FA9"/>
    <w:rsid w:val="00473786"/>
    <w:rsid w:val="00473A9D"/>
    <w:rsid w:val="00474AD5"/>
    <w:rsid w:val="004772B0"/>
    <w:rsid w:val="00481AFD"/>
    <w:rsid w:val="00482A02"/>
    <w:rsid w:val="00482E3F"/>
    <w:rsid w:val="004830B6"/>
    <w:rsid w:val="00486957"/>
    <w:rsid w:val="004910B9"/>
    <w:rsid w:val="00491360"/>
    <w:rsid w:val="0049145A"/>
    <w:rsid w:val="0049495E"/>
    <w:rsid w:val="0049558A"/>
    <w:rsid w:val="00496A77"/>
    <w:rsid w:val="004A0478"/>
    <w:rsid w:val="004A12EC"/>
    <w:rsid w:val="004A1C53"/>
    <w:rsid w:val="004A3022"/>
    <w:rsid w:val="004A53B5"/>
    <w:rsid w:val="004A58B5"/>
    <w:rsid w:val="004A6DB1"/>
    <w:rsid w:val="004B04CA"/>
    <w:rsid w:val="004B0D8C"/>
    <w:rsid w:val="004B0F21"/>
    <w:rsid w:val="004B0F95"/>
    <w:rsid w:val="004B22D6"/>
    <w:rsid w:val="004B275D"/>
    <w:rsid w:val="004B2DB7"/>
    <w:rsid w:val="004B33DB"/>
    <w:rsid w:val="004B45FD"/>
    <w:rsid w:val="004B4E37"/>
    <w:rsid w:val="004B677D"/>
    <w:rsid w:val="004B72D5"/>
    <w:rsid w:val="004B77BA"/>
    <w:rsid w:val="004B7B0B"/>
    <w:rsid w:val="004B7CF5"/>
    <w:rsid w:val="004C01A7"/>
    <w:rsid w:val="004C0E1A"/>
    <w:rsid w:val="004C0FF9"/>
    <w:rsid w:val="004C1020"/>
    <w:rsid w:val="004C19C2"/>
    <w:rsid w:val="004C1A1A"/>
    <w:rsid w:val="004C2018"/>
    <w:rsid w:val="004C4AA3"/>
    <w:rsid w:val="004C6D43"/>
    <w:rsid w:val="004C79A6"/>
    <w:rsid w:val="004C7CBE"/>
    <w:rsid w:val="004D2D16"/>
    <w:rsid w:val="004D380D"/>
    <w:rsid w:val="004E02BA"/>
    <w:rsid w:val="004E041D"/>
    <w:rsid w:val="004E04ED"/>
    <w:rsid w:val="004E05BD"/>
    <w:rsid w:val="004E17A6"/>
    <w:rsid w:val="004E29D6"/>
    <w:rsid w:val="004E305E"/>
    <w:rsid w:val="004E7822"/>
    <w:rsid w:val="004F05AF"/>
    <w:rsid w:val="004F0D7E"/>
    <w:rsid w:val="004F1DE2"/>
    <w:rsid w:val="004F1E7B"/>
    <w:rsid w:val="004F6D96"/>
    <w:rsid w:val="004F735A"/>
    <w:rsid w:val="004F75D5"/>
    <w:rsid w:val="00502CB2"/>
    <w:rsid w:val="00502E6B"/>
    <w:rsid w:val="00502F73"/>
    <w:rsid w:val="00503A1D"/>
    <w:rsid w:val="00503A40"/>
    <w:rsid w:val="00513851"/>
    <w:rsid w:val="00514214"/>
    <w:rsid w:val="00520C1E"/>
    <w:rsid w:val="00521191"/>
    <w:rsid w:val="005217EC"/>
    <w:rsid w:val="0052245C"/>
    <w:rsid w:val="00523194"/>
    <w:rsid w:val="00523346"/>
    <w:rsid w:val="00524A69"/>
    <w:rsid w:val="00525971"/>
    <w:rsid w:val="00527C14"/>
    <w:rsid w:val="005314C8"/>
    <w:rsid w:val="00531E9E"/>
    <w:rsid w:val="00532487"/>
    <w:rsid w:val="00533B5E"/>
    <w:rsid w:val="00534482"/>
    <w:rsid w:val="00536966"/>
    <w:rsid w:val="0053754A"/>
    <w:rsid w:val="00540117"/>
    <w:rsid w:val="00541156"/>
    <w:rsid w:val="00541A7B"/>
    <w:rsid w:val="00541FB8"/>
    <w:rsid w:val="00542601"/>
    <w:rsid w:val="00543FBE"/>
    <w:rsid w:val="00544ACF"/>
    <w:rsid w:val="00544DC2"/>
    <w:rsid w:val="00544F51"/>
    <w:rsid w:val="0054550F"/>
    <w:rsid w:val="005457EB"/>
    <w:rsid w:val="00545CF9"/>
    <w:rsid w:val="005465D4"/>
    <w:rsid w:val="00547588"/>
    <w:rsid w:val="00553825"/>
    <w:rsid w:val="00553CCD"/>
    <w:rsid w:val="00554257"/>
    <w:rsid w:val="0055477E"/>
    <w:rsid w:val="00554E57"/>
    <w:rsid w:val="005551C2"/>
    <w:rsid w:val="00561E5F"/>
    <w:rsid w:val="0056392E"/>
    <w:rsid w:val="00564433"/>
    <w:rsid w:val="00564B4B"/>
    <w:rsid w:val="005669CA"/>
    <w:rsid w:val="00566AAC"/>
    <w:rsid w:val="005707A1"/>
    <w:rsid w:val="0057146A"/>
    <w:rsid w:val="00571F32"/>
    <w:rsid w:val="00572888"/>
    <w:rsid w:val="00572C11"/>
    <w:rsid w:val="00572C12"/>
    <w:rsid w:val="005737B9"/>
    <w:rsid w:val="00573A4F"/>
    <w:rsid w:val="00573D74"/>
    <w:rsid w:val="00574498"/>
    <w:rsid w:val="00574E5D"/>
    <w:rsid w:val="00581B79"/>
    <w:rsid w:val="005823FC"/>
    <w:rsid w:val="00584ED4"/>
    <w:rsid w:val="00586512"/>
    <w:rsid w:val="0059093F"/>
    <w:rsid w:val="005914F9"/>
    <w:rsid w:val="005915AC"/>
    <w:rsid w:val="00591BDE"/>
    <w:rsid w:val="005932C3"/>
    <w:rsid w:val="00593C1A"/>
    <w:rsid w:val="005943A2"/>
    <w:rsid w:val="00594598"/>
    <w:rsid w:val="005951D4"/>
    <w:rsid w:val="00595776"/>
    <w:rsid w:val="005971E2"/>
    <w:rsid w:val="00597AF5"/>
    <w:rsid w:val="005A02F5"/>
    <w:rsid w:val="005A03F1"/>
    <w:rsid w:val="005A1C69"/>
    <w:rsid w:val="005A279F"/>
    <w:rsid w:val="005A2E23"/>
    <w:rsid w:val="005A314C"/>
    <w:rsid w:val="005A41F9"/>
    <w:rsid w:val="005A71DF"/>
    <w:rsid w:val="005B10BC"/>
    <w:rsid w:val="005B3F16"/>
    <w:rsid w:val="005B42A1"/>
    <w:rsid w:val="005B4B53"/>
    <w:rsid w:val="005B4C1C"/>
    <w:rsid w:val="005B5805"/>
    <w:rsid w:val="005B6DD2"/>
    <w:rsid w:val="005C2092"/>
    <w:rsid w:val="005C2AED"/>
    <w:rsid w:val="005C40FF"/>
    <w:rsid w:val="005C5514"/>
    <w:rsid w:val="005C6F9E"/>
    <w:rsid w:val="005C70D3"/>
    <w:rsid w:val="005C753B"/>
    <w:rsid w:val="005C7A25"/>
    <w:rsid w:val="005C7BEC"/>
    <w:rsid w:val="005D1211"/>
    <w:rsid w:val="005D1411"/>
    <w:rsid w:val="005D1C8C"/>
    <w:rsid w:val="005E2011"/>
    <w:rsid w:val="005E3741"/>
    <w:rsid w:val="005F0028"/>
    <w:rsid w:val="005F1C86"/>
    <w:rsid w:val="005F223B"/>
    <w:rsid w:val="005F32D3"/>
    <w:rsid w:val="005F4938"/>
    <w:rsid w:val="005F6A08"/>
    <w:rsid w:val="005F6C54"/>
    <w:rsid w:val="005F75FC"/>
    <w:rsid w:val="006000FF"/>
    <w:rsid w:val="006029DE"/>
    <w:rsid w:val="00602EDF"/>
    <w:rsid w:val="00605B29"/>
    <w:rsid w:val="0060704B"/>
    <w:rsid w:val="0060731D"/>
    <w:rsid w:val="00607616"/>
    <w:rsid w:val="006124C7"/>
    <w:rsid w:val="00612DF8"/>
    <w:rsid w:val="00613919"/>
    <w:rsid w:val="00613C8F"/>
    <w:rsid w:val="00615BEA"/>
    <w:rsid w:val="0061662F"/>
    <w:rsid w:val="00617B1B"/>
    <w:rsid w:val="00624603"/>
    <w:rsid w:val="00624DDD"/>
    <w:rsid w:val="00627106"/>
    <w:rsid w:val="00627BD1"/>
    <w:rsid w:val="00630A77"/>
    <w:rsid w:val="006312E5"/>
    <w:rsid w:val="00631EC4"/>
    <w:rsid w:val="006343F4"/>
    <w:rsid w:val="0063539B"/>
    <w:rsid w:val="0063572E"/>
    <w:rsid w:val="0063744C"/>
    <w:rsid w:val="00640E35"/>
    <w:rsid w:val="00641847"/>
    <w:rsid w:val="00642538"/>
    <w:rsid w:val="00642E09"/>
    <w:rsid w:val="00643522"/>
    <w:rsid w:val="00643B20"/>
    <w:rsid w:val="00644096"/>
    <w:rsid w:val="00644240"/>
    <w:rsid w:val="00645894"/>
    <w:rsid w:val="00645A12"/>
    <w:rsid w:val="00650940"/>
    <w:rsid w:val="00650DEE"/>
    <w:rsid w:val="00652B96"/>
    <w:rsid w:val="00654219"/>
    <w:rsid w:val="006545EA"/>
    <w:rsid w:val="00655A0F"/>
    <w:rsid w:val="00656443"/>
    <w:rsid w:val="00661E06"/>
    <w:rsid w:val="006625FA"/>
    <w:rsid w:val="00663FAF"/>
    <w:rsid w:val="00665580"/>
    <w:rsid w:val="0066647F"/>
    <w:rsid w:val="006667A9"/>
    <w:rsid w:val="0067106C"/>
    <w:rsid w:val="00671498"/>
    <w:rsid w:val="00672E40"/>
    <w:rsid w:val="00672FC8"/>
    <w:rsid w:val="0067306B"/>
    <w:rsid w:val="006747DF"/>
    <w:rsid w:val="00677216"/>
    <w:rsid w:val="00681557"/>
    <w:rsid w:val="00681718"/>
    <w:rsid w:val="00681A59"/>
    <w:rsid w:val="00682125"/>
    <w:rsid w:val="00682E45"/>
    <w:rsid w:val="00684EEC"/>
    <w:rsid w:val="00685195"/>
    <w:rsid w:val="0068733E"/>
    <w:rsid w:val="0069120F"/>
    <w:rsid w:val="0069192E"/>
    <w:rsid w:val="006937C7"/>
    <w:rsid w:val="00694147"/>
    <w:rsid w:val="0069436B"/>
    <w:rsid w:val="00694E34"/>
    <w:rsid w:val="006950B3"/>
    <w:rsid w:val="0069527A"/>
    <w:rsid w:val="00696F4B"/>
    <w:rsid w:val="006A0B29"/>
    <w:rsid w:val="006A1467"/>
    <w:rsid w:val="006A1DB7"/>
    <w:rsid w:val="006A2C6A"/>
    <w:rsid w:val="006A3367"/>
    <w:rsid w:val="006A396C"/>
    <w:rsid w:val="006A4D0B"/>
    <w:rsid w:val="006A4F80"/>
    <w:rsid w:val="006A4F92"/>
    <w:rsid w:val="006A5BBF"/>
    <w:rsid w:val="006B0374"/>
    <w:rsid w:val="006B0DA6"/>
    <w:rsid w:val="006B2CD3"/>
    <w:rsid w:val="006B3805"/>
    <w:rsid w:val="006B3F3C"/>
    <w:rsid w:val="006B418A"/>
    <w:rsid w:val="006B5DD0"/>
    <w:rsid w:val="006B6910"/>
    <w:rsid w:val="006C3BA8"/>
    <w:rsid w:val="006C7202"/>
    <w:rsid w:val="006C7C23"/>
    <w:rsid w:val="006D1DC0"/>
    <w:rsid w:val="006D2958"/>
    <w:rsid w:val="006D37CA"/>
    <w:rsid w:val="006D4AA3"/>
    <w:rsid w:val="006D50C8"/>
    <w:rsid w:val="006D5B3B"/>
    <w:rsid w:val="006D6177"/>
    <w:rsid w:val="006D6353"/>
    <w:rsid w:val="006D6DFB"/>
    <w:rsid w:val="006E05AA"/>
    <w:rsid w:val="006E0F0A"/>
    <w:rsid w:val="006E3562"/>
    <w:rsid w:val="006E5096"/>
    <w:rsid w:val="006E642F"/>
    <w:rsid w:val="006E6E5D"/>
    <w:rsid w:val="006F10CD"/>
    <w:rsid w:val="006F3317"/>
    <w:rsid w:val="006F3A3E"/>
    <w:rsid w:val="006F4379"/>
    <w:rsid w:val="006F6A5F"/>
    <w:rsid w:val="0070021A"/>
    <w:rsid w:val="00700554"/>
    <w:rsid w:val="007041F5"/>
    <w:rsid w:val="00707714"/>
    <w:rsid w:val="00710901"/>
    <w:rsid w:val="0071127E"/>
    <w:rsid w:val="00715A0A"/>
    <w:rsid w:val="007223BE"/>
    <w:rsid w:val="00723285"/>
    <w:rsid w:val="00726B0C"/>
    <w:rsid w:val="00727DB8"/>
    <w:rsid w:val="0073196E"/>
    <w:rsid w:val="00731C0A"/>
    <w:rsid w:val="00732404"/>
    <w:rsid w:val="0073477A"/>
    <w:rsid w:val="00736A85"/>
    <w:rsid w:val="00736C29"/>
    <w:rsid w:val="00737B5A"/>
    <w:rsid w:val="00737FF3"/>
    <w:rsid w:val="007421A3"/>
    <w:rsid w:val="00742FC0"/>
    <w:rsid w:val="007457C1"/>
    <w:rsid w:val="0074787C"/>
    <w:rsid w:val="007504AB"/>
    <w:rsid w:val="00751949"/>
    <w:rsid w:val="007519D3"/>
    <w:rsid w:val="007528AF"/>
    <w:rsid w:val="00752989"/>
    <w:rsid w:val="00756EE5"/>
    <w:rsid w:val="00757396"/>
    <w:rsid w:val="007613BF"/>
    <w:rsid w:val="00765CFD"/>
    <w:rsid w:val="00767EF6"/>
    <w:rsid w:val="007709DC"/>
    <w:rsid w:val="00772103"/>
    <w:rsid w:val="0077242F"/>
    <w:rsid w:val="00772BF9"/>
    <w:rsid w:val="007746D3"/>
    <w:rsid w:val="00774E2E"/>
    <w:rsid w:val="00777351"/>
    <w:rsid w:val="007824DF"/>
    <w:rsid w:val="0078287E"/>
    <w:rsid w:val="007844FC"/>
    <w:rsid w:val="0078481B"/>
    <w:rsid w:val="00784E03"/>
    <w:rsid w:val="007853ED"/>
    <w:rsid w:val="007874C9"/>
    <w:rsid w:val="00791003"/>
    <w:rsid w:val="00795629"/>
    <w:rsid w:val="00795DE3"/>
    <w:rsid w:val="00795F6D"/>
    <w:rsid w:val="00796651"/>
    <w:rsid w:val="007974E7"/>
    <w:rsid w:val="00797D61"/>
    <w:rsid w:val="007A3AEB"/>
    <w:rsid w:val="007A41C6"/>
    <w:rsid w:val="007A4A61"/>
    <w:rsid w:val="007A564C"/>
    <w:rsid w:val="007A6AF7"/>
    <w:rsid w:val="007A7083"/>
    <w:rsid w:val="007A7366"/>
    <w:rsid w:val="007A7DD2"/>
    <w:rsid w:val="007B130A"/>
    <w:rsid w:val="007B1850"/>
    <w:rsid w:val="007B2DD4"/>
    <w:rsid w:val="007B3937"/>
    <w:rsid w:val="007B45C9"/>
    <w:rsid w:val="007B55A2"/>
    <w:rsid w:val="007B5E4C"/>
    <w:rsid w:val="007B7025"/>
    <w:rsid w:val="007B7A6B"/>
    <w:rsid w:val="007C0226"/>
    <w:rsid w:val="007C050C"/>
    <w:rsid w:val="007C0921"/>
    <w:rsid w:val="007C0EF6"/>
    <w:rsid w:val="007C21B9"/>
    <w:rsid w:val="007D127A"/>
    <w:rsid w:val="007D186E"/>
    <w:rsid w:val="007D1BC1"/>
    <w:rsid w:val="007D2044"/>
    <w:rsid w:val="007D297C"/>
    <w:rsid w:val="007D3489"/>
    <w:rsid w:val="007D3FAE"/>
    <w:rsid w:val="007D449C"/>
    <w:rsid w:val="007D4BCC"/>
    <w:rsid w:val="007D4C13"/>
    <w:rsid w:val="007D6B4B"/>
    <w:rsid w:val="007D78BE"/>
    <w:rsid w:val="007E1063"/>
    <w:rsid w:val="007E510C"/>
    <w:rsid w:val="007E6FFE"/>
    <w:rsid w:val="007F156F"/>
    <w:rsid w:val="007F23AA"/>
    <w:rsid w:val="007F2401"/>
    <w:rsid w:val="007F3201"/>
    <w:rsid w:val="007F6628"/>
    <w:rsid w:val="007F6FB6"/>
    <w:rsid w:val="00800240"/>
    <w:rsid w:val="008006F5"/>
    <w:rsid w:val="00803597"/>
    <w:rsid w:val="00804F8E"/>
    <w:rsid w:val="008102CC"/>
    <w:rsid w:val="00811008"/>
    <w:rsid w:val="00811B59"/>
    <w:rsid w:val="00813619"/>
    <w:rsid w:val="00814761"/>
    <w:rsid w:val="00815766"/>
    <w:rsid w:val="008157EF"/>
    <w:rsid w:val="00816DD4"/>
    <w:rsid w:val="00821D44"/>
    <w:rsid w:val="008232AA"/>
    <w:rsid w:val="008266A8"/>
    <w:rsid w:val="0082764F"/>
    <w:rsid w:val="00831CCD"/>
    <w:rsid w:val="00834465"/>
    <w:rsid w:val="00835668"/>
    <w:rsid w:val="00842AC5"/>
    <w:rsid w:val="00844A7F"/>
    <w:rsid w:val="0084710C"/>
    <w:rsid w:val="0084718B"/>
    <w:rsid w:val="008479FA"/>
    <w:rsid w:val="00853528"/>
    <w:rsid w:val="00854355"/>
    <w:rsid w:val="00854AAE"/>
    <w:rsid w:val="00856BC9"/>
    <w:rsid w:val="00857DC5"/>
    <w:rsid w:val="008604F9"/>
    <w:rsid w:val="008605EC"/>
    <w:rsid w:val="00862B22"/>
    <w:rsid w:val="00862F01"/>
    <w:rsid w:val="008635DE"/>
    <w:rsid w:val="008646A8"/>
    <w:rsid w:val="0086473D"/>
    <w:rsid w:val="008669A7"/>
    <w:rsid w:val="008669C9"/>
    <w:rsid w:val="00866F45"/>
    <w:rsid w:val="008705EA"/>
    <w:rsid w:val="0087301B"/>
    <w:rsid w:val="00874488"/>
    <w:rsid w:val="00874D2D"/>
    <w:rsid w:val="00874FD8"/>
    <w:rsid w:val="00875161"/>
    <w:rsid w:val="00875BC3"/>
    <w:rsid w:val="00876460"/>
    <w:rsid w:val="00876599"/>
    <w:rsid w:val="0087659F"/>
    <w:rsid w:val="008779BF"/>
    <w:rsid w:val="008804CA"/>
    <w:rsid w:val="00882FB8"/>
    <w:rsid w:val="00883184"/>
    <w:rsid w:val="00883AE9"/>
    <w:rsid w:val="008841EA"/>
    <w:rsid w:val="00887264"/>
    <w:rsid w:val="00893D96"/>
    <w:rsid w:val="00894960"/>
    <w:rsid w:val="008957B4"/>
    <w:rsid w:val="008967D0"/>
    <w:rsid w:val="00897C77"/>
    <w:rsid w:val="008A07D6"/>
    <w:rsid w:val="008A1C67"/>
    <w:rsid w:val="008A25C4"/>
    <w:rsid w:val="008A40D4"/>
    <w:rsid w:val="008A5839"/>
    <w:rsid w:val="008A79B4"/>
    <w:rsid w:val="008B19ED"/>
    <w:rsid w:val="008B2754"/>
    <w:rsid w:val="008B2EEC"/>
    <w:rsid w:val="008B2F4E"/>
    <w:rsid w:val="008B4D25"/>
    <w:rsid w:val="008B59A4"/>
    <w:rsid w:val="008B6333"/>
    <w:rsid w:val="008B7654"/>
    <w:rsid w:val="008C1757"/>
    <w:rsid w:val="008C3473"/>
    <w:rsid w:val="008C4CBE"/>
    <w:rsid w:val="008C5529"/>
    <w:rsid w:val="008C5AC3"/>
    <w:rsid w:val="008C6364"/>
    <w:rsid w:val="008C7480"/>
    <w:rsid w:val="008D2386"/>
    <w:rsid w:val="008D3EB6"/>
    <w:rsid w:val="008D50A7"/>
    <w:rsid w:val="008D76BD"/>
    <w:rsid w:val="008D77EE"/>
    <w:rsid w:val="008D790F"/>
    <w:rsid w:val="008E0333"/>
    <w:rsid w:val="008E1962"/>
    <w:rsid w:val="008E2142"/>
    <w:rsid w:val="008E218F"/>
    <w:rsid w:val="008E353A"/>
    <w:rsid w:val="008E5E14"/>
    <w:rsid w:val="008E6B09"/>
    <w:rsid w:val="008F40A3"/>
    <w:rsid w:val="008F69AD"/>
    <w:rsid w:val="009006DB"/>
    <w:rsid w:val="00901351"/>
    <w:rsid w:val="00902F17"/>
    <w:rsid w:val="0090537C"/>
    <w:rsid w:val="00906012"/>
    <w:rsid w:val="009061C6"/>
    <w:rsid w:val="00906ACF"/>
    <w:rsid w:val="00907804"/>
    <w:rsid w:val="00907971"/>
    <w:rsid w:val="0091048B"/>
    <w:rsid w:val="0091084B"/>
    <w:rsid w:val="00913E7A"/>
    <w:rsid w:val="0092053D"/>
    <w:rsid w:val="00922B81"/>
    <w:rsid w:val="00922EF8"/>
    <w:rsid w:val="00924DF4"/>
    <w:rsid w:val="009275D2"/>
    <w:rsid w:val="00927852"/>
    <w:rsid w:val="00927E83"/>
    <w:rsid w:val="00931C25"/>
    <w:rsid w:val="00933143"/>
    <w:rsid w:val="00933594"/>
    <w:rsid w:val="009335C5"/>
    <w:rsid w:val="0093405E"/>
    <w:rsid w:val="00935D2E"/>
    <w:rsid w:val="00936D30"/>
    <w:rsid w:val="009378CB"/>
    <w:rsid w:val="00940E00"/>
    <w:rsid w:val="00940FE5"/>
    <w:rsid w:val="00941391"/>
    <w:rsid w:val="0094577C"/>
    <w:rsid w:val="00945E05"/>
    <w:rsid w:val="009500E4"/>
    <w:rsid w:val="00951280"/>
    <w:rsid w:val="00952C06"/>
    <w:rsid w:val="00953AF7"/>
    <w:rsid w:val="00955492"/>
    <w:rsid w:val="00955969"/>
    <w:rsid w:val="0095624D"/>
    <w:rsid w:val="00956406"/>
    <w:rsid w:val="009600C6"/>
    <w:rsid w:val="009640EA"/>
    <w:rsid w:val="009649FE"/>
    <w:rsid w:val="00965581"/>
    <w:rsid w:val="00965B1E"/>
    <w:rsid w:val="00965FEA"/>
    <w:rsid w:val="0096741E"/>
    <w:rsid w:val="00967635"/>
    <w:rsid w:val="00967F80"/>
    <w:rsid w:val="00971E7B"/>
    <w:rsid w:val="00972368"/>
    <w:rsid w:val="00972A2C"/>
    <w:rsid w:val="009731BC"/>
    <w:rsid w:val="0097453D"/>
    <w:rsid w:val="009755EA"/>
    <w:rsid w:val="009819D1"/>
    <w:rsid w:val="0098228D"/>
    <w:rsid w:val="00982581"/>
    <w:rsid w:val="00983216"/>
    <w:rsid w:val="009846F7"/>
    <w:rsid w:val="00985B6B"/>
    <w:rsid w:val="00987AF3"/>
    <w:rsid w:val="00987FB5"/>
    <w:rsid w:val="00991285"/>
    <w:rsid w:val="0099487D"/>
    <w:rsid w:val="00994CD3"/>
    <w:rsid w:val="00996B74"/>
    <w:rsid w:val="00996CBA"/>
    <w:rsid w:val="00997A83"/>
    <w:rsid w:val="009A1107"/>
    <w:rsid w:val="009A13C2"/>
    <w:rsid w:val="009A2E13"/>
    <w:rsid w:val="009A3643"/>
    <w:rsid w:val="009A5616"/>
    <w:rsid w:val="009A5F6A"/>
    <w:rsid w:val="009A70AE"/>
    <w:rsid w:val="009A7222"/>
    <w:rsid w:val="009B0937"/>
    <w:rsid w:val="009B13FC"/>
    <w:rsid w:val="009B1C10"/>
    <w:rsid w:val="009B2BF8"/>
    <w:rsid w:val="009B2E04"/>
    <w:rsid w:val="009B2F8E"/>
    <w:rsid w:val="009B3A45"/>
    <w:rsid w:val="009B433A"/>
    <w:rsid w:val="009B5D1F"/>
    <w:rsid w:val="009B7A6F"/>
    <w:rsid w:val="009C0DA8"/>
    <w:rsid w:val="009C16F4"/>
    <w:rsid w:val="009C3046"/>
    <w:rsid w:val="009C3A1C"/>
    <w:rsid w:val="009C46B2"/>
    <w:rsid w:val="009D3044"/>
    <w:rsid w:val="009D4DCB"/>
    <w:rsid w:val="009E0CDE"/>
    <w:rsid w:val="009E2A14"/>
    <w:rsid w:val="009E3D75"/>
    <w:rsid w:val="009E4AE6"/>
    <w:rsid w:val="009E549C"/>
    <w:rsid w:val="009E5BDD"/>
    <w:rsid w:val="009E684D"/>
    <w:rsid w:val="009E7A62"/>
    <w:rsid w:val="009E7E3B"/>
    <w:rsid w:val="009F0275"/>
    <w:rsid w:val="009F0400"/>
    <w:rsid w:val="009F063B"/>
    <w:rsid w:val="009F171C"/>
    <w:rsid w:val="009F312D"/>
    <w:rsid w:val="009F3CE9"/>
    <w:rsid w:val="009F764B"/>
    <w:rsid w:val="00A00A0D"/>
    <w:rsid w:val="00A00E3F"/>
    <w:rsid w:val="00A03E65"/>
    <w:rsid w:val="00A04818"/>
    <w:rsid w:val="00A04B61"/>
    <w:rsid w:val="00A05F2B"/>
    <w:rsid w:val="00A06090"/>
    <w:rsid w:val="00A06A91"/>
    <w:rsid w:val="00A07CD1"/>
    <w:rsid w:val="00A10A57"/>
    <w:rsid w:val="00A10E52"/>
    <w:rsid w:val="00A11604"/>
    <w:rsid w:val="00A11B94"/>
    <w:rsid w:val="00A11F7C"/>
    <w:rsid w:val="00A1375B"/>
    <w:rsid w:val="00A13D66"/>
    <w:rsid w:val="00A13EF9"/>
    <w:rsid w:val="00A14011"/>
    <w:rsid w:val="00A169B0"/>
    <w:rsid w:val="00A174B6"/>
    <w:rsid w:val="00A2016F"/>
    <w:rsid w:val="00A213BE"/>
    <w:rsid w:val="00A21541"/>
    <w:rsid w:val="00A250CC"/>
    <w:rsid w:val="00A26B52"/>
    <w:rsid w:val="00A327DA"/>
    <w:rsid w:val="00A34CF1"/>
    <w:rsid w:val="00A35D70"/>
    <w:rsid w:val="00A36892"/>
    <w:rsid w:val="00A37852"/>
    <w:rsid w:val="00A4022B"/>
    <w:rsid w:val="00A4031C"/>
    <w:rsid w:val="00A40466"/>
    <w:rsid w:val="00A413A8"/>
    <w:rsid w:val="00A42A29"/>
    <w:rsid w:val="00A439CD"/>
    <w:rsid w:val="00A44DB3"/>
    <w:rsid w:val="00A45206"/>
    <w:rsid w:val="00A461B7"/>
    <w:rsid w:val="00A50542"/>
    <w:rsid w:val="00A50CA6"/>
    <w:rsid w:val="00A51B5C"/>
    <w:rsid w:val="00A54B36"/>
    <w:rsid w:val="00A551C4"/>
    <w:rsid w:val="00A56B21"/>
    <w:rsid w:val="00A57BA6"/>
    <w:rsid w:val="00A63BA7"/>
    <w:rsid w:val="00A64345"/>
    <w:rsid w:val="00A647AA"/>
    <w:rsid w:val="00A647FC"/>
    <w:rsid w:val="00A65D6C"/>
    <w:rsid w:val="00A65E3A"/>
    <w:rsid w:val="00A66D8E"/>
    <w:rsid w:val="00A72A73"/>
    <w:rsid w:val="00A72F7F"/>
    <w:rsid w:val="00A730DC"/>
    <w:rsid w:val="00A744B1"/>
    <w:rsid w:val="00A757E1"/>
    <w:rsid w:val="00A769C4"/>
    <w:rsid w:val="00A76D5C"/>
    <w:rsid w:val="00A76E4C"/>
    <w:rsid w:val="00A772BF"/>
    <w:rsid w:val="00A81FD5"/>
    <w:rsid w:val="00A82142"/>
    <w:rsid w:val="00A83BAE"/>
    <w:rsid w:val="00A84851"/>
    <w:rsid w:val="00A85384"/>
    <w:rsid w:val="00A85811"/>
    <w:rsid w:val="00A85C78"/>
    <w:rsid w:val="00A867CE"/>
    <w:rsid w:val="00A86EE1"/>
    <w:rsid w:val="00A9086A"/>
    <w:rsid w:val="00A92B1A"/>
    <w:rsid w:val="00A9427A"/>
    <w:rsid w:val="00A94613"/>
    <w:rsid w:val="00A94C9E"/>
    <w:rsid w:val="00A9534D"/>
    <w:rsid w:val="00A96F1A"/>
    <w:rsid w:val="00AA0233"/>
    <w:rsid w:val="00AA1100"/>
    <w:rsid w:val="00AA11E2"/>
    <w:rsid w:val="00AA203F"/>
    <w:rsid w:val="00AA25DB"/>
    <w:rsid w:val="00AA2FF5"/>
    <w:rsid w:val="00AA32F2"/>
    <w:rsid w:val="00AA4A3E"/>
    <w:rsid w:val="00AA6F78"/>
    <w:rsid w:val="00AA75C6"/>
    <w:rsid w:val="00AA7C1A"/>
    <w:rsid w:val="00AB0293"/>
    <w:rsid w:val="00AB0BA4"/>
    <w:rsid w:val="00AB1D03"/>
    <w:rsid w:val="00AB1E8F"/>
    <w:rsid w:val="00AB2D4D"/>
    <w:rsid w:val="00AB6323"/>
    <w:rsid w:val="00AB76EA"/>
    <w:rsid w:val="00AB7A0F"/>
    <w:rsid w:val="00AB7AB8"/>
    <w:rsid w:val="00AB7C35"/>
    <w:rsid w:val="00AB7DD1"/>
    <w:rsid w:val="00AB7EEF"/>
    <w:rsid w:val="00AC0DC7"/>
    <w:rsid w:val="00AC12BF"/>
    <w:rsid w:val="00AC2C6D"/>
    <w:rsid w:val="00AC2D76"/>
    <w:rsid w:val="00AC47CF"/>
    <w:rsid w:val="00AC4D83"/>
    <w:rsid w:val="00AC5CEC"/>
    <w:rsid w:val="00AC64A7"/>
    <w:rsid w:val="00AC75C3"/>
    <w:rsid w:val="00AC7894"/>
    <w:rsid w:val="00AD1B14"/>
    <w:rsid w:val="00AD1D08"/>
    <w:rsid w:val="00AD324F"/>
    <w:rsid w:val="00AD482D"/>
    <w:rsid w:val="00AD555C"/>
    <w:rsid w:val="00AD67F1"/>
    <w:rsid w:val="00AE0E96"/>
    <w:rsid w:val="00AE13D5"/>
    <w:rsid w:val="00AE1860"/>
    <w:rsid w:val="00AE1B7F"/>
    <w:rsid w:val="00AE2311"/>
    <w:rsid w:val="00AE2CDC"/>
    <w:rsid w:val="00AE3CBC"/>
    <w:rsid w:val="00AE50FB"/>
    <w:rsid w:val="00AE60F9"/>
    <w:rsid w:val="00AE6CD2"/>
    <w:rsid w:val="00AE7B6F"/>
    <w:rsid w:val="00AF0084"/>
    <w:rsid w:val="00AF0320"/>
    <w:rsid w:val="00AF080B"/>
    <w:rsid w:val="00AF0C36"/>
    <w:rsid w:val="00AF1151"/>
    <w:rsid w:val="00AF13AF"/>
    <w:rsid w:val="00AF1CB9"/>
    <w:rsid w:val="00AF22F8"/>
    <w:rsid w:val="00AF2F21"/>
    <w:rsid w:val="00AF3637"/>
    <w:rsid w:val="00AF4984"/>
    <w:rsid w:val="00AF4F85"/>
    <w:rsid w:val="00AF5182"/>
    <w:rsid w:val="00AF6B88"/>
    <w:rsid w:val="00B00BC7"/>
    <w:rsid w:val="00B00F77"/>
    <w:rsid w:val="00B01FD4"/>
    <w:rsid w:val="00B043A6"/>
    <w:rsid w:val="00B04A13"/>
    <w:rsid w:val="00B0644C"/>
    <w:rsid w:val="00B07906"/>
    <w:rsid w:val="00B106EC"/>
    <w:rsid w:val="00B109C2"/>
    <w:rsid w:val="00B10B00"/>
    <w:rsid w:val="00B10E1F"/>
    <w:rsid w:val="00B12FF5"/>
    <w:rsid w:val="00B1320F"/>
    <w:rsid w:val="00B14DA7"/>
    <w:rsid w:val="00B153A0"/>
    <w:rsid w:val="00B16EC1"/>
    <w:rsid w:val="00B17E46"/>
    <w:rsid w:val="00B22C67"/>
    <w:rsid w:val="00B22E79"/>
    <w:rsid w:val="00B23004"/>
    <w:rsid w:val="00B25C06"/>
    <w:rsid w:val="00B27174"/>
    <w:rsid w:val="00B2727B"/>
    <w:rsid w:val="00B27AA4"/>
    <w:rsid w:val="00B306C6"/>
    <w:rsid w:val="00B3238A"/>
    <w:rsid w:val="00B3254E"/>
    <w:rsid w:val="00B32A6D"/>
    <w:rsid w:val="00B32D02"/>
    <w:rsid w:val="00B337A9"/>
    <w:rsid w:val="00B33A78"/>
    <w:rsid w:val="00B34CF2"/>
    <w:rsid w:val="00B351BC"/>
    <w:rsid w:val="00B36120"/>
    <w:rsid w:val="00B37ED7"/>
    <w:rsid w:val="00B43182"/>
    <w:rsid w:val="00B440DB"/>
    <w:rsid w:val="00B45A10"/>
    <w:rsid w:val="00B501AD"/>
    <w:rsid w:val="00B516C2"/>
    <w:rsid w:val="00B5291F"/>
    <w:rsid w:val="00B53D5A"/>
    <w:rsid w:val="00B53D75"/>
    <w:rsid w:val="00B54630"/>
    <w:rsid w:val="00B54D2F"/>
    <w:rsid w:val="00B5510D"/>
    <w:rsid w:val="00B553FB"/>
    <w:rsid w:val="00B556ED"/>
    <w:rsid w:val="00B571A6"/>
    <w:rsid w:val="00B576FE"/>
    <w:rsid w:val="00B61364"/>
    <w:rsid w:val="00B627B2"/>
    <w:rsid w:val="00B631AC"/>
    <w:rsid w:val="00B645BF"/>
    <w:rsid w:val="00B65DAD"/>
    <w:rsid w:val="00B67ECB"/>
    <w:rsid w:val="00B712B2"/>
    <w:rsid w:val="00B7218F"/>
    <w:rsid w:val="00B723F9"/>
    <w:rsid w:val="00B73348"/>
    <w:rsid w:val="00B740CE"/>
    <w:rsid w:val="00B77156"/>
    <w:rsid w:val="00B77291"/>
    <w:rsid w:val="00B80DB1"/>
    <w:rsid w:val="00B845AC"/>
    <w:rsid w:val="00B867B8"/>
    <w:rsid w:val="00B869CE"/>
    <w:rsid w:val="00B874FD"/>
    <w:rsid w:val="00B912FF"/>
    <w:rsid w:val="00B92035"/>
    <w:rsid w:val="00B943A5"/>
    <w:rsid w:val="00B9490C"/>
    <w:rsid w:val="00B95219"/>
    <w:rsid w:val="00B96071"/>
    <w:rsid w:val="00B96513"/>
    <w:rsid w:val="00B97BBE"/>
    <w:rsid w:val="00BA17C0"/>
    <w:rsid w:val="00BA1EF9"/>
    <w:rsid w:val="00BA201C"/>
    <w:rsid w:val="00BA2148"/>
    <w:rsid w:val="00BA7A0F"/>
    <w:rsid w:val="00BA7E9C"/>
    <w:rsid w:val="00BB2286"/>
    <w:rsid w:val="00BB2687"/>
    <w:rsid w:val="00BB3721"/>
    <w:rsid w:val="00BB396D"/>
    <w:rsid w:val="00BB4D4F"/>
    <w:rsid w:val="00BB5125"/>
    <w:rsid w:val="00BB5300"/>
    <w:rsid w:val="00BB564B"/>
    <w:rsid w:val="00BB629A"/>
    <w:rsid w:val="00BC03FA"/>
    <w:rsid w:val="00BC1C7F"/>
    <w:rsid w:val="00BC25EF"/>
    <w:rsid w:val="00BC30AA"/>
    <w:rsid w:val="00BC46CA"/>
    <w:rsid w:val="00BC7110"/>
    <w:rsid w:val="00BC7EDD"/>
    <w:rsid w:val="00BD1818"/>
    <w:rsid w:val="00BD2BF8"/>
    <w:rsid w:val="00BD2D7C"/>
    <w:rsid w:val="00BD3A18"/>
    <w:rsid w:val="00BE0C8F"/>
    <w:rsid w:val="00BE326D"/>
    <w:rsid w:val="00BE3BE3"/>
    <w:rsid w:val="00BE52BC"/>
    <w:rsid w:val="00BE599D"/>
    <w:rsid w:val="00BE5B0A"/>
    <w:rsid w:val="00BE6F97"/>
    <w:rsid w:val="00BF18F2"/>
    <w:rsid w:val="00BF1DF3"/>
    <w:rsid w:val="00BF2F05"/>
    <w:rsid w:val="00BF3CFB"/>
    <w:rsid w:val="00BF3E5E"/>
    <w:rsid w:val="00BF5353"/>
    <w:rsid w:val="00BF5B2F"/>
    <w:rsid w:val="00BF6F07"/>
    <w:rsid w:val="00C01C5E"/>
    <w:rsid w:val="00C01E39"/>
    <w:rsid w:val="00C01FEA"/>
    <w:rsid w:val="00C023B4"/>
    <w:rsid w:val="00C041E9"/>
    <w:rsid w:val="00C04E87"/>
    <w:rsid w:val="00C109A1"/>
    <w:rsid w:val="00C116D0"/>
    <w:rsid w:val="00C12829"/>
    <w:rsid w:val="00C12BF3"/>
    <w:rsid w:val="00C16198"/>
    <w:rsid w:val="00C1797C"/>
    <w:rsid w:val="00C23B75"/>
    <w:rsid w:val="00C244FC"/>
    <w:rsid w:val="00C24A5B"/>
    <w:rsid w:val="00C24FD2"/>
    <w:rsid w:val="00C26AD3"/>
    <w:rsid w:val="00C276F9"/>
    <w:rsid w:val="00C30AAA"/>
    <w:rsid w:val="00C30C3F"/>
    <w:rsid w:val="00C34869"/>
    <w:rsid w:val="00C37F6D"/>
    <w:rsid w:val="00C40FA0"/>
    <w:rsid w:val="00C42859"/>
    <w:rsid w:val="00C44758"/>
    <w:rsid w:val="00C47786"/>
    <w:rsid w:val="00C47B1D"/>
    <w:rsid w:val="00C508C1"/>
    <w:rsid w:val="00C51DDE"/>
    <w:rsid w:val="00C52B7B"/>
    <w:rsid w:val="00C55F71"/>
    <w:rsid w:val="00C6124C"/>
    <w:rsid w:val="00C6125E"/>
    <w:rsid w:val="00C61B3C"/>
    <w:rsid w:val="00C628DC"/>
    <w:rsid w:val="00C62A48"/>
    <w:rsid w:val="00C62BFE"/>
    <w:rsid w:val="00C6519A"/>
    <w:rsid w:val="00C651E1"/>
    <w:rsid w:val="00C65398"/>
    <w:rsid w:val="00C657D4"/>
    <w:rsid w:val="00C6667A"/>
    <w:rsid w:val="00C700C6"/>
    <w:rsid w:val="00C71DA7"/>
    <w:rsid w:val="00C73437"/>
    <w:rsid w:val="00C739FD"/>
    <w:rsid w:val="00C73EF0"/>
    <w:rsid w:val="00C7505C"/>
    <w:rsid w:val="00C750C3"/>
    <w:rsid w:val="00C7577C"/>
    <w:rsid w:val="00C75786"/>
    <w:rsid w:val="00C80628"/>
    <w:rsid w:val="00C80B79"/>
    <w:rsid w:val="00C81145"/>
    <w:rsid w:val="00C8162E"/>
    <w:rsid w:val="00C84AFB"/>
    <w:rsid w:val="00C84F7F"/>
    <w:rsid w:val="00C85F85"/>
    <w:rsid w:val="00C865E8"/>
    <w:rsid w:val="00C86B4F"/>
    <w:rsid w:val="00C90078"/>
    <w:rsid w:val="00C95ECA"/>
    <w:rsid w:val="00C95FA1"/>
    <w:rsid w:val="00C9783F"/>
    <w:rsid w:val="00C9790E"/>
    <w:rsid w:val="00C97CD5"/>
    <w:rsid w:val="00C97FEA"/>
    <w:rsid w:val="00CA17B9"/>
    <w:rsid w:val="00CA1878"/>
    <w:rsid w:val="00CA1D66"/>
    <w:rsid w:val="00CA3614"/>
    <w:rsid w:val="00CA50B9"/>
    <w:rsid w:val="00CB63B3"/>
    <w:rsid w:val="00CB6B60"/>
    <w:rsid w:val="00CB6BD5"/>
    <w:rsid w:val="00CB7011"/>
    <w:rsid w:val="00CB7DC8"/>
    <w:rsid w:val="00CC0770"/>
    <w:rsid w:val="00CC131B"/>
    <w:rsid w:val="00CC208A"/>
    <w:rsid w:val="00CC23DF"/>
    <w:rsid w:val="00CC2604"/>
    <w:rsid w:val="00CC4710"/>
    <w:rsid w:val="00CC4A8D"/>
    <w:rsid w:val="00CD091A"/>
    <w:rsid w:val="00CD09CB"/>
    <w:rsid w:val="00CD4994"/>
    <w:rsid w:val="00CD4D1D"/>
    <w:rsid w:val="00CD70CC"/>
    <w:rsid w:val="00CE1B57"/>
    <w:rsid w:val="00CE2D58"/>
    <w:rsid w:val="00CE3926"/>
    <w:rsid w:val="00CE47AD"/>
    <w:rsid w:val="00CE7D34"/>
    <w:rsid w:val="00CF314F"/>
    <w:rsid w:val="00CF3B9D"/>
    <w:rsid w:val="00CF4CA4"/>
    <w:rsid w:val="00CF5DF8"/>
    <w:rsid w:val="00CF5F34"/>
    <w:rsid w:val="00CF6F5E"/>
    <w:rsid w:val="00CF7143"/>
    <w:rsid w:val="00CF7729"/>
    <w:rsid w:val="00CF775E"/>
    <w:rsid w:val="00D01BFF"/>
    <w:rsid w:val="00D0408A"/>
    <w:rsid w:val="00D11EAF"/>
    <w:rsid w:val="00D1297E"/>
    <w:rsid w:val="00D131AE"/>
    <w:rsid w:val="00D13E24"/>
    <w:rsid w:val="00D14B45"/>
    <w:rsid w:val="00D168DC"/>
    <w:rsid w:val="00D17925"/>
    <w:rsid w:val="00D204EF"/>
    <w:rsid w:val="00D20655"/>
    <w:rsid w:val="00D2200B"/>
    <w:rsid w:val="00D2304A"/>
    <w:rsid w:val="00D230FD"/>
    <w:rsid w:val="00D25406"/>
    <w:rsid w:val="00D25C79"/>
    <w:rsid w:val="00D2609B"/>
    <w:rsid w:val="00D27F1E"/>
    <w:rsid w:val="00D3018A"/>
    <w:rsid w:val="00D3068A"/>
    <w:rsid w:val="00D30CBB"/>
    <w:rsid w:val="00D31598"/>
    <w:rsid w:val="00D32D5C"/>
    <w:rsid w:val="00D33416"/>
    <w:rsid w:val="00D33567"/>
    <w:rsid w:val="00D3363B"/>
    <w:rsid w:val="00D343C2"/>
    <w:rsid w:val="00D3683E"/>
    <w:rsid w:val="00D36F9D"/>
    <w:rsid w:val="00D37420"/>
    <w:rsid w:val="00D37D23"/>
    <w:rsid w:val="00D37D36"/>
    <w:rsid w:val="00D41C66"/>
    <w:rsid w:val="00D4272B"/>
    <w:rsid w:val="00D44D67"/>
    <w:rsid w:val="00D44E8E"/>
    <w:rsid w:val="00D462BD"/>
    <w:rsid w:val="00D47498"/>
    <w:rsid w:val="00D50276"/>
    <w:rsid w:val="00D53A9B"/>
    <w:rsid w:val="00D5560D"/>
    <w:rsid w:val="00D5595B"/>
    <w:rsid w:val="00D573AD"/>
    <w:rsid w:val="00D611A1"/>
    <w:rsid w:val="00D61C1F"/>
    <w:rsid w:val="00D63289"/>
    <w:rsid w:val="00D63D5D"/>
    <w:rsid w:val="00D649C5"/>
    <w:rsid w:val="00D64B7F"/>
    <w:rsid w:val="00D675F8"/>
    <w:rsid w:val="00D70371"/>
    <w:rsid w:val="00D71055"/>
    <w:rsid w:val="00D72160"/>
    <w:rsid w:val="00D72ACA"/>
    <w:rsid w:val="00D731C4"/>
    <w:rsid w:val="00D75707"/>
    <w:rsid w:val="00D7651E"/>
    <w:rsid w:val="00D81237"/>
    <w:rsid w:val="00D81E15"/>
    <w:rsid w:val="00D82261"/>
    <w:rsid w:val="00D82A0B"/>
    <w:rsid w:val="00D8343C"/>
    <w:rsid w:val="00D843B3"/>
    <w:rsid w:val="00D906E6"/>
    <w:rsid w:val="00D913D5"/>
    <w:rsid w:val="00D91491"/>
    <w:rsid w:val="00D917EC"/>
    <w:rsid w:val="00D9218E"/>
    <w:rsid w:val="00D9344D"/>
    <w:rsid w:val="00D948C7"/>
    <w:rsid w:val="00D94F64"/>
    <w:rsid w:val="00D9503C"/>
    <w:rsid w:val="00D97A07"/>
    <w:rsid w:val="00DA0825"/>
    <w:rsid w:val="00DA1000"/>
    <w:rsid w:val="00DA1BFF"/>
    <w:rsid w:val="00DA3CAD"/>
    <w:rsid w:val="00DA3FB0"/>
    <w:rsid w:val="00DA40C9"/>
    <w:rsid w:val="00DA50AB"/>
    <w:rsid w:val="00DA62DB"/>
    <w:rsid w:val="00DA670D"/>
    <w:rsid w:val="00DB0B56"/>
    <w:rsid w:val="00DB2094"/>
    <w:rsid w:val="00DB5538"/>
    <w:rsid w:val="00DB5ED6"/>
    <w:rsid w:val="00DC0E4F"/>
    <w:rsid w:val="00DC2916"/>
    <w:rsid w:val="00DC6842"/>
    <w:rsid w:val="00DD02F3"/>
    <w:rsid w:val="00DD22B0"/>
    <w:rsid w:val="00DD2AA0"/>
    <w:rsid w:val="00DD302B"/>
    <w:rsid w:val="00DD3221"/>
    <w:rsid w:val="00DD3723"/>
    <w:rsid w:val="00DD4824"/>
    <w:rsid w:val="00DD4D7B"/>
    <w:rsid w:val="00DD4DFC"/>
    <w:rsid w:val="00DD5ABA"/>
    <w:rsid w:val="00DD5AFD"/>
    <w:rsid w:val="00DD5F88"/>
    <w:rsid w:val="00DD64FF"/>
    <w:rsid w:val="00DD7F0D"/>
    <w:rsid w:val="00DE1271"/>
    <w:rsid w:val="00DE1842"/>
    <w:rsid w:val="00DE438C"/>
    <w:rsid w:val="00DE5916"/>
    <w:rsid w:val="00DE5FA1"/>
    <w:rsid w:val="00DE6CA3"/>
    <w:rsid w:val="00DE6EE6"/>
    <w:rsid w:val="00DE731B"/>
    <w:rsid w:val="00DE79F8"/>
    <w:rsid w:val="00DF0EE8"/>
    <w:rsid w:val="00DF35A0"/>
    <w:rsid w:val="00DF367E"/>
    <w:rsid w:val="00DF3C2E"/>
    <w:rsid w:val="00DF4071"/>
    <w:rsid w:val="00DF7CAD"/>
    <w:rsid w:val="00DF7E44"/>
    <w:rsid w:val="00E007BA"/>
    <w:rsid w:val="00E02003"/>
    <w:rsid w:val="00E038BC"/>
    <w:rsid w:val="00E05122"/>
    <w:rsid w:val="00E05528"/>
    <w:rsid w:val="00E05CFF"/>
    <w:rsid w:val="00E06DC1"/>
    <w:rsid w:val="00E07216"/>
    <w:rsid w:val="00E073EA"/>
    <w:rsid w:val="00E1502C"/>
    <w:rsid w:val="00E15FC5"/>
    <w:rsid w:val="00E21223"/>
    <w:rsid w:val="00E21A16"/>
    <w:rsid w:val="00E21CEE"/>
    <w:rsid w:val="00E22257"/>
    <w:rsid w:val="00E224FC"/>
    <w:rsid w:val="00E2306D"/>
    <w:rsid w:val="00E2334E"/>
    <w:rsid w:val="00E24C21"/>
    <w:rsid w:val="00E25103"/>
    <w:rsid w:val="00E2576F"/>
    <w:rsid w:val="00E2577C"/>
    <w:rsid w:val="00E25D99"/>
    <w:rsid w:val="00E26C9B"/>
    <w:rsid w:val="00E27149"/>
    <w:rsid w:val="00E31763"/>
    <w:rsid w:val="00E322C0"/>
    <w:rsid w:val="00E33C73"/>
    <w:rsid w:val="00E34366"/>
    <w:rsid w:val="00E3565C"/>
    <w:rsid w:val="00E35C27"/>
    <w:rsid w:val="00E36539"/>
    <w:rsid w:val="00E409E4"/>
    <w:rsid w:val="00E416C8"/>
    <w:rsid w:val="00E41EDA"/>
    <w:rsid w:val="00E42707"/>
    <w:rsid w:val="00E468F1"/>
    <w:rsid w:val="00E478DE"/>
    <w:rsid w:val="00E47F2C"/>
    <w:rsid w:val="00E47F92"/>
    <w:rsid w:val="00E51C25"/>
    <w:rsid w:val="00E52962"/>
    <w:rsid w:val="00E56CCB"/>
    <w:rsid w:val="00E605CD"/>
    <w:rsid w:val="00E627AA"/>
    <w:rsid w:val="00E62EC2"/>
    <w:rsid w:val="00E633A0"/>
    <w:rsid w:val="00E64EC9"/>
    <w:rsid w:val="00E65D22"/>
    <w:rsid w:val="00E66BC3"/>
    <w:rsid w:val="00E671A6"/>
    <w:rsid w:val="00E7102A"/>
    <w:rsid w:val="00E7135B"/>
    <w:rsid w:val="00E71F3E"/>
    <w:rsid w:val="00E72443"/>
    <w:rsid w:val="00E72455"/>
    <w:rsid w:val="00E72761"/>
    <w:rsid w:val="00E72D1B"/>
    <w:rsid w:val="00E7437D"/>
    <w:rsid w:val="00E769FB"/>
    <w:rsid w:val="00E76BA7"/>
    <w:rsid w:val="00E776C8"/>
    <w:rsid w:val="00E82072"/>
    <w:rsid w:val="00E824FB"/>
    <w:rsid w:val="00E847A2"/>
    <w:rsid w:val="00E84FA2"/>
    <w:rsid w:val="00E86A3E"/>
    <w:rsid w:val="00E86F96"/>
    <w:rsid w:val="00E872FD"/>
    <w:rsid w:val="00E9012B"/>
    <w:rsid w:val="00E90EAD"/>
    <w:rsid w:val="00E91290"/>
    <w:rsid w:val="00E93860"/>
    <w:rsid w:val="00E94E4A"/>
    <w:rsid w:val="00E9633B"/>
    <w:rsid w:val="00E9785D"/>
    <w:rsid w:val="00EA018A"/>
    <w:rsid w:val="00EA1C68"/>
    <w:rsid w:val="00EA1DFA"/>
    <w:rsid w:val="00EA1EA7"/>
    <w:rsid w:val="00EA24A1"/>
    <w:rsid w:val="00EA278C"/>
    <w:rsid w:val="00EA33E8"/>
    <w:rsid w:val="00EA43F6"/>
    <w:rsid w:val="00EA555D"/>
    <w:rsid w:val="00EA6E87"/>
    <w:rsid w:val="00EA781F"/>
    <w:rsid w:val="00EB01A3"/>
    <w:rsid w:val="00EB06D9"/>
    <w:rsid w:val="00EB2C8D"/>
    <w:rsid w:val="00EB4ECF"/>
    <w:rsid w:val="00EB5758"/>
    <w:rsid w:val="00EB5D1F"/>
    <w:rsid w:val="00EB633A"/>
    <w:rsid w:val="00EB64A5"/>
    <w:rsid w:val="00EB6AA8"/>
    <w:rsid w:val="00EB6FFE"/>
    <w:rsid w:val="00EC1E7C"/>
    <w:rsid w:val="00EC58C6"/>
    <w:rsid w:val="00EC5D0B"/>
    <w:rsid w:val="00EC6FA3"/>
    <w:rsid w:val="00EC7D06"/>
    <w:rsid w:val="00ED02DD"/>
    <w:rsid w:val="00ED0C90"/>
    <w:rsid w:val="00ED2B35"/>
    <w:rsid w:val="00ED38B9"/>
    <w:rsid w:val="00ED3A9D"/>
    <w:rsid w:val="00ED4719"/>
    <w:rsid w:val="00ED5AC2"/>
    <w:rsid w:val="00ED5C80"/>
    <w:rsid w:val="00EE005B"/>
    <w:rsid w:val="00EE1AD1"/>
    <w:rsid w:val="00EE24CB"/>
    <w:rsid w:val="00EE24D1"/>
    <w:rsid w:val="00EE2AA4"/>
    <w:rsid w:val="00EE2D63"/>
    <w:rsid w:val="00EE5337"/>
    <w:rsid w:val="00EE5587"/>
    <w:rsid w:val="00EE572D"/>
    <w:rsid w:val="00EF014A"/>
    <w:rsid w:val="00EF1836"/>
    <w:rsid w:val="00EF1DE6"/>
    <w:rsid w:val="00EF31EE"/>
    <w:rsid w:val="00F0008C"/>
    <w:rsid w:val="00F00E23"/>
    <w:rsid w:val="00F01078"/>
    <w:rsid w:val="00F01905"/>
    <w:rsid w:val="00F01929"/>
    <w:rsid w:val="00F01EB9"/>
    <w:rsid w:val="00F02D7B"/>
    <w:rsid w:val="00F03B5E"/>
    <w:rsid w:val="00F03D71"/>
    <w:rsid w:val="00F05FF2"/>
    <w:rsid w:val="00F062D3"/>
    <w:rsid w:val="00F06C45"/>
    <w:rsid w:val="00F0721E"/>
    <w:rsid w:val="00F07A14"/>
    <w:rsid w:val="00F07B64"/>
    <w:rsid w:val="00F132BF"/>
    <w:rsid w:val="00F1469C"/>
    <w:rsid w:val="00F15490"/>
    <w:rsid w:val="00F17726"/>
    <w:rsid w:val="00F20B49"/>
    <w:rsid w:val="00F23D1E"/>
    <w:rsid w:val="00F2538A"/>
    <w:rsid w:val="00F25720"/>
    <w:rsid w:val="00F25E9F"/>
    <w:rsid w:val="00F26CC7"/>
    <w:rsid w:val="00F2780E"/>
    <w:rsid w:val="00F3117E"/>
    <w:rsid w:val="00F334E1"/>
    <w:rsid w:val="00F3387D"/>
    <w:rsid w:val="00F36BB1"/>
    <w:rsid w:val="00F36FA0"/>
    <w:rsid w:val="00F37E12"/>
    <w:rsid w:val="00F40C93"/>
    <w:rsid w:val="00F40E68"/>
    <w:rsid w:val="00F41698"/>
    <w:rsid w:val="00F42068"/>
    <w:rsid w:val="00F42AD3"/>
    <w:rsid w:val="00F441FE"/>
    <w:rsid w:val="00F44233"/>
    <w:rsid w:val="00F46870"/>
    <w:rsid w:val="00F476C3"/>
    <w:rsid w:val="00F509BF"/>
    <w:rsid w:val="00F50E22"/>
    <w:rsid w:val="00F51D73"/>
    <w:rsid w:val="00F52012"/>
    <w:rsid w:val="00F54273"/>
    <w:rsid w:val="00F54F5F"/>
    <w:rsid w:val="00F56482"/>
    <w:rsid w:val="00F56934"/>
    <w:rsid w:val="00F57C32"/>
    <w:rsid w:val="00F57FA6"/>
    <w:rsid w:val="00F6094A"/>
    <w:rsid w:val="00F61F97"/>
    <w:rsid w:val="00F62898"/>
    <w:rsid w:val="00F62E18"/>
    <w:rsid w:val="00F638B5"/>
    <w:rsid w:val="00F63E41"/>
    <w:rsid w:val="00F6793C"/>
    <w:rsid w:val="00F710B3"/>
    <w:rsid w:val="00F71419"/>
    <w:rsid w:val="00F7161D"/>
    <w:rsid w:val="00F71E48"/>
    <w:rsid w:val="00F71F70"/>
    <w:rsid w:val="00F74852"/>
    <w:rsid w:val="00F74B58"/>
    <w:rsid w:val="00F7533F"/>
    <w:rsid w:val="00F76C48"/>
    <w:rsid w:val="00F77D3B"/>
    <w:rsid w:val="00F80E0A"/>
    <w:rsid w:val="00F812F1"/>
    <w:rsid w:val="00F83902"/>
    <w:rsid w:val="00F83B26"/>
    <w:rsid w:val="00F91B8A"/>
    <w:rsid w:val="00F9359C"/>
    <w:rsid w:val="00F95904"/>
    <w:rsid w:val="00F95A7A"/>
    <w:rsid w:val="00F95BE4"/>
    <w:rsid w:val="00F95E89"/>
    <w:rsid w:val="00F96044"/>
    <w:rsid w:val="00F96AD3"/>
    <w:rsid w:val="00F96E4F"/>
    <w:rsid w:val="00FA0157"/>
    <w:rsid w:val="00FA056B"/>
    <w:rsid w:val="00FA22A6"/>
    <w:rsid w:val="00FA6F87"/>
    <w:rsid w:val="00FB0857"/>
    <w:rsid w:val="00FB0912"/>
    <w:rsid w:val="00FB12B7"/>
    <w:rsid w:val="00FB19AC"/>
    <w:rsid w:val="00FB233C"/>
    <w:rsid w:val="00FB248E"/>
    <w:rsid w:val="00FB38E6"/>
    <w:rsid w:val="00FB4179"/>
    <w:rsid w:val="00FB5D26"/>
    <w:rsid w:val="00FC0695"/>
    <w:rsid w:val="00FC09EF"/>
    <w:rsid w:val="00FC0DD3"/>
    <w:rsid w:val="00FC0F46"/>
    <w:rsid w:val="00FC29B2"/>
    <w:rsid w:val="00FC303B"/>
    <w:rsid w:val="00FC4D84"/>
    <w:rsid w:val="00FC64B8"/>
    <w:rsid w:val="00FC67B4"/>
    <w:rsid w:val="00FC6C68"/>
    <w:rsid w:val="00FC749B"/>
    <w:rsid w:val="00FC7588"/>
    <w:rsid w:val="00FD0EA2"/>
    <w:rsid w:val="00FD0EC8"/>
    <w:rsid w:val="00FD55DE"/>
    <w:rsid w:val="00FD70AC"/>
    <w:rsid w:val="00FE07EC"/>
    <w:rsid w:val="00FE093A"/>
    <w:rsid w:val="00FE1918"/>
    <w:rsid w:val="00FE4A89"/>
    <w:rsid w:val="00FE57F8"/>
    <w:rsid w:val="00FE682A"/>
    <w:rsid w:val="00FE6EA2"/>
    <w:rsid w:val="00FF2E46"/>
    <w:rsid w:val="00FF4AB3"/>
    <w:rsid w:val="00FF52A5"/>
    <w:rsid w:val="00FF558F"/>
    <w:rsid w:val="00FF5959"/>
    <w:rsid w:val="00FF73F7"/>
    <w:rsid w:val="00FF770A"/>
    <w:rsid w:val="00FF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419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qFormat="1"/>
    <w:lsdException w:name="heading 9" w:qFormat="1"/>
    <w:lsdException w:name="toc 1" w:uiPriority="0"/>
    <w:lsdException w:name="toc 2" w:uiPriority="39"/>
    <w:lsdException w:name="toc 3" w:uiPriority="0"/>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B5E"/>
    <w:pPr>
      <w:spacing w:line="240" w:lineRule="atLeast"/>
    </w:pPr>
    <w:rPr>
      <w:rFonts w:ascii="Garamond" w:hAnsi="Garamond"/>
      <w:sz w:val="24"/>
    </w:rPr>
  </w:style>
  <w:style w:type="paragraph" w:styleId="Heading1">
    <w:name w:val="heading 1"/>
    <w:aliases w:val="H1-Chap. Head"/>
    <w:basedOn w:val="Normal"/>
    <w:link w:val="Heading1Char"/>
    <w:qFormat/>
    <w:rsid w:val="00533B5E"/>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8B6333"/>
    <w:pPr>
      <w:spacing w:after="240"/>
      <w:ind w:left="1152" w:hanging="1152"/>
      <w:jc w:val="left"/>
      <w:outlineLvl w:val="1"/>
    </w:pPr>
    <w:rPr>
      <w:sz w:val="32"/>
    </w:rPr>
  </w:style>
  <w:style w:type="paragraph" w:styleId="Heading3">
    <w:name w:val="heading 3"/>
    <w:aliases w:val="H3-Sec. Head"/>
    <w:basedOn w:val="Heading1"/>
    <w:next w:val="L1-FlLSp12"/>
    <w:link w:val="Heading3Char"/>
    <w:qFormat/>
    <w:rsid w:val="00533B5E"/>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533B5E"/>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533B5E"/>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533B5E"/>
    <w:pPr>
      <w:keepNext/>
      <w:spacing w:before="240"/>
      <w:jc w:val="center"/>
      <w:outlineLvl w:val="5"/>
    </w:pPr>
    <w:rPr>
      <w:b/>
      <w:caps/>
    </w:rPr>
  </w:style>
  <w:style w:type="paragraph" w:styleId="Heading7">
    <w:name w:val="heading 7"/>
    <w:basedOn w:val="Normal"/>
    <w:next w:val="Normal"/>
    <w:link w:val="Heading7Char"/>
    <w:qFormat/>
    <w:rsid w:val="00533B5E"/>
    <w:pPr>
      <w:spacing w:before="240" w:after="60"/>
      <w:outlineLvl w:val="6"/>
    </w:pPr>
  </w:style>
  <w:style w:type="paragraph" w:styleId="Heading8">
    <w:name w:val="heading 8"/>
    <w:aliases w:val="Heading 8 (business proposal only)"/>
    <w:basedOn w:val="Normal"/>
    <w:next w:val="Normal"/>
    <w:link w:val="Heading8Char"/>
    <w:uiPriority w:val="99"/>
    <w:qFormat/>
    <w:rsid w:val="006E3562"/>
    <w:pPr>
      <w:tabs>
        <w:tab w:val="left" w:pos="432"/>
      </w:tabs>
      <w:spacing w:line="480" w:lineRule="auto"/>
      <w:ind w:firstLine="432"/>
      <w:jc w:val="both"/>
      <w:outlineLvl w:val="7"/>
    </w:pPr>
    <w:rPr>
      <w:szCs w:val="24"/>
    </w:rPr>
  </w:style>
  <w:style w:type="paragraph" w:styleId="Heading9">
    <w:name w:val="heading 9"/>
    <w:aliases w:val="Heading 9 (business proposal only)"/>
    <w:basedOn w:val="Normal"/>
    <w:next w:val="Normal"/>
    <w:link w:val="Heading9Char"/>
    <w:uiPriority w:val="99"/>
    <w:qFormat/>
    <w:rsid w:val="006E3562"/>
    <w:pPr>
      <w:tabs>
        <w:tab w:val="left" w:pos="432"/>
      </w:tabs>
      <w:spacing w:line="480" w:lineRule="auto"/>
      <w:ind w:firstLine="432"/>
      <w:jc w:val="both"/>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
    <w:link w:val="Heading1"/>
    <w:locked/>
    <w:rsid w:val="00533B5E"/>
    <w:rPr>
      <w:rFonts w:ascii="Franklin Gothic Medium" w:hAnsi="Franklin Gothic Medium"/>
      <w:b/>
      <w:color w:val="324162"/>
      <w:sz w:val="40"/>
    </w:rPr>
  </w:style>
  <w:style w:type="paragraph" w:customStyle="1" w:styleId="L1-FlLSp12">
    <w:name w:val="L1-FlL Sp&amp;1/2"/>
    <w:basedOn w:val="Normal"/>
    <w:link w:val="L1-FlLSp12Char"/>
    <w:rsid w:val="00533B5E"/>
    <w:pPr>
      <w:tabs>
        <w:tab w:val="left" w:pos="1152"/>
      </w:tabs>
      <w:spacing w:line="480" w:lineRule="auto"/>
    </w:pPr>
  </w:style>
  <w:style w:type="character" w:customStyle="1" w:styleId="L1-FlLSp12Char">
    <w:name w:val="L1-FlL Sp&amp;1/2 Char"/>
    <w:link w:val="L1-FlLSp12"/>
    <w:rsid w:val="008C7480"/>
    <w:rPr>
      <w:rFonts w:ascii="Garamond" w:hAnsi="Garamond"/>
      <w:sz w:val="24"/>
    </w:rPr>
  </w:style>
  <w:style w:type="character" w:customStyle="1" w:styleId="Heading2Char">
    <w:name w:val="Heading 2 Char"/>
    <w:aliases w:val="H2-Sec. Head Char"/>
    <w:link w:val="Heading2"/>
    <w:locked/>
    <w:rsid w:val="008B6333"/>
    <w:rPr>
      <w:rFonts w:ascii="Franklin Gothic Medium" w:hAnsi="Franklin Gothic Medium"/>
      <w:b/>
      <w:color w:val="324162"/>
      <w:sz w:val="32"/>
    </w:rPr>
  </w:style>
  <w:style w:type="character" w:customStyle="1" w:styleId="Heading3Char">
    <w:name w:val="Heading 3 Char"/>
    <w:aliases w:val="H3-Sec. Head Char"/>
    <w:link w:val="Heading3"/>
    <w:locked/>
    <w:rsid w:val="00533B5E"/>
    <w:rPr>
      <w:rFonts w:ascii="Franklin Gothic Medium" w:hAnsi="Franklin Gothic Medium"/>
      <w:b/>
      <w:color w:val="324162"/>
      <w:sz w:val="28"/>
    </w:rPr>
  </w:style>
  <w:style w:type="character" w:customStyle="1" w:styleId="Heading4Char">
    <w:name w:val="Heading 4 Char"/>
    <w:aliases w:val="H4-Sec. Head Char"/>
    <w:link w:val="Heading4"/>
    <w:locked/>
    <w:rsid w:val="00533B5E"/>
    <w:rPr>
      <w:rFonts w:ascii="Franklin Gothic Medium" w:hAnsi="Franklin Gothic Medium"/>
      <w:b/>
      <w:sz w:val="24"/>
    </w:rPr>
  </w:style>
  <w:style w:type="character" w:customStyle="1" w:styleId="Heading5Char">
    <w:name w:val="Heading 5 Char"/>
    <w:aliases w:val="H5-Sec. Head Char"/>
    <w:link w:val="Heading5"/>
    <w:locked/>
    <w:rsid w:val="00533B5E"/>
    <w:rPr>
      <w:rFonts w:ascii="Franklin Gothic Medium" w:hAnsi="Franklin Gothic Medium"/>
      <w:b/>
      <w:i/>
      <w:sz w:val="24"/>
    </w:rPr>
  </w:style>
  <w:style w:type="character" w:customStyle="1" w:styleId="Heading6Char">
    <w:name w:val="Heading 6 Char"/>
    <w:link w:val="Heading6"/>
    <w:locked/>
    <w:rsid w:val="006E3562"/>
    <w:rPr>
      <w:rFonts w:ascii="Garamond" w:hAnsi="Garamond"/>
      <w:b/>
      <w:caps/>
      <w:sz w:val="24"/>
    </w:rPr>
  </w:style>
  <w:style w:type="character" w:customStyle="1" w:styleId="Heading7Char">
    <w:name w:val="Heading 7 Char"/>
    <w:link w:val="Heading7"/>
    <w:locked/>
    <w:rsid w:val="006E3562"/>
    <w:rPr>
      <w:rFonts w:ascii="Garamond" w:hAnsi="Garamond"/>
      <w:sz w:val="24"/>
    </w:rPr>
  </w:style>
  <w:style w:type="character" w:customStyle="1" w:styleId="Heading8Char">
    <w:name w:val="Heading 8 Char"/>
    <w:aliases w:val="Heading 8 (business proposal only) Char"/>
    <w:link w:val="Heading8"/>
    <w:uiPriority w:val="99"/>
    <w:rsid w:val="006E3562"/>
    <w:rPr>
      <w:rFonts w:ascii="Garamond" w:hAnsi="Garamond"/>
      <w:sz w:val="24"/>
      <w:szCs w:val="24"/>
    </w:rPr>
  </w:style>
  <w:style w:type="character" w:customStyle="1" w:styleId="Heading9Char">
    <w:name w:val="Heading 9 Char"/>
    <w:aliases w:val="Heading 9 (business proposal only) Char"/>
    <w:link w:val="Heading9"/>
    <w:uiPriority w:val="99"/>
    <w:rsid w:val="006E3562"/>
    <w:rPr>
      <w:rFonts w:ascii="Garamond" w:hAnsi="Garamond"/>
      <w:sz w:val="24"/>
      <w:szCs w:val="24"/>
    </w:rPr>
  </w:style>
  <w:style w:type="paragraph" w:customStyle="1" w:styleId="C1-CtrBoldHd">
    <w:name w:val="C1-Ctr BoldHd"/>
    <w:rsid w:val="00533B5E"/>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533B5E"/>
    <w:pPr>
      <w:keepLines/>
      <w:jc w:val="center"/>
    </w:pPr>
  </w:style>
  <w:style w:type="paragraph" w:customStyle="1" w:styleId="C3-CtrSp12">
    <w:name w:val="C3-Ctr Sp&amp;1/2"/>
    <w:basedOn w:val="Normal"/>
    <w:rsid w:val="00533B5E"/>
    <w:pPr>
      <w:keepLines/>
      <w:spacing w:line="360" w:lineRule="atLeast"/>
      <w:jc w:val="center"/>
    </w:pPr>
  </w:style>
  <w:style w:type="paragraph" w:customStyle="1" w:styleId="E1-Equation">
    <w:name w:val="E1-Equation"/>
    <w:basedOn w:val="Normal"/>
    <w:rsid w:val="00533B5E"/>
    <w:pPr>
      <w:tabs>
        <w:tab w:val="center" w:pos="4680"/>
        <w:tab w:val="right" w:pos="9360"/>
      </w:tabs>
    </w:pPr>
  </w:style>
  <w:style w:type="paragraph" w:customStyle="1" w:styleId="E2-Equation">
    <w:name w:val="E2-Equation"/>
    <w:basedOn w:val="Normal"/>
    <w:rsid w:val="00533B5E"/>
    <w:pPr>
      <w:tabs>
        <w:tab w:val="right" w:pos="1152"/>
        <w:tab w:val="center" w:pos="1440"/>
        <w:tab w:val="left" w:pos="1728"/>
      </w:tabs>
      <w:ind w:left="1728" w:hanging="1728"/>
    </w:pPr>
  </w:style>
  <w:style w:type="paragraph" w:styleId="Footer">
    <w:name w:val="footer"/>
    <w:basedOn w:val="Normal"/>
    <w:link w:val="FooterChar"/>
    <w:rsid w:val="00533B5E"/>
  </w:style>
  <w:style w:type="character" w:customStyle="1" w:styleId="FooterChar">
    <w:name w:val="Footer Char"/>
    <w:link w:val="Footer"/>
    <w:locked/>
    <w:rsid w:val="006E3562"/>
    <w:rPr>
      <w:rFonts w:ascii="Garamond" w:hAnsi="Garamond"/>
      <w:sz w:val="24"/>
    </w:rPr>
  </w:style>
  <w:style w:type="paragraph" w:styleId="BalloonText">
    <w:name w:val="Balloon Text"/>
    <w:basedOn w:val="Normal"/>
    <w:link w:val="BalloonTextChar"/>
    <w:uiPriority w:val="99"/>
    <w:semiHidden/>
    <w:unhideWhenUsed/>
    <w:rsid w:val="00533B5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33B5E"/>
    <w:rPr>
      <w:rFonts w:ascii="Tahoma" w:hAnsi="Tahoma" w:cs="Tahoma"/>
      <w:sz w:val="16"/>
      <w:szCs w:val="16"/>
    </w:rPr>
  </w:style>
  <w:style w:type="paragraph" w:styleId="Header">
    <w:name w:val="header"/>
    <w:basedOn w:val="Normal"/>
    <w:link w:val="HeaderChar"/>
    <w:rsid w:val="00533B5E"/>
    <w:rPr>
      <w:sz w:val="20"/>
    </w:rPr>
  </w:style>
  <w:style w:type="character" w:customStyle="1" w:styleId="HeaderChar">
    <w:name w:val="Header Char"/>
    <w:link w:val="Header"/>
    <w:locked/>
    <w:rsid w:val="006E3562"/>
    <w:rPr>
      <w:rFonts w:ascii="Garamond" w:hAnsi="Garamond"/>
    </w:rPr>
  </w:style>
  <w:style w:type="paragraph" w:customStyle="1" w:styleId="N0-FlLftBullet">
    <w:name w:val="N0-Fl Lft Bullet"/>
    <w:basedOn w:val="Normal"/>
    <w:rsid w:val="00533B5E"/>
    <w:pPr>
      <w:tabs>
        <w:tab w:val="left" w:pos="576"/>
      </w:tabs>
      <w:spacing w:after="240"/>
      <w:ind w:left="576" w:hanging="576"/>
    </w:pPr>
  </w:style>
  <w:style w:type="paragraph" w:customStyle="1" w:styleId="N1-1stBullet">
    <w:name w:val="N1-1st Bullet"/>
    <w:basedOn w:val="Normal"/>
    <w:link w:val="N1-1stBulletChar"/>
    <w:rsid w:val="000E2D19"/>
    <w:pPr>
      <w:numPr>
        <w:numId w:val="1"/>
      </w:numPr>
      <w:spacing w:after="240" w:line="360" w:lineRule="auto"/>
    </w:pPr>
  </w:style>
  <w:style w:type="character" w:customStyle="1" w:styleId="N1-1stBulletChar">
    <w:name w:val="N1-1st Bullet Char"/>
    <w:link w:val="N1-1stBullet"/>
    <w:rsid w:val="000E2D19"/>
    <w:rPr>
      <w:rFonts w:ascii="Garamond" w:hAnsi="Garamond"/>
      <w:sz w:val="24"/>
    </w:rPr>
  </w:style>
  <w:style w:type="paragraph" w:customStyle="1" w:styleId="N2-2ndBullet">
    <w:name w:val="N2-2nd Bullet"/>
    <w:basedOn w:val="Normal"/>
    <w:rsid w:val="00533B5E"/>
    <w:pPr>
      <w:numPr>
        <w:numId w:val="2"/>
      </w:numPr>
      <w:spacing w:after="240"/>
    </w:pPr>
  </w:style>
  <w:style w:type="paragraph" w:customStyle="1" w:styleId="N3-3rdBullet">
    <w:name w:val="N3-3rd Bullet"/>
    <w:basedOn w:val="Normal"/>
    <w:rsid w:val="00533B5E"/>
    <w:pPr>
      <w:numPr>
        <w:numId w:val="3"/>
      </w:numPr>
      <w:spacing w:after="240"/>
    </w:pPr>
  </w:style>
  <w:style w:type="paragraph" w:customStyle="1" w:styleId="N4-4thBullet">
    <w:name w:val="N4-4th Bullet"/>
    <w:basedOn w:val="Normal"/>
    <w:rsid w:val="00533B5E"/>
    <w:pPr>
      <w:numPr>
        <w:numId w:val="4"/>
      </w:numPr>
      <w:spacing w:after="240"/>
    </w:pPr>
  </w:style>
  <w:style w:type="paragraph" w:customStyle="1" w:styleId="N5-5thBullet">
    <w:name w:val="N5-5th Bullet"/>
    <w:basedOn w:val="Normal"/>
    <w:rsid w:val="00533B5E"/>
    <w:pPr>
      <w:tabs>
        <w:tab w:val="left" w:pos="3456"/>
      </w:tabs>
      <w:spacing w:after="240"/>
      <w:ind w:left="3456" w:hanging="576"/>
    </w:pPr>
  </w:style>
  <w:style w:type="paragraph" w:customStyle="1" w:styleId="N6-DateInd">
    <w:name w:val="N6-Date Ind."/>
    <w:basedOn w:val="Normal"/>
    <w:rsid w:val="00533B5E"/>
    <w:pPr>
      <w:tabs>
        <w:tab w:val="left" w:pos="4910"/>
      </w:tabs>
      <w:ind w:left="4910"/>
    </w:pPr>
  </w:style>
  <w:style w:type="paragraph" w:customStyle="1" w:styleId="N7-3Block">
    <w:name w:val="N7-3&quot; Block"/>
    <w:basedOn w:val="Normal"/>
    <w:rsid w:val="00533B5E"/>
    <w:pPr>
      <w:tabs>
        <w:tab w:val="left" w:pos="1152"/>
      </w:tabs>
      <w:ind w:left="1152" w:right="1152"/>
    </w:pPr>
  </w:style>
  <w:style w:type="paragraph" w:customStyle="1" w:styleId="N8-QxQBlock">
    <w:name w:val="N8-QxQ Block"/>
    <w:basedOn w:val="Normal"/>
    <w:rsid w:val="00533B5E"/>
    <w:pPr>
      <w:tabs>
        <w:tab w:val="left" w:pos="1152"/>
      </w:tabs>
      <w:spacing w:after="360" w:line="360" w:lineRule="atLeast"/>
      <w:ind w:left="1152" w:hanging="1152"/>
    </w:pPr>
  </w:style>
  <w:style w:type="paragraph" w:customStyle="1" w:styleId="P1-StandPara">
    <w:name w:val="P1-Stand Para"/>
    <w:basedOn w:val="Normal"/>
    <w:link w:val="P1-StandParaChar"/>
    <w:rsid w:val="00533B5E"/>
    <w:pPr>
      <w:spacing w:line="480" w:lineRule="auto"/>
      <w:ind w:firstLine="1152"/>
    </w:pPr>
  </w:style>
  <w:style w:type="character" w:customStyle="1" w:styleId="P1-StandParaChar">
    <w:name w:val="P1-Stand Para Char"/>
    <w:link w:val="P1-StandPara"/>
    <w:locked/>
    <w:rsid w:val="006E3562"/>
    <w:rPr>
      <w:rFonts w:ascii="Garamond" w:hAnsi="Garamond"/>
      <w:sz w:val="24"/>
    </w:rPr>
  </w:style>
  <w:style w:type="paragraph" w:customStyle="1" w:styleId="Q1-BestFinQ">
    <w:name w:val="Q1-Best/Fin Q"/>
    <w:rsid w:val="00533B5E"/>
    <w:pPr>
      <w:spacing w:after="360" w:line="240" w:lineRule="atLeast"/>
      <w:ind w:left="1152" w:hanging="1152"/>
    </w:pPr>
    <w:rPr>
      <w:rFonts w:ascii="Franklin Gothic Medium" w:hAnsi="Franklin Gothic Medium"/>
      <w:b/>
      <w:color w:val="324162"/>
      <w:sz w:val="24"/>
    </w:rPr>
  </w:style>
  <w:style w:type="paragraph" w:customStyle="1" w:styleId="SH-SglSpHead">
    <w:name w:val="SH-Sgl Sp Head"/>
    <w:basedOn w:val="Heading1"/>
    <w:rsid w:val="00533B5E"/>
    <w:pPr>
      <w:tabs>
        <w:tab w:val="clear" w:pos="1152"/>
        <w:tab w:val="left" w:pos="576"/>
      </w:tabs>
      <w:spacing w:line="240" w:lineRule="atLeast"/>
      <w:ind w:left="576" w:hanging="576"/>
    </w:pPr>
    <w:rPr>
      <w:b w:val="0"/>
      <w:sz w:val="24"/>
    </w:rPr>
  </w:style>
  <w:style w:type="paragraph" w:customStyle="1" w:styleId="SL-FlLftSgl">
    <w:name w:val="SL-Fl Lft Sgl"/>
    <w:basedOn w:val="Normal"/>
    <w:rsid w:val="00533B5E"/>
  </w:style>
  <w:style w:type="paragraph" w:customStyle="1" w:styleId="SP-SglSpPara">
    <w:name w:val="SP-Sgl Sp Para"/>
    <w:basedOn w:val="Normal"/>
    <w:link w:val="SP-SglSpParaChar"/>
    <w:rsid w:val="00533B5E"/>
    <w:pPr>
      <w:tabs>
        <w:tab w:val="left" w:pos="576"/>
      </w:tabs>
      <w:ind w:firstLine="576"/>
    </w:pPr>
  </w:style>
  <w:style w:type="character" w:customStyle="1" w:styleId="SP-SglSpParaChar">
    <w:name w:val="SP-Sgl Sp Para Char"/>
    <w:link w:val="SP-SglSpPara"/>
    <w:rsid w:val="001D29F8"/>
    <w:rPr>
      <w:rFonts w:ascii="Garamond" w:hAnsi="Garamond"/>
      <w:sz w:val="24"/>
    </w:rPr>
  </w:style>
  <w:style w:type="paragraph" w:customStyle="1" w:styleId="T0-ChapPgHd">
    <w:name w:val="T0-Chap/Pg Hd"/>
    <w:basedOn w:val="Normal"/>
    <w:rsid w:val="00533B5E"/>
    <w:pPr>
      <w:tabs>
        <w:tab w:val="left" w:pos="8640"/>
      </w:tabs>
    </w:pPr>
    <w:rPr>
      <w:rFonts w:ascii="Franklin Gothic Medium" w:hAnsi="Franklin Gothic Medium"/>
      <w:u w:val="words"/>
    </w:rPr>
  </w:style>
  <w:style w:type="paragraph" w:styleId="TOC1">
    <w:name w:val="toc 1"/>
    <w:basedOn w:val="Normal"/>
    <w:rsid w:val="00533B5E"/>
    <w:pPr>
      <w:tabs>
        <w:tab w:val="left" w:pos="1440"/>
        <w:tab w:val="right" w:leader="dot" w:pos="8208"/>
        <w:tab w:val="left" w:pos="8640"/>
      </w:tabs>
      <w:ind w:left="1440" w:right="1800" w:hanging="1152"/>
    </w:pPr>
  </w:style>
  <w:style w:type="paragraph" w:styleId="TOC2">
    <w:name w:val="toc 2"/>
    <w:basedOn w:val="Normal"/>
    <w:uiPriority w:val="39"/>
    <w:rsid w:val="00533B5E"/>
    <w:pPr>
      <w:tabs>
        <w:tab w:val="left" w:pos="2160"/>
        <w:tab w:val="right" w:leader="dot" w:pos="8208"/>
        <w:tab w:val="left" w:pos="8640"/>
      </w:tabs>
      <w:ind w:left="2160" w:right="1800" w:hanging="720"/>
    </w:pPr>
    <w:rPr>
      <w:szCs w:val="22"/>
    </w:rPr>
  </w:style>
  <w:style w:type="paragraph" w:styleId="TOC3">
    <w:name w:val="toc 3"/>
    <w:basedOn w:val="Normal"/>
    <w:rsid w:val="00533B5E"/>
    <w:pPr>
      <w:tabs>
        <w:tab w:val="left" w:pos="3024"/>
        <w:tab w:val="right" w:leader="dot" w:pos="8208"/>
        <w:tab w:val="left" w:pos="8640"/>
      </w:tabs>
      <w:ind w:left="3024" w:right="1800" w:hanging="864"/>
    </w:pPr>
  </w:style>
  <w:style w:type="paragraph" w:styleId="TOC4">
    <w:name w:val="toc 4"/>
    <w:basedOn w:val="Normal"/>
    <w:rsid w:val="00533B5E"/>
    <w:pPr>
      <w:tabs>
        <w:tab w:val="left" w:pos="3888"/>
        <w:tab w:val="right" w:leader="dot" w:pos="8208"/>
        <w:tab w:val="left" w:pos="8640"/>
      </w:tabs>
      <w:ind w:left="3888" w:right="1800" w:hanging="864"/>
    </w:pPr>
  </w:style>
  <w:style w:type="paragraph" w:styleId="TOC5">
    <w:name w:val="toc 5"/>
    <w:basedOn w:val="Normal"/>
    <w:uiPriority w:val="39"/>
    <w:rsid w:val="00533B5E"/>
    <w:pPr>
      <w:tabs>
        <w:tab w:val="left" w:pos="1440"/>
        <w:tab w:val="right" w:leader="dot" w:pos="8208"/>
        <w:tab w:val="left" w:pos="8640"/>
      </w:tabs>
      <w:ind w:left="1440" w:right="1800" w:hanging="1152"/>
    </w:pPr>
  </w:style>
  <w:style w:type="paragraph" w:customStyle="1" w:styleId="TT-TableTitle">
    <w:name w:val="TT-Table Title"/>
    <w:basedOn w:val="Heading1"/>
    <w:link w:val="TT-TableTitleChar"/>
    <w:rsid w:val="00533B5E"/>
    <w:pPr>
      <w:tabs>
        <w:tab w:val="clear" w:pos="1152"/>
        <w:tab w:val="left" w:pos="1440"/>
      </w:tabs>
      <w:spacing w:line="240" w:lineRule="atLeast"/>
      <w:ind w:left="1440" w:hanging="1440"/>
      <w:jc w:val="left"/>
    </w:pPr>
    <w:rPr>
      <w:b w:val="0"/>
      <w:color w:val="auto"/>
      <w:sz w:val="22"/>
      <w:szCs w:val="24"/>
    </w:rPr>
  </w:style>
  <w:style w:type="character" w:customStyle="1" w:styleId="TT-TableTitleChar">
    <w:name w:val="TT-Table Title Char"/>
    <w:link w:val="TT-TableTitle"/>
    <w:locked/>
    <w:rsid w:val="006E3562"/>
    <w:rPr>
      <w:rFonts w:ascii="Franklin Gothic Medium" w:hAnsi="Franklin Gothic Medium"/>
      <w:sz w:val="22"/>
      <w:szCs w:val="24"/>
    </w:rPr>
  </w:style>
  <w:style w:type="paragraph" w:customStyle="1" w:styleId="R1-ResPara">
    <w:name w:val="R1-Res. Para"/>
    <w:rsid w:val="00533B5E"/>
    <w:pPr>
      <w:spacing w:line="240" w:lineRule="atLeast"/>
      <w:ind w:left="288"/>
    </w:pPr>
    <w:rPr>
      <w:rFonts w:ascii="Garamond" w:hAnsi="Garamond"/>
      <w:sz w:val="24"/>
    </w:rPr>
  </w:style>
  <w:style w:type="paragraph" w:customStyle="1" w:styleId="R2-ResBullet">
    <w:name w:val="R2-Res Bullet"/>
    <w:basedOn w:val="Normal"/>
    <w:rsid w:val="00533B5E"/>
    <w:pPr>
      <w:tabs>
        <w:tab w:val="left" w:pos="720"/>
      </w:tabs>
      <w:ind w:left="720" w:hanging="432"/>
    </w:pPr>
  </w:style>
  <w:style w:type="paragraph" w:customStyle="1" w:styleId="RF-Reference">
    <w:name w:val="RF-Reference"/>
    <w:basedOn w:val="Normal"/>
    <w:rsid w:val="00533B5E"/>
    <w:pPr>
      <w:spacing w:line="240" w:lineRule="exact"/>
      <w:ind w:left="216" w:hanging="216"/>
    </w:pPr>
  </w:style>
  <w:style w:type="paragraph" w:customStyle="1" w:styleId="RH-SglSpHead">
    <w:name w:val="RH-Sgl Sp Head"/>
    <w:basedOn w:val="Heading1"/>
    <w:next w:val="RL-FlLftSgl"/>
    <w:rsid w:val="00533B5E"/>
    <w:pPr>
      <w:pBdr>
        <w:bottom w:val="single" w:sz="24" w:space="1" w:color="AFBED9"/>
      </w:pBdr>
      <w:tabs>
        <w:tab w:val="clear" w:pos="1152"/>
      </w:tabs>
      <w:spacing w:after="480" w:line="360" w:lineRule="exact"/>
      <w:jc w:val="left"/>
    </w:pPr>
    <w:rPr>
      <w:sz w:val="36"/>
      <w:u w:color="324162"/>
    </w:rPr>
  </w:style>
  <w:style w:type="paragraph" w:customStyle="1" w:styleId="RL-FlLftSgl">
    <w:name w:val="RL-Fl Lft Sgl"/>
    <w:basedOn w:val="Heading1"/>
    <w:rsid w:val="00533B5E"/>
    <w:pPr>
      <w:tabs>
        <w:tab w:val="clear" w:pos="1152"/>
      </w:tabs>
      <w:spacing w:line="240" w:lineRule="atLeast"/>
      <w:jc w:val="left"/>
    </w:pPr>
    <w:rPr>
      <w:sz w:val="24"/>
    </w:rPr>
  </w:style>
  <w:style w:type="paragraph" w:customStyle="1" w:styleId="SU-FlLftUndln">
    <w:name w:val="SU-Fl Lft Undln"/>
    <w:basedOn w:val="Normal"/>
    <w:rsid w:val="00533B5E"/>
    <w:pPr>
      <w:keepNext/>
      <w:spacing w:line="240" w:lineRule="exact"/>
    </w:pPr>
    <w:rPr>
      <w:u w:val="single"/>
    </w:rPr>
  </w:style>
  <w:style w:type="paragraph" w:customStyle="1" w:styleId="Header-1">
    <w:name w:val="Header-1"/>
    <w:basedOn w:val="Heading1"/>
    <w:rsid w:val="00533B5E"/>
    <w:pPr>
      <w:framePr w:hSpace="187" w:wrap="around" w:vAnchor="text" w:hAnchor="text" w:y="1"/>
      <w:tabs>
        <w:tab w:val="clear" w:pos="1152"/>
      </w:tabs>
      <w:spacing w:line="240" w:lineRule="atLeast"/>
      <w:suppressOverlap/>
    </w:pPr>
    <w:rPr>
      <w:sz w:val="20"/>
    </w:rPr>
  </w:style>
  <w:style w:type="paragraph" w:customStyle="1" w:styleId="Heading0">
    <w:name w:val="Heading 0"/>
    <w:aliases w:val="H0-Chap Head"/>
    <w:basedOn w:val="Heading1"/>
    <w:rsid w:val="00C42859"/>
    <w:pPr>
      <w:tabs>
        <w:tab w:val="clear" w:pos="1152"/>
      </w:tabs>
    </w:pPr>
  </w:style>
  <w:style w:type="character" w:styleId="PageNumber">
    <w:name w:val="page number"/>
    <w:rsid w:val="00533B5E"/>
  </w:style>
  <w:style w:type="paragraph" w:customStyle="1" w:styleId="R0-FLLftSglBoldItalic">
    <w:name w:val="R0-FL Lft Sgl Bold Italic"/>
    <w:basedOn w:val="Heading1"/>
    <w:rsid w:val="00533B5E"/>
    <w:pPr>
      <w:tabs>
        <w:tab w:val="clear" w:pos="1152"/>
      </w:tabs>
      <w:spacing w:line="240" w:lineRule="atLeast"/>
      <w:jc w:val="left"/>
    </w:pPr>
    <w:rPr>
      <w:rFonts w:cs="Times New Roman Bold"/>
      <w:b w:val="0"/>
      <w:i/>
      <w:color w:val="auto"/>
      <w:sz w:val="24"/>
    </w:rPr>
  </w:style>
  <w:style w:type="paragraph" w:customStyle="1" w:styleId="CT-ContractInformation">
    <w:name w:val="CT-Contract Information"/>
    <w:basedOn w:val="Normal"/>
    <w:rsid w:val="00533B5E"/>
    <w:pPr>
      <w:tabs>
        <w:tab w:val="left" w:pos="2232"/>
      </w:tabs>
      <w:spacing w:line="240" w:lineRule="exact"/>
    </w:pPr>
    <w:rPr>
      <w:vanish/>
    </w:rPr>
  </w:style>
  <w:style w:type="paragraph" w:customStyle="1" w:styleId="TC-TableofContentsHeading">
    <w:name w:val="TC-Table of Contents Heading"/>
    <w:basedOn w:val="Heading1"/>
    <w:next w:val="T0-ChapPgHd"/>
    <w:rsid w:val="00533B5E"/>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533B5E"/>
    <w:rPr>
      <w:rFonts w:ascii="Franklin Gothic Medium" w:hAnsi="Franklin Gothic Medium"/>
      <w:sz w:val="16"/>
    </w:rPr>
  </w:style>
  <w:style w:type="paragraph" w:styleId="FootnoteText">
    <w:name w:val="footnote text"/>
    <w:aliases w:val="F1"/>
    <w:link w:val="FootnoteTextChar"/>
    <w:semiHidden/>
    <w:rsid w:val="00533B5E"/>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
    <w:link w:val="FootnoteText"/>
    <w:semiHidden/>
    <w:rsid w:val="00533B5E"/>
    <w:rPr>
      <w:rFonts w:ascii="Garamond" w:hAnsi="Garamond"/>
    </w:rPr>
  </w:style>
  <w:style w:type="paragraph" w:customStyle="1" w:styleId="TH-TableHeading">
    <w:name w:val="TH-Table Heading"/>
    <w:basedOn w:val="Heading1"/>
    <w:rsid w:val="00533B5E"/>
    <w:pPr>
      <w:spacing w:line="240" w:lineRule="atLeast"/>
      <w:jc w:val="center"/>
    </w:pPr>
    <w:rPr>
      <w:color w:val="auto"/>
      <w:sz w:val="20"/>
    </w:rPr>
  </w:style>
  <w:style w:type="paragraph" w:styleId="TOC6">
    <w:name w:val="toc 6"/>
    <w:semiHidden/>
    <w:rsid w:val="00533B5E"/>
    <w:pPr>
      <w:tabs>
        <w:tab w:val="right" w:leader="dot" w:pos="8208"/>
        <w:tab w:val="left" w:pos="8640"/>
      </w:tabs>
      <w:ind w:left="288"/>
    </w:pPr>
    <w:rPr>
      <w:rFonts w:ascii="Garamond" w:hAnsi="Garamond"/>
      <w:sz w:val="24"/>
      <w:szCs w:val="22"/>
    </w:rPr>
  </w:style>
  <w:style w:type="paragraph" w:styleId="TOC7">
    <w:name w:val="toc 7"/>
    <w:semiHidden/>
    <w:rsid w:val="00533B5E"/>
    <w:pPr>
      <w:tabs>
        <w:tab w:val="right" w:leader="dot" w:pos="8208"/>
        <w:tab w:val="left" w:pos="8640"/>
      </w:tabs>
      <w:ind w:left="1440"/>
    </w:pPr>
    <w:rPr>
      <w:rFonts w:ascii="Garamond" w:hAnsi="Garamond"/>
      <w:sz w:val="24"/>
      <w:szCs w:val="22"/>
    </w:rPr>
  </w:style>
  <w:style w:type="paragraph" w:styleId="TOC8">
    <w:name w:val="toc 8"/>
    <w:rsid w:val="00533B5E"/>
    <w:pPr>
      <w:tabs>
        <w:tab w:val="right" w:leader="dot" w:pos="8208"/>
        <w:tab w:val="left" w:pos="8640"/>
      </w:tabs>
      <w:ind w:left="2160"/>
    </w:pPr>
    <w:rPr>
      <w:rFonts w:ascii="Garamond" w:hAnsi="Garamond"/>
      <w:sz w:val="24"/>
      <w:szCs w:val="22"/>
    </w:rPr>
  </w:style>
  <w:style w:type="paragraph" w:styleId="TOC9">
    <w:name w:val="toc 9"/>
    <w:semiHidden/>
    <w:rsid w:val="00533B5E"/>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533B5E"/>
    <w:rPr>
      <w:rFonts w:ascii="Franklin Gothic Medium" w:hAnsi="Franklin Gothic Medium"/>
      <w:sz w:val="20"/>
    </w:rPr>
  </w:style>
  <w:style w:type="table" w:customStyle="1" w:styleId="TableWestatStandardFormat">
    <w:name w:val="Table Westat Standard Format"/>
    <w:basedOn w:val="TableNormal"/>
    <w:rsid w:val="00533B5E"/>
    <w:rPr>
      <w:rFonts w:ascii="Franklin Gothic Medium" w:hAnsi="Franklin Gothic Medium"/>
    </w:rPr>
    <w:tblPr>
      <w:tblBorders>
        <w:top w:val="single" w:sz="6" w:space="0" w:color="auto"/>
        <w:bottom w:val="single" w:sz="6" w:space="0" w:color="auto"/>
      </w:tblBorders>
    </w:tblPr>
    <w:tblStylePr w:type="firstRow">
      <w:pPr>
        <w:jc w:val="center"/>
      </w:pPr>
      <w:tblPr/>
      <w:tcPr>
        <w:tcBorders>
          <w:top w:val="single" w:sz="6" w:space="0" w:color="auto"/>
          <w:left w:val="nil"/>
          <w:bottom w:val="single" w:sz="6" w:space="0" w:color="auto"/>
          <w:right w:val="nil"/>
          <w:insideH w:val="nil"/>
          <w:insideV w:val="nil"/>
          <w:tl2br w:val="nil"/>
          <w:tr2bl w:val="nil"/>
        </w:tcBorders>
        <w:shd w:val="clear" w:color="auto" w:fill="AFBED7"/>
      </w:tcPr>
    </w:tblStylePr>
  </w:style>
  <w:style w:type="character" w:styleId="FootnoteReference">
    <w:name w:val="footnote reference"/>
    <w:uiPriority w:val="99"/>
    <w:unhideWhenUsed/>
    <w:rsid w:val="00533B5E"/>
    <w:rPr>
      <w:vertAlign w:val="superscript"/>
    </w:rPr>
  </w:style>
  <w:style w:type="paragraph" w:customStyle="1" w:styleId="TB-TableBullet">
    <w:name w:val="TB-Table Bullet"/>
    <w:basedOn w:val="TX-TableText"/>
    <w:qFormat/>
    <w:rsid w:val="00533B5E"/>
    <w:pPr>
      <w:numPr>
        <w:numId w:val="5"/>
      </w:numPr>
    </w:pPr>
  </w:style>
  <w:style w:type="paragraph" w:styleId="PlainText">
    <w:name w:val="Plain Text"/>
    <w:basedOn w:val="Normal"/>
    <w:link w:val="PlainTextChar"/>
    <w:uiPriority w:val="99"/>
    <w:unhideWhenUsed/>
    <w:rsid w:val="008C7480"/>
    <w:rPr>
      <w:rFonts w:ascii="Courier New" w:hAnsi="Courier New"/>
      <w:sz w:val="20"/>
    </w:rPr>
  </w:style>
  <w:style w:type="character" w:customStyle="1" w:styleId="PlainTextChar">
    <w:name w:val="Plain Text Char"/>
    <w:link w:val="PlainText"/>
    <w:uiPriority w:val="99"/>
    <w:rsid w:val="008C7480"/>
    <w:rPr>
      <w:rFonts w:ascii="Courier New" w:eastAsia="Calibri" w:hAnsi="Courier New" w:cs="Times New Roman"/>
    </w:rPr>
  </w:style>
  <w:style w:type="paragraph" w:customStyle="1" w:styleId="References">
    <w:name w:val="References"/>
    <w:basedOn w:val="Normal"/>
    <w:uiPriority w:val="99"/>
    <w:rsid w:val="006E3562"/>
    <w:pPr>
      <w:keepLines/>
      <w:tabs>
        <w:tab w:val="left" w:pos="432"/>
      </w:tabs>
      <w:spacing w:after="240" w:line="240" w:lineRule="auto"/>
      <w:ind w:left="432" w:hanging="432"/>
      <w:jc w:val="both"/>
    </w:pPr>
    <w:rPr>
      <w:szCs w:val="24"/>
    </w:rPr>
  </w:style>
  <w:style w:type="character" w:styleId="Hyperlink">
    <w:name w:val="Hyperlink"/>
    <w:uiPriority w:val="99"/>
    <w:rsid w:val="006E3562"/>
    <w:rPr>
      <w:rFonts w:cs="Times New Roman"/>
      <w:color w:val="0000FF"/>
      <w:u w:val="single"/>
    </w:rPr>
  </w:style>
  <w:style w:type="paragraph" w:customStyle="1" w:styleId="Default">
    <w:name w:val="Default"/>
    <w:rsid w:val="006E3562"/>
    <w:pPr>
      <w:autoSpaceDE w:val="0"/>
      <w:autoSpaceDN w:val="0"/>
      <w:adjustRightInd w:val="0"/>
    </w:pPr>
    <w:rPr>
      <w:rFonts w:ascii="Lucida Sans" w:hAnsi="Lucida Sans" w:cs="Lucida Sans"/>
      <w:color w:val="000000"/>
      <w:sz w:val="24"/>
      <w:szCs w:val="24"/>
    </w:rPr>
  </w:style>
  <w:style w:type="paragraph" w:styleId="Revision">
    <w:name w:val="Revision"/>
    <w:hidden/>
    <w:uiPriority w:val="99"/>
    <w:semiHidden/>
    <w:rsid w:val="006E3562"/>
    <w:rPr>
      <w:rFonts w:ascii="Garamond" w:hAnsi="Garamond"/>
      <w:sz w:val="24"/>
      <w:szCs w:val="24"/>
    </w:rPr>
  </w:style>
  <w:style w:type="character" w:styleId="CommentReference">
    <w:name w:val="annotation reference"/>
    <w:uiPriority w:val="99"/>
    <w:semiHidden/>
    <w:unhideWhenUsed/>
    <w:rsid w:val="00956406"/>
    <w:rPr>
      <w:sz w:val="16"/>
      <w:szCs w:val="16"/>
    </w:rPr>
  </w:style>
  <w:style w:type="paragraph" w:styleId="CommentText">
    <w:name w:val="annotation text"/>
    <w:basedOn w:val="Normal"/>
    <w:link w:val="CommentTextChar"/>
    <w:uiPriority w:val="99"/>
    <w:unhideWhenUsed/>
    <w:rsid w:val="00956406"/>
    <w:rPr>
      <w:sz w:val="20"/>
    </w:rPr>
  </w:style>
  <w:style w:type="character" w:customStyle="1" w:styleId="CommentTextChar">
    <w:name w:val="Comment Text Char"/>
    <w:link w:val="CommentText"/>
    <w:uiPriority w:val="99"/>
    <w:rsid w:val="00956406"/>
    <w:rPr>
      <w:rFonts w:ascii="Garamond" w:hAnsi="Garamond"/>
    </w:rPr>
  </w:style>
  <w:style w:type="paragraph" w:styleId="CommentSubject">
    <w:name w:val="annotation subject"/>
    <w:basedOn w:val="CommentText"/>
    <w:next w:val="CommentText"/>
    <w:link w:val="CommentSubjectChar"/>
    <w:uiPriority w:val="99"/>
    <w:semiHidden/>
    <w:unhideWhenUsed/>
    <w:rsid w:val="00956406"/>
    <w:rPr>
      <w:b/>
      <w:bCs/>
    </w:rPr>
  </w:style>
  <w:style w:type="character" w:customStyle="1" w:styleId="CommentSubjectChar">
    <w:name w:val="Comment Subject Char"/>
    <w:link w:val="CommentSubject"/>
    <w:uiPriority w:val="99"/>
    <w:semiHidden/>
    <w:rsid w:val="00956406"/>
    <w:rPr>
      <w:rFonts w:ascii="Garamond" w:hAnsi="Garamond"/>
      <w:b/>
      <w:bCs/>
    </w:rPr>
  </w:style>
  <w:style w:type="paragraph" w:styleId="ListParagraph">
    <w:name w:val="List Paragraph"/>
    <w:basedOn w:val="Normal"/>
    <w:uiPriority w:val="34"/>
    <w:qFormat/>
    <w:rsid w:val="00EA1DFA"/>
    <w:pPr>
      <w:spacing w:line="240" w:lineRule="auto"/>
      <w:ind w:left="720"/>
    </w:pPr>
    <w:rPr>
      <w:rFonts w:ascii="Calibri" w:eastAsiaTheme="minorHAnsi" w:hAnsi="Calibri"/>
      <w:sz w:val="22"/>
      <w:szCs w:val="22"/>
    </w:rPr>
  </w:style>
  <w:style w:type="character" w:styleId="FollowedHyperlink">
    <w:name w:val="FollowedHyperlink"/>
    <w:basedOn w:val="DefaultParagraphFont"/>
    <w:uiPriority w:val="99"/>
    <w:semiHidden/>
    <w:unhideWhenUsed/>
    <w:rsid w:val="00E7245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qFormat="1"/>
    <w:lsdException w:name="heading 9" w:qFormat="1"/>
    <w:lsdException w:name="toc 1" w:uiPriority="0"/>
    <w:lsdException w:name="toc 2" w:uiPriority="39"/>
    <w:lsdException w:name="toc 3" w:uiPriority="0"/>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B5E"/>
    <w:pPr>
      <w:spacing w:line="240" w:lineRule="atLeast"/>
    </w:pPr>
    <w:rPr>
      <w:rFonts w:ascii="Garamond" w:hAnsi="Garamond"/>
      <w:sz w:val="24"/>
    </w:rPr>
  </w:style>
  <w:style w:type="paragraph" w:styleId="Heading1">
    <w:name w:val="heading 1"/>
    <w:aliases w:val="H1-Chap. Head"/>
    <w:basedOn w:val="Normal"/>
    <w:link w:val="Heading1Char"/>
    <w:qFormat/>
    <w:rsid w:val="00533B5E"/>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8B6333"/>
    <w:pPr>
      <w:spacing w:after="240"/>
      <w:ind w:left="1152" w:hanging="1152"/>
      <w:jc w:val="left"/>
      <w:outlineLvl w:val="1"/>
    </w:pPr>
    <w:rPr>
      <w:sz w:val="32"/>
    </w:rPr>
  </w:style>
  <w:style w:type="paragraph" w:styleId="Heading3">
    <w:name w:val="heading 3"/>
    <w:aliases w:val="H3-Sec. Head"/>
    <w:basedOn w:val="Heading1"/>
    <w:next w:val="L1-FlLSp12"/>
    <w:link w:val="Heading3Char"/>
    <w:qFormat/>
    <w:rsid w:val="00533B5E"/>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533B5E"/>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533B5E"/>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533B5E"/>
    <w:pPr>
      <w:keepNext/>
      <w:spacing w:before="240"/>
      <w:jc w:val="center"/>
      <w:outlineLvl w:val="5"/>
    </w:pPr>
    <w:rPr>
      <w:b/>
      <w:caps/>
    </w:rPr>
  </w:style>
  <w:style w:type="paragraph" w:styleId="Heading7">
    <w:name w:val="heading 7"/>
    <w:basedOn w:val="Normal"/>
    <w:next w:val="Normal"/>
    <w:link w:val="Heading7Char"/>
    <w:qFormat/>
    <w:rsid w:val="00533B5E"/>
    <w:pPr>
      <w:spacing w:before="240" w:after="60"/>
      <w:outlineLvl w:val="6"/>
    </w:pPr>
  </w:style>
  <w:style w:type="paragraph" w:styleId="Heading8">
    <w:name w:val="heading 8"/>
    <w:aliases w:val="Heading 8 (business proposal only)"/>
    <w:basedOn w:val="Normal"/>
    <w:next w:val="Normal"/>
    <w:link w:val="Heading8Char"/>
    <w:uiPriority w:val="99"/>
    <w:qFormat/>
    <w:rsid w:val="006E3562"/>
    <w:pPr>
      <w:tabs>
        <w:tab w:val="left" w:pos="432"/>
      </w:tabs>
      <w:spacing w:line="480" w:lineRule="auto"/>
      <w:ind w:firstLine="432"/>
      <w:jc w:val="both"/>
      <w:outlineLvl w:val="7"/>
    </w:pPr>
    <w:rPr>
      <w:szCs w:val="24"/>
    </w:rPr>
  </w:style>
  <w:style w:type="paragraph" w:styleId="Heading9">
    <w:name w:val="heading 9"/>
    <w:aliases w:val="Heading 9 (business proposal only)"/>
    <w:basedOn w:val="Normal"/>
    <w:next w:val="Normal"/>
    <w:link w:val="Heading9Char"/>
    <w:uiPriority w:val="99"/>
    <w:qFormat/>
    <w:rsid w:val="006E3562"/>
    <w:pPr>
      <w:tabs>
        <w:tab w:val="left" w:pos="432"/>
      </w:tabs>
      <w:spacing w:line="480" w:lineRule="auto"/>
      <w:ind w:firstLine="432"/>
      <w:jc w:val="both"/>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
    <w:link w:val="Heading1"/>
    <w:locked/>
    <w:rsid w:val="00533B5E"/>
    <w:rPr>
      <w:rFonts w:ascii="Franklin Gothic Medium" w:hAnsi="Franklin Gothic Medium"/>
      <w:b/>
      <w:color w:val="324162"/>
      <w:sz w:val="40"/>
    </w:rPr>
  </w:style>
  <w:style w:type="paragraph" w:customStyle="1" w:styleId="L1-FlLSp12">
    <w:name w:val="L1-FlL Sp&amp;1/2"/>
    <w:basedOn w:val="Normal"/>
    <w:link w:val="L1-FlLSp12Char"/>
    <w:rsid w:val="00533B5E"/>
    <w:pPr>
      <w:tabs>
        <w:tab w:val="left" w:pos="1152"/>
      </w:tabs>
      <w:spacing w:line="480" w:lineRule="auto"/>
    </w:pPr>
  </w:style>
  <w:style w:type="character" w:customStyle="1" w:styleId="L1-FlLSp12Char">
    <w:name w:val="L1-FlL Sp&amp;1/2 Char"/>
    <w:link w:val="L1-FlLSp12"/>
    <w:rsid w:val="008C7480"/>
    <w:rPr>
      <w:rFonts w:ascii="Garamond" w:hAnsi="Garamond"/>
      <w:sz w:val="24"/>
    </w:rPr>
  </w:style>
  <w:style w:type="character" w:customStyle="1" w:styleId="Heading2Char">
    <w:name w:val="Heading 2 Char"/>
    <w:aliases w:val="H2-Sec. Head Char"/>
    <w:link w:val="Heading2"/>
    <w:locked/>
    <w:rsid w:val="008B6333"/>
    <w:rPr>
      <w:rFonts w:ascii="Franklin Gothic Medium" w:hAnsi="Franklin Gothic Medium"/>
      <w:b/>
      <w:color w:val="324162"/>
      <w:sz w:val="32"/>
    </w:rPr>
  </w:style>
  <w:style w:type="character" w:customStyle="1" w:styleId="Heading3Char">
    <w:name w:val="Heading 3 Char"/>
    <w:aliases w:val="H3-Sec. Head Char"/>
    <w:link w:val="Heading3"/>
    <w:locked/>
    <w:rsid w:val="00533B5E"/>
    <w:rPr>
      <w:rFonts w:ascii="Franklin Gothic Medium" w:hAnsi="Franklin Gothic Medium"/>
      <w:b/>
      <w:color w:val="324162"/>
      <w:sz w:val="28"/>
    </w:rPr>
  </w:style>
  <w:style w:type="character" w:customStyle="1" w:styleId="Heading4Char">
    <w:name w:val="Heading 4 Char"/>
    <w:aliases w:val="H4-Sec. Head Char"/>
    <w:link w:val="Heading4"/>
    <w:locked/>
    <w:rsid w:val="00533B5E"/>
    <w:rPr>
      <w:rFonts w:ascii="Franklin Gothic Medium" w:hAnsi="Franklin Gothic Medium"/>
      <w:b/>
      <w:sz w:val="24"/>
    </w:rPr>
  </w:style>
  <w:style w:type="character" w:customStyle="1" w:styleId="Heading5Char">
    <w:name w:val="Heading 5 Char"/>
    <w:aliases w:val="H5-Sec. Head Char"/>
    <w:link w:val="Heading5"/>
    <w:locked/>
    <w:rsid w:val="00533B5E"/>
    <w:rPr>
      <w:rFonts w:ascii="Franklin Gothic Medium" w:hAnsi="Franklin Gothic Medium"/>
      <w:b/>
      <w:i/>
      <w:sz w:val="24"/>
    </w:rPr>
  </w:style>
  <w:style w:type="character" w:customStyle="1" w:styleId="Heading6Char">
    <w:name w:val="Heading 6 Char"/>
    <w:link w:val="Heading6"/>
    <w:locked/>
    <w:rsid w:val="006E3562"/>
    <w:rPr>
      <w:rFonts w:ascii="Garamond" w:hAnsi="Garamond"/>
      <w:b/>
      <w:caps/>
      <w:sz w:val="24"/>
    </w:rPr>
  </w:style>
  <w:style w:type="character" w:customStyle="1" w:styleId="Heading7Char">
    <w:name w:val="Heading 7 Char"/>
    <w:link w:val="Heading7"/>
    <w:locked/>
    <w:rsid w:val="006E3562"/>
    <w:rPr>
      <w:rFonts w:ascii="Garamond" w:hAnsi="Garamond"/>
      <w:sz w:val="24"/>
    </w:rPr>
  </w:style>
  <w:style w:type="character" w:customStyle="1" w:styleId="Heading8Char">
    <w:name w:val="Heading 8 Char"/>
    <w:aliases w:val="Heading 8 (business proposal only) Char"/>
    <w:link w:val="Heading8"/>
    <w:uiPriority w:val="99"/>
    <w:rsid w:val="006E3562"/>
    <w:rPr>
      <w:rFonts w:ascii="Garamond" w:hAnsi="Garamond"/>
      <w:sz w:val="24"/>
      <w:szCs w:val="24"/>
    </w:rPr>
  </w:style>
  <w:style w:type="character" w:customStyle="1" w:styleId="Heading9Char">
    <w:name w:val="Heading 9 Char"/>
    <w:aliases w:val="Heading 9 (business proposal only) Char"/>
    <w:link w:val="Heading9"/>
    <w:uiPriority w:val="99"/>
    <w:rsid w:val="006E3562"/>
    <w:rPr>
      <w:rFonts w:ascii="Garamond" w:hAnsi="Garamond"/>
      <w:sz w:val="24"/>
      <w:szCs w:val="24"/>
    </w:rPr>
  </w:style>
  <w:style w:type="paragraph" w:customStyle="1" w:styleId="C1-CtrBoldHd">
    <w:name w:val="C1-Ctr BoldHd"/>
    <w:rsid w:val="00533B5E"/>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533B5E"/>
    <w:pPr>
      <w:keepLines/>
      <w:jc w:val="center"/>
    </w:pPr>
  </w:style>
  <w:style w:type="paragraph" w:customStyle="1" w:styleId="C3-CtrSp12">
    <w:name w:val="C3-Ctr Sp&amp;1/2"/>
    <w:basedOn w:val="Normal"/>
    <w:rsid w:val="00533B5E"/>
    <w:pPr>
      <w:keepLines/>
      <w:spacing w:line="360" w:lineRule="atLeast"/>
      <w:jc w:val="center"/>
    </w:pPr>
  </w:style>
  <w:style w:type="paragraph" w:customStyle="1" w:styleId="E1-Equation">
    <w:name w:val="E1-Equation"/>
    <w:basedOn w:val="Normal"/>
    <w:rsid w:val="00533B5E"/>
    <w:pPr>
      <w:tabs>
        <w:tab w:val="center" w:pos="4680"/>
        <w:tab w:val="right" w:pos="9360"/>
      </w:tabs>
    </w:pPr>
  </w:style>
  <w:style w:type="paragraph" w:customStyle="1" w:styleId="E2-Equation">
    <w:name w:val="E2-Equation"/>
    <w:basedOn w:val="Normal"/>
    <w:rsid w:val="00533B5E"/>
    <w:pPr>
      <w:tabs>
        <w:tab w:val="right" w:pos="1152"/>
        <w:tab w:val="center" w:pos="1440"/>
        <w:tab w:val="left" w:pos="1728"/>
      </w:tabs>
      <w:ind w:left="1728" w:hanging="1728"/>
    </w:pPr>
  </w:style>
  <w:style w:type="paragraph" w:styleId="Footer">
    <w:name w:val="footer"/>
    <w:basedOn w:val="Normal"/>
    <w:link w:val="FooterChar"/>
    <w:rsid w:val="00533B5E"/>
  </w:style>
  <w:style w:type="character" w:customStyle="1" w:styleId="FooterChar">
    <w:name w:val="Footer Char"/>
    <w:link w:val="Footer"/>
    <w:locked/>
    <w:rsid w:val="006E3562"/>
    <w:rPr>
      <w:rFonts w:ascii="Garamond" w:hAnsi="Garamond"/>
      <w:sz w:val="24"/>
    </w:rPr>
  </w:style>
  <w:style w:type="paragraph" w:styleId="BalloonText">
    <w:name w:val="Balloon Text"/>
    <w:basedOn w:val="Normal"/>
    <w:link w:val="BalloonTextChar"/>
    <w:uiPriority w:val="99"/>
    <w:semiHidden/>
    <w:unhideWhenUsed/>
    <w:rsid w:val="00533B5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33B5E"/>
    <w:rPr>
      <w:rFonts w:ascii="Tahoma" w:hAnsi="Tahoma" w:cs="Tahoma"/>
      <w:sz w:val="16"/>
      <w:szCs w:val="16"/>
    </w:rPr>
  </w:style>
  <w:style w:type="paragraph" w:styleId="Header">
    <w:name w:val="header"/>
    <w:basedOn w:val="Normal"/>
    <w:link w:val="HeaderChar"/>
    <w:rsid w:val="00533B5E"/>
    <w:rPr>
      <w:sz w:val="20"/>
    </w:rPr>
  </w:style>
  <w:style w:type="character" w:customStyle="1" w:styleId="HeaderChar">
    <w:name w:val="Header Char"/>
    <w:link w:val="Header"/>
    <w:locked/>
    <w:rsid w:val="006E3562"/>
    <w:rPr>
      <w:rFonts w:ascii="Garamond" w:hAnsi="Garamond"/>
    </w:rPr>
  </w:style>
  <w:style w:type="paragraph" w:customStyle="1" w:styleId="N0-FlLftBullet">
    <w:name w:val="N0-Fl Lft Bullet"/>
    <w:basedOn w:val="Normal"/>
    <w:rsid w:val="00533B5E"/>
    <w:pPr>
      <w:tabs>
        <w:tab w:val="left" w:pos="576"/>
      </w:tabs>
      <w:spacing w:after="240"/>
      <w:ind w:left="576" w:hanging="576"/>
    </w:pPr>
  </w:style>
  <w:style w:type="paragraph" w:customStyle="1" w:styleId="N1-1stBullet">
    <w:name w:val="N1-1st Bullet"/>
    <w:basedOn w:val="Normal"/>
    <w:link w:val="N1-1stBulletChar"/>
    <w:rsid w:val="000E2D19"/>
    <w:pPr>
      <w:numPr>
        <w:numId w:val="1"/>
      </w:numPr>
      <w:spacing w:after="240" w:line="360" w:lineRule="auto"/>
    </w:pPr>
  </w:style>
  <w:style w:type="character" w:customStyle="1" w:styleId="N1-1stBulletChar">
    <w:name w:val="N1-1st Bullet Char"/>
    <w:link w:val="N1-1stBullet"/>
    <w:rsid w:val="000E2D19"/>
    <w:rPr>
      <w:rFonts w:ascii="Garamond" w:hAnsi="Garamond"/>
      <w:sz w:val="24"/>
    </w:rPr>
  </w:style>
  <w:style w:type="paragraph" w:customStyle="1" w:styleId="N2-2ndBullet">
    <w:name w:val="N2-2nd Bullet"/>
    <w:basedOn w:val="Normal"/>
    <w:rsid w:val="00533B5E"/>
    <w:pPr>
      <w:numPr>
        <w:numId w:val="2"/>
      </w:numPr>
      <w:spacing w:after="240"/>
    </w:pPr>
  </w:style>
  <w:style w:type="paragraph" w:customStyle="1" w:styleId="N3-3rdBullet">
    <w:name w:val="N3-3rd Bullet"/>
    <w:basedOn w:val="Normal"/>
    <w:rsid w:val="00533B5E"/>
    <w:pPr>
      <w:numPr>
        <w:numId w:val="3"/>
      </w:numPr>
      <w:spacing w:after="240"/>
    </w:pPr>
  </w:style>
  <w:style w:type="paragraph" w:customStyle="1" w:styleId="N4-4thBullet">
    <w:name w:val="N4-4th Bullet"/>
    <w:basedOn w:val="Normal"/>
    <w:rsid w:val="00533B5E"/>
    <w:pPr>
      <w:numPr>
        <w:numId w:val="4"/>
      </w:numPr>
      <w:spacing w:after="240"/>
    </w:pPr>
  </w:style>
  <w:style w:type="paragraph" w:customStyle="1" w:styleId="N5-5thBullet">
    <w:name w:val="N5-5th Bullet"/>
    <w:basedOn w:val="Normal"/>
    <w:rsid w:val="00533B5E"/>
    <w:pPr>
      <w:tabs>
        <w:tab w:val="left" w:pos="3456"/>
      </w:tabs>
      <w:spacing w:after="240"/>
      <w:ind w:left="3456" w:hanging="576"/>
    </w:pPr>
  </w:style>
  <w:style w:type="paragraph" w:customStyle="1" w:styleId="N6-DateInd">
    <w:name w:val="N6-Date Ind."/>
    <w:basedOn w:val="Normal"/>
    <w:rsid w:val="00533B5E"/>
    <w:pPr>
      <w:tabs>
        <w:tab w:val="left" w:pos="4910"/>
      </w:tabs>
      <w:ind w:left="4910"/>
    </w:pPr>
  </w:style>
  <w:style w:type="paragraph" w:customStyle="1" w:styleId="N7-3Block">
    <w:name w:val="N7-3&quot; Block"/>
    <w:basedOn w:val="Normal"/>
    <w:rsid w:val="00533B5E"/>
    <w:pPr>
      <w:tabs>
        <w:tab w:val="left" w:pos="1152"/>
      </w:tabs>
      <w:ind w:left="1152" w:right="1152"/>
    </w:pPr>
  </w:style>
  <w:style w:type="paragraph" w:customStyle="1" w:styleId="N8-QxQBlock">
    <w:name w:val="N8-QxQ Block"/>
    <w:basedOn w:val="Normal"/>
    <w:rsid w:val="00533B5E"/>
    <w:pPr>
      <w:tabs>
        <w:tab w:val="left" w:pos="1152"/>
      </w:tabs>
      <w:spacing w:after="360" w:line="360" w:lineRule="atLeast"/>
      <w:ind w:left="1152" w:hanging="1152"/>
    </w:pPr>
  </w:style>
  <w:style w:type="paragraph" w:customStyle="1" w:styleId="P1-StandPara">
    <w:name w:val="P1-Stand Para"/>
    <w:basedOn w:val="Normal"/>
    <w:link w:val="P1-StandParaChar"/>
    <w:rsid w:val="00533B5E"/>
    <w:pPr>
      <w:spacing w:line="480" w:lineRule="auto"/>
      <w:ind w:firstLine="1152"/>
    </w:pPr>
  </w:style>
  <w:style w:type="character" w:customStyle="1" w:styleId="P1-StandParaChar">
    <w:name w:val="P1-Stand Para Char"/>
    <w:link w:val="P1-StandPara"/>
    <w:locked/>
    <w:rsid w:val="006E3562"/>
    <w:rPr>
      <w:rFonts w:ascii="Garamond" w:hAnsi="Garamond"/>
      <w:sz w:val="24"/>
    </w:rPr>
  </w:style>
  <w:style w:type="paragraph" w:customStyle="1" w:styleId="Q1-BestFinQ">
    <w:name w:val="Q1-Best/Fin Q"/>
    <w:rsid w:val="00533B5E"/>
    <w:pPr>
      <w:spacing w:after="360" w:line="240" w:lineRule="atLeast"/>
      <w:ind w:left="1152" w:hanging="1152"/>
    </w:pPr>
    <w:rPr>
      <w:rFonts w:ascii="Franklin Gothic Medium" w:hAnsi="Franklin Gothic Medium"/>
      <w:b/>
      <w:color w:val="324162"/>
      <w:sz w:val="24"/>
    </w:rPr>
  </w:style>
  <w:style w:type="paragraph" w:customStyle="1" w:styleId="SH-SglSpHead">
    <w:name w:val="SH-Sgl Sp Head"/>
    <w:basedOn w:val="Heading1"/>
    <w:rsid w:val="00533B5E"/>
    <w:pPr>
      <w:tabs>
        <w:tab w:val="clear" w:pos="1152"/>
        <w:tab w:val="left" w:pos="576"/>
      </w:tabs>
      <w:spacing w:line="240" w:lineRule="atLeast"/>
      <w:ind w:left="576" w:hanging="576"/>
    </w:pPr>
    <w:rPr>
      <w:b w:val="0"/>
      <w:sz w:val="24"/>
    </w:rPr>
  </w:style>
  <w:style w:type="paragraph" w:customStyle="1" w:styleId="SL-FlLftSgl">
    <w:name w:val="SL-Fl Lft Sgl"/>
    <w:basedOn w:val="Normal"/>
    <w:rsid w:val="00533B5E"/>
  </w:style>
  <w:style w:type="paragraph" w:customStyle="1" w:styleId="SP-SglSpPara">
    <w:name w:val="SP-Sgl Sp Para"/>
    <w:basedOn w:val="Normal"/>
    <w:link w:val="SP-SglSpParaChar"/>
    <w:rsid w:val="00533B5E"/>
    <w:pPr>
      <w:tabs>
        <w:tab w:val="left" w:pos="576"/>
      </w:tabs>
      <w:ind w:firstLine="576"/>
    </w:pPr>
  </w:style>
  <w:style w:type="character" w:customStyle="1" w:styleId="SP-SglSpParaChar">
    <w:name w:val="SP-Sgl Sp Para Char"/>
    <w:link w:val="SP-SglSpPara"/>
    <w:rsid w:val="001D29F8"/>
    <w:rPr>
      <w:rFonts w:ascii="Garamond" w:hAnsi="Garamond"/>
      <w:sz w:val="24"/>
    </w:rPr>
  </w:style>
  <w:style w:type="paragraph" w:customStyle="1" w:styleId="T0-ChapPgHd">
    <w:name w:val="T0-Chap/Pg Hd"/>
    <w:basedOn w:val="Normal"/>
    <w:rsid w:val="00533B5E"/>
    <w:pPr>
      <w:tabs>
        <w:tab w:val="left" w:pos="8640"/>
      </w:tabs>
    </w:pPr>
    <w:rPr>
      <w:rFonts w:ascii="Franklin Gothic Medium" w:hAnsi="Franklin Gothic Medium"/>
      <w:u w:val="words"/>
    </w:rPr>
  </w:style>
  <w:style w:type="paragraph" w:styleId="TOC1">
    <w:name w:val="toc 1"/>
    <w:basedOn w:val="Normal"/>
    <w:rsid w:val="00533B5E"/>
    <w:pPr>
      <w:tabs>
        <w:tab w:val="left" w:pos="1440"/>
        <w:tab w:val="right" w:leader="dot" w:pos="8208"/>
        <w:tab w:val="left" w:pos="8640"/>
      </w:tabs>
      <w:ind w:left="1440" w:right="1800" w:hanging="1152"/>
    </w:pPr>
  </w:style>
  <w:style w:type="paragraph" w:styleId="TOC2">
    <w:name w:val="toc 2"/>
    <w:basedOn w:val="Normal"/>
    <w:uiPriority w:val="39"/>
    <w:rsid w:val="00533B5E"/>
    <w:pPr>
      <w:tabs>
        <w:tab w:val="left" w:pos="2160"/>
        <w:tab w:val="right" w:leader="dot" w:pos="8208"/>
        <w:tab w:val="left" w:pos="8640"/>
      </w:tabs>
      <w:ind w:left="2160" w:right="1800" w:hanging="720"/>
    </w:pPr>
    <w:rPr>
      <w:szCs w:val="22"/>
    </w:rPr>
  </w:style>
  <w:style w:type="paragraph" w:styleId="TOC3">
    <w:name w:val="toc 3"/>
    <w:basedOn w:val="Normal"/>
    <w:rsid w:val="00533B5E"/>
    <w:pPr>
      <w:tabs>
        <w:tab w:val="left" w:pos="3024"/>
        <w:tab w:val="right" w:leader="dot" w:pos="8208"/>
        <w:tab w:val="left" w:pos="8640"/>
      </w:tabs>
      <w:ind w:left="3024" w:right="1800" w:hanging="864"/>
    </w:pPr>
  </w:style>
  <w:style w:type="paragraph" w:styleId="TOC4">
    <w:name w:val="toc 4"/>
    <w:basedOn w:val="Normal"/>
    <w:rsid w:val="00533B5E"/>
    <w:pPr>
      <w:tabs>
        <w:tab w:val="left" w:pos="3888"/>
        <w:tab w:val="right" w:leader="dot" w:pos="8208"/>
        <w:tab w:val="left" w:pos="8640"/>
      </w:tabs>
      <w:ind w:left="3888" w:right="1800" w:hanging="864"/>
    </w:pPr>
  </w:style>
  <w:style w:type="paragraph" w:styleId="TOC5">
    <w:name w:val="toc 5"/>
    <w:basedOn w:val="Normal"/>
    <w:uiPriority w:val="39"/>
    <w:rsid w:val="00533B5E"/>
    <w:pPr>
      <w:tabs>
        <w:tab w:val="left" w:pos="1440"/>
        <w:tab w:val="right" w:leader="dot" w:pos="8208"/>
        <w:tab w:val="left" w:pos="8640"/>
      </w:tabs>
      <w:ind w:left="1440" w:right="1800" w:hanging="1152"/>
    </w:pPr>
  </w:style>
  <w:style w:type="paragraph" w:customStyle="1" w:styleId="TT-TableTitle">
    <w:name w:val="TT-Table Title"/>
    <w:basedOn w:val="Heading1"/>
    <w:link w:val="TT-TableTitleChar"/>
    <w:rsid w:val="00533B5E"/>
    <w:pPr>
      <w:tabs>
        <w:tab w:val="clear" w:pos="1152"/>
        <w:tab w:val="left" w:pos="1440"/>
      </w:tabs>
      <w:spacing w:line="240" w:lineRule="atLeast"/>
      <w:ind w:left="1440" w:hanging="1440"/>
      <w:jc w:val="left"/>
    </w:pPr>
    <w:rPr>
      <w:b w:val="0"/>
      <w:color w:val="auto"/>
      <w:sz w:val="22"/>
      <w:szCs w:val="24"/>
    </w:rPr>
  </w:style>
  <w:style w:type="character" w:customStyle="1" w:styleId="TT-TableTitleChar">
    <w:name w:val="TT-Table Title Char"/>
    <w:link w:val="TT-TableTitle"/>
    <w:locked/>
    <w:rsid w:val="006E3562"/>
    <w:rPr>
      <w:rFonts w:ascii="Franklin Gothic Medium" w:hAnsi="Franklin Gothic Medium"/>
      <w:sz w:val="22"/>
      <w:szCs w:val="24"/>
    </w:rPr>
  </w:style>
  <w:style w:type="paragraph" w:customStyle="1" w:styleId="R1-ResPara">
    <w:name w:val="R1-Res. Para"/>
    <w:rsid w:val="00533B5E"/>
    <w:pPr>
      <w:spacing w:line="240" w:lineRule="atLeast"/>
      <w:ind w:left="288"/>
    </w:pPr>
    <w:rPr>
      <w:rFonts w:ascii="Garamond" w:hAnsi="Garamond"/>
      <w:sz w:val="24"/>
    </w:rPr>
  </w:style>
  <w:style w:type="paragraph" w:customStyle="1" w:styleId="R2-ResBullet">
    <w:name w:val="R2-Res Bullet"/>
    <w:basedOn w:val="Normal"/>
    <w:rsid w:val="00533B5E"/>
    <w:pPr>
      <w:tabs>
        <w:tab w:val="left" w:pos="720"/>
      </w:tabs>
      <w:ind w:left="720" w:hanging="432"/>
    </w:pPr>
  </w:style>
  <w:style w:type="paragraph" w:customStyle="1" w:styleId="RF-Reference">
    <w:name w:val="RF-Reference"/>
    <w:basedOn w:val="Normal"/>
    <w:rsid w:val="00533B5E"/>
    <w:pPr>
      <w:spacing w:line="240" w:lineRule="exact"/>
      <w:ind w:left="216" w:hanging="216"/>
    </w:pPr>
  </w:style>
  <w:style w:type="paragraph" w:customStyle="1" w:styleId="RH-SglSpHead">
    <w:name w:val="RH-Sgl Sp Head"/>
    <w:basedOn w:val="Heading1"/>
    <w:next w:val="RL-FlLftSgl"/>
    <w:rsid w:val="00533B5E"/>
    <w:pPr>
      <w:pBdr>
        <w:bottom w:val="single" w:sz="24" w:space="1" w:color="AFBED9"/>
      </w:pBdr>
      <w:tabs>
        <w:tab w:val="clear" w:pos="1152"/>
      </w:tabs>
      <w:spacing w:after="480" w:line="360" w:lineRule="exact"/>
      <w:jc w:val="left"/>
    </w:pPr>
    <w:rPr>
      <w:sz w:val="36"/>
      <w:u w:color="324162"/>
    </w:rPr>
  </w:style>
  <w:style w:type="paragraph" w:customStyle="1" w:styleId="RL-FlLftSgl">
    <w:name w:val="RL-Fl Lft Sgl"/>
    <w:basedOn w:val="Heading1"/>
    <w:rsid w:val="00533B5E"/>
    <w:pPr>
      <w:tabs>
        <w:tab w:val="clear" w:pos="1152"/>
      </w:tabs>
      <w:spacing w:line="240" w:lineRule="atLeast"/>
      <w:jc w:val="left"/>
    </w:pPr>
    <w:rPr>
      <w:sz w:val="24"/>
    </w:rPr>
  </w:style>
  <w:style w:type="paragraph" w:customStyle="1" w:styleId="SU-FlLftUndln">
    <w:name w:val="SU-Fl Lft Undln"/>
    <w:basedOn w:val="Normal"/>
    <w:rsid w:val="00533B5E"/>
    <w:pPr>
      <w:keepNext/>
      <w:spacing w:line="240" w:lineRule="exact"/>
    </w:pPr>
    <w:rPr>
      <w:u w:val="single"/>
    </w:rPr>
  </w:style>
  <w:style w:type="paragraph" w:customStyle="1" w:styleId="Header-1">
    <w:name w:val="Header-1"/>
    <w:basedOn w:val="Heading1"/>
    <w:rsid w:val="00533B5E"/>
    <w:pPr>
      <w:framePr w:hSpace="187" w:wrap="around" w:vAnchor="text" w:hAnchor="text" w:y="1"/>
      <w:tabs>
        <w:tab w:val="clear" w:pos="1152"/>
      </w:tabs>
      <w:spacing w:line="240" w:lineRule="atLeast"/>
      <w:suppressOverlap/>
    </w:pPr>
    <w:rPr>
      <w:sz w:val="20"/>
    </w:rPr>
  </w:style>
  <w:style w:type="paragraph" w:customStyle="1" w:styleId="Heading0">
    <w:name w:val="Heading 0"/>
    <w:aliases w:val="H0-Chap Head"/>
    <w:basedOn w:val="Heading1"/>
    <w:rsid w:val="00C42859"/>
    <w:pPr>
      <w:tabs>
        <w:tab w:val="clear" w:pos="1152"/>
      </w:tabs>
    </w:pPr>
  </w:style>
  <w:style w:type="character" w:styleId="PageNumber">
    <w:name w:val="page number"/>
    <w:rsid w:val="00533B5E"/>
  </w:style>
  <w:style w:type="paragraph" w:customStyle="1" w:styleId="R0-FLLftSglBoldItalic">
    <w:name w:val="R0-FL Lft Sgl Bold Italic"/>
    <w:basedOn w:val="Heading1"/>
    <w:rsid w:val="00533B5E"/>
    <w:pPr>
      <w:tabs>
        <w:tab w:val="clear" w:pos="1152"/>
      </w:tabs>
      <w:spacing w:line="240" w:lineRule="atLeast"/>
      <w:jc w:val="left"/>
    </w:pPr>
    <w:rPr>
      <w:rFonts w:cs="Times New Roman Bold"/>
      <w:b w:val="0"/>
      <w:i/>
      <w:color w:val="auto"/>
      <w:sz w:val="24"/>
    </w:rPr>
  </w:style>
  <w:style w:type="paragraph" w:customStyle="1" w:styleId="CT-ContractInformation">
    <w:name w:val="CT-Contract Information"/>
    <w:basedOn w:val="Normal"/>
    <w:rsid w:val="00533B5E"/>
    <w:pPr>
      <w:tabs>
        <w:tab w:val="left" w:pos="2232"/>
      </w:tabs>
      <w:spacing w:line="240" w:lineRule="exact"/>
    </w:pPr>
    <w:rPr>
      <w:vanish/>
    </w:rPr>
  </w:style>
  <w:style w:type="paragraph" w:customStyle="1" w:styleId="TC-TableofContentsHeading">
    <w:name w:val="TC-Table of Contents Heading"/>
    <w:basedOn w:val="Heading1"/>
    <w:next w:val="T0-ChapPgHd"/>
    <w:rsid w:val="00533B5E"/>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533B5E"/>
    <w:rPr>
      <w:rFonts w:ascii="Franklin Gothic Medium" w:hAnsi="Franklin Gothic Medium"/>
      <w:sz w:val="16"/>
    </w:rPr>
  </w:style>
  <w:style w:type="paragraph" w:styleId="FootnoteText">
    <w:name w:val="footnote text"/>
    <w:aliases w:val="F1"/>
    <w:link w:val="FootnoteTextChar"/>
    <w:semiHidden/>
    <w:rsid w:val="00533B5E"/>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
    <w:link w:val="FootnoteText"/>
    <w:semiHidden/>
    <w:rsid w:val="00533B5E"/>
    <w:rPr>
      <w:rFonts w:ascii="Garamond" w:hAnsi="Garamond"/>
    </w:rPr>
  </w:style>
  <w:style w:type="paragraph" w:customStyle="1" w:styleId="TH-TableHeading">
    <w:name w:val="TH-Table Heading"/>
    <w:basedOn w:val="Heading1"/>
    <w:rsid w:val="00533B5E"/>
    <w:pPr>
      <w:spacing w:line="240" w:lineRule="atLeast"/>
      <w:jc w:val="center"/>
    </w:pPr>
    <w:rPr>
      <w:color w:val="auto"/>
      <w:sz w:val="20"/>
    </w:rPr>
  </w:style>
  <w:style w:type="paragraph" w:styleId="TOC6">
    <w:name w:val="toc 6"/>
    <w:semiHidden/>
    <w:rsid w:val="00533B5E"/>
    <w:pPr>
      <w:tabs>
        <w:tab w:val="right" w:leader="dot" w:pos="8208"/>
        <w:tab w:val="left" w:pos="8640"/>
      </w:tabs>
      <w:ind w:left="288"/>
    </w:pPr>
    <w:rPr>
      <w:rFonts w:ascii="Garamond" w:hAnsi="Garamond"/>
      <w:sz w:val="24"/>
      <w:szCs w:val="22"/>
    </w:rPr>
  </w:style>
  <w:style w:type="paragraph" w:styleId="TOC7">
    <w:name w:val="toc 7"/>
    <w:semiHidden/>
    <w:rsid w:val="00533B5E"/>
    <w:pPr>
      <w:tabs>
        <w:tab w:val="right" w:leader="dot" w:pos="8208"/>
        <w:tab w:val="left" w:pos="8640"/>
      </w:tabs>
      <w:ind w:left="1440"/>
    </w:pPr>
    <w:rPr>
      <w:rFonts w:ascii="Garamond" w:hAnsi="Garamond"/>
      <w:sz w:val="24"/>
      <w:szCs w:val="22"/>
    </w:rPr>
  </w:style>
  <w:style w:type="paragraph" w:styleId="TOC8">
    <w:name w:val="toc 8"/>
    <w:rsid w:val="00533B5E"/>
    <w:pPr>
      <w:tabs>
        <w:tab w:val="right" w:leader="dot" w:pos="8208"/>
        <w:tab w:val="left" w:pos="8640"/>
      </w:tabs>
      <w:ind w:left="2160"/>
    </w:pPr>
    <w:rPr>
      <w:rFonts w:ascii="Garamond" w:hAnsi="Garamond"/>
      <w:sz w:val="24"/>
      <w:szCs w:val="22"/>
    </w:rPr>
  </w:style>
  <w:style w:type="paragraph" w:styleId="TOC9">
    <w:name w:val="toc 9"/>
    <w:semiHidden/>
    <w:rsid w:val="00533B5E"/>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533B5E"/>
    <w:rPr>
      <w:rFonts w:ascii="Franklin Gothic Medium" w:hAnsi="Franklin Gothic Medium"/>
      <w:sz w:val="20"/>
    </w:rPr>
  </w:style>
  <w:style w:type="table" w:customStyle="1" w:styleId="TableWestatStandardFormat">
    <w:name w:val="Table Westat Standard Format"/>
    <w:basedOn w:val="TableNormal"/>
    <w:rsid w:val="00533B5E"/>
    <w:rPr>
      <w:rFonts w:ascii="Franklin Gothic Medium" w:hAnsi="Franklin Gothic Medium"/>
    </w:rPr>
    <w:tblPr>
      <w:tblBorders>
        <w:top w:val="single" w:sz="6" w:space="0" w:color="auto"/>
        <w:bottom w:val="single" w:sz="6" w:space="0" w:color="auto"/>
      </w:tblBorders>
    </w:tblPr>
    <w:tblStylePr w:type="firstRow">
      <w:pPr>
        <w:jc w:val="center"/>
      </w:pPr>
      <w:tblPr/>
      <w:tcPr>
        <w:tcBorders>
          <w:top w:val="single" w:sz="6" w:space="0" w:color="auto"/>
          <w:left w:val="nil"/>
          <w:bottom w:val="single" w:sz="6" w:space="0" w:color="auto"/>
          <w:right w:val="nil"/>
          <w:insideH w:val="nil"/>
          <w:insideV w:val="nil"/>
          <w:tl2br w:val="nil"/>
          <w:tr2bl w:val="nil"/>
        </w:tcBorders>
        <w:shd w:val="clear" w:color="auto" w:fill="AFBED7"/>
      </w:tcPr>
    </w:tblStylePr>
  </w:style>
  <w:style w:type="character" w:styleId="FootnoteReference">
    <w:name w:val="footnote reference"/>
    <w:uiPriority w:val="99"/>
    <w:unhideWhenUsed/>
    <w:rsid w:val="00533B5E"/>
    <w:rPr>
      <w:vertAlign w:val="superscript"/>
    </w:rPr>
  </w:style>
  <w:style w:type="paragraph" w:customStyle="1" w:styleId="TB-TableBullet">
    <w:name w:val="TB-Table Bullet"/>
    <w:basedOn w:val="TX-TableText"/>
    <w:qFormat/>
    <w:rsid w:val="00533B5E"/>
    <w:pPr>
      <w:numPr>
        <w:numId w:val="5"/>
      </w:numPr>
    </w:pPr>
  </w:style>
  <w:style w:type="paragraph" w:styleId="PlainText">
    <w:name w:val="Plain Text"/>
    <w:basedOn w:val="Normal"/>
    <w:link w:val="PlainTextChar"/>
    <w:uiPriority w:val="99"/>
    <w:unhideWhenUsed/>
    <w:rsid w:val="008C7480"/>
    <w:rPr>
      <w:rFonts w:ascii="Courier New" w:hAnsi="Courier New"/>
      <w:sz w:val="20"/>
    </w:rPr>
  </w:style>
  <w:style w:type="character" w:customStyle="1" w:styleId="PlainTextChar">
    <w:name w:val="Plain Text Char"/>
    <w:link w:val="PlainText"/>
    <w:uiPriority w:val="99"/>
    <w:rsid w:val="008C7480"/>
    <w:rPr>
      <w:rFonts w:ascii="Courier New" w:eastAsia="Calibri" w:hAnsi="Courier New" w:cs="Times New Roman"/>
    </w:rPr>
  </w:style>
  <w:style w:type="paragraph" w:customStyle="1" w:styleId="References">
    <w:name w:val="References"/>
    <w:basedOn w:val="Normal"/>
    <w:uiPriority w:val="99"/>
    <w:rsid w:val="006E3562"/>
    <w:pPr>
      <w:keepLines/>
      <w:tabs>
        <w:tab w:val="left" w:pos="432"/>
      </w:tabs>
      <w:spacing w:after="240" w:line="240" w:lineRule="auto"/>
      <w:ind w:left="432" w:hanging="432"/>
      <w:jc w:val="both"/>
    </w:pPr>
    <w:rPr>
      <w:szCs w:val="24"/>
    </w:rPr>
  </w:style>
  <w:style w:type="character" w:styleId="Hyperlink">
    <w:name w:val="Hyperlink"/>
    <w:uiPriority w:val="99"/>
    <w:rsid w:val="006E3562"/>
    <w:rPr>
      <w:rFonts w:cs="Times New Roman"/>
      <w:color w:val="0000FF"/>
      <w:u w:val="single"/>
    </w:rPr>
  </w:style>
  <w:style w:type="paragraph" w:customStyle="1" w:styleId="Default">
    <w:name w:val="Default"/>
    <w:rsid w:val="006E3562"/>
    <w:pPr>
      <w:autoSpaceDE w:val="0"/>
      <w:autoSpaceDN w:val="0"/>
      <w:adjustRightInd w:val="0"/>
    </w:pPr>
    <w:rPr>
      <w:rFonts w:ascii="Lucida Sans" w:hAnsi="Lucida Sans" w:cs="Lucida Sans"/>
      <w:color w:val="000000"/>
      <w:sz w:val="24"/>
      <w:szCs w:val="24"/>
    </w:rPr>
  </w:style>
  <w:style w:type="paragraph" w:styleId="Revision">
    <w:name w:val="Revision"/>
    <w:hidden/>
    <w:uiPriority w:val="99"/>
    <w:semiHidden/>
    <w:rsid w:val="006E3562"/>
    <w:rPr>
      <w:rFonts w:ascii="Garamond" w:hAnsi="Garamond"/>
      <w:sz w:val="24"/>
      <w:szCs w:val="24"/>
    </w:rPr>
  </w:style>
  <w:style w:type="character" w:styleId="CommentReference">
    <w:name w:val="annotation reference"/>
    <w:uiPriority w:val="99"/>
    <w:semiHidden/>
    <w:unhideWhenUsed/>
    <w:rsid w:val="00956406"/>
    <w:rPr>
      <w:sz w:val="16"/>
      <w:szCs w:val="16"/>
    </w:rPr>
  </w:style>
  <w:style w:type="paragraph" w:styleId="CommentText">
    <w:name w:val="annotation text"/>
    <w:basedOn w:val="Normal"/>
    <w:link w:val="CommentTextChar"/>
    <w:uiPriority w:val="99"/>
    <w:unhideWhenUsed/>
    <w:rsid w:val="00956406"/>
    <w:rPr>
      <w:sz w:val="20"/>
    </w:rPr>
  </w:style>
  <w:style w:type="character" w:customStyle="1" w:styleId="CommentTextChar">
    <w:name w:val="Comment Text Char"/>
    <w:link w:val="CommentText"/>
    <w:uiPriority w:val="99"/>
    <w:rsid w:val="00956406"/>
    <w:rPr>
      <w:rFonts w:ascii="Garamond" w:hAnsi="Garamond"/>
    </w:rPr>
  </w:style>
  <w:style w:type="paragraph" w:styleId="CommentSubject">
    <w:name w:val="annotation subject"/>
    <w:basedOn w:val="CommentText"/>
    <w:next w:val="CommentText"/>
    <w:link w:val="CommentSubjectChar"/>
    <w:uiPriority w:val="99"/>
    <w:semiHidden/>
    <w:unhideWhenUsed/>
    <w:rsid w:val="00956406"/>
    <w:rPr>
      <w:b/>
      <w:bCs/>
    </w:rPr>
  </w:style>
  <w:style w:type="character" w:customStyle="1" w:styleId="CommentSubjectChar">
    <w:name w:val="Comment Subject Char"/>
    <w:link w:val="CommentSubject"/>
    <w:uiPriority w:val="99"/>
    <w:semiHidden/>
    <w:rsid w:val="00956406"/>
    <w:rPr>
      <w:rFonts w:ascii="Garamond" w:hAnsi="Garamond"/>
      <w:b/>
      <w:bCs/>
    </w:rPr>
  </w:style>
  <w:style w:type="paragraph" w:styleId="ListParagraph">
    <w:name w:val="List Paragraph"/>
    <w:basedOn w:val="Normal"/>
    <w:uiPriority w:val="34"/>
    <w:qFormat/>
    <w:rsid w:val="00EA1DFA"/>
    <w:pPr>
      <w:spacing w:line="240" w:lineRule="auto"/>
      <w:ind w:left="720"/>
    </w:pPr>
    <w:rPr>
      <w:rFonts w:ascii="Calibri" w:eastAsiaTheme="minorHAnsi" w:hAnsi="Calibri"/>
      <w:sz w:val="22"/>
      <w:szCs w:val="22"/>
    </w:rPr>
  </w:style>
  <w:style w:type="character" w:styleId="FollowedHyperlink">
    <w:name w:val="FollowedHyperlink"/>
    <w:basedOn w:val="DefaultParagraphFont"/>
    <w:uiPriority w:val="99"/>
    <w:semiHidden/>
    <w:unhideWhenUsed/>
    <w:rsid w:val="00E724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21958">
      <w:bodyDiv w:val="1"/>
      <w:marLeft w:val="0"/>
      <w:marRight w:val="0"/>
      <w:marTop w:val="0"/>
      <w:marBottom w:val="0"/>
      <w:divBdr>
        <w:top w:val="none" w:sz="0" w:space="0" w:color="auto"/>
        <w:left w:val="none" w:sz="0" w:space="0" w:color="auto"/>
        <w:bottom w:val="none" w:sz="0" w:space="0" w:color="auto"/>
        <w:right w:val="none" w:sz="0" w:space="0" w:color="auto"/>
      </w:divBdr>
    </w:div>
    <w:div w:id="152835736">
      <w:bodyDiv w:val="1"/>
      <w:marLeft w:val="0"/>
      <w:marRight w:val="0"/>
      <w:marTop w:val="0"/>
      <w:marBottom w:val="0"/>
      <w:divBdr>
        <w:top w:val="none" w:sz="0" w:space="0" w:color="auto"/>
        <w:left w:val="none" w:sz="0" w:space="0" w:color="auto"/>
        <w:bottom w:val="none" w:sz="0" w:space="0" w:color="auto"/>
        <w:right w:val="none" w:sz="0" w:space="0" w:color="auto"/>
      </w:divBdr>
    </w:div>
    <w:div w:id="376780684">
      <w:bodyDiv w:val="1"/>
      <w:marLeft w:val="0"/>
      <w:marRight w:val="0"/>
      <w:marTop w:val="0"/>
      <w:marBottom w:val="0"/>
      <w:divBdr>
        <w:top w:val="none" w:sz="0" w:space="0" w:color="auto"/>
        <w:left w:val="none" w:sz="0" w:space="0" w:color="auto"/>
        <w:bottom w:val="none" w:sz="0" w:space="0" w:color="auto"/>
        <w:right w:val="none" w:sz="0" w:space="0" w:color="auto"/>
      </w:divBdr>
    </w:div>
    <w:div w:id="467088112">
      <w:bodyDiv w:val="1"/>
      <w:marLeft w:val="0"/>
      <w:marRight w:val="0"/>
      <w:marTop w:val="0"/>
      <w:marBottom w:val="0"/>
      <w:divBdr>
        <w:top w:val="none" w:sz="0" w:space="0" w:color="auto"/>
        <w:left w:val="none" w:sz="0" w:space="0" w:color="auto"/>
        <w:bottom w:val="none" w:sz="0" w:space="0" w:color="auto"/>
        <w:right w:val="none" w:sz="0" w:space="0" w:color="auto"/>
      </w:divBdr>
    </w:div>
    <w:div w:id="478350116">
      <w:bodyDiv w:val="1"/>
      <w:marLeft w:val="0"/>
      <w:marRight w:val="0"/>
      <w:marTop w:val="0"/>
      <w:marBottom w:val="0"/>
      <w:divBdr>
        <w:top w:val="none" w:sz="0" w:space="0" w:color="auto"/>
        <w:left w:val="none" w:sz="0" w:space="0" w:color="auto"/>
        <w:bottom w:val="none" w:sz="0" w:space="0" w:color="auto"/>
        <w:right w:val="none" w:sz="0" w:space="0" w:color="auto"/>
      </w:divBdr>
    </w:div>
    <w:div w:id="527763982">
      <w:bodyDiv w:val="1"/>
      <w:marLeft w:val="0"/>
      <w:marRight w:val="0"/>
      <w:marTop w:val="0"/>
      <w:marBottom w:val="0"/>
      <w:divBdr>
        <w:top w:val="none" w:sz="0" w:space="0" w:color="auto"/>
        <w:left w:val="none" w:sz="0" w:space="0" w:color="auto"/>
        <w:bottom w:val="none" w:sz="0" w:space="0" w:color="auto"/>
        <w:right w:val="none" w:sz="0" w:space="0" w:color="auto"/>
      </w:divBdr>
    </w:div>
    <w:div w:id="671102190">
      <w:bodyDiv w:val="1"/>
      <w:marLeft w:val="0"/>
      <w:marRight w:val="0"/>
      <w:marTop w:val="0"/>
      <w:marBottom w:val="0"/>
      <w:divBdr>
        <w:top w:val="none" w:sz="0" w:space="0" w:color="auto"/>
        <w:left w:val="none" w:sz="0" w:space="0" w:color="auto"/>
        <w:bottom w:val="none" w:sz="0" w:space="0" w:color="auto"/>
        <w:right w:val="none" w:sz="0" w:space="0" w:color="auto"/>
      </w:divBdr>
    </w:div>
    <w:div w:id="672949239">
      <w:bodyDiv w:val="1"/>
      <w:marLeft w:val="0"/>
      <w:marRight w:val="0"/>
      <w:marTop w:val="0"/>
      <w:marBottom w:val="0"/>
      <w:divBdr>
        <w:top w:val="none" w:sz="0" w:space="0" w:color="auto"/>
        <w:left w:val="none" w:sz="0" w:space="0" w:color="auto"/>
        <w:bottom w:val="none" w:sz="0" w:space="0" w:color="auto"/>
        <w:right w:val="none" w:sz="0" w:space="0" w:color="auto"/>
      </w:divBdr>
    </w:div>
    <w:div w:id="765731461">
      <w:bodyDiv w:val="1"/>
      <w:marLeft w:val="0"/>
      <w:marRight w:val="0"/>
      <w:marTop w:val="0"/>
      <w:marBottom w:val="0"/>
      <w:divBdr>
        <w:top w:val="none" w:sz="0" w:space="0" w:color="auto"/>
        <w:left w:val="none" w:sz="0" w:space="0" w:color="auto"/>
        <w:bottom w:val="none" w:sz="0" w:space="0" w:color="auto"/>
        <w:right w:val="none" w:sz="0" w:space="0" w:color="auto"/>
      </w:divBdr>
    </w:div>
    <w:div w:id="797576084">
      <w:bodyDiv w:val="1"/>
      <w:marLeft w:val="0"/>
      <w:marRight w:val="0"/>
      <w:marTop w:val="0"/>
      <w:marBottom w:val="0"/>
      <w:divBdr>
        <w:top w:val="none" w:sz="0" w:space="0" w:color="auto"/>
        <w:left w:val="none" w:sz="0" w:space="0" w:color="auto"/>
        <w:bottom w:val="none" w:sz="0" w:space="0" w:color="auto"/>
        <w:right w:val="none" w:sz="0" w:space="0" w:color="auto"/>
      </w:divBdr>
    </w:div>
    <w:div w:id="985626287">
      <w:bodyDiv w:val="1"/>
      <w:marLeft w:val="0"/>
      <w:marRight w:val="0"/>
      <w:marTop w:val="0"/>
      <w:marBottom w:val="0"/>
      <w:divBdr>
        <w:top w:val="none" w:sz="0" w:space="0" w:color="auto"/>
        <w:left w:val="none" w:sz="0" w:space="0" w:color="auto"/>
        <w:bottom w:val="none" w:sz="0" w:space="0" w:color="auto"/>
        <w:right w:val="none" w:sz="0" w:space="0" w:color="auto"/>
      </w:divBdr>
    </w:div>
    <w:div w:id="997147426">
      <w:bodyDiv w:val="1"/>
      <w:marLeft w:val="0"/>
      <w:marRight w:val="0"/>
      <w:marTop w:val="0"/>
      <w:marBottom w:val="0"/>
      <w:divBdr>
        <w:top w:val="none" w:sz="0" w:space="0" w:color="auto"/>
        <w:left w:val="none" w:sz="0" w:space="0" w:color="auto"/>
        <w:bottom w:val="none" w:sz="0" w:space="0" w:color="auto"/>
        <w:right w:val="none" w:sz="0" w:space="0" w:color="auto"/>
      </w:divBdr>
    </w:div>
    <w:div w:id="1039234918">
      <w:bodyDiv w:val="1"/>
      <w:marLeft w:val="0"/>
      <w:marRight w:val="0"/>
      <w:marTop w:val="0"/>
      <w:marBottom w:val="0"/>
      <w:divBdr>
        <w:top w:val="none" w:sz="0" w:space="0" w:color="auto"/>
        <w:left w:val="none" w:sz="0" w:space="0" w:color="auto"/>
        <w:bottom w:val="none" w:sz="0" w:space="0" w:color="auto"/>
        <w:right w:val="none" w:sz="0" w:space="0" w:color="auto"/>
      </w:divBdr>
    </w:div>
    <w:div w:id="1075011345">
      <w:bodyDiv w:val="1"/>
      <w:marLeft w:val="0"/>
      <w:marRight w:val="0"/>
      <w:marTop w:val="0"/>
      <w:marBottom w:val="0"/>
      <w:divBdr>
        <w:top w:val="none" w:sz="0" w:space="0" w:color="auto"/>
        <w:left w:val="none" w:sz="0" w:space="0" w:color="auto"/>
        <w:bottom w:val="none" w:sz="0" w:space="0" w:color="auto"/>
        <w:right w:val="none" w:sz="0" w:space="0" w:color="auto"/>
      </w:divBdr>
    </w:div>
    <w:div w:id="1138062901">
      <w:bodyDiv w:val="1"/>
      <w:marLeft w:val="0"/>
      <w:marRight w:val="0"/>
      <w:marTop w:val="0"/>
      <w:marBottom w:val="0"/>
      <w:divBdr>
        <w:top w:val="none" w:sz="0" w:space="0" w:color="auto"/>
        <w:left w:val="none" w:sz="0" w:space="0" w:color="auto"/>
        <w:bottom w:val="none" w:sz="0" w:space="0" w:color="auto"/>
        <w:right w:val="none" w:sz="0" w:space="0" w:color="auto"/>
      </w:divBdr>
    </w:div>
    <w:div w:id="1223449348">
      <w:bodyDiv w:val="1"/>
      <w:marLeft w:val="0"/>
      <w:marRight w:val="0"/>
      <w:marTop w:val="0"/>
      <w:marBottom w:val="0"/>
      <w:divBdr>
        <w:top w:val="none" w:sz="0" w:space="0" w:color="auto"/>
        <w:left w:val="none" w:sz="0" w:space="0" w:color="auto"/>
        <w:bottom w:val="none" w:sz="0" w:space="0" w:color="auto"/>
        <w:right w:val="none" w:sz="0" w:space="0" w:color="auto"/>
      </w:divBdr>
    </w:div>
    <w:div w:id="1362974034">
      <w:bodyDiv w:val="1"/>
      <w:marLeft w:val="0"/>
      <w:marRight w:val="0"/>
      <w:marTop w:val="0"/>
      <w:marBottom w:val="0"/>
      <w:divBdr>
        <w:top w:val="none" w:sz="0" w:space="0" w:color="auto"/>
        <w:left w:val="none" w:sz="0" w:space="0" w:color="auto"/>
        <w:bottom w:val="none" w:sz="0" w:space="0" w:color="auto"/>
        <w:right w:val="none" w:sz="0" w:space="0" w:color="auto"/>
      </w:divBdr>
    </w:div>
    <w:div w:id="1507793228">
      <w:bodyDiv w:val="1"/>
      <w:marLeft w:val="0"/>
      <w:marRight w:val="0"/>
      <w:marTop w:val="0"/>
      <w:marBottom w:val="0"/>
      <w:divBdr>
        <w:top w:val="none" w:sz="0" w:space="0" w:color="auto"/>
        <w:left w:val="none" w:sz="0" w:space="0" w:color="auto"/>
        <w:bottom w:val="none" w:sz="0" w:space="0" w:color="auto"/>
        <w:right w:val="none" w:sz="0" w:space="0" w:color="auto"/>
      </w:divBdr>
    </w:div>
    <w:div w:id="1794054512">
      <w:bodyDiv w:val="1"/>
      <w:marLeft w:val="0"/>
      <w:marRight w:val="0"/>
      <w:marTop w:val="0"/>
      <w:marBottom w:val="0"/>
      <w:divBdr>
        <w:top w:val="none" w:sz="0" w:space="0" w:color="auto"/>
        <w:left w:val="none" w:sz="0" w:space="0" w:color="auto"/>
        <w:bottom w:val="none" w:sz="0" w:space="0" w:color="auto"/>
        <w:right w:val="none" w:sz="0" w:space="0" w:color="auto"/>
      </w:divBdr>
    </w:div>
    <w:div w:id="1805544205">
      <w:bodyDiv w:val="1"/>
      <w:marLeft w:val="0"/>
      <w:marRight w:val="0"/>
      <w:marTop w:val="0"/>
      <w:marBottom w:val="0"/>
      <w:divBdr>
        <w:top w:val="none" w:sz="0" w:space="0" w:color="auto"/>
        <w:left w:val="none" w:sz="0" w:space="0" w:color="auto"/>
        <w:bottom w:val="none" w:sz="0" w:space="0" w:color="auto"/>
        <w:right w:val="none" w:sz="0" w:space="0" w:color="auto"/>
      </w:divBdr>
    </w:div>
    <w:div w:id="1832987536">
      <w:bodyDiv w:val="1"/>
      <w:marLeft w:val="0"/>
      <w:marRight w:val="0"/>
      <w:marTop w:val="0"/>
      <w:marBottom w:val="0"/>
      <w:divBdr>
        <w:top w:val="none" w:sz="0" w:space="0" w:color="auto"/>
        <w:left w:val="none" w:sz="0" w:space="0" w:color="auto"/>
        <w:bottom w:val="none" w:sz="0" w:space="0" w:color="auto"/>
        <w:right w:val="none" w:sz="0" w:space="0" w:color="auto"/>
      </w:divBdr>
    </w:div>
    <w:div w:id="1835221203">
      <w:bodyDiv w:val="1"/>
      <w:marLeft w:val="0"/>
      <w:marRight w:val="0"/>
      <w:marTop w:val="0"/>
      <w:marBottom w:val="0"/>
      <w:divBdr>
        <w:top w:val="none" w:sz="0" w:space="0" w:color="auto"/>
        <w:left w:val="none" w:sz="0" w:space="0" w:color="auto"/>
        <w:bottom w:val="none" w:sz="0" w:space="0" w:color="auto"/>
        <w:right w:val="none" w:sz="0" w:space="0" w:color="auto"/>
      </w:divBdr>
    </w:div>
    <w:div w:id="1836458202">
      <w:bodyDiv w:val="1"/>
      <w:marLeft w:val="0"/>
      <w:marRight w:val="0"/>
      <w:marTop w:val="0"/>
      <w:marBottom w:val="0"/>
      <w:divBdr>
        <w:top w:val="none" w:sz="0" w:space="0" w:color="auto"/>
        <w:left w:val="none" w:sz="0" w:space="0" w:color="auto"/>
        <w:bottom w:val="none" w:sz="0" w:space="0" w:color="auto"/>
        <w:right w:val="none" w:sz="0" w:space="0" w:color="auto"/>
      </w:divBdr>
    </w:div>
    <w:div w:id="1896700968">
      <w:bodyDiv w:val="1"/>
      <w:marLeft w:val="0"/>
      <w:marRight w:val="0"/>
      <w:marTop w:val="0"/>
      <w:marBottom w:val="0"/>
      <w:divBdr>
        <w:top w:val="none" w:sz="0" w:space="0" w:color="auto"/>
        <w:left w:val="none" w:sz="0" w:space="0" w:color="auto"/>
        <w:bottom w:val="none" w:sz="0" w:space="0" w:color="auto"/>
        <w:right w:val="none" w:sz="0" w:space="0" w:color="auto"/>
      </w:divBdr>
    </w:div>
    <w:div w:id="2101027441">
      <w:bodyDiv w:val="1"/>
      <w:marLeft w:val="0"/>
      <w:marRight w:val="0"/>
      <w:marTop w:val="0"/>
      <w:marBottom w:val="0"/>
      <w:divBdr>
        <w:top w:val="none" w:sz="0" w:space="0" w:color="auto"/>
        <w:left w:val="none" w:sz="0" w:space="0" w:color="auto"/>
        <w:bottom w:val="none" w:sz="0" w:space="0" w:color="auto"/>
        <w:right w:val="none" w:sz="0" w:space="0" w:color="auto"/>
      </w:divBdr>
    </w:div>
    <w:div w:id="21102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mailto:Devin.Wallace-Williams@fns.usda.gov" TargetMode="External"/><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4_999200.htm" TargetMode="External"/><Relationship Id="rId2" Type="http://schemas.openxmlformats.org/officeDocument/2006/relationships/hyperlink" Target="http://www.whitehouse.gov/sites/default/files/omb/memoranda/2015/m-15-02.pdf" TargetMode="External"/><Relationship Id="rId1" Type="http://schemas.openxmlformats.org/officeDocument/2006/relationships/hyperlink" Target="http://www.fns.usda.gov/sites/default/files/ops/APECII-Summary.pdf" TargetMode="External"/><Relationship Id="rId6" Type="http://schemas.openxmlformats.org/officeDocument/2006/relationships/hyperlink" Target="https://www.opm.gov/policy-data-oversight/pay-leave/salaries-wages/salary-tables/pdf/2017/DCB_h.pdf" TargetMode="External"/><Relationship Id="rId5" Type="http://schemas.openxmlformats.org/officeDocument/2006/relationships/hyperlink" Target="http://www.dol.gov/general/topic/wages/minimumwage" TargetMode="External"/><Relationship Id="rId4" Type="http://schemas.openxmlformats.org/officeDocument/2006/relationships/hyperlink" Target="http://www.bls.gov/oes/current/naics3_61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69BE9-080A-4F9C-B051-828C9F18E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8691</Words>
  <Characters>49540</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58115</CharactersWithSpaces>
  <SharedDoc>false</SharedDoc>
  <HLinks>
    <vt:vector size="42" baseType="variant">
      <vt:variant>
        <vt:i4>1900665</vt:i4>
      </vt:variant>
      <vt:variant>
        <vt:i4>0</vt:i4>
      </vt:variant>
      <vt:variant>
        <vt:i4>0</vt:i4>
      </vt:variant>
      <vt:variant>
        <vt:i4>5</vt:i4>
      </vt:variant>
      <vt:variant>
        <vt:lpwstr>mailto:Devin.Wallace-Williams@fns.usda.gov</vt:lpwstr>
      </vt:variant>
      <vt:variant>
        <vt:lpwstr/>
      </vt:variant>
      <vt:variant>
        <vt:i4>4522099</vt:i4>
      </vt:variant>
      <vt:variant>
        <vt:i4>15</vt:i4>
      </vt:variant>
      <vt:variant>
        <vt:i4>0</vt:i4>
      </vt:variant>
      <vt:variant>
        <vt:i4>5</vt:i4>
      </vt:variant>
      <vt:variant>
        <vt:lpwstr>https://www.opm.gov/policy-data-oversight/pay-leave/salaries-wages/salary-tables/pdf/2017/DCB_h.pdf</vt:lpwstr>
      </vt:variant>
      <vt:variant>
        <vt:lpwstr/>
      </vt:variant>
      <vt:variant>
        <vt:i4>2490488</vt:i4>
      </vt:variant>
      <vt:variant>
        <vt:i4>12</vt:i4>
      </vt:variant>
      <vt:variant>
        <vt:i4>0</vt:i4>
      </vt:variant>
      <vt:variant>
        <vt:i4>5</vt:i4>
      </vt:variant>
      <vt:variant>
        <vt:lpwstr>http://www.dol.gov/general/topic/wages/minimumwage</vt:lpwstr>
      </vt:variant>
      <vt:variant>
        <vt:lpwstr/>
      </vt:variant>
      <vt:variant>
        <vt:i4>2621442</vt:i4>
      </vt:variant>
      <vt:variant>
        <vt:i4>9</vt:i4>
      </vt:variant>
      <vt:variant>
        <vt:i4>0</vt:i4>
      </vt:variant>
      <vt:variant>
        <vt:i4>5</vt:i4>
      </vt:variant>
      <vt:variant>
        <vt:lpwstr>http://www.bls.gov/oes/current/naics3_611000.htm</vt:lpwstr>
      </vt:variant>
      <vt:variant>
        <vt:lpwstr/>
      </vt:variant>
      <vt:variant>
        <vt:i4>2228226</vt:i4>
      </vt:variant>
      <vt:variant>
        <vt:i4>6</vt:i4>
      </vt:variant>
      <vt:variant>
        <vt:i4>0</vt:i4>
      </vt:variant>
      <vt:variant>
        <vt:i4>5</vt:i4>
      </vt:variant>
      <vt:variant>
        <vt:lpwstr>http://www.bls.gov/oes/current/naics4_999200.htm</vt:lpwstr>
      </vt:variant>
      <vt:variant>
        <vt:lpwstr/>
      </vt:variant>
      <vt:variant>
        <vt:i4>5701653</vt:i4>
      </vt:variant>
      <vt:variant>
        <vt:i4>3</vt:i4>
      </vt:variant>
      <vt:variant>
        <vt:i4>0</vt:i4>
      </vt:variant>
      <vt:variant>
        <vt:i4>5</vt:i4>
      </vt:variant>
      <vt:variant>
        <vt:lpwstr>http://www.whitehouse.gov/sites/default/files/omb/memoranda/2015/m-15-02.pdf</vt:lpwstr>
      </vt:variant>
      <vt:variant>
        <vt:lpwstr/>
      </vt:variant>
      <vt:variant>
        <vt:i4>3342433</vt:i4>
      </vt:variant>
      <vt:variant>
        <vt:i4>0</vt:i4>
      </vt:variant>
      <vt:variant>
        <vt:i4>0</vt:i4>
      </vt:variant>
      <vt:variant>
        <vt:i4>5</vt:i4>
      </vt:variant>
      <vt:variant>
        <vt:lpwstr>http://www.fns.usda.gov/sites/default/files/ops/APECII-Summary.pdf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Wallace-Williams, Devin - FNS</dc:creator>
  <cp:keywords/>
  <cp:lastModifiedBy>SYSTEM</cp:lastModifiedBy>
  <cp:revision>2</cp:revision>
  <cp:lastPrinted>2017-09-27T13:50:00Z</cp:lastPrinted>
  <dcterms:created xsi:type="dcterms:W3CDTF">2017-10-04T14:01:00Z</dcterms:created>
  <dcterms:modified xsi:type="dcterms:W3CDTF">2017-10-04T14:01:00Z</dcterms:modified>
</cp:coreProperties>
</file>