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A4" w:rsidRDefault="00C949A4" w:rsidP="00102575">
      <w:pPr>
        <w:pStyle w:val="Heading1"/>
      </w:pPr>
      <w:proofErr w:type="gramStart"/>
      <w:r w:rsidRPr="001C194E">
        <w:t>Special School Weights for Analysis of Non-Certification Errors</w:t>
      </w:r>
      <w:r>
        <w:t>.</w:t>
      </w:r>
      <w:proofErr w:type="gramEnd"/>
      <w:r>
        <w:t xml:space="preserve"> </w:t>
      </w:r>
    </w:p>
    <w:p w:rsidR="00C949A4" w:rsidRPr="008E69FF" w:rsidRDefault="00C949A4" w:rsidP="00C949A4">
      <w:pPr>
        <w:pStyle w:val="Heading7"/>
        <w:spacing w:line="480" w:lineRule="auto"/>
        <w:ind w:firstLine="360"/>
        <w:rPr>
          <w:b/>
          <w:i/>
        </w:rPr>
      </w:pPr>
      <w:r>
        <w:t>In addition to the general school weights, we will construct eight sets of special school weights for analysis of (a) four types of non-certification error: meal claiming error, aggregation error, school-to-SFA report aggregation error</w:t>
      </w:r>
      <w:r w:rsidRPr="00201B8C">
        <w:t>, and SFA-to-State-agency meal claim aggregation error</w:t>
      </w:r>
      <w:r>
        <w:t xml:space="preserve">, crossed by (b) two meal types (breakfast and lunch). The eight sets of weights to be constructed are indicated in </w:t>
      </w:r>
      <w:r w:rsidRPr="008E69FF">
        <w:t>Table B2-1.</w:t>
      </w:r>
    </w:p>
    <w:p w:rsidR="00C949A4" w:rsidRPr="008E69FF" w:rsidRDefault="00C949A4" w:rsidP="00C949A4">
      <w:pPr>
        <w:pStyle w:val="TT-TableTitle"/>
      </w:pPr>
    </w:p>
    <w:p w:rsidR="00C949A4" w:rsidRDefault="00C949A4" w:rsidP="00C949A4">
      <w:pPr>
        <w:pStyle w:val="TT-TableTitle"/>
      </w:pPr>
      <w:proofErr w:type="gramStart"/>
      <w:r w:rsidRPr="008E69FF">
        <w:t>Table B2-1.</w:t>
      </w:r>
      <w:proofErr w:type="gramEnd"/>
      <w:r w:rsidRPr="008E69FF">
        <w:tab/>
        <w:t>School-level weights to be constructed for analysis of non-certification errors</w:t>
      </w:r>
    </w:p>
    <w:p w:rsidR="00C949A4" w:rsidRDefault="00C949A4" w:rsidP="00C949A4">
      <w:pPr>
        <w:pStyle w:val="TT-TableTitle"/>
      </w:pPr>
    </w:p>
    <w:tbl>
      <w:tblPr>
        <w:tblW w:w="5000" w:type="pct"/>
        <w:tblInd w:w="93" w:type="dxa"/>
        <w:tblLayout w:type="fixed"/>
        <w:tblLook w:val="04A0" w:firstRow="1" w:lastRow="0" w:firstColumn="1" w:lastColumn="0" w:noHBand="0" w:noVBand="1"/>
      </w:tblPr>
      <w:tblGrid>
        <w:gridCol w:w="5934"/>
        <w:gridCol w:w="1821"/>
        <w:gridCol w:w="1821"/>
      </w:tblGrid>
      <w:tr w:rsidR="00C949A4" w:rsidRPr="00F26FA6" w:rsidTr="005475F5">
        <w:trPr>
          <w:trHeight w:val="144"/>
        </w:trPr>
        <w:tc>
          <w:tcPr>
            <w:tcW w:w="4040" w:type="dxa"/>
            <w:tcBorders>
              <w:top w:val="single" w:sz="4" w:space="0" w:color="auto"/>
              <w:left w:val="single" w:sz="4" w:space="0" w:color="auto"/>
              <w:bottom w:val="nil"/>
              <w:right w:val="single" w:sz="4" w:space="0" w:color="auto"/>
            </w:tcBorders>
            <w:shd w:val="clear" w:color="auto" w:fill="AFBED7"/>
            <w:noWrap/>
            <w:vAlign w:val="center"/>
            <w:hideMark/>
          </w:tcPr>
          <w:p w:rsidR="00C949A4" w:rsidRPr="00F26FA6" w:rsidRDefault="00C949A4" w:rsidP="005475F5">
            <w:pPr>
              <w:pStyle w:val="TH-TableHeading"/>
            </w:pPr>
            <w:r w:rsidRPr="00F26FA6">
              <w:t> </w:t>
            </w:r>
          </w:p>
        </w:tc>
        <w:tc>
          <w:tcPr>
            <w:tcW w:w="2480" w:type="dxa"/>
            <w:gridSpan w:val="2"/>
            <w:tcBorders>
              <w:top w:val="single" w:sz="4" w:space="0" w:color="auto"/>
              <w:left w:val="nil"/>
              <w:bottom w:val="single" w:sz="4" w:space="0" w:color="auto"/>
              <w:right w:val="single" w:sz="4" w:space="0" w:color="auto"/>
            </w:tcBorders>
            <w:shd w:val="clear" w:color="auto" w:fill="AFBED7"/>
            <w:noWrap/>
            <w:vAlign w:val="center"/>
            <w:hideMark/>
          </w:tcPr>
          <w:p w:rsidR="00C949A4" w:rsidRPr="00F26FA6" w:rsidRDefault="00C949A4" w:rsidP="005475F5">
            <w:pPr>
              <w:pStyle w:val="TH-TableHeading"/>
            </w:pPr>
            <w:r w:rsidRPr="00F26FA6">
              <w:t>Meal Type</w:t>
            </w:r>
          </w:p>
        </w:tc>
      </w:tr>
      <w:tr w:rsidR="00C949A4" w:rsidRPr="00F26FA6" w:rsidTr="005475F5">
        <w:trPr>
          <w:trHeight w:val="144"/>
        </w:trPr>
        <w:tc>
          <w:tcPr>
            <w:tcW w:w="4040" w:type="dxa"/>
            <w:tcBorders>
              <w:top w:val="nil"/>
              <w:left w:val="single" w:sz="4" w:space="0" w:color="auto"/>
              <w:bottom w:val="single" w:sz="4" w:space="0" w:color="auto"/>
              <w:right w:val="single" w:sz="4" w:space="0" w:color="auto"/>
            </w:tcBorders>
            <w:shd w:val="clear" w:color="auto" w:fill="AFBED7"/>
            <w:vAlign w:val="center"/>
            <w:hideMark/>
          </w:tcPr>
          <w:p w:rsidR="00C949A4" w:rsidRPr="00F26FA6" w:rsidRDefault="00C949A4" w:rsidP="005475F5">
            <w:pPr>
              <w:pStyle w:val="TH-TableHeading"/>
            </w:pPr>
            <w:r w:rsidRPr="00F26FA6">
              <w:t>Type of non-certification error</w:t>
            </w:r>
          </w:p>
        </w:tc>
        <w:tc>
          <w:tcPr>
            <w:tcW w:w="1240" w:type="dxa"/>
            <w:tcBorders>
              <w:top w:val="nil"/>
              <w:left w:val="nil"/>
              <w:bottom w:val="single" w:sz="4" w:space="0" w:color="auto"/>
              <w:right w:val="single" w:sz="4" w:space="0" w:color="auto"/>
            </w:tcBorders>
            <w:shd w:val="clear" w:color="auto" w:fill="AFBED7"/>
            <w:vAlign w:val="center"/>
            <w:hideMark/>
          </w:tcPr>
          <w:p w:rsidR="00C949A4" w:rsidRPr="00F26FA6" w:rsidRDefault="00C949A4" w:rsidP="005475F5">
            <w:pPr>
              <w:pStyle w:val="TH-TableHeading"/>
            </w:pPr>
            <w:r w:rsidRPr="00F26FA6">
              <w:t>Lunch</w:t>
            </w:r>
          </w:p>
        </w:tc>
        <w:tc>
          <w:tcPr>
            <w:tcW w:w="1240" w:type="dxa"/>
            <w:tcBorders>
              <w:top w:val="nil"/>
              <w:left w:val="nil"/>
              <w:bottom w:val="single" w:sz="4" w:space="0" w:color="auto"/>
              <w:right w:val="single" w:sz="4" w:space="0" w:color="auto"/>
            </w:tcBorders>
            <w:shd w:val="clear" w:color="auto" w:fill="AFBED7"/>
            <w:vAlign w:val="center"/>
            <w:hideMark/>
          </w:tcPr>
          <w:p w:rsidR="00C949A4" w:rsidRPr="00F26FA6" w:rsidRDefault="00C949A4" w:rsidP="005475F5">
            <w:pPr>
              <w:pStyle w:val="TH-TableHeading"/>
            </w:pPr>
            <w:r w:rsidRPr="00F26FA6">
              <w:t>Breakfast</w:t>
            </w:r>
          </w:p>
        </w:tc>
      </w:tr>
      <w:tr w:rsidR="00C949A4" w:rsidRPr="00F26FA6" w:rsidTr="005475F5">
        <w:trPr>
          <w:trHeight w:val="144"/>
        </w:trPr>
        <w:tc>
          <w:tcPr>
            <w:tcW w:w="4040" w:type="dxa"/>
            <w:tcBorders>
              <w:top w:val="nil"/>
              <w:left w:val="single" w:sz="4" w:space="0" w:color="auto"/>
              <w:bottom w:val="nil"/>
              <w:right w:val="single" w:sz="4" w:space="0" w:color="auto"/>
            </w:tcBorders>
            <w:shd w:val="clear" w:color="auto" w:fill="auto"/>
            <w:noWrap/>
            <w:vAlign w:val="bottom"/>
            <w:hideMark/>
          </w:tcPr>
          <w:p w:rsidR="00C949A4" w:rsidRPr="00F26FA6" w:rsidRDefault="00C949A4" w:rsidP="005475F5">
            <w:pPr>
              <w:pStyle w:val="TX-TableText"/>
            </w:pPr>
            <w:r w:rsidRPr="00F26FA6">
              <w:t>Meal claiming error</w:t>
            </w:r>
          </w:p>
        </w:tc>
        <w:tc>
          <w:tcPr>
            <w:tcW w:w="1240" w:type="dxa"/>
            <w:tcBorders>
              <w:top w:val="nil"/>
              <w:left w:val="nil"/>
              <w:bottom w:val="nil"/>
              <w:right w:val="single" w:sz="4" w:space="0" w:color="auto"/>
            </w:tcBorders>
            <w:shd w:val="clear" w:color="auto" w:fill="auto"/>
            <w:noWrap/>
            <w:vAlign w:val="bottom"/>
            <w:hideMark/>
          </w:tcPr>
          <w:p w:rsidR="00C949A4" w:rsidRPr="00F26FA6" w:rsidRDefault="00C85E5D" w:rsidP="005475F5">
            <w:pPr>
              <w:pStyle w:val="TX-TableText"/>
              <w:jc w:val="center"/>
            </w:pPr>
            <m:oMathPara>
              <m:oMath>
                <m:sSubSup>
                  <m:sSubSupPr>
                    <m:ctrlPr>
                      <w:rPr>
                        <w:rFonts w:ascii="Cambria Math" w:hAnsi="Cambria Math"/>
                        <w:i/>
                      </w:rPr>
                    </m:ctrlPr>
                  </m:sSubSupPr>
                  <m:e>
                    <m:r>
                      <w:rPr>
                        <w:rFonts w:ascii="Cambria Math" w:hAnsi="Cambria Math"/>
                      </w:rPr>
                      <m:t>w</m:t>
                    </m:r>
                  </m:e>
                  <m:sub/>
                  <m:sup>
                    <m:r>
                      <w:rPr>
                        <w:rFonts w:ascii="Cambria Math" w:hAnsi="Cambria Math"/>
                      </w:rPr>
                      <m:t>sch,</m:t>
                    </m:r>
                    <m:r>
                      <w:rPr>
                        <w:rFonts w:ascii="Cambria Math" w:hAnsi="Cambria Math"/>
                      </w:rPr>
                      <m:t>11</m:t>
                    </m:r>
                  </m:sup>
                </m:sSubSup>
              </m:oMath>
            </m:oMathPara>
          </w:p>
        </w:tc>
        <w:tc>
          <w:tcPr>
            <w:tcW w:w="1240" w:type="dxa"/>
            <w:tcBorders>
              <w:top w:val="nil"/>
              <w:left w:val="nil"/>
              <w:bottom w:val="nil"/>
              <w:right w:val="single" w:sz="4" w:space="0" w:color="auto"/>
            </w:tcBorders>
            <w:shd w:val="clear" w:color="auto" w:fill="auto"/>
            <w:noWrap/>
            <w:vAlign w:val="bottom"/>
            <w:hideMark/>
          </w:tcPr>
          <w:p w:rsidR="00C949A4" w:rsidRPr="00F26FA6" w:rsidRDefault="00C85E5D" w:rsidP="005475F5">
            <w:pPr>
              <w:pStyle w:val="TX-TableText"/>
              <w:jc w:val="center"/>
            </w:pPr>
            <m:oMathPara>
              <m:oMath>
                <m:sSubSup>
                  <m:sSubSupPr>
                    <m:ctrlPr>
                      <w:rPr>
                        <w:rFonts w:ascii="Cambria Math" w:hAnsi="Cambria Math"/>
                        <w:i/>
                      </w:rPr>
                    </m:ctrlPr>
                  </m:sSubSupPr>
                  <m:e>
                    <m:r>
                      <w:rPr>
                        <w:rFonts w:ascii="Cambria Math" w:hAnsi="Cambria Math"/>
                      </w:rPr>
                      <m:t>w</m:t>
                    </m:r>
                  </m:e>
                  <m:sub/>
                  <m:sup>
                    <m:r>
                      <w:rPr>
                        <w:rFonts w:ascii="Cambria Math" w:hAnsi="Cambria Math"/>
                      </w:rPr>
                      <m:t xml:space="preserve">sch, </m:t>
                    </m:r>
                    <m:r>
                      <w:rPr>
                        <w:rFonts w:ascii="Cambria Math" w:hAnsi="Cambria Math"/>
                      </w:rPr>
                      <m:t>12</m:t>
                    </m:r>
                  </m:sup>
                </m:sSubSup>
              </m:oMath>
            </m:oMathPara>
          </w:p>
        </w:tc>
      </w:tr>
      <w:tr w:rsidR="00C949A4" w:rsidRPr="00F26FA6" w:rsidTr="005475F5">
        <w:trPr>
          <w:trHeight w:val="144"/>
        </w:trPr>
        <w:tc>
          <w:tcPr>
            <w:tcW w:w="4040" w:type="dxa"/>
            <w:tcBorders>
              <w:top w:val="nil"/>
              <w:left w:val="single" w:sz="4" w:space="0" w:color="auto"/>
              <w:bottom w:val="nil"/>
              <w:right w:val="single" w:sz="4" w:space="0" w:color="auto"/>
            </w:tcBorders>
            <w:shd w:val="clear" w:color="auto" w:fill="auto"/>
            <w:noWrap/>
            <w:vAlign w:val="bottom"/>
            <w:hideMark/>
          </w:tcPr>
          <w:p w:rsidR="00C949A4" w:rsidRPr="00F26FA6" w:rsidRDefault="00C949A4" w:rsidP="005475F5">
            <w:pPr>
              <w:pStyle w:val="TX-TableText"/>
            </w:pPr>
            <w:r w:rsidRPr="00F26FA6">
              <w:t>POS aggregation error</w:t>
            </w:r>
          </w:p>
        </w:tc>
        <w:tc>
          <w:tcPr>
            <w:tcW w:w="1240" w:type="dxa"/>
            <w:tcBorders>
              <w:top w:val="nil"/>
              <w:left w:val="nil"/>
              <w:bottom w:val="nil"/>
              <w:right w:val="single" w:sz="4" w:space="0" w:color="auto"/>
            </w:tcBorders>
            <w:shd w:val="clear" w:color="auto" w:fill="auto"/>
            <w:noWrap/>
            <w:vAlign w:val="bottom"/>
            <w:hideMark/>
          </w:tcPr>
          <w:p w:rsidR="00C949A4" w:rsidRPr="00F26FA6" w:rsidRDefault="00C85E5D" w:rsidP="005475F5">
            <w:pPr>
              <w:pStyle w:val="TX-TableText"/>
              <w:jc w:val="center"/>
            </w:pPr>
            <m:oMathPara>
              <m:oMath>
                <m:sSubSup>
                  <m:sSubSupPr>
                    <m:ctrlPr>
                      <w:rPr>
                        <w:rFonts w:ascii="Cambria Math" w:hAnsi="Cambria Math"/>
                        <w:i/>
                      </w:rPr>
                    </m:ctrlPr>
                  </m:sSubSupPr>
                  <m:e>
                    <m:r>
                      <w:rPr>
                        <w:rFonts w:ascii="Cambria Math" w:hAnsi="Cambria Math"/>
                      </w:rPr>
                      <m:t>w</m:t>
                    </m:r>
                  </m:e>
                  <m:sub/>
                  <m:sup>
                    <m:r>
                      <w:rPr>
                        <w:rFonts w:ascii="Cambria Math" w:hAnsi="Cambria Math"/>
                      </w:rPr>
                      <m:t xml:space="preserve">sch, </m:t>
                    </m:r>
                    <m:r>
                      <w:rPr>
                        <w:rFonts w:ascii="Cambria Math" w:hAnsi="Cambria Math"/>
                      </w:rPr>
                      <m:t>21</m:t>
                    </m:r>
                  </m:sup>
                </m:sSubSup>
              </m:oMath>
            </m:oMathPara>
          </w:p>
        </w:tc>
        <w:tc>
          <w:tcPr>
            <w:tcW w:w="1240" w:type="dxa"/>
            <w:tcBorders>
              <w:top w:val="nil"/>
              <w:left w:val="nil"/>
              <w:bottom w:val="nil"/>
              <w:right w:val="single" w:sz="4" w:space="0" w:color="auto"/>
            </w:tcBorders>
            <w:shd w:val="clear" w:color="auto" w:fill="auto"/>
            <w:noWrap/>
            <w:vAlign w:val="bottom"/>
            <w:hideMark/>
          </w:tcPr>
          <w:p w:rsidR="00C949A4" w:rsidRPr="00F26FA6" w:rsidRDefault="00C85E5D" w:rsidP="005475F5">
            <w:pPr>
              <w:pStyle w:val="TX-TableText"/>
              <w:jc w:val="center"/>
            </w:pPr>
            <m:oMathPara>
              <m:oMath>
                <m:sSubSup>
                  <m:sSubSupPr>
                    <m:ctrlPr>
                      <w:rPr>
                        <w:rFonts w:ascii="Cambria Math" w:hAnsi="Cambria Math"/>
                        <w:i/>
                      </w:rPr>
                    </m:ctrlPr>
                  </m:sSubSupPr>
                  <m:e>
                    <m:r>
                      <w:rPr>
                        <w:rFonts w:ascii="Cambria Math" w:hAnsi="Cambria Math"/>
                      </w:rPr>
                      <m:t>w</m:t>
                    </m:r>
                  </m:e>
                  <m:sub/>
                  <m:sup>
                    <m:r>
                      <w:rPr>
                        <w:rFonts w:ascii="Cambria Math" w:hAnsi="Cambria Math"/>
                      </w:rPr>
                      <m:t xml:space="preserve">sch, </m:t>
                    </m:r>
                    <m:r>
                      <w:rPr>
                        <w:rFonts w:ascii="Cambria Math" w:hAnsi="Cambria Math"/>
                      </w:rPr>
                      <m:t>22</m:t>
                    </m:r>
                  </m:sup>
                </m:sSubSup>
              </m:oMath>
            </m:oMathPara>
          </w:p>
        </w:tc>
      </w:tr>
      <w:tr w:rsidR="00C949A4" w:rsidRPr="00F26FA6" w:rsidTr="005475F5">
        <w:trPr>
          <w:trHeight w:val="144"/>
        </w:trPr>
        <w:tc>
          <w:tcPr>
            <w:tcW w:w="4040" w:type="dxa"/>
            <w:tcBorders>
              <w:top w:val="nil"/>
              <w:left w:val="single" w:sz="4" w:space="0" w:color="auto"/>
              <w:bottom w:val="nil"/>
              <w:right w:val="single" w:sz="4" w:space="0" w:color="auto"/>
            </w:tcBorders>
            <w:shd w:val="clear" w:color="auto" w:fill="auto"/>
            <w:noWrap/>
            <w:vAlign w:val="bottom"/>
            <w:hideMark/>
          </w:tcPr>
          <w:p w:rsidR="00C949A4" w:rsidRPr="00F26FA6" w:rsidRDefault="00C949A4" w:rsidP="005475F5">
            <w:pPr>
              <w:pStyle w:val="TX-TableText"/>
            </w:pPr>
            <w:r w:rsidRPr="00F26FA6">
              <w:t>School-to-SFA report aggregation error</w:t>
            </w:r>
          </w:p>
        </w:tc>
        <w:tc>
          <w:tcPr>
            <w:tcW w:w="1240" w:type="dxa"/>
            <w:tcBorders>
              <w:top w:val="nil"/>
              <w:left w:val="nil"/>
              <w:bottom w:val="nil"/>
              <w:right w:val="single" w:sz="4" w:space="0" w:color="auto"/>
            </w:tcBorders>
            <w:shd w:val="clear" w:color="auto" w:fill="auto"/>
            <w:noWrap/>
            <w:vAlign w:val="bottom"/>
            <w:hideMark/>
          </w:tcPr>
          <w:p w:rsidR="00C949A4" w:rsidRPr="00F26FA6" w:rsidRDefault="00C85E5D" w:rsidP="005475F5">
            <w:pPr>
              <w:pStyle w:val="TX-TableText"/>
              <w:jc w:val="center"/>
            </w:pPr>
            <m:oMathPara>
              <m:oMath>
                <m:sSubSup>
                  <m:sSubSupPr>
                    <m:ctrlPr>
                      <w:rPr>
                        <w:rFonts w:ascii="Cambria Math" w:hAnsi="Cambria Math"/>
                        <w:i/>
                      </w:rPr>
                    </m:ctrlPr>
                  </m:sSubSupPr>
                  <m:e>
                    <m:r>
                      <w:rPr>
                        <w:rFonts w:ascii="Cambria Math" w:hAnsi="Cambria Math"/>
                      </w:rPr>
                      <m:t>w</m:t>
                    </m:r>
                  </m:e>
                  <m:sub/>
                  <m:sup>
                    <m:r>
                      <w:rPr>
                        <w:rFonts w:ascii="Cambria Math" w:hAnsi="Cambria Math"/>
                      </w:rPr>
                      <m:t xml:space="preserve">sch, </m:t>
                    </m:r>
                    <m:r>
                      <w:rPr>
                        <w:rFonts w:ascii="Cambria Math" w:hAnsi="Cambria Math"/>
                      </w:rPr>
                      <m:t>31</m:t>
                    </m:r>
                  </m:sup>
                </m:sSubSup>
              </m:oMath>
            </m:oMathPara>
          </w:p>
        </w:tc>
        <w:tc>
          <w:tcPr>
            <w:tcW w:w="1240" w:type="dxa"/>
            <w:tcBorders>
              <w:top w:val="nil"/>
              <w:left w:val="nil"/>
              <w:bottom w:val="nil"/>
              <w:right w:val="single" w:sz="4" w:space="0" w:color="auto"/>
            </w:tcBorders>
            <w:shd w:val="clear" w:color="auto" w:fill="auto"/>
            <w:noWrap/>
            <w:vAlign w:val="bottom"/>
            <w:hideMark/>
          </w:tcPr>
          <w:p w:rsidR="00C949A4" w:rsidRPr="00F26FA6" w:rsidRDefault="00C85E5D" w:rsidP="005475F5">
            <w:pPr>
              <w:pStyle w:val="TX-TableText"/>
              <w:jc w:val="center"/>
            </w:pPr>
            <m:oMathPara>
              <m:oMath>
                <m:sSubSup>
                  <m:sSubSupPr>
                    <m:ctrlPr>
                      <w:rPr>
                        <w:rFonts w:ascii="Cambria Math" w:hAnsi="Cambria Math"/>
                        <w:i/>
                      </w:rPr>
                    </m:ctrlPr>
                  </m:sSubSupPr>
                  <m:e>
                    <m:r>
                      <w:rPr>
                        <w:rFonts w:ascii="Cambria Math" w:hAnsi="Cambria Math"/>
                      </w:rPr>
                      <m:t>w</m:t>
                    </m:r>
                  </m:e>
                  <m:sub/>
                  <m:sup>
                    <m:r>
                      <w:rPr>
                        <w:rFonts w:ascii="Cambria Math" w:hAnsi="Cambria Math"/>
                      </w:rPr>
                      <m:t xml:space="preserve">sch, </m:t>
                    </m:r>
                    <m:r>
                      <w:rPr>
                        <w:rFonts w:ascii="Cambria Math" w:hAnsi="Cambria Math"/>
                      </w:rPr>
                      <m:t>32</m:t>
                    </m:r>
                  </m:sup>
                </m:sSubSup>
              </m:oMath>
            </m:oMathPara>
          </w:p>
        </w:tc>
      </w:tr>
      <w:tr w:rsidR="00C949A4" w:rsidRPr="00F26FA6" w:rsidTr="005475F5">
        <w:trPr>
          <w:trHeight w:val="144"/>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rsidR="00C949A4" w:rsidRPr="00F26FA6" w:rsidRDefault="00C949A4" w:rsidP="005475F5">
            <w:pPr>
              <w:pStyle w:val="TX-TableText"/>
            </w:pPr>
            <w:r w:rsidRPr="00F26FA6">
              <w:t>SFA-to-State meal claiming aggregation error</w:t>
            </w:r>
          </w:p>
        </w:tc>
        <w:tc>
          <w:tcPr>
            <w:tcW w:w="1240" w:type="dxa"/>
            <w:tcBorders>
              <w:top w:val="nil"/>
              <w:left w:val="nil"/>
              <w:bottom w:val="single" w:sz="4" w:space="0" w:color="auto"/>
              <w:right w:val="single" w:sz="4" w:space="0" w:color="auto"/>
            </w:tcBorders>
            <w:shd w:val="clear" w:color="auto" w:fill="auto"/>
            <w:noWrap/>
            <w:vAlign w:val="bottom"/>
            <w:hideMark/>
          </w:tcPr>
          <w:p w:rsidR="00C949A4" w:rsidRPr="00F26FA6" w:rsidRDefault="00C85E5D" w:rsidP="005475F5">
            <w:pPr>
              <w:pStyle w:val="TX-TableText"/>
              <w:jc w:val="center"/>
            </w:pPr>
            <m:oMathPara>
              <m:oMath>
                <m:sSubSup>
                  <m:sSubSupPr>
                    <m:ctrlPr>
                      <w:rPr>
                        <w:rFonts w:ascii="Cambria Math" w:hAnsi="Cambria Math"/>
                        <w:i/>
                      </w:rPr>
                    </m:ctrlPr>
                  </m:sSubSupPr>
                  <m:e>
                    <m:r>
                      <w:rPr>
                        <w:rFonts w:ascii="Cambria Math" w:hAnsi="Cambria Math"/>
                      </w:rPr>
                      <m:t>w</m:t>
                    </m:r>
                  </m:e>
                  <m:sub/>
                  <m:sup>
                    <m:r>
                      <w:rPr>
                        <w:rFonts w:ascii="Cambria Math" w:hAnsi="Cambria Math"/>
                      </w:rPr>
                      <m:t xml:space="preserve">sch, </m:t>
                    </m:r>
                    <m:r>
                      <w:rPr>
                        <w:rFonts w:ascii="Cambria Math" w:hAnsi="Cambria Math"/>
                      </w:rPr>
                      <m:t>41</m:t>
                    </m:r>
                  </m:sup>
                </m:sSubSup>
              </m:oMath>
            </m:oMathPara>
          </w:p>
        </w:tc>
        <w:tc>
          <w:tcPr>
            <w:tcW w:w="1240" w:type="dxa"/>
            <w:tcBorders>
              <w:top w:val="nil"/>
              <w:left w:val="nil"/>
              <w:bottom w:val="single" w:sz="4" w:space="0" w:color="auto"/>
              <w:right w:val="single" w:sz="4" w:space="0" w:color="auto"/>
            </w:tcBorders>
            <w:shd w:val="clear" w:color="auto" w:fill="auto"/>
            <w:noWrap/>
            <w:vAlign w:val="bottom"/>
            <w:hideMark/>
          </w:tcPr>
          <w:p w:rsidR="00C949A4" w:rsidRPr="00F26FA6" w:rsidRDefault="00C85E5D" w:rsidP="005475F5">
            <w:pPr>
              <w:pStyle w:val="TX-TableText"/>
              <w:jc w:val="center"/>
            </w:pPr>
            <m:oMathPara>
              <m:oMath>
                <m:sSubSup>
                  <m:sSubSupPr>
                    <m:ctrlPr>
                      <w:rPr>
                        <w:rFonts w:ascii="Cambria Math" w:hAnsi="Cambria Math"/>
                        <w:i/>
                      </w:rPr>
                    </m:ctrlPr>
                  </m:sSubSupPr>
                  <m:e>
                    <m:r>
                      <w:rPr>
                        <w:rFonts w:ascii="Cambria Math" w:hAnsi="Cambria Math"/>
                      </w:rPr>
                      <m:t>w</m:t>
                    </m:r>
                  </m:e>
                  <m:sub/>
                  <m:sup>
                    <m:r>
                      <w:rPr>
                        <w:rFonts w:ascii="Cambria Math" w:hAnsi="Cambria Math"/>
                      </w:rPr>
                      <m:t xml:space="preserve">sch, </m:t>
                    </m:r>
                    <m:r>
                      <w:rPr>
                        <w:rFonts w:ascii="Cambria Math" w:hAnsi="Cambria Math"/>
                      </w:rPr>
                      <m:t>42</m:t>
                    </m:r>
                  </m:sup>
                </m:sSubSup>
              </m:oMath>
            </m:oMathPara>
          </w:p>
        </w:tc>
      </w:tr>
    </w:tbl>
    <w:p w:rsidR="00C949A4" w:rsidRDefault="00C949A4" w:rsidP="00C949A4">
      <w:pPr>
        <w:pStyle w:val="L1-FlLSp12"/>
      </w:pPr>
    </w:p>
    <w:p w:rsidR="00C949A4" w:rsidRDefault="00C949A4" w:rsidP="00C949A4">
      <w:pPr>
        <w:pStyle w:val="L1-FlLSp12"/>
        <w:spacing w:line="480" w:lineRule="auto"/>
      </w:pPr>
      <w:r>
        <w:t xml:space="preserve">The basic steps for constructing a particular set of special school weights corresponding to row </w:t>
      </w:r>
      <w:r w:rsidRPr="005475F5">
        <w:rPr>
          <w:i/>
        </w:rPr>
        <w:t>e</w:t>
      </w:r>
      <w:r>
        <w:t xml:space="preserve"> (type of error) and column m (meal type) of Table B2-1 </w:t>
      </w:r>
      <w:proofErr w:type="gramStart"/>
      <w:r>
        <w:t xml:space="preserve">say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em</m:t>
            </m:r>
          </m:sup>
        </m:sSubSup>
      </m:oMath>
      <w:r>
        <w:t>, are as follows. The starting point is the set of general weights given by equation (8). Thus, each responding school</w:t>
      </w:r>
      <w:r w:rsidRPr="005475F5">
        <w:rPr>
          <w:i/>
        </w:rPr>
        <w:t xml:space="preserve"> j</w:t>
      </w:r>
      <w:r>
        <w:t xml:space="preserve"> in SFA </w:t>
      </w:r>
      <w:proofErr w:type="spellStart"/>
      <w:r w:rsidRPr="005475F5">
        <w:rPr>
          <w:i/>
        </w:rPr>
        <w:t>i</w:t>
      </w:r>
      <w:proofErr w:type="spellEnd"/>
      <w:r>
        <w:t xml:space="preserve"> in stratum </w:t>
      </w:r>
      <w:r w:rsidRPr="005475F5">
        <w:rPr>
          <w:i/>
        </w:rPr>
        <w:t>h</w:t>
      </w:r>
      <w:r>
        <w:t xml:space="preserve"> in the sample </w:t>
      </w:r>
      <w:proofErr w:type="gramStart"/>
      <w:r>
        <w:t>is</w:t>
      </w:r>
      <w:proofErr w:type="gramEnd"/>
      <w:r>
        <w:t xml:space="preserve"> first assigned a preliminary weight,</w:t>
      </w:r>
    </w:p>
    <w:p w:rsidR="00C949A4" w:rsidRDefault="00C949A4" w:rsidP="00C949A4">
      <w:pPr>
        <w:pStyle w:val="L1-FlLSp12"/>
      </w:pPr>
    </w:p>
    <w:p w:rsidR="00C949A4" w:rsidRDefault="00C949A4" w:rsidP="00C949A4">
      <w:pPr>
        <w:pStyle w:val="E1-Equation"/>
      </w:pPr>
      <w:r>
        <w:tab/>
        <w:t xml:space="preserve"> </w:t>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prelim</m:t>
            </m:r>
          </m:sup>
        </m:sSubSup>
      </m:oMath>
      <w:r>
        <w:t xml:space="preserve"> = </w:t>
      </w:r>
      <m:oMath>
        <m:sSubSup>
          <m:sSubSupPr>
            <m:ctrlPr>
              <w:rPr>
                <w:rFonts w:ascii="Cambria Math" w:hAnsi="Cambria Math"/>
              </w:rPr>
            </m:ctrlPr>
          </m:sSubSupPr>
          <m:e>
            <m:r>
              <w:rPr>
                <w:rFonts w:ascii="Cambria Math" w:hAnsi="Cambria Math"/>
              </w:rPr>
              <m:t>w</m:t>
            </m:r>
          </m:e>
          <m:sub>
            <m:r>
              <w:rPr>
                <w:rFonts w:ascii="Cambria Math" w:hAnsi="Cambria Math"/>
              </w:rPr>
              <m:t>hij</m:t>
            </m:r>
          </m:sub>
          <m:sup>
            <m:r>
              <w:rPr>
                <w:rFonts w:ascii="Cambria Math" w:hAnsi="Cambria Math"/>
              </w:rPr>
              <m:t>gen</m:t>
            </m:r>
          </m:sup>
        </m:sSubSup>
      </m:oMath>
      <w:r>
        <w:t xml:space="preserve">. </w:t>
      </w:r>
      <w:r>
        <w:tab/>
        <w:t>(9)</w:t>
      </w:r>
    </w:p>
    <w:p w:rsidR="00C949A4" w:rsidRDefault="00C949A4" w:rsidP="00C949A4">
      <w:pPr>
        <w:pStyle w:val="L1-FlLSp12"/>
      </w:pPr>
    </w:p>
    <w:p w:rsidR="00C949A4" w:rsidRDefault="00C949A4" w:rsidP="00C949A4">
      <w:pPr>
        <w:pStyle w:val="L1-FlLSp12"/>
        <w:spacing w:line="480" w:lineRule="auto"/>
      </w:pPr>
      <w:r>
        <w:t xml:space="preserve">For analyses of school characteristics (i.e., non-certification errors) that are unrelated to student meal program participation, a school-level nonresponse adjustment factor will be computed to account for responding schools that did not provide the data necessary to calculate the required error rate. That is, within the following nine cells defined by FNS region and CEP-status: (a) seven cells consisting of non-CEP schools in non-CEP SFAs in each of the seven FNS regions; (b) one cell </w:t>
      </w:r>
      <w:r>
        <w:lastRenderedPageBreak/>
        <w:t>defined by non-CEP schools in CEP SFAs, and (c) one cell defined by CEP schools in CEP SFAs, a nonresponse adjustment factor will be computed as:</w:t>
      </w:r>
    </w:p>
    <w:p w:rsidR="00C949A4" w:rsidRDefault="00C949A4" w:rsidP="00C949A4">
      <w:pPr>
        <w:pStyle w:val="L1-FlLSp12"/>
      </w:pPr>
    </w:p>
    <w:p w:rsidR="00C949A4" w:rsidRDefault="00C949A4" w:rsidP="00C949A4">
      <w:pPr>
        <w:pStyle w:val="E1-Equation"/>
      </w:pPr>
      <w:r>
        <w:tab/>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em</m:t>
            </m:r>
          </m:sup>
        </m:sSubSup>
      </m:oMath>
      <w:r>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b</m:t>
            </m:r>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prelim</m:t>
            </m:r>
          </m:sup>
        </m:sSubSup>
      </m:oMath>
      <w:r>
        <w:t xml:space="preserve"> </w:t>
      </w:r>
      <w:proofErr w:type="gramStart"/>
      <w:r>
        <w:t xml:space="preserve">/ </w:t>
      </w:r>
      <m:oMath>
        <m:nary>
          <m:naryPr>
            <m:chr m:val="∑"/>
            <m:limLoc m:val="undOvr"/>
            <m:ctrlPr>
              <w:rPr>
                <w:rFonts w:ascii="Cambria Math" w:hAnsi="Cambria Math"/>
              </w:rPr>
            </m:ctrlPr>
          </m:naryPr>
          <m:sub>
            <w:proofErr w:type="gramEnd"/>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b</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prelim</m:t>
            </m:r>
          </m:sup>
        </m:sSubSup>
      </m:oMath>
      <w:r>
        <w:t xml:space="preserve"> ,</w:t>
      </w:r>
      <w:r>
        <w:tab/>
        <w:t>(10)</w:t>
      </w:r>
    </w:p>
    <w:p w:rsidR="00C949A4" w:rsidRDefault="00C949A4" w:rsidP="00C949A4">
      <w:pPr>
        <w:pStyle w:val="L1-FlLSp12"/>
      </w:pPr>
    </w:p>
    <w:p w:rsidR="00C949A4" w:rsidRDefault="00C949A4" w:rsidP="00C949A4">
      <w:pPr>
        <w:pStyle w:val="L1-FlLSp12"/>
        <w:spacing w:line="480" w:lineRule="auto"/>
      </w:pPr>
      <w:proofErr w:type="gramStart"/>
      <w:r>
        <w:t>where</w:t>
      </w:r>
      <w:proofErr w:type="gramEnd"/>
      <w:r>
        <w:t xml:space="preserve"> the summation in the numerator extends over all of the </w:t>
      </w:r>
      <w:r w:rsidRPr="00D8522D">
        <w:rPr>
          <w:i/>
        </w:rPr>
        <w:t>b</w:t>
      </w:r>
      <w:r>
        <w:t xml:space="preserve"> sampled schools in weighting cell </w:t>
      </w:r>
      <w:r w:rsidRPr="005475F5">
        <w:rPr>
          <w:i/>
        </w:rPr>
        <w:t>k</w:t>
      </w:r>
      <w:r>
        <w:t xml:space="preserve">, whereas the summation in the denominator extends over all of the </w:t>
      </w:r>
      <m:oMath>
        <m:sSub>
          <m:sSubPr>
            <m:ctrlPr>
              <w:rPr>
                <w:rFonts w:ascii="Cambria Math" w:hAnsi="Cambria Math"/>
                <w:i/>
              </w:rPr>
            </m:ctrlPr>
          </m:sSubPr>
          <m:e>
            <m:r>
              <w:rPr>
                <w:rFonts w:ascii="Cambria Math" w:hAnsi="Cambria Math"/>
              </w:rPr>
              <m:t>b</m:t>
            </m:r>
          </m:e>
          <m:sub>
            <m:r>
              <w:rPr>
                <w:rFonts w:ascii="Cambria Math" w:hAnsi="Cambria Math"/>
              </w:rPr>
              <m:t>r</m:t>
            </m:r>
          </m:sub>
        </m:sSub>
      </m:oMath>
      <w:r>
        <w:t xml:space="preserve"> schools in the weighting cell with complete data required to calculate error type </w:t>
      </w:r>
      <w:r w:rsidRPr="00D22D7F">
        <w:rPr>
          <w:i/>
        </w:rPr>
        <w:t>e</w:t>
      </w:r>
      <w:r>
        <w:t xml:space="preserve"> for meal type </w:t>
      </w:r>
      <w:r w:rsidRPr="00D22D7F">
        <w:rPr>
          <w:i/>
        </w:rPr>
        <w:t>m</w:t>
      </w:r>
      <w:r>
        <w:t>. The nonresponse-adjusted school weight</w:t>
      </w:r>
      <w:proofErr w:type="gramStart"/>
      <w:r>
        <w:t xml:space="preserve">,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kij</m:t>
            </m:r>
          </m:sub>
          <m:sup>
            <m:r>
              <w:rPr>
                <w:rFonts w:ascii="Cambria Math" w:hAnsi="Cambria Math"/>
              </w:rPr>
              <m:t>em</m:t>
            </m:r>
          </m:sup>
        </m:sSubSup>
      </m:oMath>
      <w:r>
        <w:t xml:space="preserve">, for school </w:t>
      </w:r>
      <w:r w:rsidRPr="005475F5">
        <w:rPr>
          <w:i/>
        </w:rPr>
        <w:t>j</w:t>
      </w:r>
      <w:r>
        <w:t xml:space="preserve"> in SFA </w:t>
      </w:r>
      <w:proofErr w:type="spellStart"/>
      <w:r w:rsidRPr="005475F5">
        <w:rPr>
          <w:i/>
        </w:rPr>
        <w:t>i</w:t>
      </w:r>
      <w:proofErr w:type="spellEnd"/>
      <w:r>
        <w:t xml:space="preserve"> in weighting cell </w:t>
      </w:r>
      <w:r w:rsidRPr="005475F5">
        <w:rPr>
          <w:i/>
        </w:rPr>
        <w:t>k</w:t>
      </w:r>
      <w:r>
        <w:t xml:space="preserve"> will then be computed as:</w:t>
      </w:r>
    </w:p>
    <w:p w:rsidR="00C949A4" w:rsidRDefault="00C949A4" w:rsidP="00C949A4">
      <w:pPr>
        <w:pStyle w:val="L1-FlLSp12"/>
      </w:pPr>
    </w:p>
    <w:p w:rsidR="00C949A4" w:rsidRDefault="00C949A4" w:rsidP="00C949A4">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em</m:t>
            </m:r>
          </m:sup>
        </m:sSubSup>
      </m:oMath>
      <w:r>
        <w:t xml:space="preserve"> = </w:t>
      </w:r>
      <m:oMath>
        <m:sSubSup>
          <m:sSubSupPr>
            <m:ctrlPr>
              <w:rPr>
                <w:rFonts w:ascii="Cambria Math" w:hAnsi="Cambria Math"/>
              </w:rPr>
            </m:ctrlPr>
          </m:sSubSupPr>
          <m:e>
            <m:r>
              <w:rPr>
                <w:rFonts w:ascii="Cambria Math" w:hAnsi="Cambria Math"/>
              </w:rPr>
              <m:t>F</m:t>
            </m:r>
          </m:e>
          <m:sub>
            <m:r>
              <w:rPr>
                <w:rFonts w:ascii="Cambria Math" w:hAnsi="Cambria Math"/>
              </w:rPr>
              <m:t>k</m:t>
            </m:r>
          </m:sub>
          <m:sup>
            <m:r>
              <w:rPr>
                <w:rFonts w:ascii="Cambria Math" w:hAnsi="Cambria Math"/>
              </w:rPr>
              <m:t>em</m:t>
            </m:r>
          </m:sup>
        </m:sSubSup>
      </m:oMath>
      <w:r>
        <w:t xml:space="preserve"> </w:t>
      </w:r>
      <m:oMath>
        <m:sSubSup>
          <m:sSubSupPr>
            <m:ctrlPr>
              <w:rPr>
                <w:rFonts w:ascii="Cambria Math" w:hAnsi="Cambria Math"/>
              </w:rPr>
            </m:ctrlPr>
          </m:sSubSupPr>
          <m:e>
            <m:r>
              <w:rPr>
                <w:rFonts w:ascii="Cambria Math" w:hAnsi="Cambria Math"/>
              </w:rPr>
              <m:t>w</m:t>
            </m:r>
          </m:e>
          <m:sub>
            <m:r>
              <w:rPr>
                <w:rFonts w:ascii="Cambria Math" w:hAnsi="Cambria Math"/>
              </w:rPr>
              <m:t>kij</m:t>
            </m:r>
          </m:sub>
          <m:sup>
            <m:r>
              <w:rPr>
                <w:rFonts w:ascii="Cambria Math" w:hAnsi="Cambria Math"/>
              </w:rPr>
              <m:t>prelim</m:t>
            </m:r>
          </m:sup>
        </m:sSubSup>
      </m:oMath>
      <w:r>
        <w:t xml:space="preserve"> .</w:t>
      </w:r>
      <w:r>
        <w:tab/>
        <w:t>(11)</w:t>
      </w:r>
    </w:p>
    <w:p w:rsidR="00C949A4" w:rsidRDefault="00C949A4" w:rsidP="00C949A4">
      <w:pPr>
        <w:pStyle w:val="L1-FlLSp12"/>
      </w:pPr>
    </w:p>
    <w:p w:rsidR="00C949A4" w:rsidRDefault="00C949A4" w:rsidP="00C949A4">
      <w:pPr>
        <w:pStyle w:val="L1-FlLSp12"/>
        <w:spacing w:line="480" w:lineRule="auto"/>
      </w:pPr>
      <w:r>
        <w:t xml:space="preserve">For analyses of school characteristics (i.e., non-certification errors) that are related to student meal program participation (e.g., reimbursements and improper payments), an additional post stratification adjustment will be implemented to align the weighted counts of students in the sampled schools to the corresponding national student counts within nine categories of schools defined by cross-classifying three enrollment size classes (under 500, 500 to 999, and 1,000+) and three levels of the percent of students eligible for free meals (low, medium, and high). The control totals required for post stratification will be derived from NCES data sources (e.g., the CCD for public schools, and Private School Survey) if they are not available from FNS administrative files. Let </w:t>
      </w:r>
      <m:oMath>
        <m:sSubSup>
          <m:sSubSupPr>
            <m:ctrlPr>
              <w:rPr>
                <w:rFonts w:ascii="Cambria Math" w:hAnsi="Cambria Math"/>
                <w:i/>
              </w:rPr>
            </m:ctrlPr>
          </m:sSubSupPr>
          <m:e>
            <m:r>
              <w:rPr>
                <w:rFonts w:ascii="Cambria Math" w:hAnsi="Cambria Math"/>
              </w:rPr>
              <m:t>S</m:t>
            </m:r>
          </m:e>
          <m:sub>
            <m:r>
              <w:rPr>
                <w:rFonts w:ascii="Cambria Math" w:hAnsi="Cambria Math"/>
              </w:rPr>
              <m:t>g</m:t>
            </m:r>
          </m:sub>
          <m:sup>
            <m:r>
              <w:rPr>
                <w:rFonts w:ascii="Cambria Math" w:hAnsi="Cambria Math"/>
              </w:rPr>
              <m:t xml:space="preserve"> </m:t>
            </m:r>
          </m:sup>
        </m:sSubSup>
      </m:oMath>
      <w:r>
        <w:t xml:space="preserve"> denote the national count of students in poststratum </w:t>
      </w:r>
      <w:r w:rsidRPr="005475F5">
        <w:rPr>
          <w:i/>
        </w:rPr>
        <w:t>g</w:t>
      </w:r>
      <w:r>
        <w:t xml:space="preserve">. The </w:t>
      </w:r>
      <w:proofErr w:type="spellStart"/>
      <w:r>
        <w:t>poststratification</w:t>
      </w:r>
      <w:proofErr w:type="spellEnd"/>
      <w:r>
        <w:t xml:space="preserve"> adjustment factor for </w:t>
      </w:r>
      <w:proofErr w:type="spellStart"/>
      <w:r>
        <w:t>poststratum</w:t>
      </w:r>
      <w:proofErr w:type="spellEnd"/>
      <w:r>
        <w:t xml:space="preserve"> g will be computed as:</w:t>
      </w:r>
    </w:p>
    <w:p w:rsidR="00C949A4" w:rsidRDefault="00C949A4" w:rsidP="00C949A4">
      <w:pPr>
        <w:pStyle w:val="L1-FlLSp12"/>
      </w:pPr>
    </w:p>
    <w:p w:rsidR="00C949A4" w:rsidRDefault="00C949A4" w:rsidP="00C949A4">
      <w:pPr>
        <w:pStyle w:val="E1-Equation"/>
      </w:pPr>
      <w:r>
        <w:tab/>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r>
              <m:rPr>
                <m:sty m:val="p"/>
              </m:rPr>
              <w:rPr>
                <w:rFonts w:ascii="Cambria Math" w:hAnsi="Cambria Math"/>
              </w:rPr>
              <m:t>,</m:t>
            </m:r>
            <m:r>
              <w:rPr>
                <w:rFonts w:ascii="Cambria Math" w:hAnsi="Cambria Math"/>
              </w:rPr>
              <m:t>em</m:t>
            </m:r>
          </m:sup>
        </m:sSubSup>
      </m:oMath>
      <w:r>
        <w:t xml:space="preserve"> = </w:t>
      </w:r>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S</m:t>
            </m:r>
          </m:e>
          <m:sub>
            <m:r>
              <w:rPr>
                <w:rFonts w:ascii="Cambria Math" w:hAnsi="Cambria Math"/>
              </w:rPr>
              <m:t>g</m:t>
            </m:r>
          </m:sub>
          <m:sup>
            <m:r>
              <m:rPr>
                <m:sty m:val="p"/>
              </m:rPr>
              <w:rPr>
                <w:rFonts w:ascii="Cambria Math" w:hAnsi="Cambria Math"/>
              </w:rPr>
              <m:t xml:space="preserve"> </m:t>
            </m:r>
          </m:sup>
        </m:sSubSup>
      </m:oMath>
      <w:r>
        <w:t xml:space="preserve"> /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r</m:t>
                </m:r>
              </m:sub>
            </m:sSub>
          </m:sup>
          <m:e>
            <m:r>
              <m:rPr>
                <m:sty m:val="p"/>
              </m:rPr>
              <w:rPr>
                <w:rFonts w:ascii="Cambria Math" w:hAnsi="Cambria Math"/>
              </w:rPr>
              <m:t xml:space="preserve"> </m:t>
            </m:r>
          </m:e>
        </m:nary>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em</m:t>
            </m:r>
          </m:sup>
        </m:sSubSup>
        <m:sSubSup>
          <m:sSubSupPr>
            <m:ctrlPr>
              <w:rPr>
                <w:rFonts w:ascii="Cambria Math" w:hAnsi="Cambria Math"/>
              </w:rPr>
            </m:ctrlPr>
          </m:sSubSupPr>
          <m:e>
            <m:r>
              <w:rPr>
                <w:rFonts w:ascii="Cambria Math" w:hAnsi="Cambria Math"/>
              </w:rPr>
              <m:t>s</m:t>
            </m:r>
          </m:e>
          <m:sub>
            <m:r>
              <w:rPr>
                <w:rFonts w:ascii="Cambria Math" w:hAnsi="Cambria Math"/>
              </w:rPr>
              <m:t>ghi</m:t>
            </m:r>
          </m:sub>
          <m:sup>
            <m:r>
              <m:rPr>
                <m:sty m:val="p"/>
              </m:rPr>
              <w:rPr>
                <w:rFonts w:ascii="Cambria Math" w:hAnsi="Cambria Math"/>
              </w:rPr>
              <m:t xml:space="preserve"> </m:t>
            </m:r>
          </m:sup>
        </m:sSubSup>
      </m:oMath>
      <w:r>
        <w:tab/>
        <w:t>(12)</w:t>
      </w:r>
    </w:p>
    <w:p w:rsidR="00C949A4" w:rsidRDefault="00C949A4" w:rsidP="00C949A4">
      <w:pPr>
        <w:pStyle w:val="L1-FlLSp12"/>
        <w:spacing w:line="480" w:lineRule="auto"/>
      </w:pPr>
      <w:r>
        <w:t xml:space="preserve">where </w:t>
      </w:r>
      <m:oMath>
        <m:sSubSup>
          <m:sSubSupPr>
            <m:ctrlPr>
              <w:rPr>
                <w:rFonts w:ascii="Cambria Math" w:hAnsi="Cambria Math"/>
                <w:i/>
              </w:rPr>
            </m:ctrlPr>
          </m:sSubSupPr>
          <m:e>
            <m:r>
              <w:rPr>
                <w:rFonts w:ascii="Cambria Math" w:hAnsi="Cambria Math"/>
              </w:rPr>
              <m:t>s</m:t>
            </m:r>
          </m:e>
          <m:sub>
            <m:r>
              <w:rPr>
                <w:rFonts w:ascii="Cambria Math" w:hAnsi="Cambria Math"/>
              </w:rPr>
              <m:t>ghi</m:t>
            </m:r>
          </m:sub>
          <m:sup>
            <m:r>
              <w:rPr>
                <w:rFonts w:ascii="Cambria Math" w:hAnsi="Cambria Math"/>
              </w:rPr>
              <m:t xml:space="preserve"> </m:t>
            </m:r>
          </m:sup>
        </m:sSubSup>
      </m:oMath>
      <w:r>
        <w:t xml:space="preserve">= the number of students reported in the survey by school </w:t>
      </w:r>
      <w:r w:rsidRPr="005475F5">
        <w:rPr>
          <w:i/>
        </w:rPr>
        <w:t>j</w:t>
      </w:r>
      <w:r>
        <w:t xml:space="preserve"> in SFA </w:t>
      </w:r>
      <w:proofErr w:type="spellStart"/>
      <w:r w:rsidRPr="005475F5">
        <w:rPr>
          <w:i/>
        </w:rPr>
        <w:t>i</w:t>
      </w:r>
      <w:proofErr w:type="spellEnd"/>
      <w:r>
        <w:t xml:space="preserve"> in sampling stratum </w:t>
      </w:r>
      <w:r w:rsidRPr="005475F5">
        <w:rPr>
          <w:i/>
        </w:rPr>
        <w:t>h</w:t>
      </w:r>
      <w:r>
        <w:t xml:space="preserve">, and where the summation in the denominator extends over all of the </w:t>
      </w:r>
      <m:oMath>
        <m:sSub>
          <m:sSubPr>
            <m:ctrlPr>
              <w:rPr>
                <w:rFonts w:ascii="Cambria Math" w:hAnsi="Cambria Math"/>
                <w:i/>
              </w:rPr>
            </m:ctrlPr>
          </m:sSubPr>
          <m:e>
            <m:r>
              <w:rPr>
                <w:rFonts w:ascii="Cambria Math" w:hAnsi="Cambria Math"/>
              </w:rPr>
              <m:t>c</m:t>
            </m:r>
          </m:e>
          <m:sub>
            <m:r>
              <w:rPr>
                <w:rFonts w:ascii="Cambria Math" w:hAnsi="Cambria Math"/>
              </w:rPr>
              <m:t>r</m:t>
            </m:r>
          </m:sub>
        </m:sSub>
      </m:oMath>
      <w:r>
        <w:t xml:space="preserve"> responding schools </w:t>
      </w:r>
      <w:r>
        <w:lastRenderedPageBreak/>
        <w:t xml:space="preserve">corresponding to error type </w:t>
      </w:r>
      <w:r w:rsidRPr="005475F5">
        <w:rPr>
          <w:i/>
        </w:rPr>
        <w:t>e</w:t>
      </w:r>
      <w:r>
        <w:t xml:space="preserve"> and meal type </w:t>
      </w:r>
      <w:r w:rsidRPr="005475F5">
        <w:rPr>
          <w:i/>
        </w:rPr>
        <w:t>m</w:t>
      </w:r>
      <w:r>
        <w:t xml:space="preserve"> in </w:t>
      </w:r>
      <w:proofErr w:type="spellStart"/>
      <w:r>
        <w:t>poststratum</w:t>
      </w:r>
      <w:proofErr w:type="spellEnd"/>
      <w:r>
        <w:t xml:space="preserve"> </w:t>
      </w:r>
      <w:r w:rsidRPr="005475F5">
        <w:rPr>
          <w:i/>
        </w:rPr>
        <w:t>g</w:t>
      </w:r>
      <w:r>
        <w:t xml:space="preserve">. The </w:t>
      </w:r>
      <w:proofErr w:type="spellStart"/>
      <w:r>
        <w:t>poststratified</w:t>
      </w:r>
      <w:proofErr w:type="spellEnd"/>
      <w:r>
        <w:t xml:space="preserve"> school weight</w:t>
      </w:r>
      <w:proofErr w:type="gramStart"/>
      <w:r>
        <w:t xml:space="preserve">,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gij</m:t>
            </m:r>
          </m:sub>
          <m:sup>
            <m:r>
              <w:rPr>
                <w:rFonts w:ascii="Cambria Math" w:hAnsi="Cambria Math"/>
              </w:rPr>
              <m:t>PS, em</m:t>
            </m:r>
          </m:sup>
        </m:sSubSup>
      </m:oMath>
      <w:r>
        <w:t xml:space="preserve">, for school </w:t>
      </w:r>
      <w:r w:rsidRPr="005475F5">
        <w:rPr>
          <w:i/>
        </w:rPr>
        <w:t>j</w:t>
      </w:r>
      <w:r>
        <w:t xml:space="preserve"> in SFA </w:t>
      </w:r>
      <w:proofErr w:type="spellStart"/>
      <w:r w:rsidRPr="005475F5">
        <w:rPr>
          <w:i/>
        </w:rPr>
        <w:t>i</w:t>
      </w:r>
      <w:proofErr w:type="spellEnd"/>
      <w:r>
        <w:t xml:space="preserve"> in </w:t>
      </w:r>
      <w:proofErr w:type="spellStart"/>
      <w:r>
        <w:t>poststratum</w:t>
      </w:r>
      <w:proofErr w:type="spellEnd"/>
      <w:r w:rsidRPr="005475F5">
        <w:rPr>
          <w:i/>
        </w:rPr>
        <w:t xml:space="preserve"> g</w:t>
      </w:r>
      <w:r>
        <w:t xml:space="preserve"> will then be computed as:</w:t>
      </w:r>
    </w:p>
    <w:p w:rsidR="00C949A4" w:rsidRDefault="00C949A4" w:rsidP="00C949A4">
      <w:pPr>
        <w:pStyle w:val="L1-FlLSp12"/>
      </w:pPr>
    </w:p>
    <w:p w:rsidR="00C949A4" w:rsidRDefault="00C949A4" w:rsidP="00C949A4">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PS</m:t>
            </m:r>
            <m:r>
              <m:rPr>
                <m:sty m:val="p"/>
              </m:rPr>
              <w:rPr>
                <w:rFonts w:ascii="Cambria Math" w:hAnsi="Cambria Math"/>
              </w:rPr>
              <m:t xml:space="preserve">, </m:t>
            </m:r>
            <m:r>
              <w:rPr>
                <w:rFonts w:ascii="Cambria Math" w:hAnsi="Cambria Math"/>
              </w:rPr>
              <m:t>em</m:t>
            </m:r>
          </m:sup>
        </m:sSubSup>
      </m:oMath>
      <w:r>
        <w:t xml:space="preserve"> = </w:t>
      </w:r>
      <m:oMath>
        <m:sSubSup>
          <m:sSubSupPr>
            <m:ctrlPr>
              <w:rPr>
                <w:rFonts w:ascii="Cambria Math" w:hAnsi="Cambria Math"/>
              </w:rPr>
            </m:ctrlPr>
          </m:sSubSupPr>
          <m:e>
            <m:r>
              <w:rPr>
                <w:rFonts w:ascii="Cambria Math" w:hAnsi="Cambria Math"/>
              </w:rPr>
              <m:t>H</m:t>
            </m:r>
          </m:e>
          <m:sub>
            <m:r>
              <w:rPr>
                <w:rFonts w:ascii="Cambria Math" w:hAnsi="Cambria Math"/>
              </w:rPr>
              <m:t>g</m:t>
            </m:r>
          </m:sub>
          <m:sup>
            <m:r>
              <w:rPr>
                <w:rFonts w:ascii="Cambria Math" w:hAnsi="Cambria Math"/>
              </w:rPr>
              <m:t>PS</m:t>
            </m:r>
            <m:r>
              <m:rPr>
                <m:sty m:val="p"/>
              </m:rPr>
              <w:rPr>
                <w:rFonts w:ascii="Cambria Math" w:hAnsi="Cambria Math"/>
              </w:rPr>
              <m:t xml:space="preserve">, </m:t>
            </m:r>
            <m:r>
              <w:rPr>
                <w:rFonts w:ascii="Cambria Math" w:hAnsi="Cambria Math"/>
              </w:rPr>
              <m:t>em</m:t>
            </m:r>
          </m:sup>
        </m:sSubSup>
      </m:oMath>
      <w:r>
        <w:t xml:space="preserve"> </w:t>
      </w:r>
      <m:oMath>
        <m:sSubSup>
          <m:sSubSupPr>
            <m:ctrlPr>
              <w:rPr>
                <w:rFonts w:ascii="Cambria Math" w:hAnsi="Cambria Math"/>
              </w:rPr>
            </m:ctrlPr>
          </m:sSubSupPr>
          <m:e>
            <m:r>
              <w:rPr>
                <w:rFonts w:ascii="Cambria Math" w:hAnsi="Cambria Math"/>
              </w:rPr>
              <m:t>w</m:t>
            </m:r>
          </m:e>
          <m:sub>
            <m:r>
              <w:rPr>
                <w:rFonts w:ascii="Cambria Math" w:hAnsi="Cambria Math"/>
              </w:rPr>
              <m:t>gij</m:t>
            </m:r>
          </m:sub>
          <m:sup>
            <m:r>
              <w:rPr>
                <w:rFonts w:ascii="Cambria Math" w:hAnsi="Cambria Math"/>
              </w:rPr>
              <m:t>em</m:t>
            </m:r>
          </m:sup>
        </m:sSubSup>
      </m:oMath>
      <w:r>
        <w:t xml:space="preserve"> .</w:t>
      </w:r>
      <w:r>
        <w:tab/>
        <w:t>(13)</w:t>
      </w:r>
    </w:p>
    <w:p w:rsidR="00C949A4" w:rsidRDefault="00C949A4" w:rsidP="00C949A4">
      <w:pPr>
        <w:pStyle w:val="L1-FlLSp12"/>
      </w:pPr>
    </w:p>
    <w:p w:rsidR="00C949A4" w:rsidRDefault="00C949A4" w:rsidP="00C949A4">
      <w:pPr>
        <w:pStyle w:val="L1-FlLSp12"/>
        <w:spacing w:line="480" w:lineRule="auto"/>
      </w:pPr>
      <w:r>
        <w:t>The final step will be to “calibrate” the school weights given by (13) so that sample-based weighted estimates of reimbursements equal known reimbursement totals from FNS administrative files. This adjustment will be applied to each of the eight sets of school weights</w:t>
      </w:r>
      <w:proofErr w:type="gramStart"/>
      <w:r>
        <w:t xml:space="preserve">, </w:t>
      </w:r>
      <w:proofErr w:type="gramEnd"/>
      <m:oMath>
        <m:sSubSup>
          <m:sSubSupPr>
            <m:ctrlPr>
              <w:rPr>
                <w:rFonts w:ascii="Cambria Math" w:hAnsi="Cambria Math"/>
                <w:i/>
              </w:rPr>
            </m:ctrlPr>
          </m:sSubSupPr>
          <m:e>
            <m:r>
              <w:rPr>
                <w:rFonts w:ascii="Cambria Math" w:hAnsi="Cambria Math"/>
              </w:rPr>
              <m:t>w</m:t>
            </m:r>
          </m:e>
          <m:sub>
            <m:r>
              <w:rPr>
                <w:rFonts w:ascii="Cambria Math" w:hAnsi="Cambria Math"/>
              </w:rPr>
              <m:t>gij</m:t>
            </m:r>
          </m:sub>
          <m:sup>
            <m:r>
              <w:rPr>
                <w:rFonts w:ascii="Cambria Math" w:hAnsi="Cambria Math"/>
              </w:rPr>
              <m:t>PS, em</m:t>
            </m:r>
          </m:sup>
        </m:sSubSup>
      </m:oMath>
      <w:r>
        <w:t xml:space="preserve">. Let </w:t>
      </w:r>
      <m:oMath>
        <m:sSubSup>
          <m:sSubSupPr>
            <m:ctrlPr>
              <w:rPr>
                <w:rFonts w:ascii="Cambria Math" w:hAnsi="Cambria Math"/>
                <w:i/>
              </w:rPr>
            </m:ctrlPr>
          </m:sSubSupPr>
          <m:e>
            <m:r>
              <w:rPr>
                <w:rFonts w:ascii="Cambria Math" w:hAnsi="Cambria Math"/>
              </w:rPr>
              <m:t>R</m:t>
            </m:r>
          </m:e>
          <m:sub>
            <m:r>
              <w:rPr>
                <w:rFonts w:ascii="Cambria Math" w:hAnsi="Cambria Math"/>
              </w:rPr>
              <m:t>c</m:t>
            </m:r>
          </m:sub>
          <m:sup>
            <m:r>
              <w:rPr>
                <w:rFonts w:ascii="Cambria Math" w:hAnsi="Cambria Math"/>
              </w:rPr>
              <m:t>m</m:t>
            </m:r>
          </m:sup>
        </m:sSubSup>
      </m:oMath>
      <w:r>
        <w:t xml:space="preserve"> = the total annual reimbursement amount derived from FNS administrative files for meal type </w:t>
      </w:r>
      <w:r w:rsidRPr="005475F5">
        <w:rPr>
          <w:i/>
        </w:rPr>
        <w:t>m</w:t>
      </w:r>
      <w:r>
        <w:t xml:space="preserve"> (breakfast or lunch) and type-of-school </w:t>
      </w:r>
      <w:r w:rsidRPr="00BB7174">
        <w:rPr>
          <w:i/>
        </w:rPr>
        <w:t>c</w:t>
      </w:r>
      <w:r>
        <w:t xml:space="preserve"> (CEP vs. non-CEP). The final calibrated weight to be used for analysis of payment errors for school </w:t>
      </w:r>
      <w:r w:rsidRPr="005475F5">
        <w:rPr>
          <w:i/>
        </w:rPr>
        <w:t>j</w:t>
      </w:r>
      <w:r>
        <w:t xml:space="preserve"> in school-type </w:t>
      </w:r>
      <w:r w:rsidRPr="005475F5">
        <w:rPr>
          <w:i/>
        </w:rPr>
        <w:t>c</w:t>
      </w:r>
      <w:r>
        <w:t xml:space="preserve"> and meal type </w:t>
      </w:r>
      <w:r w:rsidRPr="005475F5">
        <w:rPr>
          <w:i/>
        </w:rPr>
        <w:t>m</w:t>
      </w:r>
      <w:r>
        <w:t xml:space="preserve"> will be computed as:</w:t>
      </w:r>
    </w:p>
    <w:p w:rsidR="00C949A4" w:rsidRDefault="00C949A4" w:rsidP="00C949A4">
      <w:pPr>
        <w:pStyle w:val="L1-FlLSp12"/>
      </w:pPr>
    </w:p>
    <w:p w:rsidR="00C949A4" w:rsidRDefault="00C949A4" w:rsidP="00C949A4">
      <w:pPr>
        <w:pStyle w:val="E1-Equation"/>
      </w:pPr>
      <w:r>
        <w:tab/>
      </w:r>
      <m:oMath>
        <m:sSubSup>
          <m:sSubSupPr>
            <m:ctrlPr>
              <w:rPr>
                <w:rFonts w:ascii="Cambria Math" w:hAnsi="Cambria Math"/>
              </w:rPr>
            </m:ctrlPr>
          </m:sSubSupPr>
          <m:e>
            <m:r>
              <w:rPr>
                <w:rFonts w:ascii="Cambria Math" w:hAnsi="Cambria Math"/>
              </w:rPr>
              <m:t>w</m:t>
            </m:r>
          </m:e>
          <m:sub>
            <m:r>
              <w:rPr>
                <w:rFonts w:ascii="Cambria Math" w:hAnsi="Cambria Math"/>
              </w:rPr>
              <m:t>cmj</m:t>
            </m:r>
          </m:sub>
          <m:sup>
            <m:r>
              <w:rPr>
                <w:rFonts w:ascii="Cambria Math" w:hAnsi="Cambria Math"/>
              </w:rPr>
              <m:t>cal</m:t>
            </m:r>
            <m:r>
              <m:rPr>
                <m:sty m:val="p"/>
              </m:rPr>
              <w:rPr>
                <w:rFonts w:ascii="Cambria Math" w:hAnsi="Cambria Math"/>
              </w:rPr>
              <m:t xml:space="preserve">, </m:t>
            </m:r>
            <m:r>
              <w:rPr>
                <w:rFonts w:ascii="Cambria Math" w:hAnsi="Cambria Math"/>
              </w:rPr>
              <m:t>em</m:t>
            </m:r>
          </m:sup>
        </m:sSubSup>
      </m:oMath>
      <w:r>
        <w:t xml:space="preserve"> = </w:t>
      </w:r>
      <m:oMath>
        <m:sSubSup>
          <m:sSubSupPr>
            <m:ctrlPr>
              <w:rPr>
                <w:rFonts w:ascii="Cambria Math" w:hAnsi="Cambria Math"/>
              </w:rPr>
            </m:ctrlPr>
          </m:sSubSupPr>
          <m:e>
            <m:r>
              <w:rPr>
                <w:rFonts w:ascii="Cambria Math" w:hAnsi="Cambria Math"/>
              </w:rPr>
              <m:t>w</m:t>
            </m:r>
          </m:e>
          <m:sub>
            <m:r>
              <w:rPr>
                <w:rFonts w:ascii="Cambria Math" w:hAnsi="Cambria Math"/>
              </w:rPr>
              <m:t>cmj</m:t>
            </m:r>
          </m:sub>
          <m:sup>
            <m:r>
              <w:rPr>
                <w:rFonts w:ascii="Cambria Math" w:hAnsi="Cambria Math"/>
              </w:rPr>
              <m:t>PS</m:t>
            </m:r>
            <m:r>
              <m:rPr>
                <m:sty m:val="p"/>
              </m:rPr>
              <w:rPr>
                <w:rFonts w:ascii="Cambria Math" w:hAnsi="Cambria Math"/>
              </w:rPr>
              <m:t xml:space="preserve">, </m:t>
            </m:r>
            <m:r>
              <w:rPr>
                <w:rFonts w:ascii="Cambria Math" w:hAnsi="Cambria Math"/>
              </w:rPr>
              <m:t>em</m:t>
            </m:r>
          </m:sup>
        </m:sSubSup>
      </m:oMath>
      <w:r>
        <w:t xml:space="preserve"> {</w:t>
      </w:r>
      <m:oMath>
        <m:sSubSup>
          <m:sSubSupPr>
            <m:ctrlPr>
              <w:rPr>
                <w:rFonts w:ascii="Cambria Math" w:hAnsi="Cambria Math"/>
              </w:rPr>
            </m:ctrlPr>
          </m:sSubSupPr>
          <m:e>
            <m:r>
              <w:rPr>
                <w:rFonts w:ascii="Cambria Math" w:hAnsi="Cambria Math"/>
              </w:rPr>
              <m:t>R</m:t>
            </m:r>
          </m:e>
          <m:sub>
            <m:r>
              <w:rPr>
                <w:rFonts w:ascii="Cambria Math" w:hAnsi="Cambria Math"/>
              </w:rPr>
              <m:t>c</m:t>
            </m:r>
          </m:sub>
          <m:sup>
            <m:r>
              <w:rPr>
                <w:rFonts w:ascii="Cambria Math" w:hAnsi="Cambria Math"/>
              </w:rPr>
              <m:t>m</m:t>
            </m:r>
          </m:sup>
        </m:sSubSup>
      </m:oMath>
      <w:r>
        <w:t xml:space="preserve"> </w:t>
      </w:r>
      <w:proofErr w:type="gramStart"/>
      <w:r>
        <w:t xml:space="preserve">/ </w:t>
      </w:r>
      <m:oMath>
        <m:nary>
          <m:naryPr>
            <m:chr m:val="∑"/>
            <m:limLoc m:val="undOvr"/>
            <m:ctrlPr>
              <w:rPr>
                <w:rFonts w:ascii="Cambria Math" w:hAnsi="Cambria Math"/>
              </w:rPr>
            </m:ctrlPr>
          </m:naryPr>
          <m:sub>
            <w:proofErr w:type="gramEnd"/>
            <m:r>
              <w:rPr>
                <w:rFonts w:ascii="Cambria Math" w:hAnsi="Cambria Math"/>
              </w:rPr>
              <m:t>j</m:t>
            </m:r>
            <m:r>
              <m:rPr>
                <m:sty m:val="p"/>
              </m:rPr>
              <w:rPr>
                <w:rFonts w:ascii="Cambria Math" w:hAnsi="Cambria Math"/>
              </w:rPr>
              <m:t>=1</m:t>
            </m:r>
          </m:sub>
          <m:sup>
            <m:r>
              <w:rPr>
                <w:rFonts w:ascii="Cambria Math" w:hAnsi="Cambria Math"/>
              </w:rPr>
              <m:t>c</m:t>
            </m:r>
          </m:sup>
          <m:e>
            <m:sSubSup>
              <m:sSubSupPr>
                <m:ctrlPr>
                  <w:rPr>
                    <w:rFonts w:ascii="Cambria Math" w:hAnsi="Cambria Math"/>
                  </w:rPr>
                </m:ctrlPr>
              </m:sSubSupPr>
              <m:e>
                <m:r>
                  <w:rPr>
                    <w:rFonts w:ascii="Cambria Math" w:hAnsi="Cambria Math"/>
                  </w:rPr>
                  <m:t>w</m:t>
                </m:r>
              </m:e>
              <m:sub>
                <m:r>
                  <w:rPr>
                    <w:rFonts w:ascii="Cambria Math" w:hAnsi="Cambria Math"/>
                  </w:rPr>
                  <m:t>cmj</m:t>
                </m:r>
              </m:sub>
              <m:sup>
                <m:r>
                  <w:rPr>
                    <w:rFonts w:ascii="Cambria Math" w:hAnsi="Cambria Math"/>
                  </w:rPr>
                  <m:t>PS</m:t>
                </m:r>
                <m:r>
                  <m:rPr>
                    <m:sty m:val="p"/>
                  </m:rPr>
                  <w:rPr>
                    <w:rFonts w:ascii="Cambria Math" w:hAnsi="Cambria Math"/>
                  </w:rPr>
                  <m:t xml:space="preserve">, </m:t>
                </m:r>
                <m:r>
                  <w:rPr>
                    <w:rFonts w:ascii="Cambria Math" w:hAnsi="Cambria Math"/>
                  </w:rPr>
                  <m:t>em</m:t>
                </m:r>
              </m:sup>
            </m:sSubSup>
          </m:e>
        </m:nary>
        <m:sSubSup>
          <m:sSubSupPr>
            <m:ctrlPr>
              <w:rPr>
                <w:rFonts w:ascii="Cambria Math" w:hAnsi="Cambria Math"/>
              </w:rPr>
            </m:ctrlPr>
          </m:sSubSupPr>
          <m:e>
            <m:r>
              <w:rPr>
                <w:rFonts w:ascii="Cambria Math" w:hAnsi="Cambria Math"/>
              </w:rPr>
              <m:t>R</m:t>
            </m:r>
          </m:e>
          <m:sub>
            <m:r>
              <w:rPr>
                <w:rFonts w:ascii="Cambria Math" w:hAnsi="Cambria Math"/>
              </w:rPr>
              <m:t>cmj</m:t>
            </m:r>
          </m:sub>
          <m:sup>
            <m:r>
              <m:rPr>
                <m:sty m:val="p"/>
              </m:rPr>
              <w:rPr>
                <w:rFonts w:ascii="Cambria Math" w:hAnsi="Cambria Math"/>
              </w:rPr>
              <m:t xml:space="preserve"> </m:t>
            </m:r>
          </m:sup>
        </m:sSubSup>
      </m:oMath>
      <w:r>
        <w:t xml:space="preserve"> }</w:t>
      </w:r>
      <w:r>
        <w:tab/>
        <w:t>(13a)</w:t>
      </w:r>
    </w:p>
    <w:p w:rsidR="00C949A4" w:rsidRDefault="00C949A4" w:rsidP="00C949A4">
      <w:pPr>
        <w:pStyle w:val="L1-FlLSp12"/>
      </w:pPr>
    </w:p>
    <w:p w:rsidR="00C949A4" w:rsidRDefault="00C949A4" w:rsidP="00C949A4">
      <w:pPr>
        <w:pStyle w:val="L1-FlLSp12"/>
        <w:spacing w:line="480" w:lineRule="auto"/>
      </w:pPr>
      <w:proofErr w:type="gramStart"/>
      <w:r>
        <w:t>where</w:t>
      </w:r>
      <w:proofErr w:type="gramEnd"/>
      <w:r>
        <w:t xml:space="preserve"> </w:t>
      </w:r>
      <m:oMath>
        <m:sSubSup>
          <m:sSubSupPr>
            <m:ctrlPr>
              <w:rPr>
                <w:rFonts w:ascii="Cambria Math" w:hAnsi="Cambria Math"/>
                <w:i/>
              </w:rPr>
            </m:ctrlPr>
          </m:sSubSupPr>
          <m:e>
            <m:r>
              <w:rPr>
                <w:rFonts w:ascii="Cambria Math" w:hAnsi="Cambria Math"/>
              </w:rPr>
              <m:t>R</m:t>
            </m:r>
          </m:e>
          <m:sub>
            <m:r>
              <w:rPr>
                <w:rFonts w:ascii="Cambria Math" w:hAnsi="Cambria Math"/>
              </w:rPr>
              <m:t>cmj</m:t>
            </m:r>
          </m:sub>
          <m:sup>
            <m:r>
              <w:rPr>
                <w:rFonts w:ascii="Cambria Math" w:hAnsi="Cambria Math"/>
              </w:rPr>
              <m:t xml:space="preserve"> </m:t>
            </m:r>
          </m:sup>
        </m:sSubSup>
      </m:oMath>
      <w:r>
        <w:t xml:space="preserve">= the total annual reimbursement reported by responding school </w:t>
      </w:r>
      <w:r w:rsidRPr="005475F5">
        <w:rPr>
          <w:i/>
        </w:rPr>
        <w:t>j</w:t>
      </w:r>
      <w:r>
        <w:t xml:space="preserve"> in school-type </w:t>
      </w:r>
      <w:r w:rsidRPr="005475F5">
        <w:rPr>
          <w:i/>
        </w:rPr>
        <w:t>c</w:t>
      </w:r>
      <w:r>
        <w:t xml:space="preserve"> for meal type </w:t>
      </w:r>
      <w:r w:rsidRPr="005475F5">
        <w:rPr>
          <w:i/>
        </w:rPr>
        <w:t>m</w:t>
      </w:r>
      <w:r>
        <w:t>.</w:t>
      </w:r>
    </w:p>
    <w:p w:rsidR="00AE7E5A" w:rsidRDefault="00AE7E5A"/>
    <w:sectPr w:rsidR="00AE7E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85B" w:rsidRDefault="00C5185B" w:rsidP="00F120B8">
      <w:pPr>
        <w:spacing w:line="240" w:lineRule="auto"/>
      </w:pPr>
      <w:r>
        <w:separator/>
      </w:r>
    </w:p>
  </w:endnote>
  <w:endnote w:type="continuationSeparator" w:id="0">
    <w:p w:rsidR="00C5185B" w:rsidRDefault="00C5185B" w:rsidP="00F120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E5D" w:rsidRDefault="00C85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316152"/>
      <w:docPartObj>
        <w:docPartGallery w:val="Page Numbers (Bottom of Page)"/>
        <w:docPartUnique/>
      </w:docPartObj>
    </w:sdtPr>
    <w:sdtEndPr>
      <w:rPr>
        <w:noProof/>
      </w:rPr>
    </w:sdtEndPr>
    <w:sdtContent>
      <w:p w:rsidR="00102575" w:rsidRDefault="00102575">
        <w:pPr>
          <w:pStyle w:val="Footer"/>
          <w:jc w:val="right"/>
        </w:pPr>
        <w:r>
          <w:fldChar w:fldCharType="begin"/>
        </w:r>
        <w:r>
          <w:instrText xml:space="preserve"> PAGE   \* MERGEFORMAT </w:instrText>
        </w:r>
        <w:r>
          <w:fldChar w:fldCharType="separate"/>
        </w:r>
        <w:r w:rsidR="00C85E5D">
          <w:rPr>
            <w:noProof/>
          </w:rPr>
          <w:t>1</w:t>
        </w:r>
        <w:r>
          <w:rPr>
            <w:noProof/>
          </w:rPr>
          <w:fldChar w:fldCharType="end"/>
        </w:r>
      </w:p>
    </w:sdtContent>
  </w:sdt>
  <w:p w:rsidR="00102575" w:rsidRDefault="001025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E5D" w:rsidRDefault="00C85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85B" w:rsidRDefault="00C5185B" w:rsidP="00F120B8">
      <w:pPr>
        <w:spacing w:line="240" w:lineRule="auto"/>
      </w:pPr>
      <w:r>
        <w:separator/>
      </w:r>
    </w:p>
  </w:footnote>
  <w:footnote w:type="continuationSeparator" w:id="0">
    <w:p w:rsidR="00C5185B" w:rsidRDefault="00C5185B" w:rsidP="00F120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E5D" w:rsidRDefault="00C85E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0B8" w:rsidRPr="00F120B8" w:rsidRDefault="00991EF0">
    <w:pPr>
      <w:pStyle w:val="Header"/>
      <w:rPr>
        <w:b/>
        <w:color w:val="1F497D" w:themeColor="text2"/>
        <w:sz w:val="20"/>
      </w:rPr>
    </w:pPr>
    <w:r>
      <w:rPr>
        <w:b/>
        <w:color w:val="1F497D" w:themeColor="text2"/>
        <w:sz w:val="20"/>
      </w:rPr>
      <w:t xml:space="preserve">APPENDIX </w:t>
    </w:r>
    <w:r w:rsidR="00C85E5D">
      <w:rPr>
        <w:b/>
        <w:color w:val="1F497D" w:themeColor="text2"/>
        <w:sz w:val="20"/>
      </w:rPr>
      <w:t>R</w:t>
    </w:r>
    <w:bookmarkStart w:id="0" w:name="_GoBack"/>
    <w:bookmarkEnd w:id="0"/>
    <w:r w:rsidR="00F120B8" w:rsidRPr="00F120B8">
      <w:rPr>
        <w:b/>
        <w:color w:val="1F497D" w:themeColor="text2"/>
        <w:sz w:val="20"/>
      </w:rPr>
      <w:t>. SPECIAL SCHOOL WEIGHTS FOR NON-CERTIFICATION ERRORS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E5D" w:rsidRDefault="00C85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A4"/>
    <w:rsid w:val="00096A94"/>
    <w:rsid w:val="00102575"/>
    <w:rsid w:val="008A4C38"/>
    <w:rsid w:val="00991EF0"/>
    <w:rsid w:val="00AE7E5A"/>
    <w:rsid w:val="00BB7174"/>
    <w:rsid w:val="00C5185B"/>
    <w:rsid w:val="00C85E5D"/>
    <w:rsid w:val="00C949A4"/>
    <w:rsid w:val="00D65766"/>
    <w:rsid w:val="00DF7889"/>
    <w:rsid w:val="00F1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A4"/>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1025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qFormat/>
    <w:rsid w:val="00C949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949A4"/>
    <w:rPr>
      <w:rFonts w:ascii="Garamond" w:eastAsia="Times New Roman" w:hAnsi="Garamond" w:cs="Times New Roman"/>
      <w:sz w:val="24"/>
      <w:szCs w:val="20"/>
    </w:rPr>
  </w:style>
  <w:style w:type="paragraph" w:customStyle="1" w:styleId="E1-Equation">
    <w:name w:val="E1-Equation"/>
    <w:basedOn w:val="Normal"/>
    <w:rsid w:val="00C949A4"/>
    <w:pPr>
      <w:tabs>
        <w:tab w:val="center" w:pos="4680"/>
        <w:tab w:val="right" w:pos="9360"/>
      </w:tabs>
    </w:pPr>
  </w:style>
  <w:style w:type="paragraph" w:customStyle="1" w:styleId="L1-FlLSp12">
    <w:name w:val="L1-FlL Sp&amp;1/2"/>
    <w:basedOn w:val="Normal"/>
    <w:link w:val="L1-FlLSp12Char"/>
    <w:rsid w:val="00C949A4"/>
    <w:pPr>
      <w:tabs>
        <w:tab w:val="left" w:pos="1152"/>
      </w:tabs>
      <w:spacing w:line="360" w:lineRule="atLeast"/>
    </w:pPr>
  </w:style>
  <w:style w:type="paragraph" w:customStyle="1" w:styleId="TT-TableTitle">
    <w:name w:val="TT-Table Title"/>
    <w:link w:val="TT-TableTitleChar"/>
    <w:rsid w:val="00C949A4"/>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TH-TableHeading">
    <w:name w:val="TH-Table Heading"/>
    <w:rsid w:val="00C949A4"/>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C949A4"/>
    <w:rPr>
      <w:rFonts w:ascii="Franklin Gothic Medium" w:hAnsi="Franklin Gothic Medium"/>
      <w:sz w:val="20"/>
    </w:rPr>
  </w:style>
  <w:style w:type="character" w:customStyle="1" w:styleId="L1-FlLSp12Char">
    <w:name w:val="L1-FlL Sp&amp;1/2 Char"/>
    <w:link w:val="L1-FlLSp12"/>
    <w:rsid w:val="00C949A4"/>
    <w:rPr>
      <w:rFonts w:ascii="Garamond" w:eastAsia="Times New Roman" w:hAnsi="Garamond" w:cs="Times New Roman"/>
      <w:sz w:val="24"/>
      <w:szCs w:val="20"/>
    </w:rPr>
  </w:style>
  <w:style w:type="character" w:customStyle="1" w:styleId="TT-TableTitleChar">
    <w:name w:val="TT-Table Title Char"/>
    <w:link w:val="TT-TableTitle"/>
    <w:locked/>
    <w:rsid w:val="00C949A4"/>
    <w:rPr>
      <w:rFonts w:ascii="Franklin Gothic Medium" w:eastAsia="Times New Roman" w:hAnsi="Franklin Gothic Medium" w:cs="Times New Roman"/>
      <w:szCs w:val="20"/>
    </w:rPr>
  </w:style>
  <w:style w:type="paragraph" w:styleId="BalloonText">
    <w:name w:val="Balloon Text"/>
    <w:basedOn w:val="Normal"/>
    <w:link w:val="BalloonTextChar"/>
    <w:uiPriority w:val="99"/>
    <w:semiHidden/>
    <w:unhideWhenUsed/>
    <w:rsid w:val="00C949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9A4"/>
    <w:rPr>
      <w:rFonts w:ascii="Tahoma" w:eastAsia="Times New Roman" w:hAnsi="Tahoma" w:cs="Tahoma"/>
      <w:sz w:val="16"/>
      <w:szCs w:val="16"/>
    </w:rPr>
  </w:style>
  <w:style w:type="paragraph" w:styleId="Header">
    <w:name w:val="header"/>
    <w:basedOn w:val="Normal"/>
    <w:link w:val="HeaderChar"/>
    <w:uiPriority w:val="99"/>
    <w:unhideWhenUsed/>
    <w:rsid w:val="00F120B8"/>
    <w:pPr>
      <w:tabs>
        <w:tab w:val="center" w:pos="4680"/>
        <w:tab w:val="right" w:pos="9360"/>
      </w:tabs>
      <w:spacing w:line="240" w:lineRule="auto"/>
    </w:pPr>
  </w:style>
  <w:style w:type="character" w:customStyle="1" w:styleId="HeaderChar">
    <w:name w:val="Header Char"/>
    <w:basedOn w:val="DefaultParagraphFont"/>
    <w:link w:val="Header"/>
    <w:uiPriority w:val="99"/>
    <w:rsid w:val="00F120B8"/>
    <w:rPr>
      <w:rFonts w:ascii="Garamond" w:eastAsia="Times New Roman" w:hAnsi="Garamond" w:cs="Times New Roman"/>
      <w:sz w:val="24"/>
      <w:szCs w:val="20"/>
    </w:rPr>
  </w:style>
  <w:style w:type="paragraph" w:styleId="Footer">
    <w:name w:val="footer"/>
    <w:basedOn w:val="Normal"/>
    <w:link w:val="FooterChar"/>
    <w:uiPriority w:val="99"/>
    <w:unhideWhenUsed/>
    <w:rsid w:val="00F120B8"/>
    <w:pPr>
      <w:tabs>
        <w:tab w:val="center" w:pos="4680"/>
        <w:tab w:val="right" w:pos="9360"/>
      </w:tabs>
      <w:spacing w:line="240" w:lineRule="auto"/>
    </w:pPr>
  </w:style>
  <w:style w:type="character" w:customStyle="1" w:styleId="FooterChar">
    <w:name w:val="Footer Char"/>
    <w:basedOn w:val="DefaultParagraphFont"/>
    <w:link w:val="Footer"/>
    <w:uiPriority w:val="99"/>
    <w:rsid w:val="00F120B8"/>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10257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A4"/>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1025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qFormat/>
    <w:rsid w:val="00C949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949A4"/>
    <w:rPr>
      <w:rFonts w:ascii="Garamond" w:eastAsia="Times New Roman" w:hAnsi="Garamond" w:cs="Times New Roman"/>
      <w:sz w:val="24"/>
      <w:szCs w:val="20"/>
    </w:rPr>
  </w:style>
  <w:style w:type="paragraph" w:customStyle="1" w:styleId="E1-Equation">
    <w:name w:val="E1-Equation"/>
    <w:basedOn w:val="Normal"/>
    <w:rsid w:val="00C949A4"/>
    <w:pPr>
      <w:tabs>
        <w:tab w:val="center" w:pos="4680"/>
        <w:tab w:val="right" w:pos="9360"/>
      </w:tabs>
    </w:pPr>
  </w:style>
  <w:style w:type="paragraph" w:customStyle="1" w:styleId="L1-FlLSp12">
    <w:name w:val="L1-FlL Sp&amp;1/2"/>
    <w:basedOn w:val="Normal"/>
    <w:link w:val="L1-FlLSp12Char"/>
    <w:rsid w:val="00C949A4"/>
    <w:pPr>
      <w:tabs>
        <w:tab w:val="left" w:pos="1152"/>
      </w:tabs>
      <w:spacing w:line="360" w:lineRule="atLeast"/>
    </w:pPr>
  </w:style>
  <w:style w:type="paragraph" w:customStyle="1" w:styleId="TT-TableTitle">
    <w:name w:val="TT-Table Title"/>
    <w:link w:val="TT-TableTitleChar"/>
    <w:rsid w:val="00C949A4"/>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TH-TableHeading">
    <w:name w:val="TH-Table Heading"/>
    <w:rsid w:val="00C949A4"/>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C949A4"/>
    <w:rPr>
      <w:rFonts w:ascii="Franklin Gothic Medium" w:hAnsi="Franklin Gothic Medium"/>
      <w:sz w:val="20"/>
    </w:rPr>
  </w:style>
  <w:style w:type="character" w:customStyle="1" w:styleId="L1-FlLSp12Char">
    <w:name w:val="L1-FlL Sp&amp;1/2 Char"/>
    <w:link w:val="L1-FlLSp12"/>
    <w:rsid w:val="00C949A4"/>
    <w:rPr>
      <w:rFonts w:ascii="Garamond" w:eastAsia="Times New Roman" w:hAnsi="Garamond" w:cs="Times New Roman"/>
      <w:sz w:val="24"/>
      <w:szCs w:val="20"/>
    </w:rPr>
  </w:style>
  <w:style w:type="character" w:customStyle="1" w:styleId="TT-TableTitleChar">
    <w:name w:val="TT-Table Title Char"/>
    <w:link w:val="TT-TableTitle"/>
    <w:locked/>
    <w:rsid w:val="00C949A4"/>
    <w:rPr>
      <w:rFonts w:ascii="Franklin Gothic Medium" w:eastAsia="Times New Roman" w:hAnsi="Franklin Gothic Medium" w:cs="Times New Roman"/>
      <w:szCs w:val="20"/>
    </w:rPr>
  </w:style>
  <w:style w:type="paragraph" w:styleId="BalloonText">
    <w:name w:val="Balloon Text"/>
    <w:basedOn w:val="Normal"/>
    <w:link w:val="BalloonTextChar"/>
    <w:uiPriority w:val="99"/>
    <w:semiHidden/>
    <w:unhideWhenUsed/>
    <w:rsid w:val="00C949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9A4"/>
    <w:rPr>
      <w:rFonts w:ascii="Tahoma" w:eastAsia="Times New Roman" w:hAnsi="Tahoma" w:cs="Tahoma"/>
      <w:sz w:val="16"/>
      <w:szCs w:val="16"/>
    </w:rPr>
  </w:style>
  <w:style w:type="paragraph" w:styleId="Header">
    <w:name w:val="header"/>
    <w:basedOn w:val="Normal"/>
    <w:link w:val="HeaderChar"/>
    <w:uiPriority w:val="99"/>
    <w:unhideWhenUsed/>
    <w:rsid w:val="00F120B8"/>
    <w:pPr>
      <w:tabs>
        <w:tab w:val="center" w:pos="4680"/>
        <w:tab w:val="right" w:pos="9360"/>
      </w:tabs>
      <w:spacing w:line="240" w:lineRule="auto"/>
    </w:pPr>
  </w:style>
  <w:style w:type="character" w:customStyle="1" w:styleId="HeaderChar">
    <w:name w:val="Header Char"/>
    <w:basedOn w:val="DefaultParagraphFont"/>
    <w:link w:val="Header"/>
    <w:uiPriority w:val="99"/>
    <w:rsid w:val="00F120B8"/>
    <w:rPr>
      <w:rFonts w:ascii="Garamond" w:eastAsia="Times New Roman" w:hAnsi="Garamond" w:cs="Times New Roman"/>
      <w:sz w:val="24"/>
      <w:szCs w:val="20"/>
    </w:rPr>
  </w:style>
  <w:style w:type="paragraph" w:styleId="Footer">
    <w:name w:val="footer"/>
    <w:basedOn w:val="Normal"/>
    <w:link w:val="FooterChar"/>
    <w:uiPriority w:val="99"/>
    <w:unhideWhenUsed/>
    <w:rsid w:val="00F120B8"/>
    <w:pPr>
      <w:tabs>
        <w:tab w:val="center" w:pos="4680"/>
        <w:tab w:val="right" w:pos="9360"/>
      </w:tabs>
      <w:spacing w:line="240" w:lineRule="auto"/>
    </w:pPr>
  </w:style>
  <w:style w:type="character" w:customStyle="1" w:styleId="FooterChar">
    <w:name w:val="Footer Char"/>
    <w:basedOn w:val="DefaultParagraphFont"/>
    <w:link w:val="Footer"/>
    <w:uiPriority w:val="99"/>
    <w:rsid w:val="00F120B8"/>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10257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1DA87D0B.dotm</Template>
  <TotalTime>2</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Roline Milfort</dc:creator>
  <cp:lastModifiedBy>Megan Collins</cp:lastModifiedBy>
  <cp:revision>4</cp:revision>
  <dcterms:created xsi:type="dcterms:W3CDTF">2016-11-03T17:39:00Z</dcterms:created>
  <dcterms:modified xsi:type="dcterms:W3CDTF">2017-01-10T20:42:00Z</dcterms:modified>
</cp:coreProperties>
</file>