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3"/>
      </w:tblGrid>
      <w:tr w:rsidR="00813BAC" w:rsidRPr="00194139" w14:paraId="4D5F58ED" w14:textId="77777777" w:rsidTr="0050005E">
        <w:tc>
          <w:tcPr>
            <w:tcW w:w="3423" w:type="dxa"/>
          </w:tcPr>
          <w:p w14:paraId="6B2383AC" w14:textId="164639E2" w:rsidR="00813BAC" w:rsidRPr="00505DA4" w:rsidRDefault="007462D8" w:rsidP="00813BAC">
            <w:pPr>
              <w:tabs>
                <w:tab w:val="left" w:pos="1008"/>
                <w:tab w:val="left" w:pos="4320"/>
                <w:tab w:val="right" w:leader="dot" w:pos="10080"/>
              </w:tabs>
              <w:spacing w:before="120"/>
              <w:rPr>
                <w:rFonts w:ascii="Garamond" w:eastAsia="MS Mincho" w:hAnsi="Garamond" w:cs="Arial"/>
                <w:sz w:val="16"/>
                <w:szCs w:val="16"/>
                <w:lang w:val="es-MX"/>
              </w:rPr>
            </w:pPr>
            <w:r>
              <w:rPr>
                <w:rFonts w:ascii="Garamond" w:eastAsia="MS Mincho" w:hAnsi="Garamond" w:cs="Arial"/>
                <w:sz w:val="16"/>
                <w:szCs w:val="16"/>
                <w:lang w:val="es-MX"/>
              </w:rPr>
              <w:t>No. de la OMB</w:t>
            </w:r>
            <w:bookmarkStart w:id="0" w:name="_GoBack"/>
            <w:bookmarkEnd w:id="0"/>
            <w:r w:rsidR="008077FA">
              <w:rPr>
                <w:rFonts w:ascii="Garamond" w:eastAsia="MS Mincho" w:hAnsi="Garamond" w:cs="Arial"/>
                <w:sz w:val="16"/>
                <w:szCs w:val="16"/>
                <w:lang w:val="es-MX"/>
              </w:rPr>
              <w:t>: 0584-0530</w:t>
            </w:r>
          </w:p>
          <w:p w14:paraId="4C7F5EA9" w14:textId="77777777" w:rsidR="00813BAC" w:rsidRPr="00505DA4" w:rsidRDefault="00813BAC" w:rsidP="00813BAC">
            <w:pPr>
              <w:tabs>
                <w:tab w:val="left" w:pos="1008"/>
                <w:tab w:val="left" w:pos="4320"/>
                <w:tab w:val="right" w:leader="dot" w:pos="10080"/>
              </w:tabs>
              <w:spacing w:after="120"/>
              <w:rPr>
                <w:rFonts w:ascii="Garamond" w:eastAsia="MS Mincho" w:hAnsi="Garamond" w:cs="Arial"/>
                <w:sz w:val="22"/>
                <w:szCs w:val="16"/>
                <w:lang w:val="es-MX"/>
              </w:rPr>
            </w:pPr>
            <w:r w:rsidRPr="00505DA4">
              <w:rPr>
                <w:rFonts w:ascii="Garamond" w:eastAsia="MS Mincho" w:hAnsi="Garamond" w:cs="Arial"/>
                <w:sz w:val="16"/>
                <w:szCs w:val="16"/>
                <w:lang w:val="es-MX"/>
              </w:rPr>
              <w:t>Fecha de expiración: XX/XX/XXXX</w:t>
            </w:r>
          </w:p>
        </w:tc>
      </w:tr>
    </w:tbl>
    <w:p w14:paraId="5DE36CA3" w14:textId="77777777" w:rsidR="00813BAC" w:rsidRPr="00505DA4" w:rsidRDefault="00813BAC" w:rsidP="00E2382C">
      <w:pPr>
        <w:rPr>
          <w:lang w:val="es-MX"/>
        </w:rPr>
      </w:pPr>
    </w:p>
    <w:p w14:paraId="78CBA2AC" w14:textId="77777777" w:rsidR="00E2382C" w:rsidRDefault="00E2382C" w:rsidP="00E2382C">
      <w:r>
        <w:rPr>
          <w:noProof/>
        </w:rPr>
        <w:drawing>
          <wp:inline distT="0" distB="0" distL="0" distR="0" wp14:anchorId="627269A2" wp14:editId="5A4B45EA">
            <wp:extent cx="723265" cy="476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4C60896" wp14:editId="0C442F86">
            <wp:extent cx="1257300" cy="1257300"/>
            <wp:effectExtent l="0" t="0" r="0" b="0"/>
            <wp:docPr id="3" name="Picture 3" descr="K:\APECIII\Study Materials\Study Logo\NSMS_Logo_Title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PECIII\Study Materials\Study Logo\NSMS_Logo_Title_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C8B2F" w14:textId="77777777" w:rsidR="00E2382C" w:rsidRDefault="00E2382C" w:rsidP="00E2382C"/>
    <w:p w14:paraId="42E456BA" w14:textId="2A833647" w:rsidR="0032586A" w:rsidRPr="005107BA" w:rsidRDefault="0032586A" w:rsidP="0032586A">
      <w:pPr>
        <w:jc w:val="center"/>
        <w:rPr>
          <w:rFonts w:ascii="Tahoma" w:hAnsi="Tahoma" w:cs="Tahoma"/>
          <w:b/>
          <w:sz w:val="32"/>
          <w:lang w:val="es-US"/>
        </w:rPr>
      </w:pPr>
      <w:r w:rsidRPr="005107BA">
        <w:rPr>
          <w:rFonts w:ascii="Tahoma" w:hAnsi="Tahoma" w:cs="Tahoma"/>
          <w:b/>
          <w:bCs/>
          <w:sz w:val="32"/>
          <w:lang w:val="es-US"/>
        </w:rPr>
        <w:t xml:space="preserve">Tarjeta 1 para el Estudio Nacional de </w:t>
      </w:r>
      <w:r w:rsidR="00B94A8E">
        <w:rPr>
          <w:rFonts w:ascii="Tahoma" w:hAnsi="Tahoma" w:cs="Tahoma"/>
          <w:b/>
          <w:bCs/>
          <w:sz w:val="32"/>
          <w:lang w:val="es-US"/>
        </w:rPr>
        <w:t>Alimentos</w:t>
      </w:r>
      <w:r w:rsidR="00B94A8E" w:rsidRPr="005107BA">
        <w:rPr>
          <w:rFonts w:ascii="Tahoma" w:hAnsi="Tahoma" w:cs="Tahoma"/>
          <w:b/>
          <w:bCs/>
          <w:sz w:val="32"/>
          <w:lang w:val="es-US"/>
        </w:rPr>
        <w:t xml:space="preserve"> </w:t>
      </w:r>
      <w:r w:rsidRPr="005107BA">
        <w:rPr>
          <w:rFonts w:ascii="Tahoma" w:hAnsi="Tahoma" w:cs="Tahoma"/>
          <w:b/>
          <w:bCs/>
          <w:sz w:val="32"/>
          <w:lang w:val="es-US"/>
        </w:rPr>
        <w:t>Escolares</w:t>
      </w:r>
    </w:p>
    <w:p w14:paraId="4CDFF071" w14:textId="77777777" w:rsidR="0032586A" w:rsidRPr="005107BA" w:rsidRDefault="0032586A" w:rsidP="0032586A">
      <w:pPr>
        <w:jc w:val="center"/>
        <w:rPr>
          <w:rFonts w:ascii="Tahoma" w:hAnsi="Tahoma" w:cs="Tahoma"/>
          <w:b/>
          <w:sz w:val="32"/>
          <w:lang w:val="es-US"/>
        </w:rPr>
      </w:pPr>
      <w:r w:rsidRPr="005107BA">
        <w:rPr>
          <w:rFonts w:ascii="Tahoma" w:hAnsi="Tahoma" w:cs="Tahoma"/>
          <w:b/>
          <w:bCs/>
          <w:sz w:val="32"/>
          <w:lang w:val="es-US"/>
        </w:rPr>
        <w:t xml:space="preserve">Ingresos y pagos de beneficios del hogar </w:t>
      </w:r>
      <w:r w:rsidRPr="005107BA">
        <w:rPr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val="es-US"/>
        </w:rPr>
        <w:t xml:space="preserve"> </w:t>
      </w:r>
    </w:p>
    <w:p w14:paraId="4617F4D8" w14:textId="77777777" w:rsidR="00E2382C" w:rsidRPr="00505DA4" w:rsidRDefault="00E2382C" w:rsidP="0032586A">
      <w:pPr>
        <w:jc w:val="center"/>
        <w:rPr>
          <w:rFonts w:ascii="Tahoma" w:hAnsi="Tahoma" w:cs="Tahoma"/>
          <w:b/>
          <w:sz w:val="32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06"/>
        <w:gridCol w:w="7984"/>
      </w:tblGrid>
      <w:tr w:rsidR="00E2382C" w:rsidRPr="00194139" w14:paraId="10EA4D1B" w14:textId="77777777" w:rsidTr="00250BE9">
        <w:trPr>
          <w:tblHeader/>
        </w:trPr>
        <w:tc>
          <w:tcPr>
            <w:tcW w:w="1606" w:type="dxa"/>
            <w:shd w:val="clear" w:color="auto" w:fill="auto"/>
          </w:tcPr>
          <w:p w14:paraId="2018DB7C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FUENTE #</w:t>
            </w:r>
          </w:p>
        </w:tc>
        <w:tc>
          <w:tcPr>
            <w:tcW w:w="7984" w:type="dxa"/>
            <w:shd w:val="clear" w:color="auto" w:fill="auto"/>
          </w:tcPr>
          <w:p w14:paraId="74A8F5CA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jc w:val="center"/>
              <w:rPr>
                <w:rFonts w:ascii="Tahoma" w:hAnsi="Tahoma" w:cs="Tahoma"/>
                <w:b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TIPO DE INGRESO O BENEFICIO</w:t>
            </w:r>
          </w:p>
        </w:tc>
      </w:tr>
      <w:tr w:rsidR="00E2382C" w:rsidRPr="00194139" w14:paraId="27001AAB" w14:textId="77777777" w:rsidTr="00250BE9">
        <w:tc>
          <w:tcPr>
            <w:tcW w:w="1606" w:type="dxa"/>
            <w:shd w:val="clear" w:color="auto" w:fill="auto"/>
          </w:tcPr>
          <w:p w14:paraId="079CCF11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bookmarkEnd w:id="1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</w:t>
            </w:r>
          </w:p>
        </w:tc>
        <w:tc>
          <w:tcPr>
            <w:tcW w:w="7984" w:type="dxa"/>
            <w:shd w:val="clear" w:color="auto" w:fill="auto"/>
          </w:tcPr>
          <w:p w14:paraId="25C072E1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Ingreso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s</w:t>
            </w: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 por trabajo pagado</w:t>
            </w:r>
          </w:p>
          <w:p w14:paraId="6303E1F3" w14:textId="77777777" w:rsidR="00E2382C" w:rsidRPr="005107BA" w:rsidRDefault="00D62220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273BAF">
              <w:rPr>
                <w:rFonts w:ascii="Tahoma" w:hAnsi="Tahoma"/>
                <w:sz w:val="20"/>
                <w:lang w:val="es-US"/>
              </w:rPr>
              <w:t>Si usted tiene su propio negocio, únicamente incluya el salario que usted se paga a sí mismo como ingreso</w:t>
            </w:r>
            <w:r>
              <w:rPr>
                <w:rFonts w:ascii="Tahoma" w:hAnsi="Tahoma"/>
                <w:sz w:val="20"/>
                <w:lang w:val="es-US"/>
              </w:rPr>
              <w:t>s</w:t>
            </w:r>
            <w:r w:rsidRPr="00273BAF">
              <w:rPr>
                <w:rFonts w:ascii="Tahoma" w:hAnsi="Tahoma"/>
                <w:sz w:val="20"/>
                <w:lang w:val="es-US"/>
              </w:rPr>
              <w:t xml:space="preserve"> personal</w:t>
            </w:r>
            <w:r>
              <w:rPr>
                <w:rFonts w:ascii="Tahoma" w:hAnsi="Tahoma"/>
                <w:sz w:val="20"/>
                <w:lang w:val="es-US"/>
              </w:rPr>
              <w:t>es</w:t>
            </w:r>
            <w:r w:rsidRPr="00273BAF">
              <w:rPr>
                <w:rFonts w:ascii="Tahoma" w:hAnsi="Tahoma"/>
                <w:sz w:val="20"/>
                <w:lang w:val="es-US"/>
              </w:rPr>
              <w:t xml:space="preserve"> o ingresos regulares. No incluya las ganancias o pérdidas de negocios.</w:t>
            </w:r>
            <w:r>
              <w:rPr>
                <w:rFonts w:ascii="Tahoma" w:hAnsi="Tahoma"/>
                <w:sz w:val="20"/>
                <w:lang w:val="es-US"/>
              </w:rPr>
              <w:t xml:space="preserve"> </w:t>
            </w:r>
            <w:r w:rsidRPr="008E2DE5">
              <w:rPr>
                <w:rFonts w:ascii="Tahoma" w:hAnsi="Tahoma"/>
                <w:sz w:val="20"/>
                <w:lang w:val="es-US"/>
              </w:rPr>
              <w:t>Para los miembros del servicio militar, incluya el pago básico militar</w:t>
            </w:r>
            <w:r w:rsidRPr="00434F26">
              <w:rPr>
                <w:rFonts w:ascii="Tahoma" w:hAnsi="Tahoma"/>
                <w:sz w:val="20"/>
                <w:lang w:val="es-US"/>
              </w:rPr>
              <w:t>. Para los miembros del servicio desplegados, incluya sólo la cantidad puesta a disposición del hogar.</w:t>
            </w:r>
          </w:p>
        </w:tc>
      </w:tr>
      <w:tr w:rsidR="00E2382C" w:rsidRPr="00194139" w14:paraId="4EC72B04" w14:textId="77777777" w:rsidTr="00250BE9">
        <w:tc>
          <w:tcPr>
            <w:tcW w:w="1606" w:type="dxa"/>
            <w:shd w:val="clear" w:color="auto" w:fill="auto"/>
          </w:tcPr>
          <w:p w14:paraId="4A0BE178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</w:t>
            </w:r>
          </w:p>
        </w:tc>
        <w:tc>
          <w:tcPr>
            <w:tcW w:w="7984" w:type="dxa"/>
            <w:shd w:val="clear" w:color="auto" w:fill="auto"/>
          </w:tcPr>
          <w:p w14:paraId="44D5A025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Compensación por desempleo</w:t>
            </w:r>
          </w:p>
          <w:p w14:paraId="526D8654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Dinero que sustituye un salario o sueldo y que reciben trabajadores que recientemente han perdido su empleo de acuerdo con un programa administrado por el gobierno o por un sindicato.</w:t>
            </w:r>
          </w:p>
        </w:tc>
      </w:tr>
      <w:tr w:rsidR="00E2382C" w:rsidRPr="00194139" w14:paraId="6F28E16C" w14:textId="77777777" w:rsidTr="00250BE9">
        <w:tc>
          <w:tcPr>
            <w:tcW w:w="1606" w:type="dxa"/>
            <w:shd w:val="clear" w:color="auto" w:fill="auto"/>
          </w:tcPr>
          <w:p w14:paraId="49CA24E0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3</w:t>
            </w:r>
          </w:p>
        </w:tc>
        <w:tc>
          <w:tcPr>
            <w:tcW w:w="7984" w:type="dxa"/>
            <w:shd w:val="clear" w:color="auto" w:fill="auto"/>
          </w:tcPr>
          <w:p w14:paraId="6AF578D8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Indemnización por accidentes laborales</w:t>
            </w:r>
          </w:p>
          <w:p w14:paraId="6629DDA5" w14:textId="77777777" w:rsidR="00E2382C" w:rsidRPr="005107BA" w:rsidRDefault="00E2382C" w:rsidP="00250BE9">
            <w:pPr>
              <w:pStyle w:val="N3-3rdBullet"/>
              <w:widowControl w:val="0"/>
              <w:numPr>
                <w:ilvl w:val="0"/>
                <w:numId w:val="0"/>
              </w:numPr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Pago que la ley exige se le haga a un trabajador que resulte herido o discapacitado en conexión con su trabajo.</w:t>
            </w:r>
          </w:p>
        </w:tc>
      </w:tr>
      <w:tr w:rsidR="00E2382C" w:rsidRPr="00194139" w14:paraId="29792EDC" w14:textId="77777777" w:rsidTr="00250BE9">
        <w:tc>
          <w:tcPr>
            <w:tcW w:w="1606" w:type="dxa"/>
            <w:shd w:val="clear" w:color="auto" w:fill="auto"/>
          </w:tcPr>
          <w:p w14:paraId="0E5CEE50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4</w:t>
            </w:r>
          </w:p>
        </w:tc>
        <w:tc>
          <w:tcPr>
            <w:tcW w:w="7984" w:type="dxa"/>
            <w:shd w:val="clear" w:color="auto" w:fill="auto"/>
          </w:tcPr>
          <w:p w14:paraId="1E2F3321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Beneficios de huelga</w:t>
            </w:r>
          </w:p>
          <w:p w14:paraId="13C93815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Dinero que un sindicato les paga a trabajadores en huelga para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 xml:space="preserve"> subsistencia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durante una huelga.</w:t>
            </w:r>
          </w:p>
        </w:tc>
      </w:tr>
      <w:tr w:rsidR="00E2382C" w:rsidRPr="00194139" w14:paraId="01FC67D0" w14:textId="77777777" w:rsidTr="00250BE9">
        <w:tc>
          <w:tcPr>
            <w:tcW w:w="1606" w:type="dxa"/>
            <w:shd w:val="clear" w:color="auto" w:fill="auto"/>
          </w:tcPr>
          <w:p w14:paraId="29076E5D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5</w:t>
            </w:r>
          </w:p>
        </w:tc>
        <w:tc>
          <w:tcPr>
            <w:tcW w:w="7984" w:type="dxa"/>
            <w:shd w:val="clear" w:color="auto" w:fill="auto"/>
          </w:tcPr>
          <w:p w14:paraId="1D21A15B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Seguro social o jubilación ferroviaria</w:t>
            </w:r>
          </w:p>
          <w:p w14:paraId="2E37E30C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El programa de jubilación ferroviaria ofrece beneficios de jubilación, compensación por desempleo a supervivientes y beneficios por enfermedad a personas que han pasado la mayor parte de sus carreras en empleos ferroviarios y también a sus familiares. </w:t>
            </w:r>
          </w:p>
          <w:p w14:paraId="310E05AC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La jubilación del Seguro Social es un programa de seguro federal que ofrece beneficios a personas jubiladas y a aquellos que no tienen empleo o están discapacitados. </w:t>
            </w:r>
          </w:p>
        </w:tc>
      </w:tr>
    </w:tbl>
    <w:p w14:paraId="4B273F40" w14:textId="77777777" w:rsidR="00DE3038" w:rsidRPr="00505DA4" w:rsidRDefault="00DE3038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FD0AB" wp14:editId="5B54F14F">
                <wp:simplePos x="0" y="0"/>
                <wp:positionH relativeFrom="column">
                  <wp:posOffset>-505460</wp:posOffset>
                </wp:positionH>
                <wp:positionV relativeFrom="paragraph">
                  <wp:posOffset>415290</wp:posOffset>
                </wp:positionV>
                <wp:extent cx="7038340" cy="850605"/>
                <wp:effectExtent l="0" t="0" r="1016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85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B74E0" w14:textId="5211097F" w:rsidR="00DE3038" w:rsidRPr="00505DA4" w:rsidRDefault="00DE3038" w:rsidP="00DE3038">
                            <w:pPr>
                              <w:spacing w:after="120"/>
                              <w:rPr>
                                <w:rFonts w:ascii="Garamond" w:hAnsi="Garamond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505DA4">
                              <w:rPr>
                                <w:rFonts w:ascii="Garamond" w:hAnsi="Garamond"/>
                                <w:sz w:val="18"/>
                                <w:szCs w:val="18"/>
                                <w:lang w:val="es-MX"/>
                              </w:rPr>
                              <w:t>Conforme a la Ley de Reducción de Papeleo de 1995, una agencia no podrá llevar a cabo ni auspiciar una recopilación de información si no muestra un número de control válido de la OMB (la Oficina de Administración y Presupuesto), ni tampoco ninguna persona estará obligada a aceptar tal petición de recopilación de información.  El número de control válido de la OMB para esta recopila</w:t>
                            </w:r>
                            <w:r w:rsidR="008077FA">
                              <w:rPr>
                                <w:rFonts w:ascii="Garamond" w:hAnsi="Garamond"/>
                                <w:sz w:val="18"/>
                                <w:szCs w:val="18"/>
                                <w:lang w:val="es-MX"/>
                              </w:rPr>
                              <w:t>ción de información es 0584-0530</w:t>
                            </w:r>
                            <w:r w:rsidRPr="00505DA4">
                              <w:rPr>
                                <w:rFonts w:ascii="Garamond" w:hAnsi="Garamond"/>
                                <w:sz w:val="18"/>
                                <w:szCs w:val="18"/>
                                <w:lang w:val="es-MX"/>
                              </w:rPr>
                              <w:t>.  El tiempo requerido para completar esta recopilación de información es de aproximadamente un promedio de 2 minutos por respuesta, incluido el tiempo para revisar las instrucciones, buscar fuentes de datos existentes, recabar y mantener los datos requeridos, y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8pt;margin-top:32.7pt;width:554.2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">
                <v:textbox>
                  <w:txbxContent>
                    <w:p w14:paraId="1D4B74E0" w14:textId="5211097F" w:rsidR="00DE3038" w:rsidRPr="00505DA4" w:rsidRDefault="00DE3038" w:rsidP="00DE3038">
                      <w:pPr>
                        <w:spacing w:after="120"/>
                        <w:rPr>
                          <w:rFonts w:ascii="Garamond" w:hAnsi="Garamond"/>
                          <w:sz w:val="18"/>
                          <w:szCs w:val="18"/>
                          <w:lang w:val="es-MX"/>
                        </w:rPr>
                      </w:pPr>
                      <w:r w:rsidRPr="00505DA4">
                        <w:rPr>
                          <w:rFonts w:ascii="Garamond" w:hAnsi="Garamond"/>
                          <w:sz w:val="18"/>
                          <w:szCs w:val="18"/>
                          <w:lang w:val="es-MX"/>
                        </w:rPr>
                        <w:t>Conforme a la Ley de Reducción de Papeleo de 1995, una agencia no podrá llevar a cabo ni auspiciar una recopilación de información si no muestra un número de control válido de la OMB (la Oficina de Administración y Presupuesto), ni tampoco ninguna persona estará obligada a aceptar tal petición de recopilación de información.  El número de control válido de la OMB para esta recopila</w:t>
                      </w:r>
                      <w:r w:rsidR="008077FA">
                        <w:rPr>
                          <w:rFonts w:ascii="Garamond" w:hAnsi="Garamond"/>
                          <w:sz w:val="18"/>
                          <w:szCs w:val="18"/>
                          <w:lang w:val="es-MX"/>
                        </w:rPr>
                        <w:t>ción de información es 0584-0530</w:t>
                      </w:r>
                      <w:r w:rsidRPr="00505DA4">
                        <w:rPr>
                          <w:rFonts w:ascii="Garamond" w:hAnsi="Garamond"/>
                          <w:sz w:val="18"/>
                          <w:szCs w:val="18"/>
                          <w:lang w:val="es-MX"/>
                        </w:rPr>
                        <w:t>.  El tiempo requerido para completar esta recopilación de información es de aproximadamente un promedio de 2 minutos por respuesta, incluido el tiempo para revisar las instrucciones, buscar fuentes de datos existentes, recabar y mantener los datos requeridos, y completar y revisar la recopilación de información.</w:t>
                      </w:r>
                    </w:p>
                  </w:txbxContent>
                </v:textbox>
              </v:shape>
            </w:pict>
          </mc:Fallback>
        </mc:AlternateContent>
      </w:r>
      <w:r w:rsidRPr="00505DA4">
        <w:rPr>
          <w:lang w:val="es-MX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06"/>
        <w:gridCol w:w="7984"/>
      </w:tblGrid>
      <w:tr w:rsidR="00E2382C" w:rsidRPr="00194139" w14:paraId="15399344" w14:textId="77777777" w:rsidTr="00250BE9">
        <w:tc>
          <w:tcPr>
            <w:tcW w:w="1606" w:type="dxa"/>
            <w:shd w:val="clear" w:color="auto" w:fill="auto"/>
          </w:tcPr>
          <w:p w14:paraId="3BB245EE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6</w:t>
            </w:r>
          </w:p>
        </w:tc>
        <w:tc>
          <w:tcPr>
            <w:tcW w:w="7984" w:type="dxa"/>
            <w:shd w:val="clear" w:color="auto" w:fill="auto"/>
          </w:tcPr>
          <w:p w14:paraId="41319779" w14:textId="77777777" w:rsidR="00D62220" w:rsidRPr="00273BAF" w:rsidRDefault="00D62220" w:rsidP="00D62220">
            <w:pPr>
              <w:pStyle w:val="SL-FlLftSgl"/>
              <w:spacing w:before="60"/>
              <w:rPr>
                <w:rFonts w:ascii="Tahoma" w:hAnsi="Tahoma"/>
                <w:b/>
                <w:sz w:val="20"/>
                <w:lang w:val="es-US"/>
              </w:rPr>
            </w:pPr>
            <w:r w:rsidRPr="00273BAF">
              <w:rPr>
                <w:rFonts w:ascii="Tahoma" w:hAnsi="Tahoma"/>
                <w:b/>
                <w:bCs/>
                <w:sz w:val="20"/>
                <w:lang w:val="es-US"/>
              </w:rPr>
              <w:t>Pensi</w:t>
            </w:r>
            <w:r>
              <w:rPr>
                <w:rFonts w:ascii="Tahoma" w:hAnsi="Tahoma"/>
                <w:b/>
                <w:bCs/>
                <w:sz w:val="20"/>
                <w:lang w:val="es-US"/>
              </w:rPr>
              <w:t xml:space="preserve">ón </w:t>
            </w:r>
            <w:r w:rsidRPr="00C139C1">
              <w:rPr>
                <w:rFonts w:ascii="Tahoma" w:hAnsi="Tahoma"/>
                <w:b/>
                <w:bCs/>
                <w:sz w:val="20"/>
                <w:lang w:val="es-US"/>
              </w:rPr>
              <w:t>(pública o privada</w:t>
            </w:r>
            <w:r>
              <w:rPr>
                <w:rFonts w:ascii="Tahoma" w:hAnsi="Tahoma"/>
                <w:b/>
                <w:bCs/>
                <w:sz w:val="20"/>
                <w:lang w:val="es-US"/>
              </w:rPr>
              <w:t>)</w:t>
            </w:r>
            <w:r w:rsidRPr="00273BAF">
              <w:rPr>
                <w:rFonts w:ascii="Tahoma" w:hAnsi="Tahoma"/>
                <w:b/>
                <w:bCs/>
                <w:sz w:val="20"/>
                <w:lang w:val="es-US"/>
              </w:rPr>
              <w:t xml:space="preserve">, anualidades o beneficios de </w:t>
            </w:r>
            <w:r>
              <w:rPr>
                <w:rFonts w:ascii="Tahoma" w:hAnsi="Tahoma"/>
                <w:b/>
                <w:bCs/>
                <w:sz w:val="20"/>
                <w:lang w:val="es-US"/>
              </w:rPr>
              <w:t>sobrevivientes</w:t>
            </w:r>
          </w:p>
          <w:p w14:paraId="268CD8E5" w14:textId="77777777" w:rsidR="00D62220" w:rsidRDefault="00D62220" w:rsidP="00D62220">
            <w:pPr>
              <w:pStyle w:val="SL-FlLftSgl"/>
              <w:spacing w:before="120" w:after="60"/>
              <w:ind w:left="144"/>
              <w:rPr>
                <w:rFonts w:ascii="Tahoma" w:hAnsi="Tahoma" w:cs="Arial"/>
                <w:sz w:val="20"/>
                <w:lang w:val="es-US"/>
              </w:rPr>
            </w:pPr>
            <w:r w:rsidRPr="00C139C1">
              <w:rPr>
                <w:rFonts w:ascii="Tahoma" w:hAnsi="Tahoma" w:cs="Arial"/>
                <w:sz w:val="20"/>
                <w:lang w:val="es-US"/>
              </w:rPr>
              <w:t xml:space="preserve">Una </w:t>
            </w:r>
            <w:r w:rsidRPr="00C139C1">
              <w:rPr>
                <w:rFonts w:ascii="Tahoma" w:hAnsi="Tahoma" w:cs="Arial"/>
                <w:b/>
                <w:sz w:val="20"/>
                <w:lang w:val="es-US"/>
              </w:rPr>
              <w:t xml:space="preserve">pensión </w:t>
            </w:r>
            <w:r w:rsidRPr="00C139C1">
              <w:rPr>
                <w:rFonts w:ascii="Tahoma" w:hAnsi="Tahoma" w:cs="Arial"/>
                <w:sz w:val="20"/>
                <w:lang w:val="es-US"/>
              </w:rPr>
              <w:t>es un fondo en el que se agrega una suma de dinero durante los años de empleo de un empleado y de donde se sacan los pagos para apoyar la jubilación de la persona en forma de pagos periódicos.</w:t>
            </w:r>
          </w:p>
          <w:p w14:paraId="04699E2A" w14:textId="77777777" w:rsidR="00D62220" w:rsidRPr="00273BAF" w:rsidRDefault="00D62220" w:rsidP="00D62220">
            <w:pPr>
              <w:pStyle w:val="SL-FlLftSgl"/>
              <w:spacing w:before="120" w:after="60"/>
              <w:ind w:left="144"/>
              <w:rPr>
                <w:rFonts w:ascii="Tahoma" w:hAnsi="Tahoma" w:cs="Arial"/>
                <w:sz w:val="20"/>
                <w:lang w:val="es-US"/>
              </w:rPr>
            </w:pPr>
            <w:r w:rsidRPr="00273BAF">
              <w:rPr>
                <w:rFonts w:ascii="Tahoma" w:hAnsi="Tahoma" w:cs="Arial"/>
                <w:sz w:val="20"/>
                <w:lang w:val="es-US"/>
              </w:rPr>
              <w:t>Una</w:t>
            </w:r>
            <w:r w:rsidRPr="00273BAF">
              <w:rPr>
                <w:rFonts w:ascii="Tahoma" w:hAnsi="Tahoma" w:cs="Arial"/>
                <w:b/>
                <w:bCs/>
                <w:sz w:val="20"/>
                <w:lang w:val="es-US"/>
              </w:rPr>
              <w:t xml:space="preserve"> anualidad</w:t>
            </w:r>
            <w:r w:rsidRPr="00273BAF">
              <w:rPr>
                <w:rFonts w:ascii="Tahoma" w:hAnsi="Tahoma" w:cs="Arial"/>
                <w:sz w:val="20"/>
                <w:lang w:val="es-US"/>
              </w:rPr>
              <w:t xml:space="preserve"> es un contrato entre usted y una compañía de seguros que requiere que el asegurador le haga pagos a usted inmediatamente o en el futuro. Una anualidad se compra en un solo pago o en una serie de pagos. De igual manera, la cantidad que uno recibe viene como un pago único o como una serie de pagos a lo largo del tiempo. </w:t>
            </w:r>
          </w:p>
          <w:p w14:paraId="62E563FC" w14:textId="77777777" w:rsidR="00E2382C" w:rsidRPr="005107BA" w:rsidRDefault="00D62220" w:rsidP="00D62220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273BAF">
              <w:rPr>
                <w:rFonts w:ascii="Tahoma" w:hAnsi="Tahoma" w:cs="Arial"/>
                <w:sz w:val="20"/>
                <w:lang w:val="es-US"/>
              </w:rPr>
              <w:t xml:space="preserve">Los </w:t>
            </w:r>
            <w:r w:rsidRPr="00273BAF">
              <w:rPr>
                <w:rFonts w:ascii="Tahoma" w:hAnsi="Tahoma" w:cs="Arial"/>
                <w:b/>
                <w:bCs/>
                <w:sz w:val="20"/>
                <w:lang w:val="es-US"/>
              </w:rPr>
              <w:t xml:space="preserve">beneficios de </w:t>
            </w:r>
            <w:r w:rsidRPr="00C139C1">
              <w:rPr>
                <w:rFonts w:ascii="Tahoma" w:hAnsi="Tahoma" w:cs="Arial"/>
                <w:b/>
                <w:bCs/>
                <w:sz w:val="20"/>
                <w:lang w:val="es-US"/>
              </w:rPr>
              <w:t>sobrevivientes</w:t>
            </w:r>
            <w:r w:rsidRPr="00273BAF">
              <w:rPr>
                <w:rFonts w:ascii="Tahoma" w:hAnsi="Tahoma" w:cs="Arial"/>
                <w:sz w:val="20"/>
                <w:lang w:val="es-US"/>
              </w:rPr>
              <w:t xml:space="preserve"> son para viudos o viudas que reciben beneficios del Seguro Social con base en las ganancias registradas del cónyuge fallecido.</w:t>
            </w:r>
          </w:p>
        </w:tc>
      </w:tr>
      <w:tr w:rsidR="00E2382C" w:rsidRPr="00194139" w14:paraId="417DA9FD" w14:textId="77777777" w:rsidTr="00250BE9">
        <w:tc>
          <w:tcPr>
            <w:tcW w:w="1606" w:type="dxa"/>
            <w:shd w:val="clear" w:color="auto" w:fill="auto"/>
          </w:tcPr>
          <w:p w14:paraId="5CD34D93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7</w:t>
            </w:r>
          </w:p>
        </w:tc>
        <w:tc>
          <w:tcPr>
            <w:tcW w:w="7984" w:type="dxa"/>
            <w:shd w:val="clear" w:color="auto" w:fill="auto"/>
          </w:tcPr>
          <w:p w14:paraId="3153F13F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Beneficios en efectivo de las fuerzas armadas</w:t>
            </w:r>
          </w:p>
          <w:p w14:paraId="7C5AC67D" w14:textId="77777777" w:rsidR="00E2382C" w:rsidRPr="005107BA" w:rsidRDefault="00D62220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296EC9">
              <w:rPr>
                <w:rFonts w:ascii="Tahoma" w:hAnsi="Tahoma"/>
                <w:sz w:val="20"/>
                <w:lang w:val="es-US"/>
              </w:rPr>
              <w:t>Incluya la cantidad que está disponible para la vivienda, alimentación o vestido, incluyendo la asignación básica para vivienda (BAH, por sus siglas en inglés). No incluya el salario de combate, o beneficios de la asignación suplementaria de subsistencia para la familia (FSSA, por sus siglas en inglés) o de la iniciativa de privatización de viviendas militares (MHPI, por sus siglas en inglés). Para miembros del servicio desplegado, incluya sólo la cantidad puesta a disposición del hogar.</w:t>
            </w:r>
          </w:p>
        </w:tc>
      </w:tr>
      <w:tr w:rsidR="00E2382C" w:rsidRPr="00194139" w14:paraId="026E27B9" w14:textId="77777777" w:rsidTr="00250BE9">
        <w:tc>
          <w:tcPr>
            <w:tcW w:w="1606" w:type="dxa"/>
            <w:shd w:val="clear" w:color="auto" w:fill="auto"/>
          </w:tcPr>
          <w:p w14:paraId="0CEF1D10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8</w:t>
            </w:r>
          </w:p>
        </w:tc>
        <w:tc>
          <w:tcPr>
            <w:tcW w:w="7984" w:type="dxa"/>
            <w:shd w:val="clear" w:color="auto" w:fill="auto"/>
          </w:tcPr>
          <w:p w14:paraId="4C3AB399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Beneficios de veteranos</w:t>
            </w:r>
          </w:p>
          <w:p w14:paraId="0308C4AF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Beneficios que se reciben con base en el servicio militar. </w:t>
            </w:r>
          </w:p>
        </w:tc>
      </w:tr>
      <w:tr w:rsidR="00E2382C" w:rsidRPr="00194139" w14:paraId="512070FE" w14:textId="77777777" w:rsidTr="00250BE9">
        <w:tc>
          <w:tcPr>
            <w:tcW w:w="1606" w:type="dxa"/>
            <w:shd w:val="clear" w:color="auto" w:fill="auto"/>
          </w:tcPr>
          <w:p w14:paraId="56F695E3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9</w:t>
            </w:r>
          </w:p>
        </w:tc>
        <w:tc>
          <w:tcPr>
            <w:tcW w:w="7984" w:type="dxa"/>
            <w:shd w:val="clear" w:color="auto" w:fill="auto"/>
          </w:tcPr>
          <w:p w14:paraId="4CE10059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Beneficios de discapacidad del gobierno de un Ingreso Suplementario de Seguridad</w:t>
            </w:r>
          </w:p>
          <w:p w14:paraId="6ED73530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El programa de SSI paga beneficios a adultos y niños discapacitados que t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>ienen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ingresos y recursos limitados.</w:t>
            </w:r>
          </w:p>
        </w:tc>
      </w:tr>
      <w:tr w:rsidR="00E2382C" w:rsidRPr="00194139" w14:paraId="61EBB0AC" w14:textId="77777777" w:rsidTr="00250BE9">
        <w:tc>
          <w:tcPr>
            <w:tcW w:w="1606" w:type="dxa"/>
            <w:shd w:val="clear" w:color="auto" w:fill="auto"/>
          </w:tcPr>
          <w:p w14:paraId="649B922B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10</w:t>
            </w:r>
          </w:p>
        </w:tc>
        <w:tc>
          <w:tcPr>
            <w:tcW w:w="7984" w:type="dxa"/>
            <w:shd w:val="clear" w:color="auto" w:fill="auto"/>
          </w:tcPr>
          <w:p w14:paraId="3F4369EA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Beneficios privados de discapacidad </w:t>
            </w:r>
          </w:p>
          <w:p w14:paraId="18431E3C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Ofrece beneficios a trabajadores que no pueden laborar debido a discapacidad, al pagarles todo o parte de sus salarios de una póliza de seguro que un empleador podría proporcionar como beneficio para el empleado, o de una póliza de seguro que una persona puede comprar directamente de una compañía de seguros.</w:t>
            </w:r>
          </w:p>
        </w:tc>
      </w:tr>
      <w:tr w:rsidR="00E2382C" w:rsidRPr="00194139" w14:paraId="3E452AF0" w14:textId="77777777" w:rsidTr="00250BE9">
        <w:tc>
          <w:tcPr>
            <w:tcW w:w="1606" w:type="dxa"/>
            <w:shd w:val="clear" w:color="auto" w:fill="auto"/>
          </w:tcPr>
          <w:p w14:paraId="29E59E43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11</w:t>
            </w:r>
          </w:p>
        </w:tc>
        <w:tc>
          <w:tcPr>
            <w:tcW w:w="7984" w:type="dxa"/>
            <w:shd w:val="clear" w:color="auto" w:fill="auto"/>
          </w:tcPr>
          <w:p w14:paraId="68F539C4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Pagos de pensión alimenticia</w:t>
            </w:r>
          </w:p>
          <w:p w14:paraId="22B614B5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Pagos hechos en un pago único o de manera </w:t>
            </w:r>
            <w:proofErr w:type="gramStart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continua</w:t>
            </w:r>
            <w:proofErr w:type="gramEnd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a fin de dar apoyo financiero a un cónyuge antes o después de una separación matrimonial o divorcio. La pensión alimenticia NO incluye la pensión infantil, acuerdos sobre propiedades, pagos para mantener la propiedad del pagador o el uso de la propiedad del pagador.</w:t>
            </w:r>
          </w:p>
        </w:tc>
      </w:tr>
      <w:tr w:rsidR="00E2382C" w:rsidRPr="00194139" w14:paraId="1F3244EB" w14:textId="77777777" w:rsidTr="00250BE9">
        <w:tc>
          <w:tcPr>
            <w:tcW w:w="1606" w:type="dxa"/>
            <w:shd w:val="clear" w:color="auto" w:fill="auto"/>
          </w:tcPr>
          <w:p w14:paraId="7E8D0217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12</w:t>
            </w:r>
          </w:p>
        </w:tc>
        <w:tc>
          <w:tcPr>
            <w:tcW w:w="7984" w:type="dxa"/>
            <w:shd w:val="clear" w:color="auto" w:fill="auto"/>
          </w:tcPr>
          <w:p w14:paraId="02962272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Pagos de pensión infantil</w:t>
            </w:r>
          </w:p>
          <w:p w14:paraId="54B42D14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Pago continuo por parte de uno de los padres para contribuir con los gastos de la crianza de los hijos luego de una separación o divorcio.</w:t>
            </w:r>
          </w:p>
        </w:tc>
      </w:tr>
      <w:tr w:rsidR="00E2382C" w:rsidRPr="00194139" w14:paraId="68FE53B5" w14:textId="77777777" w:rsidTr="00250BE9">
        <w:tc>
          <w:tcPr>
            <w:tcW w:w="1606" w:type="dxa"/>
            <w:shd w:val="clear" w:color="auto" w:fill="auto"/>
          </w:tcPr>
          <w:p w14:paraId="668A9E05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13</w:t>
            </w:r>
          </w:p>
        </w:tc>
        <w:tc>
          <w:tcPr>
            <w:tcW w:w="7984" w:type="dxa"/>
            <w:shd w:val="clear" w:color="auto" w:fill="auto"/>
          </w:tcPr>
          <w:p w14:paraId="6EDD1DED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Ingresos de intereses y dividendos</w:t>
            </w:r>
          </w:p>
          <w:p w14:paraId="33D1ED75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Un dividendo es una distribución de una porción de las ganancias de una compañía, decidido por la junta directiva a un grupo de accionistas. Los dividendos se pueden expedir como pagos en efectivo, acciones u otra propiedad.</w:t>
            </w:r>
          </w:p>
          <w:p w14:paraId="178F6BC3" w14:textId="77777777" w:rsidR="00E2382C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El interés que se gana en inversiones se considera ingreso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>s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de intereses.</w:t>
            </w:r>
          </w:p>
          <w:p w14:paraId="7425CB8A" w14:textId="77777777" w:rsidR="00DE3038" w:rsidRPr="005107BA" w:rsidRDefault="00DE3038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</w:p>
        </w:tc>
      </w:tr>
      <w:tr w:rsidR="00E2382C" w:rsidRPr="00194139" w14:paraId="4435C3EA" w14:textId="77777777" w:rsidTr="00250BE9">
        <w:tc>
          <w:tcPr>
            <w:tcW w:w="1606" w:type="dxa"/>
            <w:shd w:val="clear" w:color="auto" w:fill="auto"/>
          </w:tcPr>
          <w:p w14:paraId="7FDE3A37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14</w:t>
            </w:r>
          </w:p>
        </w:tc>
        <w:tc>
          <w:tcPr>
            <w:tcW w:w="7984" w:type="dxa"/>
            <w:shd w:val="clear" w:color="auto" w:fill="auto"/>
          </w:tcPr>
          <w:p w14:paraId="0B6C4CAA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Ingreso neto por rentas</w:t>
            </w:r>
          </w:p>
          <w:p w14:paraId="54C5D2D3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El pago que alguien le hace por usar su propiedad, después de que sustrae los gastos que tenga por la propiedad.</w:t>
            </w:r>
          </w:p>
        </w:tc>
      </w:tr>
      <w:tr w:rsidR="00E2382C" w:rsidRPr="00194139" w14:paraId="4E28C593" w14:textId="77777777" w:rsidTr="00250BE9">
        <w:tc>
          <w:tcPr>
            <w:tcW w:w="1606" w:type="dxa"/>
            <w:shd w:val="clear" w:color="auto" w:fill="auto"/>
          </w:tcPr>
          <w:p w14:paraId="5DA9CAFD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15</w:t>
            </w:r>
          </w:p>
        </w:tc>
        <w:tc>
          <w:tcPr>
            <w:tcW w:w="7984" w:type="dxa"/>
            <w:shd w:val="clear" w:color="auto" w:fill="auto"/>
          </w:tcPr>
          <w:p w14:paraId="55DD23BA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Ganancia o pérdida de un negocio no agrario, sociedad o ejercicio de profesión.</w:t>
            </w:r>
          </w:p>
          <w:p w14:paraId="1FB06BEA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Esta es ganancia o pérdida que no se incluye en el salario que usted se paga a sí mismo como ingreso personal o ingresos regulares. </w:t>
            </w:r>
          </w:p>
        </w:tc>
      </w:tr>
      <w:tr w:rsidR="00E2382C" w:rsidRPr="00194139" w14:paraId="5EA773D3" w14:textId="77777777" w:rsidTr="00250BE9">
        <w:tc>
          <w:tcPr>
            <w:tcW w:w="1606" w:type="dxa"/>
            <w:shd w:val="clear" w:color="auto" w:fill="auto"/>
          </w:tcPr>
          <w:p w14:paraId="0D3082E1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16</w:t>
            </w:r>
          </w:p>
        </w:tc>
        <w:tc>
          <w:tcPr>
            <w:tcW w:w="7984" w:type="dxa"/>
            <w:shd w:val="clear" w:color="auto" w:fill="auto"/>
          </w:tcPr>
          <w:p w14:paraId="1919A97D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Ganancia o pérdida de una operación agraria </w:t>
            </w:r>
          </w:p>
          <w:p w14:paraId="0887D949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Ingreso que se obtiene o se pierde de cultivos, crianza de ganado, peces o por el funcionamiento de una finca.</w:t>
            </w:r>
          </w:p>
        </w:tc>
      </w:tr>
      <w:tr w:rsidR="00E2382C" w:rsidRPr="00194139" w14:paraId="06C2A36D" w14:textId="77777777" w:rsidTr="00250BE9">
        <w:tc>
          <w:tcPr>
            <w:tcW w:w="1606" w:type="dxa"/>
            <w:shd w:val="clear" w:color="auto" w:fill="auto"/>
          </w:tcPr>
          <w:p w14:paraId="5913493B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17</w:t>
            </w:r>
          </w:p>
        </w:tc>
        <w:tc>
          <w:tcPr>
            <w:tcW w:w="7984" w:type="dxa"/>
            <w:shd w:val="clear" w:color="auto" w:fill="auto"/>
          </w:tcPr>
          <w:p w14:paraId="53ED45A2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Asistencia financiera a estudiantes de universidad</w:t>
            </w:r>
          </w:p>
          <w:p w14:paraId="50953297" w14:textId="3BF1351F" w:rsidR="00E2382C" w:rsidRPr="005107BA" w:rsidRDefault="00E2382C" w:rsidP="0019413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Incluya el dinero que se usa para vivienda, </w:t>
            </w:r>
            <w:r w:rsidR="00555734">
              <w:rPr>
                <w:rFonts w:ascii="Tahoma" w:hAnsi="Tahoma" w:cs="Tahoma"/>
                <w:sz w:val="20"/>
                <w:szCs w:val="20"/>
                <w:lang w:val="es-US"/>
              </w:rPr>
              <w:t>No incluya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dinero que se usa en matrículas, libros y tarifas</w:t>
            </w:r>
            <w:r w:rsidR="00194139">
              <w:rPr>
                <w:rFonts w:ascii="Tahoma" w:hAnsi="Tahoma" w:cs="Tahoma"/>
                <w:sz w:val="20"/>
                <w:szCs w:val="20"/>
                <w:lang w:val="es-US"/>
              </w:rPr>
              <w:t>. Tampoco incluya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becas </w:t>
            </w:r>
            <w:proofErr w:type="spellStart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Pell</w:t>
            </w:r>
            <w:proofErr w:type="spellEnd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, becas suplementarias de oportunidades educativas, becas estatales de incentivo estudiantil, préstamos estudiantiles, PLUS, </w:t>
            </w:r>
            <w:proofErr w:type="spellStart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College</w:t>
            </w:r>
            <w:proofErr w:type="spellEnd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Work</w:t>
            </w:r>
            <w:proofErr w:type="spellEnd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Study o Programas de Becas </w:t>
            </w:r>
            <w:proofErr w:type="spellStart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Byrd</w:t>
            </w:r>
            <w:proofErr w:type="spellEnd"/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Honor.</w:t>
            </w:r>
          </w:p>
        </w:tc>
      </w:tr>
      <w:tr w:rsidR="00E2382C" w:rsidRPr="00194139" w14:paraId="241214BF" w14:textId="77777777" w:rsidTr="00250BE9">
        <w:tc>
          <w:tcPr>
            <w:tcW w:w="1606" w:type="dxa"/>
            <w:shd w:val="clear" w:color="auto" w:fill="auto"/>
          </w:tcPr>
          <w:p w14:paraId="74043488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18</w:t>
            </w:r>
          </w:p>
        </w:tc>
        <w:tc>
          <w:tcPr>
            <w:tcW w:w="7984" w:type="dxa"/>
            <w:shd w:val="clear" w:color="auto" w:fill="auto"/>
          </w:tcPr>
          <w:p w14:paraId="60603E7D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Pagos o retiros regulares de 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premios</w:t>
            </w: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 o resoluciones mayores</w:t>
            </w:r>
          </w:p>
          <w:p w14:paraId="674A2FA1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Incluya ingresos de acuerdos legales, herencias, premios o bonos.</w:t>
            </w:r>
          </w:p>
        </w:tc>
      </w:tr>
      <w:tr w:rsidR="00E2382C" w:rsidRPr="00194139" w14:paraId="1B2145CF" w14:textId="77777777" w:rsidTr="00250BE9">
        <w:tc>
          <w:tcPr>
            <w:tcW w:w="1606" w:type="dxa"/>
            <w:shd w:val="clear" w:color="auto" w:fill="auto"/>
          </w:tcPr>
          <w:p w14:paraId="64B2B462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19</w:t>
            </w:r>
          </w:p>
        </w:tc>
        <w:tc>
          <w:tcPr>
            <w:tcW w:w="7984" w:type="dxa"/>
            <w:shd w:val="clear" w:color="auto" w:fill="auto"/>
          </w:tcPr>
          <w:p w14:paraId="36BEFB01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Contribuciones regulares de personas fuera del hogar</w:t>
            </w:r>
          </w:p>
          <w:p w14:paraId="57B02250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Incluya obsequios en efectivo u otra asistencia financiera de amigos o familia.</w:t>
            </w:r>
          </w:p>
        </w:tc>
      </w:tr>
      <w:tr w:rsidR="00E2382C" w:rsidRPr="00194139" w14:paraId="069810B0" w14:textId="77777777" w:rsidTr="00250BE9">
        <w:tc>
          <w:tcPr>
            <w:tcW w:w="1606" w:type="dxa"/>
            <w:shd w:val="clear" w:color="auto" w:fill="auto"/>
          </w:tcPr>
          <w:p w14:paraId="667FDB82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20</w:t>
            </w:r>
          </w:p>
        </w:tc>
        <w:tc>
          <w:tcPr>
            <w:tcW w:w="7984" w:type="dxa"/>
            <w:shd w:val="clear" w:color="auto" w:fill="auto"/>
          </w:tcPr>
          <w:p w14:paraId="5214E4BD" w14:textId="6E5E45D2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Otros ingresos como derechos de autor, </w:t>
            </w:r>
            <w:r w:rsidR="00555734" w:rsidRPr="00555734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ingresos de fidecomiso</w:t>
            </w:r>
            <w:r w:rsidR="00555734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,</w:t>
            </w: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 xml:space="preserve"> o 401K.</w:t>
            </w:r>
          </w:p>
        </w:tc>
      </w:tr>
      <w:tr w:rsidR="00E2382C" w:rsidRPr="00194139" w14:paraId="1255EEE7" w14:textId="77777777" w:rsidTr="00250BE9">
        <w:tc>
          <w:tcPr>
            <w:tcW w:w="1606" w:type="dxa"/>
            <w:shd w:val="clear" w:color="auto" w:fill="auto"/>
          </w:tcPr>
          <w:p w14:paraId="12C4E43E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21</w:t>
            </w:r>
          </w:p>
        </w:tc>
        <w:tc>
          <w:tcPr>
            <w:tcW w:w="7984" w:type="dxa"/>
            <w:shd w:val="clear" w:color="auto" w:fill="auto"/>
          </w:tcPr>
          <w:p w14:paraId="2674C9C2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Beneficios de asistencia general</w:t>
            </w:r>
          </w:p>
          <w:p w14:paraId="696CE9E5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Programas estatales o del condado que sirven a personas de bajos ingresos que no tienen hijos menores de edad, no 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>tienen la discapacidad necesaria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para poder recibir (o todavía no reciben) Ingreso Suplementario de Seguridad (SSI) y no son personas mayores o ancianas.</w:t>
            </w:r>
          </w:p>
        </w:tc>
      </w:tr>
      <w:tr w:rsidR="00E2382C" w:rsidRPr="00194139" w14:paraId="0EF0F942" w14:textId="77777777" w:rsidTr="00250BE9">
        <w:tc>
          <w:tcPr>
            <w:tcW w:w="1606" w:type="dxa"/>
            <w:shd w:val="clear" w:color="auto" w:fill="auto"/>
          </w:tcPr>
          <w:p w14:paraId="05BADF4D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22</w:t>
            </w:r>
          </w:p>
        </w:tc>
        <w:tc>
          <w:tcPr>
            <w:tcW w:w="7984" w:type="dxa"/>
            <w:shd w:val="clear" w:color="auto" w:fill="auto"/>
          </w:tcPr>
          <w:p w14:paraId="6D15361B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Subsidio de vivienda (no incluye subsidios federales de vivienda)</w:t>
            </w:r>
            <w:r w:rsidRPr="005107BA">
              <w:rPr>
                <w:rFonts w:ascii="Tahoma" w:hAnsi="Tahoma" w:cs="Tahoma"/>
                <w:bCs/>
                <w:sz w:val="20"/>
                <w:szCs w:val="20"/>
                <w:lang w:val="es-US"/>
              </w:rPr>
              <w:t xml:space="preserve"> </w:t>
            </w:r>
          </w:p>
          <w:p w14:paraId="61C99F4B" w14:textId="77777777" w:rsidR="00E2382C" w:rsidRPr="005107BA" w:rsidRDefault="00E2382C" w:rsidP="00250BE9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Propietarios privados son dueños y operarios de la vivienda subsidiada y reciben subsidios a cambio de alquilar la vivienda a personas de ingresos bajos o moderados. Los propietarios pueden ser arrendadores particulares o corporaciones con fines o sin fines de lucro. </w:t>
            </w:r>
            <w:r w:rsidRPr="005107BA">
              <w:rPr>
                <w:rFonts w:ascii="Tahoma" w:hAnsi="Tahoma" w:cs="Tahoma"/>
                <w:sz w:val="20"/>
                <w:szCs w:val="20"/>
                <w:u w:val="single"/>
                <w:lang w:val="es-US"/>
              </w:rPr>
              <w:t>No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incluye programas de vivienda subsidiada supervisados por el Departamento de Vivienda y Desarrollo Urbano de Estados Unidos (HUD) como la Sección 8 o el Programa de asistencias de alquiler rural administrado por el USDA.</w:t>
            </w:r>
          </w:p>
        </w:tc>
      </w:tr>
      <w:tr w:rsidR="00E2382C" w:rsidRPr="00194139" w14:paraId="5DD32E29" w14:textId="77777777" w:rsidTr="00250BE9">
        <w:trPr>
          <w:trHeight w:val="1520"/>
        </w:trPr>
        <w:tc>
          <w:tcPr>
            <w:tcW w:w="1606" w:type="dxa"/>
            <w:shd w:val="clear" w:color="auto" w:fill="auto"/>
          </w:tcPr>
          <w:p w14:paraId="4D9719DD" w14:textId="77777777" w:rsidR="00E2382C" w:rsidRPr="005107BA" w:rsidRDefault="00E2382C" w:rsidP="00250BE9">
            <w:pPr>
              <w:pStyle w:val="SL-FlLftSgl"/>
              <w:widowControl w:val="0"/>
              <w:spacing w:before="60" w:after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23</w:t>
            </w:r>
          </w:p>
        </w:tc>
        <w:tc>
          <w:tcPr>
            <w:tcW w:w="7984" w:type="dxa"/>
            <w:shd w:val="clear" w:color="auto" w:fill="auto"/>
          </w:tcPr>
          <w:p w14:paraId="38C818AA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Programa federal para la enfermedad pulmonar minera</w:t>
            </w:r>
          </w:p>
          <w:p w14:paraId="6F670261" w14:textId="77777777" w:rsidR="00E2382C" w:rsidRPr="005107BA" w:rsidRDefault="00E2382C" w:rsidP="00250BE9">
            <w:pPr>
              <w:pStyle w:val="NormalWeb"/>
              <w:widowControl w:val="0"/>
              <w:spacing w:before="120" w:after="60" w:line="240" w:lineRule="atLeast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Proporciona indemnización a mineros de carbón que están totalmente discapacitados por la neumoconiosis a causa de su trabajo en una mina de carbón, y a los sobrevivientes de mineros de carbón cuyas defunciones hayan sido atribuidas a esta enfermedad, y le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>s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proporciona a los mineros elegibles cobertura médica para el tratamiento de enfermedades pulmonar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>e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s relacionadas con la neumoconiosis.</w:t>
            </w:r>
          </w:p>
        </w:tc>
      </w:tr>
      <w:tr w:rsidR="00E2382C" w:rsidRPr="005107BA" w14:paraId="216E385D" w14:textId="77777777" w:rsidTr="00250BE9">
        <w:tc>
          <w:tcPr>
            <w:tcW w:w="1606" w:type="dxa"/>
            <w:shd w:val="clear" w:color="auto" w:fill="auto"/>
          </w:tcPr>
          <w:p w14:paraId="099EBC88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24</w:t>
            </w:r>
          </w:p>
        </w:tc>
        <w:tc>
          <w:tcPr>
            <w:tcW w:w="7984" w:type="dxa"/>
            <w:shd w:val="clear" w:color="auto" w:fill="auto"/>
          </w:tcPr>
          <w:p w14:paraId="29B35485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  <w:t>Otros beneficios públicos, sin incluir TANF o SNAP</w:t>
            </w:r>
          </w:p>
          <w:p w14:paraId="5FBE451C" w14:textId="77777777" w:rsidR="003C1D03" w:rsidRPr="005107BA" w:rsidRDefault="00E2382C" w:rsidP="003C1D03">
            <w:pPr>
              <w:pStyle w:val="SL-FlLftSgl"/>
              <w:widowControl w:val="0"/>
              <w:spacing w:before="120" w:after="60"/>
              <w:ind w:left="144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>Otros beneficios como el Programa de Mujeres, Bebés y Niños (WIC) o el Seguro Estatal para la Salud Infantil (SCHIP)</w:t>
            </w:r>
            <w:r>
              <w:rPr>
                <w:rFonts w:ascii="Tahoma" w:hAnsi="Tahoma" w:cs="Tahoma"/>
                <w:sz w:val="20"/>
                <w:szCs w:val="20"/>
                <w:lang w:val="es-US"/>
              </w:rPr>
              <w:t>.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</w:t>
            </w:r>
            <w:r w:rsidRPr="005107BA">
              <w:rPr>
                <w:rFonts w:ascii="Tahoma" w:hAnsi="Tahoma" w:cs="Tahoma"/>
                <w:sz w:val="20"/>
                <w:szCs w:val="20"/>
                <w:u w:val="single"/>
                <w:lang w:val="es-US"/>
              </w:rPr>
              <w:t>No</w:t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incluye beneficios TANF o SNAP. </w:t>
            </w:r>
          </w:p>
        </w:tc>
      </w:tr>
      <w:tr w:rsidR="00E2382C" w:rsidRPr="00194139" w14:paraId="45457EAB" w14:textId="77777777" w:rsidTr="00250BE9">
        <w:tc>
          <w:tcPr>
            <w:tcW w:w="1606" w:type="dxa"/>
            <w:shd w:val="clear" w:color="auto" w:fill="auto"/>
          </w:tcPr>
          <w:p w14:paraId="1C74FE8F" w14:textId="77777777" w:rsidR="00E2382C" w:rsidRPr="005107BA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sz w:val="20"/>
                <w:szCs w:val="20"/>
                <w:lang w:val="es-US"/>
              </w:rPr>
            </w:pP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instrText xml:space="preserve"> FORMCHECKBOX </w:instrText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</w:r>
            <w:r w:rsidR="007462D8">
              <w:rPr>
                <w:rFonts w:ascii="Tahoma" w:hAnsi="Tahoma" w:cs="Tahoma"/>
                <w:sz w:val="20"/>
                <w:szCs w:val="20"/>
                <w:lang w:val="es-US"/>
              </w:rPr>
              <w:fldChar w:fldCharType="separate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fldChar w:fldCharType="end"/>
            </w:r>
            <w:r w:rsidRPr="005107BA">
              <w:rPr>
                <w:rFonts w:ascii="Tahoma" w:hAnsi="Tahoma" w:cs="Tahoma"/>
                <w:sz w:val="20"/>
                <w:szCs w:val="20"/>
                <w:lang w:val="es-US"/>
              </w:rPr>
              <w:t xml:space="preserve"> Fuente 25</w:t>
            </w:r>
          </w:p>
        </w:tc>
        <w:tc>
          <w:tcPr>
            <w:tcW w:w="7984" w:type="dxa"/>
            <w:shd w:val="clear" w:color="auto" w:fill="auto"/>
          </w:tcPr>
          <w:p w14:paraId="4F568552" w14:textId="77777777" w:rsidR="00E2382C" w:rsidRPr="00E2382C" w:rsidRDefault="00E2382C" w:rsidP="00250BE9">
            <w:pPr>
              <w:pStyle w:val="SL-FlLftSgl"/>
              <w:widowControl w:val="0"/>
              <w:spacing w:before="60"/>
              <w:rPr>
                <w:rFonts w:ascii="Tahoma" w:hAnsi="Tahoma" w:cs="Tahoma"/>
                <w:b/>
                <w:bCs/>
                <w:sz w:val="20"/>
                <w:szCs w:val="20"/>
                <w:lang w:val="es-US"/>
              </w:rPr>
            </w:pPr>
            <w:r w:rsidRPr="00E2382C">
              <w:rPr>
                <w:rFonts w:ascii="Tahoma" w:hAnsi="Tahoma"/>
                <w:b/>
                <w:sz w:val="20"/>
                <w:lang w:val="es-US"/>
              </w:rPr>
              <w:t>Seleccione esta opción si usted no tiene una fuente de ingresos o beneficios</w:t>
            </w:r>
          </w:p>
        </w:tc>
      </w:tr>
    </w:tbl>
    <w:p w14:paraId="161944D5" w14:textId="77777777" w:rsidR="00E2382C" w:rsidRPr="005107BA" w:rsidRDefault="00E2382C" w:rsidP="00505DA4">
      <w:pPr>
        <w:rPr>
          <w:lang w:val="es-US"/>
        </w:rPr>
      </w:pPr>
    </w:p>
    <w:sectPr w:rsidR="00E2382C" w:rsidRPr="005107BA" w:rsidSect="00505D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26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044A7" w14:textId="77777777" w:rsidR="005107BA" w:rsidRDefault="005107BA">
      <w:r>
        <w:separator/>
      </w:r>
    </w:p>
  </w:endnote>
  <w:endnote w:type="continuationSeparator" w:id="0">
    <w:p w14:paraId="6E113F74" w14:textId="77777777" w:rsidR="005107BA" w:rsidRDefault="0051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6153B" w14:textId="77777777" w:rsidR="008077FA" w:rsidRDefault="008077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536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73CEE" w14:textId="2701B887" w:rsidR="0042756E" w:rsidRDefault="0042756E" w:rsidP="00C305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2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563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53D28" w14:textId="6EE96ED0" w:rsidR="00813BAC" w:rsidRDefault="00813B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2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781CDF" w14:textId="77777777" w:rsidR="00813BAC" w:rsidRDefault="00813B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EA223" w14:textId="77777777" w:rsidR="005107BA" w:rsidRDefault="005107BA">
      <w:r>
        <w:separator/>
      </w:r>
    </w:p>
  </w:footnote>
  <w:footnote w:type="continuationSeparator" w:id="0">
    <w:p w14:paraId="365BEE74" w14:textId="77777777" w:rsidR="005107BA" w:rsidRDefault="00510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0BC4F" w14:textId="77777777" w:rsidR="008077FA" w:rsidRDefault="008077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E938" w14:textId="0AB0A4AF" w:rsidR="00F353E7" w:rsidRPr="00F353E7" w:rsidRDefault="008077FA">
    <w:pPr>
      <w:pStyle w:val="Header"/>
      <w:rPr>
        <w:rFonts w:ascii="Garamond" w:hAnsi="Garamond"/>
        <w:b/>
        <w:color w:val="1F497D" w:themeColor="text2"/>
      </w:rPr>
    </w:pPr>
    <w:r>
      <w:rPr>
        <w:rFonts w:ascii="Garamond" w:hAnsi="Garamond"/>
        <w:b/>
        <w:color w:val="1F497D" w:themeColor="text2"/>
      </w:rPr>
      <w:t xml:space="preserve">APPENDIX D8. </w:t>
    </w:r>
    <w:r w:rsidR="00F353E7">
      <w:rPr>
        <w:rFonts w:ascii="Garamond" w:hAnsi="Garamond"/>
        <w:b/>
        <w:color w:val="1F497D" w:themeColor="text2"/>
      </w:rPr>
      <w:t>HOUSEHOLD SURVEY INCOME SOURCE SHOW CARD—SPANISH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4251F" w14:textId="19EDE7E5" w:rsidR="00F353E7" w:rsidRPr="00F353E7" w:rsidRDefault="008077FA">
    <w:pPr>
      <w:pStyle w:val="Header"/>
      <w:rPr>
        <w:rFonts w:ascii="Garamond" w:hAnsi="Garamond"/>
        <w:b/>
        <w:color w:val="1F497D" w:themeColor="text2"/>
      </w:rPr>
    </w:pPr>
    <w:r>
      <w:rPr>
        <w:rFonts w:ascii="Garamond" w:hAnsi="Garamond"/>
        <w:b/>
        <w:color w:val="1F497D" w:themeColor="text2"/>
      </w:rPr>
      <w:t xml:space="preserve">APPENDIX D8. </w:t>
    </w:r>
    <w:r w:rsidR="00F353E7">
      <w:rPr>
        <w:rFonts w:ascii="Garamond" w:hAnsi="Garamond"/>
        <w:b/>
        <w:color w:val="1F497D" w:themeColor="text2"/>
      </w:rPr>
      <w:t>HOUSEHOLD SURVEY INCOME SOURCE SHOW CARD—SPANISH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32869E5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13A027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9A86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A1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F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AC8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B0D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2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2E0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E21834DE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7A7A0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8C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A8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EE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06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8E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AD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82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">
    <w:nsid w:val="3E272F80"/>
    <w:multiLevelType w:val="hybridMultilevel"/>
    <w:tmpl w:val="82403A94"/>
    <w:lvl w:ilvl="0" w:tplc="7FF6976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0ECB5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D402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6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C8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C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41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2B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06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C1859"/>
    <w:multiLevelType w:val="hybridMultilevel"/>
    <w:tmpl w:val="01EC0316"/>
    <w:lvl w:ilvl="0" w:tplc="4D540114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D44C2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CAF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C1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44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EB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E0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D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CE1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956A9"/>
    <w:multiLevelType w:val="hybridMultilevel"/>
    <w:tmpl w:val="34F4E6AC"/>
    <w:lvl w:ilvl="0" w:tplc="B15E0BD6">
      <w:start w:val="1"/>
      <w:numFmt w:val="decimalZero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94E21FDA" w:tentative="1">
      <w:start w:val="1"/>
      <w:numFmt w:val="lowerLetter"/>
      <w:lvlText w:val="%2."/>
      <w:lvlJc w:val="left"/>
      <w:pPr>
        <w:ind w:left="1440" w:hanging="360"/>
      </w:pPr>
    </w:lvl>
    <w:lvl w:ilvl="2" w:tplc="6A0499C6" w:tentative="1">
      <w:start w:val="1"/>
      <w:numFmt w:val="lowerRoman"/>
      <w:lvlText w:val="%3."/>
      <w:lvlJc w:val="right"/>
      <w:pPr>
        <w:ind w:left="2160" w:hanging="180"/>
      </w:pPr>
    </w:lvl>
    <w:lvl w:ilvl="3" w:tplc="B6C88C46" w:tentative="1">
      <w:start w:val="1"/>
      <w:numFmt w:val="decimal"/>
      <w:lvlText w:val="%4."/>
      <w:lvlJc w:val="left"/>
      <w:pPr>
        <w:ind w:left="2880" w:hanging="360"/>
      </w:pPr>
    </w:lvl>
    <w:lvl w:ilvl="4" w:tplc="FDC87AC6" w:tentative="1">
      <w:start w:val="1"/>
      <w:numFmt w:val="lowerLetter"/>
      <w:lvlText w:val="%5."/>
      <w:lvlJc w:val="left"/>
      <w:pPr>
        <w:ind w:left="3600" w:hanging="360"/>
      </w:pPr>
    </w:lvl>
    <w:lvl w:ilvl="5" w:tplc="9508F6A8" w:tentative="1">
      <w:start w:val="1"/>
      <w:numFmt w:val="lowerRoman"/>
      <w:lvlText w:val="%6."/>
      <w:lvlJc w:val="right"/>
      <w:pPr>
        <w:ind w:left="4320" w:hanging="180"/>
      </w:pPr>
    </w:lvl>
    <w:lvl w:ilvl="6" w:tplc="578E73C2" w:tentative="1">
      <w:start w:val="1"/>
      <w:numFmt w:val="decimal"/>
      <w:lvlText w:val="%7."/>
      <w:lvlJc w:val="left"/>
      <w:pPr>
        <w:ind w:left="5040" w:hanging="360"/>
      </w:pPr>
    </w:lvl>
    <w:lvl w:ilvl="7" w:tplc="492A2448" w:tentative="1">
      <w:start w:val="1"/>
      <w:numFmt w:val="lowerLetter"/>
      <w:lvlText w:val="%8."/>
      <w:lvlJc w:val="left"/>
      <w:pPr>
        <w:ind w:left="5760" w:hanging="360"/>
      </w:pPr>
    </w:lvl>
    <w:lvl w:ilvl="8" w:tplc="27B0DCE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4"/>
  </w:num>
  <w:num w:numId="18">
    <w:abstractNumId w:val="0"/>
  </w:num>
  <w:num w:numId="19">
    <w:abstractNumId w:val="2"/>
  </w:num>
  <w:num w:numId="20">
    <w:abstractNumId w:val="3"/>
  </w:num>
  <w:num w:numId="21">
    <w:abstractNumId w:val="1"/>
  </w:num>
  <w:num w:numId="22">
    <w:abstractNumId w:val="4"/>
  </w:num>
  <w:num w:numId="23">
    <w:abstractNumId w:val="0"/>
  </w:num>
  <w:num w:numId="24">
    <w:abstractNumId w:val="0"/>
  </w:num>
  <w:num w:numId="25">
    <w:abstractNumId w:val="2"/>
  </w:num>
  <w:num w:numId="26">
    <w:abstractNumId w:val="3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Formatting/>
  <w:defaultTabStop w:val="720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4C"/>
    <w:rsid w:val="000C2B42"/>
    <w:rsid w:val="000F412D"/>
    <w:rsid w:val="00194139"/>
    <w:rsid w:val="00250BE9"/>
    <w:rsid w:val="00273563"/>
    <w:rsid w:val="003205E7"/>
    <w:rsid w:val="0032586A"/>
    <w:rsid w:val="00327FDE"/>
    <w:rsid w:val="003C1D03"/>
    <w:rsid w:val="0042756E"/>
    <w:rsid w:val="004544B7"/>
    <w:rsid w:val="00505DA4"/>
    <w:rsid w:val="005107BA"/>
    <w:rsid w:val="00555734"/>
    <w:rsid w:val="006D0B3C"/>
    <w:rsid w:val="007462D8"/>
    <w:rsid w:val="008077FA"/>
    <w:rsid w:val="00813BAC"/>
    <w:rsid w:val="0086564B"/>
    <w:rsid w:val="008C0E02"/>
    <w:rsid w:val="00A97967"/>
    <w:rsid w:val="00B5074C"/>
    <w:rsid w:val="00B94A8E"/>
    <w:rsid w:val="00BB0DD5"/>
    <w:rsid w:val="00C30566"/>
    <w:rsid w:val="00C87E9F"/>
    <w:rsid w:val="00CC7229"/>
    <w:rsid w:val="00D62220"/>
    <w:rsid w:val="00DA7AAF"/>
    <w:rsid w:val="00DE3038"/>
    <w:rsid w:val="00E2382C"/>
    <w:rsid w:val="00F07609"/>
    <w:rsid w:val="00F3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06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D5"/>
    <w:rPr>
      <w:sz w:val="24"/>
      <w:szCs w:val="24"/>
    </w:rPr>
  </w:style>
  <w:style w:type="paragraph" w:styleId="Heading1">
    <w:name w:val="heading 1"/>
    <w:aliases w:val="H1-Chap. Head"/>
    <w:basedOn w:val="Normal"/>
    <w:qFormat/>
    <w:rsid w:val="00AE4553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E4553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E4553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E4553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E4553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BF1E2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E2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BF1E2F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530D75"/>
    <w:pPr>
      <w:keepNext/>
      <w:keepLines/>
      <w:tabs>
        <w:tab w:val="left" w:pos="1152"/>
      </w:tabs>
      <w:autoSpaceDE w:val="0"/>
      <w:autoSpaceDN w:val="0"/>
      <w:adjustRightInd w:val="0"/>
      <w:spacing w:after="120"/>
      <w:jc w:val="center"/>
    </w:pPr>
    <w:rPr>
      <w:snapToGrid w:val="0"/>
    </w:rPr>
  </w:style>
  <w:style w:type="paragraph" w:customStyle="1" w:styleId="C3-CtrSp12">
    <w:name w:val="C3-Ctr Sp&amp;1/2"/>
    <w:basedOn w:val="Normal"/>
    <w:rsid w:val="00BF1E2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BF1E2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BF1E2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BF1E2F"/>
  </w:style>
  <w:style w:type="paragraph" w:styleId="FootnoteText">
    <w:name w:val="footnote text"/>
    <w:aliases w:val="F1"/>
    <w:semiHidden/>
    <w:rsid w:val="00BF1E2F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BF1E2F"/>
    <w:rPr>
      <w:sz w:val="20"/>
    </w:rPr>
  </w:style>
  <w:style w:type="paragraph" w:customStyle="1" w:styleId="L1-FlLSp12">
    <w:name w:val="L1-FlL Sp&amp;1/2"/>
    <w:basedOn w:val="Normal"/>
    <w:rsid w:val="00AE4553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AE455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AE4553"/>
    <w:pPr>
      <w:numPr>
        <w:numId w:val="24"/>
      </w:numPr>
      <w:spacing w:after="240"/>
    </w:pPr>
  </w:style>
  <w:style w:type="paragraph" w:customStyle="1" w:styleId="N2-2ndBullet">
    <w:name w:val="N2-2nd Bullet"/>
    <w:basedOn w:val="Normal"/>
    <w:rsid w:val="00AE4553"/>
    <w:pPr>
      <w:numPr>
        <w:numId w:val="25"/>
      </w:numPr>
      <w:spacing w:after="240"/>
    </w:pPr>
  </w:style>
  <w:style w:type="paragraph" w:customStyle="1" w:styleId="N3-3rdBullet">
    <w:name w:val="N3-3rd Bullet"/>
    <w:basedOn w:val="Normal"/>
    <w:rsid w:val="00AE4553"/>
    <w:pPr>
      <w:numPr>
        <w:numId w:val="26"/>
      </w:numPr>
      <w:tabs>
        <w:tab w:val="clear" w:pos="2304"/>
      </w:tabs>
      <w:spacing w:after="240"/>
      <w:ind w:left="1005" w:hanging="360"/>
    </w:pPr>
  </w:style>
  <w:style w:type="paragraph" w:customStyle="1" w:styleId="N4-4thBullet">
    <w:name w:val="N4-4th Bullet"/>
    <w:basedOn w:val="Normal"/>
    <w:rsid w:val="00AE4553"/>
    <w:pPr>
      <w:numPr>
        <w:numId w:val="27"/>
      </w:numPr>
      <w:spacing w:after="240"/>
    </w:pPr>
  </w:style>
  <w:style w:type="paragraph" w:customStyle="1" w:styleId="N5-5thBullet">
    <w:name w:val="N5-5th Bullet"/>
    <w:basedOn w:val="Normal"/>
    <w:rsid w:val="00AE4553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E4553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E4553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E4553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BF1E2F"/>
    <w:pPr>
      <w:spacing w:line="360" w:lineRule="atLeast"/>
      <w:ind w:firstLine="1152"/>
    </w:pPr>
  </w:style>
  <w:style w:type="paragraph" w:customStyle="1" w:styleId="Q1-BestFinQ">
    <w:name w:val="Q1-Best/Fin Q"/>
    <w:rsid w:val="00BF1E2F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F1E2F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BF1E2F"/>
  </w:style>
  <w:style w:type="paragraph" w:customStyle="1" w:styleId="SP-SglSpPara">
    <w:name w:val="SP-Sgl Sp Para"/>
    <w:basedOn w:val="Normal"/>
    <w:rsid w:val="00BF1E2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F1E2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BF1E2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BF1E2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BF1E2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BF1E2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BF1E2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F1E2F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BF1E2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BF1E2F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BF1E2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BF1E2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BF1E2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F1E2F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BF1E2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BF1E2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BF1E2F"/>
    <w:pPr>
      <w:numPr>
        <w:numId w:val="22"/>
      </w:numPr>
    </w:pPr>
  </w:style>
  <w:style w:type="character" w:styleId="PageNumber">
    <w:name w:val="page number"/>
    <w:basedOn w:val="DefaultParagraphFont"/>
    <w:rsid w:val="00BF1E2F"/>
  </w:style>
  <w:style w:type="paragraph" w:customStyle="1" w:styleId="R0-FLLftSglBoldItalic">
    <w:name w:val="R0-FL Lft Sgl Bold Italic"/>
    <w:rsid w:val="00BF1E2F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F1E2F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BF1E2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BF1E2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F1E2F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BF1E2F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BF1E2F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BF1E2F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BF1E2F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BF1E2F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2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BF1E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4DD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64DD5"/>
    <w:rPr>
      <w:rFonts w:ascii="Garamond" w:hAnsi="Garamond"/>
    </w:rPr>
  </w:style>
  <w:style w:type="paragraph" w:styleId="NormalWeb">
    <w:name w:val="Normal (Web)"/>
    <w:basedOn w:val="Normal"/>
    <w:uiPriority w:val="99"/>
    <w:unhideWhenUsed/>
    <w:rsid w:val="00CA01DA"/>
    <w:rPr>
      <w:rFonts w:eastAsia="Calibri"/>
    </w:rPr>
  </w:style>
  <w:style w:type="character" w:styleId="Hyperlink">
    <w:name w:val="Hyperlink"/>
    <w:uiPriority w:val="99"/>
    <w:unhideWhenUsed/>
    <w:rsid w:val="00CA01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7BA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E2382C"/>
    <w:pPr>
      <w:tabs>
        <w:tab w:val="left" w:pos="224"/>
        <w:tab w:val="left" w:pos="4404"/>
        <w:tab w:val="left" w:pos="5115"/>
      </w:tabs>
      <w:ind w:left="230" w:hanging="230"/>
    </w:pPr>
    <w:rPr>
      <w:rFonts w:ascii="Arial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2382C"/>
    <w:rPr>
      <w:rFonts w:ascii="Arial" w:hAnsi="Arial" w:cs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3B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D5"/>
    <w:rPr>
      <w:sz w:val="24"/>
      <w:szCs w:val="24"/>
    </w:rPr>
  </w:style>
  <w:style w:type="paragraph" w:styleId="Heading1">
    <w:name w:val="heading 1"/>
    <w:aliases w:val="H1-Chap. Head"/>
    <w:basedOn w:val="Normal"/>
    <w:qFormat/>
    <w:rsid w:val="00AE4553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qFormat/>
    <w:rsid w:val="00AE4553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qFormat/>
    <w:rsid w:val="00AE4553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E4553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E4553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BF1E2F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BF1E2F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BF1E2F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530D75"/>
    <w:pPr>
      <w:keepNext/>
      <w:keepLines/>
      <w:tabs>
        <w:tab w:val="left" w:pos="1152"/>
      </w:tabs>
      <w:autoSpaceDE w:val="0"/>
      <w:autoSpaceDN w:val="0"/>
      <w:adjustRightInd w:val="0"/>
      <w:spacing w:after="120"/>
      <w:jc w:val="center"/>
    </w:pPr>
    <w:rPr>
      <w:snapToGrid w:val="0"/>
    </w:rPr>
  </w:style>
  <w:style w:type="paragraph" w:customStyle="1" w:styleId="C3-CtrSp12">
    <w:name w:val="C3-Ctr Sp&amp;1/2"/>
    <w:basedOn w:val="Normal"/>
    <w:rsid w:val="00BF1E2F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BF1E2F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BF1E2F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BF1E2F"/>
  </w:style>
  <w:style w:type="paragraph" w:styleId="FootnoteText">
    <w:name w:val="footnote text"/>
    <w:aliases w:val="F1"/>
    <w:semiHidden/>
    <w:rsid w:val="00BF1E2F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BF1E2F"/>
    <w:rPr>
      <w:sz w:val="20"/>
    </w:rPr>
  </w:style>
  <w:style w:type="paragraph" w:customStyle="1" w:styleId="L1-FlLSp12">
    <w:name w:val="L1-FlL Sp&amp;1/2"/>
    <w:basedOn w:val="Normal"/>
    <w:rsid w:val="00AE4553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AE4553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AE4553"/>
    <w:pPr>
      <w:numPr>
        <w:numId w:val="24"/>
      </w:numPr>
      <w:spacing w:after="240"/>
    </w:pPr>
  </w:style>
  <w:style w:type="paragraph" w:customStyle="1" w:styleId="N2-2ndBullet">
    <w:name w:val="N2-2nd Bullet"/>
    <w:basedOn w:val="Normal"/>
    <w:rsid w:val="00AE4553"/>
    <w:pPr>
      <w:numPr>
        <w:numId w:val="25"/>
      </w:numPr>
      <w:spacing w:after="240"/>
    </w:pPr>
  </w:style>
  <w:style w:type="paragraph" w:customStyle="1" w:styleId="N3-3rdBullet">
    <w:name w:val="N3-3rd Bullet"/>
    <w:basedOn w:val="Normal"/>
    <w:rsid w:val="00AE4553"/>
    <w:pPr>
      <w:numPr>
        <w:numId w:val="26"/>
      </w:numPr>
      <w:tabs>
        <w:tab w:val="clear" w:pos="2304"/>
      </w:tabs>
      <w:spacing w:after="240"/>
      <w:ind w:left="1005" w:hanging="360"/>
    </w:pPr>
  </w:style>
  <w:style w:type="paragraph" w:customStyle="1" w:styleId="N4-4thBullet">
    <w:name w:val="N4-4th Bullet"/>
    <w:basedOn w:val="Normal"/>
    <w:rsid w:val="00AE4553"/>
    <w:pPr>
      <w:numPr>
        <w:numId w:val="27"/>
      </w:numPr>
      <w:spacing w:after="240"/>
    </w:pPr>
  </w:style>
  <w:style w:type="paragraph" w:customStyle="1" w:styleId="N5-5thBullet">
    <w:name w:val="N5-5th Bullet"/>
    <w:basedOn w:val="Normal"/>
    <w:rsid w:val="00AE4553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AE4553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AE4553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AE4553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BF1E2F"/>
    <w:pPr>
      <w:spacing w:line="360" w:lineRule="atLeast"/>
      <w:ind w:firstLine="1152"/>
    </w:pPr>
  </w:style>
  <w:style w:type="paragraph" w:customStyle="1" w:styleId="Q1-BestFinQ">
    <w:name w:val="Q1-Best/Fin Q"/>
    <w:rsid w:val="00BF1E2F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F1E2F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BF1E2F"/>
  </w:style>
  <w:style w:type="paragraph" w:customStyle="1" w:styleId="SP-SglSpPara">
    <w:name w:val="SP-Sgl Sp Para"/>
    <w:basedOn w:val="Normal"/>
    <w:rsid w:val="00BF1E2F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F1E2F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BF1E2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BF1E2F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BF1E2F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BF1E2F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BF1E2F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BF1E2F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BF1E2F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BF1E2F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BF1E2F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BF1E2F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BF1E2F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F1E2F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BF1E2F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BF1E2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BF1E2F"/>
    <w:pPr>
      <w:numPr>
        <w:numId w:val="22"/>
      </w:numPr>
    </w:pPr>
  </w:style>
  <w:style w:type="character" w:styleId="PageNumber">
    <w:name w:val="page number"/>
    <w:basedOn w:val="DefaultParagraphFont"/>
    <w:rsid w:val="00BF1E2F"/>
  </w:style>
  <w:style w:type="paragraph" w:customStyle="1" w:styleId="R0-FLLftSglBoldItalic">
    <w:name w:val="R0-FL Lft Sgl Bold Italic"/>
    <w:rsid w:val="00BF1E2F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F1E2F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BF1E2F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BF1E2F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F1E2F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BF1E2F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BF1E2F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BF1E2F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BF1E2F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BF1E2F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2F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BF1E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4DD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64DD5"/>
    <w:rPr>
      <w:rFonts w:ascii="Garamond" w:hAnsi="Garamond"/>
    </w:rPr>
  </w:style>
  <w:style w:type="paragraph" w:styleId="NormalWeb">
    <w:name w:val="Normal (Web)"/>
    <w:basedOn w:val="Normal"/>
    <w:uiPriority w:val="99"/>
    <w:unhideWhenUsed/>
    <w:rsid w:val="00CA01DA"/>
    <w:rPr>
      <w:rFonts w:eastAsia="Calibri"/>
    </w:rPr>
  </w:style>
  <w:style w:type="character" w:styleId="Hyperlink">
    <w:name w:val="Hyperlink"/>
    <w:uiPriority w:val="99"/>
    <w:unhideWhenUsed/>
    <w:rsid w:val="00CA01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0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7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7BA"/>
    <w:rPr>
      <w:b/>
      <w:bCs/>
    </w:rPr>
  </w:style>
  <w:style w:type="paragraph" w:styleId="BodyTextIndent">
    <w:name w:val="Body Text Indent"/>
    <w:basedOn w:val="Normal"/>
    <w:link w:val="BodyTextIndentChar"/>
    <w:semiHidden/>
    <w:rsid w:val="00E2382C"/>
    <w:pPr>
      <w:tabs>
        <w:tab w:val="left" w:pos="224"/>
        <w:tab w:val="left" w:pos="4404"/>
        <w:tab w:val="left" w:pos="5115"/>
      </w:tabs>
      <w:ind w:left="230" w:hanging="230"/>
    </w:pPr>
    <w:rPr>
      <w:rFonts w:ascii="Arial" w:hAnsi="Arial" w:cs="Arial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2382C"/>
    <w:rPr>
      <w:rFonts w:ascii="Arial" w:hAnsi="Arial" w:cs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3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F404-4C1B-484C-8F15-1F00639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AFEE2210.dotm</Template>
  <TotalTime>10</TotalTime>
  <Pages>3</Pages>
  <Words>1206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Tomasino-Rosales</dc:creator>
  <cp:lastModifiedBy>Megan Collins</cp:lastModifiedBy>
  <cp:revision>13</cp:revision>
  <cp:lastPrinted>2012-01-11T19:18:00Z</cp:lastPrinted>
  <dcterms:created xsi:type="dcterms:W3CDTF">2016-11-04T12:51:00Z</dcterms:created>
  <dcterms:modified xsi:type="dcterms:W3CDTF">2017-01-12T20:34:00Z</dcterms:modified>
</cp:coreProperties>
</file>