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5F098" w14:textId="77777777" w:rsidR="00023A1E" w:rsidRPr="00EA2DB0" w:rsidRDefault="00433C0C" w:rsidP="00433C0C">
      <w:pPr>
        <w:suppressAutoHyphens/>
        <w:rPr>
          <w:sz w:val="24"/>
          <w:szCs w:val="24"/>
        </w:rPr>
      </w:pPr>
      <w:r>
        <w:rPr>
          <w:b/>
          <w:sz w:val="24"/>
          <w:szCs w:val="24"/>
        </w:rPr>
        <w:t xml:space="preserve">Section 90.527, Regional Plan Requirements, </w:t>
      </w:r>
      <w:r>
        <w:rPr>
          <w:b/>
          <w:sz w:val="24"/>
          <w:szCs w:val="24"/>
        </w:rPr>
        <w:tab/>
      </w:r>
      <w:r>
        <w:rPr>
          <w:b/>
          <w:sz w:val="24"/>
          <w:szCs w:val="24"/>
        </w:rPr>
        <w:tab/>
      </w:r>
      <w:r>
        <w:rPr>
          <w:b/>
          <w:sz w:val="24"/>
          <w:szCs w:val="24"/>
        </w:rPr>
        <w:tab/>
      </w:r>
      <w:r>
        <w:rPr>
          <w:b/>
          <w:sz w:val="24"/>
          <w:szCs w:val="24"/>
        </w:rPr>
        <w:tab/>
      </w:r>
      <w:r>
        <w:rPr>
          <w:b/>
          <w:sz w:val="24"/>
          <w:szCs w:val="24"/>
        </w:rPr>
        <w:tab/>
        <w:t xml:space="preserve"> </w:t>
      </w:r>
      <w:r w:rsidR="00023A1E" w:rsidRPr="00EA2DB0">
        <w:rPr>
          <w:b/>
          <w:sz w:val="24"/>
          <w:szCs w:val="24"/>
        </w:rPr>
        <w:t>3060-0805</w:t>
      </w:r>
    </w:p>
    <w:p w14:paraId="2FFBCB24" w14:textId="0DFC149B" w:rsidR="00433C0C" w:rsidRPr="00276022" w:rsidRDefault="00433C0C" w:rsidP="00433C0C">
      <w:pPr>
        <w:suppressAutoHyphens/>
        <w:rPr>
          <w:b/>
          <w:sz w:val="24"/>
          <w:szCs w:val="24"/>
        </w:rPr>
      </w:pPr>
      <w:r w:rsidRPr="00276022">
        <w:rPr>
          <w:b/>
          <w:sz w:val="24"/>
          <w:szCs w:val="24"/>
        </w:rPr>
        <w:t xml:space="preserve">Section 90.523, Eligibility; and Section 90.1211, </w:t>
      </w:r>
      <w:r w:rsidRPr="00276022">
        <w:rPr>
          <w:b/>
          <w:sz w:val="24"/>
          <w:szCs w:val="24"/>
        </w:rPr>
        <w:tab/>
      </w:r>
      <w:r w:rsidRPr="00276022">
        <w:rPr>
          <w:b/>
          <w:sz w:val="24"/>
          <w:szCs w:val="24"/>
        </w:rPr>
        <w:tab/>
      </w:r>
      <w:r w:rsidRPr="00276022">
        <w:rPr>
          <w:b/>
          <w:sz w:val="24"/>
          <w:szCs w:val="24"/>
        </w:rPr>
        <w:tab/>
      </w:r>
      <w:r w:rsidRPr="00276022">
        <w:rPr>
          <w:b/>
          <w:sz w:val="24"/>
          <w:szCs w:val="24"/>
        </w:rPr>
        <w:tab/>
      </w:r>
      <w:r w:rsidRPr="00276022">
        <w:rPr>
          <w:b/>
          <w:sz w:val="24"/>
          <w:szCs w:val="24"/>
        </w:rPr>
        <w:tab/>
      </w:r>
      <w:r w:rsidR="00024A4A">
        <w:rPr>
          <w:b/>
          <w:sz w:val="24"/>
          <w:szCs w:val="24"/>
        </w:rPr>
        <w:t xml:space="preserve">  </w:t>
      </w:r>
      <w:bookmarkStart w:id="0" w:name="_GoBack"/>
      <w:bookmarkEnd w:id="0"/>
      <w:r w:rsidRPr="00276022">
        <w:rPr>
          <w:b/>
          <w:sz w:val="24"/>
          <w:szCs w:val="24"/>
        </w:rPr>
        <w:t xml:space="preserve">July 2017 </w:t>
      </w:r>
    </w:p>
    <w:p w14:paraId="69ACE856" w14:textId="77777777" w:rsidR="00023A1E" w:rsidRPr="00276022" w:rsidRDefault="00433C0C" w:rsidP="00433C0C">
      <w:pPr>
        <w:suppressAutoHyphens/>
        <w:rPr>
          <w:sz w:val="24"/>
          <w:szCs w:val="24"/>
        </w:rPr>
      </w:pPr>
      <w:r w:rsidRPr="00276022">
        <w:rPr>
          <w:b/>
          <w:sz w:val="24"/>
          <w:szCs w:val="24"/>
        </w:rPr>
        <w:t>Regional Plan Shared Use of 4.9 GHz</w:t>
      </w:r>
      <w:r w:rsidRPr="00276022">
        <w:rPr>
          <w:b/>
          <w:sz w:val="24"/>
          <w:szCs w:val="24"/>
        </w:rPr>
        <w:tab/>
        <w:t xml:space="preserve">       </w:t>
      </w:r>
      <w:r w:rsidRPr="00276022">
        <w:rPr>
          <w:b/>
          <w:sz w:val="24"/>
          <w:szCs w:val="24"/>
        </w:rPr>
        <w:tab/>
      </w:r>
      <w:r w:rsidR="00946490" w:rsidRPr="00276022">
        <w:rPr>
          <w:sz w:val="24"/>
          <w:szCs w:val="24"/>
        </w:rPr>
        <w:t xml:space="preserve"> </w:t>
      </w:r>
      <w:r w:rsidR="00153199" w:rsidRPr="00276022">
        <w:rPr>
          <w:sz w:val="24"/>
          <w:szCs w:val="24"/>
        </w:rPr>
        <w:t xml:space="preserve"> </w:t>
      </w:r>
      <w:r w:rsidR="00023A1E" w:rsidRPr="00276022">
        <w:rPr>
          <w:sz w:val="24"/>
          <w:szCs w:val="24"/>
        </w:rPr>
        <w:t xml:space="preserve"> </w:t>
      </w:r>
    </w:p>
    <w:p w14:paraId="295A174A" w14:textId="77777777" w:rsidR="00433C0C" w:rsidRDefault="00433C0C" w:rsidP="00276022">
      <w:pPr>
        <w:suppressAutoHyphens/>
        <w:rPr>
          <w:b/>
          <w:color w:val="000000"/>
          <w:sz w:val="24"/>
          <w:szCs w:val="24"/>
        </w:rPr>
      </w:pPr>
    </w:p>
    <w:p w14:paraId="003C48E1" w14:textId="77777777" w:rsidR="00433C0C" w:rsidRPr="00433C0C" w:rsidRDefault="00433C0C" w:rsidP="00276022">
      <w:pPr>
        <w:suppressAutoHyphens/>
        <w:rPr>
          <w:b/>
          <w:color w:val="000000"/>
          <w:sz w:val="24"/>
          <w:szCs w:val="24"/>
        </w:rPr>
      </w:pPr>
    </w:p>
    <w:p w14:paraId="23C48ECC" w14:textId="77777777" w:rsidR="00023A1E" w:rsidRPr="00EA2DB0" w:rsidRDefault="00023A1E">
      <w:pPr>
        <w:suppressAutoHyphens/>
        <w:jc w:val="center"/>
        <w:rPr>
          <w:sz w:val="24"/>
          <w:szCs w:val="24"/>
        </w:rPr>
      </w:pPr>
      <w:r w:rsidRPr="00EA2DB0">
        <w:rPr>
          <w:sz w:val="24"/>
          <w:szCs w:val="24"/>
        </w:rPr>
        <w:t>SUPPORTING STATEMENT</w:t>
      </w:r>
    </w:p>
    <w:p w14:paraId="46A6DE49" w14:textId="77777777" w:rsidR="00023A1E" w:rsidRPr="00EA2DB0" w:rsidRDefault="00023A1E">
      <w:pPr>
        <w:suppressAutoHyphens/>
        <w:rPr>
          <w:sz w:val="24"/>
          <w:szCs w:val="24"/>
        </w:rPr>
      </w:pPr>
    </w:p>
    <w:p w14:paraId="0AAA64E6" w14:textId="77777777" w:rsidR="00023A1E" w:rsidRPr="00EA2DB0" w:rsidRDefault="00023A1E">
      <w:pPr>
        <w:suppressAutoHyphens/>
        <w:rPr>
          <w:b/>
          <w:sz w:val="24"/>
          <w:szCs w:val="24"/>
        </w:rPr>
      </w:pPr>
      <w:r w:rsidRPr="00EA2DB0">
        <w:rPr>
          <w:b/>
          <w:sz w:val="24"/>
          <w:szCs w:val="24"/>
        </w:rPr>
        <w:t>A.</w:t>
      </w:r>
      <w:r w:rsidRPr="00EA2DB0">
        <w:rPr>
          <w:sz w:val="24"/>
          <w:szCs w:val="24"/>
        </w:rPr>
        <w:t xml:space="preserve">  </w:t>
      </w:r>
      <w:r w:rsidRPr="00EA2DB0">
        <w:rPr>
          <w:b/>
          <w:sz w:val="24"/>
          <w:szCs w:val="24"/>
          <w:u w:val="single"/>
        </w:rPr>
        <w:t>Justification</w:t>
      </w:r>
      <w:r w:rsidRPr="00EA2DB0">
        <w:rPr>
          <w:b/>
          <w:sz w:val="24"/>
          <w:szCs w:val="24"/>
        </w:rPr>
        <w:t>:</w:t>
      </w:r>
    </w:p>
    <w:p w14:paraId="45ED7EE1" w14:textId="77777777" w:rsidR="00023A1E" w:rsidRPr="00EA2DB0" w:rsidRDefault="00023A1E">
      <w:pPr>
        <w:suppressAutoHyphens/>
        <w:rPr>
          <w:sz w:val="24"/>
          <w:szCs w:val="24"/>
        </w:rPr>
      </w:pPr>
    </w:p>
    <w:p w14:paraId="432967D6" w14:textId="77777777" w:rsidR="00946490" w:rsidRPr="00EA2DB0" w:rsidRDefault="0055618A" w:rsidP="0055618A">
      <w:pPr>
        <w:rPr>
          <w:sz w:val="24"/>
          <w:szCs w:val="24"/>
        </w:rPr>
      </w:pPr>
      <w:r w:rsidRPr="00EA2DB0">
        <w:rPr>
          <w:sz w:val="24"/>
          <w:szCs w:val="24"/>
        </w:rPr>
        <w:t xml:space="preserve">1.  </w:t>
      </w:r>
      <w:r w:rsidR="00023A1E" w:rsidRPr="00EA2DB0">
        <w:rPr>
          <w:sz w:val="24"/>
          <w:szCs w:val="24"/>
        </w:rPr>
        <w:t>Pursuant to the Balanced Budget Act of 1997, the Commission reallocated 24 megahertz of electromagnetic spectrum in the 700 MHz band (</w:t>
      </w:r>
      <w:r w:rsidR="00556673" w:rsidRPr="00EA2DB0">
        <w:rPr>
          <w:sz w:val="24"/>
          <w:szCs w:val="24"/>
        </w:rPr>
        <w:t>769</w:t>
      </w:r>
      <w:r w:rsidR="00023A1E" w:rsidRPr="00EA2DB0">
        <w:rPr>
          <w:color w:val="000000"/>
          <w:sz w:val="24"/>
          <w:szCs w:val="24"/>
        </w:rPr>
        <w:t>-776/</w:t>
      </w:r>
      <w:r w:rsidR="00556673" w:rsidRPr="00EA2DB0">
        <w:rPr>
          <w:color w:val="000000"/>
          <w:sz w:val="24"/>
          <w:szCs w:val="24"/>
        </w:rPr>
        <w:t>799</w:t>
      </w:r>
      <w:r w:rsidR="00023A1E" w:rsidRPr="00EA2DB0">
        <w:rPr>
          <w:color w:val="000000"/>
          <w:sz w:val="24"/>
          <w:szCs w:val="24"/>
        </w:rPr>
        <w:t>-806 MHz)</w:t>
      </w:r>
      <w:r w:rsidR="00023A1E" w:rsidRPr="00EA2DB0">
        <w:rPr>
          <w:sz w:val="24"/>
          <w:szCs w:val="24"/>
        </w:rPr>
        <w:t xml:space="preserve"> to</w:t>
      </w:r>
      <w:r w:rsidR="00023A1E" w:rsidRPr="00EA2DB0">
        <w:rPr>
          <w:color w:val="000000"/>
          <w:sz w:val="24"/>
          <w:szCs w:val="24"/>
        </w:rPr>
        <w:t xml:space="preserve"> ensure the efficient and effective use of that spectrum to meet the Nation's critical public safety communications needs.  In this connection, the Commission established a communications framework relying on regional planning committees for the development of plans to utilize available frequencies in ways that best meet the needs of public safety agencies at the local, State and regional levels.  Specifically, the </w:t>
      </w:r>
      <w:r w:rsidR="00023A1E" w:rsidRPr="00EA2DB0">
        <w:rPr>
          <w:sz w:val="24"/>
          <w:szCs w:val="24"/>
        </w:rPr>
        <w:t xml:space="preserve">Commission requires planning committees made up of representatives from the public safety community to submit regional plans for the 700 MHz band.  Preparation of these regional plans imposes some burden, both on the eligible entities that make their needs known, and on the planners who seek to accommodate them.  </w:t>
      </w:r>
    </w:p>
    <w:p w14:paraId="26815E60" w14:textId="77777777" w:rsidR="00946490" w:rsidRPr="00EA2DB0" w:rsidRDefault="00946490" w:rsidP="00946490">
      <w:pPr>
        <w:ind w:left="720"/>
        <w:rPr>
          <w:sz w:val="24"/>
          <w:szCs w:val="24"/>
        </w:rPr>
      </w:pPr>
    </w:p>
    <w:p w14:paraId="4C0E565A" w14:textId="77777777" w:rsidR="00023A1E" w:rsidRPr="00EA2DB0" w:rsidRDefault="00023A1E" w:rsidP="0055618A">
      <w:pPr>
        <w:rPr>
          <w:sz w:val="24"/>
          <w:szCs w:val="24"/>
        </w:rPr>
      </w:pPr>
      <w:r w:rsidRPr="00EA2DB0">
        <w:rPr>
          <w:sz w:val="24"/>
          <w:szCs w:val="24"/>
        </w:rPr>
        <w:t>The Commission adopted national standards for the operation and use of the spectrum allocated for nationwide interoperability.  In the 700 MHz band, the Commission requires that (1) non-governmental organizations be authorized by state or local agencies</w:t>
      </w:r>
      <w:r w:rsidR="00556673" w:rsidRPr="00EA2DB0">
        <w:rPr>
          <w:sz w:val="24"/>
          <w:szCs w:val="24"/>
        </w:rPr>
        <w:t xml:space="preserve">, and </w:t>
      </w:r>
      <w:r w:rsidRPr="00EA2DB0">
        <w:rPr>
          <w:sz w:val="24"/>
          <w:szCs w:val="24"/>
        </w:rPr>
        <w:t>(2) regional planning committees submit spectrum allocations for Commission review and approval prior</w:t>
      </w:r>
      <w:r w:rsidR="00070C9D" w:rsidRPr="00EA2DB0">
        <w:rPr>
          <w:sz w:val="24"/>
          <w:szCs w:val="24"/>
        </w:rPr>
        <w:t xml:space="preserve"> to</w:t>
      </w:r>
      <w:r w:rsidRPr="00EA2DB0">
        <w:rPr>
          <w:sz w:val="24"/>
          <w:szCs w:val="24"/>
        </w:rPr>
        <w:t xml:space="preserve"> licensing of general use narrowband channels</w:t>
      </w:r>
      <w:r w:rsidR="00556673" w:rsidRPr="00EA2DB0">
        <w:rPr>
          <w:sz w:val="24"/>
          <w:szCs w:val="24"/>
        </w:rPr>
        <w:t xml:space="preserve">.  </w:t>
      </w:r>
      <w:r w:rsidRPr="00EA2DB0">
        <w:rPr>
          <w:sz w:val="24"/>
          <w:szCs w:val="24"/>
        </w:rPr>
        <w:t>The specific rules sections for which we seek continued OMB approval are:</w:t>
      </w:r>
    </w:p>
    <w:p w14:paraId="5D138D7D" w14:textId="77777777" w:rsidR="00023A1E" w:rsidRPr="00EA2DB0" w:rsidRDefault="00023A1E">
      <w:pPr>
        <w:suppressAutoHyphens/>
        <w:rPr>
          <w:sz w:val="24"/>
          <w:szCs w:val="24"/>
        </w:rPr>
      </w:pPr>
    </w:p>
    <w:p w14:paraId="5227E999" w14:textId="77777777" w:rsidR="00023A1E" w:rsidRPr="00EA2DB0" w:rsidRDefault="00023A1E">
      <w:pPr>
        <w:suppressAutoHyphens/>
        <w:rPr>
          <w:sz w:val="24"/>
          <w:szCs w:val="24"/>
        </w:rPr>
      </w:pPr>
      <w:r w:rsidRPr="001634CE">
        <w:rPr>
          <w:b/>
          <w:i/>
          <w:sz w:val="24"/>
          <w:szCs w:val="24"/>
          <w:u w:val="single"/>
        </w:rPr>
        <w:t>47 C.F.R. § 90.523 - Eligibility</w:t>
      </w:r>
      <w:r w:rsidRPr="001634CE">
        <w:rPr>
          <w:b/>
          <w:i/>
          <w:sz w:val="24"/>
          <w:szCs w:val="24"/>
        </w:rPr>
        <w:t>.</w:t>
      </w:r>
      <w:r w:rsidRPr="001634CE">
        <w:rPr>
          <w:b/>
          <w:sz w:val="24"/>
          <w:szCs w:val="24"/>
        </w:rPr>
        <w:t xml:space="preserve"> </w:t>
      </w:r>
      <w:r w:rsidRPr="00EA2DB0">
        <w:rPr>
          <w:sz w:val="24"/>
          <w:szCs w:val="24"/>
        </w:rPr>
        <w:t xml:space="preserve">  Requires that nongovernmental organizations, which provide services to protect the safety of life, or property, obtain a written statement from an authorizing state or local government entity to support the nongovernmental organization’s application for the assignment of 700 MHz frequencies.</w:t>
      </w:r>
    </w:p>
    <w:p w14:paraId="60396FB7" w14:textId="77777777" w:rsidR="00023A1E" w:rsidRPr="00EA2DB0" w:rsidRDefault="00023A1E">
      <w:pPr>
        <w:suppressAutoHyphens/>
        <w:rPr>
          <w:sz w:val="24"/>
          <w:szCs w:val="24"/>
        </w:rPr>
      </w:pPr>
    </w:p>
    <w:p w14:paraId="167FB738" w14:textId="77777777" w:rsidR="00023A1E" w:rsidRPr="00EA2DB0" w:rsidRDefault="00023A1E">
      <w:pPr>
        <w:suppressAutoHyphens/>
        <w:rPr>
          <w:sz w:val="24"/>
          <w:szCs w:val="24"/>
        </w:rPr>
      </w:pPr>
      <w:r w:rsidRPr="001634CE">
        <w:rPr>
          <w:b/>
          <w:i/>
          <w:sz w:val="24"/>
          <w:szCs w:val="24"/>
          <w:u w:val="single"/>
        </w:rPr>
        <w:t>47 C.F.R. § 90.527 - Regional plan requirements</w:t>
      </w:r>
      <w:r w:rsidRPr="001634CE">
        <w:rPr>
          <w:b/>
          <w:sz w:val="24"/>
          <w:szCs w:val="24"/>
        </w:rPr>
        <w:t xml:space="preserve">.  </w:t>
      </w:r>
      <w:r w:rsidRPr="00EA2DB0">
        <w:rPr>
          <w:sz w:val="24"/>
          <w:szCs w:val="24"/>
        </w:rPr>
        <w:t xml:space="preserve">To prepare </w:t>
      </w:r>
      <w:r w:rsidR="00180FFB" w:rsidRPr="00EA2DB0">
        <w:rPr>
          <w:sz w:val="24"/>
          <w:szCs w:val="24"/>
        </w:rPr>
        <w:t xml:space="preserve">and modify </w:t>
      </w:r>
      <w:r w:rsidRPr="00EA2DB0">
        <w:rPr>
          <w:sz w:val="24"/>
          <w:szCs w:val="24"/>
        </w:rPr>
        <w:t>the regional plans for the 700 MHz band</w:t>
      </w:r>
      <w:smartTag w:uri="urn:schemas-microsoft-com:office:smarttags" w:element="PersonName">
        <w:r w:rsidRPr="00EA2DB0">
          <w:rPr>
            <w:sz w:val="24"/>
            <w:szCs w:val="24"/>
          </w:rPr>
          <w:t>,</w:t>
        </w:r>
      </w:smartTag>
      <w:r w:rsidRPr="00EA2DB0">
        <w:rPr>
          <w:sz w:val="24"/>
          <w:szCs w:val="24"/>
        </w:rPr>
        <w:t xml:space="preserve"> the regional planning committees will require input from those entities within their regions that will be eligible to receive licenses under the plans.  Entities that seek inclusion in the plan in order to obtain licenses will be third party respondents.</w:t>
      </w:r>
    </w:p>
    <w:p w14:paraId="3CA49CDC" w14:textId="77777777" w:rsidR="00723F1C" w:rsidRPr="00EA2DB0" w:rsidRDefault="00723F1C">
      <w:pPr>
        <w:suppressAutoHyphens/>
        <w:rPr>
          <w:sz w:val="24"/>
          <w:szCs w:val="24"/>
        </w:rPr>
      </w:pPr>
    </w:p>
    <w:p w14:paraId="122282A2" w14:textId="77777777" w:rsidR="00023A1E" w:rsidRPr="00EA2DB0" w:rsidRDefault="00023A1E">
      <w:pPr>
        <w:suppressAutoHyphens/>
        <w:rPr>
          <w:sz w:val="24"/>
          <w:szCs w:val="24"/>
        </w:rPr>
      </w:pPr>
      <w:r w:rsidRPr="001634CE">
        <w:rPr>
          <w:b/>
          <w:i/>
          <w:sz w:val="24"/>
          <w:szCs w:val="24"/>
          <w:u w:val="single"/>
        </w:rPr>
        <w:t>47 C.F.R. § 90.1211 - Regional Plan</w:t>
      </w:r>
      <w:r w:rsidRPr="001634CE">
        <w:rPr>
          <w:b/>
          <w:i/>
          <w:sz w:val="24"/>
          <w:szCs w:val="24"/>
        </w:rPr>
        <w:t>.</w:t>
      </w:r>
      <w:r w:rsidRPr="00EA2DB0">
        <w:rPr>
          <w:sz w:val="24"/>
          <w:szCs w:val="24"/>
        </w:rPr>
        <w:t xml:space="preserve">  With respect to the 4.9 GHz band, the Commission suggested that each 700 MHz region submit a plan on guidelines to be used for sharing the spectrum within the region.</w:t>
      </w:r>
      <w:r w:rsidR="00CF310E" w:rsidRPr="00EA2DB0">
        <w:rPr>
          <w:rStyle w:val="FootnoteReference"/>
          <w:sz w:val="24"/>
          <w:szCs w:val="24"/>
        </w:rPr>
        <w:footnoteReference w:id="1"/>
      </w:r>
      <w:r w:rsidRPr="00EA2DB0">
        <w:rPr>
          <w:sz w:val="24"/>
          <w:szCs w:val="24"/>
        </w:rPr>
        <w:t xml:space="preserve">  </w:t>
      </w:r>
    </w:p>
    <w:p w14:paraId="50FA4B1B" w14:textId="77777777" w:rsidR="00946490" w:rsidRDefault="00946490">
      <w:pPr>
        <w:suppressAutoHyphens/>
        <w:rPr>
          <w:sz w:val="24"/>
          <w:szCs w:val="24"/>
        </w:rPr>
      </w:pPr>
    </w:p>
    <w:p w14:paraId="0DC0266D" w14:textId="77777777" w:rsidR="00276022" w:rsidRDefault="00276022">
      <w:pPr>
        <w:suppressAutoHyphens/>
        <w:rPr>
          <w:sz w:val="24"/>
          <w:szCs w:val="24"/>
        </w:rPr>
      </w:pPr>
    </w:p>
    <w:p w14:paraId="1F8ED9C6" w14:textId="77777777" w:rsidR="00276022" w:rsidRPr="00EA2DB0" w:rsidRDefault="00276022">
      <w:pPr>
        <w:suppressAutoHyphens/>
        <w:rPr>
          <w:sz w:val="24"/>
          <w:szCs w:val="24"/>
        </w:rPr>
      </w:pPr>
    </w:p>
    <w:p w14:paraId="2D2024E0" w14:textId="4D7F1E5D" w:rsidR="00023A1E" w:rsidRPr="00EA2DB0" w:rsidRDefault="00023A1E">
      <w:pPr>
        <w:suppressAutoHyphens/>
        <w:jc w:val="both"/>
        <w:rPr>
          <w:sz w:val="24"/>
          <w:szCs w:val="24"/>
        </w:rPr>
      </w:pPr>
      <w:r w:rsidRPr="00EA2DB0">
        <w:rPr>
          <w:sz w:val="24"/>
          <w:szCs w:val="24"/>
        </w:rPr>
        <w:lastRenderedPageBreak/>
        <w:t xml:space="preserve">Statutory authority for this collection of information is contained in </w:t>
      </w:r>
      <w:r w:rsidR="00946490" w:rsidRPr="00EA2DB0">
        <w:rPr>
          <w:sz w:val="24"/>
          <w:szCs w:val="24"/>
        </w:rPr>
        <w:t>s</w:t>
      </w:r>
      <w:r w:rsidRPr="00EA2DB0">
        <w:rPr>
          <w:sz w:val="24"/>
          <w:szCs w:val="24"/>
        </w:rPr>
        <w:t>ections 4(i), 11, 303(g), 303(r), 332(c)(7)</w:t>
      </w:r>
      <w:r w:rsidR="00B01FDC">
        <w:rPr>
          <w:sz w:val="24"/>
          <w:szCs w:val="24"/>
        </w:rPr>
        <w:t>, and 337(f)</w:t>
      </w:r>
      <w:r w:rsidRPr="00EA2DB0">
        <w:rPr>
          <w:sz w:val="24"/>
          <w:szCs w:val="24"/>
        </w:rPr>
        <w:t xml:space="preserve"> of the Communications Act of 1934, as amended, 47 U.S.C. §§ 154(i), 161, 303(g), 303(r), 332(c)(7)</w:t>
      </w:r>
      <w:r w:rsidR="00B01FDC">
        <w:rPr>
          <w:sz w:val="24"/>
          <w:szCs w:val="24"/>
        </w:rPr>
        <w:t xml:space="preserve">, </w:t>
      </w:r>
      <w:r w:rsidR="00A97D7F">
        <w:rPr>
          <w:sz w:val="24"/>
          <w:szCs w:val="24"/>
        </w:rPr>
        <w:t xml:space="preserve">and </w:t>
      </w:r>
      <w:r w:rsidR="00B01FDC">
        <w:rPr>
          <w:sz w:val="24"/>
          <w:szCs w:val="24"/>
        </w:rPr>
        <w:t>337(f)</w:t>
      </w:r>
      <w:r w:rsidRPr="00EA2DB0">
        <w:rPr>
          <w:sz w:val="24"/>
          <w:szCs w:val="24"/>
        </w:rPr>
        <w:t>, unless otherwise noted.</w:t>
      </w:r>
    </w:p>
    <w:p w14:paraId="45336597" w14:textId="77777777" w:rsidR="00023A1E" w:rsidRPr="00EA2DB0" w:rsidRDefault="00023A1E">
      <w:pPr>
        <w:suppressAutoHyphens/>
        <w:rPr>
          <w:sz w:val="24"/>
          <w:szCs w:val="24"/>
        </w:rPr>
      </w:pPr>
    </w:p>
    <w:p w14:paraId="5FCD1EE1" w14:textId="77777777" w:rsidR="00023A1E" w:rsidRPr="00EA2DB0" w:rsidRDefault="00023A1E">
      <w:pPr>
        <w:suppressAutoHyphens/>
        <w:rPr>
          <w:sz w:val="24"/>
          <w:szCs w:val="24"/>
        </w:rPr>
      </w:pPr>
      <w:r w:rsidRPr="00EA2DB0">
        <w:rPr>
          <w:sz w:val="24"/>
          <w:szCs w:val="24"/>
        </w:rPr>
        <w:t>This information collection does not affect individuals or households; thus, there is no impact under the Privacy Act.</w:t>
      </w:r>
    </w:p>
    <w:p w14:paraId="5B269373" w14:textId="77777777" w:rsidR="00023A1E" w:rsidRPr="00EA2DB0" w:rsidRDefault="00023A1E">
      <w:pPr>
        <w:suppressAutoHyphens/>
        <w:rPr>
          <w:sz w:val="24"/>
          <w:szCs w:val="24"/>
        </w:rPr>
      </w:pPr>
    </w:p>
    <w:p w14:paraId="71F38A53" w14:textId="77777777" w:rsidR="00023A1E" w:rsidRPr="00EA2DB0" w:rsidRDefault="00023A1E">
      <w:pPr>
        <w:suppressAutoHyphens/>
        <w:rPr>
          <w:sz w:val="24"/>
          <w:szCs w:val="24"/>
        </w:rPr>
      </w:pPr>
      <w:r w:rsidRPr="00EA2DB0">
        <w:rPr>
          <w:sz w:val="24"/>
          <w:szCs w:val="24"/>
        </w:rPr>
        <w:t>2.  For information submitted to the Commission, Commission personnel will use the information obtained to assign licenses, and also use the information to determine regional spectrum requirements and to develop technical standards.  The information will also be used to determine whether prospective licensees will operate in compliance with the Commission's rules. Without such information, the Commission could not accommodate regional requirements or provide for the optimal use of the available frequencies.  For information provided to</w:t>
      </w:r>
      <w:r w:rsidR="00892183" w:rsidRPr="00EA2DB0">
        <w:rPr>
          <w:sz w:val="24"/>
          <w:szCs w:val="24"/>
        </w:rPr>
        <w:t>,</w:t>
      </w:r>
      <w:r w:rsidRPr="00EA2DB0">
        <w:rPr>
          <w:sz w:val="24"/>
          <w:szCs w:val="24"/>
        </w:rPr>
        <w:t xml:space="preserve"> or exchanged among third parties, </w:t>
      </w:r>
      <w:r w:rsidR="00A92DC5" w:rsidRPr="00EA2DB0">
        <w:rPr>
          <w:sz w:val="24"/>
          <w:szCs w:val="24"/>
        </w:rPr>
        <w:t xml:space="preserve">the data </w:t>
      </w:r>
      <w:r w:rsidR="00892183" w:rsidRPr="00EA2DB0">
        <w:rPr>
          <w:sz w:val="24"/>
          <w:szCs w:val="24"/>
        </w:rPr>
        <w:t xml:space="preserve">will be used to </w:t>
      </w:r>
      <w:r w:rsidRPr="00EA2DB0">
        <w:rPr>
          <w:sz w:val="24"/>
          <w:szCs w:val="24"/>
        </w:rPr>
        <w:t>establish eligibility</w:t>
      </w:r>
      <w:r w:rsidR="00AB2B6A" w:rsidRPr="00EA2DB0">
        <w:rPr>
          <w:sz w:val="24"/>
          <w:szCs w:val="24"/>
        </w:rPr>
        <w:t xml:space="preserve">. </w:t>
      </w:r>
      <w:r w:rsidRPr="00EA2DB0">
        <w:rPr>
          <w:sz w:val="24"/>
          <w:szCs w:val="24"/>
        </w:rPr>
        <w:t xml:space="preserve"> </w:t>
      </w:r>
    </w:p>
    <w:p w14:paraId="270E9368" w14:textId="77777777" w:rsidR="00023A1E" w:rsidRPr="00EA2DB0" w:rsidRDefault="00023A1E">
      <w:pPr>
        <w:suppressAutoHyphens/>
        <w:rPr>
          <w:sz w:val="24"/>
          <w:szCs w:val="24"/>
        </w:rPr>
      </w:pPr>
    </w:p>
    <w:p w14:paraId="7539BCFE" w14:textId="77777777" w:rsidR="00023A1E" w:rsidRPr="00EA2DB0" w:rsidRDefault="00023A1E">
      <w:pPr>
        <w:pStyle w:val="BodyText"/>
        <w:rPr>
          <w:szCs w:val="24"/>
        </w:rPr>
      </w:pPr>
      <w:r w:rsidRPr="00EA2DB0">
        <w:rPr>
          <w:szCs w:val="24"/>
        </w:rPr>
        <w:t xml:space="preserve">3.  Third party respondents are free to exchange information electronically if they desire, and the Commission encourages submissions to be made electronically whenever possible.  </w:t>
      </w:r>
    </w:p>
    <w:p w14:paraId="43144FAA" w14:textId="77777777" w:rsidR="00023A1E" w:rsidRPr="00EA2DB0" w:rsidRDefault="00023A1E">
      <w:pPr>
        <w:suppressAutoHyphens/>
        <w:rPr>
          <w:sz w:val="24"/>
          <w:szCs w:val="24"/>
        </w:rPr>
      </w:pPr>
    </w:p>
    <w:p w14:paraId="7D40FC1A" w14:textId="77777777" w:rsidR="00023A1E" w:rsidRPr="00EA2DB0" w:rsidRDefault="00023A1E">
      <w:pPr>
        <w:suppressAutoHyphens/>
        <w:rPr>
          <w:sz w:val="24"/>
          <w:szCs w:val="24"/>
        </w:rPr>
      </w:pPr>
      <w:r w:rsidRPr="00EA2DB0">
        <w:rPr>
          <w:sz w:val="24"/>
          <w:szCs w:val="24"/>
        </w:rPr>
        <w:t>4.  This agency does not impose a similar information collection on the respondents.  There are no similar data available.</w:t>
      </w:r>
    </w:p>
    <w:p w14:paraId="41147F5C" w14:textId="77777777" w:rsidR="00023A1E" w:rsidRPr="00EA2DB0" w:rsidRDefault="00023A1E">
      <w:pPr>
        <w:suppressAutoHyphens/>
        <w:rPr>
          <w:sz w:val="24"/>
          <w:szCs w:val="24"/>
        </w:rPr>
      </w:pPr>
    </w:p>
    <w:p w14:paraId="4A66C776" w14:textId="77777777" w:rsidR="00023A1E" w:rsidRPr="00EA2DB0" w:rsidRDefault="00023A1E">
      <w:pPr>
        <w:suppressAutoHyphens/>
        <w:rPr>
          <w:sz w:val="24"/>
          <w:szCs w:val="24"/>
        </w:rPr>
      </w:pPr>
      <w:r w:rsidRPr="00EA2DB0">
        <w:rPr>
          <w:sz w:val="24"/>
          <w:szCs w:val="24"/>
        </w:rPr>
        <w:t xml:space="preserve">5.  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  </w:t>
      </w:r>
    </w:p>
    <w:p w14:paraId="63FEC7F1" w14:textId="77777777" w:rsidR="00023A1E" w:rsidRPr="00EA2DB0" w:rsidRDefault="00023A1E">
      <w:pPr>
        <w:suppressAutoHyphens/>
        <w:rPr>
          <w:sz w:val="24"/>
          <w:szCs w:val="24"/>
        </w:rPr>
      </w:pPr>
    </w:p>
    <w:p w14:paraId="40494CBB" w14:textId="77777777" w:rsidR="00023A1E" w:rsidRPr="00EA2DB0" w:rsidRDefault="00023A1E">
      <w:pPr>
        <w:suppressAutoHyphens/>
        <w:rPr>
          <w:sz w:val="24"/>
          <w:szCs w:val="24"/>
        </w:rPr>
      </w:pPr>
      <w:r w:rsidRPr="00EA2DB0">
        <w:rPr>
          <w:sz w:val="24"/>
          <w:szCs w:val="24"/>
        </w:rPr>
        <w:t>6.  Without the submission of regional plans, the Commission could not identify and accommodate regional needs and preferences.  The information is initially collected only once, although the regions are permitted to amend their plans as needed.  Thus, the frequency of filing is determined by the respondents.  If individuals or organizations did not assist the Commission in developing technical standards, it would take much longer for the Commission to develop such standards.</w:t>
      </w:r>
    </w:p>
    <w:p w14:paraId="57117627" w14:textId="77777777" w:rsidR="00023A1E" w:rsidRPr="00EA2DB0" w:rsidRDefault="00023A1E">
      <w:pPr>
        <w:suppressAutoHyphens/>
        <w:rPr>
          <w:sz w:val="24"/>
          <w:szCs w:val="24"/>
        </w:rPr>
      </w:pPr>
    </w:p>
    <w:p w14:paraId="53EE964D" w14:textId="77777777" w:rsidR="00023A1E" w:rsidRPr="00EA2DB0" w:rsidRDefault="00023A1E">
      <w:pPr>
        <w:suppressAutoHyphens/>
        <w:rPr>
          <w:sz w:val="24"/>
          <w:szCs w:val="24"/>
        </w:rPr>
      </w:pPr>
      <w:r w:rsidRPr="00EA2DB0">
        <w:rPr>
          <w:sz w:val="24"/>
          <w:szCs w:val="24"/>
        </w:rPr>
        <w:t>7.  Current data collection is consistent with 5 C.F.R § 1320.6.</w:t>
      </w:r>
    </w:p>
    <w:p w14:paraId="0308E38A" w14:textId="77777777" w:rsidR="00023A1E" w:rsidRPr="00EA2DB0" w:rsidRDefault="00023A1E">
      <w:pPr>
        <w:suppressAutoHyphens/>
        <w:rPr>
          <w:sz w:val="24"/>
          <w:szCs w:val="24"/>
        </w:rPr>
      </w:pPr>
    </w:p>
    <w:p w14:paraId="070DD743" w14:textId="706A88D6" w:rsidR="00023A1E" w:rsidRPr="00EA2DB0" w:rsidRDefault="00023A1E">
      <w:pPr>
        <w:suppressAutoHyphens/>
        <w:rPr>
          <w:sz w:val="24"/>
          <w:szCs w:val="24"/>
        </w:rPr>
      </w:pPr>
      <w:r w:rsidRPr="00EA2DB0">
        <w:rPr>
          <w:sz w:val="24"/>
          <w:szCs w:val="24"/>
        </w:rPr>
        <w:t xml:space="preserve">8.  The Commission </w:t>
      </w:r>
      <w:r w:rsidR="00946490" w:rsidRPr="00EA2DB0">
        <w:rPr>
          <w:sz w:val="24"/>
          <w:szCs w:val="24"/>
        </w:rPr>
        <w:t>published</w:t>
      </w:r>
      <w:r w:rsidRPr="00EA2DB0">
        <w:rPr>
          <w:sz w:val="24"/>
          <w:szCs w:val="24"/>
        </w:rPr>
        <w:t xml:space="preserve"> a </w:t>
      </w:r>
      <w:r w:rsidR="00946490" w:rsidRPr="00EA2DB0">
        <w:rPr>
          <w:sz w:val="24"/>
          <w:szCs w:val="24"/>
        </w:rPr>
        <w:t>60</w:t>
      </w:r>
      <w:r w:rsidRPr="00EA2DB0">
        <w:rPr>
          <w:sz w:val="24"/>
          <w:szCs w:val="24"/>
        </w:rPr>
        <w:t xml:space="preserve">-day </w:t>
      </w:r>
      <w:r w:rsidR="00946490" w:rsidRPr="00EA2DB0">
        <w:rPr>
          <w:sz w:val="24"/>
          <w:szCs w:val="24"/>
        </w:rPr>
        <w:t xml:space="preserve">notice soliciting </w:t>
      </w:r>
      <w:r w:rsidRPr="00EA2DB0">
        <w:rPr>
          <w:sz w:val="24"/>
          <w:szCs w:val="24"/>
        </w:rPr>
        <w:t>public comment which appeared in the Federal Register on</w:t>
      </w:r>
      <w:r w:rsidR="00B3456C" w:rsidRPr="00EA2DB0">
        <w:rPr>
          <w:sz w:val="24"/>
          <w:szCs w:val="24"/>
        </w:rPr>
        <w:t xml:space="preserve"> </w:t>
      </w:r>
      <w:r w:rsidR="00276022">
        <w:rPr>
          <w:sz w:val="24"/>
          <w:szCs w:val="24"/>
        </w:rPr>
        <w:t xml:space="preserve">March 21, 2017 [82 </w:t>
      </w:r>
      <w:r w:rsidR="00EA62A4" w:rsidRPr="001634CE">
        <w:rPr>
          <w:sz w:val="24"/>
          <w:szCs w:val="24"/>
        </w:rPr>
        <w:t xml:space="preserve">FR </w:t>
      </w:r>
      <w:r w:rsidR="001634CE">
        <w:rPr>
          <w:sz w:val="24"/>
          <w:szCs w:val="24"/>
        </w:rPr>
        <w:t>14509</w:t>
      </w:r>
      <w:r w:rsidR="00EA62A4" w:rsidRPr="00EA2DB0">
        <w:rPr>
          <w:sz w:val="24"/>
          <w:szCs w:val="24"/>
        </w:rPr>
        <w:t>]</w:t>
      </w:r>
      <w:r w:rsidR="00723F1C" w:rsidRPr="00EA2DB0">
        <w:rPr>
          <w:sz w:val="24"/>
          <w:szCs w:val="24"/>
        </w:rPr>
        <w:t xml:space="preserve"> seeking comments from the public on the information collection requirements contained in this supporting statement</w:t>
      </w:r>
      <w:r w:rsidRPr="00EA2DB0">
        <w:rPr>
          <w:sz w:val="24"/>
          <w:szCs w:val="24"/>
        </w:rPr>
        <w:t>.  No comments were received as a result of the notice.</w:t>
      </w:r>
    </w:p>
    <w:p w14:paraId="3907ECAD" w14:textId="77777777" w:rsidR="00023A1E" w:rsidRPr="00EA2DB0" w:rsidRDefault="00023A1E">
      <w:pPr>
        <w:suppressAutoHyphens/>
        <w:rPr>
          <w:sz w:val="24"/>
          <w:szCs w:val="24"/>
        </w:rPr>
      </w:pPr>
    </w:p>
    <w:p w14:paraId="000F7053" w14:textId="42106B69" w:rsidR="00023A1E" w:rsidRPr="00EA2DB0" w:rsidRDefault="00023A1E">
      <w:pPr>
        <w:suppressAutoHyphens/>
        <w:rPr>
          <w:sz w:val="24"/>
          <w:szCs w:val="24"/>
        </w:rPr>
      </w:pPr>
      <w:r w:rsidRPr="00EA2DB0">
        <w:rPr>
          <w:sz w:val="24"/>
          <w:szCs w:val="24"/>
        </w:rPr>
        <w:t xml:space="preserve">9.  Respondents will not receive any </w:t>
      </w:r>
      <w:r w:rsidR="001634CE">
        <w:rPr>
          <w:sz w:val="24"/>
          <w:szCs w:val="24"/>
        </w:rPr>
        <w:t xml:space="preserve">gifts or </w:t>
      </w:r>
      <w:r w:rsidRPr="00EA2DB0">
        <w:rPr>
          <w:sz w:val="24"/>
          <w:szCs w:val="24"/>
        </w:rPr>
        <w:t xml:space="preserve">payments. </w:t>
      </w:r>
    </w:p>
    <w:p w14:paraId="6B54CF48" w14:textId="77777777" w:rsidR="00023A1E" w:rsidRPr="00EA2DB0" w:rsidRDefault="00023A1E">
      <w:pPr>
        <w:suppressAutoHyphens/>
        <w:rPr>
          <w:sz w:val="24"/>
          <w:szCs w:val="24"/>
        </w:rPr>
      </w:pPr>
    </w:p>
    <w:p w14:paraId="2FA0E0AA" w14:textId="77777777" w:rsidR="00023A1E" w:rsidRPr="00EA2DB0" w:rsidRDefault="00023A1E">
      <w:pPr>
        <w:suppressAutoHyphens/>
        <w:rPr>
          <w:sz w:val="24"/>
          <w:szCs w:val="24"/>
        </w:rPr>
      </w:pPr>
      <w:r w:rsidRPr="00EA2DB0">
        <w:rPr>
          <w:sz w:val="24"/>
          <w:szCs w:val="24"/>
        </w:rPr>
        <w:t>10.  There is no need for confidentiality</w:t>
      </w:r>
      <w:r w:rsidR="00723F1C" w:rsidRPr="00EA2DB0">
        <w:rPr>
          <w:sz w:val="24"/>
          <w:szCs w:val="24"/>
        </w:rPr>
        <w:t xml:space="preserve"> with this collection of information</w:t>
      </w:r>
      <w:r w:rsidRPr="00EA2DB0">
        <w:rPr>
          <w:sz w:val="24"/>
          <w:szCs w:val="24"/>
        </w:rPr>
        <w:t xml:space="preserve">. </w:t>
      </w:r>
    </w:p>
    <w:p w14:paraId="49D7A369" w14:textId="77777777" w:rsidR="00023A1E" w:rsidRPr="00EA2DB0" w:rsidRDefault="00023A1E">
      <w:pPr>
        <w:suppressAutoHyphens/>
        <w:rPr>
          <w:sz w:val="24"/>
          <w:szCs w:val="24"/>
        </w:rPr>
      </w:pPr>
    </w:p>
    <w:p w14:paraId="70A4E230" w14:textId="77777777" w:rsidR="00023A1E" w:rsidRPr="00EA2DB0" w:rsidRDefault="00023A1E">
      <w:pPr>
        <w:suppressAutoHyphens/>
        <w:rPr>
          <w:sz w:val="24"/>
          <w:szCs w:val="24"/>
        </w:rPr>
      </w:pPr>
      <w:r w:rsidRPr="00EA2DB0">
        <w:rPr>
          <w:sz w:val="24"/>
          <w:szCs w:val="24"/>
        </w:rPr>
        <w:lastRenderedPageBreak/>
        <w:t xml:space="preserve">11.  There are no </w:t>
      </w:r>
      <w:r w:rsidR="00656F1D" w:rsidRPr="00EA2DB0">
        <w:rPr>
          <w:sz w:val="24"/>
          <w:szCs w:val="24"/>
        </w:rPr>
        <w:t xml:space="preserve">collections of information that are considered </w:t>
      </w:r>
      <w:r w:rsidRPr="00EA2DB0">
        <w:rPr>
          <w:sz w:val="24"/>
          <w:szCs w:val="24"/>
        </w:rPr>
        <w:t>sensitive</w:t>
      </w:r>
      <w:r w:rsidR="00656F1D" w:rsidRPr="00EA2DB0">
        <w:rPr>
          <w:sz w:val="24"/>
          <w:szCs w:val="24"/>
        </w:rPr>
        <w:t xml:space="preserve"> in </w:t>
      </w:r>
      <w:r w:rsidRPr="00EA2DB0">
        <w:rPr>
          <w:sz w:val="24"/>
          <w:szCs w:val="24"/>
        </w:rPr>
        <w:t xml:space="preserve">nature or </w:t>
      </w:r>
      <w:r w:rsidR="00656F1D" w:rsidRPr="00EA2DB0">
        <w:rPr>
          <w:sz w:val="24"/>
          <w:szCs w:val="24"/>
        </w:rPr>
        <w:t>of</w:t>
      </w:r>
      <w:r w:rsidRPr="00EA2DB0">
        <w:rPr>
          <w:sz w:val="24"/>
          <w:szCs w:val="24"/>
        </w:rPr>
        <w:t xml:space="preserve"> a private matter being sought from the applicants on this collection. </w:t>
      </w:r>
    </w:p>
    <w:p w14:paraId="00862CA0" w14:textId="77777777" w:rsidR="00023A1E" w:rsidRPr="00EA2DB0" w:rsidRDefault="00023A1E">
      <w:pPr>
        <w:suppressAutoHyphens/>
        <w:ind w:left="720"/>
        <w:rPr>
          <w:sz w:val="24"/>
          <w:szCs w:val="24"/>
        </w:rPr>
      </w:pPr>
    </w:p>
    <w:p w14:paraId="366A99DE" w14:textId="77777777" w:rsidR="00023A1E" w:rsidRPr="00EA2DB0" w:rsidRDefault="00023A1E">
      <w:pPr>
        <w:suppressAutoHyphens/>
        <w:rPr>
          <w:sz w:val="24"/>
          <w:szCs w:val="24"/>
        </w:rPr>
      </w:pPr>
      <w:r w:rsidRPr="00EA2DB0">
        <w:rPr>
          <w:sz w:val="24"/>
          <w:szCs w:val="24"/>
        </w:rPr>
        <w:t>12.  The Commission has derived the following estimates of the burden on respondents:</w:t>
      </w:r>
    </w:p>
    <w:p w14:paraId="329DA5C7" w14:textId="77777777" w:rsidR="00023A1E" w:rsidRPr="00EA2DB0" w:rsidRDefault="00EC4092" w:rsidP="00EC4092">
      <w:pPr>
        <w:tabs>
          <w:tab w:val="left" w:pos="3420"/>
        </w:tabs>
        <w:suppressAutoHyphens/>
        <w:rPr>
          <w:sz w:val="24"/>
          <w:szCs w:val="24"/>
        </w:rPr>
      </w:pPr>
      <w:r w:rsidRPr="00EA2DB0">
        <w:rPr>
          <w:sz w:val="24"/>
          <w:szCs w:val="24"/>
        </w:rPr>
        <w:tab/>
      </w:r>
    </w:p>
    <w:p w14:paraId="282B16E1" w14:textId="464540EB" w:rsidR="00B01FDC" w:rsidRDefault="00B01FDC" w:rsidP="00B01FDC">
      <w:pPr>
        <w:suppressAutoHyphens/>
      </w:pPr>
      <w:r w:rsidRPr="001634CE">
        <w:rPr>
          <w:b/>
          <w:i/>
          <w:sz w:val="24"/>
        </w:rPr>
        <w:t xml:space="preserve">a. </w:t>
      </w:r>
      <w:r w:rsidRPr="001634CE">
        <w:rPr>
          <w:b/>
          <w:i/>
          <w:sz w:val="24"/>
          <w:u w:val="single"/>
        </w:rPr>
        <w:t xml:space="preserve">47 C.F.R. </w:t>
      </w:r>
      <w:r w:rsidRPr="001634CE">
        <w:rPr>
          <w:b/>
          <w:sz w:val="24"/>
          <w:u w:val="single"/>
        </w:rPr>
        <w:t xml:space="preserve">§ </w:t>
      </w:r>
      <w:r w:rsidRPr="001634CE">
        <w:rPr>
          <w:b/>
          <w:i/>
          <w:sz w:val="24"/>
          <w:u w:val="single"/>
        </w:rPr>
        <w:t>90.523 - Eligibility</w:t>
      </w:r>
      <w:r>
        <w:rPr>
          <w:i/>
          <w:sz w:val="24"/>
        </w:rPr>
        <w:t>.</w:t>
      </w:r>
      <w:r>
        <w:rPr>
          <w:sz w:val="24"/>
        </w:rPr>
        <w:t xml:space="preserve">   Filing by non-governmental entities:  </w:t>
      </w:r>
    </w:p>
    <w:p w14:paraId="1819780D" w14:textId="77777777" w:rsidR="00B01FDC" w:rsidRDefault="00B01FDC" w:rsidP="00B01FDC">
      <w:pPr>
        <w:suppressAutoHyphens/>
      </w:pPr>
    </w:p>
    <w:p w14:paraId="241F5B0C" w14:textId="77777777" w:rsidR="00B01FDC" w:rsidRDefault="00B01FDC" w:rsidP="00B01FDC">
      <w:pPr>
        <w:suppressAutoHyphens/>
      </w:pPr>
      <w:r>
        <w:t>Based on a search of the Commission’s licensing database</w:t>
      </w:r>
      <w:smartTag w:uri="urn:schemas-microsoft-com:office:smarttags" w:element="PersonName">
        <w:r>
          <w:t>,</w:t>
        </w:r>
      </w:smartTag>
      <w:r>
        <w:t xml:space="preserve"> staff believes 3 non-governmental entities per year are applying for 700 MHz narrowband public safety spectrum.  We </w:t>
      </w:r>
      <w:r>
        <w:rPr>
          <w:szCs w:val="22"/>
          <w:shd w:val="clear" w:color="auto" w:fill="FFFFFF"/>
        </w:rPr>
        <w:t>also estimate that copies of approximately 100% of these applications are filed electronically with state or local governmental entities per year.</w:t>
      </w:r>
      <w:r>
        <w:t xml:space="preserve">   </w:t>
      </w:r>
    </w:p>
    <w:p w14:paraId="61F4AA68" w14:textId="77777777" w:rsidR="00B01FDC" w:rsidRDefault="00B01FDC" w:rsidP="00B01FDC">
      <w:pPr>
        <w:suppressAutoHyphens/>
      </w:pPr>
    </w:p>
    <w:p w14:paraId="023A49D4" w14:textId="77777777" w:rsidR="00B01FDC" w:rsidRDefault="00B01FDC" w:rsidP="00B01FDC">
      <w:pPr>
        <w:pStyle w:val="BodyTextIndent2"/>
        <w:spacing w:line="240" w:lineRule="auto"/>
        <w:ind w:left="0"/>
        <w:rPr>
          <w:szCs w:val="22"/>
        </w:rPr>
      </w:pPr>
      <w:r>
        <w:rPr>
          <w:szCs w:val="22"/>
        </w:rPr>
        <w:t xml:space="preserve">The time required for electronic filing is estimated to be 1 hour per transaction (1 hour) for a total annual burden of 3 hours annually:  </w:t>
      </w:r>
    </w:p>
    <w:p w14:paraId="112EE8AA" w14:textId="77777777" w:rsidR="00B01FDC" w:rsidRDefault="00B01FDC" w:rsidP="00B01FDC">
      <w:pPr>
        <w:rPr>
          <w:szCs w:val="22"/>
        </w:rPr>
      </w:pPr>
      <w:r>
        <w:rPr>
          <w:szCs w:val="22"/>
        </w:rPr>
        <w:t xml:space="preserve">1 hour x 3 = </w:t>
      </w:r>
      <w:r>
        <w:rPr>
          <w:b/>
          <w:szCs w:val="22"/>
        </w:rPr>
        <w:t xml:space="preserve">3 hours. </w:t>
      </w:r>
      <w:r>
        <w:rPr>
          <w:szCs w:val="22"/>
        </w:rPr>
        <w:t xml:space="preserve"> </w:t>
      </w:r>
    </w:p>
    <w:p w14:paraId="4FA08066" w14:textId="77777777" w:rsidR="00B01FDC" w:rsidRDefault="00B01FDC" w:rsidP="00B01FDC">
      <w:pPr>
        <w:rPr>
          <w:szCs w:val="22"/>
        </w:rPr>
      </w:pPr>
    </w:p>
    <w:p w14:paraId="5B6AB433" w14:textId="77777777" w:rsidR="00B01FDC" w:rsidRDefault="00B01FDC" w:rsidP="00B01FDC">
      <w:pPr>
        <w:rPr>
          <w:szCs w:val="22"/>
        </w:rPr>
      </w:pPr>
      <w:r>
        <w:rPr>
          <w:szCs w:val="22"/>
        </w:rPr>
        <w:t>We estimate that the applications will be filed electronically with state or local government. In this latter case</w:t>
      </w:r>
      <w:smartTag w:uri="urn:schemas-microsoft-com:office:smarttags" w:element="PersonName">
        <w:r>
          <w:rPr>
            <w:szCs w:val="22"/>
          </w:rPr>
          <w:t>,</w:t>
        </w:r>
      </w:smartTag>
      <w:r>
        <w:rPr>
          <w:szCs w:val="22"/>
        </w:rPr>
        <w:t xml:space="preserve"> the state or local government will generally electronically file a statement certifying that the NGO is eligible to hold a 700 MHz license.  The estimated time to electronically file each supporting statement will be 1 hour for a total annual burden of 3 hours:</w:t>
      </w:r>
    </w:p>
    <w:p w14:paraId="278FFEFE" w14:textId="77777777" w:rsidR="00B01FDC" w:rsidRDefault="00B01FDC" w:rsidP="00B01FDC">
      <w:pPr>
        <w:suppressAutoHyphens/>
      </w:pPr>
    </w:p>
    <w:p w14:paraId="5A36106B" w14:textId="77777777" w:rsidR="00B01FDC" w:rsidRDefault="00B01FDC" w:rsidP="00B01FDC">
      <w:pPr>
        <w:rPr>
          <w:szCs w:val="22"/>
        </w:rPr>
      </w:pPr>
      <w:r w:rsidRPr="00276022">
        <w:rPr>
          <w:b/>
          <w:szCs w:val="22"/>
        </w:rPr>
        <w:t>1 hour x 3 = 3</w:t>
      </w:r>
      <w:r>
        <w:rPr>
          <w:b/>
          <w:szCs w:val="22"/>
        </w:rPr>
        <w:t xml:space="preserve"> hours. </w:t>
      </w:r>
      <w:r>
        <w:rPr>
          <w:szCs w:val="22"/>
        </w:rPr>
        <w:t xml:space="preserve"> </w:t>
      </w:r>
    </w:p>
    <w:p w14:paraId="6720B0E9" w14:textId="77777777" w:rsidR="00B01FDC" w:rsidRDefault="00B01FDC" w:rsidP="00B01FDC">
      <w:pPr>
        <w:suppressAutoHyphens/>
      </w:pPr>
    </w:p>
    <w:p w14:paraId="6C2FC4E4" w14:textId="77777777" w:rsidR="00B01FDC" w:rsidRDefault="00B01FDC" w:rsidP="00B01FDC">
      <w:pPr>
        <w:rPr>
          <w:b/>
          <w:szCs w:val="22"/>
        </w:rPr>
      </w:pPr>
      <w:r>
        <w:rPr>
          <w:b/>
          <w:szCs w:val="22"/>
        </w:rPr>
        <w:t>Number of Respondents: 6.</w:t>
      </w:r>
    </w:p>
    <w:p w14:paraId="7FA14E65" w14:textId="77777777" w:rsidR="00B01FDC" w:rsidRDefault="00B01FDC" w:rsidP="00B01FDC">
      <w:pPr>
        <w:ind w:left="360"/>
        <w:rPr>
          <w:b/>
          <w:szCs w:val="22"/>
        </w:rPr>
      </w:pPr>
    </w:p>
    <w:p w14:paraId="6A49645C" w14:textId="77777777" w:rsidR="00B01FDC" w:rsidRDefault="00B01FDC" w:rsidP="00B01FDC">
      <w:pPr>
        <w:rPr>
          <w:b/>
          <w:szCs w:val="22"/>
        </w:rPr>
      </w:pPr>
      <w:r>
        <w:rPr>
          <w:b/>
          <w:szCs w:val="22"/>
        </w:rPr>
        <w:t>Number of Responses Annually: 6.</w:t>
      </w:r>
    </w:p>
    <w:p w14:paraId="1C9C1E60" w14:textId="77777777" w:rsidR="00B01FDC" w:rsidRDefault="00B01FDC" w:rsidP="00B01FDC">
      <w:pPr>
        <w:ind w:left="360"/>
        <w:rPr>
          <w:b/>
          <w:szCs w:val="22"/>
        </w:rPr>
      </w:pPr>
    </w:p>
    <w:p w14:paraId="2C461381" w14:textId="77777777" w:rsidR="00B01FDC" w:rsidRDefault="00B01FDC" w:rsidP="00B01FDC">
      <w:pPr>
        <w:rPr>
          <w:b/>
          <w:szCs w:val="22"/>
        </w:rPr>
      </w:pPr>
      <w:r>
        <w:rPr>
          <w:b/>
          <w:szCs w:val="22"/>
        </w:rPr>
        <w:t xml:space="preserve">Annual Hourly Burden: </w:t>
      </w:r>
      <w:r w:rsidRPr="00276022">
        <w:rPr>
          <w:b/>
          <w:szCs w:val="22"/>
        </w:rPr>
        <w:t>3 +3 =</w:t>
      </w:r>
      <w:r>
        <w:rPr>
          <w:b/>
          <w:szCs w:val="22"/>
        </w:rPr>
        <w:t xml:space="preserve"> 6 hours.</w:t>
      </w:r>
    </w:p>
    <w:p w14:paraId="17671269" w14:textId="77777777" w:rsidR="00B01FDC" w:rsidRDefault="00B01FDC" w:rsidP="00B01FDC">
      <w:pPr>
        <w:suppressAutoHyphens/>
      </w:pPr>
    </w:p>
    <w:p w14:paraId="6839F1C0" w14:textId="77777777" w:rsidR="00B01FDC" w:rsidRDefault="00B01FDC" w:rsidP="00B01FDC">
      <w:pPr>
        <w:rPr>
          <w:szCs w:val="22"/>
          <w:shd w:val="clear" w:color="auto" w:fill="FFFFFF"/>
        </w:rPr>
      </w:pPr>
      <w:r>
        <w:rPr>
          <w:szCs w:val="22"/>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14:paraId="11FC4804" w14:textId="77777777" w:rsidR="00B01FDC" w:rsidRDefault="00B01FDC" w:rsidP="00B01FDC">
      <w:pPr>
        <w:ind w:left="360"/>
        <w:rPr>
          <w:szCs w:val="22"/>
          <w:shd w:val="clear" w:color="auto" w:fill="FFFFFF"/>
        </w:rPr>
      </w:pPr>
    </w:p>
    <w:p w14:paraId="16637F32" w14:textId="77777777" w:rsidR="00B01FDC" w:rsidRDefault="00B01FDC" w:rsidP="00B01FDC">
      <w:pPr>
        <w:rPr>
          <w:szCs w:val="22"/>
          <w:shd w:val="clear" w:color="auto" w:fill="FFFFFF"/>
        </w:rPr>
      </w:pPr>
      <w:r>
        <w:rPr>
          <w:b/>
          <w:szCs w:val="22"/>
          <w:shd w:val="clear" w:color="auto" w:fill="FFFFFF"/>
        </w:rPr>
        <w:t>“In-House Cost”</w:t>
      </w:r>
      <w:r>
        <w:rPr>
          <w:szCs w:val="22"/>
          <w:shd w:val="clear" w:color="auto" w:fill="FFFFFF"/>
        </w:rPr>
        <w:t>:  The Commission estimates that NGO</w:t>
      </w:r>
      <w:smartTag w:uri="urn:schemas-microsoft-com:office:smarttags" w:element="PersonName">
        <w:r>
          <w:rPr>
            <w:szCs w:val="22"/>
            <w:shd w:val="clear" w:color="auto" w:fill="FFFFFF"/>
          </w:rPr>
          <w:t>,</w:t>
        </w:r>
      </w:smartTag>
      <w:r>
        <w:rPr>
          <w:szCs w:val="22"/>
          <w:shd w:val="clear" w:color="auto" w:fill="FFFFFF"/>
        </w:rPr>
        <w:t xml:space="preserve"> state and local government personnel will be paid an hourly rate of $40 per hour to fulfill the requirements contained in this collection.  </w:t>
      </w:r>
    </w:p>
    <w:p w14:paraId="02136E6B" w14:textId="77777777" w:rsidR="00B01FDC" w:rsidRDefault="00B01FDC" w:rsidP="00B01FDC">
      <w:pPr>
        <w:ind w:left="360"/>
        <w:rPr>
          <w:b/>
          <w:szCs w:val="22"/>
          <w:shd w:val="clear" w:color="auto" w:fill="FFFFFF"/>
        </w:rPr>
      </w:pPr>
    </w:p>
    <w:p w14:paraId="4E181224" w14:textId="7EF8D37D" w:rsidR="00023A1E" w:rsidRPr="00276022" w:rsidRDefault="00B01FDC" w:rsidP="00276022">
      <w:pPr>
        <w:pStyle w:val="BodyTextIndent2"/>
        <w:ind w:left="0"/>
        <w:rPr>
          <w:b/>
          <w:szCs w:val="22"/>
        </w:rPr>
      </w:pPr>
      <w:r>
        <w:rPr>
          <w:b/>
          <w:szCs w:val="22"/>
        </w:rPr>
        <w:t>Total Annual “In</w:t>
      </w:r>
      <w:r w:rsidR="00276022">
        <w:rPr>
          <w:b/>
          <w:szCs w:val="22"/>
        </w:rPr>
        <w:t>-</w:t>
      </w:r>
      <w:r>
        <w:rPr>
          <w:b/>
          <w:szCs w:val="22"/>
        </w:rPr>
        <w:t>House” Cost</w:t>
      </w:r>
      <w:r w:rsidRPr="003C47F3">
        <w:rPr>
          <w:b/>
          <w:szCs w:val="22"/>
        </w:rPr>
        <w:t>:  6 burden hours x $40 per hour =</w:t>
      </w:r>
      <w:r>
        <w:rPr>
          <w:szCs w:val="22"/>
        </w:rPr>
        <w:t xml:space="preserve"> </w:t>
      </w:r>
      <w:r>
        <w:rPr>
          <w:b/>
          <w:szCs w:val="22"/>
        </w:rPr>
        <w:t>$240</w:t>
      </w:r>
    </w:p>
    <w:p w14:paraId="5B39A0C4" w14:textId="69D855DA" w:rsidR="00B01FDC" w:rsidRDefault="00B01FDC" w:rsidP="00B01FDC">
      <w:pPr>
        <w:suppressAutoHyphens/>
        <w:rPr>
          <w:b/>
          <w:i/>
        </w:rPr>
      </w:pPr>
      <w:r w:rsidRPr="001634CE">
        <w:rPr>
          <w:b/>
          <w:i/>
          <w:sz w:val="24"/>
        </w:rPr>
        <w:t xml:space="preserve">b. </w:t>
      </w:r>
      <w:r w:rsidRPr="001634CE">
        <w:rPr>
          <w:b/>
          <w:i/>
          <w:sz w:val="24"/>
          <w:u w:val="single"/>
        </w:rPr>
        <w:t xml:space="preserve">47 C.F.R. </w:t>
      </w:r>
      <w:r w:rsidRPr="001634CE">
        <w:rPr>
          <w:b/>
          <w:sz w:val="24"/>
          <w:u w:val="single"/>
        </w:rPr>
        <w:t xml:space="preserve">§ </w:t>
      </w:r>
      <w:r w:rsidRPr="001634CE">
        <w:rPr>
          <w:b/>
          <w:i/>
          <w:sz w:val="24"/>
          <w:u w:val="single"/>
        </w:rPr>
        <w:t>90.527 - Regional plan requirements</w:t>
      </w:r>
      <w:r>
        <w:rPr>
          <w:i/>
          <w:sz w:val="24"/>
        </w:rPr>
        <w:t>.</w:t>
      </w:r>
      <w:r>
        <w:rPr>
          <w:i/>
        </w:rPr>
        <w:t xml:space="preserve">  </w:t>
      </w:r>
      <w:r>
        <w:rPr>
          <w:b/>
          <w:i/>
          <w:sz w:val="24"/>
        </w:rPr>
        <w:t xml:space="preserve">  </w:t>
      </w:r>
    </w:p>
    <w:p w14:paraId="4CD9548C" w14:textId="77777777" w:rsidR="00B01FDC" w:rsidRDefault="00B01FDC" w:rsidP="00B01FDC">
      <w:pPr>
        <w:suppressAutoHyphens/>
        <w:rPr>
          <w:b/>
          <w:i/>
        </w:rPr>
      </w:pPr>
    </w:p>
    <w:p w14:paraId="1DC8CC92" w14:textId="403989B4" w:rsidR="001634CE" w:rsidRDefault="00B01FDC" w:rsidP="001634CE">
      <w:pPr>
        <w:suppressAutoHyphens/>
      </w:pPr>
      <w:r>
        <w:t xml:space="preserve">There are 55 Regional Planning Committees.  Based on a search of the Commission’s Electronic Comment Filing System, staff identified 49 regions that have submitted initial plans and 6 regions that have not submitted initial plans.  These 49 regions may modify their FCC-approved plans.    </w:t>
      </w:r>
    </w:p>
    <w:p w14:paraId="7A649E12" w14:textId="77777777" w:rsidR="001634CE" w:rsidRPr="001634CE" w:rsidRDefault="001634CE" w:rsidP="001634CE">
      <w:pPr>
        <w:suppressAutoHyphens/>
      </w:pPr>
    </w:p>
    <w:p w14:paraId="733FA133" w14:textId="6D908DC3" w:rsidR="00B01FDC" w:rsidRDefault="00B01FDC" w:rsidP="001634CE">
      <w:pPr>
        <w:pStyle w:val="BodyTextIndent2"/>
        <w:spacing w:line="240" w:lineRule="auto"/>
        <w:ind w:left="0"/>
        <w:rPr>
          <w:szCs w:val="22"/>
        </w:rPr>
      </w:pPr>
      <w:r>
        <w:rPr>
          <w:szCs w:val="22"/>
        </w:rPr>
        <w:t>The time required for preparation and electronic filing of each regional pl</w:t>
      </w:r>
      <w:r w:rsidR="001634CE">
        <w:rPr>
          <w:szCs w:val="22"/>
        </w:rPr>
        <w:t xml:space="preserve">an or modification is estimated </w:t>
      </w:r>
      <w:r>
        <w:rPr>
          <w:szCs w:val="22"/>
        </w:rPr>
        <w:t xml:space="preserve">to be 628 hours per transaction for a total annual burden of 34,540 hours annually 628 hour x 55 = </w:t>
      </w:r>
      <w:r>
        <w:rPr>
          <w:b/>
          <w:szCs w:val="22"/>
        </w:rPr>
        <w:t xml:space="preserve">34,540 hours. </w:t>
      </w:r>
      <w:r>
        <w:rPr>
          <w:szCs w:val="22"/>
        </w:rPr>
        <w:t xml:space="preserve"> </w:t>
      </w:r>
    </w:p>
    <w:p w14:paraId="6B1818BC" w14:textId="77777777" w:rsidR="00B01FDC" w:rsidRDefault="00B01FDC" w:rsidP="00B01FDC">
      <w:pPr>
        <w:rPr>
          <w:szCs w:val="22"/>
        </w:rPr>
      </w:pPr>
      <w:r>
        <w:rPr>
          <w:szCs w:val="22"/>
        </w:rPr>
        <w:lastRenderedPageBreak/>
        <w:t>We estimate that each regional planning committee will solicit information from state</w:t>
      </w:r>
      <w:smartTag w:uri="urn:schemas-microsoft-com:office:smarttags" w:element="PersonName">
        <w:r>
          <w:rPr>
            <w:szCs w:val="22"/>
          </w:rPr>
          <w:t>,</w:t>
        </w:r>
      </w:smartTag>
      <w:r>
        <w:rPr>
          <w:szCs w:val="22"/>
        </w:rPr>
        <w:t xml:space="preserve"> local</w:t>
      </w:r>
      <w:smartTag w:uri="urn:schemas-microsoft-com:office:smarttags" w:element="PersonName">
        <w:r>
          <w:rPr>
            <w:szCs w:val="22"/>
          </w:rPr>
          <w:t>,</w:t>
        </w:r>
      </w:smartTag>
      <w:r>
        <w:rPr>
          <w:szCs w:val="22"/>
        </w:rPr>
        <w:t xml:space="preserve"> tribal governmental entities as well as non-governmental entities in developing initial plans and plan modifications.  In this latter case</w:t>
      </w:r>
      <w:smartTag w:uri="urn:schemas-microsoft-com:office:smarttags" w:element="PersonName">
        <w:r>
          <w:rPr>
            <w:szCs w:val="22"/>
          </w:rPr>
          <w:t>,</w:t>
        </w:r>
      </w:smartTag>
      <w:r>
        <w:rPr>
          <w:szCs w:val="22"/>
        </w:rPr>
        <w:t xml:space="preserve"> we estimate that each regional planning committee will solicit information from approximately 20 state</w:t>
      </w:r>
      <w:smartTag w:uri="urn:schemas-microsoft-com:office:smarttags" w:element="PersonName">
        <w:r>
          <w:rPr>
            <w:szCs w:val="22"/>
          </w:rPr>
          <w:t>,</w:t>
        </w:r>
      </w:smartTag>
      <w:r>
        <w:rPr>
          <w:szCs w:val="22"/>
        </w:rPr>
        <w:t xml:space="preserve"> local</w:t>
      </w:r>
      <w:smartTag w:uri="urn:schemas-microsoft-com:office:smarttags" w:element="PersonName">
        <w:r>
          <w:rPr>
            <w:szCs w:val="22"/>
          </w:rPr>
          <w:t>,</w:t>
        </w:r>
      </w:smartTag>
      <w:r>
        <w:rPr>
          <w:szCs w:val="22"/>
        </w:rPr>
        <w:t xml:space="preserve"> tribal governmental entities and non-governmental entities generating approximately 1</w:t>
      </w:r>
      <w:smartTag w:uri="urn:schemas-microsoft-com:office:smarttags" w:element="PersonName">
        <w:r>
          <w:rPr>
            <w:szCs w:val="22"/>
          </w:rPr>
          <w:t>,</w:t>
        </w:r>
      </w:smartTag>
      <w:r>
        <w:rPr>
          <w:szCs w:val="22"/>
        </w:rPr>
        <w:t>100 responses.  The estimated time to electronically file each response will be 1 hour for a total annual burden of 1</w:t>
      </w:r>
      <w:smartTag w:uri="urn:schemas-microsoft-com:office:smarttags" w:element="PersonName">
        <w:r>
          <w:rPr>
            <w:szCs w:val="22"/>
          </w:rPr>
          <w:t>,</w:t>
        </w:r>
      </w:smartTag>
      <w:r>
        <w:rPr>
          <w:szCs w:val="22"/>
        </w:rPr>
        <w:t>100 hours:</w:t>
      </w:r>
    </w:p>
    <w:p w14:paraId="1679E434" w14:textId="77777777" w:rsidR="00B01FDC" w:rsidRDefault="00B01FDC" w:rsidP="00B01FDC">
      <w:pPr>
        <w:suppressAutoHyphens/>
      </w:pPr>
    </w:p>
    <w:p w14:paraId="5D3454C3" w14:textId="77777777" w:rsidR="00B01FDC" w:rsidRDefault="00B01FDC" w:rsidP="00B01FDC">
      <w:pPr>
        <w:rPr>
          <w:szCs w:val="22"/>
        </w:rPr>
      </w:pPr>
      <w:r w:rsidRPr="00276022">
        <w:rPr>
          <w:b/>
          <w:szCs w:val="22"/>
        </w:rPr>
        <w:t>1 hour x 11,000 = 1,</w:t>
      </w:r>
      <w:r>
        <w:rPr>
          <w:b/>
          <w:szCs w:val="22"/>
        </w:rPr>
        <w:t xml:space="preserve">100 hours. </w:t>
      </w:r>
      <w:r>
        <w:rPr>
          <w:szCs w:val="22"/>
        </w:rPr>
        <w:t xml:space="preserve"> </w:t>
      </w:r>
    </w:p>
    <w:p w14:paraId="3BA4ADAF" w14:textId="77777777" w:rsidR="00B01FDC" w:rsidRDefault="00B01FDC" w:rsidP="00B01FDC">
      <w:pPr>
        <w:suppressAutoHyphens/>
      </w:pPr>
    </w:p>
    <w:p w14:paraId="37A7DB2E" w14:textId="77777777" w:rsidR="00B01FDC" w:rsidRDefault="00B01FDC" w:rsidP="00B01FDC">
      <w:pPr>
        <w:rPr>
          <w:b/>
          <w:szCs w:val="22"/>
        </w:rPr>
      </w:pPr>
      <w:r>
        <w:rPr>
          <w:b/>
          <w:szCs w:val="22"/>
        </w:rPr>
        <w:t>Number of Respondents: 1</w:t>
      </w:r>
      <w:smartTag w:uri="urn:schemas-microsoft-com:office:smarttags" w:element="PersonName">
        <w:r>
          <w:rPr>
            <w:b/>
            <w:szCs w:val="22"/>
          </w:rPr>
          <w:t>,</w:t>
        </w:r>
      </w:smartTag>
      <w:r>
        <w:rPr>
          <w:b/>
          <w:szCs w:val="22"/>
        </w:rPr>
        <w:t>155.</w:t>
      </w:r>
    </w:p>
    <w:p w14:paraId="3D904DED" w14:textId="77777777" w:rsidR="00B01FDC" w:rsidRDefault="00B01FDC" w:rsidP="00B01FDC">
      <w:pPr>
        <w:ind w:left="360"/>
        <w:rPr>
          <w:b/>
          <w:szCs w:val="22"/>
        </w:rPr>
      </w:pPr>
    </w:p>
    <w:p w14:paraId="640A4B3F" w14:textId="77777777" w:rsidR="00B01FDC" w:rsidRDefault="00B01FDC" w:rsidP="00B01FDC">
      <w:pPr>
        <w:rPr>
          <w:b/>
          <w:szCs w:val="22"/>
        </w:rPr>
      </w:pPr>
      <w:r>
        <w:rPr>
          <w:b/>
          <w:szCs w:val="22"/>
        </w:rPr>
        <w:t>Number of Responses Annually: 1</w:t>
      </w:r>
      <w:smartTag w:uri="urn:schemas-microsoft-com:office:smarttags" w:element="PersonName">
        <w:r>
          <w:rPr>
            <w:b/>
            <w:szCs w:val="22"/>
          </w:rPr>
          <w:t>,</w:t>
        </w:r>
      </w:smartTag>
      <w:r>
        <w:rPr>
          <w:b/>
          <w:szCs w:val="22"/>
        </w:rPr>
        <w:t>155.</w:t>
      </w:r>
    </w:p>
    <w:p w14:paraId="79F59B08" w14:textId="77777777" w:rsidR="00B01FDC" w:rsidRDefault="00B01FDC" w:rsidP="00B01FDC">
      <w:pPr>
        <w:ind w:left="360"/>
        <w:rPr>
          <w:b/>
          <w:szCs w:val="22"/>
        </w:rPr>
      </w:pPr>
    </w:p>
    <w:p w14:paraId="5E49785E" w14:textId="77777777" w:rsidR="00B01FDC" w:rsidRDefault="00B01FDC" w:rsidP="00B01FDC">
      <w:pPr>
        <w:rPr>
          <w:b/>
          <w:szCs w:val="22"/>
        </w:rPr>
      </w:pPr>
      <w:r>
        <w:rPr>
          <w:b/>
          <w:szCs w:val="22"/>
        </w:rPr>
        <w:t xml:space="preserve">Annual Hourly Burden: </w:t>
      </w:r>
      <w:r w:rsidRPr="00276022">
        <w:rPr>
          <w:b/>
          <w:szCs w:val="22"/>
        </w:rPr>
        <w:t>34,540 +1,100</w:t>
      </w:r>
      <w:r>
        <w:rPr>
          <w:szCs w:val="22"/>
        </w:rPr>
        <w:t xml:space="preserve"> =</w:t>
      </w:r>
      <w:r>
        <w:rPr>
          <w:b/>
          <w:szCs w:val="22"/>
        </w:rPr>
        <w:t xml:space="preserve"> 35</w:t>
      </w:r>
      <w:smartTag w:uri="urn:schemas-microsoft-com:office:smarttags" w:element="PersonName">
        <w:r>
          <w:rPr>
            <w:b/>
            <w:szCs w:val="22"/>
          </w:rPr>
          <w:t>,</w:t>
        </w:r>
      </w:smartTag>
      <w:r>
        <w:rPr>
          <w:b/>
          <w:szCs w:val="22"/>
        </w:rPr>
        <w:t>640 hours.</w:t>
      </w:r>
    </w:p>
    <w:p w14:paraId="439B8EBB" w14:textId="77777777" w:rsidR="00B01FDC" w:rsidRDefault="00B01FDC" w:rsidP="00B01FDC">
      <w:pPr>
        <w:ind w:left="360"/>
        <w:rPr>
          <w:szCs w:val="22"/>
          <w:shd w:val="clear" w:color="auto" w:fill="FFFFFF"/>
        </w:rPr>
      </w:pPr>
    </w:p>
    <w:p w14:paraId="41BF7AF1" w14:textId="77777777" w:rsidR="00B01FDC" w:rsidRDefault="00B01FDC" w:rsidP="00B01FDC">
      <w:pPr>
        <w:rPr>
          <w:szCs w:val="22"/>
          <w:shd w:val="clear" w:color="auto" w:fill="FFFFFF"/>
        </w:rPr>
      </w:pPr>
      <w:r>
        <w:rPr>
          <w:b/>
          <w:szCs w:val="22"/>
          <w:shd w:val="clear" w:color="auto" w:fill="FFFFFF"/>
        </w:rPr>
        <w:t>“In-House Cost”</w:t>
      </w:r>
      <w:r>
        <w:rPr>
          <w:szCs w:val="22"/>
          <w:shd w:val="clear" w:color="auto" w:fill="FFFFFF"/>
        </w:rPr>
        <w:t>:  The Commission estimates that regional planning committees</w:t>
      </w:r>
      <w:smartTag w:uri="urn:schemas-microsoft-com:office:smarttags" w:element="PersonName">
        <w:r>
          <w:rPr>
            <w:szCs w:val="22"/>
            <w:shd w:val="clear" w:color="auto" w:fill="FFFFFF"/>
          </w:rPr>
          <w:t>,</w:t>
        </w:r>
      </w:smartTag>
      <w:r>
        <w:rPr>
          <w:szCs w:val="22"/>
          <w:shd w:val="clear" w:color="auto" w:fill="FFFFFF"/>
        </w:rPr>
        <w:t xml:space="preserve"> state and local government personnel will be unpaid volunteer staff or will be paid an hourly rate of $40 per hour to fulfill the requirements contained in this collection.</w:t>
      </w:r>
    </w:p>
    <w:p w14:paraId="69DC55AD" w14:textId="77777777" w:rsidR="00B01FDC" w:rsidRDefault="00B01FDC" w:rsidP="00B01FDC">
      <w:pPr>
        <w:ind w:left="360"/>
        <w:rPr>
          <w:b/>
          <w:szCs w:val="22"/>
          <w:shd w:val="clear" w:color="auto" w:fill="FFFFFF"/>
        </w:rPr>
      </w:pPr>
    </w:p>
    <w:p w14:paraId="3AF66EF3" w14:textId="19AF915F" w:rsidR="00656F1D" w:rsidRPr="00276022" w:rsidRDefault="00B01FDC" w:rsidP="00276022">
      <w:pPr>
        <w:pStyle w:val="BodyTextIndent2"/>
        <w:ind w:left="0"/>
        <w:rPr>
          <w:b/>
          <w:szCs w:val="22"/>
        </w:rPr>
      </w:pPr>
      <w:r w:rsidRPr="00276022">
        <w:rPr>
          <w:b/>
          <w:szCs w:val="22"/>
        </w:rPr>
        <w:t>Total Annual “In</w:t>
      </w:r>
      <w:r w:rsidR="00276022">
        <w:rPr>
          <w:b/>
          <w:szCs w:val="22"/>
        </w:rPr>
        <w:t>-</w:t>
      </w:r>
      <w:r w:rsidRPr="00276022">
        <w:rPr>
          <w:b/>
          <w:szCs w:val="22"/>
        </w:rPr>
        <w:t>House” Cost:  35,640 burden hours x $40 per hour = $1,425,600</w:t>
      </w:r>
    </w:p>
    <w:p w14:paraId="22A998A6" w14:textId="77777777" w:rsidR="00B01FDC" w:rsidRPr="001634CE" w:rsidRDefault="00B01FDC" w:rsidP="00B01FDC">
      <w:pPr>
        <w:tabs>
          <w:tab w:val="left" w:pos="-720"/>
        </w:tabs>
        <w:suppressAutoHyphens/>
        <w:rPr>
          <w:b/>
          <w:i/>
        </w:rPr>
      </w:pPr>
      <w:r w:rsidRPr="001634CE">
        <w:rPr>
          <w:b/>
          <w:i/>
          <w:sz w:val="24"/>
        </w:rPr>
        <w:t>c.</w:t>
      </w:r>
      <w:r w:rsidRPr="001634CE">
        <w:rPr>
          <w:b/>
          <w:sz w:val="24"/>
        </w:rPr>
        <w:t xml:space="preserve">   </w:t>
      </w:r>
      <w:r w:rsidRPr="001634CE">
        <w:rPr>
          <w:b/>
          <w:i/>
          <w:sz w:val="24"/>
          <w:u w:val="single"/>
        </w:rPr>
        <w:t xml:space="preserve">47 C.F.R. </w:t>
      </w:r>
      <w:r w:rsidRPr="001634CE">
        <w:rPr>
          <w:b/>
          <w:sz w:val="24"/>
          <w:u w:val="single"/>
        </w:rPr>
        <w:t xml:space="preserve">§ </w:t>
      </w:r>
      <w:r w:rsidRPr="001634CE">
        <w:rPr>
          <w:b/>
          <w:i/>
          <w:sz w:val="24"/>
          <w:u w:val="single"/>
        </w:rPr>
        <w:t>90.1211 - Regional Plan</w:t>
      </w:r>
      <w:r w:rsidRPr="001634CE">
        <w:rPr>
          <w:b/>
          <w:i/>
          <w:sz w:val="24"/>
        </w:rPr>
        <w:t xml:space="preserve">. </w:t>
      </w:r>
    </w:p>
    <w:p w14:paraId="5F51DDE9" w14:textId="77777777" w:rsidR="00B01FDC" w:rsidRDefault="00B01FDC" w:rsidP="00B01FDC">
      <w:pPr>
        <w:tabs>
          <w:tab w:val="left" w:pos="-720"/>
        </w:tabs>
        <w:suppressAutoHyphens/>
        <w:rPr>
          <w:i/>
        </w:rPr>
      </w:pPr>
    </w:p>
    <w:p w14:paraId="62BB2A08" w14:textId="77777777" w:rsidR="00B01FDC" w:rsidRDefault="00B01FDC" w:rsidP="00B01FDC">
      <w:pPr>
        <w:tabs>
          <w:tab w:val="left" w:pos="-720"/>
        </w:tabs>
        <w:suppressAutoHyphens/>
        <w:rPr>
          <w:szCs w:val="22"/>
        </w:rPr>
      </w:pPr>
      <w:r>
        <w:rPr>
          <w:szCs w:val="22"/>
        </w:rPr>
        <w:t>There are 55 Regional Planning Committees.  Based on a search of the Commission’s Electronic Comment Filing System</w:t>
      </w:r>
      <w:smartTag w:uri="urn:schemas-microsoft-com:office:smarttags" w:element="PersonName">
        <w:r>
          <w:rPr>
            <w:szCs w:val="22"/>
          </w:rPr>
          <w:t>,</w:t>
        </w:r>
      </w:smartTag>
      <w:r>
        <w:rPr>
          <w:szCs w:val="22"/>
        </w:rPr>
        <w:t xml:space="preserve"> staff identified 11 regions that have submitted initial plans and 44 regions that have not submitted initial plans.  The Commission has stayed this requirement indefinitely</w:t>
      </w:r>
      <w:smartTag w:uri="urn:schemas-microsoft-com:office:smarttags" w:element="PersonName">
        <w:r>
          <w:rPr>
            <w:szCs w:val="22"/>
          </w:rPr>
          <w:t>,</w:t>
        </w:r>
      </w:smartTag>
      <w:r>
        <w:rPr>
          <w:szCs w:val="22"/>
        </w:rPr>
        <w:t xml:space="preserve"> and we anticipate that the rule will be revised or deleted eventually as part of a current rulemaking proceeding focusing on the 4940-4990 MHz band</w:t>
      </w:r>
      <w:smartTag w:uri="urn:schemas-microsoft-com:office:smarttags" w:element="PersonName">
        <w:r>
          <w:rPr>
            <w:szCs w:val="22"/>
          </w:rPr>
          <w:t>,</w:t>
        </w:r>
      </w:smartTag>
      <w:r>
        <w:rPr>
          <w:szCs w:val="22"/>
        </w:rPr>
        <w:t xml:space="preserve"> PS Docket No. 07-100.  Therefore</w:t>
      </w:r>
      <w:smartTag w:uri="urn:schemas-microsoft-com:office:smarttags" w:element="PersonName">
        <w:r>
          <w:rPr>
            <w:szCs w:val="22"/>
          </w:rPr>
          <w:t>,</w:t>
        </w:r>
      </w:smartTag>
      <w:r>
        <w:rPr>
          <w:szCs w:val="22"/>
        </w:rPr>
        <w:t xml:space="preserve"> </w:t>
      </w:r>
      <w:r>
        <w:rPr>
          <w:sz w:val="24"/>
        </w:rPr>
        <w:t>we are reducing the number of possible respondents to</w:t>
      </w:r>
      <w:r>
        <w:rPr>
          <w:szCs w:val="22"/>
        </w:rPr>
        <w:t xml:space="preserve"> 11.  </w:t>
      </w:r>
    </w:p>
    <w:p w14:paraId="41484E72" w14:textId="77777777" w:rsidR="00B01FDC" w:rsidRDefault="00B01FDC" w:rsidP="00B01FDC">
      <w:pPr>
        <w:tabs>
          <w:tab w:val="left" w:pos="-720"/>
        </w:tabs>
        <w:suppressAutoHyphens/>
        <w:rPr>
          <w:szCs w:val="22"/>
        </w:rPr>
      </w:pPr>
    </w:p>
    <w:p w14:paraId="0DF64794" w14:textId="77777777" w:rsidR="00B01FDC" w:rsidRDefault="00B01FDC" w:rsidP="00B01FDC">
      <w:pPr>
        <w:pStyle w:val="BodyTextIndent2"/>
        <w:spacing w:after="0" w:line="240" w:lineRule="auto"/>
        <w:ind w:left="0"/>
        <w:rPr>
          <w:szCs w:val="22"/>
        </w:rPr>
      </w:pPr>
      <w:r>
        <w:rPr>
          <w:szCs w:val="22"/>
        </w:rPr>
        <w:t xml:space="preserve">The time required for preparation and electronic filing of each regional plan or modification is estimated to be 10 hours per transaction for a total annual burden of 110 hours annually:  </w:t>
      </w:r>
    </w:p>
    <w:p w14:paraId="3C24BC47" w14:textId="77777777" w:rsidR="00B01FDC" w:rsidRDefault="00B01FDC" w:rsidP="00B01FDC">
      <w:pPr>
        <w:rPr>
          <w:szCs w:val="22"/>
        </w:rPr>
      </w:pPr>
    </w:p>
    <w:p w14:paraId="6857BC84" w14:textId="77777777" w:rsidR="00B01FDC" w:rsidRDefault="00B01FDC" w:rsidP="00B01FDC">
      <w:pPr>
        <w:rPr>
          <w:szCs w:val="22"/>
        </w:rPr>
      </w:pPr>
      <w:r w:rsidRPr="00276022">
        <w:rPr>
          <w:b/>
          <w:szCs w:val="22"/>
        </w:rPr>
        <w:t>10 hours x 11 =</w:t>
      </w:r>
      <w:r>
        <w:rPr>
          <w:szCs w:val="22"/>
        </w:rPr>
        <w:t xml:space="preserve"> </w:t>
      </w:r>
      <w:r>
        <w:rPr>
          <w:b/>
          <w:szCs w:val="22"/>
        </w:rPr>
        <w:t xml:space="preserve">110 hours. </w:t>
      </w:r>
      <w:r>
        <w:rPr>
          <w:szCs w:val="22"/>
        </w:rPr>
        <w:t xml:space="preserve">  </w:t>
      </w:r>
    </w:p>
    <w:p w14:paraId="08E81429" w14:textId="77777777" w:rsidR="00B01FDC" w:rsidRDefault="00B01FDC" w:rsidP="00B01FDC">
      <w:pPr>
        <w:suppressAutoHyphens/>
      </w:pPr>
    </w:p>
    <w:p w14:paraId="4A5A1434" w14:textId="77777777" w:rsidR="00B01FDC" w:rsidRDefault="00B01FDC" w:rsidP="00B01FDC">
      <w:pPr>
        <w:rPr>
          <w:b/>
          <w:szCs w:val="22"/>
        </w:rPr>
      </w:pPr>
      <w:r>
        <w:rPr>
          <w:b/>
          <w:szCs w:val="22"/>
        </w:rPr>
        <w:t>Number of Respondents: 11.</w:t>
      </w:r>
    </w:p>
    <w:p w14:paraId="7CC5E847" w14:textId="77777777" w:rsidR="00B01FDC" w:rsidRDefault="00B01FDC" w:rsidP="00B01FDC">
      <w:pPr>
        <w:ind w:left="360"/>
        <w:rPr>
          <w:b/>
          <w:szCs w:val="22"/>
        </w:rPr>
      </w:pPr>
    </w:p>
    <w:p w14:paraId="4F6CE061" w14:textId="77777777" w:rsidR="00B01FDC" w:rsidRDefault="00B01FDC" w:rsidP="00B01FDC">
      <w:pPr>
        <w:rPr>
          <w:b/>
          <w:szCs w:val="22"/>
        </w:rPr>
      </w:pPr>
      <w:r>
        <w:rPr>
          <w:b/>
          <w:szCs w:val="22"/>
        </w:rPr>
        <w:t>Number of Responses Annually: 11.</w:t>
      </w:r>
    </w:p>
    <w:p w14:paraId="1EE8DB5B" w14:textId="77777777" w:rsidR="00B01FDC" w:rsidRDefault="00B01FDC" w:rsidP="00B01FDC">
      <w:pPr>
        <w:ind w:left="360"/>
        <w:rPr>
          <w:b/>
          <w:szCs w:val="22"/>
        </w:rPr>
      </w:pPr>
    </w:p>
    <w:p w14:paraId="6633FE09" w14:textId="77777777" w:rsidR="00B01FDC" w:rsidRDefault="00B01FDC" w:rsidP="00B01FDC">
      <w:pPr>
        <w:rPr>
          <w:b/>
          <w:szCs w:val="22"/>
        </w:rPr>
      </w:pPr>
      <w:r>
        <w:rPr>
          <w:b/>
          <w:szCs w:val="22"/>
        </w:rPr>
        <w:t>Annual Hourly Burden: 110 hours.</w:t>
      </w:r>
    </w:p>
    <w:p w14:paraId="73A58026" w14:textId="77777777" w:rsidR="00B01FDC" w:rsidRDefault="00B01FDC" w:rsidP="00B01FDC">
      <w:pPr>
        <w:rPr>
          <w:szCs w:val="22"/>
          <w:shd w:val="clear" w:color="auto" w:fill="FFFFFF"/>
        </w:rPr>
      </w:pPr>
    </w:p>
    <w:p w14:paraId="2F322CB0" w14:textId="77777777" w:rsidR="00B01FDC" w:rsidRDefault="00B01FDC" w:rsidP="00B01FDC">
      <w:pPr>
        <w:rPr>
          <w:szCs w:val="22"/>
          <w:shd w:val="clear" w:color="auto" w:fill="FFFFFF"/>
        </w:rPr>
      </w:pPr>
      <w:r>
        <w:rPr>
          <w:b/>
          <w:szCs w:val="22"/>
          <w:shd w:val="clear" w:color="auto" w:fill="FFFFFF"/>
        </w:rPr>
        <w:t>“In-House Cost”</w:t>
      </w:r>
      <w:r>
        <w:rPr>
          <w:szCs w:val="22"/>
          <w:shd w:val="clear" w:color="auto" w:fill="FFFFFF"/>
        </w:rPr>
        <w:t>:  The Commission estimates that regional planning committees</w:t>
      </w:r>
      <w:smartTag w:uri="urn:schemas-microsoft-com:office:smarttags" w:element="PersonName">
        <w:r>
          <w:rPr>
            <w:szCs w:val="22"/>
            <w:shd w:val="clear" w:color="auto" w:fill="FFFFFF"/>
          </w:rPr>
          <w:t>,</w:t>
        </w:r>
      </w:smartTag>
      <w:r>
        <w:rPr>
          <w:szCs w:val="22"/>
          <w:shd w:val="clear" w:color="auto" w:fill="FFFFFF"/>
        </w:rPr>
        <w:t xml:space="preserve"> state and local government personnel will be unpaid volunteer staff or will be paid an hourly rate of $40 per hour to fulfill the requirements contained in this collection.</w:t>
      </w:r>
    </w:p>
    <w:p w14:paraId="32E93195" w14:textId="77777777" w:rsidR="00B01FDC" w:rsidRDefault="00B01FDC" w:rsidP="00B01FDC">
      <w:pPr>
        <w:ind w:left="360"/>
        <w:rPr>
          <w:b/>
          <w:szCs w:val="22"/>
          <w:shd w:val="clear" w:color="auto" w:fill="FFFFFF"/>
        </w:rPr>
      </w:pPr>
    </w:p>
    <w:p w14:paraId="371FEC35" w14:textId="3F28C237" w:rsidR="00B01FDC" w:rsidRDefault="00B01FDC" w:rsidP="00B01FDC">
      <w:pPr>
        <w:pStyle w:val="BodyTextIndent2"/>
        <w:ind w:left="0"/>
        <w:rPr>
          <w:b/>
          <w:szCs w:val="22"/>
        </w:rPr>
      </w:pPr>
      <w:r>
        <w:rPr>
          <w:b/>
          <w:szCs w:val="22"/>
        </w:rPr>
        <w:t>Total Annual “In</w:t>
      </w:r>
      <w:r w:rsidR="00276022">
        <w:rPr>
          <w:b/>
          <w:szCs w:val="22"/>
        </w:rPr>
        <w:t>-</w:t>
      </w:r>
      <w:r>
        <w:rPr>
          <w:b/>
          <w:szCs w:val="22"/>
        </w:rPr>
        <w:t>House” Cost:</w:t>
      </w:r>
      <w:r>
        <w:rPr>
          <w:szCs w:val="22"/>
        </w:rPr>
        <w:t xml:space="preserve">  </w:t>
      </w:r>
      <w:r w:rsidRPr="00276022">
        <w:rPr>
          <w:b/>
          <w:szCs w:val="22"/>
        </w:rPr>
        <w:t>110 burden hours x $40 per hour =</w:t>
      </w:r>
      <w:r>
        <w:rPr>
          <w:szCs w:val="22"/>
        </w:rPr>
        <w:t xml:space="preserve"> </w:t>
      </w:r>
      <w:r>
        <w:rPr>
          <w:b/>
          <w:szCs w:val="22"/>
        </w:rPr>
        <w:t>$4,400</w:t>
      </w:r>
    </w:p>
    <w:p w14:paraId="5EB5873E" w14:textId="77777777" w:rsidR="00B01FDC" w:rsidRDefault="00B01FDC" w:rsidP="00B01FDC">
      <w:pPr>
        <w:pStyle w:val="BodyTextIndent2"/>
        <w:spacing w:after="0" w:line="240" w:lineRule="auto"/>
        <w:ind w:left="0"/>
        <w:rPr>
          <w:b/>
          <w:szCs w:val="22"/>
        </w:rPr>
      </w:pPr>
      <w:r>
        <w:rPr>
          <w:b/>
          <w:szCs w:val="22"/>
        </w:rPr>
        <w:lastRenderedPageBreak/>
        <w:t>Total Number of Respondents: 1,172</w:t>
      </w:r>
    </w:p>
    <w:p w14:paraId="75123521" w14:textId="77777777" w:rsidR="00B01FDC" w:rsidRDefault="00B01FDC" w:rsidP="00B01FDC">
      <w:pPr>
        <w:pStyle w:val="BodyTextIndent2"/>
        <w:spacing w:after="0" w:line="240" w:lineRule="auto"/>
        <w:ind w:left="0"/>
        <w:rPr>
          <w:b/>
          <w:szCs w:val="22"/>
        </w:rPr>
      </w:pPr>
      <w:r>
        <w:rPr>
          <w:b/>
          <w:szCs w:val="22"/>
        </w:rPr>
        <w:t>Total Number of Reponses: 1,172</w:t>
      </w:r>
    </w:p>
    <w:p w14:paraId="568D2A7F" w14:textId="77777777" w:rsidR="00B01FDC" w:rsidRDefault="00B01FDC" w:rsidP="00B01FDC">
      <w:pPr>
        <w:pStyle w:val="BodyTextIndent2"/>
        <w:spacing w:after="0" w:line="240" w:lineRule="auto"/>
        <w:ind w:left="0"/>
        <w:rPr>
          <w:b/>
          <w:szCs w:val="22"/>
        </w:rPr>
      </w:pPr>
      <w:r>
        <w:rPr>
          <w:b/>
          <w:szCs w:val="22"/>
        </w:rPr>
        <w:t>Total Annual Hourly Burden: 35,756 hours</w:t>
      </w:r>
    </w:p>
    <w:p w14:paraId="01111706" w14:textId="1587E03D" w:rsidR="001634CE" w:rsidRDefault="001634CE" w:rsidP="00B01FDC">
      <w:pPr>
        <w:pStyle w:val="BodyTextIndent2"/>
        <w:spacing w:after="0" w:line="240" w:lineRule="auto"/>
        <w:ind w:left="0"/>
        <w:rPr>
          <w:b/>
          <w:szCs w:val="22"/>
        </w:rPr>
      </w:pPr>
      <w:r>
        <w:rPr>
          <w:b/>
          <w:szCs w:val="22"/>
        </w:rPr>
        <w:t>Total In-House Cost: $240 + $1,425,600 + $4,400 = $1,430,240</w:t>
      </w:r>
    </w:p>
    <w:p w14:paraId="383A3C32" w14:textId="77777777" w:rsidR="00023A1E" w:rsidRPr="00EA2DB0" w:rsidRDefault="00023A1E">
      <w:pPr>
        <w:tabs>
          <w:tab w:val="left" w:pos="-720"/>
        </w:tabs>
        <w:suppressAutoHyphens/>
        <w:rPr>
          <w:sz w:val="24"/>
          <w:szCs w:val="24"/>
        </w:rPr>
      </w:pPr>
    </w:p>
    <w:p w14:paraId="2D242DAC" w14:textId="77777777" w:rsidR="00023A1E" w:rsidRPr="00EA2DB0" w:rsidRDefault="00023A1E">
      <w:pPr>
        <w:tabs>
          <w:tab w:val="left" w:pos="-720"/>
        </w:tabs>
        <w:suppressAutoHyphens/>
        <w:rPr>
          <w:sz w:val="24"/>
          <w:szCs w:val="24"/>
        </w:rPr>
      </w:pPr>
      <w:r w:rsidRPr="00EA2DB0">
        <w:rPr>
          <w:sz w:val="24"/>
          <w:szCs w:val="24"/>
        </w:rPr>
        <w:t xml:space="preserve">13.  The Commission believes that the development of the regional plans and the national plan, and the provision of assistance in the development of technical standards, will impose no annual cost burden on respondents from either capital or start-up costs, or from operation and maintenance of equipment, or from purchase of outside services.  The Commission believes that the public safety agencies and other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14:paraId="5FF8DB5A" w14:textId="77777777" w:rsidR="00023A1E" w:rsidRPr="00EA2DB0" w:rsidRDefault="00023A1E">
      <w:pPr>
        <w:tabs>
          <w:tab w:val="left" w:pos="-720"/>
        </w:tabs>
        <w:suppressAutoHyphens/>
        <w:rPr>
          <w:sz w:val="24"/>
          <w:szCs w:val="24"/>
        </w:rPr>
      </w:pPr>
    </w:p>
    <w:p w14:paraId="6903EA8D" w14:textId="77777777" w:rsidR="00B3456C" w:rsidRPr="00EA2DB0" w:rsidRDefault="00023A1E">
      <w:pPr>
        <w:tabs>
          <w:tab w:val="left" w:pos="-720"/>
        </w:tabs>
        <w:suppressAutoHyphens/>
        <w:rPr>
          <w:sz w:val="24"/>
          <w:szCs w:val="24"/>
        </w:rPr>
      </w:pPr>
      <w:r w:rsidRPr="00EA2DB0">
        <w:rPr>
          <w:sz w:val="24"/>
          <w:szCs w:val="24"/>
        </w:rPr>
        <w:t xml:space="preserve">14.  </w:t>
      </w:r>
      <w:r w:rsidRPr="00EA2DB0">
        <w:rPr>
          <w:sz w:val="24"/>
          <w:szCs w:val="24"/>
          <w:u w:val="single"/>
        </w:rPr>
        <w:t>Cost to Federal Government</w:t>
      </w:r>
      <w:r w:rsidRPr="00EA2DB0">
        <w:rPr>
          <w:sz w:val="24"/>
          <w:szCs w:val="24"/>
        </w:rPr>
        <w:t>.  To review all fifty-five (55) regional plans will require 2</w:t>
      </w:r>
      <w:r w:rsidR="000C73D2" w:rsidRPr="00EA2DB0">
        <w:rPr>
          <w:sz w:val="24"/>
          <w:szCs w:val="24"/>
        </w:rPr>
        <w:t>,</w:t>
      </w:r>
      <w:r w:rsidRPr="00EA2DB0">
        <w:rPr>
          <w:sz w:val="24"/>
          <w:szCs w:val="24"/>
        </w:rPr>
        <w:t xml:space="preserve">200 hours of analysis and review.  The Commission anticipates that of those 40 hours per plan, half will be performed by staff at the GS 13/5 level </w:t>
      </w:r>
      <w:r w:rsidR="00F30E2E" w:rsidRPr="00EA2DB0">
        <w:rPr>
          <w:sz w:val="24"/>
          <w:szCs w:val="24"/>
        </w:rPr>
        <w:t>($</w:t>
      </w:r>
      <w:r w:rsidR="005E117A" w:rsidRPr="00EA2DB0">
        <w:rPr>
          <w:sz w:val="24"/>
          <w:szCs w:val="24"/>
        </w:rPr>
        <w:t>51</w:t>
      </w:r>
      <w:r w:rsidR="00F30E2E" w:rsidRPr="00EA2DB0">
        <w:rPr>
          <w:sz w:val="24"/>
          <w:szCs w:val="24"/>
        </w:rPr>
        <w:t>.</w:t>
      </w:r>
      <w:r w:rsidR="005E117A" w:rsidRPr="00EA2DB0">
        <w:rPr>
          <w:sz w:val="24"/>
          <w:szCs w:val="24"/>
        </w:rPr>
        <w:t>48</w:t>
      </w:r>
      <w:r w:rsidR="00F30E2E" w:rsidRPr="00EA2DB0">
        <w:rPr>
          <w:sz w:val="24"/>
          <w:szCs w:val="24"/>
        </w:rPr>
        <w:t xml:space="preserve">/hour) </w:t>
      </w:r>
      <w:r w:rsidRPr="00EA2DB0">
        <w:rPr>
          <w:sz w:val="24"/>
          <w:szCs w:val="24"/>
        </w:rPr>
        <w:t>and half will be performed by staff at the GS 14/5 level</w:t>
      </w:r>
      <w:r w:rsidR="00F30E2E" w:rsidRPr="00EA2DB0">
        <w:rPr>
          <w:sz w:val="24"/>
          <w:szCs w:val="24"/>
        </w:rPr>
        <w:t xml:space="preserve"> ($</w:t>
      </w:r>
      <w:r w:rsidR="005E117A" w:rsidRPr="00EA2DB0">
        <w:rPr>
          <w:sz w:val="24"/>
          <w:szCs w:val="24"/>
        </w:rPr>
        <w:t>60</w:t>
      </w:r>
      <w:r w:rsidR="00F30E2E" w:rsidRPr="00EA2DB0">
        <w:rPr>
          <w:sz w:val="24"/>
          <w:szCs w:val="24"/>
        </w:rPr>
        <w:t>.</w:t>
      </w:r>
      <w:r w:rsidR="005E117A" w:rsidRPr="00EA2DB0">
        <w:rPr>
          <w:sz w:val="24"/>
          <w:szCs w:val="24"/>
        </w:rPr>
        <w:t>8</w:t>
      </w:r>
      <w:r w:rsidR="00F30E2E" w:rsidRPr="00EA2DB0">
        <w:rPr>
          <w:sz w:val="24"/>
          <w:szCs w:val="24"/>
        </w:rPr>
        <w:t>3/hour)</w:t>
      </w:r>
      <w:r w:rsidRPr="00EA2DB0">
        <w:rPr>
          <w:sz w:val="24"/>
          <w:szCs w:val="24"/>
        </w:rPr>
        <w:t>.  Thus the total estimated burden hours cost of reviewing 55 plans is 2</w:t>
      </w:r>
      <w:r w:rsidR="000C73D2" w:rsidRPr="00EA2DB0">
        <w:rPr>
          <w:sz w:val="24"/>
          <w:szCs w:val="24"/>
        </w:rPr>
        <w:t>,</w:t>
      </w:r>
      <w:r w:rsidRPr="00EA2DB0">
        <w:rPr>
          <w:sz w:val="24"/>
          <w:szCs w:val="24"/>
        </w:rPr>
        <w:t xml:space="preserve">200 hours.  GS 13/5 salary @ </w:t>
      </w:r>
      <w:r w:rsidR="005E117A" w:rsidRPr="00EA2DB0">
        <w:rPr>
          <w:sz w:val="24"/>
          <w:szCs w:val="24"/>
        </w:rPr>
        <w:t>51</w:t>
      </w:r>
      <w:r w:rsidR="00F30E2E" w:rsidRPr="00EA2DB0">
        <w:rPr>
          <w:sz w:val="24"/>
          <w:szCs w:val="24"/>
        </w:rPr>
        <w:t>.</w:t>
      </w:r>
      <w:r w:rsidR="005E117A" w:rsidRPr="00EA2DB0">
        <w:rPr>
          <w:sz w:val="24"/>
          <w:szCs w:val="24"/>
        </w:rPr>
        <w:t>48</w:t>
      </w:r>
      <w:r w:rsidRPr="00EA2DB0">
        <w:rPr>
          <w:sz w:val="24"/>
          <w:szCs w:val="24"/>
        </w:rPr>
        <w:t xml:space="preserve"> per hour x 1</w:t>
      </w:r>
      <w:r w:rsidR="00F30E2E" w:rsidRPr="00EA2DB0">
        <w:rPr>
          <w:sz w:val="24"/>
          <w:szCs w:val="24"/>
        </w:rPr>
        <w:t>,</w:t>
      </w:r>
      <w:r w:rsidRPr="00EA2DB0">
        <w:rPr>
          <w:sz w:val="24"/>
          <w:szCs w:val="24"/>
        </w:rPr>
        <w:t>100 burden hours = $</w:t>
      </w:r>
      <w:r w:rsidR="005E117A" w:rsidRPr="00EA2DB0">
        <w:rPr>
          <w:sz w:val="24"/>
          <w:szCs w:val="24"/>
        </w:rPr>
        <w:t>56,628</w:t>
      </w:r>
      <w:r w:rsidRPr="00EA2DB0">
        <w:rPr>
          <w:sz w:val="24"/>
          <w:szCs w:val="24"/>
        </w:rPr>
        <w:t xml:space="preserve"> + GS 14/5 salary @ $</w:t>
      </w:r>
      <w:r w:rsidR="005E117A" w:rsidRPr="00EA2DB0">
        <w:rPr>
          <w:sz w:val="24"/>
          <w:szCs w:val="24"/>
        </w:rPr>
        <w:t>60</w:t>
      </w:r>
      <w:r w:rsidR="00F30E2E" w:rsidRPr="00EA2DB0">
        <w:rPr>
          <w:sz w:val="24"/>
          <w:szCs w:val="24"/>
        </w:rPr>
        <w:t>.</w:t>
      </w:r>
      <w:r w:rsidR="005E117A" w:rsidRPr="00EA2DB0">
        <w:rPr>
          <w:sz w:val="24"/>
          <w:szCs w:val="24"/>
        </w:rPr>
        <w:t>8</w:t>
      </w:r>
      <w:r w:rsidR="00F30E2E" w:rsidRPr="00EA2DB0">
        <w:rPr>
          <w:sz w:val="24"/>
          <w:szCs w:val="24"/>
        </w:rPr>
        <w:t>3</w:t>
      </w:r>
      <w:r w:rsidRPr="00EA2DB0">
        <w:rPr>
          <w:sz w:val="24"/>
          <w:szCs w:val="24"/>
        </w:rPr>
        <w:t xml:space="preserve"> per hour x 1</w:t>
      </w:r>
      <w:r w:rsidR="00F30E2E" w:rsidRPr="00EA2DB0">
        <w:rPr>
          <w:sz w:val="24"/>
          <w:szCs w:val="24"/>
        </w:rPr>
        <w:t>,</w:t>
      </w:r>
      <w:r w:rsidRPr="00EA2DB0">
        <w:rPr>
          <w:sz w:val="24"/>
          <w:szCs w:val="24"/>
        </w:rPr>
        <w:t xml:space="preserve">100 </w:t>
      </w:r>
      <w:r w:rsidRPr="00EA2DB0">
        <w:rPr>
          <w:b/>
          <w:sz w:val="24"/>
          <w:szCs w:val="24"/>
        </w:rPr>
        <w:t xml:space="preserve">= </w:t>
      </w:r>
      <w:r w:rsidR="00F30E2E" w:rsidRPr="00EA2DB0">
        <w:rPr>
          <w:sz w:val="24"/>
          <w:szCs w:val="24"/>
        </w:rPr>
        <w:t>$</w:t>
      </w:r>
      <w:r w:rsidR="005E117A" w:rsidRPr="00EA2DB0">
        <w:rPr>
          <w:sz w:val="24"/>
          <w:szCs w:val="24"/>
        </w:rPr>
        <w:t>66,913</w:t>
      </w:r>
      <w:r w:rsidR="00B3456C" w:rsidRPr="00EA2DB0">
        <w:rPr>
          <w:sz w:val="24"/>
          <w:szCs w:val="24"/>
        </w:rPr>
        <w:t>.</w:t>
      </w:r>
      <w:r w:rsidRPr="00EA2DB0">
        <w:rPr>
          <w:sz w:val="24"/>
          <w:szCs w:val="24"/>
        </w:rPr>
        <w:t xml:space="preserve"> </w:t>
      </w:r>
    </w:p>
    <w:p w14:paraId="564A21C7" w14:textId="77777777" w:rsidR="00F30E2E" w:rsidRPr="00EA2DB0" w:rsidRDefault="00F30E2E">
      <w:pPr>
        <w:tabs>
          <w:tab w:val="left" w:pos="-720"/>
        </w:tabs>
        <w:suppressAutoHyphens/>
        <w:rPr>
          <w:sz w:val="24"/>
          <w:szCs w:val="24"/>
        </w:rPr>
      </w:pPr>
    </w:p>
    <w:p w14:paraId="74FEA11D" w14:textId="77777777" w:rsidR="00F30E2E" w:rsidRPr="00EA2DB0" w:rsidRDefault="00023A1E" w:rsidP="00F30E2E">
      <w:pPr>
        <w:tabs>
          <w:tab w:val="left" w:pos="-720"/>
        </w:tabs>
        <w:suppressAutoHyphens/>
        <w:rPr>
          <w:sz w:val="24"/>
          <w:szCs w:val="24"/>
        </w:rPr>
      </w:pPr>
      <w:r w:rsidRPr="00276022">
        <w:rPr>
          <w:b/>
          <w:sz w:val="24"/>
          <w:szCs w:val="24"/>
        </w:rPr>
        <w:t xml:space="preserve">Total </w:t>
      </w:r>
      <w:r w:rsidR="00F30E2E" w:rsidRPr="00276022">
        <w:rPr>
          <w:b/>
          <w:sz w:val="24"/>
          <w:szCs w:val="24"/>
        </w:rPr>
        <w:t>C</w:t>
      </w:r>
      <w:r w:rsidRPr="00276022">
        <w:rPr>
          <w:b/>
          <w:sz w:val="24"/>
          <w:szCs w:val="24"/>
        </w:rPr>
        <w:t xml:space="preserve">ost </w:t>
      </w:r>
      <w:r w:rsidR="00F30E2E" w:rsidRPr="00276022">
        <w:rPr>
          <w:b/>
          <w:sz w:val="24"/>
          <w:szCs w:val="24"/>
        </w:rPr>
        <w:t>to the Federal Government</w:t>
      </w:r>
      <w:r w:rsidRPr="00276022">
        <w:rPr>
          <w:b/>
          <w:sz w:val="24"/>
          <w:szCs w:val="24"/>
        </w:rPr>
        <w:t xml:space="preserve">:  </w:t>
      </w:r>
      <w:r w:rsidR="00F30E2E" w:rsidRPr="00276022">
        <w:rPr>
          <w:b/>
          <w:sz w:val="24"/>
          <w:szCs w:val="24"/>
        </w:rPr>
        <w:t>$</w:t>
      </w:r>
      <w:r w:rsidR="005E117A" w:rsidRPr="00276022">
        <w:rPr>
          <w:b/>
          <w:sz w:val="24"/>
          <w:szCs w:val="24"/>
        </w:rPr>
        <w:t>56,628</w:t>
      </w:r>
      <w:r w:rsidR="00F30E2E" w:rsidRPr="00276022">
        <w:rPr>
          <w:b/>
          <w:sz w:val="24"/>
          <w:szCs w:val="24"/>
        </w:rPr>
        <w:t xml:space="preserve"> + $</w:t>
      </w:r>
      <w:r w:rsidR="005E117A" w:rsidRPr="00276022">
        <w:rPr>
          <w:b/>
          <w:sz w:val="24"/>
          <w:szCs w:val="24"/>
        </w:rPr>
        <w:t>66,913</w:t>
      </w:r>
      <w:r w:rsidR="00F30E2E" w:rsidRPr="00276022">
        <w:rPr>
          <w:b/>
          <w:sz w:val="24"/>
          <w:szCs w:val="24"/>
        </w:rPr>
        <w:t xml:space="preserve"> = $</w:t>
      </w:r>
      <w:r w:rsidR="005E117A" w:rsidRPr="00276022">
        <w:rPr>
          <w:b/>
          <w:sz w:val="24"/>
          <w:szCs w:val="24"/>
        </w:rPr>
        <w:t>123,541</w:t>
      </w:r>
      <w:r w:rsidR="00F30E2E" w:rsidRPr="00EA2DB0">
        <w:rPr>
          <w:sz w:val="24"/>
          <w:szCs w:val="24"/>
        </w:rPr>
        <w:t xml:space="preserve">. </w:t>
      </w:r>
    </w:p>
    <w:p w14:paraId="6777BCDC" w14:textId="77777777" w:rsidR="00023A1E" w:rsidRPr="00EA2DB0" w:rsidRDefault="00023A1E">
      <w:pPr>
        <w:tabs>
          <w:tab w:val="left" w:pos="-720"/>
        </w:tabs>
        <w:suppressAutoHyphens/>
        <w:rPr>
          <w:sz w:val="24"/>
          <w:szCs w:val="24"/>
        </w:rPr>
      </w:pPr>
    </w:p>
    <w:p w14:paraId="28375336" w14:textId="2703F1AB" w:rsidR="003B7376" w:rsidRDefault="00023A1E" w:rsidP="00B3456C">
      <w:pPr>
        <w:pStyle w:val="BodyText"/>
        <w:rPr>
          <w:szCs w:val="24"/>
        </w:rPr>
      </w:pPr>
      <w:r w:rsidRPr="00276022">
        <w:rPr>
          <w:szCs w:val="24"/>
        </w:rPr>
        <w:t>15</w:t>
      </w:r>
      <w:r w:rsidR="00F30E2E" w:rsidRPr="00276022">
        <w:rPr>
          <w:szCs w:val="24"/>
        </w:rPr>
        <w:t>.</w:t>
      </w:r>
      <w:r w:rsidR="00AD2302" w:rsidRPr="00276022">
        <w:rPr>
          <w:szCs w:val="24"/>
        </w:rPr>
        <w:t xml:space="preserve"> </w:t>
      </w:r>
      <w:r w:rsidR="000C73D2" w:rsidRPr="00276022">
        <w:rPr>
          <w:szCs w:val="24"/>
        </w:rPr>
        <w:t xml:space="preserve">The Commission </w:t>
      </w:r>
      <w:r w:rsidR="003B7376" w:rsidRPr="00276022">
        <w:rPr>
          <w:szCs w:val="24"/>
        </w:rPr>
        <w:t xml:space="preserve">is reporting </w:t>
      </w:r>
      <w:r w:rsidR="00B01FDC" w:rsidRPr="00276022">
        <w:rPr>
          <w:szCs w:val="24"/>
        </w:rPr>
        <w:t xml:space="preserve">no </w:t>
      </w:r>
      <w:r w:rsidR="00534CD5">
        <w:rPr>
          <w:szCs w:val="24"/>
        </w:rPr>
        <w:t>adjustments or program changes</w:t>
      </w:r>
      <w:r w:rsidR="003B7376" w:rsidRPr="00276022">
        <w:rPr>
          <w:szCs w:val="24"/>
        </w:rPr>
        <w:t xml:space="preserve"> to this information since the last submission to OMB.  </w:t>
      </w:r>
    </w:p>
    <w:p w14:paraId="316C7371" w14:textId="5D5B0383" w:rsidR="00F30E2E" w:rsidRPr="00EA2DB0" w:rsidRDefault="003B7376" w:rsidP="00534CD5">
      <w:pPr>
        <w:pStyle w:val="BodyText"/>
        <w:rPr>
          <w:szCs w:val="24"/>
        </w:rPr>
      </w:pPr>
      <w:r>
        <w:rPr>
          <w:szCs w:val="24"/>
        </w:rPr>
        <w:t xml:space="preserve"> </w:t>
      </w:r>
    </w:p>
    <w:p w14:paraId="28957704" w14:textId="77777777" w:rsidR="00023A1E" w:rsidRPr="00EA2DB0" w:rsidRDefault="00023A1E">
      <w:pPr>
        <w:tabs>
          <w:tab w:val="left" w:pos="-720"/>
        </w:tabs>
        <w:suppressAutoHyphens/>
        <w:rPr>
          <w:sz w:val="24"/>
          <w:szCs w:val="24"/>
        </w:rPr>
      </w:pPr>
      <w:r w:rsidRPr="00EA2DB0">
        <w:rPr>
          <w:sz w:val="24"/>
          <w:szCs w:val="24"/>
        </w:rPr>
        <w:t>16.  The data will not be published for statistical use.</w:t>
      </w:r>
    </w:p>
    <w:p w14:paraId="09039A71" w14:textId="77777777" w:rsidR="00023A1E" w:rsidRPr="00EA2DB0" w:rsidRDefault="00023A1E">
      <w:pPr>
        <w:tabs>
          <w:tab w:val="left" w:pos="-720"/>
        </w:tabs>
        <w:suppressAutoHyphens/>
        <w:rPr>
          <w:sz w:val="24"/>
          <w:szCs w:val="24"/>
        </w:rPr>
      </w:pPr>
    </w:p>
    <w:p w14:paraId="6A488730" w14:textId="77777777" w:rsidR="00023A1E" w:rsidRPr="00EA2DB0" w:rsidRDefault="00023A1E">
      <w:pPr>
        <w:tabs>
          <w:tab w:val="left" w:pos="-720"/>
        </w:tabs>
        <w:suppressAutoHyphens/>
        <w:rPr>
          <w:sz w:val="24"/>
          <w:szCs w:val="24"/>
        </w:rPr>
      </w:pPr>
      <w:r w:rsidRPr="00EA2DB0">
        <w:rPr>
          <w:sz w:val="24"/>
          <w:szCs w:val="24"/>
        </w:rPr>
        <w:t xml:space="preserve">17.  We do not seek approval to </w:t>
      </w:r>
      <w:r w:rsidR="00B3456C" w:rsidRPr="00EA2DB0">
        <w:rPr>
          <w:sz w:val="24"/>
          <w:szCs w:val="24"/>
        </w:rPr>
        <w:t xml:space="preserve">not </w:t>
      </w:r>
      <w:r w:rsidRPr="00EA2DB0">
        <w:rPr>
          <w:sz w:val="24"/>
          <w:szCs w:val="24"/>
        </w:rPr>
        <w:t xml:space="preserve">display the expiration date for OMB approval of the information collection. </w:t>
      </w:r>
      <w:r w:rsidR="00B3456C" w:rsidRPr="00EA2DB0">
        <w:rPr>
          <w:sz w:val="24"/>
          <w:szCs w:val="24"/>
        </w:rPr>
        <w:t xml:space="preserve">  The Commission publishes a list of all OMB-approved information collections including their titles, OMB Control Numbers and OMB expiration dates in 47 CFR 0.408 of the Commission’s rules.</w:t>
      </w:r>
    </w:p>
    <w:p w14:paraId="7B7727BB" w14:textId="77777777" w:rsidR="00023A1E" w:rsidRPr="00EA2DB0" w:rsidRDefault="00023A1E">
      <w:pPr>
        <w:tabs>
          <w:tab w:val="left" w:pos="-720"/>
        </w:tabs>
        <w:suppressAutoHyphens/>
        <w:rPr>
          <w:sz w:val="24"/>
          <w:szCs w:val="24"/>
        </w:rPr>
      </w:pPr>
    </w:p>
    <w:p w14:paraId="11D6D639" w14:textId="2603A0ED" w:rsidR="00023A1E" w:rsidRDefault="00023A1E">
      <w:pPr>
        <w:tabs>
          <w:tab w:val="left" w:pos="-720"/>
        </w:tabs>
        <w:suppressAutoHyphens/>
        <w:rPr>
          <w:sz w:val="24"/>
          <w:szCs w:val="24"/>
        </w:rPr>
      </w:pPr>
      <w:r w:rsidRPr="00EA2DB0">
        <w:rPr>
          <w:sz w:val="24"/>
          <w:szCs w:val="24"/>
        </w:rPr>
        <w:t>18.</w:t>
      </w:r>
      <w:r w:rsidR="00D012CB" w:rsidRPr="00EA2DB0">
        <w:rPr>
          <w:sz w:val="24"/>
          <w:szCs w:val="24"/>
        </w:rPr>
        <w:t xml:space="preserve"> </w:t>
      </w:r>
      <w:r w:rsidR="00433C0C">
        <w:rPr>
          <w:sz w:val="24"/>
          <w:szCs w:val="24"/>
        </w:rPr>
        <w:t xml:space="preserve">There are no exceptions to the Certification Statement.  </w:t>
      </w:r>
    </w:p>
    <w:p w14:paraId="27C0BFF0" w14:textId="77777777" w:rsidR="00276022" w:rsidRPr="00EA2DB0" w:rsidRDefault="00276022">
      <w:pPr>
        <w:tabs>
          <w:tab w:val="left" w:pos="-720"/>
        </w:tabs>
        <w:suppressAutoHyphens/>
        <w:rPr>
          <w:sz w:val="24"/>
          <w:szCs w:val="24"/>
        </w:rPr>
      </w:pPr>
    </w:p>
    <w:p w14:paraId="79E50219" w14:textId="77777777" w:rsidR="00023A1E" w:rsidRPr="00EA2DB0" w:rsidRDefault="00023A1E">
      <w:pPr>
        <w:tabs>
          <w:tab w:val="left" w:pos="-720"/>
        </w:tabs>
        <w:suppressAutoHyphens/>
        <w:rPr>
          <w:sz w:val="24"/>
          <w:szCs w:val="24"/>
        </w:rPr>
      </w:pPr>
      <w:r w:rsidRPr="00EA2DB0">
        <w:rPr>
          <w:b/>
          <w:sz w:val="24"/>
          <w:szCs w:val="24"/>
          <w:u w:val="single"/>
        </w:rPr>
        <w:t>B.  Collections of Information Employing Statistical Methods:</w:t>
      </w:r>
    </w:p>
    <w:p w14:paraId="618E7E87" w14:textId="77777777" w:rsidR="00023A1E" w:rsidRPr="00EA2DB0" w:rsidRDefault="00023A1E">
      <w:pPr>
        <w:tabs>
          <w:tab w:val="left" w:pos="-720"/>
        </w:tabs>
        <w:suppressAutoHyphens/>
        <w:rPr>
          <w:sz w:val="24"/>
          <w:szCs w:val="24"/>
        </w:rPr>
      </w:pPr>
    </w:p>
    <w:p w14:paraId="3298EE37" w14:textId="77777777" w:rsidR="00023A1E" w:rsidRPr="00EA2DB0" w:rsidRDefault="00023A1E">
      <w:pPr>
        <w:tabs>
          <w:tab w:val="left" w:pos="-720"/>
        </w:tabs>
        <w:suppressAutoHyphens/>
        <w:rPr>
          <w:sz w:val="24"/>
          <w:szCs w:val="24"/>
        </w:rPr>
      </w:pPr>
      <w:r w:rsidRPr="00EA2DB0">
        <w:rPr>
          <w:sz w:val="24"/>
          <w:szCs w:val="24"/>
        </w:rPr>
        <w:t xml:space="preserve">No statistical methods are employed. </w:t>
      </w:r>
    </w:p>
    <w:sectPr w:rsidR="00023A1E" w:rsidRPr="00EA2DB0">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0257A" w14:textId="77777777" w:rsidR="00725B73" w:rsidRDefault="00725B73">
      <w:pPr>
        <w:widowControl/>
        <w:spacing w:line="20" w:lineRule="exact"/>
        <w:rPr>
          <w:sz w:val="24"/>
        </w:rPr>
      </w:pPr>
    </w:p>
  </w:endnote>
  <w:endnote w:type="continuationSeparator" w:id="0">
    <w:p w14:paraId="16CFBFF8" w14:textId="77777777" w:rsidR="00725B73" w:rsidRDefault="00725B73">
      <w:r>
        <w:rPr>
          <w:sz w:val="24"/>
        </w:rPr>
        <w:t xml:space="preserve"> </w:t>
      </w:r>
    </w:p>
  </w:endnote>
  <w:endnote w:type="continuationNotice" w:id="1">
    <w:p w14:paraId="3069CD77" w14:textId="77777777" w:rsidR="00725B73" w:rsidRDefault="00725B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C8DA" w14:textId="77777777" w:rsidR="004A3DF7" w:rsidRDefault="004A3DF7">
    <w:pPr>
      <w:spacing w:before="140" w:line="100" w:lineRule="exact"/>
      <w:rPr>
        <w:sz w:val="10"/>
      </w:rPr>
    </w:pPr>
  </w:p>
  <w:p w14:paraId="04FA0E2B" w14:textId="77777777" w:rsidR="004A3DF7" w:rsidRDefault="004A3DF7">
    <w:pPr>
      <w:suppressAutoHyphens/>
      <w:jc w:val="right"/>
      <w:rPr>
        <w:sz w:val="24"/>
      </w:rPr>
    </w:pPr>
  </w:p>
  <w:p w14:paraId="07FE393A" w14:textId="77777777" w:rsidR="004A3DF7" w:rsidRDefault="00EA2DB0">
    <w:r>
      <w:rPr>
        <w:noProof/>
        <w:snapToGrid/>
      </w:rPr>
      <mc:AlternateContent>
        <mc:Choice Requires="wps">
          <w:drawing>
            <wp:anchor distT="0" distB="0" distL="114300" distR="114300" simplePos="0" relativeHeight="251657728" behindDoc="0" locked="0" layoutInCell="0" allowOverlap="1" wp14:anchorId="2B771605" wp14:editId="129494E3">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B40FFF" w14:textId="77777777" w:rsidR="004A3DF7" w:rsidRDefault="004A3DF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1605" id="Rectangle 1" o:spid="_x0000_s1026" style="position:absolute;margin-left:1in;margin-top:12pt;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A9u40j3QAAAAoBAAAPAAAAZHJz&#10;L2Rvd25yZXYueG1sTI9BT4QwEIXvJv6HZky8ua0bQlakbDZLSPSmqxdvXToCWTqFtgv47y0nPc28&#10;zMub7+X7xfRsQuc7SxIeNwIYUm11R42Ez4/qYQfMB0Va9ZZQwg962Be3N7nKtJ3pHadTaFgMIZ8p&#10;CW0IQ8a5r1s0ym/sgBRv39YZFaJ0DddOzTHc9HwrRMqN6ih+aNWAxxbry+lqJJQu1ZU/vpTV09dc&#10;hte3cRr5KOX93XJ4BhZwCX9mWPEjOhSR6WyvpD3ro06S2CVI2K5zNYidiNtZQpIK4EXO/1cofgEA&#10;AP//AwBQSwECLQAUAAYACAAAACEAtoM4kv4AAADhAQAAEwAAAAAAAAAAAAAAAAAAAAAAW0NvbnRl&#10;bnRfVHlwZXNdLnhtbFBLAQItABQABgAIAAAAIQA4/SH/1gAAAJQBAAALAAAAAAAAAAAAAAAAAC8B&#10;AABfcmVscy8ucmVsc1BLAQItABQABgAIAAAAIQDPSYcR3QIAAF4GAAAOAAAAAAAAAAAAAAAAAC4C&#10;AABkcnMvZTJvRG9jLnhtbFBLAQItABQABgAIAAAAIQA9u40j3QAAAAoBAAAPAAAAAAAAAAAAAAAA&#10;ADcFAABkcnMvZG93bnJldi54bWxQSwUGAAAAAAQABADzAAAAQQYAAAAA&#10;" o:allowincell="f" filled="f" stroked="f" strokeweight="0">
              <v:textbox inset="0,0,0,0">
                <w:txbxContent>
                  <w:p w14:paraId="75B40FFF" w14:textId="77777777" w:rsidR="004A3DF7" w:rsidRDefault="004A3DF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17F48" w14:textId="77777777" w:rsidR="00725B73" w:rsidRDefault="00725B73">
      <w:r>
        <w:rPr>
          <w:sz w:val="24"/>
        </w:rPr>
        <w:separator/>
      </w:r>
    </w:p>
  </w:footnote>
  <w:footnote w:type="continuationSeparator" w:id="0">
    <w:p w14:paraId="4DB2C285" w14:textId="77777777" w:rsidR="00725B73" w:rsidRDefault="00725B73">
      <w:r>
        <w:continuationSeparator/>
      </w:r>
    </w:p>
  </w:footnote>
  <w:footnote w:id="1">
    <w:p w14:paraId="69207E7C" w14:textId="77777777" w:rsidR="004A3DF7" w:rsidRPr="004555E1" w:rsidRDefault="004A3DF7" w:rsidP="0079114B">
      <w:pPr>
        <w:rPr>
          <w:snapToGrid/>
          <w:sz w:val="20"/>
        </w:rPr>
      </w:pPr>
      <w:r w:rsidRPr="00CF310E">
        <w:rPr>
          <w:rStyle w:val="FootnoteReference"/>
          <w:sz w:val="20"/>
        </w:rPr>
        <w:footnoteRef/>
      </w:r>
      <w:r w:rsidRPr="00CF310E">
        <w:rPr>
          <w:sz w:val="20"/>
        </w:rPr>
        <w:t xml:space="preserve"> The Commission</w:t>
      </w:r>
      <w:r>
        <w:rPr>
          <w:sz w:val="20"/>
        </w:rPr>
        <w:t xml:space="preserve"> has stayed this requirement indefinitely</w:t>
      </w:r>
      <w:smartTag w:uri="urn:schemas-microsoft-com:office:smarttags" w:element="PersonName">
        <w:r w:rsidR="00860289">
          <w:rPr>
            <w:sz w:val="20"/>
          </w:rPr>
          <w:t>,</w:t>
        </w:r>
      </w:smartTag>
      <w:r w:rsidR="00860289">
        <w:rPr>
          <w:sz w:val="20"/>
        </w:rPr>
        <w:t xml:space="preserve"> and we anticipate </w:t>
      </w:r>
      <w:r w:rsidR="00860289" w:rsidRPr="00860289">
        <w:rPr>
          <w:sz w:val="20"/>
        </w:rPr>
        <w:t xml:space="preserve">that the rule will be revised or deleted eventually as part of </w:t>
      </w:r>
      <w:r w:rsidR="004555E1" w:rsidRPr="00695BF6">
        <w:rPr>
          <w:snapToGrid/>
          <w:sz w:val="20"/>
        </w:rPr>
        <w:t>a current rulemaking proceeding focusing on the 4940-4990 MHz band</w:t>
      </w:r>
      <w:smartTag w:uri="urn:schemas-microsoft-com:office:smarttags" w:element="PersonName">
        <w:r w:rsidR="004555E1" w:rsidRPr="00695BF6">
          <w:rPr>
            <w:snapToGrid/>
            <w:sz w:val="20"/>
          </w:rPr>
          <w:t>,</w:t>
        </w:r>
      </w:smartTag>
      <w:r w:rsidR="004555E1" w:rsidRPr="00695BF6">
        <w:rPr>
          <w:snapToGrid/>
          <w:sz w:val="20"/>
        </w:rPr>
        <w:t xml:space="preserve"> PS Docket No. 07-100.</w:t>
      </w:r>
    </w:p>
    <w:p w14:paraId="1EA159D4" w14:textId="77777777" w:rsidR="004A3DF7" w:rsidRPr="00CF310E" w:rsidRDefault="004A3DF7">
      <w:pPr>
        <w:pStyle w:val="FootnoteText"/>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D7036"/>
    <w:multiLevelType w:val="hybridMultilevel"/>
    <w:tmpl w:val="C98ECEE6"/>
    <w:lvl w:ilvl="0" w:tplc="BFDA9B2E">
      <w:start w:val="1"/>
      <w:numFmt w:val="decimal"/>
      <w:lvlText w:val="(%1)"/>
      <w:lvlJc w:val="left"/>
      <w:pPr>
        <w:tabs>
          <w:tab w:val="num" w:pos="390"/>
        </w:tabs>
        <w:ind w:left="390" w:hanging="390"/>
      </w:pPr>
      <w:rPr>
        <w:rFonts w:hint="default"/>
      </w:rPr>
    </w:lvl>
    <w:lvl w:ilvl="1" w:tplc="A8BCAFB4" w:tentative="1">
      <w:start w:val="1"/>
      <w:numFmt w:val="lowerLetter"/>
      <w:lvlText w:val="%2."/>
      <w:lvlJc w:val="left"/>
      <w:pPr>
        <w:tabs>
          <w:tab w:val="num" w:pos="1080"/>
        </w:tabs>
        <w:ind w:left="1080" w:hanging="360"/>
      </w:pPr>
    </w:lvl>
    <w:lvl w:ilvl="2" w:tplc="102A8F94" w:tentative="1">
      <w:start w:val="1"/>
      <w:numFmt w:val="lowerRoman"/>
      <w:lvlText w:val="%3."/>
      <w:lvlJc w:val="right"/>
      <w:pPr>
        <w:tabs>
          <w:tab w:val="num" w:pos="1800"/>
        </w:tabs>
        <w:ind w:left="1800" w:hanging="180"/>
      </w:pPr>
    </w:lvl>
    <w:lvl w:ilvl="3" w:tplc="B6325034" w:tentative="1">
      <w:start w:val="1"/>
      <w:numFmt w:val="decimal"/>
      <w:lvlText w:val="%4."/>
      <w:lvlJc w:val="left"/>
      <w:pPr>
        <w:tabs>
          <w:tab w:val="num" w:pos="2520"/>
        </w:tabs>
        <w:ind w:left="2520" w:hanging="360"/>
      </w:pPr>
    </w:lvl>
    <w:lvl w:ilvl="4" w:tplc="4F20FB58" w:tentative="1">
      <w:start w:val="1"/>
      <w:numFmt w:val="lowerLetter"/>
      <w:lvlText w:val="%5."/>
      <w:lvlJc w:val="left"/>
      <w:pPr>
        <w:tabs>
          <w:tab w:val="num" w:pos="3240"/>
        </w:tabs>
        <w:ind w:left="3240" w:hanging="360"/>
      </w:pPr>
    </w:lvl>
    <w:lvl w:ilvl="5" w:tplc="0CA2E492" w:tentative="1">
      <w:start w:val="1"/>
      <w:numFmt w:val="lowerRoman"/>
      <w:lvlText w:val="%6."/>
      <w:lvlJc w:val="right"/>
      <w:pPr>
        <w:tabs>
          <w:tab w:val="num" w:pos="3960"/>
        </w:tabs>
        <w:ind w:left="3960" w:hanging="180"/>
      </w:pPr>
    </w:lvl>
    <w:lvl w:ilvl="6" w:tplc="78A83E34" w:tentative="1">
      <w:start w:val="1"/>
      <w:numFmt w:val="decimal"/>
      <w:lvlText w:val="%7."/>
      <w:lvlJc w:val="left"/>
      <w:pPr>
        <w:tabs>
          <w:tab w:val="num" w:pos="4680"/>
        </w:tabs>
        <w:ind w:left="4680" w:hanging="360"/>
      </w:pPr>
    </w:lvl>
    <w:lvl w:ilvl="7" w:tplc="D792AF36" w:tentative="1">
      <w:start w:val="1"/>
      <w:numFmt w:val="lowerLetter"/>
      <w:lvlText w:val="%8."/>
      <w:lvlJc w:val="left"/>
      <w:pPr>
        <w:tabs>
          <w:tab w:val="num" w:pos="5400"/>
        </w:tabs>
        <w:ind w:left="5400" w:hanging="360"/>
      </w:pPr>
    </w:lvl>
    <w:lvl w:ilvl="8" w:tplc="2E18B7B8" w:tentative="1">
      <w:start w:val="1"/>
      <w:numFmt w:val="lowerRoman"/>
      <w:lvlText w:val="%9."/>
      <w:lvlJc w:val="right"/>
      <w:pPr>
        <w:tabs>
          <w:tab w:val="num" w:pos="6120"/>
        </w:tabs>
        <w:ind w:left="6120" w:hanging="180"/>
      </w:pPr>
    </w:lvl>
  </w:abstractNum>
  <w:abstractNum w:abstractNumId="1" w15:restartNumberingAfterBreak="0">
    <w:nsid w:val="68D62A5C"/>
    <w:multiLevelType w:val="hybridMultilevel"/>
    <w:tmpl w:val="550ADDE0"/>
    <w:lvl w:ilvl="0" w:tplc="1F186038">
      <w:start w:val="1"/>
      <w:numFmt w:val="decimal"/>
      <w:lvlText w:val="(%1)"/>
      <w:lvlJc w:val="left"/>
      <w:pPr>
        <w:tabs>
          <w:tab w:val="num" w:pos="1080"/>
        </w:tabs>
        <w:ind w:left="1080" w:hanging="360"/>
      </w:pPr>
      <w:rPr>
        <w:rFonts w:hint="default"/>
      </w:rPr>
    </w:lvl>
    <w:lvl w:ilvl="1" w:tplc="CD2C9E72" w:tentative="1">
      <w:start w:val="1"/>
      <w:numFmt w:val="lowerLetter"/>
      <w:lvlText w:val="%2."/>
      <w:lvlJc w:val="left"/>
      <w:pPr>
        <w:tabs>
          <w:tab w:val="num" w:pos="1800"/>
        </w:tabs>
        <w:ind w:left="1800" w:hanging="360"/>
      </w:pPr>
    </w:lvl>
    <w:lvl w:ilvl="2" w:tplc="21620A58" w:tentative="1">
      <w:start w:val="1"/>
      <w:numFmt w:val="lowerRoman"/>
      <w:lvlText w:val="%3."/>
      <w:lvlJc w:val="right"/>
      <w:pPr>
        <w:tabs>
          <w:tab w:val="num" w:pos="2520"/>
        </w:tabs>
        <w:ind w:left="2520" w:hanging="180"/>
      </w:pPr>
    </w:lvl>
    <w:lvl w:ilvl="3" w:tplc="208E4C9E" w:tentative="1">
      <w:start w:val="1"/>
      <w:numFmt w:val="decimal"/>
      <w:lvlText w:val="%4."/>
      <w:lvlJc w:val="left"/>
      <w:pPr>
        <w:tabs>
          <w:tab w:val="num" w:pos="3240"/>
        </w:tabs>
        <w:ind w:left="3240" w:hanging="360"/>
      </w:pPr>
    </w:lvl>
    <w:lvl w:ilvl="4" w:tplc="D8B2D1DC" w:tentative="1">
      <w:start w:val="1"/>
      <w:numFmt w:val="lowerLetter"/>
      <w:lvlText w:val="%5."/>
      <w:lvlJc w:val="left"/>
      <w:pPr>
        <w:tabs>
          <w:tab w:val="num" w:pos="3960"/>
        </w:tabs>
        <w:ind w:left="3960" w:hanging="360"/>
      </w:pPr>
    </w:lvl>
    <w:lvl w:ilvl="5" w:tplc="5DC83444" w:tentative="1">
      <w:start w:val="1"/>
      <w:numFmt w:val="lowerRoman"/>
      <w:lvlText w:val="%6."/>
      <w:lvlJc w:val="right"/>
      <w:pPr>
        <w:tabs>
          <w:tab w:val="num" w:pos="4680"/>
        </w:tabs>
        <w:ind w:left="4680" w:hanging="180"/>
      </w:pPr>
    </w:lvl>
    <w:lvl w:ilvl="6" w:tplc="8DAC8DCC" w:tentative="1">
      <w:start w:val="1"/>
      <w:numFmt w:val="decimal"/>
      <w:lvlText w:val="%7."/>
      <w:lvlJc w:val="left"/>
      <w:pPr>
        <w:tabs>
          <w:tab w:val="num" w:pos="5400"/>
        </w:tabs>
        <w:ind w:left="5400" w:hanging="360"/>
      </w:pPr>
    </w:lvl>
    <w:lvl w:ilvl="7" w:tplc="413CFDBA" w:tentative="1">
      <w:start w:val="1"/>
      <w:numFmt w:val="lowerLetter"/>
      <w:lvlText w:val="%8."/>
      <w:lvlJc w:val="left"/>
      <w:pPr>
        <w:tabs>
          <w:tab w:val="num" w:pos="6120"/>
        </w:tabs>
        <w:ind w:left="6120" w:hanging="360"/>
      </w:pPr>
    </w:lvl>
    <w:lvl w:ilvl="8" w:tplc="8A80D98A" w:tentative="1">
      <w:start w:val="1"/>
      <w:numFmt w:val="lowerRoman"/>
      <w:lvlText w:val="%9."/>
      <w:lvlJc w:val="right"/>
      <w:pPr>
        <w:tabs>
          <w:tab w:val="num" w:pos="6840"/>
        </w:tabs>
        <w:ind w:left="6840" w:hanging="180"/>
      </w:pPr>
    </w:lvl>
  </w:abstractNum>
  <w:abstractNum w:abstractNumId="2" w15:restartNumberingAfterBreak="0">
    <w:nsid w:val="754763EB"/>
    <w:multiLevelType w:val="hybridMultilevel"/>
    <w:tmpl w:val="C97A0268"/>
    <w:lvl w:ilvl="0" w:tplc="F10607DA">
      <w:start w:val="1"/>
      <w:numFmt w:val="decimal"/>
      <w:lvlText w:val="(%1)"/>
      <w:lvlJc w:val="left"/>
      <w:pPr>
        <w:tabs>
          <w:tab w:val="num" w:pos="735"/>
        </w:tabs>
        <w:ind w:left="735" w:hanging="375"/>
      </w:pPr>
      <w:rPr>
        <w:rFonts w:hint="default"/>
      </w:rPr>
    </w:lvl>
    <w:lvl w:ilvl="1" w:tplc="A86A8734" w:tentative="1">
      <w:start w:val="1"/>
      <w:numFmt w:val="lowerLetter"/>
      <w:lvlText w:val="%2."/>
      <w:lvlJc w:val="left"/>
      <w:pPr>
        <w:tabs>
          <w:tab w:val="num" w:pos="1440"/>
        </w:tabs>
        <w:ind w:left="1440" w:hanging="360"/>
      </w:pPr>
    </w:lvl>
    <w:lvl w:ilvl="2" w:tplc="80ACAA0A" w:tentative="1">
      <w:start w:val="1"/>
      <w:numFmt w:val="lowerRoman"/>
      <w:lvlText w:val="%3."/>
      <w:lvlJc w:val="right"/>
      <w:pPr>
        <w:tabs>
          <w:tab w:val="num" w:pos="2160"/>
        </w:tabs>
        <w:ind w:left="2160" w:hanging="180"/>
      </w:pPr>
    </w:lvl>
    <w:lvl w:ilvl="3" w:tplc="DF50AE60" w:tentative="1">
      <w:start w:val="1"/>
      <w:numFmt w:val="decimal"/>
      <w:lvlText w:val="%4."/>
      <w:lvlJc w:val="left"/>
      <w:pPr>
        <w:tabs>
          <w:tab w:val="num" w:pos="2880"/>
        </w:tabs>
        <w:ind w:left="2880" w:hanging="360"/>
      </w:pPr>
    </w:lvl>
    <w:lvl w:ilvl="4" w:tplc="14FED8D6" w:tentative="1">
      <w:start w:val="1"/>
      <w:numFmt w:val="lowerLetter"/>
      <w:lvlText w:val="%5."/>
      <w:lvlJc w:val="left"/>
      <w:pPr>
        <w:tabs>
          <w:tab w:val="num" w:pos="3600"/>
        </w:tabs>
        <w:ind w:left="3600" w:hanging="360"/>
      </w:pPr>
    </w:lvl>
    <w:lvl w:ilvl="5" w:tplc="3136425A" w:tentative="1">
      <w:start w:val="1"/>
      <w:numFmt w:val="lowerRoman"/>
      <w:lvlText w:val="%6."/>
      <w:lvlJc w:val="right"/>
      <w:pPr>
        <w:tabs>
          <w:tab w:val="num" w:pos="4320"/>
        </w:tabs>
        <w:ind w:left="4320" w:hanging="180"/>
      </w:pPr>
    </w:lvl>
    <w:lvl w:ilvl="6" w:tplc="D7427CAE" w:tentative="1">
      <w:start w:val="1"/>
      <w:numFmt w:val="decimal"/>
      <w:lvlText w:val="%7."/>
      <w:lvlJc w:val="left"/>
      <w:pPr>
        <w:tabs>
          <w:tab w:val="num" w:pos="5040"/>
        </w:tabs>
        <w:ind w:left="5040" w:hanging="360"/>
      </w:pPr>
    </w:lvl>
    <w:lvl w:ilvl="7" w:tplc="A920B1F4" w:tentative="1">
      <w:start w:val="1"/>
      <w:numFmt w:val="lowerLetter"/>
      <w:lvlText w:val="%8."/>
      <w:lvlJc w:val="left"/>
      <w:pPr>
        <w:tabs>
          <w:tab w:val="num" w:pos="5760"/>
        </w:tabs>
        <w:ind w:left="5760" w:hanging="360"/>
      </w:pPr>
    </w:lvl>
    <w:lvl w:ilvl="8" w:tplc="5C127B24" w:tentative="1">
      <w:start w:val="1"/>
      <w:numFmt w:val="lowerRoman"/>
      <w:lvlText w:val="%9."/>
      <w:lvlJc w:val="right"/>
      <w:pPr>
        <w:tabs>
          <w:tab w:val="num" w:pos="6480"/>
        </w:tabs>
        <w:ind w:left="6480" w:hanging="180"/>
      </w:pPr>
    </w:lvl>
  </w:abstractNum>
  <w:abstractNum w:abstractNumId="3" w15:restartNumberingAfterBreak="0">
    <w:nsid w:val="76556EFC"/>
    <w:multiLevelType w:val="hybridMultilevel"/>
    <w:tmpl w:val="B3C288E8"/>
    <w:lvl w:ilvl="0" w:tplc="07F49F48">
      <w:start w:val="1"/>
      <w:numFmt w:val="decimal"/>
      <w:lvlText w:val="(%1)"/>
      <w:lvlJc w:val="left"/>
      <w:pPr>
        <w:tabs>
          <w:tab w:val="num" w:pos="360"/>
        </w:tabs>
        <w:ind w:left="360" w:hanging="360"/>
      </w:pPr>
      <w:rPr>
        <w:rFonts w:hint="default"/>
      </w:rPr>
    </w:lvl>
    <w:lvl w:ilvl="1" w:tplc="F95A8906" w:tentative="1">
      <w:start w:val="1"/>
      <w:numFmt w:val="lowerLetter"/>
      <w:lvlText w:val="%2."/>
      <w:lvlJc w:val="left"/>
      <w:pPr>
        <w:tabs>
          <w:tab w:val="num" w:pos="1080"/>
        </w:tabs>
        <w:ind w:left="1080" w:hanging="360"/>
      </w:pPr>
    </w:lvl>
    <w:lvl w:ilvl="2" w:tplc="3848934C" w:tentative="1">
      <w:start w:val="1"/>
      <w:numFmt w:val="lowerRoman"/>
      <w:lvlText w:val="%3."/>
      <w:lvlJc w:val="right"/>
      <w:pPr>
        <w:tabs>
          <w:tab w:val="num" w:pos="1800"/>
        </w:tabs>
        <w:ind w:left="1800" w:hanging="180"/>
      </w:pPr>
    </w:lvl>
    <w:lvl w:ilvl="3" w:tplc="2ECE0C7A" w:tentative="1">
      <w:start w:val="1"/>
      <w:numFmt w:val="decimal"/>
      <w:lvlText w:val="%4."/>
      <w:lvlJc w:val="left"/>
      <w:pPr>
        <w:tabs>
          <w:tab w:val="num" w:pos="2520"/>
        </w:tabs>
        <w:ind w:left="2520" w:hanging="360"/>
      </w:pPr>
    </w:lvl>
    <w:lvl w:ilvl="4" w:tplc="0204C0F8" w:tentative="1">
      <w:start w:val="1"/>
      <w:numFmt w:val="lowerLetter"/>
      <w:lvlText w:val="%5."/>
      <w:lvlJc w:val="left"/>
      <w:pPr>
        <w:tabs>
          <w:tab w:val="num" w:pos="3240"/>
        </w:tabs>
        <w:ind w:left="3240" w:hanging="360"/>
      </w:pPr>
    </w:lvl>
    <w:lvl w:ilvl="5" w:tplc="94F4BACE" w:tentative="1">
      <w:start w:val="1"/>
      <w:numFmt w:val="lowerRoman"/>
      <w:lvlText w:val="%6."/>
      <w:lvlJc w:val="right"/>
      <w:pPr>
        <w:tabs>
          <w:tab w:val="num" w:pos="3960"/>
        </w:tabs>
        <w:ind w:left="3960" w:hanging="180"/>
      </w:pPr>
    </w:lvl>
    <w:lvl w:ilvl="6" w:tplc="E654D666" w:tentative="1">
      <w:start w:val="1"/>
      <w:numFmt w:val="decimal"/>
      <w:lvlText w:val="%7."/>
      <w:lvlJc w:val="left"/>
      <w:pPr>
        <w:tabs>
          <w:tab w:val="num" w:pos="4680"/>
        </w:tabs>
        <w:ind w:left="4680" w:hanging="360"/>
      </w:pPr>
    </w:lvl>
    <w:lvl w:ilvl="7" w:tplc="AE7C45BA" w:tentative="1">
      <w:start w:val="1"/>
      <w:numFmt w:val="lowerLetter"/>
      <w:lvlText w:val="%8."/>
      <w:lvlJc w:val="left"/>
      <w:pPr>
        <w:tabs>
          <w:tab w:val="num" w:pos="5400"/>
        </w:tabs>
        <w:ind w:left="5400" w:hanging="360"/>
      </w:pPr>
    </w:lvl>
    <w:lvl w:ilvl="8" w:tplc="62B07AE6" w:tentative="1">
      <w:start w:val="1"/>
      <w:numFmt w:val="lowerRoman"/>
      <w:lvlText w:val="%9."/>
      <w:lvlJc w:val="right"/>
      <w:pPr>
        <w:tabs>
          <w:tab w:val="num" w:pos="6120"/>
        </w:tabs>
        <w:ind w:left="6120" w:hanging="180"/>
      </w:pPr>
    </w:lvl>
  </w:abstractNum>
  <w:abstractNum w:abstractNumId="4" w15:restartNumberingAfterBreak="0">
    <w:nsid w:val="79D821EF"/>
    <w:multiLevelType w:val="hybridMultilevel"/>
    <w:tmpl w:val="7B24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83"/>
    <w:rsid w:val="00023A1E"/>
    <w:rsid w:val="00024A4A"/>
    <w:rsid w:val="00070C9D"/>
    <w:rsid w:val="00082DEF"/>
    <w:rsid w:val="000916EA"/>
    <w:rsid w:val="000A11B1"/>
    <w:rsid w:val="000B3801"/>
    <w:rsid w:val="000B755D"/>
    <w:rsid w:val="000C73D2"/>
    <w:rsid w:val="000F2FF8"/>
    <w:rsid w:val="00123254"/>
    <w:rsid w:val="00135FF2"/>
    <w:rsid w:val="00153199"/>
    <w:rsid w:val="001634CE"/>
    <w:rsid w:val="0017073D"/>
    <w:rsid w:val="00180FFB"/>
    <w:rsid w:val="0019142A"/>
    <w:rsid w:val="00194B63"/>
    <w:rsid w:val="001A76E4"/>
    <w:rsid w:val="001B2A1B"/>
    <w:rsid w:val="001B3F21"/>
    <w:rsid w:val="00237C35"/>
    <w:rsid w:val="00240A02"/>
    <w:rsid w:val="00263C98"/>
    <w:rsid w:val="00266680"/>
    <w:rsid w:val="00272394"/>
    <w:rsid w:val="00276022"/>
    <w:rsid w:val="00291A29"/>
    <w:rsid w:val="002B02C3"/>
    <w:rsid w:val="002F7A31"/>
    <w:rsid w:val="00306E46"/>
    <w:rsid w:val="003311A1"/>
    <w:rsid w:val="003349B2"/>
    <w:rsid w:val="00361D31"/>
    <w:rsid w:val="00362B84"/>
    <w:rsid w:val="00376003"/>
    <w:rsid w:val="00377541"/>
    <w:rsid w:val="003943DA"/>
    <w:rsid w:val="003B7376"/>
    <w:rsid w:val="003C2468"/>
    <w:rsid w:val="003C47F3"/>
    <w:rsid w:val="00401643"/>
    <w:rsid w:val="00403655"/>
    <w:rsid w:val="0040742F"/>
    <w:rsid w:val="00433C0C"/>
    <w:rsid w:val="004555E1"/>
    <w:rsid w:val="00477466"/>
    <w:rsid w:val="00481886"/>
    <w:rsid w:val="00483143"/>
    <w:rsid w:val="004A3DF7"/>
    <w:rsid w:val="004D05F1"/>
    <w:rsid w:val="00501939"/>
    <w:rsid w:val="00504A83"/>
    <w:rsid w:val="00513877"/>
    <w:rsid w:val="00534990"/>
    <w:rsid w:val="00534CD5"/>
    <w:rsid w:val="00542869"/>
    <w:rsid w:val="0055618A"/>
    <w:rsid w:val="00556673"/>
    <w:rsid w:val="00561874"/>
    <w:rsid w:val="005912EE"/>
    <w:rsid w:val="005A54FF"/>
    <w:rsid w:val="005B0690"/>
    <w:rsid w:val="005B3709"/>
    <w:rsid w:val="005B473F"/>
    <w:rsid w:val="005C204B"/>
    <w:rsid w:val="005E117A"/>
    <w:rsid w:val="00637EF1"/>
    <w:rsid w:val="00641A34"/>
    <w:rsid w:val="00654EE7"/>
    <w:rsid w:val="00656F1D"/>
    <w:rsid w:val="006627C1"/>
    <w:rsid w:val="00674D62"/>
    <w:rsid w:val="00682C14"/>
    <w:rsid w:val="00685935"/>
    <w:rsid w:val="00695BF6"/>
    <w:rsid w:val="006B797A"/>
    <w:rsid w:val="006D31A3"/>
    <w:rsid w:val="006F3400"/>
    <w:rsid w:val="006F69C8"/>
    <w:rsid w:val="00701CE9"/>
    <w:rsid w:val="0070449D"/>
    <w:rsid w:val="00723F1C"/>
    <w:rsid w:val="00725B73"/>
    <w:rsid w:val="007748FC"/>
    <w:rsid w:val="0079114B"/>
    <w:rsid w:val="007C2489"/>
    <w:rsid w:val="007D4807"/>
    <w:rsid w:val="007F7EC7"/>
    <w:rsid w:val="00801435"/>
    <w:rsid w:val="00837A7C"/>
    <w:rsid w:val="00843C6E"/>
    <w:rsid w:val="00860289"/>
    <w:rsid w:val="00892183"/>
    <w:rsid w:val="008B0493"/>
    <w:rsid w:val="008B09C5"/>
    <w:rsid w:val="008D321D"/>
    <w:rsid w:val="008D4AF8"/>
    <w:rsid w:val="008D527B"/>
    <w:rsid w:val="008F6550"/>
    <w:rsid w:val="00946490"/>
    <w:rsid w:val="0094741C"/>
    <w:rsid w:val="00975B5A"/>
    <w:rsid w:val="00981605"/>
    <w:rsid w:val="009A1A0F"/>
    <w:rsid w:val="009B75C1"/>
    <w:rsid w:val="009D3B3C"/>
    <w:rsid w:val="00A215C2"/>
    <w:rsid w:val="00A232CC"/>
    <w:rsid w:val="00A4043E"/>
    <w:rsid w:val="00A426B2"/>
    <w:rsid w:val="00A92DC5"/>
    <w:rsid w:val="00A97D7F"/>
    <w:rsid w:val="00AB2B6A"/>
    <w:rsid w:val="00AC63DD"/>
    <w:rsid w:val="00AC6BA2"/>
    <w:rsid w:val="00AD2302"/>
    <w:rsid w:val="00B01FDC"/>
    <w:rsid w:val="00B17EF6"/>
    <w:rsid w:val="00B33891"/>
    <w:rsid w:val="00B3456C"/>
    <w:rsid w:val="00B60B80"/>
    <w:rsid w:val="00BA0B4B"/>
    <w:rsid w:val="00BA162F"/>
    <w:rsid w:val="00BB1E4A"/>
    <w:rsid w:val="00C14F12"/>
    <w:rsid w:val="00C166D8"/>
    <w:rsid w:val="00C32482"/>
    <w:rsid w:val="00C37CC5"/>
    <w:rsid w:val="00C61A93"/>
    <w:rsid w:val="00C87363"/>
    <w:rsid w:val="00C93859"/>
    <w:rsid w:val="00CD4F79"/>
    <w:rsid w:val="00CF310E"/>
    <w:rsid w:val="00D012CB"/>
    <w:rsid w:val="00D2244D"/>
    <w:rsid w:val="00D224D1"/>
    <w:rsid w:val="00D26990"/>
    <w:rsid w:val="00D276EA"/>
    <w:rsid w:val="00D37836"/>
    <w:rsid w:val="00D60E6D"/>
    <w:rsid w:val="00D76DB4"/>
    <w:rsid w:val="00DA3D9D"/>
    <w:rsid w:val="00E07CCB"/>
    <w:rsid w:val="00E3656A"/>
    <w:rsid w:val="00E56381"/>
    <w:rsid w:val="00E60052"/>
    <w:rsid w:val="00E87D9D"/>
    <w:rsid w:val="00E97E9E"/>
    <w:rsid w:val="00EA2DB0"/>
    <w:rsid w:val="00EA62A4"/>
    <w:rsid w:val="00EA6582"/>
    <w:rsid w:val="00EC4092"/>
    <w:rsid w:val="00ED1663"/>
    <w:rsid w:val="00EE19D6"/>
    <w:rsid w:val="00EE5891"/>
    <w:rsid w:val="00EE5D6F"/>
    <w:rsid w:val="00F05490"/>
    <w:rsid w:val="00F15A03"/>
    <w:rsid w:val="00F168C9"/>
    <w:rsid w:val="00F30E2E"/>
    <w:rsid w:val="00F335E4"/>
    <w:rsid w:val="00F60E80"/>
    <w:rsid w:val="00F747BC"/>
    <w:rsid w:val="00F85672"/>
    <w:rsid w:val="00FD0F59"/>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762B941D"/>
  <w15:chartTrackingRefBased/>
  <w15:docId w15:val="{187F3D03-EAFE-467F-9FA0-7022476C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unhideWhenUsed/>
    <w:rsid w:val="00B01FDC"/>
    <w:pPr>
      <w:snapToGrid w:val="0"/>
      <w:spacing w:after="120" w:line="480" w:lineRule="auto"/>
      <w:ind w:left="360"/>
    </w:pPr>
    <w:rPr>
      <w:snapToGrid/>
    </w:rPr>
  </w:style>
  <w:style w:type="character" w:customStyle="1" w:styleId="BodyTextIndent2Char">
    <w:name w:val="Body Text Indent 2 Char"/>
    <w:basedOn w:val="DefaultParagraphFont"/>
    <w:link w:val="BodyTextIndent2"/>
    <w:rsid w:val="00B01F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6">
      <w:bodyDiv w:val="1"/>
      <w:marLeft w:val="0"/>
      <w:marRight w:val="0"/>
      <w:marTop w:val="0"/>
      <w:marBottom w:val="0"/>
      <w:divBdr>
        <w:top w:val="none" w:sz="0" w:space="0" w:color="auto"/>
        <w:left w:val="none" w:sz="0" w:space="0" w:color="auto"/>
        <w:bottom w:val="none" w:sz="0" w:space="0" w:color="auto"/>
        <w:right w:val="none" w:sz="0" w:space="0" w:color="auto"/>
      </w:divBdr>
    </w:div>
    <w:div w:id="463474775">
      <w:bodyDiv w:val="1"/>
      <w:marLeft w:val="0"/>
      <w:marRight w:val="0"/>
      <w:marTop w:val="0"/>
      <w:marBottom w:val="0"/>
      <w:divBdr>
        <w:top w:val="none" w:sz="0" w:space="0" w:color="auto"/>
        <w:left w:val="none" w:sz="0" w:space="0" w:color="auto"/>
        <w:bottom w:val="none" w:sz="0" w:space="0" w:color="auto"/>
        <w:right w:val="none" w:sz="0" w:space="0" w:color="auto"/>
      </w:divBdr>
    </w:div>
    <w:div w:id="21345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subject/>
  <dc:creator>JSHAFFER</dc:creator>
  <cp:keywords/>
  <cp:lastModifiedBy>Nicole Ongele</cp:lastModifiedBy>
  <cp:revision>3</cp:revision>
  <cp:lastPrinted>2017-03-13T16:06:00Z</cp:lastPrinted>
  <dcterms:created xsi:type="dcterms:W3CDTF">2017-06-02T21:35:00Z</dcterms:created>
  <dcterms:modified xsi:type="dcterms:W3CDTF">2017-06-02T21:35:00Z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