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385CD1" w14:textId="77777777" w:rsidR="00BA4704" w:rsidRDefault="00BA4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bookmarkStart w:id="0" w:name="_GoBack"/>
      <w:bookmarkEnd w:id="0"/>
      <w:r>
        <w:rPr>
          <w:rFonts w:ascii="Helvetica" w:hAnsi="Helvetica"/>
          <w:b/>
          <w:color w:val="000000"/>
          <w:sz w:val="28"/>
        </w:rPr>
        <w:t>Supporting Statement for Paperwork Reduction Act Submissions</w:t>
      </w:r>
    </w:p>
    <w:p w14:paraId="614DA660" w14:textId="77777777" w:rsidR="00BA4704" w:rsidRDefault="00BA470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p>
    <w:p w14:paraId="7AF492A7" w14:textId="77777777" w:rsidR="003345DD" w:rsidRPr="001E0CA5" w:rsidRDefault="00BA4704" w:rsidP="003345DD">
      <w:pPr>
        <w:pStyle w:val="Heading3"/>
      </w:pPr>
      <w:r w:rsidRPr="001E0CA5">
        <w:t xml:space="preserve">FHA-Insured Mortgage Loan Servicing for </w:t>
      </w:r>
      <w:r w:rsidR="003345DD" w:rsidRPr="001E0CA5">
        <w:t>Performing Loans</w:t>
      </w:r>
    </w:p>
    <w:p w14:paraId="13AB1272" w14:textId="77777777" w:rsidR="00BA4704" w:rsidRPr="001E0CA5" w:rsidRDefault="003345DD" w:rsidP="00EF3907">
      <w:pPr>
        <w:pStyle w:val="Heading3"/>
      </w:pPr>
      <w:r w:rsidRPr="001E0CA5">
        <w:t>Including:</w:t>
      </w:r>
      <w:r w:rsidR="00EF3907" w:rsidRPr="001E0CA5">
        <w:t xml:space="preserve">  </w:t>
      </w:r>
      <w:r w:rsidR="00E93815" w:rsidRPr="001E0CA5">
        <w:t>Collection and Payment of Mortgage Insurance Premiums</w:t>
      </w:r>
      <w:r w:rsidR="00D13E0F" w:rsidRPr="001E0CA5">
        <w:t xml:space="preserve">, </w:t>
      </w:r>
      <w:r w:rsidR="00BA4704" w:rsidRPr="001E0CA5">
        <w:t>Escrow Administration</w:t>
      </w:r>
      <w:r w:rsidR="00D13E0F" w:rsidRPr="001E0CA5">
        <w:t>, Providing Loan Information</w:t>
      </w:r>
      <w:r w:rsidR="00ED40C0" w:rsidRPr="001E0CA5">
        <w:t xml:space="preserve"> </w:t>
      </w:r>
      <w:r w:rsidR="00D13E0F" w:rsidRPr="001E0CA5">
        <w:t>and Customer Service</w:t>
      </w:r>
      <w:r w:rsidRPr="001E0CA5">
        <w:t>s</w:t>
      </w:r>
      <w:r w:rsidR="006C274F" w:rsidRPr="001E0CA5">
        <w:t xml:space="preserve">, </w:t>
      </w:r>
      <w:r w:rsidR="00ED40C0" w:rsidRPr="001E0CA5">
        <w:t>Assess</w:t>
      </w:r>
      <w:r w:rsidR="005814FF" w:rsidRPr="001E0CA5">
        <w:t xml:space="preserve">ment of </w:t>
      </w:r>
      <w:r w:rsidR="006C274F" w:rsidRPr="001E0CA5">
        <w:t>Post Endorsement Fees and Charges and Servicing Section 235 Loans</w:t>
      </w:r>
    </w:p>
    <w:p w14:paraId="24EF69F8" w14:textId="77777777" w:rsidR="00EF3907" w:rsidRPr="00EF3907" w:rsidRDefault="00EF3907" w:rsidP="00EF3907"/>
    <w:p w14:paraId="0FC11EAC" w14:textId="77777777" w:rsidR="001E0CA5" w:rsidRPr="00E055C0" w:rsidRDefault="001E0CA5" w:rsidP="001E0CA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sidRPr="00E055C0">
        <w:rPr>
          <w:b/>
          <w:sz w:val="24"/>
        </w:rPr>
        <w:t>OMB Control Number 2502-0583</w:t>
      </w:r>
    </w:p>
    <w:p w14:paraId="7EC25C36" w14:textId="77777777" w:rsidR="001E0CA5" w:rsidRPr="00E055C0" w:rsidRDefault="001E0CA5" w:rsidP="001E0CA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sidRPr="00E055C0">
        <w:rPr>
          <w:b/>
          <w:sz w:val="24"/>
        </w:rPr>
        <w:t>HUD-300, HUD-93100, HUD-93101, HUD-93101-A, HUD-93102, HUD-93114</w:t>
      </w:r>
    </w:p>
    <w:p w14:paraId="01587882" w14:textId="77777777" w:rsidR="001E0CA5" w:rsidRPr="007D4EE5" w:rsidRDefault="001E0CA5" w:rsidP="001E0CA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3A13D47D" w14:textId="77777777" w:rsidR="00BA4704" w:rsidRDefault="00BA4704">
      <w:pPr>
        <w:pStyle w:val="Heading1"/>
        <w:rPr>
          <w:bCs/>
        </w:rPr>
      </w:pPr>
    </w:p>
    <w:p w14:paraId="25CBA145" w14:textId="77777777" w:rsidR="00BA4704" w:rsidRDefault="00BA4704">
      <w:pPr>
        <w:pStyle w:val="Heading1"/>
        <w:jc w:val="left"/>
        <w:rPr>
          <w:bCs/>
        </w:rPr>
      </w:pPr>
      <w:r>
        <w:rPr>
          <w:bCs/>
        </w:rPr>
        <w:t>A.</w:t>
      </w:r>
      <w:r>
        <w:rPr>
          <w:bCs/>
        </w:rPr>
        <w:tab/>
        <w:t>Justification</w:t>
      </w:r>
    </w:p>
    <w:p w14:paraId="0FF69B8D" w14:textId="77777777" w:rsidR="00BA4704" w:rsidRDefault="00BA4704">
      <w:pPr>
        <w:pStyle w:val="HTMLPreformatted"/>
        <w:tabs>
          <w:tab w:val="left" w:pos="1062"/>
        </w:tabs>
        <w:rPr>
          <w:rFonts w:ascii="Times New Roman" w:hAnsi="Times New Roman" w:cs="Times New Roman"/>
          <w:sz w:val="24"/>
        </w:rPr>
      </w:pPr>
    </w:p>
    <w:p w14:paraId="02BA2EA4" w14:textId="604A209D" w:rsidR="00BA4704" w:rsidRDefault="00BA4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The National Housing Act (12 U.S.C. 1703) authorizes the Secretary of Housing and Urban Development </w:t>
      </w:r>
      <w:r w:rsidR="00F20BE5">
        <w:rPr>
          <w:rFonts w:ascii="Times New Roman" w:hAnsi="Times New Roman" w:cs="Times New Roman"/>
          <w:sz w:val="24"/>
        </w:rPr>
        <w:t xml:space="preserve">(HUD) </w:t>
      </w:r>
      <w:r>
        <w:rPr>
          <w:rFonts w:ascii="Times New Roman" w:hAnsi="Times New Roman" w:cs="Times New Roman"/>
          <w:sz w:val="24"/>
        </w:rPr>
        <w:t>to insure financial institutions against losses as a result of mortgagor defaults on single-family mortgages.</w:t>
      </w:r>
      <w:r w:rsidR="001E0CA5">
        <w:rPr>
          <w:rFonts w:ascii="Times New Roman" w:hAnsi="Times New Roman" w:cs="Times New Roman"/>
          <w:sz w:val="24"/>
        </w:rPr>
        <w:t xml:space="preserve"> </w:t>
      </w:r>
      <w:r w:rsidR="001E0CA5" w:rsidRPr="001E0CA5">
        <w:rPr>
          <w:rFonts w:ascii="Times New Roman" w:hAnsi="Times New Roman" w:cs="Times New Roman"/>
          <w:sz w:val="24"/>
        </w:rPr>
        <w:t>The regulatory authority for this collection of information are specifically set forth in Title 24 of the Code of Federal Regulations (CFR) in numerous locations, specifically: Mortgage Insurance Premiums in 24 CFR §§ 203.22, 203.23, 203.259 through 203.269, 203.280, Escrow Accounts in 24 CFR § 203.550,</w:t>
      </w:r>
      <w:r w:rsidR="00792595">
        <w:rPr>
          <w:rFonts w:ascii="Times New Roman" w:hAnsi="Times New Roman" w:cs="Times New Roman"/>
          <w:sz w:val="24"/>
        </w:rPr>
        <w:t xml:space="preserve"> and</w:t>
      </w:r>
      <w:r w:rsidR="001E0CA5" w:rsidRPr="001E0CA5">
        <w:rPr>
          <w:rFonts w:ascii="Times New Roman" w:hAnsi="Times New Roman" w:cs="Times New Roman"/>
          <w:sz w:val="24"/>
        </w:rPr>
        <w:t xml:space="preserve"> Providing Information and Customer Service in </w:t>
      </w:r>
      <w:r w:rsidR="00792595">
        <w:rPr>
          <w:rFonts w:ascii="Times New Roman" w:hAnsi="Times New Roman" w:cs="Times New Roman"/>
          <w:sz w:val="24"/>
        </w:rPr>
        <w:t>24 CFR §§ 203.508</w:t>
      </w:r>
      <w:r w:rsidR="001E0CA5" w:rsidRPr="001E0CA5">
        <w:rPr>
          <w:rFonts w:ascii="Times New Roman" w:hAnsi="Times New Roman" w:cs="Times New Roman"/>
          <w:sz w:val="24"/>
        </w:rPr>
        <w:t>.</w:t>
      </w:r>
      <w:r>
        <w:rPr>
          <w:rFonts w:ascii="Times New Roman" w:hAnsi="Times New Roman" w:cs="Times New Roman"/>
          <w:sz w:val="24"/>
        </w:rPr>
        <w:t xml:space="preserve">  </w:t>
      </w:r>
    </w:p>
    <w:p w14:paraId="3B9C08D1" w14:textId="77777777" w:rsidR="00BA4704" w:rsidRDefault="00BA4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6C0B1F74" w14:textId="1F84C645" w:rsidR="001E0CA5" w:rsidRDefault="00BA4704" w:rsidP="001E0CA5">
      <w:pPr>
        <w:rPr>
          <w:sz w:val="24"/>
          <w:szCs w:val="24"/>
        </w:rPr>
      </w:pPr>
      <w:r>
        <w:rPr>
          <w:sz w:val="24"/>
        </w:rPr>
        <w:t>2.</w:t>
      </w:r>
      <w:r>
        <w:rPr>
          <w:sz w:val="24"/>
        </w:rPr>
        <w:tab/>
      </w:r>
      <w:r w:rsidR="001E0CA5">
        <w:rPr>
          <w:sz w:val="24"/>
        </w:rPr>
        <w:t xml:space="preserve">The </w:t>
      </w:r>
      <w:r w:rsidR="001E0CA5" w:rsidRPr="00AA4464">
        <w:rPr>
          <w:sz w:val="24"/>
          <w:szCs w:val="24"/>
        </w:rPr>
        <w:t xml:space="preserve">respondents for the collection are </w:t>
      </w:r>
      <w:r w:rsidR="001E0CA5" w:rsidRPr="00103B21">
        <w:rPr>
          <w:sz w:val="24"/>
          <w:szCs w:val="24"/>
        </w:rPr>
        <w:t xml:space="preserve">mortgagees that service </w:t>
      </w:r>
      <w:r w:rsidR="00F20BE5">
        <w:rPr>
          <w:sz w:val="24"/>
          <w:szCs w:val="24"/>
        </w:rPr>
        <w:t>Federal Housing Administration (</w:t>
      </w:r>
      <w:r w:rsidR="001E0CA5" w:rsidRPr="00103B21">
        <w:rPr>
          <w:sz w:val="24"/>
          <w:szCs w:val="24"/>
        </w:rPr>
        <w:t>FHA</w:t>
      </w:r>
      <w:r w:rsidR="00F20BE5">
        <w:rPr>
          <w:sz w:val="24"/>
          <w:szCs w:val="24"/>
        </w:rPr>
        <w:t xml:space="preserve">) </w:t>
      </w:r>
      <w:r w:rsidR="001E0CA5" w:rsidRPr="00103B21">
        <w:rPr>
          <w:sz w:val="24"/>
          <w:szCs w:val="24"/>
        </w:rPr>
        <w:t>insured mortgage loans and the mortgagors who are involved with collection and payment of mortgage insurance premiums, payment processing, escrow account administration, providing loan information and customer service, assessing post endorsement fees and charges</w:t>
      </w:r>
      <w:r w:rsidR="001E0CA5" w:rsidRPr="00AA4464">
        <w:rPr>
          <w:sz w:val="24"/>
          <w:szCs w:val="24"/>
        </w:rPr>
        <w:t xml:space="preserve">.  </w:t>
      </w:r>
    </w:p>
    <w:p w14:paraId="01C29AB5" w14:textId="77777777" w:rsidR="001E0CA5" w:rsidRDefault="001E0CA5" w:rsidP="001E0CA5">
      <w:pPr>
        <w:rPr>
          <w:sz w:val="24"/>
          <w:szCs w:val="24"/>
        </w:rPr>
      </w:pPr>
    </w:p>
    <w:p w14:paraId="21B5C515" w14:textId="257C71B2" w:rsidR="001E0CA5" w:rsidRDefault="001E0CA5" w:rsidP="001F4FAE">
      <w:pPr>
        <w:rPr>
          <w:sz w:val="24"/>
          <w:szCs w:val="24"/>
        </w:rPr>
      </w:pPr>
      <w:r>
        <w:rPr>
          <w:sz w:val="24"/>
          <w:szCs w:val="24"/>
        </w:rPr>
        <w:t xml:space="preserve">The information collection is a revision of currently approved collection. </w:t>
      </w:r>
      <w:r w:rsidRPr="00AA4464">
        <w:rPr>
          <w:sz w:val="24"/>
          <w:szCs w:val="24"/>
        </w:rPr>
        <w:t>Due to conditions in the mortgage banking indu</w:t>
      </w:r>
      <w:r>
        <w:rPr>
          <w:sz w:val="24"/>
          <w:szCs w:val="24"/>
        </w:rPr>
        <w:t xml:space="preserve">stry, foreclosures, claims, and </w:t>
      </w:r>
      <w:r w:rsidRPr="00AA4464">
        <w:rPr>
          <w:sz w:val="24"/>
          <w:szCs w:val="24"/>
        </w:rPr>
        <w:t>the increased popularity of the FHA</w:t>
      </w:r>
      <w:r w:rsidR="00F20BE5">
        <w:rPr>
          <w:sz w:val="24"/>
          <w:szCs w:val="24"/>
        </w:rPr>
        <w:t>-</w:t>
      </w:r>
      <w:r w:rsidRPr="00AA4464">
        <w:rPr>
          <w:sz w:val="24"/>
          <w:szCs w:val="24"/>
        </w:rPr>
        <w:t>insured loan program the loan portfolio has increased</w:t>
      </w:r>
      <w:r>
        <w:rPr>
          <w:sz w:val="24"/>
          <w:szCs w:val="24"/>
        </w:rPr>
        <w:t xml:space="preserve">. </w:t>
      </w:r>
      <w:r w:rsidR="007714A7">
        <w:rPr>
          <w:sz w:val="24"/>
          <w:szCs w:val="24"/>
        </w:rPr>
        <w:t>With thi</w:t>
      </w:r>
      <w:r w:rsidR="00C63961">
        <w:rPr>
          <w:sz w:val="24"/>
          <w:szCs w:val="24"/>
        </w:rPr>
        <w:t>s increase, the information</w:t>
      </w:r>
      <w:r w:rsidR="007714A7">
        <w:rPr>
          <w:sz w:val="24"/>
          <w:szCs w:val="24"/>
        </w:rPr>
        <w:t xml:space="preserve"> collection results in an</w:t>
      </w:r>
      <w:r>
        <w:rPr>
          <w:sz w:val="24"/>
          <w:szCs w:val="24"/>
        </w:rPr>
        <w:t xml:space="preserve"> increase in the e</w:t>
      </w:r>
      <w:r w:rsidR="007714A7">
        <w:rPr>
          <w:sz w:val="24"/>
          <w:szCs w:val="24"/>
        </w:rPr>
        <w:t xml:space="preserve">stimated </w:t>
      </w:r>
      <w:r>
        <w:rPr>
          <w:sz w:val="24"/>
          <w:szCs w:val="24"/>
        </w:rPr>
        <w:t xml:space="preserve">annual responses and </w:t>
      </w:r>
      <w:r w:rsidR="007714A7">
        <w:rPr>
          <w:sz w:val="24"/>
          <w:szCs w:val="24"/>
        </w:rPr>
        <w:t>annual burden hours</w:t>
      </w:r>
      <w:r>
        <w:rPr>
          <w:sz w:val="24"/>
          <w:szCs w:val="24"/>
        </w:rPr>
        <w:t xml:space="preserve">. Because </w:t>
      </w:r>
      <w:r w:rsidR="00205E12">
        <w:rPr>
          <w:sz w:val="24"/>
          <w:szCs w:val="24"/>
        </w:rPr>
        <w:t>of the activities, such as escrow administration that</w:t>
      </w:r>
      <w:r w:rsidR="00C63961">
        <w:rPr>
          <w:sz w:val="24"/>
          <w:szCs w:val="24"/>
        </w:rPr>
        <w:t xml:space="preserve"> are standard practice</w:t>
      </w:r>
      <w:r w:rsidR="00205E12">
        <w:rPr>
          <w:sz w:val="24"/>
          <w:szCs w:val="24"/>
        </w:rPr>
        <w:t>s</w:t>
      </w:r>
      <w:r w:rsidR="00C63961">
        <w:rPr>
          <w:sz w:val="24"/>
          <w:szCs w:val="24"/>
        </w:rPr>
        <w:t xml:space="preserve"> within the mortgage industry on all FHA, Veterans Administration (VA) and conventional loan</w:t>
      </w:r>
      <w:r w:rsidR="001F4FAE">
        <w:rPr>
          <w:sz w:val="24"/>
          <w:szCs w:val="24"/>
        </w:rPr>
        <w:t>s, HUD ascribes no burden hours.</w:t>
      </w:r>
      <w:r w:rsidR="00C63961">
        <w:rPr>
          <w:sz w:val="24"/>
          <w:szCs w:val="24"/>
        </w:rPr>
        <w:t xml:space="preserve"> </w:t>
      </w:r>
      <w:r w:rsidR="001F4FAE">
        <w:rPr>
          <w:sz w:val="24"/>
          <w:szCs w:val="24"/>
        </w:rPr>
        <w:t>However, because HUD removed the regulations for its Section 235 Program, t</w:t>
      </w:r>
      <w:r w:rsidR="007714A7" w:rsidRPr="008D1320">
        <w:rPr>
          <w:sz w:val="24"/>
          <w:szCs w:val="24"/>
        </w:rPr>
        <w:t>he n</w:t>
      </w:r>
      <w:r w:rsidR="001F4FAE">
        <w:rPr>
          <w:sz w:val="24"/>
          <w:szCs w:val="24"/>
        </w:rPr>
        <w:t>umber of respondents de</w:t>
      </w:r>
      <w:r w:rsidR="007714A7" w:rsidRPr="008D1320">
        <w:rPr>
          <w:sz w:val="24"/>
          <w:szCs w:val="24"/>
        </w:rPr>
        <w:t>creased.</w:t>
      </w:r>
    </w:p>
    <w:p w14:paraId="55567A5E" w14:textId="77777777" w:rsidR="001E0CA5" w:rsidRPr="00AA4464" w:rsidRDefault="001E0CA5" w:rsidP="001E0CA5">
      <w:pPr>
        <w:rPr>
          <w:sz w:val="24"/>
          <w:szCs w:val="24"/>
        </w:rPr>
      </w:pPr>
    </w:p>
    <w:p w14:paraId="71A13A6B" w14:textId="77777777" w:rsidR="001E0CA5" w:rsidRDefault="001E0CA5" w:rsidP="001E0CA5">
      <w:pPr>
        <w:pStyle w:val="OmniPage517"/>
        <w:ind w:left="0" w:right="30"/>
        <w:rPr>
          <w:sz w:val="24"/>
          <w:szCs w:val="24"/>
        </w:rPr>
      </w:pPr>
      <w:r>
        <w:rPr>
          <w:sz w:val="24"/>
          <w:szCs w:val="24"/>
        </w:rPr>
        <w:t>Additionally,</w:t>
      </w:r>
      <w:r w:rsidRPr="00DE10DD">
        <w:rPr>
          <w:sz w:val="24"/>
          <w:szCs w:val="24"/>
        </w:rPr>
        <w:t xml:space="preserve"> </w:t>
      </w:r>
      <w:r>
        <w:rPr>
          <w:sz w:val="24"/>
          <w:szCs w:val="24"/>
        </w:rPr>
        <w:t>t</w:t>
      </w:r>
      <w:r w:rsidRPr="00DE10DD">
        <w:rPr>
          <w:sz w:val="24"/>
          <w:szCs w:val="24"/>
        </w:rPr>
        <w:t xml:space="preserve">he information collections do not have substantive changes to the language contained in the form; however, a non-substantive edit is made to some of the forms to reflect a handbook reference change to HUD’s new FHA Single Family Housing Policy Handbook (Handbook 4000.1).  </w:t>
      </w:r>
    </w:p>
    <w:p w14:paraId="514B05A5" w14:textId="77777777" w:rsidR="00EC2D84" w:rsidRDefault="00EC2D84" w:rsidP="001E0CA5">
      <w:pPr>
        <w:rPr>
          <w:szCs w:val="24"/>
          <w:shd w:val="clear" w:color="auto" w:fill="00FFFF"/>
        </w:rPr>
      </w:pPr>
    </w:p>
    <w:p w14:paraId="46245EA3" w14:textId="77777777" w:rsidR="00E93815" w:rsidRDefault="00E93815" w:rsidP="00E938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imes New Roman" w:hAnsi="Times New Roman" w:cs="Times New Roman"/>
          <w:b/>
          <w:bCs/>
          <w:sz w:val="24"/>
        </w:rPr>
      </w:pPr>
      <w:r>
        <w:rPr>
          <w:rFonts w:ascii="Times New Roman" w:hAnsi="Times New Roman" w:cs="Times New Roman"/>
          <w:b/>
          <w:bCs/>
          <w:sz w:val="24"/>
        </w:rPr>
        <w:t xml:space="preserve">Mortgage Insurance Premiums (MIP) </w:t>
      </w:r>
    </w:p>
    <w:p w14:paraId="7C4F68EE" w14:textId="77777777" w:rsidR="00E93815" w:rsidRDefault="00E93815" w:rsidP="00E938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imes New Roman" w:hAnsi="Times New Roman" w:cs="Times New Roman"/>
          <w:b/>
          <w:bCs/>
          <w:sz w:val="24"/>
        </w:rPr>
      </w:pPr>
    </w:p>
    <w:p w14:paraId="0D796AE0" w14:textId="77777777" w:rsidR="00E93815" w:rsidRDefault="006C09B6" w:rsidP="00956C42">
      <w:pPr>
        <w:pStyle w:val="HTMLPreformatted"/>
        <w:numPr>
          <w:ilvl w:val="0"/>
          <w:numId w:val="15"/>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F8632E">
        <w:rPr>
          <w:rFonts w:ascii="Times New Roman" w:hAnsi="Times New Roman" w:cs="Times New Roman"/>
          <w:b/>
          <w:bCs/>
          <w:sz w:val="24"/>
        </w:rPr>
        <w:t>Premium Types</w:t>
      </w:r>
      <w:r w:rsidRPr="006C09B6">
        <w:rPr>
          <w:rFonts w:ascii="Times New Roman" w:hAnsi="Times New Roman" w:cs="Times New Roman"/>
          <w:b/>
          <w:sz w:val="24"/>
        </w:rPr>
        <w:t xml:space="preserve"> </w:t>
      </w:r>
      <w:r>
        <w:rPr>
          <w:rFonts w:ascii="Times New Roman" w:hAnsi="Times New Roman" w:cs="Times New Roman"/>
          <w:sz w:val="24"/>
        </w:rPr>
        <w:t xml:space="preserve">- </w:t>
      </w:r>
      <w:r w:rsidR="00E93815">
        <w:rPr>
          <w:rFonts w:ascii="Times New Roman" w:hAnsi="Times New Roman" w:cs="Times New Roman"/>
          <w:bCs/>
          <w:sz w:val="24"/>
        </w:rPr>
        <w:t xml:space="preserve">All </w:t>
      </w:r>
      <w:r w:rsidR="00E93815" w:rsidRPr="007A2462">
        <w:rPr>
          <w:rFonts w:ascii="Times New Roman" w:hAnsi="Times New Roman" w:cs="Times New Roman"/>
          <w:bCs/>
          <w:sz w:val="24"/>
        </w:rPr>
        <w:t>FHA-insured mortgages</w:t>
      </w:r>
      <w:r w:rsidR="00E93815">
        <w:rPr>
          <w:rFonts w:ascii="Times New Roman" w:hAnsi="Times New Roman" w:cs="Times New Roman"/>
          <w:bCs/>
          <w:sz w:val="24"/>
        </w:rPr>
        <w:t xml:space="preserve"> </w:t>
      </w:r>
      <w:r w:rsidR="00E93815" w:rsidRPr="007A2462">
        <w:rPr>
          <w:rFonts w:ascii="Times New Roman" w:hAnsi="Times New Roman" w:cs="Times New Roman"/>
          <w:bCs/>
          <w:sz w:val="24"/>
        </w:rPr>
        <w:t xml:space="preserve">require </w:t>
      </w:r>
      <w:r w:rsidR="00E93815">
        <w:rPr>
          <w:rFonts w:ascii="Times New Roman" w:hAnsi="Times New Roman" w:cs="Times New Roman"/>
          <w:bCs/>
          <w:sz w:val="24"/>
        </w:rPr>
        <w:t xml:space="preserve">a mortgage insurance premium </w:t>
      </w:r>
      <w:r w:rsidR="00E93815" w:rsidRPr="007A2462">
        <w:rPr>
          <w:rFonts w:ascii="Times New Roman" w:hAnsi="Times New Roman" w:cs="Times New Roman"/>
          <w:bCs/>
          <w:sz w:val="24"/>
        </w:rPr>
        <w:t>a</w:t>
      </w:r>
      <w:r w:rsidR="00E93815">
        <w:rPr>
          <w:rFonts w:ascii="Times New Roman" w:hAnsi="Times New Roman" w:cs="Times New Roman"/>
          <w:sz w:val="24"/>
        </w:rPr>
        <w:t xml:space="preserve">s a condition of insurance endorsement.  Premiums may be paid “Up-Front” as a lump sum payment, “Periodic” premiums paid monthly as a portion of the mortgagor’s mortgage payment, “One Time” premium paid at closing which covers the entire amount for insuring the mortgage, or Up-Front combined with Periodic Premiums.  </w:t>
      </w:r>
    </w:p>
    <w:p w14:paraId="0605C2F5" w14:textId="77777777" w:rsidR="006C09B6" w:rsidRDefault="006C09B6" w:rsidP="006C09B6">
      <w:pPr>
        <w:pStyle w:val="HTMLPreformatted"/>
        <w:tabs>
          <w:tab w:val="left" w:pos="1062"/>
        </w:tabs>
        <w:rPr>
          <w:rFonts w:ascii="Times New Roman" w:hAnsi="Times New Roman" w:cs="Times New Roman"/>
          <w:b/>
          <w:bCs/>
          <w:sz w:val="24"/>
        </w:rPr>
      </w:pPr>
    </w:p>
    <w:p w14:paraId="2614F198" w14:textId="77777777" w:rsidR="006C09B6" w:rsidRDefault="006C09B6" w:rsidP="00956C42">
      <w:pPr>
        <w:pStyle w:val="HTMLPreformatted"/>
        <w:numPr>
          <w:ilvl w:val="0"/>
          <w:numId w:val="16"/>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b/>
          <w:bCs/>
          <w:sz w:val="24"/>
        </w:rPr>
        <w:t>One-Time MIP:</w:t>
      </w:r>
      <w:r>
        <w:rPr>
          <w:rFonts w:ascii="Times New Roman" w:hAnsi="Times New Roman" w:cs="Times New Roman"/>
          <w:sz w:val="24"/>
        </w:rPr>
        <w:t xml:space="preserve">  For mortgages for which a one-time MIP is charged in accordance with (24 CFR </w:t>
      </w:r>
      <w:r w:rsidRPr="00C72A93">
        <w:rPr>
          <w:rFonts w:ascii="Times New Roman" w:hAnsi="Times New Roman" w:cs="Times New Roman"/>
          <w:sz w:val="24"/>
        </w:rPr>
        <w:t>§</w:t>
      </w:r>
      <w:r>
        <w:rPr>
          <w:rFonts w:ascii="Times New Roman" w:hAnsi="Times New Roman" w:cs="Times New Roman"/>
          <w:sz w:val="24"/>
        </w:rPr>
        <w:t xml:space="preserve"> 203.259a), the mortgagee shall, within fifteen days of closing and as a condition to the endorsement of the mortgage for insurance, pay HUD for the account of the mortgagor, in a manner prescribed by HUD, a premium representing the total obligation for the insuring of the mortgage. </w:t>
      </w:r>
    </w:p>
    <w:p w14:paraId="0C851DBA" w14:textId="77777777" w:rsidR="00E93815" w:rsidRDefault="00E93815" w:rsidP="00956C42">
      <w:pPr>
        <w:pStyle w:val="HTMLPreformatted"/>
        <w:numPr>
          <w:ilvl w:val="0"/>
          <w:numId w:val="17"/>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270"/>
        <w:rPr>
          <w:rFonts w:ascii="Times New Roman" w:hAnsi="Times New Roman" w:cs="Times New Roman"/>
          <w:sz w:val="24"/>
        </w:rPr>
      </w:pPr>
      <w:r>
        <w:rPr>
          <w:rFonts w:ascii="Times New Roman" w:hAnsi="Times New Roman" w:cs="Times New Roman"/>
          <w:b/>
          <w:bCs/>
          <w:sz w:val="24"/>
        </w:rPr>
        <w:t>Up-Front MIP:</w:t>
      </w:r>
      <w:r>
        <w:rPr>
          <w:rFonts w:ascii="Times New Roman" w:hAnsi="Times New Roman" w:cs="Times New Roman"/>
          <w:sz w:val="24"/>
        </w:rPr>
        <w:t xml:space="preserve">  The up-front MIP requires the payment of a single premium of up to 2.25 percent of the original insured principal balance of the mortgage, </w:t>
      </w:r>
      <w:r w:rsidR="006C09B6">
        <w:rPr>
          <w:rFonts w:ascii="Times New Roman" w:hAnsi="Times New Roman" w:cs="Times New Roman"/>
          <w:sz w:val="24"/>
        </w:rPr>
        <w:t>plus</w:t>
      </w:r>
      <w:r>
        <w:rPr>
          <w:rFonts w:ascii="Times New Roman" w:hAnsi="Times New Roman" w:cs="Times New Roman"/>
          <w:sz w:val="24"/>
        </w:rPr>
        <w:t xml:space="preserve"> annual payments of .50 percent of the remaining insured principal balance for stated periods of time that vary depending on the original </w:t>
      </w:r>
      <w:r>
        <w:rPr>
          <w:rFonts w:ascii="Times New Roman" w:hAnsi="Times New Roman" w:cs="Times New Roman"/>
          <w:sz w:val="24"/>
        </w:rPr>
        <w:lastRenderedPageBreak/>
        <w:t>principal obligation of the mortgage</w:t>
      </w:r>
      <w:r w:rsidRPr="00F92632">
        <w:rPr>
          <w:rFonts w:ascii="Times New Roman" w:hAnsi="Times New Roman" w:cs="Times New Roman"/>
          <w:sz w:val="24"/>
          <w:szCs w:val="24"/>
        </w:rPr>
        <w:t>.</w:t>
      </w:r>
      <w:r w:rsidR="006C09B6">
        <w:rPr>
          <w:rFonts w:ascii="Times New Roman" w:hAnsi="Times New Roman" w:cs="Times New Roman"/>
          <w:sz w:val="24"/>
          <w:szCs w:val="24"/>
        </w:rPr>
        <w:t xml:space="preserve"> </w:t>
      </w:r>
      <w:r w:rsidR="006C09B6">
        <w:rPr>
          <w:rFonts w:ascii="Times New Roman" w:hAnsi="Times New Roman" w:cs="Times New Roman"/>
          <w:sz w:val="24"/>
        </w:rPr>
        <w:t>The annual portion of the premium is paid monthly by the borrower and an escrow must be established for remittance of the premium payment to HUD once a year.</w:t>
      </w:r>
    </w:p>
    <w:p w14:paraId="69D22350" w14:textId="77777777" w:rsidR="00E93815" w:rsidRDefault="00E93815" w:rsidP="00956C42">
      <w:pPr>
        <w:pStyle w:val="HTMLPreformatted"/>
        <w:numPr>
          <w:ilvl w:val="0"/>
          <w:numId w:val="18"/>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270"/>
        <w:rPr>
          <w:rFonts w:ascii="Times New Roman" w:hAnsi="Times New Roman" w:cs="Times New Roman"/>
          <w:sz w:val="24"/>
        </w:rPr>
      </w:pPr>
      <w:r>
        <w:rPr>
          <w:rFonts w:ascii="Times New Roman" w:hAnsi="Times New Roman" w:cs="Times New Roman"/>
          <w:b/>
          <w:bCs/>
          <w:sz w:val="24"/>
        </w:rPr>
        <w:t>Periodic MIP:</w:t>
      </w:r>
      <w:r w:rsidR="00F20BE5">
        <w:rPr>
          <w:rFonts w:ascii="Times New Roman" w:hAnsi="Times New Roman" w:cs="Times New Roman"/>
          <w:sz w:val="24"/>
        </w:rPr>
        <w:t xml:space="preserve"> </w:t>
      </w:r>
      <w:r>
        <w:rPr>
          <w:rFonts w:ascii="Times New Roman" w:hAnsi="Times New Roman" w:cs="Times New Roman"/>
          <w:sz w:val="24"/>
        </w:rPr>
        <w:t xml:space="preserve">(24 CFR </w:t>
      </w:r>
      <w:r w:rsidRPr="00C72A93">
        <w:rPr>
          <w:rFonts w:ascii="Times New Roman" w:hAnsi="Times New Roman" w:cs="Times New Roman"/>
          <w:sz w:val="24"/>
        </w:rPr>
        <w:t>§</w:t>
      </w:r>
      <w:r>
        <w:rPr>
          <w:rFonts w:ascii="Times New Roman" w:hAnsi="Times New Roman" w:cs="Times New Roman"/>
          <w:sz w:val="24"/>
        </w:rPr>
        <w:t xml:space="preserve"> 203.260</w:t>
      </w:r>
      <w:r w:rsidR="009F2191">
        <w:rPr>
          <w:rFonts w:ascii="Times New Roman" w:hAnsi="Times New Roman" w:cs="Times New Roman"/>
          <w:sz w:val="24"/>
        </w:rPr>
        <w:t xml:space="preserve"> through </w:t>
      </w:r>
      <w:r w:rsidRPr="00C72A93">
        <w:rPr>
          <w:rFonts w:ascii="Times New Roman" w:hAnsi="Times New Roman" w:cs="Times New Roman"/>
          <w:sz w:val="24"/>
        </w:rPr>
        <w:t>§</w:t>
      </w:r>
      <w:r>
        <w:rPr>
          <w:rFonts w:ascii="Times New Roman" w:hAnsi="Times New Roman" w:cs="Times New Roman"/>
          <w:sz w:val="24"/>
        </w:rPr>
        <w:t xml:space="preserve"> 203.269) Mortgages not included in those subject to the “Up-Front” MIP are subject to “periodic” MIP for the life of the mortgage.  The years required for risk-based periodic premiums vary depending on the date the mortgage closed and the amount of the mortgagor’s down payment.  These premiums are paid monthly and escrows must be established for the payment of these premiums.</w:t>
      </w:r>
    </w:p>
    <w:p w14:paraId="3DA19D7D" w14:textId="77777777" w:rsidR="00E93815" w:rsidRDefault="00E93815" w:rsidP="006C09B6">
      <w:pPr>
        <w:pStyle w:val="EndnoteText"/>
        <w:widowControl/>
        <w:tabs>
          <w:tab w:val="num" w:pos="1350"/>
        </w:tabs>
        <w:overflowPunct/>
        <w:autoSpaceDE/>
        <w:autoSpaceDN/>
        <w:adjustRightInd/>
        <w:ind w:left="1350" w:hanging="270"/>
        <w:textAlignment w:val="auto"/>
        <w:rPr>
          <w:spacing w:val="0"/>
          <w:szCs w:val="24"/>
        </w:rPr>
      </w:pPr>
    </w:p>
    <w:p w14:paraId="7C238DB0" w14:textId="77777777" w:rsidR="00C06195" w:rsidRDefault="00D4441A" w:rsidP="00956C42">
      <w:pPr>
        <w:numPr>
          <w:ilvl w:val="0"/>
          <w:numId w:val="19"/>
        </w:numPr>
        <w:tabs>
          <w:tab w:val="clear" w:pos="1080"/>
        </w:tabs>
        <w:ind w:left="360"/>
        <w:rPr>
          <w:sz w:val="24"/>
          <w:szCs w:val="24"/>
        </w:rPr>
      </w:pPr>
      <w:r>
        <w:rPr>
          <w:b/>
          <w:bCs/>
          <w:sz w:val="24"/>
        </w:rPr>
        <w:t xml:space="preserve">Notification of Periodic </w:t>
      </w:r>
      <w:r w:rsidR="0057326C">
        <w:rPr>
          <w:b/>
          <w:bCs/>
          <w:sz w:val="24"/>
        </w:rPr>
        <w:t>MIP</w:t>
      </w:r>
      <w:r w:rsidR="006C09B6">
        <w:rPr>
          <w:b/>
          <w:bCs/>
          <w:sz w:val="24"/>
        </w:rPr>
        <w:t xml:space="preserve"> </w:t>
      </w:r>
      <w:r>
        <w:rPr>
          <w:b/>
          <w:bCs/>
          <w:sz w:val="24"/>
        </w:rPr>
        <w:t xml:space="preserve">Due </w:t>
      </w:r>
      <w:r w:rsidR="006C09B6">
        <w:rPr>
          <w:b/>
          <w:bCs/>
          <w:sz w:val="24"/>
        </w:rPr>
        <w:t xml:space="preserve">- </w:t>
      </w:r>
      <w:r w:rsidR="00C06195" w:rsidRPr="00425D71">
        <w:rPr>
          <w:sz w:val="24"/>
          <w:szCs w:val="24"/>
        </w:rPr>
        <w:t>For mo</w:t>
      </w:r>
      <w:r w:rsidR="00C06195">
        <w:rPr>
          <w:sz w:val="24"/>
          <w:szCs w:val="24"/>
        </w:rPr>
        <w:t>rtgages subject to periodic MIP</w:t>
      </w:r>
      <w:r w:rsidR="00C06195" w:rsidRPr="00425D71">
        <w:rPr>
          <w:sz w:val="24"/>
          <w:szCs w:val="24"/>
        </w:rPr>
        <w:t xml:space="preserve">, HUD provides mortgagee with a monthly listing on which to base future escrow requirements. </w:t>
      </w:r>
      <w:r w:rsidR="00EF3907">
        <w:rPr>
          <w:sz w:val="24"/>
          <w:szCs w:val="24"/>
        </w:rPr>
        <w:t xml:space="preserve"> </w:t>
      </w:r>
      <w:r w:rsidR="00C06195" w:rsidRPr="00425D71">
        <w:rPr>
          <w:sz w:val="24"/>
          <w:szCs w:val="24"/>
        </w:rPr>
        <w:t xml:space="preserve">This listing includes mortgages shown in HUD's records as serviced by the mortgagee with premium anniversary dates 13 months hence, and shows the total annual MIP for each mortgage due on that anniversary date. </w:t>
      </w:r>
      <w:r w:rsidR="00EF3907">
        <w:rPr>
          <w:sz w:val="24"/>
          <w:szCs w:val="24"/>
        </w:rPr>
        <w:t xml:space="preserve"> </w:t>
      </w:r>
      <w:r w:rsidR="00C06195" w:rsidRPr="00425D71">
        <w:rPr>
          <w:sz w:val="24"/>
          <w:szCs w:val="24"/>
        </w:rPr>
        <w:t xml:space="preserve">This is not a bill. </w:t>
      </w:r>
      <w:r w:rsidR="00EF3907">
        <w:rPr>
          <w:sz w:val="24"/>
          <w:szCs w:val="24"/>
        </w:rPr>
        <w:t xml:space="preserve"> </w:t>
      </w:r>
      <w:r w:rsidR="00C06195" w:rsidRPr="00425D71">
        <w:rPr>
          <w:sz w:val="24"/>
          <w:szCs w:val="24"/>
        </w:rPr>
        <w:t>It is provided to give mortgagee information about future requirements so that mortgagee escrow requirements and future premium remittances will be accurate.</w:t>
      </w:r>
    </w:p>
    <w:p w14:paraId="7AFF8B80" w14:textId="77777777" w:rsidR="00D4441A" w:rsidRDefault="00D4441A" w:rsidP="00D444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szCs w:val="24"/>
        </w:rPr>
      </w:pPr>
    </w:p>
    <w:p w14:paraId="3897A35D" w14:textId="77777777" w:rsidR="00D4441A" w:rsidRDefault="00D4441A" w:rsidP="00B409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szCs w:val="24"/>
        </w:rPr>
      </w:pPr>
      <w:r w:rsidRPr="00425D71">
        <w:rPr>
          <w:rFonts w:ascii="Times New Roman" w:hAnsi="Times New Roman" w:cs="Times New Roman"/>
          <w:sz w:val="24"/>
          <w:szCs w:val="24"/>
        </w:rPr>
        <w:t xml:space="preserve">If a mortgage does not appear on a report received 60 days or more after the acquisition of servicing, the mortgagee must change the information in FHA Connection. </w:t>
      </w:r>
      <w:r w:rsidR="00EF3907">
        <w:rPr>
          <w:rFonts w:ascii="Times New Roman" w:hAnsi="Times New Roman" w:cs="Times New Roman"/>
          <w:sz w:val="24"/>
          <w:szCs w:val="24"/>
        </w:rPr>
        <w:t xml:space="preserve"> </w:t>
      </w:r>
      <w:r w:rsidRPr="00425D71">
        <w:rPr>
          <w:rFonts w:ascii="Times New Roman" w:hAnsi="Times New Roman" w:cs="Times New Roman"/>
          <w:sz w:val="24"/>
          <w:szCs w:val="24"/>
        </w:rPr>
        <w:t>If a new loan does not appear on the report 60 days after</w:t>
      </w:r>
      <w:r>
        <w:rPr>
          <w:rFonts w:ascii="Times New Roman" w:hAnsi="Times New Roman" w:cs="Times New Roman"/>
          <w:sz w:val="24"/>
          <w:szCs w:val="24"/>
        </w:rPr>
        <w:t xml:space="preserve"> endorsement, the mortgagee must submit Mortgage Record Change (MRC), terminations, and assumptions to HUD via Electronic Data Interchange (EDI) or FHA Connection.</w:t>
      </w:r>
    </w:p>
    <w:p w14:paraId="2C62F5FC" w14:textId="77777777" w:rsidR="00D4441A" w:rsidRDefault="00D4441A" w:rsidP="00D444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6B839E29" w14:textId="77777777" w:rsidR="00D4441A" w:rsidRDefault="00D4441A" w:rsidP="00B4092E">
      <w:pPr>
        <w:ind w:left="360"/>
        <w:rPr>
          <w:sz w:val="24"/>
          <w:szCs w:val="24"/>
        </w:rPr>
      </w:pPr>
      <w:r w:rsidRPr="00425D71">
        <w:rPr>
          <w:sz w:val="24"/>
          <w:szCs w:val="24"/>
        </w:rPr>
        <w:t xml:space="preserve">When HUD receives this information, it will add the mortgage(s) to the next scheduled monthly listing.  If the mortgage does not appear on a monthly listing, the mortgagee is still responsible for paying the MIP, late charges, or interest on late premiums due. </w:t>
      </w:r>
      <w:r w:rsidR="00EF3907">
        <w:rPr>
          <w:sz w:val="24"/>
          <w:szCs w:val="24"/>
        </w:rPr>
        <w:t xml:space="preserve"> </w:t>
      </w:r>
      <w:r w:rsidRPr="00425D71">
        <w:rPr>
          <w:sz w:val="24"/>
          <w:szCs w:val="24"/>
        </w:rPr>
        <w:t xml:space="preserve">The mortgagee must pay the MIP based on a best estimate. </w:t>
      </w:r>
    </w:p>
    <w:p w14:paraId="33576E07" w14:textId="77777777" w:rsidR="00D4441A" w:rsidRDefault="00D4441A" w:rsidP="00D4441A">
      <w:pPr>
        <w:ind w:left="1080"/>
        <w:rPr>
          <w:sz w:val="24"/>
          <w:szCs w:val="24"/>
        </w:rPr>
      </w:pPr>
    </w:p>
    <w:p w14:paraId="3C24C202" w14:textId="77777777" w:rsidR="00F35CF8" w:rsidRPr="00A53ADF" w:rsidRDefault="00D4441A" w:rsidP="00956C42">
      <w:pPr>
        <w:numPr>
          <w:ilvl w:val="0"/>
          <w:numId w:val="20"/>
        </w:numPr>
        <w:tabs>
          <w:tab w:val="clear" w:pos="1080"/>
        </w:tabs>
        <w:ind w:left="360"/>
        <w:rPr>
          <w:b/>
          <w:bCs/>
          <w:sz w:val="24"/>
          <w:szCs w:val="24"/>
        </w:rPr>
      </w:pPr>
      <w:r>
        <w:rPr>
          <w:b/>
          <w:bCs/>
          <w:sz w:val="24"/>
        </w:rPr>
        <w:t xml:space="preserve">Payment of </w:t>
      </w:r>
      <w:r w:rsidR="00A53ADF">
        <w:rPr>
          <w:b/>
          <w:bCs/>
          <w:sz w:val="24"/>
        </w:rPr>
        <w:t xml:space="preserve">Upfront and </w:t>
      </w:r>
      <w:r>
        <w:rPr>
          <w:b/>
          <w:bCs/>
          <w:sz w:val="24"/>
        </w:rPr>
        <w:t xml:space="preserve">Periodic Premiums </w:t>
      </w:r>
      <w:r w:rsidR="00A53ADF">
        <w:rPr>
          <w:b/>
          <w:bCs/>
          <w:sz w:val="24"/>
        </w:rPr>
        <w:t>–</w:t>
      </w:r>
      <w:r>
        <w:rPr>
          <w:sz w:val="24"/>
          <w:szCs w:val="24"/>
        </w:rPr>
        <w:t xml:space="preserve"> </w:t>
      </w:r>
      <w:r w:rsidR="00A53ADF">
        <w:rPr>
          <w:sz w:val="24"/>
          <w:szCs w:val="24"/>
        </w:rPr>
        <w:t xml:space="preserve">Upfront and periodic mortgage insurance premiums are submitted through PAY.GOV, a secure government-wide collection portal managed by </w:t>
      </w:r>
      <w:r w:rsidR="00A53ADF" w:rsidRPr="00A53ADF">
        <w:rPr>
          <w:color w:val="000000"/>
          <w:sz w:val="24"/>
          <w:szCs w:val="24"/>
        </w:rPr>
        <w:t>the Financial Management Service bureau of the U.S. Department of the Treasury</w:t>
      </w:r>
      <w:r w:rsidR="00A53ADF">
        <w:rPr>
          <w:color w:val="000000"/>
          <w:sz w:val="24"/>
          <w:szCs w:val="24"/>
        </w:rPr>
        <w:t>.</w:t>
      </w:r>
    </w:p>
    <w:p w14:paraId="69339ACB" w14:textId="77777777" w:rsidR="00A53ADF" w:rsidRDefault="00A53ADF" w:rsidP="00A53ADF">
      <w:pPr>
        <w:rPr>
          <w:b/>
          <w:bCs/>
          <w:sz w:val="24"/>
        </w:rPr>
      </w:pPr>
    </w:p>
    <w:p w14:paraId="7BC6564D" w14:textId="77777777" w:rsidR="00D4441A" w:rsidRDefault="00C732A4" w:rsidP="00B4092E">
      <w:pPr>
        <w:spacing w:line="240" w:lineRule="atLeast"/>
        <w:ind w:left="360"/>
        <w:rPr>
          <w:sz w:val="24"/>
        </w:rPr>
      </w:pPr>
      <w:r w:rsidRPr="00C732A4">
        <w:rPr>
          <w:sz w:val="24"/>
          <w:szCs w:val="24"/>
        </w:rPr>
        <w:t xml:space="preserve">Periodic premium payments can be submitted online using the </w:t>
      </w:r>
      <w:r>
        <w:rPr>
          <w:sz w:val="24"/>
          <w:szCs w:val="24"/>
        </w:rPr>
        <w:t>FHA Connection</w:t>
      </w:r>
      <w:r w:rsidRPr="00C732A4">
        <w:rPr>
          <w:sz w:val="24"/>
          <w:szCs w:val="24"/>
        </w:rPr>
        <w:t xml:space="preserve"> through CPU to CPU batch file transmissions.</w:t>
      </w:r>
      <w:r>
        <w:rPr>
          <w:sz w:val="24"/>
        </w:rPr>
        <w:t xml:space="preserve"> </w:t>
      </w:r>
      <w:r w:rsidR="0093410D">
        <w:rPr>
          <w:sz w:val="24"/>
        </w:rPr>
        <w:t>T</w:t>
      </w:r>
      <w:r w:rsidR="00E93815" w:rsidRPr="00F35CF8">
        <w:rPr>
          <w:sz w:val="24"/>
        </w:rPr>
        <w:t>he</w:t>
      </w:r>
      <w:r w:rsidR="00E93815">
        <w:rPr>
          <w:sz w:val="24"/>
        </w:rPr>
        <w:t xml:space="preserve"> mortgagee remits </w:t>
      </w:r>
      <w:r>
        <w:rPr>
          <w:sz w:val="24"/>
        </w:rPr>
        <w:t xml:space="preserve">on the first day of every month, </w:t>
      </w:r>
      <w:r w:rsidR="00E93815">
        <w:rPr>
          <w:sz w:val="24"/>
        </w:rPr>
        <w:t>on</w:t>
      </w:r>
      <w:r>
        <w:rPr>
          <w:sz w:val="24"/>
        </w:rPr>
        <w:t>e-twelfth of the annual premium,</w:t>
      </w:r>
      <w:r w:rsidR="00E93815">
        <w:rPr>
          <w:sz w:val="24"/>
        </w:rPr>
        <w:t xml:space="preserve"> regardless of whether it wa</w:t>
      </w:r>
      <w:r>
        <w:rPr>
          <w:sz w:val="24"/>
        </w:rPr>
        <w:t>s received from the mortgagor</w:t>
      </w:r>
      <w:r w:rsidR="00F20BE5">
        <w:rPr>
          <w:sz w:val="24"/>
        </w:rPr>
        <w:t>.</w:t>
      </w:r>
    </w:p>
    <w:p w14:paraId="02E9D225" w14:textId="77777777" w:rsidR="00D4441A" w:rsidRDefault="00D4441A" w:rsidP="00D4441A">
      <w:pPr>
        <w:spacing w:line="240" w:lineRule="atLeast"/>
        <w:ind w:left="1080"/>
        <w:rPr>
          <w:sz w:val="24"/>
        </w:rPr>
      </w:pPr>
    </w:p>
    <w:p w14:paraId="5F2F86D1" w14:textId="77777777" w:rsidR="00E93815" w:rsidRPr="00D4441A" w:rsidRDefault="00D4441A" w:rsidP="00956C42">
      <w:pPr>
        <w:numPr>
          <w:ilvl w:val="0"/>
          <w:numId w:val="21"/>
        </w:numPr>
        <w:tabs>
          <w:tab w:val="clear" w:pos="1080"/>
        </w:tabs>
        <w:spacing w:line="240" w:lineRule="atLeast"/>
        <w:ind w:left="360"/>
        <w:rPr>
          <w:sz w:val="24"/>
        </w:rPr>
      </w:pPr>
      <w:r w:rsidRPr="00D4441A">
        <w:rPr>
          <w:b/>
          <w:sz w:val="24"/>
        </w:rPr>
        <w:t>Effect of Non-Payment</w:t>
      </w:r>
      <w:r>
        <w:rPr>
          <w:sz w:val="24"/>
        </w:rPr>
        <w:t xml:space="preserve"> - </w:t>
      </w:r>
      <w:r w:rsidR="00E93815">
        <w:rPr>
          <w:sz w:val="24"/>
        </w:rPr>
        <w:t xml:space="preserve">An automated billing system for the </w:t>
      </w:r>
      <w:r w:rsidR="00E93815" w:rsidRPr="0057326C">
        <w:rPr>
          <w:b/>
          <w:bCs/>
          <w:i/>
          <w:sz w:val="24"/>
        </w:rPr>
        <w:t>Collection of Late Charges and Interest Due on Periodic Payments</w:t>
      </w:r>
      <w:r w:rsidR="00E93815">
        <w:rPr>
          <w:sz w:val="24"/>
        </w:rPr>
        <w:t xml:space="preserve"> generates a bill for all outstanding late charges and interest for delinquent or late payments </w:t>
      </w:r>
      <w:r w:rsidR="00646BF9">
        <w:rPr>
          <w:sz w:val="24"/>
        </w:rPr>
        <w:t>on the 15</w:t>
      </w:r>
      <w:r w:rsidR="00646BF9" w:rsidRPr="00646BF9">
        <w:rPr>
          <w:sz w:val="24"/>
          <w:vertAlign w:val="superscript"/>
        </w:rPr>
        <w:t>th</w:t>
      </w:r>
      <w:r w:rsidR="00646BF9">
        <w:rPr>
          <w:sz w:val="24"/>
        </w:rPr>
        <w:t xml:space="preserve"> of </w:t>
      </w:r>
      <w:r w:rsidR="00E93815">
        <w:rPr>
          <w:sz w:val="24"/>
        </w:rPr>
        <w:t>each month</w:t>
      </w:r>
      <w:r w:rsidR="00E93815" w:rsidRPr="00214406">
        <w:rPr>
          <w:sz w:val="24"/>
          <w:szCs w:val="24"/>
        </w:rPr>
        <w:t>.</w:t>
      </w:r>
    </w:p>
    <w:p w14:paraId="3D53F4AB" w14:textId="77777777" w:rsidR="00E93815" w:rsidRDefault="00E93815" w:rsidP="00D4441A">
      <w:pPr>
        <w:pStyle w:val="EndnoteText"/>
        <w:widowControl/>
        <w:overflowPunct/>
        <w:autoSpaceDE/>
        <w:autoSpaceDN/>
        <w:adjustRightInd/>
        <w:textAlignment w:val="auto"/>
        <w:rPr>
          <w:spacing w:val="0"/>
          <w:szCs w:val="24"/>
        </w:rPr>
      </w:pPr>
    </w:p>
    <w:p w14:paraId="58DE0E73" w14:textId="43F81D2F" w:rsidR="006C09B6" w:rsidRPr="00F92632" w:rsidRDefault="006C09B6" w:rsidP="00956C42">
      <w:pPr>
        <w:pStyle w:val="HTMLPreformatted"/>
        <w:numPr>
          <w:ilvl w:val="0"/>
          <w:numId w:val="22"/>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szCs w:val="24"/>
        </w:rPr>
      </w:pPr>
      <w:r w:rsidRPr="00F8632E">
        <w:rPr>
          <w:rFonts w:ascii="Times New Roman" w:hAnsi="Times New Roman" w:cs="Times New Roman"/>
          <w:b/>
          <w:bCs/>
          <w:sz w:val="24"/>
          <w:szCs w:val="24"/>
        </w:rPr>
        <w:t>Refund</w:t>
      </w:r>
      <w:r w:rsidR="00F8632E">
        <w:rPr>
          <w:rFonts w:ascii="Times New Roman" w:hAnsi="Times New Roman" w:cs="Times New Roman"/>
          <w:b/>
          <w:bCs/>
          <w:sz w:val="24"/>
          <w:szCs w:val="24"/>
        </w:rPr>
        <w:t xml:space="preserve"> of Up Front or One Time Premium Payments</w:t>
      </w:r>
      <w:r w:rsidRPr="00F8632E">
        <w:rPr>
          <w:rFonts w:ascii="Times New Roman" w:hAnsi="Times New Roman" w:cs="Times New Roman"/>
          <w:b/>
          <w:bCs/>
          <w:sz w:val="24"/>
          <w:szCs w:val="24"/>
        </w:rPr>
        <w:t xml:space="preserve"> -</w:t>
      </w:r>
      <w:r w:rsidR="00F8632E">
        <w:rPr>
          <w:rFonts w:ascii="Times New Roman" w:hAnsi="Times New Roman" w:cs="Times New Roman"/>
          <w:b/>
          <w:bCs/>
          <w:sz w:val="24"/>
          <w:szCs w:val="24"/>
        </w:rPr>
        <w:t xml:space="preserve"> </w:t>
      </w:r>
      <w:r w:rsidRPr="00F92632">
        <w:rPr>
          <w:rFonts w:ascii="Times New Roman" w:hAnsi="Times New Roman" w:cs="Times New Roman"/>
          <w:sz w:val="24"/>
          <w:szCs w:val="24"/>
        </w:rPr>
        <w:t xml:space="preserve">Mortgagors paying off or refinancing FHA loans </w:t>
      </w:r>
      <w:r w:rsidR="0057326C">
        <w:rPr>
          <w:rFonts w:ascii="Times New Roman" w:hAnsi="Times New Roman" w:cs="Times New Roman"/>
          <w:sz w:val="24"/>
          <w:szCs w:val="24"/>
        </w:rPr>
        <w:t xml:space="preserve">endorsed prior to January 1, 2001, </w:t>
      </w:r>
      <w:r w:rsidRPr="00F92632">
        <w:rPr>
          <w:rFonts w:ascii="Times New Roman" w:hAnsi="Times New Roman" w:cs="Times New Roman"/>
          <w:sz w:val="24"/>
          <w:szCs w:val="24"/>
        </w:rPr>
        <w:t xml:space="preserve">within seven years from the date of </w:t>
      </w:r>
      <w:r w:rsidR="0057326C">
        <w:rPr>
          <w:rFonts w:ascii="Times New Roman" w:hAnsi="Times New Roman" w:cs="Times New Roman"/>
          <w:sz w:val="24"/>
          <w:szCs w:val="24"/>
        </w:rPr>
        <w:t>origination</w:t>
      </w:r>
      <w:r w:rsidRPr="00F92632">
        <w:rPr>
          <w:rFonts w:ascii="Times New Roman" w:hAnsi="Times New Roman" w:cs="Times New Roman"/>
          <w:sz w:val="24"/>
          <w:szCs w:val="24"/>
        </w:rPr>
        <w:t xml:space="preserve"> are entitled to a partial refund of </w:t>
      </w:r>
      <w:r>
        <w:rPr>
          <w:rFonts w:ascii="Times New Roman" w:hAnsi="Times New Roman" w:cs="Times New Roman"/>
          <w:sz w:val="24"/>
          <w:szCs w:val="24"/>
        </w:rPr>
        <w:t xml:space="preserve">the up-front </w:t>
      </w:r>
      <w:r w:rsidRPr="00F92632">
        <w:rPr>
          <w:rFonts w:ascii="Times New Roman" w:hAnsi="Times New Roman" w:cs="Times New Roman"/>
          <w:sz w:val="24"/>
          <w:szCs w:val="24"/>
        </w:rPr>
        <w:t>MIP paid at closing.  The refund schedule is shortened to a five-year period for loans cl</w:t>
      </w:r>
      <w:r w:rsidR="008908F4">
        <w:rPr>
          <w:rFonts w:ascii="Times New Roman" w:hAnsi="Times New Roman" w:cs="Times New Roman"/>
          <w:sz w:val="24"/>
          <w:szCs w:val="24"/>
        </w:rPr>
        <w:t>osed on or after January 1, 2001.</w:t>
      </w:r>
    </w:p>
    <w:p w14:paraId="59DD32CF" w14:textId="77777777" w:rsidR="006C09B6" w:rsidRDefault="006C09B6" w:rsidP="00F8632E">
      <w:pPr>
        <w:overflowPunct/>
        <w:autoSpaceDE/>
        <w:autoSpaceDN/>
        <w:adjustRightInd/>
        <w:textAlignment w:val="auto"/>
        <w:rPr>
          <w:b/>
          <w:bCs/>
          <w:sz w:val="24"/>
          <w:szCs w:val="24"/>
        </w:rPr>
      </w:pPr>
    </w:p>
    <w:p w14:paraId="15F311A8" w14:textId="77777777" w:rsidR="00F8632E" w:rsidRDefault="00F8632E" w:rsidP="00956C42">
      <w:pPr>
        <w:numPr>
          <w:ilvl w:val="0"/>
          <w:numId w:val="23"/>
        </w:numPr>
        <w:tabs>
          <w:tab w:val="clear" w:pos="1080"/>
        </w:tabs>
        <w:ind w:left="360"/>
        <w:rPr>
          <w:sz w:val="24"/>
          <w:szCs w:val="24"/>
        </w:rPr>
      </w:pPr>
      <w:r>
        <w:rPr>
          <w:b/>
          <w:bCs/>
          <w:sz w:val="24"/>
          <w:szCs w:val="24"/>
        </w:rPr>
        <w:t>Termination of</w:t>
      </w:r>
      <w:r w:rsidR="00E93815" w:rsidRPr="00861BC0">
        <w:rPr>
          <w:b/>
          <w:bCs/>
          <w:sz w:val="24"/>
          <w:szCs w:val="24"/>
        </w:rPr>
        <w:t xml:space="preserve"> FHA Annual Mortgage Insurance Premiums</w:t>
      </w:r>
      <w:r>
        <w:rPr>
          <w:b/>
          <w:bCs/>
          <w:sz w:val="24"/>
          <w:szCs w:val="24"/>
        </w:rPr>
        <w:t xml:space="preserve"> </w:t>
      </w:r>
      <w:r w:rsidR="00E93815" w:rsidRPr="00861BC0">
        <w:rPr>
          <w:b/>
          <w:bCs/>
          <w:sz w:val="24"/>
          <w:szCs w:val="24"/>
        </w:rPr>
        <w:t>-</w:t>
      </w:r>
      <w:r>
        <w:rPr>
          <w:b/>
          <w:bCs/>
          <w:sz w:val="24"/>
          <w:szCs w:val="24"/>
        </w:rPr>
        <w:t xml:space="preserve"> </w:t>
      </w:r>
      <w:r w:rsidR="00E93815" w:rsidRPr="00861BC0">
        <w:rPr>
          <w:sz w:val="24"/>
          <w:szCs w:val="24"/>
        </w:rPr>
        <w:t xml:space="preserve">The </w:t>
      </w:r>
      <w:r>
        <w:rPr>
          <w:sz w:val="24"/>
          <w:szCs w:val="24"/>
        </w:rPr>
        <w:t xml:space="preserve">requirement to remit </w:t>
      </w:r>
      <w:r w:rsidR="00E93815" w:rsidRPr="00861BC0">
        <w:rPr>
          <w:sz w:val="24"/>
          <w:szCs w:val="24"/>
        </w:rPr>
        <w:t>MIP will automatically cancel when the unpaid principal balance reaches 78% of the initial sales price or appraised value based on the initial amortization schedule.  FHA will determine when the mortgage reaches this level and cease billing the mortgagee.</w:t>
      </w:r>
      <w:r>
        <w:rPr>
          <w:sz w:val="24"/>
          <w:szCs w:val="24"/>
        </w:rPr>
        <w:t xml:space="preserve"> </w:t>
      </w:r>
      <w:r w:rsidRPr="001652F2">
        <w:rPr>
          <w:sz w:val="24"/>
          <w:szCs w:val="24"/>
        </w:rPr>
        <w:t>Cancellation of the annual mortgage insurance premiums will normally be based on the scheduled amortization of the loan.  However, in cases where the loan payments have been accelerated or modified, cancellation can be based on the actual amortization of the loan as provided to HUD by the servicing mortgagee.</w:t>
      </w:r>
      <w:r w:rsidRPr="001652F2">
        <w:rPr>
          <w:i/>
          <w:sz w:val="24"/>
          <w:szCs w:val="24"/>
        </w:rPr>
        <w:t xml:space="preserve"> </w:t>
      </w:r>
      <w:r w:rsidR="0057326C">
        <w:rPr>
          <w:sz w:val="24"/>
          <w:szCs w:val="24"/>
        </w:rPr>
        <w:t xml:space="preserve"> Termination of the requirement to remit MIP does not impact FHA insurance coverage.</w:t>
      </w:r>
    </w:p>
    <w:p w14:paraId="28F9276F" w14:textId="77777777" w:rsidR="00F8632E" w:rsidRDefault="00F8632E" w:rsidP="0057326C">
      <w:pPr>
        <w:overflowPunct/>
        <w:autoSpaceDE/>
        <w:autoSpaceDN/>
        <w:adjustRightInd/>
        <w:textAlignment w:val="auto"/>
        <w:rPr>
          <w:sz w:val="24"/>
          <w:szCs w:val="24"/>
        </w:rPr>
      </w:pPr>
    </w:p>
    <w:p w14:paraId="796A9926" w14:textId="77777777" w:rsidR="00E93815" w:rsidRPr="001652F2" w:rsidRDefault="00E93815" w:rsidP="00947977">
      <w:pPr>
        <w:overflowPunct/>
        <w:autoSpaceDE/>
        <w:autoSpaceDN/>
        <w:adjustRightInd/>
        <w:ind w:left="360"/>
        <w:textAlignment w:val="auto"/>
        <w:rPr>
          <w:sz w:val="24"/>
          <w:szCs w:val="24"/>
        </w:rPr>
      </w:pPr>
      <w:r w:rsidRPr="001652F2">
        <w:rPr>
          <w:sz w:val="24"/>
          <w:szCs w:val="24"/>
        </w:rPr>
        <w:lastRenderedPageBreak/>
        <w:t>Effective for all loans closed on or after January 1, 2001, FHA’s annual mortgage insurance premiums will be automatically canceled under the following conditions:</w:t>
      </w:r>
    </w:p>
    <w:p w14:paraId="0982401E" w14:textId="77777777" w:rsidR="00E93815" w:rsidRPr="001652F2" w:rsidRDefault="00E93815" w:rsidP="00E93815">
      <w:pPr>
        <w:rPr>
          <w:sz w:val="24"/>
          <w:szCs w:val="24"/>
        </w:rPr>
      </w:pPr>
    </w:p>
    <w:p w14:paraId="64E2755F" w14:textId="77777777" w:rsidR="00E93815" w:rsidRPr="001652F2" w:rsidRDefault="00E93815" w:rsidP="002501CB">
      <w:pPr>
        <w:numPr>
          <w:ilvl w:val="0"/>
          <w:numId w:val="10"/>
        </w:numPr>
        <w:tabs>
          <w:tab w:val="clear" w:pos="2160"/>
        </w:tabs>
        <w:overflowPunct/>
        <w:autoSpaceDE/>
        <w:autoSpaceDN/>
        <w:adjustRightInd/>
        <w:ind w:left="720"/>
        <w:textAlignment w:val="auto"/>
        <w:rPr>
          <w:sz w:val="24"/>
          <w:szCs w:val="24"/>
        </w:rPr>
      </w:pPr>
      <w:r w:rsidRPr="001652F2">
        <w:rPr>
          <w:sz w:val="24"/>
          <w:szCs w:val="24"/>
        </w:rPr>
        <w:t xml:space="preserve">For mortgages with terms more than 15 years, the annual mortgage insurance premiums will be canceled when the loan to value ratio reaches 78 percent, provided the mortgagor has paid the annual mortgage insurance premiums for at least five years. </w:t>
      </w:r>
    </w:p>
    <w:p w14:paraId="5EBD995F" w14:textId="77777777" w:rsidR="00E93815" w:rsidRPr="001652F2" w:rsidRDefault="00E93815" w:rsidP="0002399C">
      <w:pPr>
        <w:numPr>
          <w:ilvl w:val="0"/>
          <w:numId w:val="10"/>
        </w:numPr>
        <w:tabs>
          <w:tab w:val="clear" w:pos="2160"/>
        </w:tabs>
        <w:overflowPunct/>
        <w:autoSpaceDE/>
        <w:autoSpaceDN/>
        <w:adjustRightInd/>
        <w:ind w:left="720"/>
        <w:textAlignment w:val="auto"/>
        <w:rPr>
          <w:sz w:val="24"/>
          <w:szCs w:val="24"/>
        </w:rPr>
      </w:pPr>
      <w:r w:rsidRPr="001652F2">
        <w:rPr>
          <w:sz w:val="24"/>
          <w:szCs w:val="24"/>
        </w:rPr>
        <w:t>For mortgages with terms 15 years and less and with loan to value ratios 90 percent and greater, the annual mortgage insurance premiums will be canceled when the loan to value ratio reaches 78 percent, irrespective of the length of time the mortgagor has paid the annual mortgage premiums.</w:t>
      </w:r>
    </w:p>
    <w:p w14:paraId="2AB1C5E1" w14:textId="77777777" w:rsidR="00E93815" w:rsidRPr="001652F2" w:rsidRDefault="00E93815" w:rsidP="00E93815">
      <w:pPr>
        <w:rPr>
          <w:sz w:val="24"/>
          <w:szCs w:val="24"/>
        </w:rPr>
      </w:pPr>
    </w:p>
    <w:p w14:paraId="0100FF97" w14:textId="77777777" w:rsidR="00E93815" w:rsidRPr="001652F2" w:rsidRDefault="00E93815" w:rsidP="0002399C">
      <w:pPr>
        <w:numPr>
          <w:ilvl w:val="0"/>
          <w:numId w:val="10"/>
        </w:numPr>
        <w:tabs>
          <w:tab w:val="clear" w:pos="2160"/>
        </w:tabs>
        <w:overflowPunct/>
        <w:autoSpaceDE/>
        <w:autoSpaceDN/>
        <w:adjustRightInd/>
        <w:ind w:left="720"/>
        <w:textAlignment w:val="auto"/>
        <w:rPr>
          <w:sz w:val="24"/>
          <w:szCs w:val="24"/>
        </w:rPr>
      </w:pPr>
      <w:r w:rsidRPr="001652F2">
        <w:rPr>
          <w:sz w:val="24"/>
          <w:szCs w:val="24"/>
        </w:rPr>
        <w:t xml:space="preserve">Mortgages with terms 15 years and less and with loan to value ratios of 89.99 percent and less will not be charged annual mortgage insurance premiums. </w:t>
      </w:r>
      <w:r w:rsidR="00EF3907">
        <w:rPr>
          <w:sz w:val="24"/>
          <w:szCs w:val="24"/>
        </w:rPr>
        <w:t xml:space="preserve"> </w:t>
      </w:r>
      <w:r w:rsidRPr="001652F2">
        <w:rPr>
          <w:sz w:val="24"/>
          <w:szCs w:val="24"/>
        </w:rPr>
        <w:t xml:space="preserve">Although the annual mortgage insurance premiums will be canceled as described, the contract of insurance will remain in force for the loan’s full term.  This mortgage insurance premium cancellation provision only applies to loans in the Mutual Mortgage Insurance (MMI) fund.  </w:t>
      </w:r>
    </w:p>
    <w:p w14:paraId="1E59F5D6" w14:textId="77777777" w:rsidR="00E93815" w:rsidRDefault="00E93815" w:rsidP="00F8632E">
      <w:pPr>
        <w:rPr>
          <w:sz w:val="24"/>
          <w:szCs w:val="24"/>
        </w:rPr>
      </w:pPr>
    </w:p>
    <w:p w14:paraId="7C38CC23" w14:textId="77777777" w:rsidR="0057326C" w:rsidRDefault="0057326C" w:rsidP="00956C42">
      <w:pPr>
        <w:numPr>
          <w:ilvl w:val="0"/>
          <w:numId w:val="24"/>
        </w:numPr>
        <w:tabs>
          <w:tab w:val="clear" w:pos="1080"/>
        </w:tabs>
        <w:ind w:left="360"/>
        <w:rPr>
          <w:sz w:val="24"/>
          <w:szCs w:val="24"/>
        </w:rPr>
      </w:pPr>
      <w:r>
        <w:rPr>
          <w:b/>
          <w:bCs/>
          <w:sz w:val="24"/>
          <w:szCs w:val="24"/>
        </w:rPr>
        <w:t>Voluntary Cancellation of Mortgage Insurance -</w:t>
      </w:r>
      <w:r>
        <w:rPr>
          <w:sz w:val="24"/>
          <w:szCs w:val="24"/>
        </w:rPr>
        <w:t xml:space="preserve"> </w:t>
      </w:r>
      <w:r w:rsidRPr="00861BC0">
        <w:rPr>
          <w:bCs/>
          <w:sz w:val="24"/>
          <w:szCs w:val="24"/>
        </w:rPr>
        <w:t>FHA Mortgage Insurance</w:t>
      </w:r>
      <w:r w:rsidRPr="00861BC0">
        <w:rPr>
          <w:sz w:val="24"/>
          <w:szCs w:val="24"/>
        </w:rPr>
        <w:t xml:space="preserve"> </w:t>
      </w:r>
      <w:r>
        <w:rPr>
          <w:sz w:val="24"/>
          <w:szCs w:val="24"/>
        </w:rPr>
        <w:t xml:space="preserve">benefits </w:t>
      </w:r>
      <w:r w:rsidRPr="00861BC0">
        <w:rPr>
          <w:sz w:val="24"/>
          <w:szCs w:val="24"/>
        </w:rPr>
        <w:t>may be voluntarily terminated at any time if the mortgagor and mortgagee agree to the termination.</w:t>
      </w:r>
      <w:r w:rsidR="008B6397">
        <w:rPr>
          <w:sz w:val="24"/>
          <w:szCs w:val="24"/>
        </w:rPr>
        <w:t xml:space="preserve">  Mortgagees may require a refund by sending an email to HUD’s Single Family Insurance Operations Division (SFIOD).  Up to 10 cases may be grouped containing the following information:</w:t>
      </w:r>
    </w:p>
    <w:p w14:paraId="29FC454D" w14:textId="77777777" w:rsidR="008B6397" w:rsidRDefault="008B6397" w:rsidP="008B6397">
      <w:pPr>
        <w:rPr>
          <w:sz w:val="24"/>
          <w:szCs w:val="24"/>
        </w:rPr>
      </w:pPr>
    </w:p>
    <w:p w14:paraId="4DFB7077" w14:textId="77777777" w:rsidR="008B6397" w:rsidRDefault="008B6397" w:rsidP="00956C42">
      <w:pPr>
        <w:numPr>
          <w:ilvl w:val="0"/>
          <w:numId w:val="40"/>
        </w:numPr>
        <w:tabs>
          <w:tab w:val="clear" w:pos="720"/>
        </w:tabs>
        <w:rPr>
          <w:sz w:val="24"/>
          <w:szCs w:val="24"/>
        </w:rPr>
      </w:pPr>
      <w:r>
        <w:rPr>
          <w:sz w:val="24"/>
          <w:szCs w:val="24"/>
        </w:rPr>
        <w:t>Name a</w:t>
      </w:r>
      <w:r w:rsidR="00C63961">
        <w:rPr>
          <w:sz w:val="24"/>
          <w:szCs w:val="24"/>
        </w:rPr>
        <w:t>nd Identification</w:t>
      </w:r>
      <w:r>
        <w:rPr>
          <w:sz w:val="24"/>
          <w:szCs w:val="24"/>
        </w:rPr>
        <w:t xml:space="preserve"> of mortgagee.</w:t>
      </w:r>
    </w:p>
    <w:p w14:paraId="421668BC" w14:textId="77777777" w:rsidR="008B6397" w:rsidRDefault="008B6397" w:rsidP="00956C42">
      <w:pPr>
        <w:numPr>
          <w:ilvl w:val="0"/>
          <w:numId w:val="40"/>
        </w:numPr>
        <w:tabs>
          <w:tab w:val="clear" w:pos="720"/>
        </w:tabs>
        <w:rPr>
          <w:sz w:val="24"/>
          <w:szCs w:val="24"/>
        </w:rPr>
      </w:pPr>
      <w:r>
        <w:rPr>
          <w:sz w:val="24"/>
          <w:szCs w:val="24"/>
        </w:rPr>
        <w:t>FHA Case Number(s).</w:t>
      </w:r>
    </w:p>
    <w:p w14:paraId="70BCD686" w14:textId="77777777" w:rsidR="008B6397" w:rsidRDefault="008B6397" w:rsidP="00956C42">
      <w:pPr>
        <w:numPr>
          <w:ilvl w:val="0"/>
          <w:numId w:val="40"/>
        </w:numPr>
        <w:tabs>
          <w:tab w:val="clear" w:pos="720"/>
        </w:tabs>
        <w:rPr>
          <w:sz w:val="24"/>
          <w:szCs w:val="24"/>
        </w:rPr>
      </w:pPr>
      <w:r>
        <w:rPr>
          <w:sz w:val="24"/>
          <w:szCs w:val="24"/>
        </w:rPr>
        <w:t>Refund amount for each case.</w:t>
      </w:r>
    </w:p>
    <w:p w14:paraId="177ED7E8" w14:textId="77777777" w:rsidR="008B6397" w:rsidRDefault="008B6397" w:rsidP="00956C42">
      <w:pPr>
        <w:numPr>
          <w:ilvl w:val="0"/>
          <w:numId w:val="40"/>
        </w:numPr>
        <w:tabs>
          <w:tab w:val="clear" w:pos="720"/>
        </w:tabs>
        <w:rPr>
          <w:sz w:val="24"/>
          <w:szCs w:val="24"/>
        </w:rPr>
      </w:pPr>
      <w:r>
        <w:rPr>
          <w:sz w:val="24"/>
          <w:szCs w:val="24"/>
        </w:rPr>
        <w:t xml:space="preserve">Reason for the refund request </w:t>
      </w:r>
    </w:p>
    <w:p w14:paraId="782D9141" w14:textId="77777777" w:rsidR="008B6397" w:rsidRDefault="008B6397" w:rsidP="00956C42">
      <w:pPr>
        <w:numPr>
          <w:ilvl w:val="0"/>
          <w:numId w:val="40"/>
        </w:numPr>
        <w:tabs>
          <w:tab w:val="clear" w:pos="720"/>
        </w:tabs>
        <w:rPr>
          <w:sz w:val="24"/>
          <w:szCs w:val="24"/>
        </w:rPr>
      </w:pPr>
      <w:r>
        <w:rPr>
          <w:sz w:val="24"/>
          <w:szCs w:val="24"/>
        </w:rPr>
        <w:t>Date payment was remitted</w:t>
      </w:r>
    </w:p>
    <w:p w14:paraId="072A70BD" w14:textId="77777777" w:rsidR="008B6397" w:rsidRDefault="008B6397" w:rsidP="00956C42">
      <w:pPr>
        <w:numPr>
          <w:ilvl w:val="0"/>
          <w:numId w:val="40"/>
        </w:numPr>
        <w:tabs>
          <w:tab w:val="clear" w:pos="720"/>
        </w:tabs>
        <w:rPr>
          <w:sz w:val="24"/>
          <w:szCs w:val="24"/>
        </w:rPr>
      </w:pPr>
      <w:r>
        <w:rPr>
          <w:sz w:val="24"/>
          <w:szCs w:val="24"/>
        </w:rPr>
        <w:t>Periodic refund</w:t>
      </w:r>
    </w:p>
    <w:p w14:paraId="0233BB89" w14:textId="77777777" w:rsidR="008B6397" w:rsidRPr="0057326C" w:rsidRDefault="008B6397" w:rsidP="00956C42">
      <w:pPr>
        <w:numPr>
          <w:ilvl w:val="0"/>
          <w:numId w:val="40"/>
        </w:numPr>
        <w:tabs>
          <w:tab w:val="clear" w:pos="720"/>
        </w:tabs>
        <w:rPr>
          <w:sz w:val="24"/>
          <w:szCs w:val="24"/>
        </w:rPr>
      </w:pPr>
      <w:r>
        <w:rPr>
          <w:sz w:val="24"/>
          <w:szCs w:val="24"/>
        </w:rPr>
        <w:t xml:space="preserve">Attention and address to </w:t>
      </w:r>
      <w:r w:rsidR="00A916D0">
        <w:rPr>
          <w:sz w:val="24"/>
          <w:szCs w:val="24"/>
        </w:rPr>
        <w:t>which a</w:t>
      </w:r>
      <w:r>
        <w:rPr>
          <w:sz w:val="24"/>
          <w:szCs w:val="24"/>
        </w:rPr>
        <w:t xml:space="preserve"> refund check is to be sent.</w:t>
      </w:r>
    </w:p>
    <w:p w14:paraId="15AE2514" w14:textId="77777777" w:rsidR="00846D03" w:rsidRDefault="00846D03">
      <w:pPr>
        <w:pStyle w:val="HTMLPreformatted"/>
        <w:tabs>
          <w:tab w:val="left" w:pos="1062"/>
        </w:tabs>
        <w:rPr>
          <w:rFonts w:ascii="Times New Roman" w:hAnsi="Times New Roman" w:cs="Times New Roman"/>
          <w:b/>
          <w:bCs/>
          <w:sz w:val="24"/>
        </w:rPr>
      </w:pPr>
    </w:p>
    <w:p w14:paraId="54D12D7C" w14:textId="77777777" w:rsidR="00BA4704" w:rsidRDefault="00BA4704">
      <w:pPr>
        <w:pStyle w:val="HTMLPreformatted"/>
        <w:tabs>
          <w:tab w:val="left" w:pos="1062"/>
        </w:tabs>
        <w:rPr>
          <w:rFonts w:ascii="Times New Roman" w:hAnsi="Times New Roman" w:cs="Times New Roman"/>
          <w:b/>
          <w:bCs/>
          <w:sz w:val="24"/>
        </w:rPr>
      </w:pPr>
      <w:r>
        <w:rPr>
          <w:rFonts w:ascii="Times New Roman" w:hAnsi="Times New Roman" w:cs="Times New Roman"/>
          <w:b/>
          <w:bCs/>
          <w:sz w:val="24"/>
        </w:rPr>
        <w:t xml:space="preserve">Escrow </w:t>
      </w:r>
      <w:r w:rsidR="00D13E0F">
        <w:rPr>
          <w:rFonts w:ascii="Times New Roman" w:hAnsi="Times New Roman" w:cs="Times New Roman"/>
          <w:b/>
          <w:bCs/>
          <w:sz w:val="24"/>
        </w:rPr>
        <w:t xml:space="preserve">Account </w:t>
      </w:r>
      <w:r>
        <w:rPr>
          <w:rFonts w:ascii="Times New Roman" w:hAnsi="Times New Roman" w:cs="Times New Roman"/>
          <w:b/>
          <w:bCs/>
          <w:sz w:val="24"/>
        </w:rPr>
        <w:t>Administration</w:t>
      </w:r>
    </w:p>
    <w:p w14:paraId="77CAC7E2" w14:textId="77777777" w:rsidR="00BA4704" w:rsidRDefault="00BA4704">
      <w:pPr>
        <w:pStyle w:val="HTMLPreformatted"/>
        <w:tabs>
          <w:tab w:val="left" w:pos="1062"/>
        </w:tabs>
        <w:ind w:left="288"/>
        <w:rPr>
          <w:rFonts w:ascii="Times New Roman" w:hAnsi="Times New Roman" w:cs="Times New Roman"/>
          <w:b/>
          <w:bCs/>
          <w:sz w:val="24"/>
        </w:rPr>
      </w:pPr>
    </w:p>
    <w:p w14:paraId="39632123" w14:textId="77777777" w:rsidR="00C06195" w:rsidRDefault="00C06195" w:rsidP="00956C42">
      <w:pPr>
        <w:pStyle w:val="HTMLPreformatted"/>
        <w:numPr>
          <w:ilvl w:val="0"/>
          <w:numId w:val="25"/>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C06195">
        <w:rPr>
          <w:rFonts w:ascii="Times New Roman" w:hAnsi="Times New Roman" w:cs="Times New Roman"/>
          <w:b/>
          <w:sz w:val="24"/>
        </w:rPr>
        <w:t>Escrow Accounts</w:t>
      </w:r>
      <w:r>
        <w:rPr>
          <w:rFonts w:ascii="Times New Roman" w:hAnsi="Times New Roman" w:cs="Times New Roman"/>
          <w:sz w:val="24"/>
        </w:rPr>
        <w:t xml:space="preserve"> - </w:t>
      </w:r>
      <w:r w:rsidR="00ED0AEC">
        <w:rPr>
          <w:rFonts w:ascii="Times New Roman" w:hAnsi="Times New Roman" w:cs="Times New Roman"/>
          <w:sz w:val="24"/>
        </w:rPr>
        <w:t xml:space="preserve">At origination, FHA </w:t>
      </w:r>
      <w:r w:rsidR="00BA4704">
        <w:rPr>
          <w:rFonts w:ascii="Times New Roman" w:hAnsi="Times New Roman" w:cs="Times New Roman"/>
          <w:sz w:val="24"/>
        </w:rPr>
        <w:t xml:space="preserve">Mortgagees must establish </w:t>
      </w:r>
      <w:r>
        <w:rPr>
          <w:rFonts w:ascii="Times New Roman" w:hAnsi="Times New Roman" w:cs="Times New Roman"/>
          <w:sz w:val="24"/>
        </w:rPr>
        <w:t>e</w:t>
      </w:r>
      <w:r w:rsidR="00BA4704" w:rsidRPr="00ED0AEC">
        <w:rPr>
          <w:rFonts w:ascii="Times New Roman" w:hAnsi="Times New Roman" w:cs="Times New Roman"/>
          <w:sz w:val="24"/>
        </w:rPr>
        <w:t xml:space="preserve">scrow </w:t>
      </w:r>
      <w:r>
        <w:rPr>
          <w:rFonts w:ascii="Times New Roman" w:hAnsi="Times New Roman" w:cs="Times New Roman"/>
          <w:sz w:val="24"/>
        </w:rPr>
        <w:t>a</w:t>
      </w:r>
      <w:r w:rsidR="00BA4704" w:rsidRPr="00ED0AEC">
        <w:rPr>
          <w:rFonts w:ascii="Times New Roman" w:hAnsi="Times New Roman" w:cs="Times New Roman"/>
          <w:sz w:val="24"/>
        </w:rPr>
        <w:t>ccounts</w:t>
      </w:r>
      <w:r w:rsidR="00BA4704">
        <w:rPr>
          <w:rFonts w:ascii="Times New Roman" w:hAnsi="Times New Roman" w:cs="Times New Roman"/>
          <w:sz w:val="24"/>
        </w:rPr>
        <w:t xml:space="preserve"> and require that mortgagors make monthly payments to ensure that funds will be available to pay taxes</w:t>
      </w:r>
      <w:r w:rsidR="00954999">
        <w:rPr>
          <w:rFonts w:ascii="Times New Roman" w:hAnsi="Times New Roman" w:cs="Times New Roman"/>
          <w:sz w:val="24"/>
        </w:rPr>
        <w:t xml:space="preserve">, </w:t>
      </w:r>
      <w:r w:rsidR="001F44DF">
        <w:rPr>
          <w:rFonts w:ascii="Times New Roman" w:hAnsi="Times New Roman" w:cs="Times New Roman"/>
          <w:sz w:val="24"/>
        </w:rPr>
        <w:t xml:space="preserve">flood insurance premiums, </w:t>
      </w:r>
      <w:r w:rsidR="00C425A0">
        <w:rPr>
          <w:rFonts w:ascii="Times New Roman" w:hAnsi="Times New Roman" w:cs="Times New Roman"/>
          <w:sz w:val="24"/>
        </w:rPr>
        <w:t xml:space="preserve">special assessments </w:t>
      </w:r>
      <w:r w:rsidR="00954999">
        <w:rPr>
          <w:rFonts w:ascii="Times New Roman" w:hAnsi="Times New Roman" w:cs="Times New Roman"/>
          <w:sz w:val="24"/>
        </w:rPr>
        <w:t xml:space="preserve">and </w:t>
      </w:r>
      <w:r>
        <w:rPr>
          <w:rFonts w:ascii="Times New Roman" w:hAnsi="Times New Roman" w:cs="Times New Roman"/>
          <w:sz w:val="24"/>
        </w:rPr>
        <w:t xml:space="preserve">periodic </w:t>
      </w:r>
      <w:r w:rsidR="00954999">
        <w:rPr>
          <w:rFonts w:ascii="Times New Roman" w:hAnsi="Times New Roman" w:cs="Times New Roman"/>
          <w:sz w:val="24"/>
        </w:rPr>
        <w:t>mortgage insurance premiums</w:t>
      </w:r>
      <w:r>
        <w:rPr>
          <w:rFonts w:ascii="Times New Roman" w:hAnsi="Times New Roman" w:cs="Times New Roman"/>
          <w:sz w:val="24"/>
        </w:rPr>
        <w:t>,</w:t>
      </w:r>
      <w:r w:rsidR="00954999">
        <w:rPr>
          <w:rFonts w:ascii="Times New Roman" w:hAnsi="Times New Roman" w:cs="Times New Roman"/>
          <w:sz w:val="24"/>
        </w:rPr>
        <w:t xml:space="preserve"> </w:t>
      </w:r>
      <w:r>
        <w:rPr>
          <w:rFonts w:ascii="Times New Roman" w:hAnsi="Times New Roman" w:cs="Times New Roman"/>
          <w:sz w:val="24"/>
        </w:rPr>
        <w:t xml:space="preserve">as applicable </w:t>
      </w:r>
      <w:r w:rsidR="00C72A93">
        <w:rPr>
          <w:rFonts w:ascii="Times New Roman" w:hAnsi="Times New Roman" w:cs="Times New Roman"/>
          <w:sz w:val="24"/>
        </w:rPr>
        <w:t xml:space="preserve">before they become delinquent (24 CFR </w:t>
      </w:r>
      <w:r w:rsidR="00C72A93" w:rsidRPr="004672EB">
        <w:rPr>
          <w:rFonts w:ascii="Times New Roman" w:hAnsi="Times New Roman" w:cs="Times New Roman"/>
          <w:sz w:val="24"/>
        </w:rPr>
        <w:t xml:space="preserve">§ </w:t>
      </w:r>
      <w:r w:rsidR="00C72A93">
        <w:rPr>
          <w:rFonts w:ascii="Times New Roman" w:hAnsi="Times New Roman" w:cs="Times New Roman"/>
          <w:sz w:val="24"/>
        </w:rPr>
        <w:t xml:space="preserve">203.550).  </w:t>
      </w:r>
      <w:r w:rsidR="001F44DF">
        <w:rPr>
          <w:rFonts w:ascii="Times New Roman" w:hAnsi="Times New Roman" w:cs="Times New Roman"/>
          <w:sz w:val="24"/>
        </w:rPr>
        <w:t xml:space="preserve">Other property related obligations such as hazard insurance </w:t>
      </w:r>
      <w:r w:rsidR="00954999">
        <w:rPr>
          <w:rFonts w:ascii="Times New Roman" w:hAnsi="Times New Roman" w:cs="Times New Roman"/>
          <w:sz w:val="24"/>
        </w:rPr>
        <w:t>may, at the option of the mortgagee</w:t>
      </w:r>
      <w:r w:rsidR="00C425A0">
        <w:rPr>
          <w:rFonts w:ascii="Times New Roman" w:hAnsi="Times New Roman" w:cs="Times New Roman"/>
          <w:sz w:val="24"/>
        </w:rPr>
        <w:t xml:space="preserve"> and in accordance with the provisions of the security instruments</w:t>
      </w:r>
      <w:r w:rsidR="00954999">
        <w:rPr>
          <w:rFonts w:ascii="Times New Roman" w:hAnsi="Times New Roman" w:cs="Times New Roman"/>
          <w:sz w:val="24"/>
        </w:rPr>
        <w:t xml:space="preserve">, </w:t>
      </w:r>
      <w:r>
        <w:rPr>
          <w:rFonts w:ascii="Times New Roman" w:hAnsi="Times New Roman" w:cs="Times New Roman"/>
          <w:sz w:val="24"/>
        </w:rPr>
        <w:t xml:space="preserve">also </w:t>
      </w:r>
      <w:r w:rsidR="00954999">
        <w:rPr>
          <w:rFonts w:ascii="Times New Roman" w:hAnsi="Times New Roman" w:cs="Times New Roman"/>
          <w:sz w:val="24"/>
        </w:rPr>
        <w:t>be escrowed</w:t>
      </w:r>
      <w:r w:rsidR="001F44DF">
        <w:rPr>
          <w:rFonts w:ascii="Times New Roman" w:hAnsi="Times New Roman" w:cs="Times New Roman"/>
          <w:sz w:val="24"/>
        </w:rPr>
        <w:t xml:space="preserve"> and paid by mortgagees </w:t>
      </w:r>
      <w:r w:rsidR="00954999">
        <w:rPr>
          <w:rFonts w:ascii="Times New Roman" w:hAnsi="Times New Roman" w:cs="Times New Roman"/>
          <w:sz w:val="24"/>
        </w:rPr>
        <w:t xml:space="preserve">on behalf of </w:t>
      </w:r>
      <w:r>
        <w:rPr>
          <w:rFonts w:ascii="Times New Roman" w:hAnsi="Times New Roman" w:cs="Times New Roman"/>
          <w:sz w:val="24"/>
        </w:rPr>
        <w:t>a</w:t>
      </w:r>
      <w:r w:rsidR="00954999">
        <w:rPr>
          <w:rFonts w:ascii="Times New Roman" w:hAnsi="Times New Roman" w:cs="Times New Roman"/>
          <w:sz w:val="24"/>
        </w:rPr>
        <w:t xml:space="preserve"> mortgagor</w:t>
      </w:r>
      <w:r w:rsidR="001F44DF">
        <w:rPr>
          <w:rFonts w:ascii="Times New Roman" w:hAnsi="Times New Roman" w:cs="Times New Roman"/>
          <w:sz w:val="24"/>
        </w:rPr>
        <w:t>.</w:t>
      </w:r>
      <w:r w:rsidR="00EF3907">
        <w:rPr>
          <w:rFonts w:ascii="Times New Roman" w:hAnsi="Times New Roman" w:cs="Times New Roman"/>
          <w:sz w:val="24"/>
        </w:rPr>
        <w:t xml:space="preserve"> </w:t>
      </w:r>
      <w:r w:rsidR="001F44DF">
        <w:rPr>
          <w:rFonts w:ascii="Times New Roman" w:hAnsi="Times New Roman" w:cs="Times New Roman"/>
          <w:sz w:val="24"/>
        </w:rPr>
        <w:t xml:space="preserve"> </w:t>
      </w:r>
      <w:r>
        <w:rPr>
          <w:rFonts w:ascii="Times New Roman" w:hAnsi="Times New Roman" w:cs="Times New Roman"/>
          <w:sz w:val="24"/>
        </w:rPr>
        <w:t>Escrow accounts are a standard practice within the mortgage industry on all FHA, VA and conventional loans, therefore HUD ascribes no burden hours to escrow account administration.</w:t>
      </w:r>
    </w:p>
    <w:p w14:paraId="2AFB1541" w14:textId="77777777" w:rsidR="00C72A93" w:rsidRPr="005C2903" w:rsidRDefault="00C72A93" w:rsidP="00C06195">
      <w:pPr>
        <w:jc w:val="both"/>
        <w:rPr>
          <w:color w:val="FF6600"/>
          <w:sz w:val="24"/>
        </w:rPr>
      </w:pPr>
    </w:p>
    <w:p w14:paraId="7D6B3AC6" w14:textId="77777777" w:rsidR="00F35CF8" w:rsidRDefault="00C06195" w:rsidP="00947977">
      <w:pPr>
        <w:pStyle w:val="HTMLPreformatted"/>
        <w:numPr>
          <w:ilvl w:val="1"/>
          <w:numId w:val="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sz w:val="24"/>
        </w:rPr>
      </w:pPr>
      <w:r>
        <w:rPr>
          <w:rFonts w:ascii="Times New Roman" w:hAnsi="Times New Roman" w:cs="Times New Roman"/>
          <w:b/>
          <w:bCs/>
          <w:sz w:val="24"/>
        </w:rPr>
        <w:t>Custodial Accounts</w:t>
      </w:r>
      <w:r w:rsidR="00F35CF8">
        <w:rPr>
          <w:rFonts w:ascii="Times New Roman" w:hAnsi="Times New Roman" w:cs="Times New Roman"/>
          <w:b/>
          <w:bCs/>
          <w:sz w:val="24"/>
        </w:rPr>
        <w:t xml:space="preserve"> </w:t>
      </w:r>
      <w:r w:rsidR="00FC726D">
        <w:rPr>
          <w:rFonts w:ascii="Times New Roman" w:hAnsi="Times New Roman" w:cs="Times New Roman"/>
          <w:b/>
          <w:bCs/>
          <w:sz w:val="24"/>
        </w:rPr>
        <w:t xml:space="preserve">- </w:t>
      </w:r>
      <w:r w:rsidR="00F35CF8">
        <w:rPr>
          <w:rFonts w:ascii="Times New Roman" w:hAnsi="Times New Roman" w:cs="Times New Roman"/>
          <w:sz w:val="24"/>
        </w:rPr>
        <w:t>HUD regulations</w:t>
      </w:r>
      <w:r w:rsidR="00FC726D">
        <w:rPr>
          <w:rFonts w:ascii="Times New Roman" w:hAnsi="Times New Roman" w:cs="Times New Roman"/>
          <w:sz w:val="24"/>
        </w:rPr>
        <w:t xml:space="preserve"> and policies </w:t>
      </w:r>
      <w:r w:rsidR="00F35CF8">
        <w:rPr>
          <w:rFonts w:ascii="Times New Roman" w:hAnsi="Times New Roman" w:cs="Times New Roman"/>
          <w:sz w:val="24"/>
        </w:rPr>
        <w:t>provide that all mortgagees must segregate all escrow funds received from mortgagors with HUD-insured mortgages, including those funds escrowed at closing under an assurance of Completion Agreement.  A special custodial account must be established with a financial institution whose accounts are insured by the Federal Deposit Insurance Corporation or the National Credit Union Administration.</w:t>
      </w:r>
    </w:p>
    <w:p w14:paraId="15BAA7CE" w14:textId="77777777" w:rsidR="00F35CF8" w:rsidRDefault="00F35CF8" w:rsidP="00F35CF8">
      <w:pPr>
        <w:pStyle w:val="HTMLPreformatted"/>
        <w:tabs>
          <w:tab w:val="left" w:pos="1062"/>
        </w:tabs>
        <w:ind w:left="1440"/>
        <w:rPr>
          <w:rFonts w:ascii="Times New Roman" w:hAnsi="Times New Roman" w:cs="Times New Roman"/>
          <w:b/>
          <w:bCs/>
          <w:sz w:val="24"/>
        </w:rPr>
      </w:pPr>
    </w:p>
    <w:p w14:paraId="34C456A3" w14:textId="77777777" w:rsidR="00F35CF8" w:rsidRDefault="00F35CF8" w:rsidP="002501CB">
      <w:pPr>
        <w:pStyle w:val="HTMLPreformatted"/>
        <w:numPr>
          <w:ilvl w:val="0"/>
          <w:numId w:val="8"/>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b/>
          <w:bCs/>
          <w:sz w:val="24"/>
        </w:rPr>
        <w:t>Account Requirements:</w:t>
      </w:r>
      <w:r>
        <w:rPr>
          <w:rFonts w:ascii="Times New Roman" w:hAnsi="Times New Roman" w:cs="Times New Roman"/>
          <w:sz w:val="24"/>
        </w:rPr>
        <w:t xml:space="preserve"> This special custodial account must clearly identify the type of funds being held in that account.  Unless these funds are deposited in the “Trust Clearing Account” discussed below, they must be immediately transferred into the above referenced account and the mortgagor’s records must be posted accordingly.</w:t>
      </w:r>
    </w:p>
    <w:p w14:paraId="6B3C8C05" w14:textId="77777777" w:rsidR="00F35CF8" w:rsidRPr="00F35CF8" w:rsidRDefault="00F35CF8" w:rsidP="0002399C">
      <w:pPr>
        <w:pStyle w:val="HTMLPreformatted"/>
        <w:numPr>
          <w:ilvl w:val="0"/>
          <w:numId w:val="8"/>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rPr>
      </w:pPr>
      <w:r>
        <w:rPr>
          <w:rFonts w:ascii="Times New Roman" w:hAnsi="Times New Roman" w:cs="Times New Roman"/>
          <w:b/>
          <w:bCs/>
          <w:sz w:val="24"/>
        </w:rPr>
        <w:lastRenderedPageBreak/>
        <w:t>Trust Clearing Account:</w:t>
      </w:r>
      <w:r>
        <w:rPr>
          <w:rFonts w:ascii="Times New Roman" w:hAnsi="Times New Roman" w:cs="Times New Roman"/>
          <w:sz w:val="24"/>
        </w:rPr>
        <w:t xml:space="preserve">  For the purpose of expediting the deposit of daily collections, a “Trust Clearing Account” may be established for the deposit of collections received on all types of mortgages.</w:t>
      </w:r>
    </w:p>
    <w:p w14:paraId="0CD48FBC" w14:textId="77777777" w:rsidR="00F35CF8" w:rsidRDefault="00F35CF8" w:rsidP="00F35CF8">
      <w:pPr>
        <w:pStyle w:val="HTMLPreformatted"/>
        <w:tabs>
          <w:tab w:val="left" w:pos="1062"/>
        </w:tabs>
        <w:rPr>
          <w:rFonts w:ascii="Times New Roman" w:hAnsi="Times New Roman" w:cs="Times New Roman"/>
          <w:b/>
          <w:bCs/>
          <w:sz w:val="24"/>
        </w:rPr>
      </w:pPr>
    </w:p>
    <w:p w14:paraId="519AD2C6" w14:textId="77777777" w:rsidR="00EF3907" w:rsidRDefault="00F35CF8" w:rsidP="00C63961">
      <w:pPr>
        <w:pStyle w:val="HTMLPreformatted"/>
        <w:numPr>
          <w:ilvl w:val="0"/>
          <w:numId w:val="25"/>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pPr>
      <w:r>
        <w:rPr>
          <w:rFonts w:ascii="Times New Roman" w:hAnsi="Times New Roman" w:cs="Times New Roman"/>
          <w:b/>
          <w:sz w:val="24"/>
        </w:rPr>
        <w:t>Commingling of Funds</w:t>
      </w:r>
      <w:r w:rsidR="00954999">
        <w:rPr>
          <w:rFonts w:ascii="Times New Roman" w:hAnsi="Times New Roman" w:cs="Times New Roman"/>
          <w:b/>
          <w:sz w:val="24"/>
        </w:rPr>
        <w:t xml:space="preserve"> - </w:t>
      </w:r>
      <w:r w:rsidR="00193F70">
        <w:rPr>
          <w:rFonts w:ascii="Times New Roman" w:hAnsi="Times New Roman" w:cs="Times New Roman"/>
          <w:sz w:val="24"/>
        </w:rPr>
        <w:t>Mortgagees may commingle escrow funds for HUD-insured mortgage i</w:t>
      </w:r>
      <w:r w:rsidR="0054120A">
        <w:rPr>
          <w:rFonts w:ascii="Times New Roman" w:hAnsi="Times New Roman" w:cs="Times New Roman"/>
          <w:sz w:val="24"/>
        </w:rPr>
        <w:t>n</w:t>
      </w:r>
      <w:r w:rsidR="00193F70">
        <w:rPr>
          <w:rFonts w:ascii="Times New Roman" w:hAnsi="Times New Roman" w:cs="Times New Roman"/>
          <w:sz w:val="24"/>
        </w:rPr>
        <w:t xml:space="preserve"> a single bank account which also contains escrow funds for mortgages that are not HUD-insured.  </w:t>
      </w:r>
    </w:p>
    <w:p w14:paraId="3B94C79A" w14:textId="77777777" w:rsidR="00EF3907" w:rsidRPr="000B4958" w:rsidRDefault="00EF3907" w:rsidP="000B4958">
      <w:pPr>
        <w:pStyle w:val="BodyTextIndent"/>
        <w:tabs>
          <w:tab w:val="clear" w:pos="360"/>
        </w:tabs>
      </w:pPr>
    </w:p>
    <w:p w14:paraId="55BA3855" w14:textId="77777777" w:rsidR="008D19D6" w:rsidRDefault="005B43EC" w:rsidP="00956C42">
      <w:pPr>
        <w:pStyle w:val="BodyTextIndent"/>
        <w:numPr>
          <w:ilvl w:val="0"/>
          <w:numId w:val="26"/>
        </w:numPr>
        <w:tabs>
          <w:tab w:val="clear" w:pos="360"/>
          <w:tab w:val="clear" w:pos="1080"/>
        </w:tabs>
        <w:ind w:left="360"/>
      </w:pPr>
      <w:r>
        <w:rPr>
          <w:b/>
          <w:szCs w:val="24"/>
        </w:rPr>
        <w:t xml:space="preserve">Use of Funds - </w:t>
      </w:r>
      <w:r>
        <w:rPr>
          <w:szCs w:val="24"/>
        </w:rPr>
        <w:t xml:space="preserve">Funds in the escrow account </w:t>
      </w:r>
      <w:r>
        <w:t xml:space="preserve">may be treated as one entity.  Even though funds are collected for a specific purpose, such as taxes, they are not restricted to that use and may be used for other mortgage obligations paid from the escrow account. </w:t>
      </w:r>
      <w:r w:rsidR="00EF3907">
        <w:t xml:space="preserve"> </w:t>
      </w:r>
      <w:r>
        <w:t xml:space="preserve">However, </w:t>
      </w:r>
      <w:r>
        <w:rPr>
          <w:szCs w:val="24"/>
        </w:rPr>
        <w:t>e</w:t>
      </w:r>
      <w:r w:rsidR="008D19D6" w:rsidRPr="008D19D6">
        <w:rPr>
          <w:szCs w:val="24"/>
        </w:rPr>
        <w:t xml:space="preserve">scrow funds </w:t>
      </w:r>
      <w:r>
        <w:rPr>
          <w:szCs w:val="24"/>
        </w:rPr>
        <w:t xml:space="preserve">may only be used for escrow obligations.  </w:t>
      </w:r>
      <w:r>
        <w:t>Charges</w:t>
      </w:r>
      <w:r w:rsidR="008D19D6">
        <w:t xml:space="preserve"> such as late </w:t>
      </w:r>
      <w:r>
        <w:t>fees</w:t>
      </w:r>
      <w:r w:rsidR="008D19D6">
        <w:t>, attorney fee</w:t>
      </w:r>
      <w:r>
        <w:t>s</w:t>
      </w:r>
      <w:r w:rsidR="008D19D6">
        <w:t xml:space="preserve"> incurred in foreclosure actions, inspection fee</w:t>
      </w:r>
      <w:r>
        <w:t>s</w:t>
      </w:r>
      <w:r w:rsidR="008D19D6">
        <w:t xml:space="preserve"> </w:t>
      </w:r>
      <w:r>
        <w:t xml:space="preserve">or </w:t>
      </w:r>
      <w:r w:rsidR="008D19D6">
        <w:t xml:space="preserve">mortgage delinquencies </w:t>
      </w:r>
      <w:r>
        <w:t>may</w:t>
      </w:r>
      <w:r w:rsidR="008D19D6">
        <w:t xml:space="preserve"> never be collected by deducting the amount from the mortgagor's escrow account.</w:t>
      </w:r>
      <w:r w:rsidR="0054120A">
        <w:t xml:space="preserve">  </w:t>
      </w:r>
      <w:r w:rsidR="00BF7FF0">
        <w:t>The restrictions on use of funds are standard practice within the</w:t>
      </w:r>
      <w:r w:rsidR="00205E12">
        <w:t xml:space="preserve"> mortgage industry on all FHA, </w:t>
      </w:r>
      <w:r w:rsidR="00C63961">
        <w:t>V</w:t>
      </w:r>
      <w:r w:rsidR="00BF7FF0">
        <w:t>A and conventional loans, therefore HUD ascribes no burden hours.</w:t>
      </w:r>
    </w:p>
    <w:p w14:paraId="64100977" w14:textId="77777777" w:rsidR="0054120A" w:rsidRDefault="0054120A" w:rsidP="0054120A">
      <w:pPr>
        <w:pStyle w:val="BodyTextIndent"/>
        <w:tabs>
          <w:tab w:val="clear" w:pos="360"/>
        </w:tabs>
        <w:ind w:left="720" w:firstLine="0"/>
      </w:pPr>
    </w:p>
    <w:p w14:paraId="56480C58" w14:textId="77777777" w:rsidR="002F1307" w:rsidRDefault="005B43EC" w:rsidP="00956C42">
      <w:pPr>
        <w:pStyle w:val="HTMLPreformatted"/>
        <w:numPr>
          <w:ilvl w:val="0"/>
          <w:numId w:val="27"/>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b/>
          <w:sz w:val="24"/>
          <w:szCs w:val="24"/>
        </w:rPr>
        <w:t xml:space="preserve">Interest Bearing Accounts - </w:t>
      </w:r>
      <w:r w:rsidR="0054120A" w:rsidRPr="002F1307">
        <w:rPr>
          <w:rFonts w:ascii="Times New Roman" w:hAnsi="Times New Roman" w:cs="Times New Roman"/>
          <w:sz w:val="24"/>
          <w:szCs w:val="24"/>
        </w:rPr>
        <w:t xml:space="preserve">HUD neither </w:t>
      </w:r>
      <w:r>
        <w:rPr>
          <w:rFonts w:ascii="Times New Roman" w:hAnsi="Times New Roman" w:cs="Times New Roman"/>
          <w:sz w:val="24"/>
          <w:szCs w:val="24"/>
        </w:rPr>
        <w:t>prohibit</w:t>
      </w:r>
      <w:r w:rsidRPr="002F1307">
        <w:rPr>
          <w:rFonts w:ascii="Times New Roman" w:hAnsi="Times New Roman" w:cs="Times New Roman"/>
          <w:sz w:val="24"/>
          <w:szCs w:val="24"/>
        </w:rPr>
        <w:t xml:space="preserve"> </w:t>
      </w:r>
      <w:r w:rsidR="0054120A" w:rsidRPr="002F1307">
        <w:rPr>
          <w:rFonts w:ascii="Times New Roman" w:hAnsi="Times New Roman" w:cs="Times New Roman"/>
          <w:sz w:val="24"/>
          <w:szCs w:val="24"/>
        </w:rPr>
        <w:t xml:space="preserve">nor require that escrow accounts earn interest. </w:t>
      </w:r>
      <w:r>
        <w:rPr>
          <w:rFonts w:ascii="Times New Roman" w:hAnsi="Times New Roman" w:cs="Times New Roman"/>
          <w:sz w:val="24"/>
          <w:szCs w:val="24"/>
        </w:rPr>
        <w:t>However, w</w:t>
      </w:r>
      <w:r w:rsidR="0054120A" w:rsidRPr="002F1307">
        <w:rPr>
          <w:rFonts w:ascii="Times New Roman" w:hAnsi="Times New Roman" w:cs="Times New Roman"/>
          <w:sz w:val="24"/>
          <w:szCs w:val="24"/>
        </w:rPr>
        <w:t xml:space="preserve">hen escrow funds are invested, the net income derived from this investment must be passed on to the mortgagor in the form of interest.  The investment and payment must be in compliance with state and/or; regulatory agency requirements governing the handling and/or payment of interest earned </w:t>
      </w:r>
      <w:r w:rsidR="00B76352" w:rsidRPr="002F1307">
        <w:rPr>
          <w:rFonts w:ascii="Times New Roman" w:hAnsi="Times New Roman" w:cs="Times New Roman"/>
          <w:sz w:val="24"/>
          <w:szCs w:val="24"/>
        </w:rPr>
        <w:t>on a mortgagor’s escrow account.  The m</w:t>
      </w:r>
      <w:r w:rsidR="0054120A" w:rsidRPr="002F1307">
        <w:rPr>
          <w:rFonts w:ascii="Times New Roman" w:hAnsi="Times New Roman" w:cs="Times New Roman"/>
          <w:sz w:val="24"/>
          <w:szCs w:val="24"/>
        </w:rPr>
        <w:t>ortgagor is entitled to receive the net earnings from the investment of the mortgagor's funds after deducting the actual cost of administeri</w:t>
      </w:r>
      <w:r w:rsidR="00B76352" w:rsidRPr="002F1307">
        <w:rPr>
          <w:rFonts w:ascii="Times New Roman" w:hAnsi="Times New Roman" w:cs="Times New Roman"/>
          <w:sz w:val="24"/>
          <w:szCs w:val="24"/>
        </w:rPr>
        <w:t>ng the interest bearing account</w:t>
      </w:r>
      <w:r w:rsidR="0054120A" w:rsidRPr="002F1307">
        <w:rPr>
          <w:rFonts w:ascii="Times New Roman" w:hAnsi="Times New Roman" w:cs="Times New Roman"/>
          <w:sz w:val="24"/>
          <w:szCs w:val="24"/>
        </w:rPr>
        <w:t xml:space="preserve"> and</w:t>
      </w:r>
      <w:r w:rsidR="00B76352" w:rsidRPr="002F1307">
        <w:rPr>
          <w:rFonts w:ascii="Times New Roman" w:hAnsi="Times New Roman" w:cs="Times New Roman"/>
          <w:sz w:val="24"/>
          <w:szCs w:val="24"/>
        </w:rPr>
        <w:t xml:space="preserve"> e</w:t>
      </w:r>
      <w:r w:rsidR="0054120A" w:rsidRPr="002F1307">
        <w:rPr>
          <w:rFonts w:ascii="Times New Roman" w:hAnsi="Times New Roman" w:cs="Times New Roman"/>
          <w:sz w:val="24"/>
          <w:szCs w:val="24"/>
        </w:rPr>
        <w:t>xpenses charged the mortgagor for maintaining the interest-bearing escrow account may not exceed the gross interest earned from investing the funds in that account.</w:t>
      </w:r>
      <w:r w:rsidR="008738FB">
        <w:rPr>
          <w:rFonts w:ascii="Times New Roman" w:hAnsi="Times New Roman" w:cs="Times New Roman"/>
          <w:sz w:val="24"/>
          <w:szCs w:val="24"/>
        </w:rPr>
        <w:t xml:space="preserve">  </w:t>
      </w:r>
      <w:r w:rsidR="00BF7FF0">
        <w:rPr>
          <w:rFonts w:ascii="Times New Roman" w:hAnsi="Times New Roman" w:cs="Times New Roman"/>
          <w:sz w:val="24"/>
          <w:szCs w:val="24"/>
        </w:rPr>
        <w:t>Payment of i</w:t>
      </w:r>
      <w:r w:rsidR="002F1307">
        <w:rPr>
          <w:rFonts w:ascii="Times New Roman" w:hAnsi="Times New Roman" w:cs="Times New Roman"/>
          <w:sz w:val="24"/>
          <w:szCs w:val="24"/>
        </w:rPr>
        <w:t>nterest on e</w:t>
      </w:r>
      <w:r w:rsidR="002F1307" w:rsidRPr="002F1307">
        <w:rPr>
          <w:rFonts w:ascii="Times New Roman" w:hAnsi="Times New Roman" w:cs="Times New Roman"/>
          <w:sz w:val="24"/>
        </w:rPr>
        <w:t xml:space="preserve">scrow accounts </w:t>
      </w:r>
      <w:r w:rsidR="00BF7FF0">
        <w:rPr>
          <w:rFonts w:ascii="Times New Roman" w:hAnsi="Times New Roman" w:cs="Times New Roman"/>
          <w:sz w:val="24"/>
        </w:rPr>
        <w:t>is</w:t>
      </w:r>
      <w:r w:rsidR="00BF7FF0" w:rsidRPr="002F1307">
        <w:rPr>
          <w:rFonts w:ascii="Times New Roman" w:hAnsi="Times New Roman" w:cs="Times New Roman"/>
          <w:sz w:val="24"/>
        </w:rPr>
        <w:t xml:space="preserve"> </w:t>
      </w:r>
      <w:r w:rsidR="002F1307" w:rsidRPr="002F1307">
        <w:rPr>
          <w:rFonts w:ascii="Times New Roman" w:hAnsi="Times New Roman" w:cs="Times New Roman"/>
          <w:sz w:val="24"/>
        </w:rPr>
        <w:t>a standard practice within the mortgage industry on all FHA, VA and conventional loans, therefore HUD ascribes no burden hours.</w:t>
      </w:r>
    </w:p>
    <w:p w14:paraId="250E7E50" w14:textId="77777777" w:rsidR="00BF7FF0" w:rsidRPr="002F1307" w:rsidRDefault="00BF7FF0" w:rsidP="002F130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14:paraId="38107D95" w14:textId="77777777" w:rsidR="00BF7FF0" w:rsidRDefault="00BF7FF0" w:rsidP="00956C42">
      <w:pPr>
        <w:pStyle w:val="HTMLPreformatted"/>
        <w:numPr>
          <w:ilvl w:val="0"/>
          <w:numId w:val="28"/>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b/>
          <w:sz w:val="24"/>
        </w:rPr>
        <w:t xml:space="preserve">Timely Payments and Advances - </w:t>
      </w:r>
      <w:r>
        <w:rPr>
          <w:rFonts w:ascii="Times New Roman" w:hAnsi="Times New Roman" w:cs="Times New Roman"/>
          <w:sz w:val="24"/>
        </w:rPr>
        <w:t>The mortgagee is responsible to make disbursements as bills become payable even if it requires advancing corporate funds where escrow deposits are inadequate to meet these obligations</w:t>
      </w:r>
      <w:r w:rsidR="008E3E29">
        <w:rPr>
          <w:rFonts w:ascii="Times New Roman" w:hAnsi="Times New Roman" w:cs="Times New Roman"/>
          <w:sz w:val="24"/>
        </w:rPr>
        <w:t xml:space="preserve"> </w:t>
      </w:r>
      <w:r>
        <w:rPr>
          <w:rFonts w:ascii="Times New Roman" w:hAnsi="Times New Roman" w:cs="Times New Roman"/>
          <w:sz w:val="24"/>
        </w:rPr>
        <w:t>(</w:t>
      </w:r>
      <w:r w:rsidRPr="00C72A93">
        <w:rPr>
          <w:rFonts w:ascii="Times New Roman" w:hAnsi="Times New Roman" w:cs="Times New Roman"/>
          <w:sz w:val="24"/>
        </w:rPr>
        <w:t>24 CFR § 203.550</w:t>
      </w:r>
      <w:r>
        <w:rPr>
          <w:rFonts w:ascii="Times New Roman" w:hAnsi="Times New Roman" w:cs="Times New Roman"/>
          <w:sz w:val="24"/>
        </w:rPr>
        <w:t>).  When making disbursements for bills and taxes, mortgagees must send payment</w:t>
      </w:r>
      <w:r w:rsidR="008E3E29">
        <w:rPr>
          <w:rFonts w:ascii="Times New Roman" w:hAnsi="Times New Roman" w:cs="Times New Roman"/>
          <w:sz w:val="24"/>
        </w:rPr>
        <w:t>s</w:t>
      </w:r>
      <w:r>
        <w:rPr>
          <w:rFonts w:ascii="Times New Roman" w:hAnsi="Times New Roman" w:cs="Times New Roman"/>
          <w:sz w:val="24"/>
        </w:rPr>
        <w:t xml:space="preserve"> directly to the billing agency or the taxing authority.  Mortgagees must establish controls to ensure that bills payable from the escrow account or the billing information needed to pay them is obtained on a timely basis.  If a bill has not been received within a reasonable time before the payment due date, the mortgagee shall contact the billing agency and request that the bill be provided promptly.  The mortgagor may be contacted to determine if the bill was sent to him/her rather than to the mortgagee.  However, it is not he mortgagor’s responsibility to contact the billing agency or to provide the mortgagee with a bill unless it has been sent to him/her in error.  </w:t>
      </w:r>
      <w:r>
        <w:rPr>
          <w:rFonts w:ascii="Times New Roman" w:hAnsi="Times New Roman" w:cs="Times New Roman"/>
          <w:sz w:val="24"/>
          <w:szCs w:val="24"/>
        </w:rPr>
        <w:t>Timely payment of e</w:t>
      </w:r>
      <w:r w:rsidRPr="002F1307">
        <w:rPr>
          <w:rFonts w:ascii="Times New Roman" w:hAnsi="Times New Roman" w:cs="Times New Roman"/>
          <w:sz w:val="24"/>
        </w:rPr>
        <w:t xml:space="preserve">scrow </w:t>
      </w:r>
      <w:r>
        <w:rPr>
          <w:rFonts w:ascii="Times New Roman" w:hAnsi="Times New Roman" w:cs="Times New Roman"/>
          <w:sz w:val="24"/>
        </w:rPr>
        <w:t>obligations and the requirement to advance funds when necessary are</w:t>
      </w:r>
      <w:r w:rsidRPr="002F1307">
        <w:rPr>
          <w:rFonts w:ascii="Times New Roman" w:hAnsi="Times New Roman" w:cs="Times New Roman"/>
          <w:sz w:val="24"/>
        </w:rPr>
        <w:t xml:space="preserve"> standard practice</w:t>
      </w:r>
      <w:r>
        <w:rPr>
          <w:rFonts w:ascii="Times New Roman" w:hAnsi="Times New Roman" w:cs="Times New Roman"/>
          <w:sz w:val="24"/>
        </w:rPr>
        <w:t>s</w:t>
      </w:r>
      <w:r w:rsidRPr="002F1307">
        <w:rPr>
          <w:rFonts w:ascii="Times New Roman" w:hAnsi="Times New Roman" w:cs="Times New Roman"/>
          <w:sz w:val="24"/>
        </w:rPr>
        <w:t xml:space="preserve"> within the mortgage industry on all FHA, VA and conventional loans, therefore HUD ascribes no burden hours.</w:t>
      </w:r>
    </w:p>
    <w:p w14:paraId="6BAE91A5" w14:textId="77777777" w:rsidR="008D19D6" w:rsidRPr="002F1307" w:rsidRDefault="008D19D6" w:rsidP="00BF7FF0">
      <w:pPr>
        <w:jc w:val="both"/>
        <w:rPr>
          <w:sz w:val="24"/>
        </w:rPr>
      </w:pPr>
    </w:p>
    <w:p w14:paraId="231662F3" w14:textId="77777777" w:rsidR="00C06647" w:rsidRDefault="005B43EC" w:rsidP="00956C42">
      <w:pPr>
        <w:numPr>
          <w:ilvl w:val="0"/>
          <w:numId w:val="29"/>
        </w:numPr>
        <w:tabs>
          <w:tab w:val="clear" w:pos="1080"/>
        </w:tabs>
        <w:ind w:left="360"/>
        <w:jc w:val="both"/>
        <w:rPr>
          <w:sz w:val="24"/>
          <w:szCs w:val="24"/>
        </w:rPr>
      </w:pPr>
      <w:r w:rsidRPr="005B43EC">
        <w:rPr>
          <w:b/>
          <w:sz w:val="24"/>
        </w:rPr>
        <w:t>Escrow Items</w:t>
      </w:r>
      <w:r>
        <w:rPr>
          <w:sz w:val="24"/>
        </w:rPr>
        <w:t xml:space="preserve"> - </w:t>
      </w:r>
      <w:r w:rsidR="00BA4704">
        <w:rPr>
          <w:sz w:val="24"/>
        </w:rPr>
        <w:t>The mortgagee is responsible for collecting a monthly amount that will enable payment of all escrow obligations in accordance with the security instruments.</w:t>
      </w:r>
      <w:r w:rsidR="00EF3907">
        <w:rPr>
          <w:sz w:val="24"/>
        </w:rPr>
        <w:t xml:space="preserve"> </w:t>
      </w:r>
      <w:r w:rsidR="00BA4704">
        <w:rPr>
          <w:sz w:val="24"/>
        </w:rPr>
        <w:t xml:space="preserve"> These items are included in the chart below.</w:t>
      </w:r>
    </w:p>
    <w:p w14:paraId="2CDECF6F" w14:textId="77777777" w:rsidR="00EF3907" w:rsidRDefault="00EF3907" w:rsidP="00C06647">
      <w:pPr>
        <w:jc w:val="both"/>
        <w:rPr>
          <w:sz w:val="24"/>
          <w:szCs w:val="24"/>
        </w:rPr>
      </w:pPr>
    </w:p>
    <w:p w14:paraId="7AC88FEA" w14:textId="77777777" w:rsidR="00EF3907" w:rsidRDefault="00EF3907" w:rsidP="00C06647">
      <w:pPr>
        <w:jc w:val="both"/>
        <w:rPr>
          <w:sz w:val="24"/>
          <w:szCs w:val="24"/>
        </w:rPr>
      </w:pPr>
    </w:p>
    <w:p w14:paraId="7B4605DB" w14:textId="77777777" w:rsidR="00EF3907" w:rsidRDefault="00EF3907" w:rsidP="00C06647">
      <w:pPr>
        <w:jc w:val="both"/>
        <w:rPr>
          <w:sz w:val="24"/>
          <w:szCs w:val="24"/>
        </w:rPr>
      </w:pPr>
    </w:p>
    <w:p w14:paraId="485B9A85" w14:textId="77777777" w:rsidR="00EF3907" w:rsidRDefault="00EF3907" w:rsidP="00C06647">
      <w:pPr>
        <w:jc w:val="both"/>
        <w:rPr>
          <w:sz w:val="24"/>
          <w:szCs w:val="24"/>
        </w:rPr>
      </w:pPr>
    </w:p>
    <w:p w14:paraId="7D43B2CF" w14:textId="77777777" w:rsidR="00EF3907" w:rsidRDefault="00EF3907" w:rsidP="00C06647">
      <w:pPr>
        <w:jc w:val="both"/>
        <w:rPr>
          <w:sz w:val="24"/>
          <w:szCs w:val="24"/>
        </w:rPr>
      </w:pPr>
    </w:p>
    <w:p w14:paraId="292FAEE1" w14:textId="77777777" w:rsidR="00EF3907" w:rsidRDefault="00EF3907" w:rsidP="00C06647">
      <w:pPr>
        <w:jc w:val="both"/>
        <w:rPr>
          <w:sz w:val="24"/>
          <w:szCs w:val="24"/>
        </w:rPr>
      </w:pPr>
    </w:p>
    <w:p w14:paraId="2554B4FF" w14:textId="77777777" w:rsidR="00EF3907" w:rsidRDefault="00EF3907" w:rsidP="00C06647">
      <w:pPr>
        <w:jc w:val="both"/>
        <w:rPr>
          <w:sz w:val="24"/>
          <w:szCs w:val="24"/>
        </w:rPr>
      </w:pPr>
    </w:p>
    <w:p w14:paraId="3DB06A83" w14:textId="77777777" w:rsidR="00EF3907" w:rsidRDefault="00EF3907" w:rsidP="00C06647">
      <w:pPr>
        <w:jc w:val="both"/>
        <w:rPr>
          <w:sz w:val="24"/>
          <w:szCs w:val="24"/>
        </w:rPr>
      </w:pPr>
    </w:p>
    <w:p w14:paraId="33F2EF32" w14:textId="77777777" w:rsidR="00EF3907" w:rsidRDefault="00EF3907" w:rsidP="00C06647">
      <w:pPr>
        <w:jc w:val="both"/>
        <w:rPr>
          <w:sz w:val="24"/>
          <w:szCs w:val="24"/>
        </w:rPr>
      </w:pPr>
    </w:p>
    <w:p w14:paraId="09CF0F35" w14:textId="77777777" w:rsidR="00EF3907" w:rsidRDefault="00EF3907" w:rsidP="00C06647">
      <w:pPr>
        <w:jc w:val="both"/>
        <w:rPr>
          <w:sz w:val="24"/>
          <w:szCs w:val="24"/>
        </w:rPr>
      </w:pPr>
    </w:p>
    <w:p w14:paraId="67872703" w14:textId="77777777" w:rsidR="00EF3907" w:rsidRDefault="00EF3907" w:rsidP="00C06647">
      <w:pPr>
        <w:jc w:val="both"/>
        <w:rPr>
          <w:sz w:val="24"/>
          <w:szCs w:val="24"/>
        </w:rPr>
      </w:pPr>
    </w:p>
    <w:p w14:paraId="46F09839" w14:textId="77777777" w:rsidR="00EF3907" w:rsidRPr="008738FB" w:rsidRDefault="00EF3907" w:rsidP="00C06647">
      <w:pPr>
        <w:jc w:val="both"/>
        <w:rPr>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gridCol w:w="2536"/>
      </w:tblGrid>
      <w:tr w:rsidR="00BA4704" w14:paraId="5A4BB39E" w14:textId="77777777" w:rsidTr="00A42466">
        <w:trPr>
          <w:cantSplit/>
          <w:trHeight w:val="350"/>
        </w:trPr>
        <w:tc>
          <w:tcPr>
            <w:tcW w:w="0" w:type="auto"/>
            <w:gridSpan w:val="2"/>
            <w:shd w:val="clear" w:color="auto" w:fill="666666"/>
            <w:vAlign w:val="center"/>
          </w:tcPr>
          <w:p w14:paraId="170C9F65" w14:textId="77777777" w:rsidR="00BA4704" w:rsidRPr="002E6C8C" w:rsidRDefault="00BA4704">
            <w:pPr>
              <w:pStyle w:val="Heading7"/>
              <w:jc w:val="center"/>
              <w:rPr>
                <w:rFonts w:ascii="Times New Roman Bold" w:hAnsi="Times New Roman Bold"/>
                <w:sz w:val="28"/>
                <w:szCs w:val="28"/>
              </w:rPr>
            </w:pPr>
            <w:r w:rsidRPr="002E6C8C">
              <w:rPr>
                <w:rFonts w:ascii="Times New Roman Bold" w:hAnsi="Times New Roman Bold"/>
                <w:sz w:val="28"/>
                <w:szCs w:val="28"/>
              </w:rPr>
              <w:t>Funds Collected by the Mortgagee</w:t>
            </w:r>
          </w:p>
        </w:tc>
      </w:tr>
      <w:tr w:rsidR="00BA4704" w14:paraId="77FC6903" w14:textId="77777777" w:rsidTr="00A42466">
        <w:trPr>
          <w:trHeight w:val="350"/>
        </w:trPr>
        <w:tc>
          <w:tcPr>
            <w:tcW w:w="0" w:type="auto"/>
            <w:shd w:val="clear" w:color="auto" w:fill="D9D9D9"/>
            <w:vAlign w:val="center"/>
          </w:tcPr>
          <w:p w14:paraId="25368AA5" w14:textId="77777777" w:rsidR="00BA4704" w:rsidRPr="002E6C8C" w:rsidRDefault="00BA4704">
            <w:pPr>
              <w:jc w:val="center"/>
              <w:rPr>
                <w:rFonts w:ascii="Times New Roman Bold" w:hAnsi="Times New Roman Bold" w:cs="Arial"/>
                <w:b/>
                <w:bCs/>
                <w:sz w:val="24"/>
                <w:szCs w:val="24"/>
              </w:rPr>
            </w:pPr>
            <w:r w:rsidRPr="002E6C8C">
              <w:rPr>
                <w:rFonts w:ascii="Times New Roman Bold" w:hAnsi="Times New Roman Bold" w:cs="Arial"/>
                <w:b/>
                <w:bCs/>
                <w:sz w:val="24"/>
                <w:szCs w:val="24"/>
              </w:rPr>
              <w:t>Escrow Items</w:t>
            </w:r>
          </w:p>
        </w:tc>
        <w:tc>
          <w:tcPr>
            <w:tcW w:w="0" w:type="auto"/>
            <w:shd w:val="clear" w:color="auto" w:fill="D9D9D9"/>
            <w:vAlign w:val="center"/>
          </w:tcPr>
          <w:p w14:paraId="3871920A" w14:textId="77777777" w:rsidR="00BA4704" w:rsidRPr="002E6C8C" w:rsidRDefault="00BA4704">
            <w:pPr>
              <w:pStyle w:val="Heading9"/>
              <w:rPr>
                <w:rFonts w:ascii="Times New Roman Bold" w:hAnsi="Times New Roman Bold"/>
                <w:sz w:val="24"/>
              </w:rPr>
            </w:pPr>
            <w:r w:rsidRPr="002E6C8C">
              <w:rPr>
                <w:rFonts w:ascii="Times New Roman Bold" w:hAnsi="Times New Roman Bold"/>
                <w:sz w:val="24"/>
              </w:rPr>
              <w:t>Obligation</w:t>
            </w:r>
          </w:p>
        </w:tc>
      </w:tr>
      <w:tr w:rsidR="00C425A0" w14:paraId="789BE3F7" w14:textId="77777777" w:rsidTr="00A42466">
        <w:trPr>
          <w:trHeight w:val="465"/>
        </w:trPr>
        <w:tc>
          <w:tcPr>
            <w:tcW w:w="0" w:type="auto"/>
            <w:shd w:val="clear" w:color="auto" w:fill="E6E6E6"/>
            <w:vAlign w:val="center"/>
          </w:tcPr>
          <w:p w14:paraId="2955A10F" w14:textId="77777777" w:rsidR="00C425A0" w:rsidRPr="008738FB" w:rsidRDefault="00C425A0">
            <w:pPr>
              <w:pStyle w:val="Heading8"/>
              <w:rPr>
                <w:rFonts w:ascii="Times New Roman Bold" w:hAnsi="Times New Roman Bold"/>
                <w:sz w:val="24"/>
              </w:rPr>
            </w:pPr>
            <w:r w:rsidRPr="008738FB">
              <w:rPr>
                <w:rFonts w:ascii="Times New Roman Bold" w:hAnsi="Times New Roman Bold"/>
                <w:sz w:val="24"/>
              </w:rPr>
              <w:t>Real Property Taxes</w:t>
            </w:r>
          </w:p>
        </w:tc>
        <w:tc>
          <w:tcPr>
            <w:tcW w:w="0" w:type="auto"/>
            <w:vAlign w:val="center"/>
          </w:tcPr>
          <w:p w14:paraId="551097C9" w14:textId="77777777" w:rsidR="00C425A0" w:rsidRPr="002E6C8C" w:rsidRDefault="00C425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Arial"/>
                <w:sz w:val="24"/>
                <w:szCs w:val="24"/>
              </w:rPr>
            </w:pPr>
            <w:r w:rsidRPr="002E6C8C">
              <w:rPr>
                <w:rFonts w:ascii="Times New Roman" w:hAnsi="Times New Roman" w:cs="Arial"/>
                <w:sz w:val="24"/>
              </w:rPr>
              <w:t>Required</w:t>
            </w:r>
          </w:p>
        </w:tc>
      </w:tr>
      <w:tr w:rsidR="00BA4704" w14:paraId="52A51388" w14:textId="77777777" w:rsidTr="00A42466">
        <w:trPr>
          <w:trHeight w:val="465"/>
        </w:trPr>
        <w:tc>
          <w:tcPr>
            <w:tcW w:w="0" w:type="auto"/>
            <w:shd w:val="clear" w:color="auto" w:fill="E6E6E6"/>
            <w:vAlign w:val="center"/>
          </w:tcPr>
          <w:p w14:paraId="0F8574CB" w14:textId="77777777" w:rsidR="00BA4704" w:rsidRPr="008738FB" w:rsidRDefault="00BA4704">
            <w:pPr>
              <w:pStyle w:val="Heading8"/>
              <w:rPr>
                <w:rFonts w:ascii="Times New Roman" w:hAnsi="Times New Roman"/>
                <w:sz w:val="24"/>
              </w:rPr>
            </w:pPr>
            <w:r w:rsidRPr="008738FB">
              <w:rPr>
                <w:rFonts w:ascii="Times New Roman" w:hAnsi="Times New Roman"/>
                <w:sz w:val="24"/>
              </w:rPr>
              <w:t>Hazard Insurance</w:t>
            </w:r>
          </w:p>
          <w:p w14:paraId="0DDE3F2E" w14:textId="77777777" w:rsidR="00BA4704" w:rsidRPr="00AB0503" w:rsidRDefault="00AB0503">
            <w:pPr>
              <w:rPr>
                <w:rFonts w:cs="Arial"/>
              </w:rPr>
            </w:pPr>
            <w:r>
              <w:rPr>
                <w:rFonts w:cs="Arial"/>
              </w:rPr>
              <w:t>(24 CFR</w:t>
            </w:r>
            <w:r w:rsidR="006E037D">
              <w:rPr>
                <w:rFonts w:cs="Arial"/>
              </w:rPr>
              <w:t xml:space="preserve"> </w:t>
            </w:r>
            <w:r w:rsidR="006E037D" w:rsidRPr="004672EB">
              <w:rPr>
                <w:sz w:val="24"/>
              </w:rPr>
              <w:t>§</w:t>
            </w:r>
            <w:r>
              <w:rPr>
                <w:rFonts w:cs="Arial"/>
              </w:rPr>
              <w:t xml:space="preserve"> 203.23(5)</w:t>
            </w:r>
          </w:p>
        </w:tc>
        <w:tc>
          <w:tcPr>
            <w:tcW w:w="0" w:type="auto"/>
            <w:vAlign w:val="center"/>
          </w:tcPr>
          <w:p w14:paraId="222A7A5D" w14:textId="77777777" w:rsidR="00BA4704" w:rsidRPr="002E6C8C" w:rsidRDefault="00C425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Arial"/>
                <w:sz w:val="24"/>
                <w:szCs w:val="24"/>
              </w:rPr>
            </w:pPr>
            <w:r w:rsidRPr="002E6C8C">
              <w:rPr>
                <w:rFonts w:ascii="Times New Roman" w:hAnsi="Times New Roman" w:cs="Arial"/>
                <w:sz w:val="24"/>
                <w:szCs w:val="24"/>
              </w:rPr>
              <w:t>Optional but Customary</w:t>
            </w:r>
          </w:p>
        </w:tc>
      </w:tr>
      <w:tr w:rsidR="00BA4704" w14:paraId="7F626078" w14:textId="77777777" w:rsidTr="00A42466">
        <w:trPr>
          <w:trHeight w:val="465"/>
        </w:trPr>
        <w:tc>
          <w:tcPr>
            <w:tcW w:w="0" w:type="auto"/>
            <w:shd w:val="clear" w:color="auto" w:fill="E6E6E6"/>
            <w:vAlign w:val="center"/>
          </w:tcPr>
          <w:p w14:paraId="21EB28C4" w14:textId="77777777" w:rsidR="00BA4704" w:rsidRPr="008738FB" w:rsidRDefault="00C425A0">
            <w:pPr>
              <w:pStyle w:val="Heading8"/>
              <w:rPr>
                <w:rFonts w:ascii="Times New Roman" w:hAnsi="Times New Roman"/>
                <w:sz w:val="24"/>
              </w:rPr>
            </w:pPr>
            <w:r w:rsidRPr="008738FB">
              <w:rPr>
                <w:rFonts w:ascii="Times New Roman" w:hAnsi="Times New Roman"/>
                <w:sz w:val="24"/>
              </w:rPr>
              <w:t xml:space="preserve">Annual </w:t>
            </w:r>
            <w:r w:rsidR="00BA4704" w:rsidRPr="008738FB">
              <w:rPr>
                <w:rFonts w:ascii="Times New Roman" w:hAnsi="Times New Roman"/>
                <w:sz w:val="24"/>
              </w:rPr>
              <w:t>Mortgage Insurance Premiums</w:t>
            </w:r>
          </w:p>
          <w:p w14:paraId="5587B14E" w14:textId="77777777" w:rsidR="00BA4704" w:rsidRPr="00AB0503" w:rsidRDefault="00BA4704">
            <w:pPr>
              <w:rPr>
                <w:rFonts w:cs="Arial"/>
              </w:rPr>
            </w:pPr>
            <w:r w:rsidRPr="00AB0503">
              <w:rPr>
                <w:rFonts w:cs="Arial"/>
              </w:rPr>
              <w:t>(24 CFR</w:t>
            </w:r>
            <w:r w:rsidR="006E037D">
              <w:rPr>
                <w:rFonts w:cs="Arial"/>
              </w:rPr>
              <w:t xml:space="preserve"> </w:t>
            </w:r>
            <w:r w:rsidR="006E037D" w:rsidRPr="004672EB">
              <w:rPr>
                <w:sz w:val="24"/>
              </w:rPr>
              <w:t>§§</w:t>
            </w:r>
            <w:r w:rsidRPr="00AB0503">
              <w:rPr>
                <w:rFonts w:cs="Arial"/>
              </w:rPr>
              <w:t xml:space="preserve"> 203.22, 203.260, and 203.280)</w:t>
            </w:r>
          </w:p>
        </w:tc>
        <w:tc>
          <w:tcPr>
            <w:tcW w:w="0" w:type="auto"/>
            <w:vAlign w:val="center"/>
          </w:tcPr>
          <w:p w14:paraId="51A9EFD3" w14:textId="77777777" w:rsidR="00BA4704" w:rsidRPr="002E6C8C" w:rsidRDefault="00BA4704">
            <w:pPr>
              <w:rPr>
                <w:rFonts w:cs="Arial"/>
                <w:sz w:val="24"/>
              </w:rPr>
            </w:pPr>
            <w:r w:rsidRPr="002E6C8C">
              <w:rPr>
                <w:rFonts w:cs="Arial"/>
                <w:sz w:val="24"/>
              </w:rPr>
              <w:t>Required</w:t>
            </w:r>
          </w:p>
        </w:tc>
      </w:tr>
      <w:tr w:rsidR="00BA4704" w14:paraId="5A6A9DA7" w14:textId="77777777" w:rsidTr="00A42466">
        <w:trPr>
          <w:trHeight w:val="465"/>
        </w:trPr>
        <w:tc>
          <w:tcPr>
            <w:tcW w:w="0" w:type="auto"/>
            <w:shd w:val="clear" w:color="auto" w:fill="E6E6E6"/>
            <w:vAlign w:val="center"/>
          </w:tcPr>
          <w:p w14:paraId="7C1BCE3B" w14:textId="77777777" w:rsidR="00BA4704" w:rsidRPr="008738FB" w:rsidRDefault="00C425A0">
            <w:pPr>
              <w:pStyle w:val="Heading8"/>
              <w:rPr>
                <w:rFonts w:ascii="Times New Roman" w:hAnsi="Times New Roman"/>
                <w:sz w:val="24"/>
              </w:rPr>
            </w:pPr>
            <w:r w:rsidRPr="008738FB">
              <w:rPr>
                <w:rFonts w:ascii="Times New Roman" w:hAnsi="Times New Roman"/>
                <w:sz w:val="24"/>
              </w:rPr>
              <w:t>Life or Disability Coverage</w:t>
            </w:r>
          </w:p>
        </w:tc>
        <w:tc>
          <w:tcPr>
            <w:tcW w:w="0" w:type="auto"/>
            <w:vAlign w:val="center"/>
          </w:tcPr>
          <w:p w14:paraId="51C3AA57" w14:textId="77777777" w:rsidR="00BA4704" w:rsidRPr="002E6C8C" w:rsidRDefault="00C425A0">
            <w:pPr>
              <w:rPr>
                <w:rFonts w:cs="Arial"/>
                <w:sz w:val="24"/>
              </w:rPr>
            </w:pPr>
            <w:r w:rsidRPr="002E6C8C">
              <w:rPr>
                <w:rFonts w:cs="Arial"/>
                <w:sz w:val="24"/>
              </w:rPr>
              <w:t>Optional</w:t>
            </w:r>
          </w:p>
        </w:tc>
      </w:tr>
      <w:tr w:rsidR="00BA4704" w14:paraId="4978F1BD" w14:textId="77777777" w:rsidTr="00A42466">
        <w:trPr>
          <w:trHeight w:val="465"/>
        </w:trPr>
        <w:tc>
          <w:tcPr>
            <w:tcW w:w="0" w:type="auto"/>
            <w:shd w:val="clear" w:color="auto" w:fill="E6E6E6"/>
            <w:vAlign w:val="center"/>
          </w:tcPr>
          <w:p w14:paraId="472EE589" w14:textId="77777777" w:rsidR="00BA4704" w:rsidRPr="008738FB" w:rsidRDefault="00BA4704">
            <w:pPr>
              <w:pStyle w:val="Heading8"/>
              <w:rPr>
                <w:rFonts w:ascii="Times New Roman" w:hAnsi="Times New Roman"/>
                <w:sz w:val="24"/>
              </w:rPr>
            </w:pPr>
            <w:r w:rsidRPr="008738FB">
              <w:rPr>
                <w:rFonts w:ascii="Times New Roman" w:hAnsi="Times New Roman"/>
                <w:sz w:val="24"/>
              </w:rPr>
              <w:t>Special Assessments</w:t>
            </w:r>
          </w:p>
        </w:tc>
        <w:tc>
          <w:tcPr>
            <w:tcW w:w="0" w:type="auto"/>
            <w:vAlign w:val="center"/>
          </w:tcPr>
          <w:p w14:paraId="6D2898C0" w14:textId="77777777" w:rsidR="00BA4704" w:rsidRPr="002E6C8C" w:rsidRDefault="00BA4704">
            <w:pPr>
              <w:rPr>
                <w:rFonts w:cs="Arial"/>
                <w:sz w:val="24"/>
              </w:rPr>
            </w:pPr>
            <w:r w:rsidRPr="002E6C8C">
              <w:rPr>
                <w:rFonts w:cs="Arial"/>
                <w:sz w:val="24"/>
              </w:rPr>
              <w:t>Required</w:t>
            </w:r>
          </w:p>
        </w:tc>
      </w:tr>
      <w:tr w:rsidR="00BA4704" w14:paraId="7275C050" w14:textId="77777777" w:rsidTr="00A42466">
        <w:trPr>
          <w:trHeight w:val="465"/>
        </w:trPr>
        <w:tc>
          <w:tcPr>
            <w:tcW w:w="0" w:type="auto"/>
            <w:shd w:val="clear" w:color="auto" w:fill="E6E6E6"/>
            <w:vAlign w:val="center"/>
          </w:tcPr>
          <w:p w14:paraId="3FDEC065" w14:textId="77777777" w:rsidR="00BA4704" w:rsidRPr="008738FB" w:rsidRDefault="00BA4704">
            <w:pPr>
              <w:pStyle w:val="Heading8"/>
              <w:rPr>
                <w:rFonts w:ascii="Times New Roman" w:hAnsi="Times New Roman"/>
                <w:sz w:val="24"/>
              </w:rPr>
            </w:pPr>
            <w:r w:rsidRPr="008738FB">
              <w:rPr>
                <w:rFonts w:ascii="Times New Roman" w:hAnsi="Times New Roman"/>
                <w:sz w:val="24"/>
              </w:rPr>
              <w:t>Flood Insurance Premiums</w:t>
            </w:r>
          </w:p>
        </w:tc>
        <w:tc>
          <w:tcPr>
            <w:tcW w:w="0" w:type="auto"/>
            <w:vAlign w:val="center"/>
          </w:tcPr>
          <w:p w14:paraId="5F87A946" w14:textId="77777777" w:rsidR="00BA4704" w:rsidRPr="002E6C8C" w:rsidRDefault="00BA4704">
            <w:pPr>
              <w:rPr>
                <w:rFonts w:cs="Arial"/>
                <w:sz w:val="24"/>
              </w:rPr>
            </w:pPr>
            <w:r w:rsidRPr="002E6C8C">
              <w:rPr>
                <w:rFonts w:cs="Arial"/>
                <w:sz w:val="24"/>
              </w:rPr>
              <w:t>Required</w:t>
            </w:r>
          </w:p>
        </w:tc>
      </w:tr>
      <w:tr w:rsidR="00BA4704" w14:paraId="2887BBE6" w14:textId="77777777" w:rsidTr="00A42466">
        <w:trPr>
          <w:trHeight w:val="465"/>
        </w:trPr>
        <w:tc>
          <w:tcPr>
            <w:tcW w:w="0" w:type="auto"/>
            <w:shd w:val="clear" w:color="auto" w:fill="E6E6E6"/>
            <w:vAlign w:val="center"/>
          </w:tcPr>
          <w:p w14:paraId="2A5FADC2" w14:textId="77777777" w:rsidR="00BA4704" w:rsidRPr="008738FB" w:rsidRDefault="00BA4704">
            <w:pPr>
              <w:pStyle w:val="CommentSubject"/>
              <w:rPr>
                <w:rFonts w:cs="Arial"/>
                <w:sz w:val="24"/>
                <w:szCs w:val="24"/>
              </w:rPr>
            </w:pPr>
            <w:r w:rsidRPr="008738FB">
              <w:rPr>
                <w:rFonts w:cs="Arial"/>
                <w:sz w:val="24"/>
                <w:szCs w:val="24"/>
              </w:rPr>
              <w:t>Homeowners’ Association Dues</w:t>
            </w:r>
          </w:p>
        </w:tc>
        <w:tc>
          <w:tcPr>
            <w:tcW w:w="0" w:type="auto"/>
            <w:vAlign w:val="center"/>
          </w:tcPr>
          <w:p w14:paraId="3399A626" w14:textId="77777777" w:rsidR="00BA4704" w:rsidRPr="002E6C8C" w:rsidRDefault="00BA4704">
            <w:pPr>
              <w:rPr>
                <w:rFonts w:cs="Arial"/>
                <w:sz w:val="24"/>
              </w:rPr>
            </w:pPr>
            <w:r w:rsidRPr="002E6C8C">
              <w:rPr>
                <w:rFonts w:cs="Arial"/>
                <w:sz w:val="24"/>
              </w:rPr>
              <w:t>Optional</w:t>
            </w:r>
          </w:p>
        </w:tc>
      </w:tr>
    </w:tbl>
    <w:p w14:paraId="7A4033F4" w14:textId="77777777" w:rsidR="00EF3907" w:rsidRDefault="00EF3907" w:rsidP="00C066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0C1609D6" w14:textId="77777777" w:rsidR="00BA4704" w:rsidRDefault="00481F27" w:rsidP="00956C42">
      <w:pPr>
        <w:pStyle w:val="HTMLPreformatted"/>
        <w:numPr>
          <w:ilvl w:val="0"/>
          <w:numId w:val="30"/>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481F27">
        <w:rPr>
          <w:rFonts w:ascii="Times New Roman" w:hAnsi="Times New Roman" w:cs="Times New Roman"/>
          <w:b/>
          <w:sz w:val="24"/>
        </w:rPr>
        <w:t>Real Estate Taxes</w:t>
      </w:r>
      <w:r>
        <w:rPr>
          <w:rFonts w:ascii="Times New Roman" w:hAnsi="Times New Roman" w:cs="Times New Roman"/>
          <w:sz w:val="24"/>
        </w:rPr>
        <w:t xml:space="preserve"> </w:t>
      </w:r>
      <w:r w:rsidR="00BF7FF0">
        <w:rPr>
          <w:rFonts w:ascii="Times New Roman" w:hAnsi="Times New Roman" w:cs="Times New Roman"/>
          <w:sz w:val="24"/>
        </w:rPr>
        <w:t xml:space="preserve">-  An escrow account for payment of real estate taxes </w:t>
      </w:r>
      <w:r>
        <w:rPr>
          <w:rFonts w:ascii="Times New Roman" w:hAnsi="Times New Roman" w:cs="Times New Roman"/>
          <w:sz w:val="24"/>
        </w:rPr>
        <w:t xml:space="preserve">must be </w:t>
      </w:r>
      <w:r w:rsidR="00BF7FF0">
        <w:rPr>
          <w:rFonts w:ascii="Times New Roman" w:hAnsi="Times New Roman" w:cs="Times New Roman"/>
          <w:sz w:val="24"/>
        </w:rPr>
        <w:t xml:space="preserve">established </w:t>
      </w:r>
      <w:r w:rsidR="00C425A0">
        <w:rPr>
          <w:rFonts w:ascii="Times New Roman" w:hAnsi="Times New Roman" w:cs="Times New Roman"/>
          <w:sz w:val="24"/>
        </w:rPr>
        <w:t>for FHA insured loans</w:t>
      </w:r>
      <w:r w:rsidR="00BF7FF0">
        <w:rPr>
          <w:rFonts w:ascii="Times New Roman" w:hAnsi="Times New Roman" w:cs="Times New Roman"/>
          <w:sz w:val="24"/>
        </w:rPr>
        <w:t xml:space="preserve"> at the time of loan origination</w:t>
      </w:r>
      <w:r w:rsidR="00A42466">
        <w:rPr>
          <w:rFonts w:ascii="Times New Roman" w:hAnsi="Times New Roman" w:cs="Times New Roman"/>
          <w:sz w:val="24"/>
        </w:rPr>
        <w:t xml:space="preserve"> </w:t>
      </w:r>
      <w:r w:rsidR="00BA4704">
        <w:rPr>
          <w:rFonts w:ascii="Times New Roman" w:hAnsi="Times New Roman" w:cs="Times New Roman"/>
          <w:sz w:val="24"/>
        </w:rPr>
        <w:t xml:space="preserve">(24 CFR </w:t>
      </w:r>
      <w:r w:rsidR="00C72A93" w:rsidRPr="00C72A93">
        <w:rPr>
          <w:rFonts w:ascii="Times New Roman" w:hAnsi="Times New Roman" w:cs="Times New Roman"/>
          <w:sz w:val="24"/>
        </w:rPr>
        <w:t>§</w:t>
      </w:r>
      <w:r w:rsidR="00C72A93">
        <w:rPr>
          <w:rFonts w:ascii="Times New Roman" w:hAnsi="Times New Roman" w:cs="Times New Roman"/>
          <w:sz w:val="24"/>
        </w:rPr>
        <w:t xml:space="preserve"> </w:t>
      </w:r>
      <w:r w:rsidR="00BA4704">
        <w:rPr>
          <w:rFonts w:ascii="Times New Roman" w:hAnsi="Times New Roman" w:cs="Times New Roman"/>
          <w:sz w:val="24"/>
        </w:rPr>
        <w:t xml:space="preserve">203.550(a)).  When the exact amount of the bill is unknown, the mortgagee should contact the taxing authority that has jurisdiction over the property to obtain an estimate of the tax bill.  </w:t>
      </w:r>
      <w:r w:rsidR="00BF7FF0">
        <w:rPr>
          <w:rFonts w:ascii="Times New Roman" w:hAnsi="Times New Roman" w:cs="Times New Roman"/>
          <w:sz w:val="24"/>
        </w:rPr>
        <w:t>For new construction, t</w:t>
      </w:r>
      <w:r w:rsidR="00BA4704">
        <w:rPr>
          <w:rFonts w:ascii="Times New Roman" w:hAnsi="Times New Roman" w:cs="Times New Roman"/>
          <w:sz w:val="24"/>
        </w:rPr>
        <w:t xml:space="preserve">he amount escrowed monthly </w:t>
      </w:r>
      <w:r w:rsidR="00BF7FF0">
        <w:rPr>
          <w:rFonts w:ascii="Times New Roman" w:hAnsi="Times New Roman" w:cs="Times New Roman"/>
          <w:sz w:val="24"/>
        </w:rPr>
        <w:t xml:space="preserve">should be </w:t>
      </w:r>
      <w:r w:rsidR="00BA4704">
        <w:rPr>
          <w:rFonts w:ascii="Times New Roman" w:hAnsi="Times New Roman" w:cs="Times New Roman"/>
          <w:sz w:val="24"/>
        </w:rPr>
        <w:t>based on assessed value of improved land (i.e., value of both the house and the land)</w:t>
      </w:r>
      <w:r w:rsidR="00BF7FF0">
        <w:rPr>
          <w:rFonts w:ascii="Times New Roman" w:hAnsi="Times New Roman" w:cs="Times New Roman"/>
          <w:sz w:val="24"/>
        </w:rPr>
        <w:t>.</w:t>
      </w:r>
      <w:r w:rsidR="00BA4704">
        <w:rPr>
          <w:rFonts w:ascii="Times New Roman" w:hAnsi="Times New Roman" w:cs="Times New Roman"/>
          <w:sz w:val="24"/>
        </w:rPr>
        <w:t xml:space="preserve"> </w:t>
      </w:r>
      <w:r w:rsidR="00BF7FF0">
        <w:rPr>
          <w:rFonts w:ascii="Times New Roman" w:hAnsi="Times New Roman" w:cs="Times New Roman"/>
          <w:sz w:val="24"/>
        </w:rPr>
        <w:t xml:space="preserve"> </w:t>
      </w:r>
      <w:r w:rsidR="00BA4704">
        <w:rPr>
          <w:rFonts w:ascii="Times New Roman" w:hAnsi="Times New Roman" w:cs="Times New Roman"/>
          <w:sz w:val="24"/>
        </w:rPr>
        <w:t>For existing properties, the actual taxes paid in the previous year can serve as a basis for the estimate of the future requirements.</w:t>
      </w:r>
    </w:p>
    <w:p w14:paraId="44840353" w14:textId="77777777" w:rsidR="00BA4704" w:rsidRDefault="00BA4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14:paraId="178063EB" w14:textId="77777777" w:rsidR="00BA4704" w:rsidRDefault="00BF7FF0" w:rsidP="002E6C8C">
      <w:pPr>
        <w:ind w:left="360"/>
        <w:rPr>
          <w:sz w:val="24"/>
        </w:rPr>
      </w:pPr>
      <w:r>
        <w:rPr>
          <w:sz w:val="24"/>
        </w:rPr>
        <w:t xml:space="preserve">Mortgagees are responsible for </w:t>
      </w:r>
      <w:r w:rsidR="00CC336F">
        <w:rPr>
          <w:sz w:val="24"/>
        </w:rPr>
        <w:t>contacting the billing agency or taxing authority to obtain billing information and for making the payments timely.  If funds in the escrow account are insufficient, mortgagees must advance their own funds to assure that taxes are paid timely and to avoid penalties a</w:t>
      </w:r>
      <w:r w:rsidR="00EF3907">
        <w:rPr>
          <w:sz w:val="24"/>
        </w:rPr>
        <w:t>nd/or assessment of interest.  P</w:t>
      </w:r>
      <w:r w:rsidR="00BA4704">
        <w:rPr>
          <w:sz w:val="24"/>
        </w:rPr>
        <w:t>enalties for late tax bill payments shall not be charged to the mortgagor unless it can be shown that the late payment was the result of the mortgagor's error or omission.</w:t>
      </w:r>
      <w:r w:rsidR="00CC336F">
        <w:rPr>
          <w:sz w:val="24"/>
        </w:rPr>
        <w:t xml:space="preserve"> </w:t>
      </w:r>
      <w:r w:rsidR="00EF3907">
        <w:rPr>
          <w:sz w:val="24"/>
        </w:rPr>
        <w:t xml:space="preserve"> </w:t>
      </w:r>
      <w:r w:rsidR="00CC336F">
        <w:rPr>
          <w:sz w:val="24"/>
        </w:rPr>
        <w:t xml:space="preserve">When it is to the mortgagor’s benefit and if sufficient funds are available in the escrow account, tax bills should be paid early to take advantage of discounts.  </w:t>
      </w:r>
    </w:p>
    <w:p w14:paraId="3385DCE7" w14:textId="77777777" w:rsidR="00BA4704" w:rsidRDefault="00BA4704">
      <w:pPr>
        <w:rPr>
          <w:sz w:val="24"/>
        </w:rPr>
      </w:pPr>
    </w:p>
    <w:p w14:paraId="31785C0A" w14:textId="77777777" w:rsidR="00BA4704" w:rsidRDefault="00BA4704" w:rsidP="002E6C8C">
      <w:pPr>
        <w:ind w:left="360"/>
        <w:rPr>
          <w:sz w:val="24"/>
        </w:rPr>
      </w:pPr>
      <w:r>
        <w:rPr>
          <w:sz w:val="24"/>
        </w:rPr>
        <w:t xml:space="preserve">HUD has no objection to the mortgagee contracting with tax service organizations to manage the payment of taxes. </w:t>
      </w:r>
      <w:r w:rsidR="00EF3907">
        <w:rPr>
          <w:sz w:val="24"/>
        </w:rPr>
        <w:t xml:space="preserve"> </w:t>
      </w:r>
      <w:r>
        <w:rPr>
          <w:sz w:val="24"/>
        </w:rPr>
        <w:t>No cost of contracting for this service may be passed onto the mortgagor.</w:t>
      </w:r>
    </w:p>
    <w:p w14:paraId="716FC877" w14:textId="77777777" w:rsidR="00A01FFE" w:rsidRDefault="00A01FFE">
      <w:pPr>
        <w:ind w:left="720"/>
        <w:rPr>
          <w:sz w:val="24"/>
        </w:rPr>
      </w:pPr>
    </w:p>
    <w:p w14:paraId="686A7F74" w14:textId="77777777" w:rsidR="00A01FFE" w:rsidRDefault="00CC336F" w:rsidP="002E6C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Escrow of r</w:t>
      </w:r>
      <w:r w:rsidR="00A01FFE">
        <w:rPr>
          <w:rFonts w:ascii="Times New Roman" w:hAnsi="Times New Roman" w:cs="Times New Roman"/>
          <w:sz w:val="24"/>
        </w:rPr>
        <w:t>eal estate tax</w:t>
      </w:r>
      <w:r>
        <w:rPr>
          <w:rFonts w:ascii="Times New Roman" w:hAnsi="Times New Roman" w:cs="Times New Roman"/>
          <w:sz w:val="24"/>
        </w:rPr>
        <w:t>es</w:t>
      </w:r>
      <w:r w:rsidR="00A01FFE">
        <w:rPr>
          <w:rFonts w:ascii="Times New Roman" w:hAnsi="Times New Roman" w:cs="Times New Roman"/>
          <w:sz w:val="24"/>
        </w:rPr>
        <w:t xml:space="preserve"> is standard practice within the mortgage industry on all FHA, VA and conventional loans, therefore HUD ascribes no burden hours.</w:t>
      </w:r>
    </w:p>
    <w:p w14:paraId="58A879A7" w14:textId="77777777" w:rsidR="00BA4704" w:rsidRDefault="00BA4704">
      <w:pPr>
        <w:rPr>
          <w:sz w:val="24"/>
        </w:rPr>
      </w:pPr>
    </w:p>
    <w:p w14:paraId="524FE6D1" w14:textId="77777777" w:rsidR="00BA4704" w:rsidRDefault="00BA4704" w:rsidP="00956C42">
      <w:pPr>
        <w:pStyle w:val="HTMLPreformatted"/>
        <w:numPr>
          <w:ilvl w:val="0"/>
          <w:numId w:val="31"/>
        </w:numPr>
        <w:tabs>
          <w:tab w:val="clear" w:pos="916"/>
          <w:tab w:val="clear"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b/>
          <w:bCs/>
          <w:sz w:val="24"/>
        </w:rPr>
        <w:t xml:space="preserve">Hazard Insurance </w:t>
      </w:r>
      <w:r w:rsidR="00B81F55">
        <w:rPr>
          <w:rFonts w:ascii="Times New Roman" w:hAnsi="Times New Roman" w:cs="Times New Roman"/>
          <w:bCs/>
          <w:sz w:val="24"/>
        </w:rPr>
        <w:t xml:space="preserve">is not required by </w:t>
      </w:r>
      <w:r w:rsidR="00B81F55">
        <w:rPr>
          <w:rFonts w:ascii="Times New Roman" w:hAnsi="Times New Roman" w:cs="Times New Roman"/>
          <w:sz w:val="24"/>
        </w:rPr>
        <w:t xml:space="preserve">HUD, although the </w:t>
      </w:r>
      <w:r w:rsidR="00CC336F">
        <w:rPr>
          <w:rFonts w:ascii="Times New Roman" w:hAnsi="Times New Roman" w:cs="Times New Roman"/>
          <w:sz w:val="24"/>
        </w:rPr>
        <w:t xml:space="preserve">standard </w:t>
      </w:r>
      <w:r w:rsidR="00B81F55">
        <w:rPr>
          <w:rFonts w:ascii="Times New Roman" w:hAnsi="Times New Roman" w:cs="Times New Roman"/>
          <w:sz w:val="24"/>
        </w:rPr>
        <w:t xml:space="preserve">mortgage </w:t>
      </w:r>
      <w:r w:rsidR="00CC336F">
        <w:rPr>
          <w:rFonts w:ascii="Times New Roman" w:hAnsi="Times New Roman" w:cs="Times New Roman"/>
          <w:sz w:val="24"/>
        </w:rPr>
        <w:t xml:space="preserve">instrument used by FHA insured lenders </w:t>
      </w:r>
      <w:r w:rsidR="00B81F55">
        <w:rPr>
          <w:rFonts w:ascii="Times New Roman" w:hAnsi="Times New Roman" w:cs="Times New Roman"/>
          <w:sz w:val="24"/>
        </w:rPr>
        <w:t>does permit the mortgagee to require it.</w:t>
      </w:r>
      <w:r>
        <w:rPr>
          <w:rFonts w:ascii="Times New Roman" w:hAnsi="Times New Roman" w:cs="Times New Roman"/>
          <w:sz w:val="24"/>
        </w:rPr>
        <w:t xml:space="preserve">  If the mortgagee requires the mortgagor to purchase hazard insurance, the mortgagee must escrow for the payment of renewal premiums.  The mortgagee remits the renewal premium when it is due</w:t>
      </w:r>
      <w:r w:rsidR="00CC336F">
        <w:rPr>
          <w:rFonts w:ascii="Times New Roman" w:hAnsi="Times New Roman" w:cs="Times New Roman"/>
          <w:sz w:val="24"/>
        </w:rPr>
        <w:t xml:space="preserve">, usually annually.  </w:t>
      </w:r>
      <w:r>
        <w:rPr>
          <w:rFonts w:ascii="Times New Roman" w:hAnsi="Times New Roman" w:cs="Times New Roman"/>
          <w:sz w:val="24"/>
        </w:rPr>
        <w:t xml:space="preserve"> </w:t>
      </w:r>
    </w:p>
    <w:p w14:paraId="5E56B006" w14:textId="77777777" w:rsidR="00BA4704" w:rsidRDefault="00BA4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rPr>
          <w:rFonts w:ascii="Times New Roman" w:hAnsi="Times New Roman" w:cs="Times New Roman"/>
          <w:sz w:val="24"/>
        </w:rPr>
      </w:pPr>
    </w:p>
    <w:p w14:paraId="3EABB6B0" w14:textId="77777777" w:rsidR="00A01FFE" w:rsidRDefault="00BA4704" w:rsidP="002E6C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Mortgagors must be permitted to choose their own hazard insurance company.  The mortgagee may not insist on more coverage than is necessary to protect its investment, however, if the mortgagor chooses to insure the property for more than the minimum amount required by the mortgagee, he/she must be permitted to do so.</w:t>
      </w:r>
    </w:p>
    <w:p w14:paraId="5C8C55FA" w14:textId="77777777" w:rsidR="00BA4704" w:rsidRDefault="00BA4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rPr>
          <w:rFonts w:ascii="Times New Roman" w:hAnsi="Times New Roman" w:cs="Times New Roman"/>
          <w:sz w:val="24"/>
        </w:rPr>
      </w:pPr>
    </w:p>
    <w:p w14:paraId="0ECB4212" w14:textId="77777777" w:rsidR="00C02541" w:rsidRDefault="00C02541" w:rsidP="002501CB">
      <w:pPr>
        <w:pStyle w:val="HTMLPreformatted"/>
        <w:numPr>
          <w:ilvl w:val="0"/>
          <w:numId w:val="1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b/>
          <w:bCs/>
          <w:sz w:val="24"/>
        </w:rPr>
        <w:lastRenderedPageBreak/>
        <w:t>Long-Term Policies</w:t>
      </w:r>
      <w:r w:rsidR="00AF447C">
        <w:rPr>
          <w:rFonts w:ascii="Times New Roman" w:hAnsi="Times New Roman" w:cs="Times New Roman"/>
          <w:b/>
          <w:bCs/>
          <w:sz w:val="24"/>
        </w:rPr>
        <w:t xml:space="preserve"> </w:t>
      </w:r>
      <w:r w:rsidR="00AF447C" w:rsidRPr="00AF447C">
        <w:rPr>
          <w:rFonts w:ascii="Times New Roman" w:hAnsi="Times New Roman" w:cs="Times New Roman"/>
          <w:bCs/>
          <w:sz w:val="24"/>
        </w:rPr>
        <w:t>may b</w:t>
      </w:r>
      <w:r w:rsidR="00AF447C">
        <w:rPr>
          <w:rFonts w:ascii="Times New Roman" w:hAnsi="Times New Roman" w:cs="Times New Roman"/>
          <w:sz w:val="24"/>
        </w:rPr>
        <w:t xml:space="preserve">e purchased by </w:t>
      </w:r>
      <w:r>
        <w:rPr>
          <w:rFonts w:ascii="Times New Roman" w:hAnsi="Times New Roman" w:cs="Times New Roman"/>
          <w:sz w:val="24"/>
        </w:rPr>
        <w:t xml:space="preserve">the mortgagor with a term of more than one year, </w:t>
      </w:r>
      <w:r w:rsidR="00AF447C">
        <w:rPr>
          <w:rFonts w:ascii="Times New Roman" w:hAnsi="Times New Roman" w:cs="Times New Roman"/>
          <w:sz w:val="24"/>
        </w:rPr>
        <w:t xml:space="preserve">providing </w:t>
      </w:r>
      <w:r>
        <w:rPr>
          <w:rFonts w:ascii="Times New Roman" w:hAnsi="Times New Roman" w:cs="Times New Roman"/>
          <w:sz w:val="24"/>
        </w:rPr>
        <w:t>the carrier and amount are otherwise acceptable to the mortgagee</w:t>
      </w:r>
      <w:r w:rsidR="00AF447C">
        <w:rPr>
          <w:rFonts w:ascii="Times New Roman" w:hAnsi="Times New Roman" w:cs="Times New Roman"/>
          <w:sz w:val="24"/>
        </w:rPr>
        <w:t>.  T</w:t>
      </w:r>
      <w:r>
        <w:rPr>
          <w:rFonts w:ascii="Times New Roman" w:hAnsi="Times New Roman" w:cs="Times New Roman"/>
          <w:sz w:val="24"/>
        </w:rPr>
        <w:t>he mortgagee may not reject the poli</w:t>
      </w:r>
      <w:r w:rsidR="002501CB">
        <w:rPr>
          <w:rFonts w:ascii="Times New Roman" w:hAnsi="Times New Roman" w:cs="Times New Roman"/>
          <w:sz w:val="24"/>
        </w:rPr>
        <w:t>cy solely because of its term.</w:t>
      </w:r>
    </w:p>
    <w:p w14:paraId="26B275BF" w14:textId="77777777" w:rsidR="00C02541" w:rsidRDefault="00C02541" w:rsidP="0002399C">
      <w:pPr>
        <w:pStyle w:val="HTMLPreformatted"/>
        <w:numPr>
          <w:ilvl w:val="0"/>
          <w:numId w:val="1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b/>
          <w:bCs/>
          <w:sz w:val="24"/>
        </w:rPr>
        <w:t>Homeowner’s Policies</w:t>
      </w:r>
      <w:r>
        <w:rPr>
          <w:rFonts w:ascii="Times New Roman" w:hAnsi="Times New Roman" w:cs="Times New Roman"/>
          <w:sz w:val="24"/>
        </w:rPr>
        <w:t xml:space="preserve"> may include coverage’s not directly related to the property, which cover personal liability, personal property, etc.  If the mortgagor wishes this added coverage and the mortgagee finds it acceptable, the full renewal premium may be collected.  If the combined coverage is included in on a premium payment, the HUD expects mortgagees to escrow and disburse that amount.</w:t>
      </w:r>
    </w:p>
    <w:p w14:paraId="275BE59F" w14:textId="77777777" w:rsidR="00C02541" w:rsidRDefault="00C02541" w:rsidP="00E9381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rPr>
          <w:rFonts w:ascii="Times New Roman" w:hAnsi="Times New Roman" w:cs="Times New Roman"/>
          <w:sz w:val="24"/>
        </w:rPr>
      </w:pPr>
    </w:p>
    <w:p w14:paraId="0B84D84F" w14:textId="77777777" w:rsidR="00123D43" w:rsidRDefault="00BA4704" w:rsidP="0002399C">
      <w:pPr>
        <w:pStyle w:val="HTMLPreformatted"/>
        <w:numPr>
          <w:ilvl w:val="1"/>
          <w:numId w:val="11"/>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b/>
          <w:bCs/>
          <w:sz w:val="24"/>
        </w:rPr>
        <w:t>Forced Placed Insurance</w:t>
      </w:r>
      <w:r>
        <w:rPr>
          <w:rFonts w:ascii="Times New Roman" w:hAnsi="Times New Roman" w:cs="Times New Roman"/>
          <w:sz w:val="24"/>
        </w:rPr>
        <w:t xml:space="preserve"> </w:t>
      </w:r>
      <w:r w:rsidR="00123D43">
        <w:rPr>
          <w:rFonts w:ascii="Times New Roman" w:hAnsi="Times New Roman" w:cs="Times New Roman"/>
          <w:sz w:val="24"/>
        </w:rPr>
        <w:t xml:space="preserve">– When required hazard insurance coverage is terminated by a carrier for reasons other than the mortgagee’s failure to make timely premium payments, forced placed insurance </w:t>
      </w:r>
      <w:r>
        <w:rPr>
          <w:rFonts w:ascii="Times New Roman" w:hAnsi="Times New Roman" w:cs="Times New Roman"/>
          <w:sz w:val="24"/>
        </w:rPr>
        <w:t xml:space="preserve">coverage </w:t>
      </w:r>
      <w:r w:rsidR="00123D43">
        <w:rPr>
          <w:rFonts w:ascii="Times New Roman" w:hAnsi="Times New Roman" w:cs="Times New Roman"/>
          <w:sz w:val="24"/>
        </w:rPr>
        <w:t xml:space="preserve">may </w:t>
      </w:r>
      <w:r>
        <w:rPr>
          <w:rFonts w:ascii="Times New Roman" w:hAnsi="Times New Roman" w:cs="Times New Roman"/>
          <w:sz w:val="24"/>
        </w:rPr>
        <w:t xml:space="preserve">be obtained by the mortgagee at a </w:t>
      </w:r>
      <w:r w:rsidRPr="00AF447C">
        <w:rPr>
          <w:rFonts w:ascii="Times New Roman" w:hAnsi="Times New Roman" w:cs="Times New Roman"/>
          <w:bCs/>
          <w:sz w:val="24"/>
        </w:rPr>
        <w:t>reasonable rate</w:t>
      </w:r>
      <w:r w:rsidRPr="00AF447C">
        <w:rPr>
          <w:rFonts w:ascii="Times New Roman" w:hAnsi="Times New Roman" w:cs="Times New Roman"/>
          <w:sz w:val="24"/>
        </w:rPr>
        <w:t>.</w:t>
      </w:r>
      <w:r>
        <w:rPr>
          <w:rFonts w:ascii="Times New Roman" w:hAnsi="Times New Roman" w:cs="Times New Roman"/>
          <w:sz w:val="24"/>
        </w:rPr>
        <w:t xml:space="preserve">  A “reasonable rate” is defined for these purposes as the lesser of two following rates.  Coverage available under a Federally-approved Fair Access to Insurance Requirements (FAIR) plan, also know</w:t>
      </w:r>
      <w:r w:rsidR="00E319DD">
        <w:rPr>
          <w:rFonts w:ascii="Times New Roman" w:hAnsi="Times New Roman" w:cs="Times New Roman"/>
          <w:sz w:val="24"/>
        </w:rPr>
        <w:t>n</w:t>
      </w:r>
      <w:r>
        <w:rPr>
          <w:rFonts w:ascii="Times New Roman" w:hAnsi="Times New Roman" w:cs="Times New Roman"/>
          <w:sz w:val="24"/>
        </w:rPr>
        <w:t xml:space="preserve"> as the FAIR Plan rate.  A rate not more than 25% in excess of the rate set or advised by the principal state licensed rating organization for essential property insurance in the voluntary market.  </w:t>
      </w:r>
      <w:r w:rsidR="00123D43">
        <w:rPr>
          <w:rFonts w:ascii="Times New Roman" w:hAnsi="Times New Roman" w:cs="Times New Roman"/>
          <w:sz w:val="24"/>
        </w:rPr>
        <w:t>Hazard insurance administration is standard practice within the mortgage industry on all FHA, VA and conventional loan’s, therefore HUD ascribes no burden hours.</w:t>
      </w:r>
    </w:p>
    <w:p w14:paraId="026B167C" w14:textId="77777777" w:rsidR="00123D43" w:rsidRDefault="00123D43" w:rsidP="00123D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14:paraId="614A46F8" w14:textId="77777777" w:rsidR="00123D43" w:rsidRDefault="00123D43" w:rsidP="0002399C">
      <w:pPr>
        <w:pStyle w:val="HTMLPreformatted"/>
        <w:numPr>
          <w:ilvl w:val="1"/>
          <w:numId w:val="11"/>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b/>
          <w:bCs/>
          <w:sz w:val="24"/>
        </w:rPr>
        <w:t>Flood Insurance</w:t>
      </w:r>
      <w:r>
        <w:rPr>
          <w:rFonts w:ascii="Times New Roman" w:hAnsi="Times New Roman" w:cs="Times New Roman"/>
          <w:sz w:val="24"/>
        </w:rPr>
        <w:t xml:space="preserve"> - As a condition of insuring the mortgage in special flood hazard area the mortgagor </w:t>
      </w:r>
      <w:r w:rsidR="00EF3907">
        <w:rPr>
          <w:rFonts w:ascii="Times New Roman" w:hAnsi="Times New Roman" w:cs="Times New Roman"/>
          <w:sz w:val="24"/>
        </w:rPr>
        <w:t xml:space="preserve">must obtain flood insurance.  </w:t>
      </w:r>
      <w:r>
        <w:rPr>
          <w:rFonts w:ascii="Times New Roman" w:hAnsi="Times New Roman" w:cs="Times New Roman"/>
          <w:sz w:val="24"/>
        </w:rPr>
        <w:t>The flood insurance must be continued in force for the life of the mortgage or so long as such coverage remains available, unless the area in which the property is located is no longer considered a flood hazard area.  Mortgagees should contact the local HUD field office in connection with the applicability of this requirement in a given area.  HUD requires that flood insurance be maintained on any property falling within special flood hazard areas on flood hazard boundary maps and flood insurance rate maps.  Flood insurance is standard practice within the mortgage industry on all FHA, VA and conventional loan’s, therefore HUD ascribes no burden hours.</w:t>
      </w:r>
    </w:p>
    <w:p w14:paraId="79919393" w14:textId="77777777" w:rsidR="00123D43" w:rsidRDefault="00123D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0"/>
        <w:rPr>
          <w:rFonts w:ascii="Times New Roman" w:hAnsi="Times New Roman" w:cs="Times New Roman"/>
          <w:sz w:val="24"/>
        </w:rPr>
      </w:pPr>
    </w:p>
    <w:p w14:paraId="60D76C6E" w14:textId="77777777" w:rsidR="00F67E80" w:rsidRDefault="003E79BD" w:rsidP="0002399C">
      <w:pPr>
        <w:pStyle w:val="HTMLPreformatted"/>
        <w:numPr>
          <w:ilvl w:val="1"/>
          <w:numId w:val="11"/>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b/>
          <w:bCs/>
          <w:sz w:val="24"/>
        </w:rPr>
        <w:t xml:space="preserve">Special </w:t>
      </w:r>
      <w:r w:rsidR="0074055D">
        <w:rPr>
          <w:rFonts w:ascii="Times New Roman" w:hAnsi="Times New Roman" w:cs="Times New Roman"/>
          <w:b/>
          <w:bCs/>
          <w:sz w:val="24"/>
        </w:rPr>
        <w:t xml:space="preserve">Property </w:t>
      </w:r>
      <w:r>
        <w:rPr>
          <w:rFonts w:ascii="Times New Roman" w:hAnsi="Times New Roman" w:cs="Times New Roman"/>
          <w:b/>
          <w:bCs/>
          <w:sz w:val="24"/>
        </w:rPr>
        <w:t>Assessments</w:t>
      </w:r>
      <w:r w:rsidR="0074055D">
        <w:rPr>
          <w:rFonts w:ascii="Times New Roman" w:hAnsi="Times New Roman" w:cs="Times New Roman"/>
          <w:b/>
          <w:bCs/>
          <w:sz w:val="24"/>
        </w:rPr>
        <w:t xml:space="preserve"> and </w:t>
      </w:r>
      <w:r w:rsidR="00AB0503">
        <w:rPr>
          <w:rFonts w:ascii="Times New Roman" w:hAnsi="Times New Roman" w:cs="Times New Roman"/>
          <w:b/>
          <w:bCs/>
          <w:sz w:val="24"/>
        </w:rPr>
        <w:t>Ground Rents -</w:t>
      </w:r>
      <w:r>
        <w:rPr>
          <w:rFonts w:ascii="Times New Roman" w:hAnsi="Times New Roman" w:cs="Times New Roman"/>
          <w:b/>
          <w:bCs/>
          <w:sz w:val="24"/>
        </w:rPr>
        <w:t xml:space="preserve"> </w:t>
      </w:r>
      <w:r w:rsidR="0074055D">
        <w:rPr>
          <w:rFonts w:ascii="Times New Roman" w:hAnsi="Times New Roman" w:cs="Times New Roman"/>
          <w:sz w:val="24"/>
        </w:rPr>
        <w:t xml:space="preserve">must be </w:t>
      </w:r>
      <w:r>
        <w:rPr>
          <w:rFonts w:ascii="Times New Roman" w:hAnsi="Times New Roman" w:cs="Times New Roman"/>
          <w:sz w:val="24"/>
        </w:rPr>
        <w:t>escrowed</w:t>
      </w:r>
      <w:r w:rsidR="0074055D">
        <w:rPr>
          <w:rFonts w:ascii="Times New Roman" w:hAnsi="Times New Roman" w:cs="Times New Roman"/>
          <w:sz w:val="24"/>
        </w:rPr>
        <w:t xml:space="preserve"> if they constitute a superior lien against the property.</w:t>
      </w:r>
      <w:r w:rsidR="00AB0503">
        <w:rPr>
          <w:rFonts w:ascii="Times New Roman" w:hAnsi="Times New Roman" w:cs="Times New Roman"/>
          <w:sz w:val="24"/>
        </w:rPr>
        <w:t xml:space="preserve"> </w:t>
      </w:r>
      <w:r w:rsidR="0074055D">
        <w:rPr>
          <w:rFonts w:ascii="Times New Roman" w:hAnsi="Times New Roman" w:cs="Times New Roman"/>
          <w:sz w:val="24"/>
        </w:rPr>
        <w:t xml:space="preserve"> </w:t>
      </w:r>
      <w:r w:rsidR="0074055D">
        <w:rPr>
          <w:rFonts w:ascii="Times New Roman" w:hAnsi="Times New Roman" w:cs="Times New Roman"/>
          <w:bCs/>
          <w:sz w:val="24"/>
        </w:rPr>
        <w:t>Escrow of s</w:t>
      </w:r>
      <w:r w:rsidR="00F67E80" w:rsidRPr="00F67E80">
        <w:rPr>
          <w:rFonts w:ascii="Times New Roman" w:hAnsi="Times New Roman" w:cs="Times New Roman"/>
          <w:bCs/>
          <w:sz w:val="24"/>
        </w:rPr>
        <w:t xml:space="preserve">pecial </w:t>
      </w:r>
      <w:r w:rsidR="0074055D">
        <w:rPr>
          <w:rFonts w:ascii="Times New Roman" w:hAnsi="Times New Roman" w:cs="Times New Roman"/>
          <w:bCs/>
          <w:sz w:val="24"/>
        </w:rPr>
        <w:t>property a</w:t>
      </w:r>
      <w:r w:rsidR="00F67E80" w:rsidRPr="00F67E80">
        <w:rPr>
          <w:rFonts w:ascii="Times New Roman" w:hAnsi="Times New Roman" w:cs="Times New Roman"/>
          <w:bCs/>
          <w:sz w:val="24"/>
        </w:rPr>
        <w:t>ssessments</w:t>
      </w:r>
      <w:r w:rsidR="0074055D">
        <w:rPr>
          <w:rFonts w:ascii="Times New Roman" w:hAnsi="Times New Roman" w:cs="Times New Roman"/>
          <w:bCs/>
          <w:sz w:val="24"/>
        </w:rPr>
        <w:t xml:space="preserve"> and g</w:t>
      </w:r>
      <w:r w:rsidR="00F67E80" w:rsidRPr="00F67E80">
        <w:rPr>
          <w:rFonts w:ascii="Times New Roman" w:hAnsi="Times New Roman" w:cs="Times New Roman"/>
          <w:bCs/>
          <w:sz w:val="24"/>
        </w:rPr>
        <w:t xml:space="preserve">round </w:t>
      </w:r>
      <w:r w:rsidR="0074055D">
        <w:rPr>
          <w:rFonts w:ascii="Times New Roman" w:hAnsi="Times New Roman" w:cs="Times New Roman"/>
          <w:bCs/>
          <w:sz w:val="24"/>
        </w:rPr>
        <w:t>r</w:t>
      </w:r>
      <w:r w:rsidR="00F67E80" w:rsidRPr="00F67E80">
        <w:rPr>
          <w:rFonts w:ascii="Times New Roman" w:hAnsi="Times New Roman" w:cs="Times New Roman"/>
          <w:bCs/>
          <w:sz w:val="24"/>
        </w:rPr>
        <w:t xml:space="preserve">ents, </w:t>
      </w:r>
      <w:r w:rsidR="00F67E80">
        <w:rPr>
          <w:rFonts w:ascii="Times New Roman" w:hAnsi="Times New Roman" w:cs="Times New Roman"/>
          <w:sz w:val="24"/>
        </w:rPr>
        <w:t>is standard practice within the mortgage industry on all FHA, VA and conventional loans, therefore HUD ascribes no burden hours.</w:t>
      </w:r>
    </w:p>
    <w:p w14:paraId="4367A5E1" w14:textId="77777777" w:rsidR="00F35CF8" w:rsidRDefault="00F35CF8" w:rsidP="007405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360"/>
        <w:rPr>
          <w:rFonts w:ascii="Times New Roman" w:hAnsi="Times New Roman" w:cs="Times New Roman"/>
          <w:sz w:val="24"/>
        </w:rPr>
      </w:pPr>
    </w:p>
    <w:p w14:paraId="7A53947B" w14:textId="77777777" w:rsidR="00BA4704" w:rsidRPr="001A04AF" w:rsidRDefault="00C06195" w:rsidP="002E6C8C">
      <w:pPr>
        <w:pStyle w:val="HTMLPreformatted"/>
        <w:numPr>
          <w:ilvl w:val="1"/>
          <w:numId w:val="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sz w:val="24"/>
        </w:rPr>
      </w:pPr>
      <w:r>
        <w:rPr>
          <w:rFonts w:ascii="Times New Roman" w:hAnsi="Times New Roman" w:cs="Times New Roman"/>
          <w:b/>
          <w:bCs/>
          <w:sz w:val="24"/>
        </w:rPr>
        <w:t xml:space="preserve">Analysis </w:t>
      </w:r>
      <w:r w:rsidR="00BA4704">
        <w:rPr>
          <w:rFonts w:ascii="Times New Roman" w:hAnsi="Times New Roman" w:cs="Times New Roman"/>
          <w:b/>
          <w:bCs/>
          <w:sz w:val="24"/>
        </w:rPr>
        <w:t xml:space="preserve">of Escrow Accounts – (24 CFR </w:t>
      </w:r>
      <w:r w:rsidR="00C72A93" w:rsidRPr="00C72A93">
        <w:rPr>
          <w:rFonts w:ascii="Times New Roman" w:hAnsi="Times New Roman" w:cs="Times New Roman"/>
          <w:b/>
          <w:sz w:val="24"/>
        </w:rPr>
        <w:t>§</w:t>
      </w:r>
      <w:r w:rsidR="00C72A93">
        <w:rPr>
          <w:rFonts w:ascii="Times New Roman" w:hAnsi="Times New Roman" w:cs="Times New Roman"/>
          <w:sz w:val="24"/>
        </w:rPr>
        <w:t xml:space="preserve"> </w:t>
      </w:r>
      <w:r w:rsidR="00BA4704">
        <w:rPr>
          <w:rFonts w:ascii="Times New Roman" w:hAnsi="Times New Roman" w:cs="Times New Roman"/>
          <w:b/>
          <w:bCs/>
          <w:sz w:val="24"/>
        </w:rPr>
        <w:t>203.550(b))</w:t>
      </w:r>
      <w:r w:rsidR="00BA4704">
        <w:rPr>
          <w:rFonts w:ascii="Times New Roman" w:hAnsi="Times New Roman" w:cs="Times New Roman"/>
          <w:sz w:val="24"/>
        </w:rPr>
        <w:t xml:space="preserve">, no later than the end of the second year of the life of the mortgage, the mortgagee must begin regular analysis (at least annually) of the escrow account to assure adjustments to provide for adequate but not excessive collections to make anticipated disbursements during succeeding years.  The mortgagor </w:t>
      </w:r>
      <w:r w:rsidR="006E037D">
        <w:rPr>
          <w:rFonts w:ascii="Times New Roman" w:hAnsi="Times New Roman" w:cs="Times New Roman"/>
          <w:sz w:val="24"/>
        </w:rPr>
        <w:t xml:space="preserve">shall be given at least 10 day </w:t>
      </w:r>
      <w:r w:rsidR="00BA4704">
        <w:rPr>
          <w:rFonts w:ascii="Times New Roman" w:hAnsi="Times New Roman" w:cs="Times New Roman"/>
          <w:sz w:val="24"/>
        </w:rPr>
        <w:t>notice of adjustments in monthly payments and an adequate explanation of any change.</w:t>
      </w:r>
    </w:p>
    <w:p w14:paraId="73743A87" w14:textId="77777777" w:rsidR="00BA4704" w:rsidRPr="002501CB" w:rsidRDefault="00BA4704" w:rsidP="008E00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4CF63305" w14:textId="77777777" w:rsidR="008E00C6" w:rsidRPr="002501CB" w:rsidRDefault="008E00C6" w:rsidP="002501CB">
      <w:pPr>
        <w:pStyle w:val="HTMLPreformatted"/>
        <w:numPr>
          <w:ilvl w:val="4"/>
          <w:numId w:val="7"/>
        </w:numPr>
        <w:tabs>
          <w:tab w:val="clear" w:pos="916"/>
          <w:tab w:val="clear" w:pos="1832"/>
          <w:tab w:val="clear" w:pos="2748"/>
          <w:tab w:val="clear" w:pos="3600"/>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2501CB">
        <w:rPr>
          <w:rFonts w:ascii="Times New Roman" w:hAnsi="Times New Roman" w:cs="Times New Roman"/>
          <w:b/>
          <w:sz w:val="24"/>
          <w:szCs w:val="24"/>
        </w:rPr>
        <w:t>Time of Analysis</w:t>
      </w:r>
      <w:r w:rsidRPr="002501CB">
        <w:rPr>
          <w:rFonts w:ascii="Times New Roman" w:hAnsi="Times New Roman" w:cs="Times New Roman"/>
          <w:sz w:val="24"/>
          <w:szCs w:val="24"/>
        </w:rPr>
        <w:t>-The mortgagee may analyze escrow accounts at any time, but should select a time that has the least probability of creating large surpluses or shortages. The most likely time would be after payment of the largest single bill from the account.</w:t>
      </w:r>
    </w:p>
    <w:p w14:paraId="1C1028E6" w14:textId="77777777" w:rsidR="008E00C6" w:rsidRDefault="008E00C6" w:rsidP="002E6C8C">
      <w:pPr>
        <w:numPr>
          <w:ilvl w:val="4"/>
          <w:numId w:val="7"/>
        </w:numPr>
        <w:tabs>
          <w:tab w:val="clear" w:pos="3600"/>
        </w:tabs>
        <w:ind w:left="720"/>
        <w:rPr>
          <w:sz w:val="24"/>
          <w:szCs w:val="24"/>
        </w:rPr>
      </w:pPr>
      <w:r w:rsidRPr="008E00C6">
        <w:rPr>
          <w:b/>
          <w:sz w:val="24"/>
          <w:szCs w:val="24"/>
        </w:rPr>
        <w:t>Estimating Future Bills-</w:t>
      </w:r>
      <w:r w:rsidRPr="008E00C6">
        <w:rPr>
          <w:sz w:val="24"/>
          <w:szCs w:val="24"/>
        </w:rPr>
        <w:t xml:space="preserve"> The mortgagee's estimate of escrow requirements must be a reasonable estimate of what the actual disbursements from the escrow account will be in the ensuing 12-month period. If the estimate is based on the previous year's actual disbursement, it will be considered excessive if it exceeds 10 percent over the previous year's actual disbursements. </w:t>
      </w:r>
      <w:r w:rsidR="00EF3907">
        <w:rPr>
          <w:sz w:val="24"/>
          <w:szCs w:val="24"/>
        </w:rPr>
        <w:t xml:space="preserve"> </w:t>
      </w:r>
      <w:r w:rsidRPr="008E00C6">
        <w:rPr>
          <w:sz w:val="24"/>
          <w:szCs w:val="24"/>
        </w:rPr>
        <w:t>The mortgagee may still require an escrow account up to 1/6</w:t>
      </w:r>
      <w:r w:rsidRPr="008E00C6">
        <w:rPr>
          <w:sz w:val="24"/>
          <w:szCs w:val="24"/>
          <w:vertAlign w:val="superscript"/>
        </w:rPr>
        <w:t>th</w:t>
      </w:r>
      <w:r w:rsidRPr="008E00C6">
        <w:rPr>
          <w:sz w:val="24"/>
          <w:szCs w:val="24"/>
        </w:rPr>
        <w:t xml:space="preserve"> in excess of the current estimated total annual requirement.  If state or local law caps annual increases by a specific percentage, the estimate for those jurisdictions shall not exceed the prior year's actual disbursement plus this percentage.  An example of an estimate is included in chart on the following page. </w:t>
      </w:r>
    </w:p>
    <w:p w14:paraId="32FDD07A" w14:textId="77777777" w:rsidR="00C06647" w:rsidRDefault="00C06647" w:rsidP="0013502E">
      <w:pPr>
        <w:rPr>
          <w:sz w:val="24"/>
          <w:szCs w:val="24"/>
        </w:rPr>
      </w:pPr>
    </w:p>
    <w:p w14:paraId="4E33B8C1" w14:textId="77777777" w:rsidR="00EF3907" w:rsidRDefault="00EF3907" w:rsidP="0013502E">
      <w:pPr>
        <w:rPr>
          <w:sz w:val="24"/>
          <w:szCs w:val="24"/>
        </w:rPr>
      </w:pPr>
    </w:p>
    <w:p w14:paraId="31439530" w14:textId="77777777" w:rsidR="00EF3907" w:rsidRDefault="00EF3907" w:rsidP="0013502E">
      <w:pPr>
        <w:rPr>
          <w:sz w:val="24"/>
          <w:szCs w:val="24"/>
        </w:rPr>
      </w:pPr>
    </w:p>
    <w:p w14:paraId="08BF1A73" w14:textId="77777777" w:rsidR="00EF3907" w:rsidRPr="008E00C6" w:rsidRDefault="00EF3907" w:rsidP="0013502E">
      <w:pPr>
        <w:rPr>
          <w:sz w:val="24"/>
          <w:szCs w:val="24"/>
        </w:rPr>
      </w:pPr>
    </w:p>
    <w:p w14:paraId="2666503F" w14:textId="77777777" w:rsidR="008E00C6" w:rsidRPr="008E00C6" w:rsidRDefault="008E00C6" w:rsidP="008E00C6">
      <w:pPr>
        <w:ind w:left="1800"/>
        <w:rPr>
          <w:sz w:val="24"/>
          <w:szCs w:val="24"/>
        </w:rPr>
      </w:pPr>
      <w:r w:rsidRPr="008E00C6">
        <w:rPr>
          <w:b/>
          <w:bCs/>
          <w:sz w:val="24"/>
          <w:szCs w:val="24"/>
        </w:rPr>
        <w:lastRenderedPageBreak/>
        <w:t xml:space="preserve">Example: </w:t>
      </w:r>
      <w:r w:rsidRPr="008E00C6">
        <w:rPr>
          <w:sz w:val="24"/>
          <w:szCs w:val="24"/>
        </w:rPr>
        <w:t xml:space="preserve"> </w:t>
      </w:r>
    </w:p>
    <w:p w14:paraId="3E2149A4" w14:textId="77777777" w:rsidR="008E00C6" w:rsidRPr="008E00C6" w:rsidRDefault="008E00C6" w:rsidP="008E00C6">
      <w:pPr>
        <w:rPr>
          <w:sz w:val="24"/>
          <w:szCs w:val="24"/>
        </w:rPr>
      </w:pPr>
    </w:p>
    <w:tbl>
      <w:tblPr>
        <w:tblW w:w="918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1980"/>
      </w:tblGrid>
      <w:tr w:rsidR="008E00C6" w:rsidRPr="008E00C6" w14:paraId="5A0FCBD7" w14:textId="77777777" w:rsidTr="00E319DD">
        <w:trPr>
          <w:cantSplit/>
          <w:trHeight w:val="233"/>
        </w:trPr>
        <w:tc>
          <w:tcPr>
            <w:tcW w:w="9180" w:type="dxa"/>
            <w:gridSpan w:val="2"/>
            <w:shd w:val="clear" w:color="auto" w:fill="666666"/>
            <w:vAlign w:val="center"/>
          </w:tcPr>
          <w:p w14:paraId="1E1300BB" w14:textId="77777777" w:rsidR="008E00C6" w:rsidRPr="008E00C6" w:rsidRDefault="008E00C6" w:rsidP="008E00C6">
            <w:pPr>
              <w:ind w:left="-501"/>
              <w:jc w:val="center"/>
              <w:rPr>
                <w:b/>
                <w:bCs/>
                <w:color w:val="FFFFFF"/>
                <w:sz w:val="24"/>
                <w:szCs w:val="24"/>
              </w:rPr>
            </w:pPr>
            <w:r w:rsidRPr="008E00C6">
              <w:rPr>
                <w:b/>
                <w:bCs/>
                <w:color w:val="FFFFFF"/>
                <w:sz w:val="24"/>
                <w:szCs w:val="24"/>
              </w:rPr>
              <w:t>Maximum Appropriate Estimate Using Previous Year Actual</w:t>
            </w:r>
          </w:p>
        </w:tc>
      </w:tr>
      <w:tr w:rsidR="008E00C6" w:rsidRPr="008E00C6" w14:paraId="4A35F488" w14:textId="77777777" w:rsidTr="00E319DD">
        <w:trPr>
          <w:trHeight w:val="305"/>
        </w:trPr>
        <w:tc>
          <w:tcPr>
            <w:tcW w:w="7200" w:type="dxa"/>
            <w:shd w:val="clear" w:color="auto" w:fill="D9D9D9"/>
            <w:vAlign w:val="center"/>
          </w:tcPr>
          <w:p w14:paraId="2B0BE301" w14:textId="77777777" w:rsidR="008E00C6" w:rsidRPr="008E00C6" w:rsidRDefault="008E00C6" w:rsidP="001A33B9">
            <w:pPr>
              <w:jc w:val="center"/>
              <w:rPr>
                <w:b/>
                <w:bCs/>
                <w:sz w:val="24"/>
                <w:szCs w:val="24"/>
              </w:rPr>
            </w:pPr>
            <w:r w:rsidRPr="008E00C6">
              <w:rPr>
                <w:b/>
                <w:bCs/>
                <w:sz w:val="24"/>
                <w:szCs w:val="24"/>
              </w:rPr>
              <w:t>Estimated Charge</w:t>
            </w:r>
          </w:p>
        </w:tc>
        <w:tc>
          <w:tcPr>
            <w:tcW w:w="1980" w:type="dxa"/>
            <w:shd w:val="clear" w:color="auto" w:fill="D9D9D9"/>
            <w:vAlign w:val="center"/>
          </w:tcPr>
          <w:p w14:paraId="0210666C" w14:textId="77777777" w:rsidR="008E00C6" w:rsidRPr="008E00C6" w:rsidRDefault="008E00C6" w:rsidP="001A33B9">
            <w:pPr>
              <w:jc w:val="center"/>
              <w:rPr>
                <w:b/>
                <w:bCs/>
                <w:sz w:val="24"/>
                <w:szCs w:val="24"/>
              </w:rPr>
            </w:pPr>
            <w:r w:rsidRPr="008E00C6">
              <w:rPr>
                <w:b/>
                <w:bCs/>
                <w:sz w:val="24"/>
                <w:szCs w:val="24"/>
              </w:rPr>
              <w:t>Amount</w:t>
            </w:r>
          </w:p>
        </w:tc>
      </w:tr>
      <w:tr w:rsidR="008E00C6" w:rsidRPr="008E00C6" w14:paraId="06F191CC" w14:textId="77777777" w:rsidTr="00E319DD">
        <w:trPr>
          <w:trHeight w:val="410"/>
        </w:trPr>
        <w:tc>
          <w:tcPr>
            <w:tcW w:w="7200" w:type="dxa"/>
            <w:vAlign w:val="center"/>
          </w:tcPr>
          <w:p w14:paraId="12F2E133" w14:textId="77777777" w:rsidR="008E00C6" w:rsidRPr="008E00C6" w:rsidRDefault="008E00C6" w:rsidP="001A33B9">
            <w:pPr>
              <w:rPr>
                <w:sz w:val="24"/>
                <w:szCs w:val="24"/>
              </w:rPr>
            </w:pPr>
            <w:r w:rsidRPr="008E00C6">
              <w:rPr>
                <w:sz w:val="24"/>
                <w:szCs w:val="24"/>
              </w:rPr>
              <w:t>Previous Year Actual Escrow Disbursement</w:t>
            </w:r>
          </w:p>
        </w:tc>
        <w:tc>
          <w:tcPr>
            <w:tcW w:w="1980" w:type="dxa"/>
            <w:vAlign w:val="center"/>
          </w:tcPr>
          <w:p w14:paraId="0AB61934" w14:textId="77777777" w:rsidR="008E00C6" w:rsidRPr="008E00C6" w:rsidRDefault="008E00C6" w:rsidP="00215AE0">
            <w:pPr>
              <w:jc w:val="right"/>
              <w:rPr>
                <w:sz w:val="24"/>
                <w:szCs w:val="24"/>
              </w:rPr>
            </w:pPr>
            <w:r w:rsidRPr="008E00C6">
              <w:rPr>
                <w:sz w:val="24"/>
                <w:szCs w:val="24"/>
              </w:rPr>
              <w:t>$1,000.00</w:t>
            </w:r>
          </w:p>
        </w:tc>
      </w:tr>
      <w:tr w:rsidR="008E00C6" w:rsidRPr="008E00C6" w14:paraId="4D3DF82D" w14:textId="77777777" w:rsidTr="00E319DD">
        <w:trPr>
          <w:trHeight w:val="510"/>
        </w:trPr>
        <w:tc>
          <w:tcPr>
            <w:tcW w:w="7200" w:type="dxa"/>
            <w:vAlign w:val="center"/>
          </w:tcPr>
          <w:p w14:paraId="7C72F188" w14:textId="77777777" w:rsidR="008E00C6" w:rsidRPr="008E00C6" w:rsidRDefault="008E00C6" w:rsidP="001A33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8E00C6">
              <w:rPr>
                <w:rFonts w:ascii="Times New Roman" w:hAnsi="Times New Roman" w:cs="Times New Roman"/>
                <w:sz w:val="24"/>
                <w:szCs w:val="24"/>
              </w:rPr>
              <w:t>Estimate Using Maximum of 10 Percent over the Previous Year’s Disbursement ($1,000 +$100) =</w:t>
            </w:r>
          </w:p>
        </w:tc>
        <w:tc>
          <w:tcPr>
            <w:tcW w:w="1980" w:type="dxa"/>
            <w:vAlign w:val="center"/>
          </w:tcPr>
          <w:p w14:paraId="60A8F7F9" w14:textId="77777777" w:rsidR="008E00C6" w:rsidRPr="008E00C6" w:rsidRDefault="008E00C6" w:rsidP="00215AE0">
            <w:pPr>
              <w:jc w:val="right"/>
              <w:rPr>
                <w:sz w:val="24"/>
                <w:szCs w:val="24"/>
              </w:rPr>
            </w:pPr>
            <w:r w:rsidRPr="008E00C6">
              <w:rPr>
                <w:sz w:val="24"/>
                <w:szCs w:val="24"/>
              </w:rPr>
              <w:t>$1,100.00</w:t>
            </w:r>
          </w:p>
        </w:tc>
      </w:tr>
      <w:tr w:rsidR="008E00C6" w:rsidRPr="008E00C6" w14:paraId="0CF216BC" w14:textId="77777777" w:rsidTr="00E319DD">
        <w:trPr>
          <w:trHeight w:val="510"/>
        </w:trPr>
        <w:tc>
          <w:tcPr>
            <w:tcW w:w="7200" w:type="dxa"/>
            <w:vAlign w:val="center"/>
          </w:tcPr>
          <w:p w14:paraId="5D66C5B1" w14:textId="77777777" w:rsidR="008E00C6" w:rsidRPr="008E00C6" w:rsidRDefault="008E00C6" w:rsidP="001A33B9">
            <w:pPr>
              <w:rPr>
                <w:sz w:val="24"/>
                <w:szCs w:val="24"/>
              </w:rPr>
            </w:pPr>
            <w:r w:rsidRPr="008E00C6">
              <w:rPr>
                <w:sz w:val="24"/>
                <w:szCs w:val="24"/>
              </w:rPr>
              <w:t>Plus Maximum Cushion of 1/6 of the Current Annual Estimate—</w:t>
            </w:r>
          </w:p>
          <w:p w14:paraId="4ABAEDFE" w14:textId="77777777" w:rsidR="008E00C6" w:rsidRPr="008E00C6" w:rsidRDefault="008E00C6" w:rsidP="001A33B9">
            <w:pPr>
              <w:rPr>
                <w:sz w:val="24"/>
                <w:szCs w:val="24"/>
              </w:rPr>
            </w:pPr>
            <w:r w:rsidRPr="008E00C6">
              <w:rPr>
                <w:sz w:val="24"/>
                <w:szCs w:val="24"/>
              </w:rPr>
              <w:t>Current Annual Estimate ($1,100 x 1/6)  =</w:t>
            </w:r>
          </w:p>
        </w:tc>
        <w:tc>
          <w:tcPr>
            <w:tcW w:w="1980" w:type="dxa"/>
            <w:vAlign w:val="center"/>
          </w:tcPr>
          <w:p w14:paraId="00490930" w14:textId="77777777" w:rsidR="008E00C6" w:rsidRPr="008E00C6" w:rsidRDefault="008E00C6" w:rsidP="00215AE0">
            <w:pPr>
              <w:jc w:val="right"/>
              <w:rPr>
                <w:sz w:val="24"/>
                <w:szCs w:val="24"/>
              </w:rPr>
            </w:pPr>
            <w:r w:rsidRPr="008E00C6">
              <w:rPr>
                <w:sz w:val="24"/>
                <w:szCs w:val="24"/>
              </w:rPr>
              <w:t>$   183.33</w:t>
            </w:r>
          </w:p>
        </w:tc>
      </w:tr>
      <w:tr w:rsidR="008E00C6" w:rsidRPr="008E00C6" w14:paraId="015C346D" w14:textId="77777777" w:rsidTr="00E319DD">
        <w:trPr>
          <w:trHeight w:val="305"/>
        </w:trPr>
        <w:tc>
          <w:tcPr>
            <w:tcW w:w="7200" w:type="dxa"/>
            <w:shd w:val="clear" w:color="auto" w:fill="D9D9D9"/>
            <w:vAlign w:val="center"/>
          </w:tcPr>
          <w:p w14:paraId="3E5EE8CA" w14:textId="77777777" w:rsidR="008E00C6" w:rsidRPr="008E00C6" w:rsidRDefault="008E00C6" w:rsidP="001A33B9">
            <w:pPr>
              <w:pStyle w:val="Heading8"/>
              <w:rPr>
                <w:rFonts w:ascii="Times New Roman" w:hAnsi="Times New Roman" w:cs="Times New Roman"/>
                <w:sz w:val="24"/>
              </w:rPr>
            </w:pPr>
            <w:r w:rsidRPr="008E00C6">
              <w:rPr>
                <w:rFonts w:ascii="Times New Roman" w:hAnsi="Times New Roman" w:cs="Times New Roman"/>
                <w:sz w:val="24"/>
              </w:rPr>
              <w:t>Total</w:t>
            </w:r>
          </w:p>
        </w:tc>
        <w:tc>
          <w:tcPr>
            <w:tcW w:w="1980" w:type="dxa"/>
            <w:shd w:val="clear" w:color="auto" w:fill="D9D9D9"/>
            <w:vAlign w:val="center"/>
          </w:tcPr>
          <w:p w14:paraId="5A1561F7" w14:textId="77777777" w:rsidR="008E00C6" w:rsidRPr="008E00C6" w:rsidRDefault="008E00C6" w:rsidP="00215AE0">
            <w:pPr>
              <w:jc w:val="right"/>
              <w:rPr>
                <w:b/>
                <w:bCs/>
                <w:sz w:val="24"/>
                <w:szCs w:val="24"/>
              </w:rPr>
            </w:pPr>
            <w:r w:rsidRPr="008E00C6">
              <w:rPr>
                <w:b/>
                <w:bCs/>
                <w:sz w:val="24"/>
                <w:szCs w:val="24"/>
              </w:rPr>
              <w:t>$1,283.33</w:t>
            </w:r>
          </w:p>
        </w:tc>
      </w:tr>
    </w:tbl>
    <w:p w14:paraId="4953D818" w14:textId="77777777" w:rsidR="00BA4704" w:rsidRDefault="00BA4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3095E7CA" w14:textId="77777777" w:rsidR="003E79BD" w:rsidRDefault="003E79BD" w:rsidP="0002399C">
      <w:pPr>
        <w:pStyle w:val="HTMLPreformatted"/>
        <w:numPr>
          <w:ilvl w:val="0"/>
          <w:numId w:val="9"/>
        </w:numPr>
        <w:tabs>
          <w:tab w:val="clear" w:pos="916"/>
          <w:tab w:val="clear" w:pos="1368"/>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b/>
          <w:bCs/>
          <w:sz w:val="24"/>
        </w:rPr>
        <w:t xml:space="preserve">Surpluses and Shortages in Escrow Accounts (24 CFR </w:t>
      </w:r>
      <w:r w:rsidR="00C72A93" w:rsidRPr="00C72A93">
        <w:rPr>
          <w:rFonts w:ascii="Times New Roman" w:hAnsi="Times New Roman" w:cs="Times New Roman"/>
          <w:b/>
          <w:sz w:val="24"/>
        </w:rPr>
        <w:t>§</w:t>
      </w:r>
      <w:r w:rsidR="00C72A93">
        <w:rPr>
          <w:rFonts w:ascii="Times New Roman" w:hAnsi="Times New Roman" w:cs="Times New Roman"/>
          <w:sz w:val="24"/>
        </w:rPr>
        <w:t xml:space="preserve"> </w:t>
      </w:r>
      <w:r>
        <w:rPr>
          <w:rFonts w:ascii="Times New Roman" w:hAnsi="Times New Roman" w:cs="Times New Roman"/>
          <w:b/>
          <w:bCs/>
          <w:sz w:val="24"/>
        </w:rPr>
        <w:t>203.550(b))</w:t>
      </w:r>
      <w:r w:rsidR="00D4441A">
        <w:rPr>
          <w:rFonts w:ascii="Times New Roman" w:hAnsi="Times New Roman" w:cs="Times New Roman"/>
          <w:sz w:val="24"/>
        </w:rPr>
        <w:t xml:space="preserve"> -</w:t>
      </w:r>
      <w:r>
        <w:rPr>
          <w:rFonts w:ascii="Times New Roman" w:hAnsi="Times New Roman" w:cs="Times New Roman"/>
          <w:sz w:val="24"/>
        </w:rPr>
        <w:t xml:space="preserve"> </w:t>
      </w:r>
      <w:r w:rsidR="00D4441A">
        <w:rPr>
          <w:rFonts w:ascii="Times New Roman" w:hAnsi="Times New Roman" w:cs="Times New Roman"/>
          <w:sz w:val="24"/>
        </w:rPr>
        <w:t>T</w:t>
      </w:r>
      <w:r>
        <w:rPr>
          <w:rFonts w:ascii="Times New Roman" w:hAnsi="Times New Roman" w:cs="Times New Roman"/>
          <w:sz w:val="24"/>
        </w:rPr>
        <w:t xml:space="preserve">he mortgagee must </w:t>
      </w:r>
      <w:r w:rsidR="00D4441A">
        <w:rPr>
          <w:rFonts w:ascii="Times New Roman" w:hAnsi="Times New Roman" w:cs="Times New Roman"/>
          <w:sz w:val="24"/>
        </w:rPr>
        <w:t xml:space="preserve">attempt to </w:t>
      </w:r>
      <w:r>
        <w:rPr>
          <w:rFonts w:ascii="Times New Roman" w:hAnsi="Times New Roman" w:cs="Times New Roman"/>
          <w:sz w:val="24"/>
        </w:rPr>
        <w:t>collect monthly an amount from the mortgagor that is sufficient to pay the bills as they become due.  When th</w:t>
      </w:r>
      <w:r w:rsidR="00D4441A">
        <w:rPr>
          <w:rFonts w:ascii="Times New Roman" w:hAnsi="Times New Roman" w:cs="Times New Roman"/>
          <w:sz w:val="24"/>
        </w:rPr>
        <w:t>e</w:t>
      </w:r>
      <w:r>
        <w:rPr>
          <w:rFonts w:ascii="Times New Roman" w:hAnsi="Times New Roman" w:cs="Times New Roman"/>
          <w:sz w:val="24"/>
        </w:rPr>
        <w:t xml:space="preserve"> balance in the escrow account</w:t>
      </w:r>
      <w:r w:rsidR="00D4441A">
        <w:rPr>
          <w:rFonts w:ascii="Times New Roman" w:hAnsi="Times New Roman" w:cs="Times New Roman"/>
          <w:sz w:val="24"/>
        </w:rPr>
        <w:t xml:space="preserve"> exceeds the amount required to pay all escrow obligations</w:t>
      </w:r>
      <w:r>
        <w:rPr>
          <w:rFonts w:ascii="Times New Roman" w:hAnsi="Times New Roman" w:cs="Times New Roman"/>
          <w:sz w:val="24"/>
        </w:rPr>
        <w:t xml:space="preserve">, a surplus exists.  A shortage exists either when </w:t>
      </w:r>
      <w:r w:rsidR="00D4441A">
        <w:rPr>
          <w:rFonts w:ascii="Times New Roman" w:hAnsi="Times New Roman" w:cs="Times New Roman"/>
          <w:sz w:val="24"/>
        </w:rPr>
        <w:t xml:space="preserve">there are insufficient funds in the escrow account to pay currently due obligations </w:t>
      </w:r>
      <w:r>
        <w:rPr>
          <w:rFonts w:ascii="Times New Roman" w:hAnsi="Times New Roman" w:cs="Times New Roman"/>
          <w:sz w:val="24"/>
        </w:rPr>
        <w:t xml:space="preserve">or when the amount being collected is expected to create a shortage at some time </w:t>
      </w:r>
      <w:r w:rsidR="00A062F6">
        <w:rPr>
          <w:rFonts w:ascii="Times New Roman" w:hAnsi="Times New Roman" w:cs="Times New Roman"/>
          <w:sz w:val="24"/>
        </w:rPr>
        <w:t>i</w:t>
      </w:r>
      <w:r>
        <w:rPr>
          <w:rFonts w:ascii="Times New Roman" w:hAnsi="Times New Roman" w:cs="Times New Roman"/>
          <w:sz w:val="24"/>
        </w:rPr>
        <w:t>n the future.  Any surplus or shortage must be refunded to or collected from the mortgagor as provided for in the security instrument.  Refunds and collections can be in the form of a lump sum, monthly payments, or a combination of the two.</w:t>
      </w:r>
    </w:p>
    <w:p w14:paraId="01E9F1E0" w14:textId="77777777" w:rsidR="003E79BD" w:rsidRPr="002942C9" w:rsidRDefault="003E79BD" w:rsidP="002942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b/>
          <w:bCs/>
          <w:sz w:val="24"/>
          <w:szCs w:val="24"/>
        </w:rPr>
      </w:pPr>
    </w:p>
    <w:p w14:paraId="06F0C86A" w14:textId="77777777" w:rsidR="001A04AF" w:rsidRDefault="005300BA" w:rsidP="0002399C">
      <w:pPr>
        <w:numPr>
          <w:ilvl w:val="1"/>
          <w:numId w:val="9"/>
        </w:numPr>
        <w:tabs>
          <w:tab w:val="clear" w:pos="2160"/>
        </w:tabs>
        <w:ind w:left="720"/>
        <w:rPr>
          <w:sz w:val="24"/>
          <w:szCs w:val="24"/>
        </w:rPr>
      </w:pPr>
      <w:r>
        <w:rPr>
          <w:b/>
          <w:sz w:val="24"/>
          <w:szCs w:val="24"/>
        </w:rPr>
        <w:t xml:space="preserve">Surplus Refunds - </w:t>
      </w:r>
      <w:r w:rsidR="002942C9" w:rsidRPr="002942C9">
        <w:rPr>
          <w:sz w:val="24"/>
          <w:szCs w:val="24"/>
        </w:rPr>
        <w:t xml:space="preserve">If there is a surplus, the mortgagee must </w:t>
      </w:r>
      <w:r w:rsidR="001737C9">
        <w:rPr>
          <w:sz w:val="24"/>
          <w:szCs w:val="24"/>
        </w:rPr>
        <w:t xml:space="preserve">refund the surplus to the mortgagor in a lump sum or </w:t>
      </w:r>
      <w:r w:rsidR="002942C9" w:rsidRPr="002942C9">
        <w:rPr>
          <w:sz w:val="24"/>
          <w:szCs w:val="24"/>
        </w:rPr>
        <w:t xml:space="preserve">advise the mortgagor </w:t>
      </w:r>
      <w:r w:rsidR="001737C9">
        <w:rPr>
          <w:sz w:val="24"/>
          <w:szCs w:val="24"/>
        </w:rPr>
        <w:t xml:space="preserve">in writing </w:t>
      </w:r>
      <w:r w:rsidR="002942C9" w:rsidRPr="002942C9">
        <w:rPr>
          <w:sz w:val="24"/>
          <w:szCs w:val="24"/>
        </w:rPr>
        <w:t xml:space="preserve">of the amount and </w:t>
      </w:r>
      <w:r w:rsidR="001737C9">
        <w:rPr>
          <w:sz w:val="24"/>
          <w:szCs w:val="24"/>
        </w:rPr>
        <w:t>alternative</w:t>
      </w:r>
      <w:r w:rsidR="001737C9" w:rsidRPr="002942C9">
        <w:rPr>
          <w:sz w:val="24"/>
          <w:szCs w:val="24"/>
        </w:rPr>
        <w:t xml:space="preserve"> </w:t>
      </w:r>
      <w:r w:rsidR="002942C9" w:rsidRPr="002942C9">
        <w:rPr>
          <w:sz w:val="24"/>
          <w:szCs w:val="24"/>
        </w:rPr>
        <w:t>methods for adjusting the surplus</w:t>
      </w:r>
      <w:r w:rsidR="001737C9">
        <w:rPr>
          <w:sz w:val="24"/>
          <w:szCs w:val="24"/>
        </w:rPr>
        <w:t>.</w:t>
      </w:r>
      <w:r w:rsidR="002942C9" w:rsidRPr="002942C9">
        <w:rPr>
          <w:sz w:val="24"/>
          <w:szCs w:val="24"/>
        </w:rPr>
        <w:t xml:space="preserve"> </w:t>
      </w:r>
    </w:p>
    <w:p w14:paraId="5E453A2A" w14:textId="77777777" w:rsidR="002E6C8C" w:rsidRDefault="002E6C8C" w:rsidP="002E6C8C">
      <w:pPr>
        <w:rPr>
          <w:sz w:val="24"/>
          <w:szCs w:val="24"/>
        </w:rPr>
      </w:pPr>
    </w:p>
    <w:p w14:paraId="20D53BCF" w14:textId="77777777" w:rsidR="008E3A6E" w:rsidRDefault="008E3A6E" w:rsidP="0013502E">
      <w:pPr>
        <w:rPr>
          <w:sz w:val="1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7136"/>
      </w:tblGrid>
      <w:tr w:rsidR="008E3A6E" w14:paraId="351B726D" w14:textId="77777777" w:rsidTr="00E319DD">
        <w:trPr>
          <w:cantSplit/>
          <w:trHeight w:val="422"/>
        </w:trPr>
        <w:tc>
          <w:tcPr>
            <w:tcW w:w="0" w:type="auto"/>
            <w:gridSpan w:val="2"/>
            <w:shd w:val="clear" w:color="auto" w:fill="666666"/>
          </w:tcPr>
          <w:p w14:paraId="2F644799" w14:textId="77777777" w:rsidR="008E3A6E" w:rsidRPr="0013502E" w:rsidRDefault="008E3A6E" w:rsidP="00E319DD">
            <w:pPr>
              <w:rPr>
                <w:b/>
                <w:bCs/>
                <w:color w:val="FFFFFF"/>
                <w:sz w:val="24"/>
                <w:szCs w:val="24"/>
              </w:rPr>
            </w:pPr>
            <w:r w:rsidRPr="0013502E">
              <w:rPr>
                <w:b/>
                <w:bCs/>
                <w:color w:val="FFFFFF"/>
                <w:sz w:val="24"/>
                <w:szCs w:val="24"/>
              </w:rPr>
              <w:t>Methods Used for Adjusting a Surplus</w:t>
            </w:r>
          </w:p>
        </w:tc>
      </w:tr>
      <w:tr w:rsidR="008E3A6E" w14:paraId="28D5B148" w14:textId="77777777" w:rsidTr="00E319DD">
        <w:tc>
          <w:tcPr>
            <w:tcW w:w="0" w:type="auto"/>
            <w:shd w:val="clear" w:color="auto" w:fill="D9D9D9"/>
          </w:tcPr>
          <w:p w14:paraId="7901A220" w14:textId="77777777" w:rsidR="008E3A6E" w:rsidRPr="0013502E" w:rsidRDefault="008E3A6E" w:rsidP="00E319DD">
            <w:pPr>
              <w:rPr>
                <w:b/>
                <w:bCs/>
                <w:sz w:val="24"/>
                <w:szCs w:val="24"/>
              </w:rPr>
            </w:pPr>
            <w:r w:rsidRPr="0013502E">
              <w:rPr>
                <w:b/>
                <w:bCs/>
                <w:sz w:val="24"/>
                <w:szCs w:val="24"/>
              </w:rPr>
              <w:t>Methods</w:t>
            </w:r>
          </w:p>
        </w:tc>
        <w:tc>
          <w:tcPr>
            <w:tcW w:w="0" w:type="auto"/>
            <w:shd w:val="clear" w:color="auto" w:fill="D9D9D9"/>
          </w:tcPr>
          <w:p w14:paraId="4EB5A05B" w14:textId="77777777" w:rsidR="008E3A6E" w:rsidRPr="0013502E" w:rsidRDefault="008E3A6E" w:rsidP="00E319DD">
            <w:pPr>
              <w:rPr>
                <w:b/>
                <w:bCs/>
                <w:sz w:val="24"/>
                <w:szCs w:val="24"/>
              </w:rPr>
            </w:pPr>
            <w:r w:rsidRPr="0013502E">
              <w:rPr>
                <w:b/>
                <w:bCs/>
                <w:sz w:val="24"/>
                <w:szCs w:val="24"/>
              </w:rPr>
              <w:t>Description</w:t>
            </w:r>
          </w:p>
        </w:tc>
      </w:tr>
      <w:tr w:rsidR="008E3A6E" w14:paraId="1F94333F" w14:textId="77777777" w:rsidTr="00E319DD">
        <w:trPr>
          <w:trHeight w:val="482"/>
        </w:trPr>
        <w:tc>
          <w:tcPr>
            <w:tcW w:w="0" w:type="auto"/>
            <w:shd w:val="clear" w:color="auto" w:fill="D9D9D9"/>
          </w:tcPr>
          <w:p w14:paraId="28FED20D" w14:textId="77777777" w:rsidR="008E3A6E" w:rsidRPr="0013502E" w:rsidRDefault="008E3A6E" w:rsidP="00E319DD">
            <w:pPr>
              <w:numPr>
                <w:ilvl w:val="0"/>
                <w:numId w:val="12"/>
              </w:numPr>
              <w:tabs>
                <w:tab w:val="clear" w:pos="720"/>
                <w:tab w:val="num" w:pos="360"/>
              </w:tabs>
              <w:overflowPunct/>
              <w:autoSpaceDE/>
              <w:autoSpaceDN/>
              <w:adjustRightInd/>
              <w:ind w:left="360"/>
              <w:textAlignment w:val="auto"/>
              <w:rPr>
                <w:b/>
                <w:bCs/>
                <w:sz w:val="24"/>
                <w:szCs w:val="24"/>
              </w:rPr>
            </w:pPr>
            <w:r w:rsidRPr="0013502E">
              <w:rPr>
                <w:b/>
                <w:bCs/>
                <w:sz w:val="24"/>
                <w:szCs w:val="24"/>
              </w:rPr>
              <w:t>Cash Refund in a Lump Sum to the Mortgagor</w:t>
            </w:r>
          </w:p>
        </w:tc>
        <w:tc>
          <w:tcPr>
            <w:tcW w:w="0" w:type="auto"/>
          </w:tcPr>
          <w:p w14:paraId="52CD0DB8" w14:textId="77777777" w:rsidR="008E3A6E" w:rsidRPr="000B4958" w:rsidRDefault="001737C9" w:rsidP="00E319DD">
            <w:pPr>
              <w:pStyle w:val="BodyText"/>
              <w:rPr>
                <w:color w:val="auto"/>
                <w:szCs w:val="24"/>
              </w:rPr>
            </w:pPr>
            <w:r w:rsidRPr="000B4958">
              <w:rPr>
                <w:color w:val="auto"/>
              </w:rPr>
              <w:t>Required unless the mortgagor elects, in writing to accept another option.</w:t>
            </w:r>
          </w:p>
        </w:tc>
      </w:tr>
      <w:tr w:rsidR="008E3A6E" w14:paraId="49B464B8" w14:textId="77777777" w:rsidTr="00E319DD">
        <w:trPr>
          <w:trHeight w:val="1088"/>
        </w:trPr>
        <w:tc>
          <w:tcPr>
            <w:tcW w:w="0" w:type="auto"/>
            <w:shd w:val="clear" w:color="auto" w:fill="D9D9D9"/>
          </w:tcPr>
          <w:p w14:paraId="137EC4D7" w14:textId="77777777" w:rsidR="008E3A6E" w:rsidRPr="0013502E" w:rsidRDefault="008E3A6E" w:rsidP="00E319DD">
            <w:pPr>
              <w:numPr>
                <w:ilvl w:val="0"/>
                <w:numId w:val="12"/>
              </w:numPr>
              <w:tabs>
                <w:tab w:val="clear" w:pos="720"/>
                <w:tab w:val="num" w:pos="360"/>
              </w:tabs>
              <w:overflowPunct/>
              <w:autoSpaceDE/>
              <w:autoSpaceDN/>
              <w:adjustRightInd/>
              <w:ind w:left="360"/>
              <w:textAlignment w:val="auto"/>
              <w:rPr>
                <w:b/>
                <w:bCs/>
                <w:sz w:val="24"/>
                <w:szCs w:val="24"/>
              </w:rPr>
            </w:pPr>
            <w:r w:rsidRPr="0013502E">
              <w:rPr>
                <w:b/>
                <w:bCs/>
                <w:sz w:val="24"/>
                <w:szCs w:val="24"/>
              </w:rPr>
              <w:t xml:space="preserve">Application to Regular Monthly Payments or Principal </w:t>
            </w:r>
          </w:p>
        </w:tc>
        <w:tc>
          <w:tcPr>
            <w:tcW w:w="0" w:type="auto"/>
          </w:tcPr>
          <w:p w14:paraId="0152347E" w14:textId="77777777" w:rsidR="008E3A6E" w:rsidRPr="0013502E" w:rsidRDefault="008E3A6E" w:rsidP="00E319DD">
            <w:pPr>
              <w:rPr>
                <w:sz w:val="24"/>
                <w:szCs w:val="24"/>
              </w:rPr>
            </w:pPr>
            <w:r w:rsidRPr="0013502E">
              <w:rPr>
                <w:sz w:val="24"/>
                <w:szCs w:val="24"/>
              </w:rPr>
              <w:t xml:space="preserve">At the written direction of the mortgagor the surplus may be applied to the regular monthly mortgage payments due until the surplus is exhausted, or may be applied to the prepayment of principal. </w:t>
            </w:r>
          </w:p>
        </w:tc>
      </w:tr>
      <w:tr w:rsidR="008E3A6E" w14:paraId="2F378E82" w14:textId="77777777" w:rsidTr="00E319DD">
        <w:trPr>
          <w:trHeight w:val="1670"/>
        </w:trPr>
        <w:tc>
          <w:tcPr>
            <w:tcW w:w="0" w:type="auto"/>
            <w:shd w:val="clear" w:color="auto" w:fill="D9D9D9"/>
          </w:tcPr>
          <w:p w14:paraId="2888C15C" w14:textId="77777777" w:rsidR="008E3A6E" w:rsidRPr="0013502E" w:rsidRDefault="008E3A6E" w:rsidP="00E319DD">
            <w:pPr>
              <w:numPr>
                <w:ilvl w:val="0"/>
                <w:numId w:val="12"/>
              </w:numPr>
              <w:tabs>
                <w:tab w:val="clear" w:pos="720"/>
                <w:tab w:val="num" w:pos="360"/>
              </w:tabs>
              <w:overflowPunct/>
              <w:autoSpaceDE/>
              <w:autoSpaceDN/>
              <w:adjustRightInd/>
              <w:ind w:left="360"/>
              <w:textAlignment w:val="auto"/>
              <w:rPr>
                <w:b/>
                <w:bCs/>
                <w:sz w:val="24"/>
                <w:szCs w:val="24"/>
              </w:rPr>
            </w:pPr>
            <w:r w:rsidRPr="0013502E">
              <w:rPr>
                <w:b/>
                <w:bCs/>
                <w:sz w:val="24"/>
                <w:szCs w:val="24"/>
              </w:rPr>
              <w:t>Application to Reduce Future Mortgage Payments</w:t>
            </w:r>
          </w:p>
        </w:tc>
        <w:tc>
          <w:tcPr>
            <w:tcW w:w="0" w:type="auto"/>
          </w:tcPr>
          <w:p w14:paraId="216EB58C" w14:textId="77777777" w:rsidR="008E3A6E" w:rsidRPr="000B4958" w:rsidRDefault="001737C9" w:rsidP="00E319DD">
            <w:pPr>
              <w:rPr>
                <w:sz w:val="24"/>
                <w:szCs w:val="24"/>
              </w:rPr>
            </w:pPr>
            <w:r w:rsidRPr="000B4958">
              <w:rPr>
                <w:sz w:val="24"/>
                <w:szCs w:val="24"/>
              </w:rPr>
              <w:t>At the direction of the mortgagor the amount of the surplus may be spread over a period of time to reduce future mortgage payments</w:t>
            </w:r>
            <w:r w:rsidR="00D13E0F" w:rsidRPr="000B4958">
              <w:rPr>
                <w:sz w:val="24"/>
                <w:szCs w:val="24"/>
              </w:rPr>
              <w:t xml:space="preserve"> as they become due</w:t>
            </w:r>
            <w:r w:rsidRPr="000B4958">
              <w:rPr>
                <w:sz w:val="24"/>
                <w:szCs w:val="24"/>
              </w:rPr>
              <w:t xml:space="preserve">.  </w:t>
            </w:r>
            <w:r w:rsidR="008E3A6E" w:rsidRPr="000B4958">
              <w:rPr>
                <w:sz w:val="24"/>
                <w:szCs w:val="24"/>
              </w:rPr>
              <w:t xml:space="preserve">The most common period over which the surplus is spread is the twelve months, but any period is acceptable. </w:t>
            </w:r>
            <w:r w:rsidR="00EF3907">
              <w:rPr>
                <w:sz w:val="24"/>
                <w:szCs w:val="24"/>
              </w:rPr>
              <w:t xml:space="preserve"> </w:t>
            </w:r>
            <w:r w:rsidR="008E3A6E" w:rsidRPr="000B4958">
              <w:rPr>
                <w:sz w:val="24"/>
                <w:szCs w:val="24"/>
              </w:rPr>
              <w:t xml:space="preserve">HUD does not object to mortgagee-issued coupon books that reflect reduced payments of the surplus. </w:t>
            </w:r>
          </w:p>
        </w:tc>
      </w:tr>
      <w:tr w:rsidR="008E3A6E" w14:paraId="3921ECA2" w14:textId="77777777" w:rsidTr="00E319DD">
        <w:trPr>
          <w:trHeight w:val="890"/>
        </w:trPr>
        <w:tc>
          <w:tcPr>
            <w:tcW w:w="0" w:type="auto"/>
            <w:shd w:val="clear" w:color="auto" w:fill="D9D9D9"/>
          </w:tcPr>
          <w:p w14:paraId="0162D21E" w14:textId="77777777" w:rsidR="008E3A6E" w:rsidRPr="0013502E" w:rsidRDefault="008E3A6E" w:rsidP="00E319DD">
            <w:pPr>
              <w:numPr>
                <w:ilvl w:val="0"/>
                <w:numId w:val="12"/>
              </w:numPr>
              <w:tabs>
                <w:tab w:val="clear" w:pos="720"/>
                <w:tab w:val="num" w:pos="360"/>
              </w:tabs>
              <w:overflowPunct/>
              <w:autoSpaceDE/>
              <w:autoSpaceDN/>
              <w:adjustRightInd/>
              <w:ind w:left="360"/>
              <w:textAlignment w:val="auto"/>
              <w:rPr>
                <w:b/>
                <w:bCs/>
                <w:sz w:val="24"/>
                <w:szCs w:val="24"/>
              </w:rPr>
            </w:pPr>
            <w:r w:rsidRPr="0013502E">
              <w:rPr>
                <w:b/>
                <w:bCs/>
                <w:sz w:val="24"/>
                <w:szCs w:val="24"/>
              </w:rPr>
              <w:t xml:space="preserve">Combination of Methods 1 &amp; 3 </w:t>
            </w:r>
          </w:p>
        </w:tc>
        <w:tc>
          <w:tcPr>
            <w:tcW w:w="0" w:type="auto"/>
          </w:tcPr>
          <w:p w14:paraId="472387EA" w14:textId="77777777" w:rsidR="008E3A6E" w:rsidRPr="0013502E" w:rsidRDefault="008E3A6E" w:rsidP="00E319DD">
            <w:pPr>
              <w:rPr>
                <w:sz w:val="24"/>
                <w:szCs w:val="24"/>
              </w:rPr>
            </w:pPr>
            <w:r w:rsidRPr="0013502E">
              <w:rPr>
                <w:sz w:val="24"/>
                <w:szCs w:val="24"/>
              </w:rPr>
              <w:t>With the mortgagor's permission, a portion of the surplus may be refunded in a lump sum and the remaining amount apportioned over a future period.</w:t>
            </w:r>
          </w:p>
        </w:tc>
      </w:tr>
    </w:tbl>
    <w:p w14:paraId="657FD2DF" w14:textId="77777777" w:rsidR="002E6C8C" w:rsidRDefault="002E6C8C" w:rsidP="00572F82">
      <w:pPr>
        <w:ind w:left="1080"/>
        <w:rPr>
          <w:b/>
          <w:sz w:val="24"/>
          <w:szCs w:val="24"/>
        </w:rPr>
      </w:pPr>
    </w:p>
    <w:p w14:paraId="73C9B4E9" w14:textId="77777777" w:rsidR="00C06647" w:rsidRDefault="00C06647" w:rsidP="00572F82">
      <w:pPr>
        <w:ind w:left="1080"/>
        <w:rPr>
          <w:b/>
          <w:sz w:val="24"/>
          <w:szCs w:val="24"/>
        </w:rPr>
      </w:pPr>
    </w:p>
    <w:p w14:paraId="1C2E512C" w14:textId="77777777" w:rsidR="000B4958" w:rsidRDefault="005300BA" w:rsidP="00956C42">
      <w:pPr>
        <w:numPr>
          <w:ilvl w:val="0"/>
          <w:numId w:val="43"/>
        </w:numPr>
        <w:tabs>
          <w:tab w:val="clear" w:pos="1368"/>
        </w:tabs>
        <w:ind w:left="720"/>
        <w:rPr>
          <w:sz w:val="24"/>
          <w:szCs w:val="24"/>
        </w:rPr>
      </w:pPr>
      <w:r>
        <w:rPr>
          <w:b/>
          <w:sz w:val="24"/>
          <w:szCs w:val="24"/>
        </w:rPr>
        <w:t xml:space="preserve">Shortage Adjustments – </w:t>
      </w:r>
      <w:r>
        <w:rPr>
          <w:sz w:val="24"/>
          <w:szCs w:val="24"/>
        </w:rPr>
        <w:t xml:space="preserve">Escrow shortages must be corrected by one of the means described in the chart below.  </w:t>
      </w:r>
      <w:r w:rsidR="008E3A6E" w:rsidRPr="0013502E">
        <w:rPr>
          <w:sz w:val="24"/>
          <w:szCs w:val="24"/>
        </w:rPr>
        <w:t xml:space="preserve">The mortgagee may not begin foreclosure when the only default of the mortgagor is a failure to pay a substantial escrow shortage in a lump sum </w:t>
      </w:r>
      <w:r w:rsidR="0013502E">
        <w:rPr>
          <w:sz w:val="24"/>
          <w:szCs w:val="24"/>
        </w:rPr>
        <w:t>(24 CFR</w:t>
      </w:r>
      <w:r w:rsidR="006B6B34">
        <w:rPr>
          <w:sz w:val="24"/>
          <w:szCs w:val="24"/>
        </w:rPr>
        <w:t xml:space="preserve"> </w:t>
      </w:r>
      <w:r w:rsidR="006B6B34" w:rsidRPr="00C72A93">
        <w:rPr>
          <w:sz w:val="24"/>
        </w:rPr>
        <w:t>§</w:t>
      </w:r>
      <w:r w:rsidR="002E6C8C">
        <w:rPr>
          <w:sz w:val="24"/>
          <w:szCs w:val="24"/>
        </w:rPr>
        <w:t xml:space="preserve"> 203.550(d)).</w:t>
      </w:r>
    </w:p>
    <w:p w14:paraId="37ECC8A5" w14:textId="77777777" w:rsidR="008E3A6E" w:rsidRPr="0013502E" w:rsidRDefault="008E3A6E" w:rsidP="002E6C8C">
      <w:pPr>
        <w:rPr>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6584"/>
      </w:tblGrid>
      <w:tr w:rsidR="008E3A6E" w:rsidRPr="0013502E" w14:paraId="7C53D7E7" w14:textId="77777777" w:rsidTr="00852484">
        <w:trPr>
          <w:cantSplit/>
          <w:trHeight w:val="467"/>
        </w:trPr>
        <w:tc>
          <w:tcPr>
            <w:tcW w:w="10080" w:type="dxa"/>
            <w:gridSpan w:val="2"/>
            <w:shd w:val="clear" w:color="auto" w:fill="666666"/>
            <w:vAlign w:val="center"/>
          </w:tcPr>
          <w:p w14:paraId="11DA3C9C" w14:textId="77777777" w:rsidR="008E3A6E" w:rsidRPr="0013502E" w:rsidRDefault="008E3A6E" w:rsidP="0013502E">
            <w:pPr>
              <w:tabs>
                <w:tab w:val="left" w:pos="1740"/>
              </w:tabs>
              <w:rPr>
                <w:b/>
                <w:bCs/>
                <w:color w:val="FFFFFF"/>
                <w:sz w:val="24"/>
                <w:szCs w:val="24"/>
              </w:rPr>
            </w:pPr>
            <w:r w:rsidRPr="0013502E">
              <w:rPr>
                <w:b/>
                <w:bCs/>
                <w:color w:val="FFFFFF"/>
                <w:sz w:val="24"/>
                <w:szCs w:val="24"/>
              </w:rPr>
              <w:lastRenderedPageBreak/>
              <w:t>Methods for Adjusting Shortages</w:t>
            </w:r>
          </w:p>
        </w:tc>
      </w:tr>
      <w:tr w:rsidR="008E3A6E" w:rsidRPr="0013502E" w14:paraId="6775D609" w14:textId="77777777" w:rsidTr="00852484">
        <w:trPr>
          <w:trHeight w:val="368"/>
        </w:trPr>
        <w:tc>
          <w:tcPr>
            <w:tcW w:w="3330" w:type="dxa"/>
            <w:shd w:val="clear" w:color="auto" w:fill="D9D9D9"/>
            <w:vAlign w:val="center"/>
          </w:tcPr>
          <w:p w14:paraId="378EB1B4" w14:textId="77777777" w:rsidR="008E3A6E" w:rsidRPr="0013502E" w:rsidRDefault="008E3A6E" w:rsidP="0013502E">
            <w:pPr>
              <w:rPr>
                <w:b/>
                <w:bCs/>
                <w:sz w:val="24"/>
                <w:szCs w:val="24"/>
              </w:rPr>
            </w:pPr>
            <w:r w:rsidRPr="0013502E">
              <w:rPr>
                <w:b/>
                <w:bCs/>
                <w:sz w:val="24"/>
                <w:szCs w:val="24"/>
              </w:rPr>
              <w:t>Methods</w:t>
            </w:r>
          </w:p>
        </w:tc>
        <w:tc>
          <w:tcPr>
            <w:tcW w:w="6750" w:type="dxa"/>
            <w:shd w:val="clear" w:color="auto" w:fill="D9D9D9"/>
            <w:vAlign w:val="center"/>
          </w:tcPr>
          <w:p w14:paraId="784418BC" w14:textId="77777777" w:rsidR="008E3A6E" w:rsidRPr="0013502E" w:rsidRDefault="008E3A6E" w:rsidP="0013502E">
            <w:pPr>
              <w:rPr>
                <w:b/>
                <w:bCs/>
                <w:sz w:val="24"/>
                <w:szCs w:val="24"/>
              </w:rPr>
            </w:pPr>
            <w:r w:rsidRPr="0013502E">
              <w:rPr>
                <w:b/>
                <w:bCs/>
                <w:sz w:val="24"/>
                <w:szCs w:val="24"/>
              </w:rPr>
              <w:t xml:space="preserve">The Mortgagee May: </w:t>
            </w:r>
          </w:p>
        </w:tc>
      </w:tr>
      <w:tr w:rsidR="008E3A6E" w:rsidRPr="0013502E" w14:paraId="2B830EC0" w14:textId="77777777" w:rsidTr="00852484">
        <w:trPr>
          <w:trHeight w:val="1157"/>
        </w:trPr>
        <w:tc>
          <w:tcPr>
            <w:tcW w:w="3330" w:type="dxa"/>
            <w:shd w:val="clear" w:color="auto" w:fill="D9D9D9"/>
          </w:tcPr>
          <w:p w14:paraId="2EA10D48" w14:textId="77777777" w:rsidR="008E3A6E" w:rsidRPr="0013502E" w:rsidRDefault="008E3A6E" w:rsidP="0002399C">
            <w:pPr>
              <w:numPr>
                <w:ilvl w:val="0"/>
                <w:numId w:val="13"/>
              </w:numPr>
              <w:tabs>
                <w:tab w:val="clear" w:pos="720"/>
                <w:tab w:val="num" w:pos="432"/>
              </w:tabs>
              <w:overflowPunct/>
              <w:autoSpaceDE/>
              <w:autoSpaceDN/>
              <w:adjustRightInd/>
              <w:ind w:left="432" w:hanging="432"/>
              <w:textAlignment w:val="auto"/>
              <w:rPr>
                <w:b/>
                <w:bCs/>
                <w:sz w:val="24"/>
                <w:szCs w:val="24"/>
              </w:rPr>
            </w:pPr>
            <w:r w:rsidRPr="0013502E">
              <w:rPr>
                <w:b/>
                <w:bCs/>
                <w:sz w:val="24"/>
                <w:szCs w:val="24"/>
              </w:rPr>
              <w:t>Lump Sum</w:t>
            </w:r>
          </w:p>
        </w:tc>
        <w:tc>
          <w:tcPr>
            <w:tcW w:w="6750" w:type="dxa"/>
            <w:vAlign w:val="center"/>
          </w:tcPr>
          <w:p w14:paraId="73876037" w14:textId="77777777" w:rsidR="008E3A6E" w:rsidRPr="0013502E" w:rsidRDefault="008E3A6E" w:rsidP="00E60A85">
            <w:pPr>
              <w:pStyle w:val="BodyText2"/>
              <w:spacing w:line="240" w:lineRule="auto"/>
              <w:rPr>
                <w:sz w:val="24"/>
                <w:szCs w:val="24"/>
              </w:rPr>
            </w:pPr>
            <w:r w:rsidRPr="0013502E">
              <w:rPr>
                <w:sz w:val="24"/>
                <w:szCs w:val="24"/>
              </w:rPr>
              <w:t>Request a lump sum payment from the mortgagor to pay</w:t>
            </w:r>
            <w:r w:rsidR="006B6B34">
              <w:rPr>
                <w:sz w:val="24"/>
                <w:szCs w:val="24"/>
              </w:rPr>
              <w:t xml:space="preserve"> </w:t>
            </w:r>
            <w:r w:rsidRPr="0013502E">
              <w:rPr>
                <w:sz w:val="24"/>
                <w:szCs w:val="24"/>
              </w:rPr>
              <w:t>the shortage. After making the request, the mortgagee must be prepared to offer a second option if the mortgagor is unable to make the regular mortgage payment and extra lump sum shortage amount.</w:t>
            </w:r>
          </w:p>
        </w:tc>
      </w:tr>
      <w:tr w:rsidR="008E3A6E" w:rsidRPr="0013502E" w14:paraId="7AEC6AA3" w14:textId="77777777" w:rsidTr="00852484">
        <w:trPr>
          <w:trHeight w:val="1193"/>
        </w:trPr>
        <w:tc>
          <w:tcPr>
            <w:tcW w:w="3330" w:type="dxa"/>
            <w:shd w:val="clear" w:color="auto" w:fill="D9D9D9"/>
          </w:tcPr>
          <w:p w14:paraId="5DD99D76" w14:textId="77777777" w:rsidR="008E3A6E" w:rsidRPr="0013502E" w:rsidRDefault="008E3A6E" w:rsidP="0002399C">
            <w:pPr>
              <w:numPr>
                <w:ilvl w:val="0"/>
                <w:numId w:val="13"/>
              </w:numPr>
              <w:tabs>
                <w:tab w:val="clear" w:pos="720"/>
                <w:tab w:val="num" w:pos="432"/>
              </w:tabs>
              <w:overflowPunct/>
              <w:autoSpaceDE/>
              <w:autoSpaceDN/>
              <w:adjustRightInd/>
              <w:ind w:left="432" w:hanging="432"/>
              <w:textAlignment w:val="auto"/>
              <w:rPr>
                <w:b/>
                <w:bCs/>
                <w:sz w:val="24"/>
                <w:szCs w:val="24"/>
              </w:rPr>
            </w:pPr>
            <w:r w:rsidRPr="0013502E">
              <w:rPr>
                <w:b/>
                <w:bCs/>
                <w:sz w:val="24"/>
                <w:szCs w:val="24"/>
              </w:rPr>
              <w:t>Addition to Future Monthly Payments</w:t>
            </w:r>
          </w:p>
        </w:tc>
        <w:tc>
          <w:tcPr>
            <w:tcW w:w="6750" w:type="dxa"/>
            <w:vAlign w:val="center"/>
          </w:tcPr>
          <w:p w14:paraId="007A9D2D" w14:textId="77777777" w:rsidR="008E3A6E" w:rsidRPr="0013502E" w:rsidRDefault="008E3A6E" w:rsidP="0013502E">
            <w:pPr>
              <w:rPr>
                <w:sz w:val="24"/>
                <w:szCs w:val="24"/>
              </w:rPr>
            </w:pPr>
            <w:r w:rsidRPr="0013502E">
              <w:rPr>
                <w:sz w:val="24"/>
                <w:szCs w:val="24"/>
              </w:rPr>
              <w:t>Permit the mortgagor to pay the shortage in monthly installments over a period of time.  The first application of any payment above the regular monthly mortgage payment received from the mortgagor is to repay the mortgagee's advance.</w:t>
            </w:r>
          </w:p>
        </w:tc>
      </w:tr>
      <w:tr w:rsidR="008E3A6E" w:rsidRPr="0013502E" w14:paraId="56007A02" w14:textId="77777777" w:rsidTr="00852484">
        <w:trPr>
          <w:trHeight w:val="692"/>
        </w:trPr>
        <w:tc>
          <w:tcPr>
            <w:tcW w:w="3330" w:type="dxa"/>
            <w:shd w:val="clear" w:color="auto" w:fill="D9D9D9"/>
          </w:tcPr>
          <w:p w14:paraId="5AC3DE42" w14:textId="77777777" w:rsidR="008E3A6E" w:rsidRPr="0013502E" w:rsidRDefault="008E3A6E" w:rsidP="0002399C">
            <w:pPr>
              <w:numPr>
                <w:ilvl w:val="0"/>
                <w:numId w:val="13"/>
              </w:numPr>
              <w:tabs>
                <w:tab w:val="clear" w:pos="720"/>
                <w:tab w:val="num" w:pos="432"/>
              </w:tabs>
              <w:overflowPunct/>
              <w:autoSpaceDE/>
              <w:autoSpaceDN/>
              <w:adjustRightInd/>
              <w:ind w:left="432" w:hanging="432"/>
              <w:textAlignment w:val="auto"/>
              <w:rPr>
                <w:b/>
                <w:bCs/>
                <w:sz w:val="24"/>
                <w:szCs w:val="24"/>
              </w:rPr>
            </w:pPr>
            <w:r w:rsidRPr="0013502E">
              <w:rPr>
                <w:b/>
                <w:bCs/>
                <w:sz w:val="24"/>
                <w:szCs w:val="24"/>
              </w:rPr>
              <w:t>Combination of Methods 1 &amp; 2</w:t>
            </w:r>
          </w:p>
        </w:tc>
        <w:tc>
          <w:tcPr>
            <w:tcW w:w="6750" w:type="dxa"/>
            <w:vAlign w:val="center"/>
          </w:tcPr>
          <w:p w14:paraId="273276B3" w14:textId="77777777" w:rsidR="008E3A6E" w:rsidRPr="0013502E" w:rsidRDefault="008E3A6E" w:rsidP="0013502E">
            <w:pPr>
              <w:rPr>
                <w:sz w:val="24"/>
                <w:szCs w:val="24"/>
              </w:rPr>
            </w:pPr>
            <w:r w:rsidRPr="0013502E">
              <w:rPr>
                <w:sz w:val="24"/>
                <w:szCs w:val="24"/>
              </w:rPr>
              <w:t>Require a partial lump sum payment with the balance due in monthly installments.</w:t>
            </w:r>
          </w:p>
        </w:tc>
      </w:tr>
    </w:tbl>
    <w:p w14:paraId="6B55756B" w14:textId="77777777" w:rsidR="00AB0503" w:rsidRDefault="008E3A6E" w:rsidP="0046532E">
      <w:pPr>
        <w:rPr>
          <w:b/>
          <w:bCs/>
          <w:sz w:val="24"/>
        </w:rPr>
      </w:pPr>
      <w:r w:rsidRPr="0013502E">
        <w:t xml:space="preserve"> </w:t>
      </w:r>
    </w:p>
    <w:p w14:paraId="488669C7" w14:textId="77777777" w:rsidR="00D13E0F" w:rsidRDefault="006C274F" w:rsidP="0046532E">
      <w:pPr>
        <w:rPr>
          <w:b/>
          <w:bCs/>
          <w:sz w:val="24"/>
        </w:rPr>
      </w:pPr>
      <w:r>
        <w:rPr>
          <w:b/>
          <w:bCs/>
          <w:sz w:val="24"/>
        </w:rPr>
        <w:t xml:space="preserve">Providing </w:t>
      </w:r>
      <w:r w:rsidR="00D13E0F">
        <w:rPr>
          <w:b/>
          <w:bCs/>
          <w:sz w:val="24"/>
        </w:rPr>
        <w:t>Loan Information and Customer Service</w:t>
      </w:r>
      <w:r w:rsidR="003345DD">
        <w:rPr>
          <w:b/>
          <w:bCs/>
          <w:sz w:val="24"/>
        </w:rPr>
        <w:t>s</w:t>
      </w:r>
    </w:p>
    <w:p w14:paraId="6794E450" w14:textId="77777777" w:rsidR="00D13E0F" w:rsidRDefault="00D13E0F" w:rsidP="00D13E0F">
      <w:pPr>
        <w:ind w:left="360"/>
        <w:rPr>
          <w:b/>
          <w:bCs/>
          <w:sz w:val="24"/>
        </w:rPr>
      </w:pPr>
    </w:p>
    <w:p w14:paraId="5607B5EA" w14:textId="77777777" w:rsidR="00D748FD" w:rsidRDefault="00F563CA" w:rsidP="0046532E">
      <w:pPr>
        <w:rPr>
          <w:bCs/>
          <w:sz w:val="24"/>
        </w:rPr>
      </w:pPr>
      <w:r>
        <w:rPr>
          <w:bCs/>
          <w:sz w:val="24"/>
        </w:rPr>
        <w:t xml:space="preserve">In accordance with </w:t>
      </w:r>
      <w:r w:rsidRPr="00F563CA">
        <w:rPr>
          <w:bCs/>
          <w:sz w:val="24"/>
        </w:rPr>
        <w:t xml:space="preserve">(24 CFR </w:t>
      </w:r>
      <w:r w:rsidRPr="00F563CA">
        <w:rPr>
          <w:sz w:val="24"/>
        </w:rPr>
        <w:t xml:space="preserve">§ </w:t>
      </w:r>
      <w:r w:rsidRPr="00F563CA">
        <w:rPr>
          <w:bCs/>
          <w:sz w:val="24"/>
        </w:rPr>
        <w:t>203.508)</w:t>
      </w:r>
      <w:r>
        <w:rPr>
          <w:bCs/>
          <w:sz w:val="24"/>
        </w:rPr>
        <w:t>, m</w:t>
      </w:r>
      <w:r w:rsidR="00D748FD">
        <w:rPr>
          <w:bCs/>
          <w:sz w:val="24"/>
        </w:rPr>
        <w:t xml:space="preserve">ortgagees must </w:t>
      </w:r>
      <w:r>
        <w:rPr>
          <w:bCs/>
          <w:sz w:val="24"/>
        </w:rPr>
        <w:t xml:space="preserve">establish written procedures and controls to assure prompt and accurate response to customer inquiries and must make loan information available to customers at least annually.  Mortgagors must be informed of means by which they can obtain answers to loan </w:t>
      </w:r>
      <w:r w:rsidR="00D55B22">
        <w:rPr>
          <w:bCs/>
          <w:sz w:val="24"/>
        </w:rPr>
        <w:t>inquires</w:t>
      </w:r>
      <w:r>
        <w:rPr>
          <w:bCs/>
          <w:sz w:val="24"/>
        </w:rPr>
        <w:t>.</w:t>
      </w:r>
    </w:p>
    <w:p w14:paraId="00DABE95" w14:textId="77777777" w:rsidR="00F563CA" w:rsidRPr="00EE2ED2" w:rsidRDefault="00F563CA" w:rsidP="00D13E0F">
      <w:pPr>
        <w:ind w:left="360"/>
        <w:rPr>
          <w:bCs/>
          <w:color w:val="FF6600"/>
          <w:sz w:val="24"/>
        </w:rPr>
      </w:pPr>
    </w:p>
    <w:p w14:paraId="62CE152C" w14:textId="77777777" w:rsidR="00572F82" w:rsidRDefault="00CF2D15" w:rsidP="00956C42">
      <w:pPr>
        <w:numPr>
          <w:ilvl w:val="0"/>
          <w:numId w:val="32"/>
        </w:numPr>
        <w:tabs>
          <w:tab w:val="clear" w:pos="1368"/>
        </w:tabs>
        <w:ind w:left="360"/>
        <w:rPr>
          <w:sz w:val="24"/>
        </w:rPr>
      </w:pPr>
      <w:r>
        <w:rPr>
          <w:b/>
          <w:bCs/>
          <w:sz w:val="24"/>
        </w:rPr>
        <w:t>Toll Free Contact</w:t>
      </w:r>
      <w:r w:rsidR="00F563CA">
        <w:rPr>
          <w:b/>
          <w:bCs/>
          <w:sz w:val="24"/>
        </w:rPr>
        <w:t xml:space="preserve"> - </w:t>
      </w:r>
      <w:r w:rsidR="00F563CA" w:rsidRPr="00F563CA">
        <w:rPr>
          <w:bCs/>
          <w:sz w:val="24"/>
        </w:rPr>
        <w:t xml:space="preserve">Mortgagees must maintain a toll free telephone number for </w:t>
      </w:r>
      <w:r w:rsidR="00F563CA">
        <w:rPr>
          <w:bCs/>
          <w:sz w:val="24"/>
        </w:rPr>
        <w:t>customer use and must make a provision for la</w:t>
      </w:r>
      <w:r w:rsidR="00FB50F8">
        <w:rPr>
          <w:bCs/>
          <w:sz w:val="24"/>
        </w:rPr>
        <w:t>nguage translation for customer</w:t>
      </w:r>
      <w:r w:rsidR="00F563CA">
        <w:rPr>
          <w:bCs/>
          <w:sz w:val="24"/>
        </w:rPr>
        <w:t>s</w:t>
      </w:r>
      <w:r w:rsidR="00FB50F8">
        <w:rPr>
          <w:bCs/>
          <w:sz w:val="24"/>
        </w:rPr>
        <w:t>’</w:t>
      </w:r>
      <w:r w:rsidR="00F563CA">
        <w:rPr>
          <w:bCs/>
          <w:sz w:val="24"/>
        </w:rPr>
        <w:t xml:space="preserve"> who do not speak English.  </w:t>
      </w:r>
    </w:p>
    <w:p w14:paraId="170F17EC" w14:textId="77777777" w:rsidR="00F563CA" w:rsidRDefault="00F563CA" w:rsidP="00F563CA">
      <w:pPr>
        <w:ind w:left="720"/>
        <w:rPr>
          <w:sz w:val="24"/>
        </w:rPr>
      </w:pPr>
    </w:p>
    <w:p w14:paraId="39157CFF" w14:textId="77777777" w:rsidR="00D55B22" w:rsidRDefault="00572F82" w:rsidP="00956C42">
      <w:pPr>
        <w:numPr>
          <w:ilvl w:val="0"/>
          <w:numId w:val="33"/>
        </w:numPr>
        <w:tabs>
          <w:tab w:val="clear" w:pos="1368"/>
        </w:tabs>
        <w:ind w:left="360"/>
        <w:rPr>
          <w:sz w:val="24"/>
        </w:rPr>
      </w:pPr>
      <w:r>
        <w:rPr>
          <w:b/>
          <w:bCs/>
          <w:sz w:val="24"/>
        </w:rPr>
        <w:t xml:space="preserve">Annual Statement of Account </w:t>
      </w:r>
      <w:r w:rsidR="00F563CA">
        <w:rPr>
          <w:b/>
          <w:bCs/>
          <w:sz w:val="24"/>
        </w:rPr>
        <w:t>–</w:t>
      </w:r>
      <w:r>
        <w:rPr>
          <w:b/>
          <w:bCs/>
          <w:sz w:val="24"/>
        </w:rPr>
        <w:t xml:space="preserve"> </w:t>
      </w:r>
      <w:r w:rsidR="00F462A7">
        <w:rPr>
          <w:sz w:val="24"/>
        </w:rPr>
        <w:t xml:space="preserve">By January 30 of each year, the mortgagee must furnish the mortgagor with a statement of </w:t>
      </w:r>
      <w:r w:rsidR="00F563CA">
        <w:rPr>
          <w:sz w:val="24"/>
        </w:rPr>
        <w:t xml:space="preserve">their mortgage account.  At a minimum the statement must itemize interest paid by the borrower and </w:t>
      </w:r>
      <w:r w:rsidR="00F462A7">
        <w:rPr>
          <w:sz w:val="24"/>
        </w:rPr>
        <w:t xml:space="preserve">taxes </w:t>
      </w:r>
      <w:r w:rsidR="00F563CA">
        <w:rPr>
          <w:sz w:val="24"/>
        </w:rPr>
        <w:t xml:space="preserve">and other obligations paid from the escrow account </w:t>
      </w:r>
      <w:r w:rsidR="00F462A7">
        <w:rPr>
          <w:sz w:val="24"/>
        </w:rPr>
        <w:t>during the preceding calendar year.</w:t>
      </w:r>
      <w:r w:rsidR="00F563CA">
        <w:rPr>
          <w:sz w:val="24"/>
        </w:rPr>
        <w:t xml:space="preserve"> However, the common industry practice is to provide a detailed statement that includes</w:t>
      </w:r>
      <w:r w:rsidR="00D55B22">
        <w:rPr>
          <w:sz w:val="24"/>
        </w:rPr>
        <w:t xml:space="preserve"> the remaining loan balance, current interest rate and other mortgage information.</w:t>
      </w:r>
    </w:p>
    <w:p w14:paraId="08690853" w14:textId="77777777" w:rsidR="00D55B22" w:rsidRDefault="00D55B22" w:rsidP="00D55B22">
      <w:pPr>
        <w:rPr>
          <w:sz w:val="24"/>
        </w:rPr>
      </w:pPr>
    </w:p>
    <w:p w14:paraId="407108C8" w14:textId="77777777" w:rsidR="00D55B22" w:rsidRDefault="00D55B22" w:rsidP="00956C42">
      <w:pPr>
        <w:numPr>
          <w:ilvl w:val="0"/>
          <w:numId w:val="34"/>
        </w:numPr>
        <w:tabs>
          <w:tab w:val="clear" w:pos="1368"/>
        </w:tabs>
        <w:ind w:left="360"/>
        <w:rPr>
          <w:sz w:val="24"/>
        </w:rPr>
      </w:pPr>
      <w:r>
        <w:rPr>
          <w:b/>
          <w:bCs/>
          <w:sz w:val="24"/>
        </w:rPr>
        <w:t>HUD Information Requests –</w:t>
      </w:r>
      <w:r>
        <w:rPr>
          <w:sz w:val="24"/>
        </w:rPr>
        <w:t xml:space="preserve"> Mortgagees must respond to HUD requests for information concerning the origination or servicing of individual accounts. </w:t>
      </w:r>
      <w:r w:rsidR="00F563CA">
        <w:rPr>
          <w:sz w:val="24"/>
        </w:rPr>
        <w:t xml:space="preserve"> </w:t>
      </w:r>
    </w:p>
    <w:p w14:paraId="4B6AB613" w14:textId="77777777" w:rsidR="00D55B22" w:rsidRDefault="00D55B22" w:rsidP="00D55B22">
      <w:pPr>
        <w:rPr>
          <w:sz w:val="24"/>
        </w:rPr>
      </w:pPr>
    </w:p>
    <w:p w14:paraId="57D7D370" w14:textId="77777777" w:rsidR="00CF2D15" w:rsidRPr="00CF2D15" w:rsidRDefault="00D55B22" w:rsidP="00956C42">
      <w:pPr>
        <w:numPr>
          <w:ilvl w:val="0"/>
          <w:numId w:val="35"/>
        </w:numPr>
        <w:tabs>
          <w:tab w:val="clear" w:pos="1368"/>
        </w:tabs>
        <w:ind w:left="360"/>
        <w:rPr>
          <w:sz w:val="24"/>
        </w:rPr>
      </w:pPr>
      <w:r>
        <w:rPr>
          <w:b/>
          <w:bCs/>
          <w:sz w:val="24"/>
        </w:rPr>
        <w:t xml:space="preserve">Notice of Transfer or </w:t>
      </w:r>
      <w:smartTag w:uri="urn:schemas-microsoft-com:office:smarttags" w:element="City">
        <w:smartTag w:uri="urn:schemas-microsoft-com:office:smarttags" w:element="place">
          <w:r>
            <w:rPr>
              <w:b/>
              <w:bCs/>
              <w:sz w:val="24"/>
            </w:rPr>
            <w:t>Sale</w:t>
          </w:r>
        </w:smartTag>
      </w:smartTag>
      <w:r>
        <w:rPr>
          <w:b/>
          <w:bCs/>
          <w:sz w:val="24"/>
        </w:rPr>
        <w:t xml:space="preserve"> –</w:t>
      </w:r>
      <w:r>
        <w:rPr>
          <w:sz w:val="24"/>
        </w:rPr>
        <w:t xml:space="preserve"> </w:t>
      </w:r>
      <w:r w:rsidR="00CF2D15">
        <w:rPr>
          <w:sz w:val="24"/>
        </w:rPr>
        <w:t>Both transferring and acquiring m</w:t>
      </w:r>
      <w:r>
        <w:rPr>
          <w:sz w:val="24"/>
        </w:rPr>
        <w:t xml:space="preserve">ortgagees must provide written notice to mortgagors of any assignment, sale or transfer of servicing of the mortgage in accordance with the requirements of the Real Estate Settlement Procedures Act.  </w:t>
      </w:r>
      <w:r w:rsidR="00CF2D15">
        <w:rPr>
          <w:sz w:val="24"/>
        </w:rPr>
        <w:t xml:space="preserve">Transferring mortgagees must </w:t>
      </w:r>
      <w:r w:rsidR="00C008F0">
        <w:rPr>
          <w:sz w:val="24"/>
        </w:rPr>
        <w:t xml:space="preserve">submit and </w:t>
      </w:r>
      <w:r w:rsidR="00CF2D15">
        <w:rPr>
          <w:sz w:val="24"/>
        </w:rPr>
        <w:t>notify HUD of any assignment, sale or transfer of servicing of the mortgage through</w:t>
      </w:r>
      <w:r w:rsidR="00C008F0">
        <w:rPr>
          <w:sz w:val="24"/>
        </w:rPr>
        <w:t xml:space="preserve"> the FHA Connection or Electronic Data Interchange (EDI).</w:t>
      </w:r>
      <w:r w:rsidR="00CF2D15">
        <w:rPr>
          <w:sz w:val="24"/>
        </w:rPr>
        <w:t xml:space="preserve"> </w:t>
      </w:r>
    </w:p>
    <w:p w14:paraId="0DD7560B" w14:textId="77777777" w:rsidR="00CF2D15" w:rsidRDefault="00CF2D15" w:rsidP="00CF2D15">
      <w:pPr>
        <w:rPr>
          <w:sz w:val="24"/>
        </w:rPr>
      </w:pPr>
    </w:p>
    <w:p w14:paraId="190C9C1F" w14:textId="77777777" w:rsidR="00846D03" w:rsidRDefault="00CF2D15" w:rsidP="00956C42">
      <w:pPr>
        <w:numPr>
          <w:ilvl w:val="0"/>
          <w:numId w:val="36"/>
        </w:numPr>
        <w:tabs>
          <w:tab w:val="clear" w:pos="1368"/>
        </w:tabs>
        <w:ind w:left="360"/>
        <w:rPr>
          <w:sz w:val="24"/>
        </w:rPr>
      </w:pPr>
      <w:r w:rsidRPr="00CF2D15">
        <w:rPr>
          <w:b/>
          <w:sz w:val="24"/>
        </w:rPr>
        <w:t>Other Customer S</w:t>
      </w:r>
      <w:r w:rsidR="00846D03">
        <w:rPr>
          <w:b/>
          <w:sz w:val="24"/>
        </w:rPr>
        <w:t>ervice</w:t>
      </w:r>
      <w:r w:rsidR="003345DD">
        <w:rPr>
          <w:b/>
          <w:sz w:val="24"/>
        </w:rPr>
        <w:t>s</w:t>
      </w:r>
      <w:r>
        <w:rPr>
          <w:sz w:val="24"/>
        </w:rPr>
        <w:t xml:space="preserve"> – Mortgagees must be able to respond to customer </w:t>
      </w:r>
      <w:r w:rsidR="00846D03">
        <w:rPr>
          <w:sz w:val="24"/>
        </w:rPr>
        <w:t>requests, complete servicing actions</w:t>
      </w:r>
      <w:r>
        <w:rPr>
          <w:sz w:val="24"/>
        </w:rPr>
        <w:t xml:space="preserve"> and provide </w:t>
      </w:r>
      <w:r w:rsidR="00846D03">
        <w:rPr>
          <w:sz w:val="24"/>
        </w:rPr>
        <w:t>copies of</w:t>
      </w:r>
      <w:r>
        <w:rPr>
          <w:sz w:val="24"/>
        </w:rPr>
        <w:t xml:space="preserve"> original or replacement documents or reports as requested by mortgagors</w:t>
      </w:r>
      <w:r w:rsidR="007A26E3">
        <w:rPr>
          <w:sz w:val="24"/>
        </w:rPr>
        <w:t>.  These services are found in the subsequent section under “Post Endorsement Fees and Charges”.</w:t>
      </w:r>
    </w:p>
    <w:p w14:paraId="13CE069D" w14:textId="77777777" w:rsidR="001A04AF" w:rsidRDefault="001A04AF" w:rsidP="007A26E3">
      <w:pPr>
        <w:rPr>
          <w:sz w:val="24"/>
        </w:rPr>
      </w:pPr>
    </w:p>
    <w:p w14:paraId="61E07519" w14:textId="77777777" w:rsidR="001A04AF" w:rsidRDefault="001A04AF" w:rsidP="004653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bCs/>
          <w:sz w:val="24"/>
        </w:rPr>
        <w:t xml:space="preserve">Providing </w:t>
      </w:r>
      <w:r w:rsidR="003345DD">
        <w:rPr>
          <w:rFonts w:ascii="Times New Roman" w:hAnsi="Times New Roman" w:cs="Times New Roman"/>
          <w:bCs/>
          <w:sz w:val="24"/>
        </w:rPr>
        <w:t>account information and other customer services</w:t>
      </w:r>
      <w:r>
        <w:rPr>
          <w:rFonts w:ascii="Times New Roman" w:hAnsi="Times New Roman" w:cs="Times New Roman"/>
          <w:bCs/>
          <w:sz w:val="24"/>
        </w:rPr>
        <w:t xml:space="preserve"> </w:t>
      </w:r>
      <w:r>
        <w:rPr>
          <w:rFonts w:ascii="Times New Roman" w:hAnsi="Times New Roman" w:cs="Times New Roman"/>
          <w:sz w:val="24"/>
        </w:rPr>
        <w:t>is standard practice within the mortgage industry on all FHA, VA and conventional loans, therefore HUD ascribes no burden hours.</w:t>
      </w:r>
    </w:p>
    <w:p w14:paraId="7AF92588" w14:textId="77777777" w:rsidR="006C274F" w:rsidRDefault="006C274F" w:rsidP="006C274F">
      <w:pPr>
        <w:ind w:left="360"/>
        <w:rPr>
          <w:b/>
          <w:color w:val="000000"/>
          <w:sz w:val="24"/>
        </w:rPr>
      </w:pPr>
    </w:p>
    <w:p w14:paraId="4321D05C" w14:textId="77777777" w:rsidR="006C274F" w:rsidRDefault="006C274F" w:rsidP="0046532E">
      <w:pPr>
        <w:rPr>
          <w:b/>
          <w:color w:val="000000"/>
          <w:sz w:val="24"/>
        </w:rPr>
      </w:pPr>
      <w:r>
        <w:rPr>
          <w:b/>
          <w:color w:val="000000"/>
          <w:sz w:val="24"/>
        </w:rPr>
        <w:t>Post Endorsement Fees and Charges</w:t>
      </w:r>
    </w:p>
    <w:p w14:paraId="0343404D" w14:textId="77777777" w:rsidR="006C274F" w:rsidRDefault="006C274F" w:rsidP="006C274F">
      <w:pPr>
        <w:ind w:left="360"/>
        <w:rPr>
          <w:b/>
          <w:color w:val="000000"/>
          <w:sz w:val="24"/>
        </w:rPr>
      </w:pPr>
    </w:p>
    <w:p w14:paraId="46068C82" w14:textId="77777777" w:rsidR="00733E0A" w:rsidRDefault="00733E0A" w:rsidP="0046532E">
      <w:pPr>
        <w:ind w:right="-720"/>
        <w:rPr>
          <w:sz w:val="24"/>
          <w:szCs w:val="24"/>
        </w:rPr>
      </w:pPr>
      <w:r w:rsidRPr="00733E0A">
        <w:rPr>
          <w:sz w:val="24"/>
          <w:szCs w:val="24"/>
        </w:rPr>
        <w:lastRenderedPageBreak/>
        <w:t xml:space="preserve">Mortgage servicing fees earned in conjunction with the servicing of a Federal Housing Administration (FHA) insured single-family mortgage are intended to compensate mortgagees for routine servicing requirements.  Mortgagors may not be charged an additional fee for standard or routine actions performed by the mortgagee.  Special services are actions performed by the mortgagee at the mortgagor’s request or on the mortgagor’s behalf that exceed routine servicing requirements, and for which a reasonable fee may be charged. </w:t>
      </w:r>
      <w:r w:rsidR="002501CB">
        <w:rPr>
          <w:sz w:val="24"/>
          <w:szCs w:val="24"/>
        </w:rPr>
        <w:t xml:space="preserve"> </w:t>
      </w:r>
      <w:r w:rsidRPr="00733E0A">
        <w:rPr>
          <w:sz w:val="24"/>
          <w:szCs w:val="24"/>
        </w:rPr>
        <w:t xml:space="preserve">Subject to </w:t>
      </w:r>
      <w:r>
        <w:rPr>
          <w:sz w:val="24"/>
          <w:szCs w:val="24"/>
        </w:rPr>
        <w:t xml:space="preserve">certain </w:t>
      </w:r>
      <w:r w:rsidRPr="00733E0A">
        <w:rPr>
          <w:sz w:val="24"/>
          <w:szCs w:val="24"/>
        </w:rPr>
        <w:t xml:space="preserve">exceptions, </w:t>
      </w:r>
      <w:r>
        <w:rPr>
          <w:sz w:val="24"/>
          <w:szCs w:val="24"/>
        </w:rPr>
        <w:t>HUD</w:t>
      </w:r>
      <w:r w:rsidRPr="00733E0A">
        <w:rPr>
          <w:sz w:val="24"/>
          <w:szCs w:val="24"/>
        </w:rPr>
        <w:t xml:space="preserve"> does not stipulate the exact fee or charge a mortgagee may collect from a mortgagor for providing special services. </w:t>
      </w:r>
    </w:p>
    <w:p w14:paraId="04493C76" w14:textId="77777777" w:rsidR="00733E0A" w:rsidRPr="00733E0A" w:rsidRDefault="00733E0A" w:rsidP="00E36FF1">
      <w:pPr>
        <w:tabs>
          <w:tab w:val="num" w:pos="360"/>
        </w:tabs>
        <w:ind w:right="-720"/>
        <w:rPr>
          <w:sz w:val="24"/>
          <w:szCs w:val="24"/>
        </w:rPr>
      </w:pPr>
    </w:p>
    <w:p w14:paraId="08A12E32" w14:textId="77777777" w:rsidR="00E36FF1" w:rsidRPr="00E36FF1" w:rsidRDefault="00E36FF1" w:rsidP="00956C42">
      <w:pPr>
        <w:numPr>
          <w:ilvl w:val="0"/>
          <w:numId w:val="37"/>
        </w:numPr>
        <w:tabs>
          <w:tab w:val="clear" w:pos="1368"/>
        </w:tabs>
        <w:ind w:left="360"/>
        <w:rPr>
          <w:sz w:val="24"/>
          <w:szCs w:val="24"/>
        </w:rPr>
      </w:pPr>
      <w:r w:rsidRPr="00E36FF1">
        <w:rPr>
          <w:b/>
          <w:sz w:val="24"/>
          <w:szCs w:val="24"/>
        </w:rPr>
        <w:t xml:space="preserve">Written Policy - </w:t>
      </w:r>
      <w:r w:rsidRPr="00E36FF1">
        <w:rPr>
          <w:sz w:val="24"/>
          <w:szCs w:val="24"/>
        </w:rPr>
        <w:t>mortgagees must have a clearly written policy governing post endorsement fees and charges that ensures compliance with applicable state laws and regulations and is consistent with the governing mortgage documents.  This written policy must address the following points but is not limited to:</w:t>
      </w:r>
    </w:p>
    <w:p w14:paraId="2A75F7E7" w14:textId="77777777" w:rsidR="00E36FF1" w:rsidRPr="00E36FF1" w:rsidRDefault="00E36FF1" w:rsidP="00E36FF1">
      <w:pPr>
        <w:rPr>
          <w:sz w:val="24"/>
          <w:szCs w:val="24"/>
        </w:rPr>
      </w:pPr>
    </w:p>
    <w:p w14:paraId="0AB41431" w14:textId="77777777" w:rsidR="00E36FF1" w:rsidRPr="00E36FF1" w:rsidRDefault="00E36FF1" w:rsidP="00956C42">
      <w:pPr>
        <w:numPr>
          <w:ilvl w:val="1"/>
          <w:numId w:val="42"/>
        </w:numPr>
        <w:tabs>
          <w:tab w:val="clear" w:pos="2160"/>
        </w:tabs>
        <w:overflowPunct/>
        <w:autoSpaceDE/>
        <w:autoSpaceDN/>
        <w:adjustRightInd/>
        <w:ind w:hanging="1800"/>
        <w:textAlignment w:val="auto"/>
        <w:rPr>
          <w:sz w:val="24"/>
          <w:szCs w:val="24"/>
        </w:rPr>
      </w:pPr>
      <w:r w:rsidRPr="00E36FF1">
        <w:rPr>
          <w:sz w:val="24"/>
          <w:szCs w:val="24"/>
        </w:rPr>
        <w:t>The special services for which fees or charges will be assessed;</w:t>
      </w:r>
    </w:p>
    <w:p w14:paraId="397742EA" w14:textId="77777777" w:rsidR="00E36FF1" w:rsidRPr="00E36FF1" w:rsidRDefault="00E36FF1" w:rsidP="00956C42">
      <w:pPr>
        <w:numPr>
          <w:ilvl w:val="1"/>
          <w:numId w:val="42"/>
        </w:numPr>
        <w:tabs>
          <w:tab w:val="clear" w:pos="2160"/>
        </w:tabs>
        <w:overflowPunct/>
        <w:autoSpaceDE/>
        <w:autoSpaceDN/>
        <w:adjustRightInd/>
        <w:ind w:hanging="1800"/>
        <w:textAlignment w:val="auto"/>
        <w:rPr>
          <w:sz w:val="24"/>
          <w:szCs w:val="24"/>
        </w:rPr>
      </w:pPr>
      <w:r w:rsidRPr="00E36FF1">
        <w:rPr>
          <w:sz w:val="24"/>
          <w:szCs w:val="24"/>
        </w:rPr>
        <w:t>The specific amount of each fee or the factor applied to determine the fee;</w:t>
      </w:r>
    </w:p>
    <w:p w14:paraId="2F4EDDCE" w14:textId="77777777" w:rsidR="00E36FF1" w:rsidRPr="00E36FF1" w:rsidRDefault="00E36FF1" w:rsidP="00956C42">
      <w:pPr>
        <w:numPr>
          <w:ilvl w:val="1"/>
          <w:numId w:val="42"/>
        </w:numPr>
        <w:tabs>
          <w:tab w:val="clear" w:pos="2160"/>
        </w:tabs>
        <w:overflowPunct/>
        <w:autoSpaceDE/>
        <w:autoSpaceDN/>
        <w:adjustRightInd/>
        <w:ind w:left="720"/>
        <w:textAlignment w:val="auto"/>
        <w:rPr>
          <w:sz w:val="24"/>
          <w:szCs w:val="24"/>
        </w:rPr>
      </w:pPr>
      <w:r w:rsidRPr="00E36FF1">
        <w:rPr>
          <w:sz w:val="24"/>
          <w:szCs w:val="24"/>
        </w:rPr>
        <w:t>The basis used for determining that each fee is reasonable and customary for similar services in the geographic area where the mortgaged property is located;</w:t>
      </w:r>
    </w:p>
    <w:p w14:paraId="7F9FF6A8" w14:textId="77777777" w:rsidR="00E36FF1" w:rsidRPr="00E36FF1" w:rsidRDefault="00E36FF1" w:rsidP="00956C42">
      <w:pPr>
        <w:numPr>
          <w:ilvl w:val="1"/>
          <w:numId w:val="42"/>
        </w:numPr>
        <w:tabs>
          <w:tab w:val="clear" w:pos="2160"/>
        </w:tabs>
        <w:overflowPunct/>
        <w:autoSpaceDE/>
        <w:autoSpaceDN/>
        <w:adjustRightInd/>
        <w:ind w:hanging="1800"/>
        <w:textAlignment w:val="auto"/>
        <w:rPr>
          <w:sz w:val="24"/>
          <w:szCs w:val="24"/>
        </w:rPr>
      </w:pPr>
      <w:r w:rsidRPr="00E36FF1">
        <w:rPr>
          <w:sz w:val="24"/>
          <w:szCs w:val="24"/>
        </w:rPr>
        <w:t>The frequency and process that will be followed to update the fee schedule;</w:t>
      </w:r>
    </w:p>
    <w:p w14:paraId="36C68E88" w14:textId="77777777" w:rsidR="00E36FF1" w:rsidRPr="00E36FF1" w:rsidRDefault="00E36FF1" w:rsidP="00956C42">
      <w:pPr>
        <w:numPr>
          <w:ilvl w:val="1"/>
          <w:numId w:val="42"/>
        </w:numPr>
        <w:tabs>
          <w:tab w:val="clear" w:pos="2160"/>
        </w:tabs>
        <w:overflowPunct/>
        <w:autoSpaceDE/>
        <w:autoSpaceDN/>
        <w:adjustRightInd/>
        <w:ind w:hanging="1800"/>
        <w:textAlignment w:val="auto"/>
        <w:rPr>
          <w:sz w:val="24"/>
          <w:szCs w:val="24"/>
        </w:rPr>
      </w:pPr>
      <w:r w:rsidRPr="00E36FF1">
        <w:rPr>
          <w:sz w:val="24"/>
          <w:szCs w:val="24"/>
        </w:rPr>
        <w:t>Procedures for ensuring compliance with the post endorsement policy;</w:t>
      </w:r>
    </w:p>
    <w:p w14:paraId="7A56C8DA" w14:textId="77777777" w:rsidR="00E36FF1" w:rsidRPr="00E36FF1" w:rsidRDefault="00E36FF1" w:rsidP="00956C42">
      <w:pPr>
        <w:numPr>
          <w:ilvl w:val="1"/>
          <w:numId w:val="42"/>
        </w:numPr>
        <w:tabs>
          <w:tab w:val="clear" w:pos="2160"/>
        </w:tabs>
        <w:overflowPunct/>
        <w:autoSpaceDE/>
        <w:autoSpaceDN/>
        <w:adjustRightInd/>
        <w:ind w:hanging="1800"/>
        <w:textAlignment w:val="auto"/>
        <w:rPr>
          <w:sz w:val="24"/>
          <w:szCs w:val="24"/>
        </w:rPr>
      </w:pPr>
      <w:r w:rsidRPr="00E36FF1">
        <w:rPr>
          <w:sz w:val="24"/>
          <w:szCs w:val="24"/>
        </w:rPr>
        <w:t>Procedures for making the fee schedule available to the public without charge.</w:t>
      </w:r>
    </w:p>
    <w:p w14:paraId="6E643E0A" w14:textId="77777777" w:rsidR="00E36FF1" w:rsidRDefault="00E36FF1" w:rsidP="006D4510">
      <w:pPr>
        <w:pStyle w:val="BodyText"/>
        <w:tabs>
          <w:tab w:val="num" w:pos="1368"/>
        </w:tabs>
        <w:rPr>
          <w:szCs w:val="24"/>
        </w:rPr>
      </w:pPr>
    </w:p>
    <w:p w14:paraId="16AD06BD" w14:textId="77777777" w:rsidR="006D4510" w:rsidRPr="00C008F0" w:rsidRDefault="006D4510" w:rsidP="00956C42">
      <w:pPr>
        <w:pStyle w:val="BodyText"/>
        <w:numPr>
          <w:ilvl w:val="0"/>
          <w:numId w:val="38"/>
        </w:numPr>
        <w:rPr>
          <w:color w:val="auto"/>
          <w:szCs w:val="24"/>
        </w:rPr>
      </w:pPr>
      <w:r>
        <w:rPr>
          <w:b/>
          <w:color w:val="auto"/>
          <w:szCs w:val="24"/>
        </w:rPr>
        <w:t>Special Service</w:t>
      </w:r>
      <w:r w:rsidRPr="00C008F0">
        <w:rPr>
          <w:b/>
          <w:color w:val="auto"/>
          <w:szCs w:val="24"/>
        </w:rPr>
        <w:t xml:space="preserve"> Fees –</w:t>
      </w:r>
      <w:r w:rsidRPr="00C008F0">
        <w:rPr>
          <w:color w:val="auto"/>
          <w:szCs w:val="24"/>
        </w:rPr>
        <w:t xml:space="preserve"> Mortgagees may </w:t>
      </w:r>
      <w:r>
        <w:rPr>
          <w:color w:val="auto"/>
          <w:szCs w:val="24"/>
        </w:rPr>
        <w:t>be</w:t>
      </w:r>
      <w:r w:rsidRPr="00C008F0">
        <w:rPr>
          <w:color w:val="auto"/>
          <w:szCs w:val="24"/>
        </w:rPr>
        <w:t xml:space="preserve"> charge</w:t>
      </w:r>
      <w:r>
        <w:rPr>
          <w:color w:val="auto"/>
          <w:szCs w:val="24"/>
        </w:rPr>
        <w:t>d</w:t>
      </w:r>
      <w:r w:rsidRPr="00C008F0">
        <w:rPr>
          <w:color w:val="auto"/>
          <w:szCs w:val="24"/>
        </w:rPr>
        <w:t xml:space="preserve"> a fee for the following services:</w:t>
      </w:r>
    </w:p>
    <w:p w14:paraId="06E832F1" w14:textId="77777777" w:rsidR="006D4510" w:rsidRDefault="006D4510" w:rsidP="006D4510">
      <w:pPr>
        <w:pStyle w:val="BodyText"/>
        <w:tabs>
          <w:tab w:val="num" w:pos="1368"/>
        </w:tabs>
        <w:rPr>
          <w:szCs w:val="24"/>
        </w:rPr>
      </w:pPr>
    </w:p>
    <w:p w14:paraId="14F6F675" w14:textId="77777777" w:rsidR="006D4510" w:rsidRDefault="006D4510" w:rsidP="00956C42">
      <w:pPr>
        <w:numPr>
          <w:ilvl w:val="1"/>
          <w:numId w:val="42"/>
        </w:numPr>
        <w:tabs>
          <w:tab w:val="clear" w:pos="2160"/>
        </w:tabs>
        <w:overflowPunct/>
        <w:autoSpaceDE/>
        <w:autoSpaceDN/>
        <w:adjustRightInd/>
        <w:ind w:hanging="1800"/>
        <w:textAlignment w:val="auto"/>
        <w:rPr>
          <w:sz w:val="24"/>
          <w:szCs w:val="24"/>
        </w:rPr>
      </w:pPr>
      <w:r w:rsidRPr="00E36FF1">
        <w:rPr>
          <w:sz w:val="24"/>
          <w:szCs w:val="24"/>
        </w:rPr>
        <w:t>Proce</w:t>
      </w:r>
      <w:r>
        <w:rPr>
          <w:sz w:val="24"/>
          <w:szCs w:val="24"/>
        </w:rPr>
        <w:t>ssing fee for a twice returned non-sufficient funds check returned as uncollectible.</w:t>
      </w:r>
    </w:p>
    <w:p w14:paraId="6159B51A" w14:textId="77777777" w:rsidR="006D4510" w:rsidRDefault="006D4510" w:rsidP="00956C42">
      <w:pPr>
        <w:numPr>
          <w:ilvl w:val="1"/>
          <w:numId w:val="42"/>
        </w:numPr>
        <w:tabs>
          <w:tab w:val="clear" w:pos="2160"/>
        </w:tabs>
        <w:overflowPunct/>
        <w:autoSpaceDE/>
        <w:autoSpaceDN/>
        <w:adjustRightInd/>
        <w:ind w:hanging="1800"/>
        <w:textAlignment w:val="auto"/>
        <w:rPr>
          <w:sz w:val="24"/>
          <w:szCs w:val="24"/>
        </w:rPr>
      </w:pPr>
      <w:r>
        <w:rPr>
          <w:sz w:val="24"/>
          <w:szCs w:val="24"/>
        </w:rPr>
        <w:t>Non-sufficient funds over the phone credit card payments</w:t>
      </w:r>
      <w:r w:rsidRPr="00E36FF1">
        <w:rPr>
          <w:sz w:val="24"/>
          <w:szCs w:val="24"/>
        </w:rPr>
        <w:t>.</w:t>
      </w:r>
    </w:p>
    <w:p w14:paraId="4985950A" w14:textId="77777777" w:rsidR="006D4510" w:rsidRDefault="006D4510" w:rsidP="00956C42">
      <w:pPr>
        <w:numPr>
          <w:ilvl w:val="1"/>
          <w:numId w:val="42"/>
        </w:numPr>
        <w:tabs>
          <w:tab w:val="clear" w:pos="2160"/>
        </w:tabs>
        <w:overflowPunct/>
        <w:autoSpaceDE/>
        <w:autoSpaceDN/>
        <w:adjustRightInd/>
        <w:ind w:hanging="1800"/>
        <w:textAlignment w:val="auto"/>
        <w:rPr>
          <w:sz w:val="24"/>
          <w:szCs w:val="24"/>
        </w:rPr>
      </w:pPr>
      <w:r>
        <w:rPr>
          <w:sz w:val="24"/>
          <w:szCs w:val="24"/>
        </w:rPr>
        <w:t>Non-sufficient funds direct account debit payments.</w:t>
      </w:r>
    </w:p>
    <w:p w14:paraId="24B37E5F" w14:textId="77777777" w:rsidR="006D4510" w:rsidRDefault="006D4510" w:rsidP="00956C42">
      <w:pPr>
        <w:numPr>
          <w:ilvl w:val="1"/>
          <w:numId w:val="42"/>
        </w:numPr>
        <w:tabs>
          <w:tab w:val="clear" w:pos="2160"/>
        </w:tabs>
        <w:overflowPunct/>
        <w:autoSpaceDE/>
        <w:autoSpaceDN/>
        <w:adjustRightInd/>
        <w:ind w:hanging="1800"/>
        <w:textAlignment w:val="auto"/>
        <w:rPr>
          <w:sz w:val="24"/>
          <w:szCs w:val="24"/>
        </w:rPr>
      </w:pPr>
      <w:r>
        <w:rPr>
          <w:sz w:val="24"/>
          <w:szCs w:val="24"/>
        </w:rPr>
        <w:t>Duplicated coupon books replaced at the request of the mortgagor.</w:t>
      </w:r>
    </w:p>
    <w:p w14:paraId="1503BEE8" w14:textId="77777777" w:rsidR="006D4510" w:rsidRDefault="006D4510" w:rsidP="00956C42">
      <w:pPr>
        <w:numPr>
          <w:ilvl w:val="1"/>
          <w:numId w:val="42"/>
        </w:numPr>
        <w:tabs>
          <w:tab w:val="clear" w:pos="2160"/>
        </w:tabs>
        <w:overflowPunct/>
        <w:autoSpaceDE/>
        <w:autoSpaceDN/>
        <w:adjustRightInd/>
        <w:ind w:hanging="1800"/>
        <w:textAlignment w:val="auto"/>
        <w:rPr>
          <w:sz w:val="24"/>
          <w:szCs w:val="24"/>
        </w:rPr>
      </w:pPr>
      <w:r>
        <w:rPr>
          <w:sz w:val="24"/>
          <w:szCs w:val="24"/>
        </w:rPr>
        <w:t>Amortization schedules.</w:t>
      </w:r>
    </w:p>
    <w:p w14:paraId="4BBF8D31" w14:textId="77777777" w:rsidR="006D4510" w:rsidRDefault="006D4510" w:rsidP="00956C42">
      <w:pPr>
        <w:numPr>
          <w:ilvl w:val="1"/>
          <w:numId w:val="42"/>
        </w:numPr>
        <w:tabs>
          <w:tab w:val="clear" w:pos="2160"/>
        </w:tabs>
        <w:overflowPunct/>
        <w:autoSpaceDE/>
        <w:autoSpaceDN/>
        <w:adjustRightInd/>
        <w:ind w:hanging="1800"/>
        <w:textAlignment w:val="auto"/>
        <w:rPr>
          <w:sz w:val="24"/>
          <w:szCs w:val="24"/>
        </w:rPr>
      </w:pPr>
      <w:r>
        <w:rPr>
          <w:sz w:val="24"/>
          <w:szCs w:val="24"/>
        </w:rPr>
        <w:t>Hazard insurance policies other than at the expiration of the existing policy.</w:t>
      </w:r>
    </w:p>
    <w:p w14:paraId="0E987283" w14:textId="77777777" w:rsidR="006D4510" w:rsidRDefault="006D4510" w:rsidP="00956C42">
      <w:pPr>
        <w:numPr>
          <w:ilvl w:val="1"/>
          <w:numId w:val="42"/>
        </w:numPr>
        <w:tabs>
          <w:tab w:val="clear" w:pos="2160"/>
        </w:tabs>
        <w:overflowPunct/>
        <w:autoSpaceDE/>
        <w:autoSpaceDN/>
        <w:adjustRightInd/>
        <w:ind w:left="720"/>
        <w:textAlignment w:val="auto"/>
        <w:rPr>
          <w:sz w:val="24"/>
          <w:szCs w:val="24"/>
        </w:rPr>
      </w:pPr>
      <w:r>
        <w:rPr>
          <w:sz w:val="24"/>
          <w:szCs w:val="24"/>
        </w:rPr>
        <w:t xml:space="preserve">More than one copy of: Year-end Statements, Mortgage Notes or Deeds of Trust, </w:t>
      </w:r>
      <w:r w:rsidR="00DF67FD">
        <w:rPr>
          <w:sz w:val="24"/>
          <w:szCs w:val="24"/>
        </w:rPr>
        <w:t>Settlement Statements and Gift Letters.</w:t>
      </w:r>
    </w:p>
    <w:p w14:paraId="096DB9AD" w14:textId="77777777" w:rsidR="00DF67FD" w:rsidRDefault="00DF67FD" w:rsidP="00956C42">
      <w:pPr>
        <w:numPr>
          <w:ilvl w:val="1"/>
          <w:numId w:val="42"/>
        </w:numPr>
        <w:tabs>
          <w:tab w:val="clear" w:pos="2160"/>
        </w:tabs>
        <w:overflowPunct/>
        <w:autoSpaceDE/>
        <w:autoSpaceDN/>
        <w:adjustRightInd/>
        <w:ind w:left="720"/>
        <w:textAlignment w:val="auto"/>
        <w:rPr>
          <w:sz w:val="24"/>
          <w:szCs w:val="24"/>
        </w:rPr>
      </w:pPr>
      <w:r>
        <w:rPr>
          <w:sz w:val="24"/>
          <w:szCs w:val="24"/>
        </w:rPr>
        <w:t>Multi-year payment histories.</w:t>
      </w:r>
    </w:p>
    <w:p w14:paraId="5178CA29" w14:textId="77777777" w:rsidR="00DF67FD" w:rsidRDefault="00DF67FD" w:rsidP="00956C42">
      <w:pPr>
        <w:numPr>
          <w:ilvl w:val="1"/>
          <w:numId w:val="42"/>
        </w:numPr>
        <w:tabs>
          <w:tab w:val="clear" w:pos="2160"/>
        </w:tabs>
        <w:overflowPunct/>
        <w:autoSpaceDE/>
        <w:autoSpaceDN/>
        <w:adjustRightInd/>
        <w:ind w:left="720"/>
        <w:textAlignment w:val="auto"/>
        <w:rPr>
          <w:sz w:val="24"/>
          <w:szCs w:val="24"/>
        </w:rPr>
      </w:pPr>
      <w:r>
        <w:rPr>
          <w:sz w:val="24"/>
          <w:szCs w:val="24"/>
        </w:rPr>
        <w:t>Multiple payoff statements within a short period of time.</w:t>
      </w:r>
    </w:p>
    <w:p w14:paraId="21F05619" w14:textId="77777777" w:rsidR="00DF67FD" w:rsidRDefault="00DF67FD" w:rsidP="00956C42">
      <w:pPr>
        <w:numPr>
          <w:ilvl w:val="1"/>
          <w:numId w:val="42"/>
        </w:numPr>
        <w:tabs>
          <w:tab w:val="clear" w:pos="2160"/>
        </w:tabs>
        <w:overflowPunct/>
        <w:autoSpaceDE/>
        <w:autoSpaceDN/>
        <w:adjustRightInd/>
        <w:ind w:left="720"/>
        <w:textAlignment w:val="auto"/>
        <w:rPr>
          <w:sz w:val="24"/>
          <w:szCs w:val="24"/>
        </w:rPr>
      </w:pPr>
      <w:r>
        <w:rPr>
          <w:sz w:val="24"/>
          <w:szCs w:val="24"/>
        </w:rPr>
        <w:t>Mortgage verification to a prospective outside creditor initiated by the mortgagor.</w:t>
      </w:r>
    </w:p>
    <w:p w14:paraId="1C23B056" w14:textId="77777777" w:rsidR="00DF67FD" w:rsidRDefault="00DF67FD" w:rsidP="00956C42">
      <w:pPr>
        <w:numPr>
          <w:ilvl w:val="1"/>
          <w:numId w:val="42"/>
        </w:numPr>
        <w:tabs>
          <w:tab w:val="clear" w:pos="2160"/>
        </w:tabs>
        <w:overflowPunct/>
        <w:autoSpaceDE/>
        <w:autoSpaceDN/>
        <w:adjustRightInd/>
        <w:ind w:left="720"/>
        <w:textAlignment w:val="auto"/>
        <w:rPr>
          <w:sz w:val="24"/>
          <w:szCs w:val="24"/>
        </w:rPr>
      </w:pPr>
      <w:r>
        <w:rPr>
          <w:sz w:val="24"/>
          <w:szCs w:val="24"/>
        </w:rPr>
        <w:t>Full or partial release of security as provided by the security instrument.</w:t>
      </w:r>
    </w:p>
    <w:p w14:paraId="20309003" w14:textId="77777777" w:rsidR="00DF67FD" w:rsidRDefault="00574052" w:rsidP="00956C42">
      <w:pPr>
        <w:numPr>
          <w:ilvl w:val="1"/>
          <w:numId w:val="42"/>
        </w:numPr>
        <w:tabs>
          <w:tab w:val="clear" w:pos="2160"/>
        </w:tabs>
        <w:overflowPunct/>
        <w:autoSpaceDE/>
        <w:autoSpaceDN/>
        <w:adjustRightInd/>
        <w:ind w:left="720"/>
        <w:textAlignment w:val="auto"/>
        <w:rPr>
          <w:sz w:val="24"/>
          <w:szCs w:val="24"/>
        </w:rPr>
      </w:pPr>
      <w:r>
        <w:rPr>
          <w:sz w:val="24"/>
          <w:szCs w:val="24"/>
        </w:rPr>
        <w:t>Property preservation inspections.</w:t>
      </w:r>
      <w:r w:rsidR="00DF67FD">
        <w:rPr>
          <w:sz w:val="24"/>
          <w:szCs w:val="24"/>
        </w:rPr>
        <w:t xml:space="preserve"> </w:t>
      </w:r>
    </w:p>
    <w:p w14:paraId="0211827C" w14:textId="77777777" w:rsidR="006D4510" w:rsidRPr="00E36FF1" w:rsidRDefault="006D4510" w:rsidP="006D4510">
      <w:pPr>
        <w:pStyle w:val="BodyText"/>
        <w:tabs>
          <w:tab w:val="num" w:pos="1368"/>
        </w:tabs>
        <w:rPr>
          <w:szCs w:val="24"/>
        </w:rPr>
      </w:pPr>
    </w:p>
    <w:p w14:paraId="74C775C8" w14:textId="77777777" w:rsidR="00E36FF1" w:rsidRPr="00C008F0" w:rsidRDefault="00E36FF1" w:rsidP="00956C42">
      <w:pPr>
        <w:pStyle w:val="BodyText"/>
        <w:numPr>
          <w:ilvl w:val="0"/>
          <w:numId w:val="38"/>
        </w:numPr>
        <w:rPr>
          <w:color w:val="auto"/>
          <w:szCs w:val="24"/>
        </w:rPr>
      </w:pPr>
      <w:r w:rsidRPr="00C008F0">
        <w:rPr>
          <w:b/>
          <w:color w:val="auto"/>
          <w:szCs w:val="24"/>
        </w:rPr>
        <w:t>Prohibited Fees –</w:t>
      </w:r>
      <w:r w:rsidRPr="00C008F0">
        <w:rPr>
          <w:color w:val="auto"/>
          <w:szCs w:val="24"/>
        </w:rPr>
        <w:t xml:space="preserve"> Mortgagees may not charge a fee for the following services:</w:t>
      </w:r>
    </w:p>
    <w:p w14:paraId="22FE7657" w14:textId="77777777" w:rsidR="00E36FF1" w:rsidRPr="00E36FF1" w:rsidRDefault="00E36FF1" w:rsidP="00E36FF1">
      <w:pPr>
        <w:pStyle w:val="BodyText"/>
        <w:rPr>
          <w:szCs w:val="24"/>
        </w:rPr>
      </w:pPr>
    </w:p>
    <w:p w14:paraId="170EBBC1"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Account set up</w:t>
      </w:r>
    </w:p>
    <w:p w14:paraId="2B458DEB"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Annual escrow analysis and disclosure</w:t>
      </w:r>
    </w:p>
    <w:p w14:paraId="266229B1"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Coupon books and or payment statements (except replacement coupon books)</w:t>
      </w:r>
    </w:p>
    <w:p w14:paraId="1EE6436B"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Tax service fees: A one</w:t>
      </w:r>
      <w:r w:rsidR="00FB50F8">
        <w:rPr>
          <w:sz w:val="24"/>
          <w:szCs w:val="24"/>
        </w:rPr>
        <w:t>-</w:t>
      </w:r>
      <w:r w:rsidRPr="00E36FF1">
        <w:rPr>
          <w:sz w:val="24"/>
          <w:szCs w:val="24"/>
        </w:rPr>
        <w:t>time tax service fee may be charged at origination but if not collected at origination a tax service fee may not be subsequently charged.</w:t>
      </w:r>
    </w:p>
    <w:p w14:paraId="02B52ABB"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 xml:space="preserve">Delinquent loan servicing including but not limited to:                                                                                                                                      </w:t>
      </w:r>
    </w:p>
    <w:p w14:paraId="7B34E6A7" w14:textId="77777777" w:rsidR="00E36FF1" w:rsidRPr="00E36FF1" w:rsidRDefault="00E36FF1" w:rsidP="00956C42">
      <w:pPr>
        <w:numPr>
          <w:ilvl w:val="2"/>
          <w:numId w:val="14"/>
        </w:numPr>
        <w:tabs>
          <w:tab w:val="clear" w:pos="2940"/>
        </w:tabs>
        <w:overflowPunct/>
        <w:autoSpaceDE/>
        <w:autoSpaceDN/>
        <w:adjustRightInd/>
        <w:ind w:left="1080" w:right="-720"/>
        <w:textAlignment w:val="auto"/>
        <w:rPr>
          <w:sz w:val="24"/>
          <w:szCs w:val="24"/>
        </w:rPr>
      </w:pPr>
      <w:r w:rsidRPr="00E36FF1">
        <w:rPr>
          <w:sz w:val="24"/>
          <w:szCs w:val="24"/>
        </w:rPr>
        <w:t>Facilitating routine borrower collections,</w:t>
      </w:r>
    </w:p>
    <w:p w14:paraId="378180A5" w14:textId="77777777" w:rsidR="00E36FF1" w:rsidRPr="00E36FF1" w:rsidRDefault="00E36FF1" w:rsidP="00956C42">
      <w:pPr>
        <w:numPr>
          <w:ilvl w:val="2"/>
          <w:numId w:val="14"/>
        </w:numPr>
        <w:tabs>
          <w:tab w:val="clear" w:pos="2940"/>
        </w:tabs>
        <w:overflowPunct/>
        <w:autoSpaceDE/>
        <w:autoSpaceDN/>
        <w:adjustRightInd/>
        <w:ind w:left="1080" w:right="-720"/>
        <w:textAlignment w:val="auto"/>
        <w:rPr>
          <w:sz w:val="24"/>
          <w:szCs w:val="24"/>
        </w:rPr>
      </w:pPr>
      <w:r w:rsidRPr="00E36FF1">
        <w:rPr>
          <w:sz w:val="24"/>
          <w:szCs w:val="24"/>
        </w:rPr>
        <w:t>Costs associated with letters, mailings, phone calls, face to face meetings, or other means of establishing borrower contact during delinquency</w:t>
      </w:r>
    </w:p>
    <w:p w14:paraId="7E30FA9A" w14:textId="77777777" w:rsidR="00E36FF1" w:rsidRPr="00E36FF1" w:rsidRDefault="00E36FF1" w:rsidP="00956C42">
      <w:pPr>
        <w:numPr>
          <w:ilvl w:val="2"/>
          <w:numId w:val="14"/>
        </w:numPr>
        <w:tabs>
          <w:tab w:val="clear" w:pos="2940"/>
        </w:tabs>
        <w:overflowPunct/>
        <w:autoSpaceDE/>
        <w:autoSpaceDN/>
        <w:adjustRightInd/>
        <w:ind w:left="1080" w:right="-720"/>
        <w:textAlignment w:val="auto"/>
        <w:rPr>
          <w:sz w:val="24"/>
          <w:szCs w:val="24"/>
        </w:rPr>
      </w:pPr>
      <w:r w:rsidRPr="00E36FF1">
        <w:rPr>
          <w:sz w:val="24"/>
          <w:szCs w:val="24"/>
        </w:rPr>
        <w:t>Arranging repayment or forbearance plans</w:t>
      </w:r>
    </w:p>
    <w:p w14:paraId="380ADCC8" w14:textId="77777777" w:rsidR="00E36FF1" w:rsidRPr="00E36FF1" w:rsidRDefault="00E36FF1" w:rsidP="00956C42">
      <w:pPr>
        <w:numPr>
          <w:ilvl w:val="2"/>
          <w:numId w:val="14"/>
        </w:numPr>
        <w:tabs>
          <w:tab w:val="clear" w:pos="2940"/>
        </w:tabs>
        <w:overflowPunct/>
        <w:autoSpaceDE/>
        <w:autoSpaceDN/>
        <w:adjustRightInd/>
        <w:ind w:left="1080" w:right="-720"/>
        <w:textAlignment w:val="auto"/>
        <w:rPr>
          <w:sz w:val="24"/>
          <w:szCs w:val="24"/>
        </w:rPr>
      </w:pPr>
      <w:r w:rsidRPr="00E36FF1">
        <w:rPr>
          <w:sz w:val="24"/>
          <w:szCs w:val="24"/>
        </w:rPr>
        <w:t>Demand or breach notices required in advance of a formal acceleration notice that matures the mortgage loan principal balance and begins the foreclosure process.</w:t>
      </w:r>
    </w:p>
    <w:p w14:paraId="13C4C1CC"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Administration actions related to reinstatement of a delinquent mortgage</w:t>
      </w:r>
    </w:p>
    <w:p w14:paraId="7E4B5A1D"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Resolution of mortgagor disputes</w:t>
      </w:r>
    </w:p>
    <w:p w14:paraId="2BCD14C8"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lastRenderedPageBreak/>
        <w:t>Payment history for current year and one prior year</w:t>
      </w:r>
    </w:p>
    <w:p w14:paraId="75A2F513"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 xml:space="preserve">Payoff statements </w:t>
      </w:r>
      <w:r>
        <w:rPr>
          <w:sz w:val="24"/>
          <w:szCs w:val="24"/>
        </w:rPr>
        <w:t>unless multiple statements are requested within a short period of time.</w:t>
      </w:r>
    </w:p>
    <w:p w14:paraId="07A0D17E"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Amortization schedule following any recasting of the mortgage debt in which the amortization of the loan changed</w:t>
      </w:r>
    </w:p>
    <w:p w14:paraId="3F917E5A" w14:textId="77777777" w:rsidR="00E36FF1" w:rsidRP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Recording fees in states where recording fees are the responsibility of the mortgagee</w:t>
      </w:r>
    </w:p>
    <w:p w14:paraId="4BA929A5" w14:textId="77777777" w:rsidR="00E36FF1" w:rsidRDefault="00E36FF1" w:rsidP="00956C42">
      <w:pPr>
        <w:numPr>
          <w:ilvl w:val="1"/>
          <w:numId w:val="14"/>
        </w:numPr>
        <w:tabs>
          <w:tab w:val="clear" w:pos="2220"/>
        </w:tabs>
        <w:overflowPunct/>
        <w:autoSpaceDE/>
        <w:autoSpaceDN/>
        <w:adjustRightInd/>
        <w:ind w:left="720" w:right="-720"/>
        <w:textAlignment w:val="auto"/>
        <w:rPr>
          <w:sz w:val="24"/>
          <w:szCs w:val="24"/>
        </w:rPr>
      </w:pPr>
      <w:r w:rsidRPr="00E36FF1">
        <w:rPr>
          <w:sz w:val="24"/>
          <w:szCs w:val="24"/>
        </w:rPr>
        <w:t>In-house legal services:  No charge may be made for any legal service provided by an attorney, paralegal or other individual who is a salaried member of the mortgagee, its subsidiary or any company with an identity of interest with the mortgagee.</w:t>
      </w:r>
    </w:p>
    <w:p w14:paraId="33AF8ECF" w14:textId="77777777" w:rsidR="003345DD" w:rsidRPr="00E36FF1" w:rsidRDefault="003345DD" w:rsidP="00956C42">
      <w:pPr>
        <w:numPr>
          <w:ilvl w:val="1"/>
          <w:numId w:val="14"/>
        </w:numPr>
        <w:tabs>
          <w:tab w:val="clear" w:pos="2220"/>
        </w:tabs>
        <w:overflowPunct/>
        <w:autoSpaceDE/>
        <w:autoSpaceDN/>
        <w:adjustRightInd/>
        <w:ind w:left="720" w:right="-720"/>
        <w:textAlignment w:val="auto"/>
        <w:rPr>
          <w:sz w:val="24"/>
          <w:szCs w:val="24"/>
        </w:rPr>
      </w:pPr>
      <w:r>
        <w:rPr>
          <w:sz w:val="24"/>
          <w:szCs w:val="24"/>
        </w:rPr>
        <w:t>HUD may limit the fees a mortgagor charges to process a simple assumption or loan modification.</w:t>
      </w:r>
    </w:p>
    <w:p w14:paraId="71067C4E" w14:textId="77777777" w:rsidR="00574052" w:rsidRPr="00E36FF1" w:rsidRDefault="00574052" w:rsidP="006C274F">
      <w:pPr>
        <w:ind w:left="360"/>
        <w:rPr>
          <w:b/>
          <w:color w:val="000000"/>
          <w:sz w:val="24"/>
          <w:szCs w:val="24"/>
        </w:rPr>
      </w:pPr>
    </w:p>
    <w:p w14:paraId="20DBA5C3" w14:textId="77777777" w:rsidR="006C274F" w:rsidRDefault="006C274F" w:rsidP="00EE30B5">
      <w:pPr>
        <w:rPr>
          <w:color w:val="000000"/>
          <w:sz w:val="24"/>
        </w:rPr>
      </w:pPr>
      <w:r w:rsidRPr="00572F82">
        <w:rPr>
          <w:b/>
          <w:color w:val="000000"/>
          <w:sz w:val="24"/>
        </w:rPr>
        <w:t>Section 235 Loans</w:t>
      </w:r>
    </w:p>
    <w:p w14:paraId="2572F332" w14:textId="77777777" w:rsidR="006C274F" w:rsidRDefault="006C274F" w:rsidP="006C274F">
      <w:pPr>
        <w:ind w:left="360"/>
        <w:rPr>
          <w:color w:val="000000"/>
          <w:sz w:val="24"/>
        </w:rPr>
      </w:pPr>
    </w:p>
    <w:p w14:paraId="00213A47" w14:textId="77777777" w:rsidR="001F4FAE" w:rsidRPr="001F4FAE" w:rsidRDefault="001F4FAE" w:rsidP="001F4FAE">
      <w:pPr>
        <w:rPr>
          <w:sz w:val="24"/>
          <w:szCs w:val="24"/>
        </w:rPr>
      </w:pPr>
      <w:r w:rsidRPr="001F4FAE">
        <w:rPr>
          <w:sz w:val="24"/>
          <w:szCs w:val="24"/>
        </w:rPr>
        <w:t xml:space="preserve">Effective May 4, 2015, HUD removed the regulations for its Section 235 Program, which authorized HUD to provide mortgage subsidy payments to Mortgagees to assist lower-income families who were unable to meet the credit requirements generally applicable to FHA mortgage insurance programs. Authority to insure new Mortgages under Section 235 expired October 1, 1989. To the extent that any Section 235 mortgages remain in existence, or second mortgages for the recapture of subsidy payment pursuant to HUD’s regulations governing the Section 235 Program, the removal of these regulations does not affect the requirements for transactions entered into when Section 235 Program regulations were in effect. A Borrower with an existing Section 235 Mortgage may still refinance the Mortgage.  </w:t>
      </w:r>
    </w:p>
    <w:p w14:paraId="15C55677" w14:textId="77777777" w:rsidR="001F4FAE" w:rsidRPr="001F4FAE" w:rsidRDefault="001F4FAE" w:rsidP="001F4FAE">
      <w:pPr>
        <w:rPr>
          <w:sz w:val="24"/>
          <w:szCs w:val="24"/>
        </w:rPr>
      </w:pPr>
    </w:p>
    <w:p w14:paraId="45E89856" w14:textId="6DF7D222" w:rsidR="002225A5" w:rsidRDefault="001F4FAE" w:rsidP="002225A5">
      <w:pPr>
        <w:rPr>
          <w:color w:val="000000"/>
          <w:sz w:val="24"/>
        </w:rPr>
      </w:pPr>
      <w:r w:rsidRPr="001F4FAE">
        <w:rPr>
          <w:sz w:val="24"/>
          <w:szCs w:val="24"/>
        </w:rPr>
        <w:t xml:space="preserve">Congress last provided authority for 30-year mortgages to receive subsidy in 1983. The Section 235 program has diminished each year with “0” Section 235 mortgages receiving subsidy.  With “0” mortgages receiving subsidy, </w:t>
      </w:r>
      <w:r>
        <w:rPr>
          <w:sz w:val="24"/>
          <w:szCs w:val="24"/>
        </w:rPr>
        <w:t xml:space="preserve">the following </w:t>
      </w:r>
      <w:r w:rsidR="00726446">
        <w:rPr>
          <w:sz w:val="24"/>
          <w:szCs w:val="24"/>
        </w:rPr>
        <w:t xml:space="preserve">forms are </w:t>
      </w:r>
      <w:r w:rsidR="00726446" w:rsidRPr="001F4FAE">
        <w:rPr>
          <w:sz w:val="24"/>
          <w:szCs w:val="24"/>
        </w:rPr>
        <w:t>not necessary</w:t>
      </w:r>
      <w:r w:rsidR="00726446">
        <w:rPr>
          <w:sz w:val="24"/>
          <w:szCs w:val="24"/>
        </w:rPr>
        <w:t xml:space="preserve"> for this </w:t>
      </w:r>
      <w:r w:rsidRPr="001F4FAE">
        <w:rPr>
          <w:sz w:val="24"/>
          <w:szCs w:val="24"/>
        </w:rPr>
        <w:t>collection of information</w:t>
      </w:r>
      <w:r w:rsidR="00726446">
        <w:rPr>
          <w:sz w:val="24"/>
          <w:szCs w:val="24"/>
        </w:rPr>
        <w:t xml:space="preserve">. </w:t>
      </w:r>
    </w:p>
    <w:p w14:paraId="0728E68D" w14:textId="77777777" w:rsidR="002225A5" w:rsidRDefault="002225A5" w:rsidP="002225A5">
      <w:pPr>
        <w:rPr>
          <w:color w:val="000000"/>
          <w:sz w:val="24"/>
        </w:rPr>
      </w:pPr>
    </w:p>
    <w:p w14:paraId="47215164" w14:textId="4B484DD2" w:rsidR="002225A5" w:rsidRPr="00FD6CDA" w:rsidRDefault="00F35801" w:rsidP="001D3A8B">
      <w:pPr>
        <w:keepLines/>
        <w:numPr>
          <w:ilvl w:val="0"/>
          <w:numId w:val="7"/>
        </w:numPr>
        <w:spacing w:after="80"/>
        <w:rPr>
          <w:sz w:val="24"/>
        </w:rPr>
      </w:pPr>
      <w:r w:rsidRPr="00FD6CDA">
        <w:rPr>
          <w:color w:val="000000"/>
          <w:sz w:val="24"/>
        </w:rPr>
        <w:t>Form HUD-9310</w:t>
      </w:r>
      <w:r w:rsidR="002D04B5" w:rsidRPr="00FD6CDA">
        <w:rPr>
          <w:color w:val="000000"/>
          <w:sz w:val="24"/>
        </w:rPr>
        <w:t xml:space="preserve">0, </w:t>
      </w:r>
      <w:r w:rsidR="002D04B5" w:rsidRPr="00FD6CDA">
        <w:rPr>
          <w:i/>
          <w:color w:val="000000"/>
          <w:sz w:val="24"/>
        </w:rPr>
        <w:t>Application for Homeownership Assistance Section 235 of the National Housing Act</w:t>
      </w:r>
      <w:r w:rsidR="00726446" w:rsidRPr="00FD6CDA">
        <w:rPr>
          <w:i/>
          <w:color w:val="000000"/>
          <w:sz w:val="24"/>
        </w:rPr>
        <w:t>.</w:t>
      </w:r>
    </w:p>
    <w:p w14:paraId="643C3C92" w14:textId="77777777" w:rsidR="002225A5" w:rsidRPr="00FD6CDA" w:rsidRDefault="002225A5" w:rsidP="002225A5">
      <w:pPr>
        <w:rPr>
          <w:color w:val="000000"/>
          <w:sz w:val="24"/>
        </w:rPr>
      </w:pPr>
    </w:p>
    <w:p w14:paraId="7887BB3F" w14:textId="32A9CF59" w:rsidR="00726446" w:rsidRPr="00FD6CDA" w:rsidRDefault="002225A5" w:rsidP="001D3A8B">
      <w:pPr>
        <w:numPr>
          <w:ilvl w:val="0"/>
          <w:numId w:val="7"/>
        </w:numPr>
        <w:rPr>
          <w:i/>
          <w:sz w:val="24"/>
        </w:rPr>
      </w:pPr>
      <w:r w:rsidRPr="00FD6CDA">
        <w:rPr>
          <w:sz w:val="24"/>
        </w:rPr>
        <w:t>Form HUD-9310</w:t>
      </w:r>
      <w:r w:rsidR="0052368C" w:rsidRPr="00FD6CDA">
        <w:rPr>
          <w:sz w:val="24"/>
        </w:rPr>
        <w:t xml:space="preserve">1, </w:t>
      </w:r>
      <w:r w:rsidR="0052368C" w:rsidRPr="00FD6CDA">
        <w:rPr>
          <w:i/>
          <w:sz w:val="24"/>
        </w:rPr>
        <w:t>Recertification of Family Income and Composition Section 235(b)</w:t>
      </w:r>
    </w:p>
    <w:p w14:paraId="7B38F77E" w14:textId="77777777" w:rsidR="00726446" w:rsidRPr="00FD6CDA" w:rsidRDefault="00726446" w:rsidP="002225A5">
      <w:pPr>
        <w:rPr>
          <w:i/>
          <w:sz w:val="24"/>
        </w:rPr>
      </w:pPr>
    </w:p>
    <w:p w14:paraId="75ECA5AC" w14:textId="5833AA86" w:rsidR="002225A5" w:rsidRPr="00FD6CDA" w:rsidRDefault="0052368C" w:rsidP="001D3A8B">
      <w:pPr>
        <w:numPr>
          <w:ilvl w:val="0"/>
          <w:numId w:val="7"/>
        </w:numPr>
        <w:rPr>
          <w:color w:val="000000"/>
          <w:sz w:val="24"/>
        </w:rPr>
      </w:pPr>
      <w:r w:rsidRPr="00FD6CDA">
        <w:rPr>
          <w:sz w:val="24"/>
        </w:rPr>
        <w:t xml:space="preserve">Form </w:t>
      </w:r>
      <w:r w:rsidR="002225A5" w:rsidRPr="00FD6CDA">
        <w:rPr>
          <w:sz w:val="24"/>
        </w:rPr>
        <w:t xml:space="preserve">HUD-93101-A </w:t>
      </w:r>
      <w:r w:rsidRPr="00FD6CDA">
        <w:rPr>
          <w:i/>
          <w:sz w:val="24"/>
        </w:rPr>
        <w:t>Recertification of Family Income and Composition</w:t>
      </w:r>
      <w:r w:rsidR="002225A5" w:rsidRPr="00FD6CDA">
        <w:rPr>
          <w:sz w:val="24"/>
        </w:rPr>
        <w:t>.</w:t>
      </w:r>
    </w:p>
    <w:p w14:paraId="129CA243" w14:textId="77777777" w:rsidR="002225A5" w:rsidRPr="00FD6CDA" w:rsidRDefault="002225A5" w:rsidP="002225A5">
      <w:pPr>
        <w:rPr>
          <w:color w:val="000000"/>
          <w:sz w:val="24"/>
        </w:rPr>
      </w:pPr>
    </w:p>
    <w:p w14:paraId="579CDF5B" w14:textId="688B51FD" w:rsidR="001D3A8B" w:rsidRPr="00FD6CDA" w:rsidRDefault="0052368C" w:rsidP="00FD6CDA">
      <w:pPr>
        <w:pStyle w:val="BodyTextIndent2"/>
        <w:keepLines/>
        <w:numPr>
          <w:ilvl w:val="0"/>
          <w:numId w:val="7"/>
        </w:numPr>
        <w:spacing w:after="80"/>
      </w:pPr>
      <w:r w:rsidRPr="00FD6CDA">
        <w:t>F</w:t>
      </w:r>
      <w:r w:rsidR="002225A5" w:rsidRPr="00FD6CDA">
        <w:t>orm HUD-300</w:t>
      </w:r>
      <w:r w:rsidRPr="00FD6CDA">
        <w:t xml:space="preserve">, </w:t>
      </w:r>
      <w:r w:rsidRPr="00FD6CDA">
        <w:rPr>
          <w:i/>
        </w:rPr>
        <w:t>Monthly Summary of Assistance Payments</w:t>
      </w:r>
      <w:r w:rsidR="002225A5" w:rsidRPr="00FD6CDA">
        <w:t xml:space="preserve"> </w:t>
      </w:r>
    </w:p>
    <w:p w14:paraId="12B3AB59" w14:textId="77777777" w:rsidR="001D3A8B" w:rsidRPr="00FD6CDA" w:rsidRDefault="001D3A8B" w:rsidP="002225A5">
      <w:pPr>
        <w:pStyle w:val="BodyTextIndent2"/>
        <w:keepLines/>
        <w:spacing w:after="80"/>
        <w:ind w:left="0"/>
      </w:pPr>
    </w:p>
    <w:p w14:paraId="1E0991AD" w14:textId="7C4B0463" w:rsidR="002225A5" w:rsidRPr="00FD6CDA" w:rsidRDefault="0052368C" w:rsidP="00FD6CDA">
      <w:pPr>
        <w:pStyle w:val="BodyTextIndent2"/>
        <w:keepLines/>
        <w:numPr>
          <w:ilvl w:val="0"/>
          <w:numId w:val="7"/>
        </w:numPr>
        <w:spacing w:after="80"/>
      </w:pPr>
      <w:r w:rsidRPr="00FD6CDA">
        <w:t>F</w:t>
      </w:r>
      <w:r w:rsidR="002225A5" w:rsidRPr="00FD6CDA">
        <w:t>orm HUD-93102</w:t>
      </w:r>
      <w:r w:rsidRPr="00FD6CDA">
        <w:t xml:space="preserve">, </w:t>
      </w:r>
      <w:r w:rsidR="00F63D0B" w:rsidRPr="00FD6CDA">
        <w:rPr>
          <w:i/>
        </w:rPr>
        <w:t>Mortgagee’s Certification and Application for Assistance or Interest Reduction Payments</w:t>
      </w:r>
      <w:r w:rsidR="002225A5" w:rsidRPr="00FD6CDA">
        <w:t xml:space="preserve">.  </w:t>
      </w:r>
    </w:p>
    <w:p w14:paraId="3CDA844A" w14:textId="77777777" w:rsidR="001D3A8B" w:rsidRPr="00FD6CDA" w:rsidRDefault="001D3A8B" w:rsidP="00DF7367">
      <w:pPr>
        <w:pStyle w:val="NormalWeb"/>
        <w:spacing w:before="0" w:beforeAutospacing="0" w:after="0" w:afterAutospacing="0"/>
      </w:pPr>
    </w:p>
    <w:p w14:paraId="07D321F1" w14:textId="57FDC0CE" w:rsidR="00DF7367" w:rsidRPr="00FD6CDA" w:rsidRDefault="00DF7367" w:rsidP="00FD6CDA">
      <w:pPr>
        <w:pStyle w:val="NormalWeb"/>
        <w:numPr>
          <w:ilvl w:val="0"/>
          <w:numId w:val="7"/>
        </w:numPr>
        <w:spacing w:before="0" w:beforeAutospacing="0" w:after="0" w:afterAutospacing="0"/>
        <w:rPr>
          <w:color w:val="000000"/>
        </w:rPr>
      </w:pPr>
      <w:r w:rsidRPr="00FD6CDA">
        <w:t>Form HUD-93114</w:t>
      </w:r>
      <w:r w:rsidR="00F63D0B" w:rsidRPr="00FD6CDA">
        <w:t xml:space="preserve">, </w:t>
      </w:r>
      <w:r w:rsidR="00F63D0B" w:rsidRPr="00FD6CDA">
        <w:rPr>
          <w:i/>
        </w:rPr>
        <w:t>Assistance Payment Contract Notice of: (1)</w:t>
      </w:r>
      <w:r w:rsidR="006E037D" w:rsidRPr="00FD6CDA">
        <w:rPr>
          <w:i/>
        </w:rPr>
        <w:t xml:space="preserve"> </w:t>
      </w:r>
      <w:r w:rsidR="00F63D0B" w:rsidRPr="00FD6CDA">
        <w:rPr>
          <w:i/>
        </w:rPr>
        <w:t>Termination, (2) Suspension, or (3) Reinstatement</w:t>
      </w:r>
      <w:r w:rsidRPr="00FD6CDA">
        <w:rPr>
          <w:color w:val="000000"/>
        </w:rPr>
        <w:t>.</w:t>
      </w:r>
    </w:p>
    <w:p w14:paraId="49C9CA21" w14:textId="77777777" w:rsidR="00DF7367" w:rsidRDefault="00DF7367" w:rsidP="00DF7367">
      <w:pPr>
        <w:pStyle w:val="NormalWeb"/>
        <w:spacing w:before="0" w:beforeAutospacing="0" w:after="0" w:afterAutospacing="0"/>
        <w:ind w:left="360" w:hanging="360"/>
        <w:rPr>
          <w:color w:val="000000"/>
        </w:rPr>
      </w:pPr>
    </w:p>
    <w:p w14:paraId="0BEBF477" w14:textId="77777777" w:rsidR="00BA4704" w:rsidRDefault="00BA4704" w:rsidP="00DA29DD">
      <w:pPr>
        <w:keepLines/>
        <w:ind w:left="720" w:hanging="720"/>
        <w:rPr>
          <w:sz w:val="24"/>
        </w:rPr>
      </w:pPr>
      <w:r>
        <w:rPr>
          <w:color w:val="000000"/>
          <w:sz w:val="24"/>
        </w:rPr>
        <w:t>3.</w:t>
      </w:r>
      <w:r>
        <w:rPr>
          <w:color w:val="000000"/>
          <w:sz w:val="24"/>
        </w:rPr>
        <w:tab/>
        <w:t>Mortgagees, consist of major industry mortgage loan lenders and servicers in addition to medium and smaller size mortgagees.  However, the one thing they have in common is an automated mortgage loan servicing that has the capability of servicing various types of loans and investors.  HUD information is routinely gathered and reported to HUD, generally on a monthly basis through HUD’s electronic systems</w:t>
      </w:r>
      <w:r w:rsidR="00104E71">
        <w:rPr>
          <w:color w:val="000000"/>
          <w:sz w:val="24"/>
        </w:rPr>
        <w:t>: Ele</w:t>
      </w:r>
      <w:r w:rsidR="00551F9A">
        <w:rPr>
          <w:color w:val="000000"/>
          <w:sz w:val="24"/>
        </w:rPr>
        <w:t xml:space="preserve">ctronic Data Interchange (EDI) or </w:t>
      </w:r>
      <w:r w:rsidR="00104E71">
        <w:rPr>
          <w:color w:val="000000"/>
          <w:sz w:val="24"/>
        </w:rPr>
        <w:t>FHA Connection</w:t>
      </w:r>
      <w:r>
        <w:rPr>
          <w:color w:val="000000"/>
          <w:sz w:val="24"/>
        </w:rPr>
        <w:t xml:space="preserve">.  HUD has not mandated any hardcopy or electronic format for collecting and maintaining the records.  The information is to be kept with similar mortgagee documentation and submitted to HUD only if requested as a part of a review.  Mortgagees have the option to maintain mortgage loan documents in electronic or imaged format as long as hard copies can be printed and provided to HUD within 24 hours of the request, depending upon the documentation requested.  </w:t>
      </w:r>
      <w:r>
        <w:rPr>
          <w:sz w:val="24"/>
        </w:rPr>
        <w:t xml:space="preserve"> </w:t>
      </w:r>
    </w:p>
    <w:p w14:paraId="760E3E03" w14:textId="77777777" w:rsidR="00BA4704" w:rsidRDefault="00BA4704">
      <w:pPr>
        <w:tabs>
          <w:tab w:val="left" w:pos="360"/>
        </w:tabs>
        <w:ind w:left="360" w:hanging="360"/>
        <w:rPr>
          <w:color w:val="000000"/>
          <w:sz w:val="24"/>
        </w:rPr>
      </w:pPr>
    </w:p>
    <w:p w14:paraId="1B6DEF8E" w14:textId="77777777" w:rsidR="00BA4704" w:rsidRDefault="00BA4704" w:rsidP="00DA29DD">
      <w:pPr>
        <w:keepLines/>
        <w:ind w:left="720" w:hanging="720"/>
        <w:rPr>
          <w:color w:val="000000"/>
          <w:sz w:val="24"/>
        </w:rPr>
      </w:pPr>
      <w:r>
        <w:rPr>
          <w:color w:val="000000"/>
          <w:sz w:val="24"/>
        </w:rPr>
        <w:t>4.</w:t>
      </w:r>
      <w:r>
        <w:rPr>
          <w:color w:val="000000"/>
          <w:sz w:val="24"/>
        </w:rPr>
        <w:tab/>
        <w:t>There is no duplication of information.  Mortgagors routinely document mortgage loan servicing efforts as a part of their own loan servicing and internal quality control procedures.  HUD will accept the various formats already in use by mortgagees as long as the information is complete.</w:t>
      </w:r>
    </w:p>
    <w:p w14:paraId="638BD4CE" w14:textId="77777777" w:rsidR="00BA4704" w:rsidRDefault="00BA4704">
      <w:pPr>
        <w:tabs>
          <w:tab w:val="left" w:pos="360"/>
        </w:tabs>
        <w:ind w:left="360" w:hanging="360"/>
        <w:rPr>
          <w:color w:val="000000"/>
          <w:sz w:val="24"/>
        </w:rPr>
      </w:pPr>
    </w:p>
    <w:p w14:paraId="066FC1D9" w14:textId="77777777" w:rsidR="00BA4704" w:rsidRDefault="00BA4704" w:rsidP="00DA29DD">
      <w:pPr>
        <w:keepLines/>
        <w:ind w:left="720" w:hanging="720"/>
        <w:rPr>
          <w:color w:val="000000"/>
          <w:sz w:val="24"/>
        </w:rPr>
      </w:pPr>
      <w:r>
        <w:rPr>
          <w:color w:val="000000"/>
          <w:sz w:val="24"/>
        </w:rPr>
        <w:t>5.</w:t>
      </w:r>
      <w:r>
        <w:rPr>
          <w:color w:val="000000"/>
          <w:sz w:val="24"/>
        </w:rPr>
        <w:tab/>
        <w:t>The collection of this information will not have a significant impact on a substantial number of small businesses.</w:t>
      </w:r>
    </w:p>
    <w:p w14:paraId="086C619A" w14:textId="77777777" w:rsidR="00BA4704" w:rsidRDefault="00BA4704">
      <w:pPr>
        <w:tabs>
          <w:tab w:val="left" w:pos="360"/>
        </w:tabs>
        <w:ind w:left="360" w:hanging="360"/>
        <w:rPr>
          <w:color w:val="000000"/>
          <w:sz w:val="24"/>
        </w:rPr>
      </w:pPr>
    </w:p>
    <w:p w14:paraId="40E8F429" w14:textId="77777777" w:rsidR="00BA4704" w:rsidRDefault="00BA4704" w:rsidP="00DA29DD">
      <w:pPr>
        <w:pStyle w:val="BodyTextIndent"/>
        <w:keepLines/>
        <w:tabs>
          <w:tab w:val="clear" w:pos="360"/>
        </w:tabs>
        <w:overflowPunct w:val="0"/>
        <w:spacing w:line="240" w:lineRule="auto"/>
        <w:ind w:left="720" w:hanging="720"/>
        <w:textAlignment w:val="baseline"/>
      </w:pPr>
      <w:r>
        <w:t>6.</w:t>
      </w:r>
      <w:r>
        <w:tab/>
        <w:t>This PRA does not add to mortgagee reporting or record keeping burdens, as this information is already routinely maintained for other purposes.  The information is required to ascertain whether the mortgagee has performed adequate and prudent mortgage loan servicing.</w:t>
      </w:r>
    </w:p>
    <w:p w14:paraId="43EBB0F8" w14:textId="77777777" w:rsidR="00BA4704" w:rsidRDefault="00BA4704">
      <w:pPr>
        <w:tabs>
          <w:tab w:val="left" w:pos="360"/>
        </w:tabs>
        <w:ind w:left="360" w:hanging="360"/>
        <w:rPr>
          <w:color w:val="000000"/>
          <w:sz w:val="24"/>
        </w:rPr>
      </w:pPr>
    </w:p>
    <w:p w14:paraId="43F0FF66" w14:textId="77777777" w:rsidR="00BA4704" w:rsidRDefault="00BA4704" w:rsidP="00DA29DD">
      <w:pPr>
        <w:overflowPunct/>
        <w:ind w:left="720" w:hanging="720"/>
        <w:textAlignment w:val="auto"/>
        <w:rPr>
          <w:sz w:val="24"/>
        </w:rPr>
      </w:pPr>
      <w:r>
        <w:rPr>
          <w:sz w:val="24"/>
        </w:rPr>
        <w:t>7.</w:t>
      </w:r>
      <w:r>
        <w:rPr>
          <w:sz w:val="24"/>
        </w:rPr>
        <w:tab/>
        <w:t>The special circumstances requiring the mortgagee to perform a monthly evaluation and report to HUD, while the mortgage loans are in default is required so that appropriate servicing actions can be conducted in a timely manner.</w:t>
      </w:r>
    </w:p>
    <w:p w14:paraId="0F82B5B6" w14:textId="77777777" w:rsidR="00362322" w:rsidRDefault="00362322" w:rsidP="00362322">
      <w:pPr>
        <w:overflowPunct/>
        <w:ind w:left="1440" w:hanging="720"/>
        <w:textAlignment w:val="auto"/>
        <w:rPr>
          <w:sz w:val="24"/>
        </w:rPr>
      </w:pPr>
    </w:p>
    <w:p w14:paraId="2481CFCD" w14:textId="77777777" w:rsidR="00551F9A" w:rsidRPr="00551F9A" w:rsidRDefault="00362322" w:rsidP="00362322">
      <w:pPr>
        <w:numPr>
          <w:ilvl w:val="0"/>
          <w:numId w:val="46"/>
        </w:numPr>
        <w:overflowPunct/>
        <w:textAlignment w:val="auto"/>
        <w:rPr>
          <w:sz w:val="24"/>
        </w:rPr>
      </w:pPr>
      <w:r>
        <w:rPr>
          <w:sz w:val="24"/>
        </w:rPr>
        <w:t xml:space="preserve">The information collection </w:t>
      </w:r>
      <w:r w:rsidR="00551F9A" w:rsidRPr="00551F9A">
        <w:rPr>
          <w:sz w:val="24"/>
        </w:rPr>
        <w:t xml:space="preserve">HUD does not require respondents to submit more than an original and two copies of any document; requiring respondents to retain records, other than health, medical, government contract, grant-in-aid, or tax records, for more than three years; </w:t>
      </w:r>
    </w:p>
    <w:p w14:paraId="230DA64B" w14:textId="77777777" w:rsidR="00551F9A" w:rsidRPr="00551F9A" w:rsidRDefault="00551F9A" w:rsidP="00362322">
      <w:pPr>
        <w:numPr>
          <w:ilvl w:val="0"/>
          <w:numId w:val="47"/>
        </w:numPr>
        <w:overflowPunct/>
        <w:textAlignment w:val="auto"/>
        <w:rPr>
          <w:sz w:val="24"/>
        </w:rPr>
      </w:pPr>
      <w:r w:rsidRPr="00551F9A">
        <w:rPr>
          <w:sz w:val="24"/>
        </w:rPr>
        <w:t xml:space="preserve">No statistical methods are employed in the collection of information therefore in connection with a statistical survey, that is not designed to produce valid and reliable results that can be generalized to the universe of study is not applicable; </w:t>
      </w:r>
    </w:p>
    <w:p w14:paraId="5DB15546" w14:textId="77777777" w:rsidR="00551F9A" w:rsidRPr="00551F9A" w:rsidRDefault="00551F9A" w:rsidP="00362322">
      <w:pPr>
        <w:numPr>
          <w:ilvl w:val="0"/>
          <w:numId w:val="47"/>
        </w:numPr>
        <w:overflowPunct/>
        <w:textAlignment w:val="auto"/>
        <w:rPr>
          <w:sz w:val="24"/>
        </w:rPr>
      </w:pPr>
      <w:r w:rsidRPr="00551F9A">
        <w:rPr>
          <w:sz w:val="24"/>
        </w:rPr>
        <w:t xml:space="preserve">No statistical methods are employed in the collection of information therefore requiring the use of a statistical data classification that has not been reviewed and approved by OMB is not applicable; </w:t>
      </w:r>
    </w:p>
    <w:p w14:paraId="772149F3" w14:textId="77777777" w:rsidR="00551F9A" w:rsidRPr="00551F9A" w:rsidRDefault="00551F9A" w:rsidP="00362322">
      <w:pPr>
        <w:numPr>
          <w:ilvl w:val="0"/>
          <w:numId w:val="47"/>
        </w:numPr>
        <w:overflowPunct/>
        <w:textAlignment w:val="auto"/>
        <w:rPr>
          <w:sz w:val="24"/>
        </w:rPr>
      </w:pPr>
      <w:r w:rsidRPr="00551F9A">
        <w:rPr>
          <w:sz w:val="24"/>
        </w:rPr>
        <w:t xml:space="preserve">The information collections take into consideration the need to assure data confidentiality and provide adequate Privacy Act Notice statements where needed. And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531EE237" w14:textId="77777777" w:rsidR="00551F9A" w:rsidRDefault="00362322" w:rsidP="00362322">
      <w:pPr>
        <w:numPr>
          <w:ilvl w:val="0"/>
          <w:numId w:val="47"/>
        </w:numPr>
        <w:overflowPunct/>
        <w:textAlignment w:val="auto"/>
        <w:rPr>
          <w:sz w:val="24"/>
        </w:rPr>
      </w:pPr>
      <w:r>
        <w:rPr>
          <w:sz w:val="24"/>
        </w:rPr>
        <w:t>The</w:t>
      </w:r>
      <w:r w:rsidR="00551F9A" w:rsidRPr="00551F9A">
        <w:rPr>
          <w:sz w:val="24"/>
        </w:rPr>
        <w:t xml:space="preserve"> information collection does not require respondents to submit proprietary trade secrets, or other confidential information unless the agency can demonstrate that it has instituted procedures to protect the information's confidentiality to the extent permitted by law.</w:t>
      </w:r>
    </w:p>
    <w:p w14:paraId="62D94A65" w14:textId="77777777" w:rsidR="00BA4704" w:rsidRDefault="00BA4704">
      <w:pPr>
        <w:tabs>
          <w:tab w:val="left" w:pos="360"/>
        </w:tabs>
        <w:rPr>
          <w:sz w:val="24"/>
        </w:rPr>
      </w:pPr>
    </w:p>
    <w:p w14:paraId="4507EC8B" w14:textId="173CA830" w:rsidR="008769B8" w:rsidRPr="008769B8" w:rsidRDefault="008769B8" w:rsidP="00956C42">
      <w:pPr>
        <w:numPr>
          <w:ilvl w:val="0"/>
          <w:numId w:val="45"/>
        </w:numPr>
        <w:ind w:left="720" w:hanging="720"/>
        <w:rPr>
          <w:color w:val="000000"/>
          <w:sz w:val="24"/>
        </w:rPr>
      </w:pPr>
      <w:r w:rsidRPr="008769B8">
        <w:rPr>
          <w:color w:val="000000"/>
          <w:sz w:val="24"/>
        </w:rPr>
        <w:t xml:space="preserve">In accordance with 5 CFR 1320.8(d), this information collection soliciting public comments was announced in the </w:t>
      </w:r>
      <w:r w:rsidRPr="008769B8">
        <w:rPr>
          <w:i/>
          <w:iCs/>
          <w:color w:val="000000"/>
          <w:sz w:val="24"/>
        </w:rPr>
        <w:t>Federal Register</w:t>
      </w:r>
      <w:r w:rsidR="00FD6CDA">
        <w:rPr>
          <w:color w:val="000000"/>
          <w:sz w:val="24"/>
        </w:rPr>
        <w:t xml:space="preserve"> on Tu</w:t>
      </w:r>
      <w:r w:rsidR="00706E94">
        <w:rPr>
          <w:color w:val="000000"/>
          <w:sz w:val="24"/>
        </w:rPr>
        <w:t>esday,</w:t>
      </w:r>
      <w:r w:rsidR="00FD6CDA">
        <w:rPr>
          <w:color w:val="000000"/>
          <w:sz w:val="24"/>
        </w:rPr>
        <w:t xml:space="preserve"> January 31, 2017 </w:t>
      </w:r>
      <w:r w:rsidR="00362322">
        <w:rPr>
          <w:color w:val="000000"/>
          <w:sz w:val="24"/>
        </w:rPr>
        <w:t xml:space="preserve">(Volume </w:t>
      </w:r>
      <w:r w:rsidR="00FD6CDA">
        <w:rPr>
          <w:color w:val="000000"/>
          <w:sz w:val="24"/>
        </w:rPr>
        <w:t>82</w:t>
      </w:r>
      <w:r w:rsidR="00362322">
        <w:rPr>
          <w:color w:val="000000"/>
          <w:sz w:val="24"/>
        </w:rPr>
        <w:t>, Number</w:t>
      </w:r>
      <w:r w:rsidR="00FD6CDA">
        <w:rPr>
          <w:color w:val="000000"/>
          <w:sz w:val="24"/>
        </w:rPr>
        <w:t xml:space="preserve"> 82</w:t>
      </w:r>
      <w:r w:rsidR="00362322">
        <w:rPr>
          <w:color w:val="000000"/>
          <w:sz w:val="24"/>
        </w:rPr>
        <w:t xml:space="preserve"> Page </w:t>
      </w:r>
      <w:r w:rsidR="00FD6CDA">
        <w:rPr>
          <w:color w:val="000000"/>
          <w:sz w:val="24"/>
        </w:rPr>
        <w:t>8837</w:t>
      </w:r>
      <w:r w:rsidR="00A45A33">
        <w:rPr>
          <w:color w:val="000000"/>
          <w:sz w:val="24"/>
        </w:rPr>
        <w:t xml:space="preserve">). </w:t>
      </w:r>
      <w:r w:rsidR="00706E94">
        <w:rPr>
          <w:color w:val="000000"/>
          <w:sz w:val="24"/>
        </w:rPr>
        <w:t xml:space="preserve">No </w:t>
      </w:r>
      <w:r w:rsidR="00A45A33">
        <w:rPr>
          <w:color w:val="000000"/>
          <w:sz w:val="24"/>
        </w:rPr>
        <w:t>comments</w:t>
      </w:r>
      <w:r w:rsidR="00706E94">
        <w:rPr>
          <w:color w:val="000000"/>
          <w:sz w:val="24"/>
        </w:rPr>
        <w:t xml:space="preserve"> were received.</w:t>
      </w:r>
    </w:p>
    <w:p w14:paraId="5C0A60E5" w14:textId="77777777" w:rsidR="00B746AD" w:rsidRDefault="00B746AD" w:rsidP="008769B8">
      <w:pPr>
        <w:ind w:left="720"/>
        <w:rPr>
          <w:color w:val="000000"/>
          <w:sz w:val="24"/>
        </w:rPr>
      </w:pPr>
    </w:p>
    <w:p w14:paraId="15340736" w14:textId="77777777" w:rsidR="00BA4704" w:rsidRDefault="00BA4704" w:rsidP="008769B8">
      <w:pPr>
        <w:ind w:left="720"/>
        <w:rPr>
          <w:color w:val="000000"/>
          <w:sz w:val="24"/>
        </w:rPr>
      </w:pPr>
      <w:r>
        <w:rPr>
          <w:color w:val="000000"/>
          <w:sz w:val="24"/>
        </w:rPr>
        <w:t xml:space="preserve">The ability to provide the information required by this process and the use of the information, is discussed with the mortgage loan industry on a continuing basis at yearly functions, meetings and personal contact by various HUD staff and managers. </w:t>
      </w:r>
    </w:p>
    <w:p w14:paraId="08056A2D" w14:textId="77777777" w:rsidR="00BA4704" w:rsidRDefault="00BA4704">
      <w:pPr>
        <w:tabs>
          <w:tab w:val="left" w:pos="360"/>
        </w:tabs>
        <w:ind w:left="360" w:hanging="360"/>
        <w:rPr>
          <w:color w:val="000000"/>
          <w:sz w:val="24"/>
        </w:rPr>
      </w:pPr>
    </w:p>
    <w:p w14:paraId="52C705BB" w14:textId="77777777" w:rsidR="00BA4704" w:rsidRDefault="00BA4704" w:rsidP="00DA29DD">
      <w:pPr>
        <w:keepLines/>
        <w:ind w:left="720" w:hanging="720"/>
        <w:rPr>
          <w:color w:val="000000"/>
          <w:sz w:val="24"/>
        </w:rPr>
      </w:pPr>
      <w:r>
        <w:rPr>
          <w:color w:val="000000"/>
          <w:sz w:val="24"/>
        </w:rPr>
        <w:t>9.</w:t>
      </w:r>
      <w:r>
        <w:rPr>
          <w:color w:val="000000"/>
          <w:sz w:val="24"/>
        </w:rPr>
        <w:tab/>
        <w:t>The collection of this information does not provide for payments or gifts to respondents (mortgagees).</w:t>
      </w:r>
    </w:p>
    <w:p w14:paraId="3833B86B" w14:textId="77777777" w:rsidR="00BA4704" w:rsidRDefault="00BA4704">
      <w:pPr>
        <w:tabs>
          <w:tab w:val="left" w:pos="360"/>
        </w:tabs>
        <w:ind w:left="360" w:hanging="360"/>
        <w:rPr>
          <w:color w:val="000000"/>
          <w:sz w:val="24"/>
        </w:rPr>
      </w:pPr>
    </w:p>
    <w:p w14:paraId="3336A069" w14:textId="77777777" w:rsidR="007A26E3" w:rsidRDefault="00BA4704" w:rsidP="00956C42">
      <w:pPr>
        <w:keepLines/>
        <w:numPr>
          <w:ilvl w:val="1"/>
          <w:numId w:val="31"/>
        </w:numPr>
        <w:tabs>
          <w:tab w:val="clear" w:pos="1440"/>
        </w:tabs>
        <w:ind w:left="720" w:hanging="720"/>
        <w:rPr>
          <w:color w:val="000000"/>
          <w:sz w:val="24"/>
        </w:rPr>
      </w:pPr>
      <w:r>
        <w:rPr>
          <w:color w:val="000000"/>
          <w:sz w:val="24"/>
        </w:rPr>
        <w:t>The Privacy Act of 1974 protects respondents who meet the information report</w:t>
      </w:r>
      <w:r w:rsidR="00171C96">
        <w:rPr>
          <w:color w:val="000000"/>
          <w:sz w:val="24"/>
        </w:rPr>
        <w:t>ing requirements.  There are no</w:t>
      </w:r>
      <w:r>
        <w:rPr>
          <w:color w:val="000000"/>
          <w:sz w:val="24"/>
        </w:rPr>
        <w:t xml:space="preserve"> other pledges of confidentiality.</w:t>
      </w:r>
      <w:r w:rsidR="00171C96">
        <w:rPr>
          <w:color w:val="000000"/>
          <w:sz w:val="24"/>
        </w:rPr>
        <w:t xml:space="preserve">  Except for release of information collected that is covered under the Freedom of Information Act (FOIA)</w:t>
      </w:r>
    </w:p>
    <w:p w14:paraId="51B4B72F" w14:textId="77777777" w:rsidR="007A26E3" w:rsidRDefault="007A26E3" w:rsidP="00EF3907">
      <w:pPr>
        <w:keepLines/>
        <w:rPr>
          <w:color w:val="000000"/>
          <w:sz w:val="24"/>
        </w:rPr>
      </w:pPr>
    </w:p>
    <w:p w14:paraId="1CE45427" w14:textId="77777777" w:rsidR="007A26E3" w:rsidRDefault="007A26E3" w:rsidP="007A26E3">
      <w:pPr>
        <w:keepLines/>
        <w:ind w:left="720" w:hanging="720"/>
        <w:rPr>
          <w:color w:val="000000"/>
          <w:sz w:val="24"/>
        </w:rPr>
      </w:pPr>
      <w:r>
        <w:rPr>
          <w:color w:val="000000"/>
          <w:sz w:val="24"/>
        </w:rPr>
        <w:t>11.</w:t>
      </w:r>
      <w:r>
        <w:rPr>
          <w:color w:val="000000"/>
          <w:sz w:val="24"/>
        </w:rPr>
        <w:tab/>
        <w:t>The information collection does not contain any questions of a sensitive nature.</w:t>
      </w:r>
    </w:p>
    <w:p w14:paraId="7E7D19FB" w14:textId="77777777" w:rsidR="007A26E3" w:rsidRDefault="007A26E3" w:rsidP="007A26E3">
      <w:pPr>
        <w:keepLines/>
        <w:tabs>
          <w:tab w:val="left" w:pos="360"/>
          <w:tab w:val="left" w:pos="720"/>
        </w:tabs>
        <w:rPr>
          <w:color w:val="000000"/>
          <w:sz w:val="24"/>
        </w:rPr>
      </w:pPr>
    </w:p>
    <w:p w14:paraId="205AACC5" w14:textId="77777777" w:rsidR="007A26E3" w:rsidRDefault="007A26E3" w:rsidP="007A26E3">
      <w:pPr>
        <w:pStyle w:val="BodyTextIndent"/>
        <w:keepLines/>
        <w:tabs>
          <w:tab w:val="clear" w:pos="360"/>
        </w:tabs>
        <w:overflowPunct w:val="0"/>
        <w:spacing w:line="240" w:lineRule="auto"/>
        <w:ind w:left="720" w:hanging="720"/>
        <w:textAlignment w:val="baseline"/>
      </w:pPr>
      <w:r>
        <w:t>12.</w:t>
      </w:r>
      <w:r>
        <w:tab/>
        <w:t>Estimated Burden and Cost to Respondents:</w:t>
      </w:r>
    </w:p>
    <w:p w14:paraId="51A2BB56" w14:textId="4E9828A6" w:rsidR="00B17F6F" w:rsidRDefault="00B17F6F" w:rsidP="00DA29DD">
      <w:pPr>
        <w:keepLines/>
        <w:ind w:left="720" w:hanging="720"/>
        <w:rPr>
          <w:color w:val="000000"/>
          <w:sz w:val="24"/>
        </w:rPr>
      </w:pPr>
    </w:p>
    <w:p w14:paraId="252038AA" w14:textId="735737CD" w:rsidR="00590C7C" w:rsidRDefault="00590C7C" w:rsidP="00DA29DD">
      <w:pPr>
        <w:keepLines/>
        <w:ind w:left="720" w:hanging="720"/>
        <w:rPr>
          <w:color w:val="000000"/>
          <w:sz w:val="24"/>
        </w:rPr>
      </w:pPr>
    </w:p>
    <w:tbl>
      <w:tblPr>
        <w:tblpPr w:leftFromText="180" w:rightFromText="180" w:vertAnchor="page" w:horzAnchor="margin" w:tblpX="-162" w:tblpY="425"/>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1363"/>
        <w:gridCol w:w="1429"/>
        <w:gridCol w:w="1279"/>
        <w:gridCol w:w="1350"/>
        <w:gridCol w:w="1350"/>
        <w:gridCol w:w="990"/>
        <w:gridCol w:w="1530"/>
      </w:tblGrid>
      <w:tr w:rsidR="00101F81" w14:paraId="4488EEEB" w14:textId="77777777" w:rsidTr="00293FAE">
        <w:trPr>
          <w:tblHeader/>
        </w:trPr>
        <w:tc>
          <w:tcPr>
            <w:tcW w:w="2157" w:type="dxa"/>
            <w:tcBorders>
              <w:bottom w:val="single" w:sz="4" w:space="0" w:color="auto"/>
            </w:tcBorders>
            <w:vAlign w:val="center"/>
          </w:tcPr>
          <w:p w14:paraId="6AF9ADCD" w14:textId="77777777" w:rsidR="00BA4704" w:rsidRDefault="00BA4704">
            <w:pPr>
              <w:jc w:val="center"/>
              <w:rPr>
                <w:color w:val="000000"/>
                <w:sz w:val="18"/>
              </w:rPr>
            </w:pPr>
            <w:r>
              <w:rPr>
                <w:color w:val="000000"/>
                <w:sz w:val="18"/>
              </w:rPr>
              <w:t>Information Collection</w:t>
            </w:r>
          </w:p>
        </w:tc>
        <w:tc>
          <w:tcPr>
            <w:tcW w:w="1363" w:type="dxa"/>
            <w:tcBorders>
              <w:bottom w:val="single" w:sz="4" w:space="0" w:color="auto"/>
            </w:tcBorders>
            <w:vAlign w:val="center"/>
          </w:tcPr>
          <w:p w14:paraId="078D9054" w14:textId="77777777" w:rsidR="00BA4704" w:rsidRDefault="00BA4704">
            <w:pPr>
              <w:jc w:val="center"/>
              <w:rPr>
                <w:color w:val="000000"/>
                <w:sz w:val="18"/>
              </w:rPr>
            </w:pPr>
            <w:r>
              <w:rPr>
                <w:color w:val="000000"/>
                <w:sz w:val="18"/>
              </w:rPr>
              <w:t>Number of Respondents</w:t>
            </w:r>
          </w:p>
        </w:tc>
        <w:tc>
          <w:tcPr>
            <w:tcW w:w="1429" w:type="dxa"/>
            <w:tcBorders>
              <w:bottom w:val="single" w:sz="4" w:space="0" w:color="auto"/>
            </w:tcBorders>
            <w:vAlign w:val="center"/>
          </w:tcPr>
          <w:p w14:paraId="5CE6ADEC" w14:textId="77777777" w:rsidR="00BA4704" w:rsidRDefault="00BA4704">
            <w:pPr>
              <w:jc w:val="center"/>
              <w:rPr>
                <w:color w:val="000000"/>
                <w:sz w:val="18"/>
              </w:rPr>
            </w:pPr>
            <w:r>
              <w:rPr>
                <w:color w:val="000000"/>
                <w:sz w:val="18"/>
              </w:rPr>
              <w:t>Frequency of Response (average)</w:t>
            </w:r>
          </w:p>
        </w:tc>
        <w:tc>
          <w:tcPr>
            <w:tcW w:w="1279" w:type="dxa"/>
            <w:tcBorders>
              <w:bottom w:val="single" w:sz="4" w:space="0" w:color="auto"/>
            </w:tcBorders>
            <w:vAlign w:val="center"/>
          </w:tcPr>
          <w:p w14:paraId="18AB148C" w14:textId="77777777" w:rsidR="00BA4704" w:rsidRDefault="00931A55">
            <w:pPr>
              <w:jc w:val="center"/>
              <w:rPr>
                <w:color w:val="000000"/>
                <w:sz w:val="18"/>
              </w:rPr>
            </w:pPr>
            <w:r>
              <w:rPr>
                <w:color w:val="000000"/>
                <w:sz w:val="18"/>
              </w:rPr>
              <w:t>Responses Per Year</w:t>
            </w:r>
          </w:p>
        </w:tc>
        <w:tc>
          <w:tcPr>
            <w:tcW w:w="1350" w:type="dxa"/>
            <w:tcBorders>
              <w:bottom w:val="single" w:sz="4" w:space="0" w:color="auto"/>
            </w:tcBorders>
            <w:vAlign w:val="center"/>
          </w:tcPr>
          <w:p w14:paraId="76400238" w14:textId="77777777" w:rsidR="00BA4704" w:rsidRDefault="00931A55">
            <w:pPr>
              <w:jc w:val="center"/>
              <w:rPr>
                <w:color w:val="000000"/>
                <w:sz w:val="18"/>
              </w:rPr>
            </w:pPr>
            <w:r>
              <w:rPr>
                <w:color w:val="000000"/>
                <w:sz w:val="18"/>
              </w:rPr>
              <w:t xml:space="preserve">Average </w:t>
            </w:r>
            <w:r w:rsidR="00BA4704">
              <w:rPr>
                <w:color w:val="000000"/>
                <w:sz w:val="18"/>
              </w:rPr>
              <w:t>Burden Hour Per Response</w:t>
            </w:r>
          </w:p>
        </w:tc>
        <w:tc>
          <w:tcPr>
            <w:tcW w:w="1350" w:type="dxa"/>
            <w:tcBorders>
              <w:bottom w:val="single" w:sz="4" w:space="0" w:color="auto"/>
            </w:tcBorders>
            <w:vAlign w:val="center"/>
          </w:tcPr>
          <w:p w14:paraId="10A20380" w14:textId="77777777" w:rsidR="00BA4704" w:rsidRDefault="00BA4704">
            <w:pPr>
              <w:jc w:val="center"/>
              <w:rPr>
                <w:color w:val="000000"/>
                <w:sz w:val="18"/>
              </w:rPr>
            </w:pPr>
            <w:r>
              <w:rPr>
                <w:color w:val="000000"/>
                <w:sz w:val="18"/>
              </w:rPr>
              <w:t>Annual Burden Hours</w:t>
            </w:r>
          </w:p>
        </w:tc>
        <w:tc>
          <w:tcPr>
            <w:tcW w:w="990" w:type="dxa"/>
            <w:tcBorders>
              <w:bottom w:val="single" w:sz="4" w:space="0" w:color="auto"/>
            </w:tcBorders>
            <w:vAlign w:val="center"/>
          </w:tcPr>
          <w:p w14:paraId="326D015E" w14:textId="77777777" w:rsidR="00BA4704" w:rsidRDefault="00BA4704">
            <w:pPr>
              <w:jc w:val="center"/>
              <w:rPr>
                <w:color w:val="000000"/>
                <w:sz w:val="18"/>
              </w:rPr>
            </w:pPr>
            <w:r>
              <w:rPr>
                <w:color w:val="000000"/>
                <w:sz w:val="18"/>
              </w:rPr>
              <w:t>Hourly Cost Per Response</w:t>
            </w:r>
          </w:p>
        </w:tc>
        <w:tc>
          <w:tcPr>
            <w:tcW w:w="1530" w:type="dxa"/>
            <w:tcBorders>
              <w:bottom w:val="single" w:sz="4" w:space="0" w:color="auto"/>
            </w:tcBorders>
            <w:vAlign w:val="center"/>
          </w:tcPr>
          <w:p w14:paraId="1ADA5203" w14:textId="77777777" w:rsidR="00BA4704" w:rsidRDefault="00931A55">
            <w:pPr>
              <w:jc w:val="center"/>
              <w:rPr>
                <w:color w:val="000000"/>
                <w:sz w:val="18"/>
              </w:rPr>
            </w:pPr>
            <w:r>
              <w:rPr>
                <w:color w:val="000000"/>
                <w:sz w:val="18"/>
              </w:rPr>
              <w:t xml:space="preserve">Total </w:t>
            </w:r>
            <w:r w:rsidR="00BA4704">
              <w:rPr>
                <w:color w:val="000000"/>
                <w:sz w:val="18"/>
              </w:rPr>
              <w:t>Annual Cost</w:t>
            </w:r>
          </w:p>
        </w:tc>
      </w:tr>
      <w:tr w:rsidR="00101F81" w14:paraId="718A2862" w14:textId="77777777" w:rsidTr="00293FAE">
        <w:trPr>
          <w:trHeight w:val="497"/>
        </w:trPr>
        <w:tc>
          <w:tcPr>
            <w:tcW w:w="2157" w:type="dxa"/>
            <w:tcBorders>
              <w:bottom w:val="single" w:sz="4" w:space="0" w:color="auto"/>
            </w:tcBorders>
            <w:shd w:val="clear" w:color="auto" w:fill="C0C0C0"/>
            <w:vAlign w:val="center"/>
          </w:tcPr>
          <w:p w14:paraId="54427F31" w14:textId="77777777" w:rsidR="009B404C" w:rsidRDefault="00651D8A">
            <w:r>
              <w:t>FHA Mortgage Insurance Premiums (MIP)</w:t>
            </w:r>
          </w:p>
        </w:tc>
        <w:tc>
          <w:tcPr>
            <w:tcW w:w="1363" w:type="dxa"/>
            <w:tcBorders>
              <w:bottom w:val="single" w:sz="4" w:space="0" w:color="auto"/>
            </w:tcBorders>
            <w:shd w:val="clear" w:color="auto" w:fill="C0C0C0"/>
            <w:vAlign w:val="center"/>
          </w:tcPr>
          <w:p w14:paraId="16166221" w14:textId="77777777" w:rsidR="009B404C" w:rsidRDefault="009B404C" w:rsidP="006D1B14">
            <w:pPr>
              <w:jc w:val="center"/>
              <w:rPr>
                <w:color w:val="000000"/>
                <w:sz w:val="18"/>
                <w:highlight w:val="lightGray"/>
              </w:rPr>
            </w:pPr>
          </w:p>
        </w:tc>
        <w:tc>
          <w:tcPr>
            <w:tcW w:w="1429" w:type="dxa"/>
            <w:tcBorders>
              <w:bottom w:val="single" w:sz="4" w:space="0" w:color="auto"/>
            </w:tcBorders>
            <w:shd w:val="clear" w:color="auto" w:fill="C0C0C0"/>
            <w:vAlign w:val="center"/>
          </w:tcPr>
          <w:p w14:paraId="73BF51F8" w14:textId="77777777" w:rsidR="009B404C" w:rsidRDefault="009B404C" w:rsidP="00BE39A3">
            <w:pPr>
              <w:jc w:val="right"/>
              <w:rPr>
                <w:color w:val="000000"/>
                <w:sz w:val="18"/>
                <w:highlight w:val="lightGray"/>
              </w:rPr>
            </w:pPr>
          </w:p>
        </w:tc>
        <w:tc>
          <w:tcPr>
            <w:tcW w:w="1279" w:type="dxa"/>
            <w:tcBorders>
              <w:bottom w:val="single" w:sz="4" w:space="0" w:color="auto"/>
            </w:tcBorders>
            <w:shd w:val="clear" w:color="auto" w:fill="C0C0C0"/>
            <w:vAlign w:val="center"/>
          </w:tcPr>
          <w:p w14:paraId="0DB889F6" w14:textId="77777777" w:rsidR="009B404C" w:rsidRDefault="009B404C" w:rsidP="00BE39A3">
            <w:pPr>
              <w:ind w:right="266"/>
              <w:jc w:val="right"/>
              <w:rPr>
                <w:color w:val="000000"/>
                <w:sz w:val="18"/>
                <w:highlight w:val="lightGray"/>
              </w:rPr>
            </w:pPr>
          </w:p>
        </w:tc>
        <w:tc>
          <w:tcPr>
            <w:tcW w:w="1350" w:type="dxa"/>
            <w:tcBorders>
              <w:bottom w:val="single" w:sz="4" w:space="0" w:color="auto"/>
            </w:tcBorders>
            <w:shd w:val="clear" w:color="auto" w:fill="C0C0C0"/>
            <w:vAlign w:val="center"/>
          </w:tcPr>
          <w:p w14:paraId="7B91675F" w14:textId="77777777" w:rsidR="009B404C" w:rsidRDefault="009B404C">
            <w:pPr>
              <w:ind w:left="-122" w:right="312" w:firstLine="122"/>
              <w:rPr>
                <w:color w:val="000000"/>
                <w:sz w:val="18"/>
                <w:highlight w:val="lightGray"/>
              </w:rPr>
            </w:pPr>
          </w:p>
        </w:tc>
        <w:tc>
          <w:tcPr>
            <w:tcW w:w="1350" w:type="dxa"/>
            <w:tcBorders>
              <w:bottom w:val="single" w:sz="4" w:space="0" w:color="auto"/>
            </w:tcBorders>
            <w:shd w:val="clear" w:color="auto" w:fill="C0C0C0"/>
            <w:vAlign w:val="center"/>
          </w:tcPr>
          <w:p w14:paraId="1437B2E2" w14:textId="77777777" w:rsidR="009B404C" w:rsidRDefault="009B404C" w:rsidP="00BE39A3">
            <w:pPr>
              <w:ind w:right="42"/>
              <w:jc w:val="right"/>
              <w:rPr>
                <w:color w:val="000000"/>
                <w:sz w:val="18"/>
                <w:highlight w:val="lightGray"/>
              </w:rPr>
            </w:pPr>
          </w:p>
        </w:tc>
        <w:tc>
          <w:tcPr>
            <w:tcW w:w="990" w:type="dxa"/>
            <w:tcBorders>
              <w:bottom w:val="single" w:sz="4" w:space="0" w:color="auto"/>
            </w:tcBorders>
            <w:shd w:val="clear" w:color="auto" w:fill="C0C0C0"/>
            <w:vAlign w:val="center"/>
          </w:tcPr>
          <w:p w14:paraId="37D635E2" w14:textId="77777777" w:rsidR="009B404C" w:rsidRDefault="009B404C" w:rsidP="00BE39A3">
            <w:pPr>
              <w:jc w:val="right"/>
              <w:rPr>
                <w:color w:val="000000"/>
                <w:sz w:val="18"/>
                <w:highlight w:val="lightGray"/>
              </w:rPr>
            </w:pPr>
          </w:p>
        </w:tc>
        <w:tc>
          <w:tcPr>
            <w:tcW w:w="1530" w:type="dxa"/>
            <w:tcBorders>
              <w:bottom w:val="single" w:sz="4" w:space="0" w:color="auto"/>
            </w:tcBorders>
            <w:shd w:val="clear" w:color="auto" w:fill="C0C0C0"/>
            <w:vAlign w:val="center"/>
          </w:tcPr>
          <w:p w14:paraId="2FDDF844" w14:textId="77777777" w:rsidR="009B404C" w:rsidRDefault="009B404C" w:rsidP="00BE39A3">
            <w:pPr>
              <w:ind w:right="180"/>
              <w:jc w:val="right"/>
              <w:rPr>
                <w:color w:val="000000"/>
                <w:sz w:val="18"/>
                <w:highlight w:val="lightGray"/>
              </w:rPr>
            </w:pPr>
          </w:p>
        </w:tc>
      </w:tr>
      <w:tr w:rsidR="00835524" w14:paraId="244BC139" w14:textId="77777777" w:rsidTr="00293FAE">
        <w:tc>
          <w:tcPr>
            <w:tcW w:w="2157" w:type="dxa"/>
            <w:shd w:val="clear" w:color="auto" w:fill="auto"/>
          </w:tcPr>
          <w:p w14:paraId="5C3C3614" w14:textId="77777777" w:rsidR="00835524" w:rsidRDefault="00835524" w:rsidP="00835524">
            <w:pPr>
              <w:rPr>
                <w:color w:val="000000"/>
                <w:sz w:val="18"/>
              </w:rPr>
            </w:pPr>
            <w:r w:rsidRPr="00961FA7">
              <w:rPr>
                <w:color w:val="000000"/>
                <w:sz w:val="18"/>
              </w:rPr>
              <w:t xml:space="preserve">MIP </w:t>
            </w:r>
            <w:r>
              <w:rPr>
                <w:color w:val="000000"/>
                <w:sz w:val="18"/>
              </w:rPr>
              <w:t>Collections</w:t>
            </w:r>
          </w:p>
          <w:p w14:paraId="0CF38E7C" w14:textId="77777777" w:rsidR="00835524" w:rsidRDefault="00835524" w:rsidP="00835524">
            <w:pPr>
              <w:rPr>
                <w:color w:val="000000"/>
                <w:sz w:val="18"/>
              </w:rPr>
            </w:pPr>
            <w:r>
              <w:rPr>
                <w:color w:val="000000"/>
                <w:sz w:val="18"/>
              </w:rPr>
              <w:t xml:space="preserve">     Upfront, New Orig.</w:t>
            </w:r>
          </w:p>
          <w:p w14:paraId="76ADF021" w14:textId="77777777" w:rsidR="00835524" w:rsidRDefault="00835524" w:rsidP="00835524">
            <w:r>
              <w:rPr>
                <w:color w:val="000000"/>
                <w:sz w:val="18"/>
              </w:rPr>
              <w:t xml:space="preserve">     Periodic, Annual</w:t>
            </w:r>
          </w:p>
        </w:tc>
        <w:tc>
          <w:tcPr>
            <w:tcW w:w="1363" w:type="dxa"/>
            <w:shd w:val="clear" w:color="auto" w:fill="auto"/>
            <w:vAlign w:val="center"/>
          </w:tcPr>
          <w:p w14:paraId="09E20DF7" w14:textId="77777777" w:rsidR="00835524" w:rsidRDefault="00835524" w:rsidP="00835524">
            <w:pPr>
              <w:jc w:val="center"/>
            </w:pPr>
            <w:r w:rsidRPr="00565992">
              <w:rPr>
                <w:color w:val="000000"/>
                <w:sz w:val="18"/>
              </w:rPr>
              <w:t>3</w:t>
            </w:r>
            <w:r>
              <w:rPr>
                <w:color w:val="000000"/>
                <w:sz w:val="18"/>
              </w:rPr>
              <w:t>57</w:t>
            </w:r>
          </w:p>
        </w:tc>
        <w:tc>
          <w:tcPr>
            <w:tcW w:w="1429" w:type="dxa"/>
            <w:shd w:val="clear" w:color="auto" w:fill="auto"/>
            <w:vAlign w:val="center"/>
          </w:tcPr>
          <w:p w14:paraId="403E6677" w14:textId="77777777" w:rsidR="00835524" w:rsidRDefault="00835524" w:rsidP="00835524">
            <w:pPr>
              <w:rPr>
                <w:color w:val="000000"/>
                <w:sz w:val="18"/>
                <w:highlight w:val="lightGray"/>
              </w:rPr>
            </w:pPr>
          </w:p>
          <w:p w14:paraId="34EDC3BD" w14:textId="108BD329" w:rsidR="00835524" w:rsidRDefault="00835524" w:rsidP="00835524">
            <w:pPr>
              <w:jc w:val="right"/>
              <w:rPr>
                <w:color w:val="000000"/>
                <w:sz w:val="18"/>
                <w:highlight w:val="lightGray"/>
              </w:rPr>
            </w:pPr>
            <w:r>
              <w:rPr>
                <w:color w:val="000000"/>
                <w:sz w:val="18"/>
              </w:rPr>
              <w:t>4,056</w:t>
            </w:r>
            <w:r w:rsidR="00FD6CDA">
              <w:rPr>
                <w:color w:val="000000"/>
                <w:sz w:val="18"/>
              </w:rPr>
              <w:t>.03</w:t>
            </w:r>
          </w:p>
          <w:p w14:paraId="207B01B4" w14:textId="410DB9BA" w:rsidR="00835524" w:rsidRPr="00105276" w:rsidRDefault="00835524" w:rsidP="00835524">
            <w:pPr>
              <w:jc w:val="right"/>
              <w:rPr>
                <w:color w:val="000000"/>
                <w:sz w:val="18"/>
              </w:rPr>
            </w:pPr>
            <w:r>
              <w:rPr>
                <w:color w:val="000000"/>
                <w:sz w:val="18"/>
              </w:rPr>
              <w:t>8,403</w:t>
            </w:r>
            <w:r w:rsidR="00FD6CDA">
              <w:rPr>
                <w:color w:val="000000"/>
                <w:sz w:val="18"/>
              </w:rPr>
              <w:t>.36</w:t>
            </w:r>
          </w:p>
        </w:tc>
        <w:tc>
          <w:tcPr>
            <w:tcW w:w="1279" w:type="dxa"/>
            <w:shd w:val="clear" w:color="auto" w:fill="auto"/>
            <w:vAlign w:val="center"/>
          </w:tcPr>
          <w:p w14:paraId="29FD1A47" w14:textId="77777777" w:rsidR="00835524" w:rsidRDefault="00835524" w:rsidP="00835524">
            <w:pPr>
              <w:jc w:val="right"/>
              <w:rPr>
                <w:color w:val="000000"/>
                <w:sz w:val="18"/>
              </w:rPr>
            </w:pPr>
          </w:p>
          <w:p w14:paraId="6DE5DEFF" w14:textId="49B5779D" w:rsidR="00835524" w:rsidRDefault="00835524" w:rsidP="00835524">
            <w:pPr>
              <w:jc w:val="right"/>
              <w:rPr>
                <w:color w:val="000000"/>
                <w:sz w:val="18"/>
              </w:rPr>
            </w:pPr>
            <w:r>
              <w:rPr>
                <w:color w:val="000000"/>
                <w:sz w:val="18"/>
              </w:rPr>
              <w:t>1,4</w:t>
            </w:r>
            <w:r w:rsidR="00FD6CDA">
              <w:rPr>
                <w:color w:val="000000"/>
                <w:sz w:val="18"/>
              </w:rPr>
              <w:t>48,002.71</w:t>
            </w:r>
          </w:p>
          <w:p w14:paraId="26A8C83C" w14:textId="31775DF6" w:rsidR="00835524" w:rsidRDefault="00FD6CDA" w:rsidP="00835524">
            <w:pPr>
              <w:ind w:right="-15"/>
              <w:jc w:val="right"/>
              <w:rPr>
                <w:color w:val="000000"/>
                <w:sz w:val="18"/>
                <w:highlight w:val="lightGray"/>
              </w:rPr>
            </w:pPr>
            <w:r>
              <w:rPr>
                <w:color w:val="000000"/>
                <w:sz w:val="18"/>
              </w:rPr>
              <w:t>2,999,999.52</w:t>
            </w:r>
          </w:p>
        </w:tc>
        <w:tc>
          <w:tcPr>
            <w:tcW w:w="1350" w:type="dxa"/>
            <w:tcBorders>
              <w:bottom w:val="single" w:sz="4" w:space="0" w:color="auto"/>
            </w:tcBorders>
            <w:shd w:val="clear" w:color="auto" w:fill="auto"/>
            <w:vAlign w:val="center"/>
          </w:tcPr>
          <w:p w14:paraId="34167958" w14:textId="77777777" w:rsidR="00835524" w:rsidRDefault="00835524" w:rsidP="00835524">
            <w:pPr>
              <w:ind w:left="-122" w:right="-111" w:firstLine="122"/>
              <w:jc w:val="center"/>
              <w:rPr>
                <w:color w:val="000000"/>
                <w:sz w:val="18"/>
              </w:rPr>
            </w:pPr>
          </w:p>
          <w:p w14:paraId="5D39ECC0" w14:textId="77777777" w:rsidR="00835524" w:rsidRDefault="00835524" w:rsidP="00835524">
            <w:pPr>
              <w:ind w:left="-122" w:right="-111" w:firstLine="122"/>
              <w:jc w:val="center"/>
              <w:rPr>
                <w:color w:val="000000"/>
                <w:sz w:val="18"/>
              </w:rPr>
            </w:pPr>
            <w:r>
              <w:rPr>
                <w:color w:val="000000"/>
                <w:sz w:val="18"/>
              </w:rPr>
              <w:t>.25</w:t>
            </w:r>
          </w:p>
          <w:p w14:paraId="123C5C0B" w14:textId="77777777" w:rsidR="00835524" w:rsidRPr="00661138" w:rsidRDefault="00835524" w:rsidP="00835524">
            <w:pPr>
              <w:ind w:left="-122" w:right="-111" w:firstLine="122"/>
              <w:jc w:val="center"/>
              <w:rPr>
                <w:color w:val="000000"/>
                <w:sz w:val="18"/>
              </w:rPr>
            </w:pPr>
            <w:r>
              <w:rPr>
                <w:color w:val="000000"/>
                <w:sz w:val="18"/>
              </w:rPr>
              <w:t>.02</w:t>
            </w:r>
          </w:p>
        </w:tc>
        <w:tc>
          <w:tcPr>
            <w:tcW w:w="1350" w:type="dxa"/>
            <w:tcBorders>
              <w:bottom w:val="single" w:sz="4" w:space="0" w:color="auto"/>
            </w:tcBorders>
            <w:shd w:val="clear" w:color="auto" w:fill="auto"/>
            <w:vAlign w:val="center"/>
          </w:tcPr>
          <w:p w14:paraId="30A3C0C1" w14:textId="77777777" w:rsidR="00835524" w:rsidRDefault="00835524" w:rsidP="00835524">
            <w:pPr>
              <w:ind w:right="42"/>
              <w:jc w:val="right"/>
              <w:rPr>
                <w:color w:val="000000"/>
                <w:sz w:val="18"/>
              </w:rPr>
            </w:pPr>
          </w:p>
          <w:p w14:paraId="15266CC8" w14:textId="4085F1B0" w:rsidR="00835524" w:rsidRDefault="00835524" w:rsidP="00835524">
            <w:pPr>
              <w:ind w:right="-36"/>
              <w:jc w:val="right"/>
              <w:rPr>
                <w:color w:val="000000"/>
                <w:sz w:val="18"/>
                <w:highlight w:val="lightGray"/>
              </w:rPr>
            </w:pPr>
            <w:r>
              <w:rPr>
                <w:color w:val="000000"/>
                <w:sz w:val="18"/>
              </w:rPr>
              <w:t>362,000</w:t>
            </w:r>
            <w:r w:rsidR="00297C44">
              <w:rPr>
                <w:color w:val="000000"/>
                <w:sz w:val="18"/>
              </w:rPr>
              <w:t>.68</w:t>
            </w:r>
            <w:r>
              <w:rPr>
                <w:color w:val="000000"/>
                <w:sz w:val="18"/>
              </w:rPr>
              <w:t xml:space="preserve">        </w:t>
            </w:r>
            <w:r w:rsidR="00297C44">
              <w:rPr>
                <w:color w:val="000000"/>
                <w:sz w:val="18"/>
              </w:rPr>
              <w:t>59,999.99</w:t>
            </w:r>
          </w:p>
        </w:tc>
        <w:tc>
          <w:tcPr>
            <w:tcW w:w="990" w:type="dxa"/>
            <w:tcBorders>
              <w:bottom w:val="single" w:sz="4" w:space="0" w:color="auto"/>
            </w:tcBorders>
            <w:shd w:val="clear" w:color="auto" w:fill="auto"/>
            <w:vAlign w:val="center"/>
          </w:tcPr>
          <w:p w14:paraId="7E27DEC3" w14:textId="77777777" w:rsidR="00835524" w:rsidRDefault="00835524" w:rsidP="00297C44">
            <w:pPr>
              <w:jc w:val="right"/>
            </w:pPr>
            <w:r w:rsidRPr="002665F4">
              <w:rPr>
                <w:color w:val="000000"/>
                <w:sz w:val="18"/>
              </w:rPr>
              <w:t>$20.00</w:t>
            </w:r>
          </w:p>
        </w:tc>
        <w:tc>
          <w:tcPr>
            <w:tcW w:w="1530" w:type="dxa"/>
            <w:tcBorders>
              <w:bottom w:val="single" w:sz="4" w:space="0" w:color="auto"/>
            </w:tcBorders>
            <w:shd w:val="clear" w:color="auto" w:fill="auto"/>
            <w:vAlign w:val="center"/>
          </w:tcPr>
          <w:p w14:paraId="5A99E230" w14:textId="77777777" w:rsidR="00835524" w:rsidRDefault="00835524" w:rsidP="00835524">
            <w:pPr>
              <w:ind w:right="180"/>
              <w:jc w:val="right"/>
              <w:rPr>
                <w:color w:val="000000"/>
                <w:sz w:val="18"/>
              </w:rPr>
            </w:pPr>
          </w:p>
          <w:p w14:paraId="5C87354F" w14:textId="59389281" w:rsidR="00835524" w:rsidRDefault="00835524" w:rsidP="00835524">
            <w:pPr>
              <w:jc w:val="right"/>
              <w:rPr>
                <w:color w:val="000000"/>
                <w:sz w:val="18"/>
              </w:rPr>
            </w:pPr>
            <w:r>
              <w:rPr>
                <w:color w:val="000000"/>
                <w:sz w:val="18"/>
              </w:rPr>
              <w:t>$</w:t>
            </w:r>
            <w:r w:rsidR="001016BF">
              <w:rPr>
                <w:color w:val="000000"/>
                <w:sz w:val="18"/>
              </w:rPr>
              <w:t>7,24</w:t>
            </w:r>
            <w:r w:rsidR="00297C44">
              <w:rPr>
                <w:color w:val="000000"/>
                <w:sz w:val="18"/>
              </w:rPr>
              <w:t>0,013.</w:t>
            </w:r>
            <w:r w:rsidR="00215AE0">
              <w:rPr>
                <w:color w:val="000000"/>
                <w:sz w:val="18"/>
              </w:rPr>
              <w:t>60</w:t>
            </w:r>
          </w:p>
          <w:p w14:paraId="4A150ACA" w14:textId="5277EA4D" w:rsidR="00835524" w:rsidRDefault="00835524" w:rsidP="00835524">
            <w:pPr>
              <w:jc w:val="right"/>
              <w:rPr>
                <w:color w:val="000000"/>
                <w:sz w:val="18"/>
                <w:highlight w:val="lightGray"/>
              </w:rPr>
            </w:pPr>
            <w:r>
              <w:rPr>
                <w:color w:val="000000"/>
                <w:sz w:val="18"/>
              </w:rPr>
              <w:t>$</w:t>
            </w:r>
            <w:r w:rsidR="00297C44">
              <w:rPr>
                <w:color w:val="000000"/>
                <w:sz w:val="18"/>
              </w:rPr>
              <w:t>1,199,999.8</w:t>
            </w:r>
            <w:r w:rsidR="00215AE0">
              <w:rPr>
                <w:color w:val="000000"/>
                <w:sz w:val="18"/>
              </w:rPr>
              <w:t>0</w:t>
            </w:r>
          </w:p>
        </w:tc>
      </w:tr>
      <w:tr w:rsidR="00FD6CDA" w14:paraId="4B088595" w14:textId="77777777" w:rsidTr="00293FAE">
        <w:tc>
          <w:tcPr>
            <w:tcW w:w="2157" w:type="dxa"/>
            <w:shd w:val="clear" w:color="auto" w:fill="auto"/>
          </w:tcPr>
          <w:p w14:paraId="09407962" w14:textId="77777777" w:rsidR="00FD6CDA" w:rsidRDefault="00FD6CDA" w:rsidP="00FD6CDA">
            <w:r w:rsidRPr="00961FA7">
              <w:rPr>
                <w:color w:val="000000"/>
                <w:sz w:val="18"/>
              </w:rPr>
              <w:t xml:space="preserve">MIP </w:t>
            </w:r>
            <w:r>
              <w:rPr>
                <w:color w:val="000000"/>
                <w:sz w:val="18"/>
              </w:rPr>
              <w:t>Notifications</w:t>
            </w:r>
          </w:p>
        </w:tc>
        <w:tc>
          <w:tcPr>
            <w:tcW w:w="1363" w:type="dxa"/>
            <w:shd w:val="clear" w:color="auto" w:fill="auto"/>
          </w:tcPr>
          <w:p w14:paraId="097D57A2" w14:textId="77777777" w:rsidR="00FD6CDA" w:rsidRDefault="00FD6CDA" w:rsidP="00FD6CDA">
            <w:pPr>
              <w:jc w:val="center"/>
            </w:pPr>
            <w:r w:rsidRPr="006C4F83">
              <w:rPr>
                <w:color w:val="000000"/>
                <w:sz w:val="18"/>
              </w:rPr>
              <w:t>357</w:t>
            </w:r>
          </w:p>
        </w:tc>
        <w:tc>
          <w:tcPr>
            <w:tcW w:w="1429" w:type="dxa"/>
            <w:shd w:val="clear" w:color="auto" w:fill="auto"/>
          </w:tcPr>
          <w:p w14:paraId="289789B7" w14:textId="3AEF1FDE" w:rsidR="00FD6CDA" w:rsidRDefault="00FD6CDA" w:rsidP="00FD6CDA">
            <w:pPr>
              <w:jc w:val="right"/>
            </w:pPr>
            <w:r w:rsidRPr="003640F4">
              <w:rPr>
                <w:color w:val="000000"/>
                <w:sz w:val="18"/>
              </w:rPr>
              <w:t>8,403</w:t>
            </w:r>
            <w:r>
              <w:rPr>
                <w:color w:val="000000"/>
                <w:sz w:val="18"/>
              </w:rPr>
              <w:t>.36</w:t>
            </w:r>
          </w:p>
        </w:tc>
        <w:tc>
          <w:tcPr>
            <w:tcW w:w="1279" w:type="dxa"/>
            <w:shd w:val="clear" w:color="auto" w:fill="auto"/>
          </w:tcPr>
          <w:p w14:paraId="588AFD3B" w14:textId="617BBA4F" w:rsidR="00FD6CDA" w:rsidRDefault="00FD6CDA" w:rsidP="00FD6CDA">
            <w:pPr>
              <w:jc w:val="right"/>
              <w:rPr>
                <w:color w:val="000000"/>
                <w:sz w:val="18"/>
                <w:highlight w:val="lightGray"/>
              </w:rPr>
            </w:pPr>
            <w:r w:rsidRPr="00342C79">
              <w:rPr>
                <w:color w:val="000000"/>
                <w:sz w:val="18"/>
              </w:rPr>
              <w:t>2,999,999.52</w:t>
            </w:r>
          </w:p>
        </w:tc>
        <w:tc>
          <w:tcPr>
            <w:tcW w:w="1350" w:type="dxa"/>
            <w:tcBorders>
              <w:bottom w:val="single" w:sz="4" w:space="0" w:color="auto"/>
            </w:tcBorders>
            <w:shd w:val="clear" w:color="auto" w:fill="auto"/>
            <w:vAlign w:val="center"/>
          </w:tcPr>
          <w:p w14:paraId="6721B2C6" w14:textId="77777777" w:rsidR="00FD6CDA" w:rsidRPr="00661138" w:rsidRDefault="00FD6CDA" w:rsidP="00FD6CDA">
            <w:pPr>
              <w:ind w:left="-122" w:right="-111" w:firstLine="122"/>
              <w:jc w:val="center"/>
              <w:rPr>
                <w:color w:val="000000"/>
                <w:sz w:val="18"/>
              </w:rPr>
            </w:pPr>
            <w:r>
              <w:rPr>
                <w:color w:val="000000"/>
                <w:sz w:val="18"/>
              </w:rPr>
              <w:t>.25</w:t>
            </w:r>
          </w:p>
        </w:tc>
        <w:tc>
          <w:tcPr>
            <w:tcW w:w="1350" w:type="dxa"/>
            <w:tcBorders>
              <w:bottom w:val="single" w:sz="4" w:space="0" w:color="auto"/>
            </w:tcBorders>
            <w:shd w:val="clear" w:color="auto" w:fill="auto"/>
            <w:vAlign w:val="center"/>
          </w:tcPr>
          <w:p w14:paraId="12D436D1" w14:textId="7D49C91B" w:rsidR="00FD6CDA" w:rsidRDefault="00297C44" w:rsidP="00FD6CDA">
            <w:pPr>
              <w:ind w:right="-37"/>
              <w:jc w:val="right"/>
              <w:rPr>
                <w:color w:val="000000"/>
                <w:sz w:val="18"/>
                <w:highlight w:val="lightGray"/>
              </w:rPr>
            </w:pPr>
            <w:r>
              <w:rPr>
                <w:color w:val="000000"/>
                <w:sz w:val="18"/>
              </w:rPr>
              <w:t>749,999.88</w:t>
            </w:r>
          </w:p>
        </w:tc>
        <w:tc>
          <w:tcPr>
            <w:tcW w:w="990" w:type="dxa"/>
            <w:tcBorders>
              <w:bottom w:val="single" w:sz="4" w:space="0" w:color="auto"/>
            </w:tcBorders>
            <w:shd w:val="clear" w:color="auto" w:fill="auto"/>
          </w:tcPr>
          <w:p w14:paraId="72479E14" w14:textId="77777777" w:rsidR="00FD6CDA" w:rsidRDefault="00FD6CDA" w:rsidP="00FD6CDA">
            <w:pPr>
              <w:jc w:val="right"/>
            </w:pPr>
            <w:r w:rsidRPr="002665F4">
              <w:rPr>
                <w:color w:val="000000"/>
                <w:sz w:val="18"/>
              </w:rPr>
              <w:t>$20.00</w:t>
            </w:r>
          </w:p>
        </w:tc>
        <w:tc>
          <w:tcPr>
            <w:tcW w:w="1530" w:type="dxa"/>
            <w:tcBorders>
              <w:bottom w:val="single" w:sz="4" w:space="0" w:color="auto"/>
            </w:tcBorders>
            <w:shd w:val="clear" w:color="auto" w:fill="auto"/>
            <w:vAlign w:val="center"/>
          </w:tcPr>
          <w:p w14:paraId="40886146" w14:textId="2D5EE708" w:rsidR="00FD6CDA" w:rsidRDefault="00FD6CDA" w:rsidP="00FD6CDA">
            <w:pPr>
              <w:jc w:val="right"/>
              <w:rPr>
                <w:color w:val="000000"/>
                <w:sz w:val="18"/>
                <w:highlight w:val="lightGray"/>
              </w:rPr>
            </w:pPr>
            <w:r>
              <w:rPr>
                <w:color w:val="000000"/>
                <w:sz w:val="18"/>
              </w:rPr>
              <w:t>$</w:t>
            </w:r>
            <w:r w:rsidR="00297C44">
              <w:rPr>
                <w:color w:val="000000"/>
                <w:sz w:val="18"/>
              </w:rPr>
              <w:t>14,999,997.60</w:t>
            </w:r>
          </w:p>
        </w:tc>
      </w:tr>
      <w:tr w:rsidR="00297C44" w14:paraId="47F3D056" w14:textId="77777777" w:rsidTr="00293FAE">
        <w:tc>
          <w:tcPr>
            <w:tcW w:w="2157" w:type="dxa"/>
            <w:shd w:val="clear" w:color="auto" w:fill="auto"/>
            <w:vAlign w:val="center"/>
          </w:tcPr>
          <w:p w14:paraId="20F98617" w14:textId="77777777" w:rsidR="00297C44" w:rsidRDefault="00297C44" w:rsidP="00297C44">
            <w:pPr>
              <w:ind w:right="180"/>
              <w:rPr>
                <w:color w:val="000000"/>
                <w:sz w:val="18"/>
              </w:rPr>
            </w:pPr>
            <w:r>
              <w:rPr>
                <w:color w:val="000000"/>
                <w:sz w:val="18"/>
              </w:rPr>
              <w:t>MIP Disbursements</w:t>
            </w:r>
          </w:p>
        </w:tc>
        <w:tc>
          <w:tcPr>
            <w:tcW w:w="1363" w:type="dxa"/>
            <w:shd w:val="clear" w:color="auto" w:fill="auto"/>
          </w:tcPr>
          <w:p w14:paraId="1F99D57B" w14:textId="77777777" w:rsidR="00297C44" w:rsidRDefault="00297C44" w:rsidP="00297C44">
            <w:pPr>
              <w:jc w:val="center"/>
            </w:pPr>
            <w:r w:rsidRPr="006C4F83">
              <w:rPr>
                <w:color w:val="000000"/>
                <w:sz w:val="18"/>
              </w:rPr>
              <w:t>357</w:t>
            </w:r>
          </w:p>
        </w:tc>
        <w:tc>
          <w:tcPr>
            <w:tcW w:w="1429" w:type="dxa"/>
            <w:shd w:val="clear" w:color="auto" w:fill="auto"/>
          </w:tcPr>
          <w:p w14:paraId="6B9FA134" w14:textId="06DBA19C" w:rsidR="00297C44" w:rsidRDefault="00297C44" w:rsidP="00297C44">
            <w:pPr>
              <w:jc w:val="right"/>
            </w:pPr>
            <w:r w:rsidRPr="003640F4">
              <w:rPr>
                <w:color w:val="000000"/>
                <w:sz w:val="18"/>
              </w:rPr>
              <w:t>8,403</w:t>
            </w:r>
            <w:r>
              <w:rPr>
                <w:color w:val="000000"/>
                <w:sz w:val="18"/>
              </w:rPr>
              <w:t>.36</w:t>
            </w:r>
          </w:p>
        </w:tc>
        <w:tc>
          <w:tcPr>
            <w:tcW w:w="1279" w:type="dxa"/>
            <w:shd w:val="clear" w:color="auto" w:fill="auto"/>
          </w:tcPr>
          <w:p w14:paraId="65F839B4" w14:textId="4A0EA77F" w:rsidR="00297C44" w:rsidRDefault="00297C44" w:rsidP="00297C44">
            <w:pPr>
              <w:ind w:right="-15"/>
              <w:jc w:val="right"/>
              <w:rPr>
                <w:color w:val="000000"/>
                <w:sz w:val="18"/>
              </w:rPr>
            </w:pPr>
            <w:r w:rsidRPr="00342C79">
              <w:rPr>
                <w:color w:val="000000"/>
                <w:sz w:val="18"/>
              </w:rPr>
              <w:t>2,999,999.52</w:t>
            </w:r>
          </w:p>
        </w:tc>
        <w:tc>
          <w:tcPr>
            <w:tcW w:w="1350" w:type="dxa"/>
            <w:tcBorders>
              <w:bottom w:val="single" w:sz="4" w:space="0" w:color="auto"/>
            </w:tcBorders>
            <w:shd w:val="clear" w:color="auto" w:fill="auto"/>
            <w:vAlign w:val="center"/>
          </w:tcPr>
          <w:p w14:paraId="7ECAAB4B" w14:textId="77777777" w:rsidR="00297C44" w:rsidRDefault="00297C44" w:rsidP="00297C44">
            <w:pPr>
              <w:ind w:right="-111"/>
              <w:jc w:val="center"/>
              <w:rPr>
                <w:color w:val="000000"/>
                <w:sz w:val="18"/>
              </w:rPr>
            </w:pPr>
            <w:r>
              <w:rPr>
                <w:color w:val="000000"/>
                <w:sz w:val="18"/>
              </w:rPr>
              <w:t>.02</w:t>
            </w:r>
          </w:p>
        </w:tc>
        <w:tc>
          <w:tcPr>
            <w:tcW w:w="1350" w:type="dxa"/>
            <w:tcBorders>
              <w:bottom w:val="single" w:sz="4" w:space="0" w:color="auto"/>
            </w:tcBorders>
            <w:shd w:val="clear" w:color="auto" w:fill="auto"/>
          </w:tcPr>
          <w:p w14:paraId="401A5495" w14:textId="1C877A03" w:rsidR="00297C44" w:rsidRDefault="00297C44" w:rsidP="00297C44">
            <w:pPr>
              <w:ind w:right="-36"/>
              <w:jc w:val="right"/>
              <w:rPr>
                <w:color w:val="000000"/>
                <w:sz w:val="18"/>
              </w:rPr>
            </w:pPr>
            <w:r w:rsidRPr="009A653C">
              <w:rPr>
                <w:color w:val="000000"/>
                <w:sz w:val="18"/>
              </w:rPr>
              <w:t>59,999.99</w:t>
            </w:r>
          </w:p>
        </w:tc>
        <w:tc>
          <w:tcPr>
            <w:tcW w:w="990" w:type="dxa"/>
            <w:tcBorders>
              <w:bottom w:val="single" w:sz="4" w:space="0" w:color="auto"/>
            </w:tcBorders>
            <w:shd w:val="clear" w:color="auto" w:fill="auto"/>
          </w:tcPr>
          <w:p w14:paraId="4D2BA72E" w14:textId="77777777" w:rsidR="00297C44" w:rsidRDefault="00297C44" w:rsidP="00297C44">
            <w:pPr>
              <w:jc w:val="right"/>
            </w:pPr>
            <w:r w:rsidRPr="002665F4">
              <w:rPr>
                <w:color w:val="000000"/>
                <w:sz w:val="18"/>
              </w:rPr>
              <w:t>$20.00</w:t>
            </w:r>
          </w:p>
        </w:tc>
        <w:tc>
          <w:tcPr>
            <w:tcW w:w="1530" w:type="dxa"/>
            <w:tcBorders>
              <w:bottom w:val="single" w:sz="4" w:space="0" w:color="auto"/>
            </w:tcBorders>
            <w:shd w:val="clear" w:color="auto" w:fill="auto"/>
            <w:vAlign w:val="center"/>
          </w:tcPr>
          <w:p w14:paraId="1EB95B64" w14:textId="7C66E9B9" w:rsidR="00297C44" w:rsidRDefault="00297C44" w:rsidP="00297C44">
            <w:pPr>
              <w:jc w:val="right"/>
              <w:rPr>
                <w:color w:val="000000"/>
                <w:sz w:val="18"/>
              </w:rPr>
            </w:pPr>
            <w:r>
              <w:rPr>
                <w:color w:val="000000"/>
                <w:sz w:val="18"/>
              </w:rPr>
              <w:t>$1,199,999.8</w:t>
            </w:r>
            <w:r w:rsidR="00215AE0">
              <w:rPr>
                <w:color w:val="000000"/>
                <w:sz w:val="18"/>
              </w:rPr>
              <w:t>0</w:t>
            </w:r>
          </w:p>
        </w:tc>
      </w:tr>
      <w:tr w:rsidR="00297C44" w14:paraId="3F2AB992" w14:textId="77777777" w:rsidTr="00293FAE">
        <w:tc>
          <w:tcPr>
            <w:tcW w:w="2157" w:type="dxa"/>
            <w:tcBorders>
              <w:bottom w:val="single" w:sz="4" w:space="0" w:color="auto"/>
            </w:tcBorders>
            <w:shd w:val="clear" w:color="auto" w:fill="auto"/>
            <w:vAlign w:val="center"/>
          </w:tcPr>
          <w:p w14:paraId="6F8C583E" w14:textId="77777777" w:rsidR="00297C44" w:rsidRDefault="00297C44" w:rsidP="00297C44">
            <w:pPr>
              <w:ind w:right="180"/>
              <w:rPr>
                <w:color w:val="000000"/>
                <w:sz w:val="18"/>
              </w:rPr>
            </w:pPr>
            <w:r>
              <w:rPr>
                <w:color w:val="000000"/>
                <w:sz w:val="18"/>
              </w:rPr>
              <w:t>MIP Refunds</w:t>
            </w:r>
          </w:p>
        </w:tc>
        <w:tc>
          <w:tcPr>
            <w:tcW w:w="1363" w:type="dxa"/>
            <w:tcBorders>
              <w:bottom w:val="single" w:sz="4" w:space="0" w:color="auto"/>
            </w:tcBorders>
            <w:shd w:val="clear" w:color="auto" w:fill="auto"/>
          </w:tcPr>
          <w:p w14:paraId="76223D07" w14:textId="77777777" w:rsidR="00297C44" w:rsidRDefault="00297C44" w:rsidP="00297C44">
            <w:pPr>
              <w:jc w:val="center"/>
            </w:pPr>
            <w:r w:rsidRPr="006C4F83">
              <w:rPr>
                <w:color w:val="000000"/>
                <w:sz w:val="18"/>
              </w:rPr>
              <w:t>357</w:t>
            </w:r>
          </w:p>
        </w:tc>
        <w:tc>
          <w:tcPr>
            <w:tcW w:w="1429" w:type="dxa"/>
            <w:tcBorders>
              <w:bottom w:val="single" w:sz="4" w:space="0" w:color="auto"/>
            </w:tcBorders>
            <w:shd w:val="clear" w:color="auto" w:fill="auto"/>
            <w:vAlign w:val="center"/>
          </w:tcPr>
          <w:p w14:paraId="1A8C3526" w14:textId="46596452" w:rsidR="00297C44" w:rsidRPr="00A400A9" w:rsidRDefault="00297C44" w:rsidP="00297C44">
            <w:pPr>
              <w:jc w:val="right"/>
              <w:rPr>
                <w:color w:val="000000"/>
                <w:sz w:val="18"/>
              </w:rPr>
            </w:pPr>
            <w:r>
              <w:rPr>
                <w:color w:val="000000"/>
                <w:sz w:val="18"/>
              </w:rPr>
              <w:t>280.11</w:t>
            </w:r>
          </w:p>
        </w:tc>
        <w:tc>
          <w:tcPr>
            <w:tcW w:w="1279" w:type="dxa"/>
            <w:tcBorders>
              <w:bottom w:val="single" w:sz="4" w:space="0" w:color="auto"/>
            </w:tcBorders>
            <w:shd w:val="clear" w:color="auto" w:fill="auto"/>
            <w:vAlign w:val="center"/>
          </w:tcPr>
          <w:p w14:paraId="0FDFB32C" w14:textId="0B567F0B" w:rsidR="00297C44" w:rsidRDefault="00297C44" w:rsidP="00297C44">
            <w:pPr>
              <w:ind w:right="-15"/>
              <w:jc w:val="right"/>
              <w:rPr>
                <w:color w:val="000000"/>
                <w:sz w:val="18"/>
              </w:rPr>
            </w:pPr>
            <w:r>
              <w:rPr>
                <w:color w:val="000000"/>
                <w:sz w:val="18"/>
              </w:rPr>
              <w:t>99,999.27</w:t>
            </w:r>
          </w:p>
        </w:tc>
        <w:tc>
          <w:tcPr>
            <w:tcW w:w="1350" w:type="dxa"/>
            <w:tcBorders>
              <w:bottom w:val="single" w:sz="4" w:space="0" w:color="auto"/>
            </w:tcBorders>
            <w:shd w:val="clear" w:color="auto" w:fill="auto"/>
            <w:vAlign w:val="center"/>
          </w:tcPr>
          <w:p w14:paraId="13E95396" w14:textId="77777777" w:rsidR="00297C44" w:rsidRDefault="00297C44" w:rsidP="00297C44">
            <w:pPr>
              <w:ind w:right="-111"/>
              <w:jc w:val="center"/>
              <w:rPr>
                <w:color w:val="000000"/>
                <w:sz w:val="18"/>
              </w:rPr>
            </w:pPr>
            <w:r>
              <w:rPr>
                <w:color w:val="000000"/>
                <w:sz w:val="18"/>
              </w:rPr>
              <w:t>.50</w:t>
            </w:r>
          </w:p>
        </w:tc>
        <w:tc>
          <w:tcPr>
            <w:tcW w:w="1350" w:type="dxa"/>
            <w:tcBorders>
              <w:bottom w:val="single" w:sz="4" w:space="0" w:color="auto"/>
            </w:tcBorders>
            <w:shd w:val="clear" w:color="auto" w:fill="auto"/>
          </w:tcPr>
          <w:p w14:paraId="79386899" w14:textId="016C4BB3" w:rsidR="00297C44" w:rsidRDefault="00297C44" w:rsidP="00297C44">
            <w:pPr>
              <w:ind w:right="-37"/>
              <w:jc w:val="right"/>
              <w:rPr>
                <w:color w:val="000000"/>
                <w:sz w:val="18"/>
              </w:rPr>
            </w:pPr>
            <w:r>
              <w:rPr>
                <w:color w:val="000000"/>
                <w:sz w:val="18"/>
              </w:rPr>
              <w:t>49,999.64</w:t>
            </w:r>
          </w:p>
        </w:tc>
        <w:tc>
          <w:tcPr>
            <w:tcW w:w="990" w:type="dxa"/>
            <w:tcBorders>
              <w:bottom w:val="single" w:sz="4" w:space="0" w:color="auto"/>
            </w:tcBorders>
            <w:shd w:val="clear" w:color="auto" w:fill="auto"/>
          </w:tcPr>
          <w:p w14:paraId="04119DE3" w14:textId="77777777" w:rsidR="00297C44" w:rsidRDefault="00297C44" w:rsidP="00297C44">
            <w:pPr>
              <w:jc w:val="right"/>
            </w:pPr>
            <w:r w:rsidRPr="002665F4">
              <w:rPr>
                <w:color w:val="000000"/>
                <w:sz w:val="18"/>
              </w:rPr>
              <w:t>$20.00</w:t>
            </w:r>
          </w:p>
        </w:tc>
        <w:tc>
          <w:tcPr>
            <w:tcW w:w="1530" w:type="dxa"/>
            <w:tcBorders>
              <w:bottom w:val="single" w:sz="4" w:space="0" w:color="auto"/>
            </w:tcBorders>
            <w:shd w:val="clear" w:color="auto" w:fill="auto"/>
            <w:vAlign w:val="center"/>
          </w:tcPr>
          <w:p w14:paraId="32E2BAF3" w14:textId="587CF0AC" w:rsidR="00297C44" w:rsidRDefault="00297C44" w:rsidP="00297C44">
            <w:pPr>
              <w:jc w:val="right"/>
              <w:rPr>
                <w:color w:val="000000"/>
                <w:sz w:val="18"/>
              </w:rPr>
            </w:pPr>
            <w:r>
              <w:rPr>
                <w:color w:val="000000"/>
                <w:sz w:val="18"/>
              </w:rPr>
              <w:t>$999,992.</w:t>
            </w:r>
            <w:r w:rsidR="00215AE0">
              <w:rPr>
                <w:color w:val="000000"/>
                <w:sz w:val="18"/>
              </w:rPr>
              <w:t>80</w:t>
            </w:r>
          </w:p>
        </w:tc>
      </w:tr>
      <w:tr w:rsidR="00835524" w14:paraId="0ED56032" w14:textId="77777777" w:rsidTr="00293FAE">
        <w:tc>
          <w:tcPr>
            <w:tcW w:w="2157" w:type="dxa"/>
            <w:shd w:val="clear" w:color="auto" w:fill="auto"/>
            <w:vAlign w:val="center"/>
          </w:tcPr>
          <w:p w14:paraId="651DDFD7" w14:textId="77777777" w:rsidR="00835524" w:rsidRDefault="00835524" w:rsidP="00835524">
            <w:pPr>
              <w:rPr>
                <w:color w:val="000000"/>
                <w:sz w:val="18"/>
              </w:rPr>
            </w:pPr>
            <w:r>
              <w:rPr>
                <w:color w:val="000000"/>
                <w:sz w:val="18"/>
              </w:rPr>
              <w:t xml:space="preserve">MIP Terminations and Cancellations </w:t>
            </w:r>
          </w:p>
        </w:tc>
        <w:tc>
          <w:tcPr>
            <w:tcW w:w="1363" w:type="dxa"/>
            <w:shd w:val="clear" w:color="auto" w:fill="auto"/>
          </w:tcPr>
          <w:p w14:paraId="46213816" w14:textId="77777777" w:rsidR="00835524" w:rsidRDefault="00835524" w:rsidP="00835524">
            <w:pPr>
              <w:jc w:val="center"/>
            </w:pPr>
            <w:r w:rsidRPr="006C4F83">
              <w:rPr>
                <w:color w:val="000000"/>
                <w:sz w:val="18"/>
              </w:rPr>
              <w:t>357</w:t>
            </w:r>
          </w:p>
        </w:tc>
        <w:tc>
          <w:tcPr>
            <w:tcW w:w="1429" w:type="dxa"/>
            <w:shd w:val="clear" w:color="auto" w:fill="auto"/>
            <w:vAlign w:val="center"/>
          </w:tcPr>
          <w:p w14:paraId="03717CF0" w14:textId="2D91F80D" w:rsidR="00835524" w:rsidRDefault="00835524" w:rsidP="00835524">
            <w:pPr>
              <w:jc w:val="right"/>
              <w:rPr>
                <w:color w:val="000000"/>
                <w:sz w:val="18"/>
                <w:highlight w:val="lightGray"/>
              </w:rPr>
            </w:pPr>
            <w:r>
              <w:rPr>
                <w:color w:val="000000"/>
                <w:sz w:val="18"/>
              </w:rPr>
              <w:t>2,118</w:t>
            </w:r>
            <w:r w:rsidR="00FD6CDA">
              <w:rPr>
                <w:color w:val="000000"/>
                <w:sz w:val="18"/>
              </w:rPr>
              <w:t>0.17</w:t>
            </w:r>
          </w:p>
        </w:tc>
        <w:tc>
          <w:tcPr>
            <w:tcW w:w="1279" w:type="dxa"/>
            <w:shd w:val="clear" w:color="auto" w:fill="auto"/>
            <w:vAlign w:val="center"/>
          </w:tcPr>
          <w:p w14:paraId="33D2A79B" w14:textId="299CA4A4" w:rsidR="00835524" w:rsidRDefault="00835524" w:rsidP="00835524">
            <w:pPr>
              <w:ind w:right="-15"/>
              <w:jc w:val="right"/>
              <w:rPr>
                <w:color w:val="000000"/>
                <w:sz w:val="18"/>
                <w:highlight w:val="lightGray"/>
              </w:rPr>
            </w:pPr>
            <w:r>
              <w:rPr>
                <w:color w:val="000000"/>
                <w:sz w:val="18"/>
              </w:rPr>
              <w:t>7</w:t>
            </w:r>
            <w:r w:rsidR="00215AE0">
              <w:rPr>
                <w:color w:val="000000"/>
                <w:sz w:val="18"/>
              </w:rPr>
              <w:t>,</w:t>
            </w:r>
            <w:r>
              <w:rPr>
                <w:color w:val="000000"/>
                <w:sz w:val="18"/>
              </w:rPr>
              <w:t>561</w:t>
            </w:r>
            <w:r w:rsidR="00215AE0">
              <w:rPr>
                <w:color w:val="000000"/>
                <w:sz w:val="18"/>
              </w:rPr>
              <w:t>,320</w:t>
            </w:r>
            <w:r w:rsidR="00297C44">
              <w:rPr>
                <w:color w:val="000000"/>
                <w:sz w:val="18"/>
              </w:rPr>
              <w:t>.69</w:t>
            </w:r>
          </w:p>
        </w:tc>
        <w:tc>
          <w:tcPr>
            <w:tcW w:w="1350" w:type="dxa"/>
            <w:tcBorders>
              <w:bottom w:val="single" w:sz="4" w:space="0" w:color="auto"/>
            </w:tcBorders>
            <w:shd w:val="clear" w:color="auto" w:fill="auto"/>
            <w:vAlign w:val="center"/>
          </w:tcPr>
          <w:p w14:paraId="3374A36D" w14:textId="77777777" w:rsidR="00835524" w:rsidRDefault="00835524" w:rsidP="00835524">
            <w:pPr>
              <w:ind w:left="-122" w:right="-116" w:firstLine="122"/>
              <w:jc w:val="center"/>
              <w:rPr>
                <w:color w:val="000000"/>
                <w:sz w:val="18"/>
                <w:highlight w:val="lightGray"/>
              </w:rPr>
            </w:pPr>
            <w:r>
              <w:rPr>
                <w:color w:val="000000"/>
                <w:sz w:val="18"/>
              </w:rPr>
              <w:t>.25</w:t>
            </w:r>
          </w:p>
        </w:tc>
        <w:tc>
          <w:tcPr>
            <w:tcW w:w="1350" w:type="dxa"/>
            <w:tcBorders>
              <w:bottom w:val="single" w:sz="4" w:space="0" w:color="auto"/>
            </w:tcBorders>
            <w:shd w:val="clear" w:color="auto" w:fill="auto"/>
            <w:vAlign w:val="center"/>
          </w:tcPr>
          <w:p w14:paraId="1CAE5654" w14:textId="2F473D0B" w:rsidR="00835524" w:rsidRDefault="00215AE0" w:rsidP="00835524">
            <w:pPr>
              <w:jc w:val="right"/>
              <w:rPr>
                <w:color w:val="000000"/>
                <w:sz w:val="18"/>
                <w:highlight w:val="lightGray"/>
              </w:rPr>
            </w:pPr>
            <w:r>
              <w:rPr>
                <w:color w:val="000000"/>
                <w:sz w:val="18"/>
              </w:rPr>
              <w:t>1,890,330.17</w:t>
            </w:r>
          </w:p>
        </w:tc>
        <w:tc>
          <w:tcPr>
            <w:tcW w:w="990" w:type="dxa"/>
            <w:tcBorders>
              <w:bottom w:val="single" w:sz="4" w:space="0" w:color="auto"/>
            </w:tcBorders>
            <w:shd w:val="clear" w:color="auto" w:fill="auto"/>
            <w:vAlign w:val="center"/>
          </w:tcPr>
          <w:p w14:paraId="6732A42A" w14:textId="77777777" w:rsidR="00835524" w:rsidRDefault="00835524" w:rsidP="00297C44">
            <w:pPr>
              <w:jc w:val="right"/>
            </w:pPr>
            <w:r w:rsidRPr="002665F4">
              <w:rPr>
                <w:color w:val="000000"/>
                <w:sz w:val="18"/>
              </w:rPr>
              <w:t>$20.00</w:t>
            </w:r>
          </w:p>
        </w:tc>
        <w:tc>
          <w:tcPr>
            <w:tcW w:w="1530" w:type="dxa"/>
            <w:tcBorders>
              <w:bottom w:val="single" w:sz="4" w:space="0" w:color="auto"/>
            </w:tcBorders>
            <w:shd w:val="clear" w:color="auto" w:fill="auto"/>
            <w:vAlign w:val="center"/>
          </w:tcPr>
          <w:p w14:paraId="1CD0BC52" w14:textId="32C5F1F4" w:rsidR="00835524" w:rsidRDefault="00835524" w:rsidP="00835524">
            <w:pPr>
              <w:jc w:val="right"/>
              <w:rPr>
                <w:color w:val="000000"/>
                <w:sz w:val="18"/>
                <w:highlight w:val="lightGray"/>
              </w:rPr>
            </w:pPr>
            <w:r>
              <w:rPr>
                <w:color w:val="000000"/>
                <w:sz w:val="18"/>
              </w:rPr>
              <w:t>$</w:t>
            </w:r>
            <w:r w:rsidR="001016BF">
              <w:rPr>
                <w:color w:val="000000"/>
                <w:sz w:val="18"/>
              </w:rPr>
              <w:t>37</w:t>
            </w:r>
            <w:r w:rsidR="00215AE0">
              <w:rPr>
                <w:color w:val="000000"/>
                <w:sz w:val="18"/>
              </w:rPr>
              <w:t>,</w:t>
            </w:r>
            <w:r w:rsidR="001016BF">
              <w:rPr>
                <w:color w:val="000000"/>
                <w:sz w:val="18"/>
              </w:rPr>
              <w:t>80</w:t>
            </w:r>
            <w:r w:rsidR="00215AE0">
              <w:rPr>
                <w:color w:val="000000"/>
                <w:sz w:val="18"/>
              </w:rPr>
              <w:t>6,603</w:t>
            </w:r>
            <w:r w:rsidR="00297C44">
              <w:rPr>
                <w:color w:val="000000"/>
                <w:sz w:val="18"/>
              </w:rPr>
              <w:t>.</w:t>
            </w:r>
            <w:r w:rsidR="00215AE0">
              <w:rPr>
                <w:color w:val="000000"/>
                <w:sz w:val="18"/>
              </w:rPr>
              <w:t>40</w:t>
            </w:r>
          </w:p>
        </w:tc>
      </w:tr>
      <w:tr w:rsidR="00101F81" w14:paraId="2969E45B" w14:textId="77777777" w:rsidTr="00293FAE">
        <w:tc>
          <w:tcPr>
            <w:tcW w:w="2157" w:type="dxa"/>
            <w:shd w:val="clear" w:color="auto" w:fill="C0C0C0"/>
            <w:vAlign w:val="center"/>
          </w:tcPr>
          <w:p w14:paraId="2AD81FCE" w14:textId="77777777" w:rsidR="002635EB" w:rsidRDefault="002635EB" w:rsidP="002635EB">
            <w:pPr>
              <w:rPr>
                <w:color w:val="000000"/>
                <w:sz w:val="18"/>
              </w:rPr>
            </w:pPr>
            <w:r>
              <w:t>FHA Escrow Administration</w:t>
            </w:r>
          </w:p>
        </w:tc>
        <w:tc>
          <w:tcPr>
            <w:tcW w:w="1363" w:type="dxa"/>
            <w:shd w:val="clear" w:color="auto" w:fill="C0C0C0"/>
            <w:vAlign w:val="center"/>
          </w:tcPr>
          <w:p w14:paraId="4048D9CF" w14:textId="77777777" w:rsidR="002635EB" w:rsidRDefault="002635EB" w:rsidP="002635EB">
            <w:pPr>
              <w:jc w:val="center"/>
              <w:rPr>
                <w:color w:val="000000"/>
                <w:sz w:val="18"/>
                <w:highlight w:val="lightGray"/>
              </w:rPr>
            </w:pPr>
          </w:p>
        </w:tc>
        <w:tc>
          <w:tcPr>
            <w:tcW w:w="1429" w:type="dxa"/>
            <w:shd w:val="clear" w:color="auto" w:fill="C0C0C0"/>
            <w:vAlign w:val="center"/>
          </w:tcPr>
          <w:p w14:paraId="45D8A7FA" w14:textId="77777777" w:rsidR="002635EB" w:rsidRDefault="002635EB" w:rsidP="002635EB">
            <w:pPr>
              <w:jc w:val="right"/>
              <w:rPr>
                <w:color w:val="000000"/>
                <w:sz w:val="18"/>
                <w:highlight w:val="lightGray"/>
              </w:rPr>
            </w:pPr>
          </w:p>
        </w:tc>
        <w:tc>
          <w:tcPr>
            <w:tcW w:w="1279" w:type="dxa"/>
            <w:shd w:val="clear" w:color="auto" w:fill="C0C0C0"/>
            <w:vAlign w:val="center"/>
          </w:tcPr>
          <w:p w14:paraId="23B0EA21" w14:textId="77777777" w:rsidR="002635EB" w:rsidRDefault="002635EB" w:rsidP="002635EB">
            <w:pPr>
              <w:ind w:right="266"/>
              <w:jc w:val="right"/>
              <w:rPr>
                <w:color w:val="000000"/>
                <w:sz w:val="18"/>
                <w:highlight w:val="lightGray"/>
              </w:rPr>
            </w:pPr>
          </w:p>
        </w:tc>
        <w:tc>
          <w:tcPr>
            <w:tcW w:w="1350" w:type="dxa"/>
            <w:tcBorders>
              <w:bottom w:val="single" w:sz="4" w:space="0" w:color="auto"/>
            </w:tcBorders>
            <w:shd w:val="clear" w:color="auto" w:fill="C0C0C0"/>
            <w:vAlign w:val="center"/>
          </w:tcPr>
          <w:p w14:paraId="5512B254" w14:textId="77777777" w:rsidR="002635EB" w:rsidRDefault="002635EB" w:rsidP="002635EB">
            <w:pPr>
              <w:ind w:left="-122" w:right="312" w:firstLine="122"/>
              <w:rPr>
                <w:color w:val="000000"/>
                <w:sz w:val="18"/>
                <w:highlight w:val="lightGray"/>
              </w:rPr>
            </w:pPr>
          </w:p>
        </w:tc>
        <w:tc>
          <w:tcPr>
            <w:tcW w:w="1350" w:type="dxa"/>
            <w:tcBorders>
              <w:bottom w:val="single" w:sz="4" w:space="0" w:color="auto"/>
            </w:tcBorders>
            <w:shd w:val="clear" w:color="auto" w:fill="C0C0C0"/>
            <w:vAlign w:val="center"/>
          </w:tcPr>
          <w:p w14:paraId="49501F26" w14:textId="77777777" w:rsidR="002635EB" w:rsidRDefault="002635EB" w:rsidP="002635EB">
            <w:pPr>
              <w:ind w:right="42"/>
              <w:jc w:val="right"/>
              <w:rPr>
                <w:color w:val="000000"/>
                <w:sz w:val="18"/>
                <w:highlight w:val="lightGray"/>
              </w:rPr>
            </w:pPr>
          </w:p>
        </w:tc>
        <w:tc>
          <w:tcPr>
            <w:tcW w:w="990" w:type="dxa"/>
            <w:tcBorders>
              <w:bottom w:val="single" w:sz="4" w:space="0" w:color="auto"/>
            </w:tcBorders>
            <w:shd w:val="clear" w:color="auto" w:fill="C0C0C0"/>
            <w:vAlign w:val="center"/>
          </w:tcPr>
          <w:p w14:paraId="21C7DE75" w14:textId="77777777" w:rsidR="002635EB" w:rsidRDefault="002635EB" w:rsidP="002635EB">
            <w:pPr>
              <w:jc w:val="right"/>
              <w:rPr>
                <w:color w:val="000000"/>
                <w:sz w:val="18"/>
                <w:highlight w:val="lightGray"/>
              </w:rPr>
            </w:pPr>
          </w:p>
        </w:tc>
        <w:tc>
          <w:tcPr>
            <w:tcW w:w="1530" w:type="dxa"/>
            <w:tcBorders>
              <w:bottom w:val="single" w:sz="4" w:space="0" w:color="auto"/>
            </w:tcBorders>
            <w:shd w:val="clear" w:color="auto" w:fill="C0C0C0"/>
            <w:vAlign w:val="center"/>
          </w:tcPr>
          <w:p w14:paraId="0BADE654" w14:textId="77777777" w:rsidR="002635EB" w:rsidRDefault="002635EB" w:rsidP="002635EB">
            <w:pPr>
              <w:ind w:right="180"/>
              <w:jc w:val="right"/>
              <w:rPr>
                <w:color w:val="000000"/>
                <w:sz w:val="18"/>
                <w:highlight w:val="lightGray"/>
              </w:rPr>
            </w:pPr>
          </w:p>
        </w:tc>
      </w:tr>
      <w:tr w:rsidR="005D4674" w14:paraId="30206625" w14:textId="77777777" w:rsidTr="00293FAE">
        <w:trPr>
          <w:cantSplit/>
          <w:trHeight w:val="533"/>
        </w:trPr>
        <w:tc>
          <w:tcPr>
            <w:tcW w:w="2157" w:type="dxa"/>
            <w:vAlign w:val="center"/>
          </w:tcPr>
          <w:p w14:paraId="5E6A479B" w14:textId="77777777" w:rsidR="005D4674" w:rsidRDefault="005D4674" w:rsidP="005D4674">
            <w:pPr>
              <w:rPr>
                <w:color w:val="000000"/>
                <w:sz w:val="18"/>
              </w:rPr>
            </w:pPr>
            <w:r>
              <w:rPr>
                <w:color w:val="000000"/>
                <w:sz w:val="18"/>
              </w:rPr>
              <w:t>Escrow Account Setup</w:t>
            </w:r>
          </w:p>
        </w:tc>
        <w:tc>
          <w:tcPr>
            <w:tcW w:w="1363" w:type="dxa"/>
            <w:vAlign w:val="center"/>
          </w:tcPr>
          <w:p w14:paraId="2E49E944" w14:textId="77777777" w:rsidR="005D4674" w:rsidRDefault="005D4674" w:rsidP="00FD6CDA">
            <w:pPr>
              <w:jc w:val="center"/>
            </w:pPr>
            <w:r w:rsidRPr="005B7053">
              <w:rPr>
                <w:color w:val="000000"/>
                <w:sz w:val="18"/>
              </w:rPr>
              <w:t>357</w:t>
            </w:r>
          </w:p>
        </w:tc>
        <w:tc>
          <w:tcPr>
            <w:tcW w:w="1429" w:type="dxa"/>
            <w:vAlign w:val="center"/>
          </w:tcPr>
          <w:p w14:paraId="64869504" w14:textId="70756B3B" w:rsidR="005D4674" w:rsidRDefault="00105276" w:rsidP="005D4674">
            <w:pPr>
              <w:jc w:val="right"/>
              <w:rPr>
                <w:color w:val="000000"/>
                <w:sz w:val="18"/>
              </w:rPr>
            </w:pPr>
            <w:r>
              <w:rPr>
                <w:color w:val="000000"/>
                <w:sz w:val="18"/>
              </w:rPr>
              <w:t>21,95</w:t>
            </w:r>
            <w:r w:rsidR="00A909F3">
              <w:rPr>
                <w:color w:val="000000"/>
                <w:sz w:val="18"/>
              </w:rPr>
              <w:t>6.57</w:t>
            </w:r>
          </w:p>
        </w:tc>
        <w:tc>
          <w:tcPr>
            <w:tcW w:w="1279" w:type="dxa"/>
            <w:vAlign w:val="center"/>
          </w:tcPr>
          <w:p w14:paraId="1A0FA6F4" w14:textId="0DB14BE2" w:rsidR="005D4674" w:rsidRDefault="005D4674" w:rsidP="005D4674">
            <w:pPr>
              <w:jc w:val="right"/>
              <w:rPr>
                <w:color w:val="000000"/>
                <w:sz w:val="18"/>
              </w:rPr>
            </w:pPr>
            <w:r>
              <w:rPr>
                <w:color w:val="000000"/>
                <w:sz w:val="18"/>
              </w:rPr>
              <w:t>7,</w:t>
            </w:r>
            <w:r w:rsidR="00105276">
              <w:rPr>
                <w:color w:val="000000"/>
                <w:sz w:val="18"/>
              </w:rPr>
              <w:t>838,495</w:t>
            </w:r>
            <w:r w:rsidR="00A909F3">
              <w:rPr>
                <w:color w:val="000000"/>
                <w:sz w:val="18"/>
              </w:rPr>
              <w:t>.49</w:t>
            </w:r>
          </w:p>
        </w:tc>
        <w:tc>
          <w:tcPr>
            <w:tcW w:w="1350" w:type="dxa"/>
            <w:shd w:val="clear" w:color="auto" w:fill="D9D9D9"/>
          </w:tcPr>
          <w:p w14:paraId="658492B7" w14:textId="77777777" w:rsidR="005D4674" w:rsidRPr="00590C7C" w:rsidRDefault="005D4674" w:rsidP="005D4674">
            <w:pPr>
              <w:ind w:left="-122" w:right="312"/>
              <w:jc w:val="center"/>
              <w:rPr>
                <w:color w:val="000000"/>
                <w:sz w:val="16"/>
                <w:szCs w:val="16"/>
              </w:rPr>
            </w:pPr>
            <w:r w:rsidRPr="00590C7C">
              <w:rPr>
                <w:color w:val="000000"/>
                <w:sz w:val="16"/>
                <w:szCs w:val="16"/>
              </w:rPr>
              <w:t>None, this is an industry standard</w:t>
            </w:r>
          </w:p>
        </w:tc>
        <w:tc>
          <w:tcPr>
            <w:tcW w:w="1350" w:type="dxa"/>
            <w:shd w:val="clear" w:color="auto" w:fill="D9D9D9"/>
            <w:vAlign w:val="center"/>
          </w:tcPr>
          <w:p w14:paraId="29FD598A" w14:textId="77777777" w:rsidR="005D4674" w:rsidRDefault="005D4674" w:rsidP="005D4674">
            <w:pPr>
              <w:ind w:right="42"/>
              <w:jc w:val="right"/>
              <w:rPr>
                <w:color w:val="000000"/>
                <w:sz w:val="18"/>
              </w:rPr>
            </w:pPr>
          </w:p>
        </w:tc>
        <w:tc>
          <w:tcPr>
            <w:tcW w:w="990" w:type="dxa"/>
            <w:shd w:val="clear" w:color="auto" w:fill="D9D9D9"/>
            <w:vAlign w:val="center"/>
          </w:tcPr>
          <w:p w14:paraId="7760BB8D" w14:textId="77777777" w:rsidR="005D4674" w:rsidRDefault="005D4674" w:rsidP="005D4674">
            <w:pPr>
              <w:jc w:val="right"/>
              <w:rPr>
                <w:color w:val="000000"/>
                <w:sz w:val="18"/>
              </w:rPr>
            </w:pPr>
          </w:p>
        </w:tc>
        <w:tc>
          <w:tcPr>
            <w:tcW w:w="1530" w:type="dxa"/>
            <w:shd w:val="clear" w:color="auto" w:fill="D9D9D9"/>
            <w:vAlign w:val="center"/>
          </w:tcPr>
          <w:p w14:paraId="550807CF" w14:textId="77777777" w:rsidR="005D4674" w:rsidRDefault="005D4674" w:rsidP="005D4674">
            <w:pPr>
              <w:ind w:right="180"/>
              <w:jc w:val="right"/>
              <w:rPr>
                <w:color w:val="000000"/>
                <w:sz w:val="18"/>
              </w:rPr>
            </w:pPr>
          </w:p>
        </w:tc>
      </w:tr>
      <w:tr w:rsidR="005D4674" w14:paraId="743082D6" w14:textId="77777777" w:rsidTr="00293FAE">
        <w:trPr>
          <w:cantSplit/>
          <w:trHeight w:val="533"/>
        </w:trPr>
        <w:tc>
          <w:tcPr>
            <w:tcW w:w="2157" w:type="dxa"/>
            <w:tcBorders>
              <w:bottom w:val="single" w:sz="4" w:space="0" w:color="auto"/>
            </w:tcBorders>
            <w:vAlign w:val="center"/>
          </w:tcPr>
          <w:p w14:paraId="65FB5A07" w14:textId="77777777" w:rsidR="005D4674" w:rsidRDefault="005D4674" w:rsidP="005D4674">
            <w:pPr>
              <w:ind w:right="180"/>
              <w:rPr>
                <w:color w:val="000000"/>
                <w:sz w:val="18"/>
              </w:rPr>
            </w:pPr>
            <w:r>
              <w:rPr>
                <w:color w:val="000000"/>
                <w:sz w:val="18"/>
              </w:rPr>
              <w:t>Escrow Account Interest</w:t>
            </w:r>
          </w:p>
        </w:tc>
        <w:tc>
          <w:tcPr>
            <w:tcW w:w="1363" w:type="dxa"/>
            <w:tcBorders>
              <w:bottom w:val="single" w:sz="4" w:space="0" w:color="auto"/>
            </w:tcBorders>
            <w:vAlign w:val="center"/>
          </w:tcPr>
          <w:p w14:paraId="76B9AE68" w14:textId="77777777" w:rsidR="005D4674" w:rsidRDefault="005D4674" w:rsidP="00FD6CDA">
            <w:pPr>
              <w:jc w:val="center"/>
            </w:pPr>
            <w:r w:rsidRPr="005B7053">
              <w:rPr>
                <w:color w:val="000000"/>
                <w:sz w:val="18"/>
              </w:rPr>
              <w:t>357</w:t>
            </w:r>
          </w:p>
        </w:tc>
        <w:tc>
          <w:tcPr>
            <w:tcW w:w="1429" w:type="dxa"/>
            <w:tcBorders>
              <w:bottom w:val="single" w:sz="4" w:space="0" w:color="auto"/>
            </w:tcBorders>
            <w:vAlign w:val="center"/>
          </w:tcPr>
          <w:p w14:paraId="4C64D340" w14:textId="7A3EFEC8" w:rsidR="005D4674" w:rsidRDefault="0032226A" w:rsidP="005D4674">
            <w:pPr>
              <w:jc w:val="right"/>
              <w:rPr>
                <w:color w:val="000000"/>
                <w:sz w:val="18"/>
              </w:rPr>
            </w:pPr>
            <w:r>
              <w:rPr>
                <w:color w:val="000000"/>
                <w:sz w:val="18"/>
              </w:rPr>
              <w:t>5</w:t>
            </w:r>
            <w:r w:rsidR="00215AE0">
              <w:rPr>
                <w:color w:val="000000"/>
                <w:sz w:val="18"/>
              </w:rPr>
              <w:t>,</w:t>
            </w:r>
            <w:r>
              <w:rPr>
                <w:color w:val="000000"/>
                <w:sz w:val="18"/>
              </w:rPr>
              <w:t>372.34</w:t>
            </w:r>
          </w:p>
        </w:tc>
        <w:tc>
          <w:tcPr>
            <w:tcW w:w="1279" w:type="dxa"/>
            <w:tcBorders>
              <w:bottom w:val="single" w:sz="4" w:space="0" w:color="auto"/>
            </w:tcBorders>
            <w:vAlign w:val="center"/>
          </w:tcPr>
          <w:p w14:paraId="530927AC" w14:textId="0430E5F1" w:rsidR="005D4674" w:rsidRDefault="005D4674" w:rsidP="005D4674">
            <w:pPr>
              <w:jc w:val="right"/>
              <w:rPr>
                <w:color w:val="000000"/>
                <w:sz w:val="18"/>
              </w:rPr>
            </w:pPr>
            <w:r>
              <w:rPr>
                <w:color w:val="000000"/>
                <w:sz w:val="18"/>
              </w:rPr>
              <w:t>1,917,92</w:t>
            </w:r>
            <w:r w:rsidR="00215AE0">
              <w:rPr>
                <w:color w:val="000000"/>
                <w:sz w:val="18"/>
              </w:rPr>
              <w:t>5.38</w:t>
            </w:r>
          </w:p>
        </w:tc>
        <w:tc>
          <w:tcPr>
            <w:tcW w:w="1350" w:type="dxa"/>
            <w:tcBorders>
              <w:bottom w:val="single" w:sz="4" w:space="0" w:color="auto"/>
            </w:tcBorders>
            <w:shd w:val="clear" w:color="auto" w:fill="D9D9D9"/>
            <w:vAlign w:val="center"/>
          </w:tcPr>
          <w:p w14:paraId="2143E121" w14:textId="77777777" w:rsidR="005D4674" w:rsidRPr="00590C7C" w:rsidRDefault="005D4674" w:rsidP="005D4674">
            <w:pPr>
              <w:ind w:left="-122" w:right="312" w:firstLine="122"/>
              <w:jc w:val="center"/>
              <w:rPr>
                <w:color w:val="000000"/>
                <w:sz w:val="16"/>
                <w:szCs w:val="16"/>
              </w:rPr>
            </w:pPr>
            <w:r w:rsidRPr="00590C7C">
              <w:rPr>
                <w:color w:val="000000"/>
                <w:sz w:val="16"/>
                <w:szCs w:val="16"/>
              </w:rPr>
              <w:t>None, this is an industry standard</w:t>
            </w:r>
          </w:p>
        </w:tc>
        <w:tc>
          <w:tcPr>
            <w:tcW w:w="1350" w:type="dxa"/>
            <w:tcBorders>
              <w:bottom w:val="single" w:sz="4" w:space="0" w:color="auto"/>
            </w:tcBorders>
            <w:shd w:val="clear" w:color="auto" w:fill="D9D9D9"/>
            <w:vAlign w:val="center"/>
          </w:tcPr>
          <w:p w14:paraId="44207B31" w14:textId="77777777" w:rsidR="005D4674" w:rsidRDefault="005D4674" w:rsidP="005D4674">
            <w:pPr>
              <w:ind w:right="180"/>
              <w:jc w:val="right"/>
              <w:rPr>
                <w:color w:val="000000"/>
                <w:sz w:val="18"/>
              </w:rPr>
            </w:pPr>
          </w:p>
        </w:tc>
        <w:tc>
          <w:tcPr>
            <w:tcW w:w="990" w:type="dxa"/>
            <w:tcBorders>
              <w:bottom w:val="single" w:sz="4" w:space="0" w:color="auto"/>
            </w:tcBorders>
            <w:shd w:val="clear" w:color="auto" w:fill="D9D9D9"/>
            <w:vAlign w:val="center"/>
          </w:tcPr>
          <w:p w14:paraId="2D22D63A" w14:textId="77777777" w:rsidR="005D4674" w:rsidRDefault="005D4674" w:rsidP="005D4674">
            <w:pPr>
              <w:ind w:right="180"/>
              <w:jc w:val="right"/>
              <w:rPr>
                <w:color w:val="000000"/>
                <w:sz w:val="18"/>
              </w:rPr>
            </w:pPr>
          </w:p>
        </w:tc>
        <w:tc>
          <w:tcPr>
            <w:tcW w:w="1530" w:type="dxa"/>
            <w:tcBorders>
              <w:bottom w:val="single" w:sz="4" w:space="0" w:color="auto"/>
            </w:tcBorders>
            <w:shd w:val="clear" w:color="auto" w:fill="D9D9D9"/>
            <w:vAlign w:val="center"/>
          </w:tcPr>
          <w:p w14:paraId="2C81373A" w14:textId="77777777" w:rsidR="005D4674" w:rsidRDefault="005D4674" w:rsidP="005D4674">
            <w:pPr>
              <w:ind w:right="180"/>
              <w:jc w:val="right"/>
              <w:rPr>
                <w:color w:val="000000"/>
                <w:sz w:val="18"/>
              </w:rPr>
            </w:pPr>
          </w:p>
        </w:tc>
      </w:tr>
      <w:tr w:rsidR="00101F81" w14:paraId="56F0FCE0" w14:textId="77777777" w:rsidTr="00293FAE">
        <w:trPr>
          <w:cantSplit/>
          <w:trHeight w:val="181"/>
        </w:trPr>
        <w:tc>
          <w:tcPr>
            <w:tcW w:w="2157" w:type="dxa"/>
            <w:tcBorders>
              <w:bottom w:val="single" w:sz="4" w:space="0" w:color="auto"/>
            </w:tcBorders>
            <w:shd w:val="clear" w:color="auto" w:fill="C0C0C0"/>
            <w:vAlign w:val="center"/>
          </w:tcPr>
          <w:p w14:paraId="0418329F" w14:textId="77777777" w:rsidR="002635EB" w:rsidRPr="00A55767" w:rsidRDefault="002635EB" w:rsidP="002635EB">
            <w:pPr>
              <w:ind w:right="180"/>
              <w:rPr>
                <w:color w:val="000000"/>
              </w:rPr>
            </w:pPr>
            <w:r w:rsidRPr="00A55767">
              <w:rPr>
                <w:color w:val="000000"/>
              </w:rPr>
              <w:t>Escrow Account Disbursements</w:t>
            </w:r>
          </w:p>
        </w:tc>
        <w:tc>
          <w:tcPr>
            <w:tcW w:w="1363" w:type="dxa"/>
            <w:tcBorders>
              <w:bottom w:val="single" w:sz="4" w:space="0" w:color="auto"/>
            </w:tcBorders>
            <w:shd w:val="clear" w:color="auto" w:fill="C0C0C0"/>
            <w:vAlign w:val="center"/>
          </w:tcPr>
          <w:p w14:paraId="2F5AC060" w14:textId="77777777" w:rsidR="002635EB" w:rsidRDefault="002635EB" w:rsidP="002635EB">
            <w:pPr>
              <w:ind w:right="180"/>
              <w:jc w:val="center"/>
              <w:rPr>
                <w:color w:val="000000"/>
                <w:sz w:val="18"/>
              </w:rPr>
            </w:pPr>
          </w:p>
        </w:tc>
        <w:tc>
          <w:tcPr>
            <w:tcW w:w="1429" w:type="dxa"/>
            <w:tcBorders>
              <w:bottom w:val="single" w:sz="4" w:space="0" w:color="auto"/>
            </w:tcBorders>
            <w:shd w:val="clear" w:color="auto" w:fill="C0C0C0"/>
            <w:vAlign w:val="center"/>
          </w:tcPr>
          <w:p w14:paraId="4792E8B5" w14:textId="77777777" w:rsidR="002635EB" w:rsidRDefault="002635EB" w:rsidP="002635EB">
            <w:pPr>
              <w:ind w:right="180"/>
              <w:jc w:val="right"/>
              <w:rPr>
                <w:color w:val="000000"/>
                <w:sz w:val="18"/>
              </w:rPr>
            </w:pPr>
          </w:p>
        </w:tc>
        <w:tc>
          <w:tcPr>
            <w:tcW w:w="1279" w:type="dxa"/>
            <w:tcBorders>
              <w:bottom w:val="single" w:sz="4" w:space="0" w:color="auto"/>
            </w:tcBorders>
            <w:shd w:val="clear" w:color="auto" w:fill="C0C0C0"/>
            <w:vAlign w:val="center"/>
          </w:tcPr>
          <w:p w14:paraId="69F64CAE" w14:textId="77777777" w:rsidR="002635EB" w:rsidRDefault="002635EB" w:rsidP="002635EB">
            <w:pPr>
              <w:ind w:right="180"/>
              <w:jc w:val="right"/>
              <w:rPr>
                <w:color w:val="000000"/>
                <w:sz w:val="18"/>
              </w:rPr>
            </w:pPr>
          </w:p>
        </w:tc>
        <w:tc>
          <w:tcPr>
            <w:tcW w:w="1350" w:type="dxa"/>
            <w:tcBorders>
              <w:bottom w:val="single" w:sz="4" w:space="0" w:color="auto"/>
            </w:tcBorders>
            <w:shd w:val="clear" w:color="auto" w:fill="C0C0C0"/>
            <w:vAlign w:val="center"/>
          </w:tcPr>
          <w:p w14:paraId="28E8A2C1" w14:textId="77777777" w:rsidR="002635EB" w:rsidRDefault="002635EB" w:rsidP="002635EB">
            <w:pPr>
              <w:ind w:right="180"/>
              <w:rPr>
                <w:color w:val="000000"/>
                <w:sz w:val="18"/>
              </w:rPr>
            </w:pPr>
          </w:p>
        </w:tc>
        <w:tc>
          <w:tcPr>
            <w:tcW w:w="1350" w:type="dxa"/>
            <w:tcBorders>
              <w:bottom w:val="single" w:sz="4" w:space="0" w:color="auto"/>
            </w:tcBorders>
            <w:shd w:val="clear" w:color="auto" w:fill="C0C0C0"/>
            <w:vAlign w:val="center"/>
          </w:tcPr>
          <w:p w14:paraId="7FB87D08" w14:textId="77777777" w:rsidR="002635EB" w:rsidRDefault="002635EB" w:rsidP="002635EB">
            <w:pPr>
              <w:ind w:right="180"/>
              <w:jc w:val="right"/>
              <w:rPr>
                <w:color w:val="000000"/>
                <w:sz w:val="18"/>
              </w:rPr>
            </w:pPr>
          </w:p>
        </w:tc>
        <w:tc>
          <w:tcPr>
            <w:tcW w:w="990" w:type="dxa"/>
            <w:tcBorders>
              <w:bottom w:val="single" w:sz="4" w:space="0" w:color="auto"/>
            </w:tcBorders>
            <w:shd w:val="clear" w:color="auto" w:fill="C0C0C0"/>
            <w:vAlign w:val="center"/>
          </w:tcPr>
          <w:p w14:paraId="63A1A194" w14:textId="77777777" w:rsidR="002635EB" w:rsidRDefault="002635EB" w:rsidP="002635EB">
            <w:pPr>
              <w:ind w:right="180"/>
              <w:jc w:val="right"/>
              <w:rPr>
                <w:color w:val="000000"/>
                <w:sz w:val="18"/>
              </w:rPr>
            </w:pPr>
          </w:p>
        </w:tc>
        <w:tc>
          <w:tcPr>
            <w:tcW w:w="1530" w:type="dxa"/>
            <w:tcBorders>
              <w:bottom w:val="single" w:sz="4" w:space="0" w:color="auto"/>
            </w:tcBorders>
            <w:shd w:val="clear" w:color="auto" w:fill="C0C0C0"/>
            <w:vAlign w:val="center"/>
          </w:tcPr>
          <w:p w14:paraId="4AC08667" w14:textId="77777777" w:rsidR="002635EB" w:rsidRDefault="002635EB" w:rsidP="002635EB">
            <w:pPr>
              <w:ind w:right="180"/>
              <w:jc w:val="right"/>
              <w:rPr>
                <w:color w:val="000000"/>
                <w:sz w:val="18"/>
              </w:rPr>
            </w:pPr>
          </w:p>
        </w:tc>
      </w:tr>
      <w:tr w:rsidR="0032226A" w14:paraId="7951278E" w14:textId="77777777" w:rsidTr="00293FAE">
        <w:trPr>
          <w:cantSplit/>
          <w:trHeight w:val="181"/>
        </w:trPr>
        <w:tc>
          <w:tcPr>
            <w:tcW w:w="2157" w:type="dxa"/>
            <w:tcBorders>
              <w:bottom w:val="single" w:sz="4" w:space="0" w:color="auto"/>
            </w:tcBorders>
            <w:vAlign w:val="center"/>
          </w:tcPr>
          <w:p w14:paraId="762206F2" w14:textId="77777777" w:rsidR="0032226A" w:rsidRDefault="0032226A" w:rsidP="0032226A">
            <w:pPr>
              <w:ind w:right="180"/>
              <w:rPr>
                <w:color w:val="000000"/>
                <w:sz w:val="18"/>
              </w:rPr>
            </w:pPr>
            <w:r>
              <w:rPr>
                <w:color w:val="000000"/>
                <w:sz w:val="18"/>
              </w:rPr>
              <w:t>Real  Estate Taxes</w:t>
            </w:r>
          </w:p>
        </w:tc>
        <w:tc>
          <w:tcPr>
            <w:tcW w:w="1363" w:type="dxa"/>
            <w:tcBorders>
              <w:bottom w:val="single" w:sz="4" w:space="0" w:color="auto"/>
            </w:tcBorders>
            <w:vAlign w:val="center"/>
          </w:tcPr>
          <w:p w14:paraId="12716F7F" w14:textId="77777777" w:rsidR="0032226A" w:rsidRDefault="0032226A" w:rsidP="0032226A">
            <w:pPr>
              <w:jc w:val="center"/>
            </w:pPr>
            <w:r w:rsidRPr="007745FB">
              <w:rPr>
                <w:color w:val="000000"/>
                <w:sz w:val="18"/>
              </w:rPr>
              <w:t>357</w:t>
            </w:r>
          </w:p>
        </w:tc>
        <w:tc>
          <w:tcPr>
            <w:tcW w:w="1429" w:type="dxa"/>
            <w:tcBorders>
              <w:bottom w:val="single" w:sz="4" w:space="0" w:color="auto"/>
            </w:tcBorders>
            <w:vAlign w:val="center"/>
          </w:tcPr>
          <w:p w14:paraId="24CF1F19" w14:textId="7EF2D55A" w:rsidR="0032226A" w:rsidRPr="00A400A9" w:rsidRDefault="0032226A" w:rsidP="0032226A">
            <w:pPr>
              <w:jc w:val="right"/>
              <w:rPr>
                <w:color w:val="000000"/>
                <w:sz w:val="18"/>
              </w:rPr>
            </w:pPr>
            <w:r>
              <w:rPr>
                <w:color w:val="000000"/>
                <w:sz w:val="18"/>
              </w:rPr>
              <w:t>21,956.57</w:t>
            </w:r>
          </w:p>
        </w:tc>
        <w:tc>
          <w:tcPr>
            <w:tcW w:w="1279" w:type="dxa"/>
            <w:tcBorders>
              <w:bottom w:val="single" w:sz="4" w:space="0" w:color="auto"/>
            </w:tcBorders>
            <w:vAlign w:val="center"/>
          </w:tcPr>
          <w:p w14:paraId="38E8D242" w14:textId="41D88A06" w:rsidR="0032226A" w:rsidRDefault="0032226A" w:rsidP="0032226A">
            <w:pPr>
              <w:ind w:right="-15"/>
              <w:jc w:val="right"/>
              <w:rPr>
                <w:color w:val="000000"/>
                <w:sz w:val="18"/>
              </w:rPr>
            </w:pPr>
            <w:r>
              <w:rPr>
                <w:color w:val="000000"/>
                <w:sz w:val="18"/>
              </w:rPr>
              <w:t>7,838,495.49</w:t>
            </w:r>
          </w:p>
        </w:tc>
        <w:tc>
          <w:tcPr>
            <w:tcW w:w="1350" w:type="dxa"/>
            <w:tcBorders>
              <w:bottom w:val="single" w:sz="4" w:space="0" w:color="auto"/>
            </w:tcBorders>
            <w:shd w:val="clear" w:color="auto" w:fill="D9D9D9"/>
            <w:vAlign w:val="center"/>
          </w:tcPr>
          <w:p w14:paraId="56D6EF17" w14:textId="77777777" w:rsidR="0032226A" w:rsidRPr="00590C7C" w:rsidRDefault="0032226A" w:rsidP="0032226A">
            <w:pPr>
              <w:ind w:left="-122" w:right="312" w:firstLine="122"/>
              <w:jc w:val="center"/>
              <w:rPr>
                <w:color w:val="000000"/>
                <w:sz w:val="16"/>
                <w:szCs w:val="16"/>
              </w:rPr>
            </w:pPr>
            <w:r w:rsidRPr="00590C7C">
              <w:rPr>
                <w:color w:val="000000"/>
                <w:sz w:val="16"/>
                <w:szCs w:val="16"/>
              </w:rPr>
              <w:t>None, this is an industry standard</w:t>
            </w:r>
          </w:p>
        </w:tc>
        <w:tc>
          <w:tcPr>
            <w:tcW w:w="1350" w:type="dxa"/>
            <w:tcBorders>
              <w:bottom w:val="single" w:sz="4" w:space="0" w:color="auto"/>
            </w:tcBorders>
            <w:shd w:val="clear" w:color="auto" w:fill="D9D9D9"/>
            <w:vAlign w:val="center"/>
          </w:tcPr>
          <w:p w14:paraId="0E9F1947" w14:textId="77777777" w:rsidR="0032226A" w:rsidRDefault="0032226A" w:rsidP="0032226A">
            <w:pPr>
              <w:ind w:right="180"/>
              <w:jc w:val="right"/>
              <w:rPr>
                <w:color w:val="000000"/>
                <w:sz w:val="18"/>
              </w:rPr>
            </w:pPr>
          </w:p>
        </w:tc>
        <w:tc>
          <w:tcPr>
            <w:tcW w:w="990" w:type="dxa"/>
            <w:tcBorders>
              <w:bottom w:val="single" w:sz="4" w:space="0" w:color="auto"/>
            </w:tcBorders>
            <w:shd w:val="clear" w:color="auto" w:fill="D9D9D9"/>
            <w:vAlign w:val="center"/>
          </w:tcPr>
          <w:p w14:paraId="08997D0E" w14:textId="77777777" w:rsidR="0032226A" w:rsidRDefault="0032226A" w:rsidP="0032226A">
            <w:pPr>
              <w:ind w:right="180"/>
              <w:jc w:val="right"/>
              <w:rPr>
                <w:color w:val="000000"/>
                <w:sz w:val="18"/>
              </w:rPr>
            </w:pPr>
          </w:p>
        </w:tc>
        <w:tc>
          <w:tcPr>
            <w:tcW w:w="1530" w:type="dxa"/>
            <w:tcBorders>
              <w:bottom w:val="single" w:sz="4" w:space="0" w:color="auto"/>
            </w:tcBorders>
            <w:shd w:val="clear" w:color="auto" w:fill="D9D9D9"/>
            <w:vAlign w:val="center"/>
          </w:tcPr>
          <w:p w14:paraId="035F47C6" w14:textId="77777777" w:rsidR="0032226A" w:rsidRDefault="0032226A" w:rsidP="0032226A">
            <w:pPr>
              <w:ind w:right="180"/>
              <w:jc w:val="right"/>
              <w:rPr>
                <w:color w:val="000000"/>
                <w:sz w:val="18"/>
              </w:rPr>
            </w:pPr>
          </w:p>
        </w:tc>
      </w:tr>
      <w:tr w:rsidR="0032226A" w14:paraId="186646EA" w14:textId="77777777" w:rsidTr="00293FAE">
        <w:trPr>
          <w:cantSplit/>
          <w:trHeight w:val="181"/>
        </w:trPr>
        <w:tc>
          <w:tcPr>
            <w:tcW w:w="2157" w:type="dxa"/>
            <w:tcBorders>
              <w:bottom w:val="single" w:sz="4" w:space="0" w:color="auto"/>
            </w:tcBorders>
            <w:vAlign w:val="center"/>
          </w:tcPr>
          <w:p w14:paraId="39676E5E" w14:textId="77777777" w:rsidR="0032226A" w:rsidRDefault="0032226A" w:rsidP="0032226A">
            <w:pPr>
              <w:ind w:right="180"/>
              <w:rPr>
                <w:color w:val="000000"/>
                <w:sz w:val="18"/>
              </w:rPr>
            </w:pPr>
            <w:r>
              <w:rPr>
                <w:color w:val="000000"/>
                <w:sz w:val="18"/>
              </w:rPr>
              <w:t>Hazard Insurance</w:t>
            </w:r>
          </w:p>
        </w:tc>
        <w:tc>
          <w:tcPr>
            <w:tcW w:w="1363" w:type="dxa"/>
            <w:tcBorders>
              <w:bottom w:val="single" w:sz="4" w:space="0" w:color="auto"/>
            </w:tcBorders>
            <w:vAlign w:val="center"/>
          </w:tcPr>
          <w:p w14:paraId="5001E8AF" w14:textId="77777777" w:rsidR="0032226A" w:rsidRDefault="0032226A" w:rsidP="0032226A">
            <w:pPr>
              <w:jc w:val="center"/>
            </w:pPr>
            <w:r w:rsidRPr="007745FB">
              <w:rPr>
                <w:color w:val="000000"/>
                <w:sz w:val="18"/>
              </w:rPr>
              <w:t>357</w:t>
            </w:r>
          </w:p>
        </w:tc>
        <w:tc>
          <w:tcPr>
            <w:tcW w:w="1429" w:type="dxa"/>
            <w:tcBorders>
              <w:bottom w:val="single" w:sz="4" w:space="0" w:color="auto"/>
            </w:tcBorders>
            <w:vAlign w:val="center"/>
          </w:tcPr>
          <w:p w14:paraId="744867EC" w14:textId="0224B7F7" w:rsidR="0032226A" w:rsidRPr="00A400A9" w:rsidRDefault="0032226A" w:rsidP="0032226A">
            <w:pPr>
              <w:jc w:val="right"/>
              <w:rPr>
                <w:color w:val="000000"/>
                <w:sz w:val="18"/>
              </w:rPr>
            </w:pPr>
            <w:r>
              <w:rPr>
                <w:color w:val="000000"/>
                <w:sz w:val="18"/>
              </w:rPr>
              <w:t>21,956.57</w:t>
            </w:r>
          </w:p>
        </w:tc>
        <w:tc>
          <w:tcPr>
            <w:tcW w:w="1279" w:type="dxa"/>
            <w:tcBorders>
              <w:bottom w:val="single" w:sz="4" w:space="0" w:color="auto"/>
            </w:tcBorders>
            <w:vAlign w:val="center"/>
          </w:tcPr>
          <w:p w14:paraId="18C7CD96" w14:textId="2EE6DC52" w:rsidR="0032226A" w:rsidRDefault="0032226A" w:rsidP="0032226A">
            <w:pPr>
              <w:jc w:val="right"/>
              <w:rPr>
                <w:color w:val="000000"/>
                <w:sz w:val="18"/>
              </w:rPr>
            </w:pPr>
            <w:r>
              <w:rPr>
                <w:color w:val="000000"/>
                <w:sz w:val="18"/>
              </w:rPr>
              <w:t>7,838,495.49</w:t>
            </w:r>
          </w:p>
        </w:tc>
        <w:tc>
          <w:tcPr>
            <w:tcW w:w="1350" w:type="dxa"/>
            <w:tcBorders>
              <w:bottom w:val="single" w:sz="4" w:space="0" w:color="auto"/>
            </w:tcBorders>
            <w:shd w:val="clear" w:color="auto" w:fill="D9D9D9"/>
            <w:vAlign w:val="center"/>
          </w:tcPr>
          <w:p w14:paraId="4426A8EB" w14:textId="77777777" w:rsidR="0032226A" w:rsidRPr="00590C7C" w:rsidRDefault="0032226A" w:rsidP="0032226A">
            <w:pPr>
              <w:ind w:left="-122" w:right="312" w:firstLine="122"/>
              <w:jc w:val="center"/>
              <w:rPr>
                <w:color w:val="000000"/>
                <w:sz w:val="16"/>
                <w:szCs w:val="16"/>
              </w:rPr>
            </w:pPr>
            <w:r w:rsidRPr="00590C7C">
              <w:rPr>
                <w:color w:val="000000"/>
                <w:sz w:val="16"/>
                <w:szCs w:val="16"/>
              </w:rPr>
              <w:t>None, this is an industry standard</w:t>
            </w:r>
          </w:p>
        </w:tc>
        <w:tc>
          <w:tcPr>
            <w:tcW w:w="1350" w:type="dxa"/>
            <w:tcBorders>
              <w:bottom w:val="single" w:sz="4" w:space="0" w:color="auto"/>
            </w:tcBorders>
            <w:shd w:val="clear" w:color="auto" w:fill="D9D9D9"/>
            <w:vAlign w:val="center"/>
          </w:tcPr>
          <w:p w14:paraId="1A2B0668" w14:textId="77777777" w:rsidR="0032226A" w:rsidRDefault="0032226A" w:rsidP="0032226A">
            <w:pPr>
              <w:ind w:right="180"/>
              <w:jc w:val="right"/>
              <w:rPr>
                <w:color w:val="000000"/>
                <w:sz w:val="18"/>
              </w:rPr>
            </w:pPr>
          </w:p>
        </w:tc>
        <w:tc>
          <w:tcPr>
            <w:tcW w:w="990" w:type="dxa"/>
            <w:tcBorders>
              <w:bottom w:val="single" w:sz="4" w:space="0" w:color="auto"/>
            </w:tcBorders>
            <w:shd w:val="clear" w:color="auto" w:fill="D9D9D9"/>
            <w:vAlign w:val="center"/>
          </w:tcPr>
          <w:p w14:paraId="7FA17EBF" w14:textId="77777777" w:rsidR="0032226A" w:rsidRDefault="0032226A" w:rsidP="0032226A">
            <w:pPr>
              <w:ind w:right="180"/>
              <w:jc w:val="right"/>
              <w:rPr>
                <w:color w:val="000000"/>
                <w:sz w:val="18"/>
              </w:rPr>
            </w:pPr>
          </w:p>
        </w:tc>
        <w:tc>
          <w:tcPr>
            <w:tcW w:w="1530" w:type="dxa"/>
            <w:tcBorders>
              <w:bottom w:val="single" w:sz="4" w:space="0" w:color="auto"/>
            </w:tcBorders>
            <w:shd w:val="clear" w:color="auto" w:fill="D9D9D9"/>
            <w:vAlign w:val="center"/>
          </w:tcPr>
          <w:p w14:paraId="718863B7" w14:textId="77777777" w:rsidR="0032226A" w:rsidRDefault="0032226A" w:rsidP="0032226A">
            <w:pPr>
              <w:ind w:right="180"/>
              <w:jc w:val="right"/>
              <w:rPr>
                <w:color w:val="000000"/>
                <w:sz w:val="18"/>
              </w:rPr>
            </w:pPr>
          </w:p>
        </w:tc>
      </w:tr>
      <w:tr w:rsidR="005D4674" w14:paraId="7D225B45" w14:textId="77777777" w:rsidTr="00293FAE">
        <w:trPr>
          <w:cantSplit/>
          <w:trHeight w:val="181"/>
        </w:trPr>
        <w:tc>
          <w:tcPr>
            <w:tcW w:w="2157" w:type="dxa"/>
            <w:tcBorders>
              <w:bottom w:val="single" w:sz="4" w:space="0" w:color="auto"/>
            </w:tcBorders>
            <w:vAlign w:val="center"/>
          </w:tcPr>
          <w:p w14:paraId="26BB33FC" w14:textId="77777777" w:rsidR="005D4674" w:rsidRDefault="005D4674" w:rsidP="005D4674">
            <w:pPr>
              <w:ind w:right="180"/>
              <w:rPr>
                <w:color w:val="000000"/>
                <w:sz w:val="18"/>
              </w:rPr>
            </w:pPr>
            <w:r>
              <w:rPr>
                <w:color w:val="000000"/>
                <w:sz w:val="18"/>
              </w:rPr>
              <w:t>Special Assessments</w:t>
            </w:r>
          </w:p>
        </w:tc>
        <w:tc>
          <w:tcPr>
            <w:tcW w:w="1363" w:type="dxa"/>
            <w:tcBorders>
              <w:bottom w:val="single" w:sz="4" w:space="0" w:color="auto"/>
            </w:tcBorders>
            <w:vAlign w:val="center"/>
          </w:tcPr>
          <w:p w14:paraId="76C60E21" w14:textId="77777777" w:rsidR="005D4674" w:rsidRDefault="005D4674" w:rsidP="00FD6CDA">
            <w:pPr>
              <w:jc w:val="center"/>
            </w:pPr>
            <w:r w:rsidRPr="007745FB">
              <w:rPr>
                <w:color w:val="000000"/>
                <w:sz w:val="18"/>
              </w:rPr>
              <w:t>357</w:t>
            </w:r>
          </w:p>
        </w:tc>
        <w:tc>
          <w:tcPr>
            <w:tcW w:w="1429" w:type="dxa"/>
            <w:tcBorders>
              <w:bottom w:val="single" w:sz="4" w:space="0" w:color="auto"/>
            </w:tcBorders>
            <w:vAlign w:val="center"/>
          </w:tcPr>
          <w:p w14:paraId="2719020C" w14:textId="4846149C" w:rsidR="005D4674" w:rsidRPr="00A400A9" w:rsidRDefault="005D4674" w:rsidP="005D4674">
            <w:pPr>
              <w:jc w:val="right"/>
              <w:rPr>
                <w:color w:val="000000"/>
                <w:sz w:val="18"/>
              </w:rPr>
            </w:pPr>
            <w:r>
              <w:rPr>
                <w:color w:val="000000"/>
                <w:sz w:val="18"/>
              </w:rPr>
              <w:t>2,</w:t>
            </w:r>
            <w:r w:rsidR="00105276">
              <w:rPr>
                <w:color w:val="000000"/>
                <w:sz w:val="18"/>
              </w:rPr>
              <w:t>066</w:t>
            </w:r>
            <w:r w:rsidR="0032226A">
              <w:rPr>
                <w:color w:val="000000"/>
                <w:sz w:val="18"/>
              </w:rPr>
              <w:t>.29</w:t>
            </w:r>
          </w:p>
        </w:tc>
        <w:tc>
          <w:tcPr>
            <w:tcW w:w="1279" w:type="dxa"/>
            <w:tcBorders>
              <w:bottom w:val="single" w:sz="4" w:space="0" w:color="auto"/>
            </w:tcBorders>
            <w:vAlign w:val="center"/>
          </w:tcPr>
          <w:p w14:paraId="05705C28" w14:textId="7FCBC0A5" w:rsidR="005D4674" w:rsidRDefault="0032226A" w:rsidP="005D4674">
            <w:pPr>
              <w:jc w:val="right"/>
              <w:rPr>
                <w:color w:val="000000"/>
                <w:sz w:val="18"/>
              </w:rPr>
            </w:pPr>
            <w:r>
              <w:rPr>
                <w:color w:val="000000"/>
                <w:sz w:val="18"/>
              </w:rPr>
              <w:t>737,665.53</w:t>
            </w:r>
          </w:p>
        </w:tc>
        <w:tc>
          <w:tcPr>
            <w:tcW w:w="1350" w:type="dxa"/>
            <w:tcBorders>
              <w:bottom w:val="single" w:sz="4" w:space="0" w:color="auto"/>
            </w:tcBorders>
            <w:shd w:val="clear" w:color="auto" w:fill="D9D9D9"/>
            <w:vAlign w:val="center"/>
          </w:tcPr>
          <w:p w14:paraId="428C1D2F" w14:textId="77777777" w:rsidR="005D4674" w:rsidRPr="00590C7C" w:rsidRDefault="005D4674" w:rsidP="005D4674">
            <w:pPr>
              <w:ind w:left="-122" w:right="312" w:firstLine="122"/>
              <w:jc w:val="center"/>
              <w:rPr>
                <w:color w:val="000000"/>
                <w:sz w:val="16"/>
                <w:szCs w:val="16"/>
              </w:rPr>
            </w:pPr>
            <w:r w:rsidRPr="00590C7C">
              <w:rPr>
                <w:color w:val="000000"/>
                <w:sz w:val="16"/>
                <w:szCs w:val="16"/>
              </w:rPr>
              <w:t>None, this is an industry standard</w:t>
            </w:r>
          </w:p>
        </w:tc>
        <w:tc>
          <w:tcPr>
            <w:tcW w:w="1350" w:type="dxa"/>
            <w:tcBorders>
              <w:bottom w:val="single" w:sz="4" w:space="0" w:color="auto"/>
            </w:tcBorders>
            <w:shd w:val="clear" w:color="auto" w:fill="D9D9D9"/>
            <w:vAlign w:val="center"/>
          </w:tcPr>
          <w:p w14:paraId="144865D3" w14:textId="77777777" w:rsidR="005D4674" w:rsidRDefault="005D4674" w:rsidP="005D4674">
            <w:pPr>
              <w:ind w:right="180"/>
              <w:jc w:val="right"/>
              <w:rPr>
                <w:color w:val="000000"/>
                <w:sz w:val="18"/>
              </w:rPr>
            </w:pPr>
          </w:p>
        </w:tc>
        <w:tc>
          <w:tcPr>
            <w:tcW w:w="990" w:type="dxa"/>
            <w:tcBorders>
              <w:bottom w:val="single" w:sz="4" w:space="0" w:color="auto"/>
            </w:tcBorders>
            <w:shd w:val="clear" w:color="auto" w:fill="D9D9D9"/>
            <w:vAlign w:val="center"/>
          </w:tcPr>
          <w:p w14:paraId="387709A6" w14:textId="77777777" w:rsidR="005D4674" w:rsidRDefault="005D4674" w:rsidP="005D4674">
            <w:pPr>
              <w:ind w:right="180"/>
              <w:jc w:val="right"/>
              <w:rPr>
                <w:color w:val="000000"/>
                <w:sz w:val="18"/>
              </w:rPr>
            </w:pPr>
          </w:p>
        </w:tc>
        <w:tc>
          <w:tcPr>
            <w:tcW w:w="1530" w:type="dxa"/>
            <w:tcBorders>
              <w:bottom w:val="single" w:sz="4" w:space="0" w:color="auto"/>
            </w:tcBorders>
            <w:shd w:val="clear" w:color="auto" w:fill="D9D9D9"/>
            <w:vAlign w:val="center"/>
          </w:tcPr>
          <w:p w14:paraId="49B9EF69" w14:textId="77777777" w:rsidR="005D4674" w:rsidRDefault="005D4674" w:rsidP="005D4674">
            <w:pPr>
              <w:ind w:right="180"/>
              <w:jc w:val="right"/>
              <w:rPr>
                <w:color w:val="000000"/>
                <w:sz w:val="18"/>
              </w:rPr>
            </w:pPr>
          </w:p>
        </w:tc>
      </w:tr>
      <w:tr w:rsidR="00101F81" w14:paraId="3B05B9A5" w14:textId="77777777" w:rsidTr="00293FAE">
        <w:trPr>
          <w:cantSplit/>
          <w:trHeight w:val="181"/>
        </w:trPr>
        <w:tc>
          <w:tcPr>
            <w:tcW w:w="2157" w:type="dxa"/>
            <w:tcBorders>
              <w:bottom w:val="single" w:sz="4" w:space="0" w:color="auto"/>
            </w:tcBorders>
            <w:shd w:val="clear" w:color="auto" w:fill="C0C0C0"/>
            <w:vAlign w:val="center"/>
          </w:tcPr>
          <w:p w14:paraId="2A1454E3" w14:textId="77777777" w:rsidR="002635EB" w:rsidRPr="00A55767" w:rsidRDefault="002635EB" w:rsidP="002635EB">
            <w:pPr>
              <w:ind w:right="180"/>
              <w:rPr>
                <w:color w:val="000000"/>
              </w:rPr>
            </w:pPr>
            <w:r w:rsidRPr="00A55767">
              <w:rPr>
                <w:color w:val="000000"/>
              </w:rPr>
              <w:t>Escrow Account Maintenance</w:t>
            </w:r>
          </w:p>
        </w:tc>
        <w:tc>
          <w:tcPr>
            <w:tcW w:w="1363" w:type="dxa"/>
            <w:tcBorders>
              <w:bottom w:val="single" w:sz="4" w:space="0" w:color="auto"/>
            </w:tcBorders>
            <w:shd w:val="clear" w:color="auto" w:fill="C0C0C0"/>
            <w:vAlign w:val="center"/>
          </w:tcPr>
          <w:p w14:paraId="690954D1" w14:textId="77777777" w:rsidR="002635EB" w:rsidRDefault="002635EB" w:rsidP="002635EB">
            <w:pPr>
              <w:ind w:right="180"/>
              <w:jc w:val="center"/>
              <w:rPr>
                <w:color w:val="000000"/>
                <w:sz w:val="18"/>
              </w:rPr>
            </w:pPr>
          </w:p>
        </w:tc>
        <w:tc>
          <w:tcPr>
            <w:tcW w:w="1429" w:type="dxa"/>
            <w:tcBorders>
              <w:bottom w:val="single" w:sz="4" w:space="0" w:color="auto"/>
            </w:tcBorders>
            <w:shd w:val="clear" w:color="auto" w:fill="C0C0C0"/>
            <w:vAlign w:val="center"/>
          </w:tcPr>
          <w:p w14:paraId="2607B34A" w14:textId="77777777" w:rsidR="002635EB" w:rsidRDefault="002635EB" w:rsidP="002635EB">
            <w:pPr>
              <w:ind w:right="180"/>
              <w:jc w:val="right"/>
              <w:rPr>
                <w:color w:val="000000"/>
                <w:sz w:val="18"/>
              </w:rPr>
            </w:pPr>
          </w:p>
        </w:tc>
        <w:tc>
          <w:tcPr>
            <w:tcW w:w="1279" w:type="dxa"/>
            <w:tcBorders>
              <w:bottom w:val="single" w:sz="4" w:space="0" w:color="auto"/>
            </w:tcBorders>
            <w:shd w:val="clear" w:color="auto" w:fill="C0C0C0"/>
            <w:vAlign w:val="center"/>
          </w:tcPr>
          <w:p w14:paraId="1075DDCD" w14:textId="77777777" w:rsidR="002635EB" w:rsidRDefault="002635EB" w:rsidP="002635EB">
            <w:pPr>
              <w:ind w:right="180"/>
              <w:jc w:val="right"/>
              <w:rPr>
                <w:color w:val="000000"/>
                <w:sz w:val="18"/>
              </w:rPr>
            </w:pPr>
          </w:p>
        </w:tc>
        <w:tc>
          <w:tcPr>
            <w:tcW w:w="1350" w:type="dxa"/>
            <w:tcBorders>
              <w:bottom w:val="single" w:sz="4" w:space="0" w:color="auto"/>
            </w:tcBorders>
            <w:shd w:val="clear" w:color="auto" w:fill="C0C0C0"/>
            <w:vAlign w:val="center"/>
          </w:tcPr>
          <w:p w14:paraId="14CAB2A1" w14:textId="77777777" w:rsidR="002635EB" w:rsidRDefault="002635EB" w:rsidP="002635EB">
            <w:pPr>
              <w:ind w:right="180"/>
              <w:rPr>
                <w:color w:val="000000"/>
                <w:sz w:val="18"/>
              </w:rPr>
            </w:pPr>
          </w:p>
        </w:tc>
        <w:tc>
          <w:tcPr>
            <w:tcW w:w="1350" w:type="dxa"/>
            <w:tcBorders>
              <w:bottom w:val="single" w:sz="4" w:space="0" w:color="auto"/>
            </w:tcBorders>
            <w:shd w:val="clear" w:color="auto" w:fill="C0C0C0"/>
            <w:vAlign w:val="center"/>
          </w:tcPr>
          <w:p w14:paraId="3F3383F5" w14:textId="77777777" w:rsidR="002635EB" w:rsidRDefault="002635EB" w:rsidP="002635EB">
            <w:pPr>
              <w:ind w:right="180"/>
              <w:jc w:val="right"/>
              <w:rPr>
                <w:color w:val="000000"/>
                <w:sz w:val="18"/>
              </w:rPr>
            </w:pPr>
          </w:p>
        </w:tc>
        <w:tc>
          <w:tcPr>
            <w:tcW w:w="990" w:type="dxa"/>
            <w:tcBorders>
              <w:bottom w:val="single" w:sz="4" w:space="0" w:color="auto"/>
            </w:tcBorders>
            <w:shd w:val="clear" w:color="auto" w:fill="C0C0C0"/>
            <w:vAlign w:val="center"/>
          </w:tcPr>
          <w:p w14:paraId="365A340F" w14:textId="77777777" w:rsidR="002635EB" w:rsidRDefault="002635EB" w:rsidP="002635EB">
            <w:pPr>
              <w:ind w:right="180"/>
              <w:jc w:val="right"/>
              <w:rPr>
                <w:color w:val="000000"/>
                <w:sz w:val="18"/>
              </w:rPr>
            </w:pPr>
          </w:p>
        </w:tc>
        <w:tc>
          <w:tcPr>
            <w:tcW w:w="1530" w:type="dxa"/>
            <w:tcBorders>
              <w:bottom w:val="single" w:sz="4" w:space="0" w:color="auto"/>
            </w:tcBorders>
            <w:shd w:val="clear" w:color="auto" w:fill="C0C0C0"/>
            <w:vAlign w:val="center"/>
          </w:tcPr>
          <w:p w14:paraId="3D8BE610" w14:textId="77777777" w:rsidR="002635EB" w:rsidRDefault="002635EB" w:rsidP="002635EB">
            <w:pPr>
              <w:ind w:right="180"/>
              <w:jc w:val="right"/>
              <w:rPr>
                <w:color w:val="000000"/>
                <w:sz w:val="18"/>
              </w:rPr>
            </w:pPr>
          </w:p>
        </w:tc>
      </w:tr>
      <w:tr w:rsidR="0032226A" w14:paraId="3FD05E61" w14:textId="77777777" w:rsidTr="00293FAE">
        <w:trPr>
          <w:cantSplit/>
          <w:trHeight w:val="181"/>
        </w:trPr>
        <w:tc>
          <w:tcPr>
            <w:tcW w:w="2157" w:type="dxa"/>
            <w:tcBorders>
              <w:bottom w:val="single" w:sz="4" w:space="0" w:color="auto"/>
            </w:tcBorders>
            <w:vAlign w:val="center"/>
          </w:tcPr>
          <w:p w14:paraId="65AFD3DE" w14:textId="77777777" w:rsidR="0032226A" w:rsidRDefault="0032226A" w:rsidP="0032226A">
            <w:pPr>
              <w:ind w:right="180"/>
              <w:rPr>
                <w:color w:val="000000"/>
                <w:sz w:val="18"/>
              </w:rPr>
            </w:pPr>
            <w:r>
              <w:rPr>
                <w:color w:val="000000"/>
                <w:sz w:val="18"/>
              </w:rPr>
              <w:t>Escrow Shortage or Surplus</w:t>
            </w:r>
          </w:p>
        </w:tc>
        <w:tc>
          <w:tcPr>
            <w:tcW w:w="1363" w:type="dxa"/>
            <w:tcBorders>
              <w:bottom w:val="single" w:sz="4" w:space="0" w:color="auto"/>
            </w:tcBorders>
            <w:vAlign w:val="center"/>
          </w:tcPr>
          <w:p w14:paraId="255FDF31" w14:textId="77777777" w:rsidR="0032226A" w:rsidRDefault="0032226A" w:rsidP="0032226A">
            <w:pPr>
              <w:jc w:val="center"/>
            </w:pPr>
            <w:r w:rsidRPr="00FD1F8C">
              <w:rPr>
                <w:color w:val="000000"/>
                <w:sz w:val="18"/>
              </w:rPr>
              <w:t>357</w:t>
            </w:r>
          </w:p>
        </w:tc>
        <w:tc>
          <w:tcPr>
            <w:tcW w:w="1429" w:type="dxa"/>
            <w:tcBorders>
              <w:bottom w:val="single" w:sz="4" w:space="0" w:color="auto"/>
            </w:tcBorders>
            <w:vAlign w:val="center"/>
          </w:tcPr>
          <w:p w14:paraId="6A0211B9" w14:textId="35E58815" w:rsidR="0032226A" w:rsidRDefault="0032226A" w:rsidP="0032226A">
            <w:pPr>
              <w:jc w:val="right"/>
            </w:pPr>
            <w:r>
              <w:rPr>
                <w:color w:val="000000"/>
                <w:sz w:val="18"/>
              </w:rPr>
              <w:t>21,956.57</w:t>
            </w:r>
          </w:p>
        </w:tc>
        <w:tc>
          <w:tcPr>
            <w:tcW w:w="1279" w:type="dxa"/>
            <w:tcBorders>
              <w:bottom w:val="single" w:sz="4" w:space="0" w:color="auto"/>
            </w:tcBorders>
            <w:vAlign w:val="center"/>
          </w:tcPr>
          <w:p w14:paraId="6C6EC583" w14:textId="0AD62165" w:rsidR="0032226A" w:rsidRDefault="0032226A" w:rsidP="0032226A">
            <w:pPr>
              <w:jc w:val="right"/>
              <w:rPr>
                <w:color w:val="000000"/>
                <w:sz w:val="18"/>
              </w:rPr>
            </w:pPr>
            <w:r>
              <w:rPr>
                <w:color w:val="000000"/>
                <w:sz w:val="18"/>
              </w:rPr>
              <w:t>7,838,495.49</w:t>
            </w:r>
          </w:p>
        </w:tc>
        <w:tc>
          <w:tcPr>
            <w:tcW w:w="1350" w:type="dxa"/>
            <w:tcBorders>
              <w:bottom w:val="single" w:sz="4" w:space="0" w:color="auto"/>
            </w:tcBorders>
            <w:shd w:val="clear" w:color="auto" w:fill="D9D9D9"/>
            <w:vAlign w:val="center"/>
          </w:tcPr>
          <w:p w14:paraId="709C3496" w14:textId="77777777" w:rsidR="0032226A" w:rsidRPr="00590C7C" w:rsidRDefault="0032226A" w:rsidP="0032226A">
            <w:pPr>
              <w:ind w:left="-122" w:right="312" w:firstLine="122"/>
              <w:jc w:val="center"/>
              <w:rPr>
                <w:color w:val="000000"/>
                <w:sz w:val="16"/>
                <w:szCs w:val="16"/>
              </w:rPr>
            </w:pPr>
            <w:r w:rsidRPr="00590C7C">
              <w:rPr>
                <w:color w:val="000000"/>
                <w:sz w:val="16"/>
                <w:szCs w:val="16"/>
              </w:rPr>
              <w:t>None, this is an industry standard</w:t>
            </w:r>
          </w:p>
        </w:tc>
        <w:tc>
          <w:tcPr>
            <w:tcW w:w="1350" w:type="dxa"/>
            <w:tcBorders>
              <w:bottom w:val="single" w:sz="4" w:space="0" w:color="auto"/>
            </w:tcBorders>
            <w:shd w:val="clear" w:color="auto" w:fill="D9D9D9"/>
            <w:vAlign w:val="center"/>
          </w:tcPr>
          <w:p w14:paraId="339A6464" w14:textId="77777777" w:rsidR="0032226A" w:rsidRDefault="0032226A" w:rsidP="0032226A">
            <w:pPr>
              <w:ind w:right="180"/>
              <w:jc w:val="right"/>
              <w:rPr>
                <w:color w:val="000000"/>
                <w:sz w:val="18"/>
              </w:rPr>
            </w:pPr>
          </w:p>
        </w:tc>
        <w:tc>
          <w:tcPr>
            <w:tcW w:w="990" w:type="dxa"/>
            <w:tcBorders>
              <w:bottom w:val="single" w:sz="4" w:space="0" w:color="auto"/>
            </w:tcBorders>
            <w:shd w:val="clear" w:color="auto" w:fill="D9D9D9"/>
            <w:vAlign w:val="center"/>
          </w:tcPr>
          <w:p w14:paraId="450A1A95" w14:textId="77777777" w:rsidR="0032226A" w:rsidRDefault="0032226A" w:rsidP="0032226A">
            <w:pPr>
              <w:ind w:right="180"/>
              <w:jc w:val="right"/>
              <w:rPr>
                <w:color w:val="000000"/>
                <w:sz w:val="18"/>
              </w:rPr>
            </w:pPr>
          </w:p>
        </w:tc>
        <w:tc>
          <w:tcPr>
            <w:tcW w:w="1530" w:type="dxa"/>
            <w:tcBorders>
              <w:bottom w:val="single" w:sz="4" w:space="0" w:color="auto"/>
            </w:tcBorders>
            <w:shd w:val="clear" w:color="auto" w:fill="D9D9D9"/>
            <w:vAlign w:val="center"/>
          </w:tcPr>
          <w:p w14:paraId="2FAAA032" w14:textId="77777777" w:rsidR="0032226A" w:rsidRDefault="0032226A" w:rsidP="0032226A">
            <w:pPr>
              <w:ind w:right="180"/>
              <w:jc w:val="right"/>
              <w:rPr>
                <w:color w:val="000000"/>
                <w:sz w:val="18"/>
              </w:rPr>
            </w:pPr>
          </w:p>
        </w:tc>
      </w:tr>
      <w:tr w:rsidR="0032226A" w14:paraId="3AB93AF2" w14:textId="77777777" w:rsidTr="00293FAE">
        <w:trPr>
          <w:cantSplit/>
          <w:trHeight w:val="181"/>
        </w:trPr>
        <w:tc>
          <w:tcPr>
            <w:tcW w:w="2157" w:type="dxa"/>
            <w:tcBorders>
              <w:bottom w:val="single" w:sz="4" w:space="0" w:color="auto"/>
            </w:tcBorders>
            <w:vAlign w:val="center"/>
          </w:tcPr>
          <w:p w14:paraId="37C17C44" w14:textId="77777777" w:rsidR="0032226A" w:rsidRDefault="0032226A" w:rsidP="0032226A">
            <w:pPr>
              <w:ind w:right="180"/>
              <w:rPr>
                <w:color w:val="000000"/>
                <w:sz w:val="18"/>
              </w:rPr>
            </w:pPr>
            <w:r>
              <w:rPr>
                <w:color w:val="000000"/>
                <w:sz w:val="18"/>
              </w:rPr>
              <w:t xml:space="preserve">Providing Escrow Analysis Information </w:t>
            </w:r>
          </w:p>
          <w:p w14:paraId="14C90C0E" w14:textId="77777777" w:rsidR="0032226A" w:rsidRDefault="0032226A" w:rsidP="0032226A">
            <w:pPr>
              <w:ind w:right="180"/>
              <w:rPr>
                <w:color w:val="000000"/>
                <w:sz w:val="18"/>
              </w:rPr>
            </w:pPr>
          </w:p>
        </w:tc>
        <w:tc>
          <w:tcPr>
            <w:tcW w:w="1363" w:type="dxa"/>
            <w:tcBorders>
              <w:bottom w:val="single" w:sz="4" w:space="0" w:color="auto"/>
            </w:tcBorders>
            <w:vAlign w:val="center"/>
          </w:tcPr>
          <w:p w14:paraId="7FE03645" w14:textId="77777777" w:rsidR="0032226A" w:rsidRDefault="0032226A" w:rsidP="0032226A">
            <w:pPr>
              <w:jc w:val="center"/>
            </w:pPr>
            <w:r w:rsidRPr="00FD1F8C">
              <w:rPr>
                <w:color w:val="000000"/>
                <w:sz w:val="18"/>
              </w:rPr>
              <w:t>357</w:t>
            </w:r>
          </w:p>
        </w:tc>
        <w:tc>
          <w:tcPr>
            <w:tcW w:w="1429" w:type="dxa"/>
            <w:tcBorders>
              <w:bottom w:val="single" w:sz="4" w:space="0" w:color="auto"/>
            </w:tcBorders>
            <w:vAlign w:val="center"/>
          </w:tcPr>
          <w:p w14:paraId="578EF651" w14:textId="59DEFB62" w:rsidR="0032226A" w:rsidRDefault="0032226A" w:rsidP="0032226A">
            <w:pPr>
              <w:jc w:val="right"/>
            </w:pPr>
            <w:r>
              <w:rPr>
                <w:color w:val="000000"/>
                <w:sz w:val="18"/>
              </w:rPr>
              <w:t>21,956.57</w:t>
            </w:r>
          </w:p>
        </w:tc>
        <w:tc>
          <w:tcPr>
            <w:tcW w:w="1279" w:type="dxa"/>
            <w:tcBorders>
              <w:bottom w:val="single" w:sz="4" w:space="0" w:color="auto"/>
            </w:tcBorders>
            <w:vAlign w:val="center"/>
          </w:tcPr>
          <w:p w14:paraId="228C6801" w14:textId="7E861C57" w:rsidR="0032226A" w:rsidRDefault="0032226A" w:rsidP="0032226A">
            <w:pPr>
              <w:ind w:right="-15"/>
              <w:jc w:val="right"/>
              <w:rPr>
                <w:color w:val="000000"/>
                <w:sz w:val="18"/>
              </w:rPr>
            </w:pPr>
            <w:r>
              <w:rPr>
                <w:color w:val="000000"/>
                <w:sz w:val="18"/>
              </w:rPr>
              <w:t>7,838,495.49</w:t>
            </w:r>
          </w:p>
        </w:tc>
        <w:tc>
          <w:tcPr>
            <w:tcW w:w="1350" w:type="dxa"/>
            <w:tcBorders>
              <w:bottom w:val="single" w:sz="4" w:space="0" w:color="auto"/>
            </w:tcBorders>
            <w:shd w:val="clear" w:color="auto" w:fill="D9D9D9"/>
            <w:vAlign w:val="center"/>
          </w:tcPr>
          <w:p w14:paraId="7F7EBB63" w14:textId="77777777" w:rsidR="0032226A" w:rsidRPr="00590C7C" w:rsidRDefault="0032226A" w:rsidP="0032226A">
            <w:pPr>
              <w:ind w:left="-122" w:right="312" w:firstLine="122"/>
              <w:jc w:val="center"/>
              <w:rPr>
                <w:color w:val="000000"/>
                <w:sz w:val="16"/>
                <w:szCs w:val="16"/>
              </w:rPr>
            </w:pPr>
            <w:r w:rsidRPr="00590C7C">
              <w:rPr>
                <w:color w:val="000000"/>
                <w:sz w:val="16"/>
                <w:szCs w:val="16"/>
              </w:rPr>
              <w:t>None, this is an industry standard</w:t>
            </w:r>
          </w:p>
        </w:tc>
        <w:tc>
          <w:tcPr>
            <w:tcW w:w="1350" w:type="dxa"/>
            <w:tcBorders>
              <w:bottom w:val="single" w:sz="4" w:space="0" w:color="auto"/>
            </w:tcBorders>
            <w:shd w:val="clear" w:color="auto" w:fill="D9D9D9"/>
            <w:vAlign w:val="center"/>
          </w:tcPr>
          <w:p w14:paraId="3BE7BAAE" w14:textId="77777777" w:rsidR="0032226A" w:rsidRDefault="0032226A" w:rsidP="0032226A">
            <w:pPr>
              <w:ind w:right="180"/>
              <w:jc w:val="right"/>
              <w:rPr>
                <w:color w:val="000000"/>
                <w:sz w:val="18"/>
              </w:rPr>
            </w:pPr>
          </w:p>
        </w:tc>
        <w:tc>
          <w:tcPr>
            <w:tcW w:w="990" w:type="dxa"/>
            <w:tcBorders>
              <w:bottom w:val="single" w:sz="4" w:space="0" w:color="auto"/>
            </w:tcBorders>
            <w:shd w:val="clear" w:color="auto" w:fill="D9D9D9"/>
            <w:vAlign w:val="center"/>
          </w:tcPr>
          <w:p w14:paraId="43F16679" w14:textId="77777777" w:rsidR="0032226A" w:rsidRDefault="0032226A" w:rsidP="0032226A">
            <w:pPr>
              <w:ind w:right="180"/>
              <w:jc w:val="right"/>
              <w:rPr>
                <w:color w:val="000000"/>
                <w:sz w:val="18"/>
              </w:rPr>
            </w:pPr>
          </w:p>
        </w:tc>
        <w:tc>
          <w:tcPr>
            <w:tcW w:w="1530" w:type="dxa"/>
            <w:tcBorders>
              <w:bottom w:val="single" w:sz="4" w:space="0" w:color="auto"/>
            </w:tcBorders>
            <w:shd w:val="clear" w:color="auto" w:fill="D9D9D9"/>
            <w:vAlign w:val="center"/>
          </w:tcPr>
          <w:p w14:paraId="1EF511D1" w14:textId="77777777" w:rsidR="0032226A" w:rsidRDefault="0032226A" w:rsidP="0032226A">
            <w:pPr>
              <w:ind w:right="180"/>
              <w:jc w:val="right"/>
              <w:rPr>
                <w:color w:val="000000"/>
                <w:sz w:val="18"/>
              </w:rPr>
            </w:pPr>
          </w:p>
        </w:tc>
      </w:tr>
      <w:tr w:rsidR="00101F81" w14:paraId="1EA5D563" w14:textId="77777777" w:rsidTr="00293FAE">
        <w:trPr>
          <w:cantSplit/>
          <w:trHeight w:val="181"/>
        </w:trPr>
        <w:tc>
          <w:tcPr>
            <w:tcW w:w="2157" w:type="dxa"/>
            <w:tcBorders>
              <w:bottom w:val="single" w:sz="4" w:space="0" w:color="auto"/>
            </w:tcBorders>
            <w:shd w:val="clear" w:color="auto" w:fill="C0C0C0"/>
            <w:vAlign w:val="center"/>
          </w:tcPr>
          <w:p w14:paraId="6F171C58" w14:textId="77777777" w:rsidR="00D25987" w:rsidRDefault="0028403B" w:rsidP="002635EB">
            <w:pPr>
              <w:ind w:right="180"/>
              <w:rPr>
                <w:color w:val="000000"/>
                <w:sz w:val="18"/>
              </w:rPr>
            </w:pPr>
            <w:r>
              <w:rPr>
                <w:color w:val="000000"/>
                <w:sz w:val="18"/>
              </w:rPr>
              <w:t>Loan Information/ Customer Service</w:t>
            </w:r>
          </w:p>
        </w:tc>
        <w:tc>
          <w:tcPr>
            <w:tcW w:w="1363" w:type="dxa"/>
            <w:tcBorders>
              <w:bottom w:val="single" w:sz="4" w:space="0" w:color="auto"/>
            </w:tcBorders>
            <w:shd w:val="clear" w:color="auto" w:fill="C0C0C0"/>
            <w:vAlign w:val="center"/>
          </w:tcPr>
          <w:p w14:paraId="64A75247" w14:textId="77777777" w:rsidR="00D25987" w:rsidRDefault="00D25987" w:rsidP="002635EB">
            <w:pPr>
              <w:jc w:val="center"/>
              <w:rPr>
                <w:color w:val="000000"/>
                <w:sz w:val="18"/>
              </w:rPr>
            </w:pPr>
          </w:p>
        </w:tc>
        <w:tc>
          <w:tcPr>
            <w:tcW w:w="1429" w:type="dxa"/>
            <w:tcBorders>
              <w:bottom w:val="single" w:sz="4" w:space="0" w:color="auto"/>
            </w:tcBorders>
            <w:shd w:val="clear" w:color="auto" w:fill="C0C0C0"/>
            <w:vAlign w:val="center"/>
          </w:tcPr>
          <w:p w14:paraId="020C66CE" w14:textId="77777777" w:rsidR="00D25987" w:rsidRDefault="00D25987" w:rsidP="002635EB">
            <w:pPr>
              <w:jc w:val="right"/>
              <w:rPr>
                <w:color w:val="000000"/>
                <w:sz w:val="18"/>
              </w:rPr>
            </w:pPr>
          </w:p>
        </w:tc>
        <w:tc>
          <w:tcPr>
            <w:tcW w:w="1279" w:type="dxa"/>
            <w:tcBorders>
              <w:bottom w:val="single" w:sz="4" w:space="0" w:color="auto"/>
            </w:tcBorders>
            <w:shd w:val="clear" w:color="auto" w:fill="C0C0C0"/>
            <w:vAlign w:val="center"/>
          </w:tcPr>
          <w:p w14:paraId="30D0ADBA" w14:textId="77777777" w:rsidR="00D25987" w:rsidRDefault="00D25987" w:rsidP="002635EB">
            <w:pPr>
              <w:ind w:right="180"/>
              <w:jc w:val="right"/>
              <w:rPr>
                <w:color w:val="000000"/>
                <w:sz w:val="18"/>
              </w:rPr>
            </w:pPr>
          </w:p>
        </w:tc>
        <w:tc>
          <w:tcPr>
            <w:tcW w:w="1350" w:type="dxa"/>
            <w:tcBorders>
              <w:bottom w:val="single" w:sz="4" w:space="0" w:color="auto"/>
            </w:tcBorders>
            <w:shd w:val="clear" w:color="auto" w:fill="C0C0C0"/>
            <w:vAlign w:val="center"/>
          </w:tcPr>
          <w:p w14:paraId="50A57796" w14:textId="77777777" w:rsidR="00D25987" w:rsidRPr="00590C7C" w:rsidRDefault="00D25987" w:rsidP="002635EB">
            <w:pPr>
              <w:ind w:right="180"/>
              <w:jc w:val="center"/>
              <w:rPr>
                <w:color w:val="000000"/>
                <w:sz w:val="16"/>
                <w:szCs w:val="16"/>
              </w:rPr>
            </w:pPr>
          </w:p>
        </w:tc>
        <w:tc>
          <w:tcPr>
            <w:tcW w:w="1350" w:type="dxa"/>
            <w:tcBorders>
              <w:bottom w:val="single" w:sz="4" w:space="0" w:color="auto"/>
            </w:tcBorders>
            <w:shd w:val="clear" w:color="auto" w:fill="C0C0C0"/>
            <w:vAlign w:val="center"/>
          </w:tcPr>
          <w:p w14:paraId="76E99D1D" w14:textId="77777777" w:rsidR="00D25987" w:rsidRDefault="00D25987" w:rsidP="002635EB">
            <w:pPr>
              <w:ind w:right="180"/>
              <w:jc w:val="right"/>
              <w:rPr>
                <w:color w:val="000000"/>
                <w:sz w:val="18"/>
              </w:rPr>
            </w:pPr>
          </w:p>
        </w:tc>
        <w:tc>
          <w:tcPr>
            <w:tcW w:w="990" w:type="dxa"/>
            <w:tcBorders>
              <w:bottom w:val="single" w:sz="4" w:space="0" w:color="auto"/>
            </w:tcBorders>
            <w:shd w:val="clear" w:color="auto" w:fill="C0C0C0"/>
            <w:vAlign w:val="center"/>
          </w:tcPr>
          <w:p w14:paraId="7B3D69C0" w14:textId="77777777" w:rsidR="00D25987" w:rsidRDefault="00D25987" w:rsidP="002635EB">
            <w:pPr>
              <w:ind w:right="180"/>
              <w:jc w:val="right"/>
              <w:rPr>
                <w:color w:val="000000"/>
                <w:sz w:val="18"/>
              </w:rPr>
            </w:pPr>
          </w:p>
        </w:tc>
        <w:tc>
          <w:tcPr>
            <w:tcW w:w="1530" w:type="dxa"/>
            <w:tcBorders>
              <w:bottom w:val="single" w:sz="4" w:space="0" w:color="auto"/>
            </w:tcBorders>
            <w:shd w:val="clear" w:color="auto" w:fill="C0C0C0"/>
            <w:vAlign w:val="center"/>
          </w:tcPr>
          <w:p w14:paraId="7E0EF3A4" w14:textId="77777777" w:rsidR="00D25987" w:rsidRDefault="00D25987" w:rsidP="002635EB">
            <w:pPr>
              <w:ind w:right="180"/>
              <w:jc w:val="right"/>
              <w:rPr>
                <w:color w:val="000000"/>
                <w:sz w:val="18"/>
              </w:rPr>
            </w:pPr>
          </w:p>
        </w:tc>
      </w:tr>
      <w:tr w:rsidR="005D4674" w14:paraId="0205F16C" w14:textId="77777777" w:rsidTr="00293FAE">
        <w:trPr>
          <w:cantSplit/>
          <w:trHeight w:val="605"/>
        </w:trPr>
        <w:tc>
          <w:tcPr>
            <w:tcW w:w="2157" w:type="dxa"/>
            <w:tcBorders>
              <w:bottom w:val="single" w:sz="4" w:space="0" w:color="auto"/>
            </w:tcBorders>
            <w:vAlign w:val="center"/>
          </w:tcPr>
          <w:p w14:paraId="5AF805B7" w14:textId="77777777" w:rsidR="005D4674" w:rsidRDefault="005D4674" w:rsidP="005D4674">
            <w:pPr>
              <w:ind w:right="180"/>
              <w:rPr>
                <w:color w:val="000000"/>
                <w:sz w:val="18"/>
              </w:rPr>
            </w:pPr>
            <w:r>
              <w:rPr>
                <w:color w:val="000000"/>
                <w:sz w:val="18"/>
              </w:rPr>
              <w:t>Toll Free Information Requests</w:t>
            </w:r>
          </w:p>
        </w:tc>
        <w:tc>
          <w:tcPr>
            <w:tcW w:w="1363" w:type="dxa"/>
            <w:tcBorders>
              <w:bottom w:val="single" w:sz="4" w:space="0" w:color="auto"/>
            </w:tcBorders>
            <w:vAlign w:val="center"/>
          </w:tcPr>
          <w:p w14:paraId="780013A5" w14:textId="77777777" w:rsidR="005D4674" w:rsidRDefault="005D4674" w:rsidP="00FD6CDA">
            <w:pPr>
              <w:jc w:val="center"/>
            </w:pPr>
            <w:r w:rsidRPr="00191166">
              <w:rPr>
                <w:color w:val="000000"/>
                <w:sz w:val="18"/>
              </w:rPr>
              <w:t>357</w:t>
            </w:r>
          </w:p>
        </w:tc>
        <w:tc>
          <w:tcPr>
            <w:tcW w:w="1429" w:type="dxa"/>
            <w:tcBorders>
              <w:bottom w:val="single" w:sz="4" w:space="0" w:color="auto"/>
            </w:tcBorders>
            <w:vAlign w:val="center"/>
          </w:tcPr>
          <w:p w14:paraId="35FE9CCC" w14:textId="466C59BB" w:rsidR="005D4674" w:rsidRDefault="0032226A" w:rsidP="005D4674">
            <w:pPr>
              <w:jc w:val="right"/>
              <w:rPr>
                <w:color w:val="000000"/>
                <w:sz w:val="18"/>
              </w:rPr>
            </w:pPr>
            <w:r>
              <w:rPr>
                <w:color w:val="000000"/>
                <w:sz w:val="18"/>
              </w:rPr>
              <w:t>7,002.80</w:t>
            </w:r>
          </w:p>
        </w:tc>
        <w:tc>
          <w:tcPr>
            <w:tcW w:w="1279" w:type="dxa"/>
            <w:tcBorders>
              <w:bottom w:val="single" w:sz="4" w:space="0" w:color="auto"/>
            </w:tcBorders>
            <w:vAlign w:val="center"/>
          </w:tcPr>
          <w:p w14:paraId="03D221B1" w14:textId="7ABD11A6" w:rsidR="005D4674" w:rsidRDefault="0032226A" w:rsidP="005D4674">
            <w:pPr>
              <w:ind w:right="-15"/>
              <w:jc w:val="right"/>
              <w:rPr>
                <w:color w:val="000000"/>
                <w:sz w:val="18"/>
              </w:rPr>
            </w:pPr>
            <w:r>
              <w:rPr>
                <w:color w:val="000000"/>
                <w:sz w:val="18"/>
              </w:rPr>
              <w:t>2,499,999.60</w:t>
            </w:r>
          </w:p>
        </w:tc>
        <w:tc>
          <w:tcPr>
            <w:tcW w:w="1350" w:type="dxa"/>
            <w:tcBorders>
              <w:bottom w:val="single" w:sz="4" w:space="0" w:color="auto"/>
            </w:tcBorders>
            <w:shd w:val="clear" w:color="auto" w:fill="D9D9D9"/>
            <w:vAlign w:val="center"/>
          </w:tcPr>
          <w:p w14:paraId="2F634623" w14:textId="77777777" w:rsidR="005D4674" w:rsidRPr="00590C7C" w:rsidRDefault="005D4674" w:rsidP="005D4674">
            <w:pPr>
              <w:ind w:right="-109"/>
              <w:rPr>
                <w:color w:val="000000"/>
                <w:sz w:val="16"/>
                <w:szCs w:val="16"/>
              </w:rPr>
            </w:pPr>
            <w:r w:rsidRPr="00590C7C">
              <w:rPr>
                <w:color w:val="000000"/>
                <w:sz w:val="16"/>
                <w:szCs w:val="16"/>
              </w:rPr>
              <w:t>None, this is</w:t>
            </w:r>
          </w:p>
          <w:p w14:paraId="0E868775" w14:textId="77777777" w:rsidR="005D4674" w:rsidRPr="00590C7C" w:rsidRDefault="005D4674" w:rsidP="005D4674">
            <w:pPr>
              <w:ind w:right="-109"/>
              <w:rPr>
                <w:color w:val="000000"/>
                <w:sz w:val="16"/>
                <w:szCs w:val="16"/>
              </w:rPr>
            </w:pPr>
            <w:r w:rsidRPr="00590C7C">
              <w:rPr>
                <w:color w:val="000000"/>
                <w:sz w:val="16"/>
                <w:szCs w:val="16"/>
              </w:rPr>
              <w:t xml:space="preserve"> an industry</w:t>
            </w:r>
          </w:p>
          <w:p w14:paraId="5A0745B4" w14:textId="77777777" w:rsidR="005D4674" w:rsidRPr="00590C7C" w:rsidRDefault="005D4674" w:rsidP="005D4674">
            <w:pPr>
              <w:ind w:right="-109"/>
              <w:rPr>
                <w:color w:val="000000"/>
                <w:sz w:val="16"/>
                <w:szCs w:val="16"/>
              </w:rPr>
            </w:pPr>
            <w:r w:rsidRPr="00590C7C">
              <w:rPr>
                <w:color w:val="000000"/>
                <w:sz w:val="16"/>
                <w:szCs w:val="16"/>
              </w:rPr>
              <w:t xml:space="preserve">  standard</w:t>
            </w:r>
          </w:p>
        </w:tc>
        <w:tc>
          <w:tcPr>
            <w:tcW w:w="1350" w:type="dxa"/>
            <w:tcBorders>
              <w:bottom w:val="single" w:sz="4" w:space="0" w:color="auto"/>
            </w:tcBorders>
            <w:shd w:val="clear" w:color="auto" w:fill="D9D9D9"/>
            <w:vAlign w:val="center"/>
          </w:tcPr>
          <w:p w14:paraId="6409FF0D" w14:textId="77777777" w:rsidR="005D4674" w:rsidRDefault="005D4674" w:rsidP="005D4674">
            <w:pPr>
              <w:ind w:right="-32"/>
              <w:rPr>
                <w:color w:val="000000"/>
                <w:sz w:val="18"/>
              </w:rPr>
            </w:pPr>
          </w:p>
        </w:tc>
        <w:tc>
          <w:tcPr>
            <w:tcW w:w="990" w:type="dxa"/>
            <w:tcBorders>
              <w:bottom w:val="single" w:sz="4" w:space="0" w:color="auto"/>
            </w:tcBorders>
            <w:shd w:val="clear" w:color="auto" w:fill="D9D9D9"/>
            <w:vAlign w:val="center"/>
          </w:tcPr>
          <w:p w14:paraId="6E8A8ECE" w14:textId="77777777" w:rsidR="005D4674" w:rsidRDefault="005D4674" w:rsidP="005D4674">
            <w:pPr>
              <w:rPr>
                <w:color w:val="000000"/>
                <w:sz w:val="18"/>
              </w:rPr>
            </w:pPr>
          </w:p>
        </w:tc>
        <w:tc>
          <w:tcPr>
            <w:tcW w:w="1530" w:type="dxa"/>
            <w:tcBorders>
              <w:bottom w:val="single" w:sz="4" w:space="0" w:color="auto"/>
            </w:tcBorders>
            <w:shd w:val="clear" w:color="auto" w:fill="D9D9D9"/>
            <w:vAlign w:val="center"/>
          </w:tcPr>
          <w:p w14:paraId="5495630E" w14:textId="77777777" w:rsidR="005D4674" w:rsidRDefault="005D4674" w:rsidP="005D4674">
            <w:pPr>
              <w:rPr>
                <w:color w:val="000000"/>
                <w:sz w:val="18"/>
              </w:rPr>
            </w:pPr>
          </w:p>
        </w:tc>
      </w:tr>
      <w:tr w:rsidR="0032226A" w14:paraId="6ED1C143" w14:textId="77777777" w:rsidTr="00293FAE">
        <w:trPr>
          <w:cantSplit/>
          <w:trHeight w:val="533"/>
        </w:trPr>
        <w:tc>
          <w:tcPr>
            <w:tcW w:w="2157" w:type="dxa"/>
            <w:tcBorders>
              <w:bottom w:val="single" w:sz="4" w:space="0" w:color="auto"/>
            </w:tcBorders>
            <w:vAlign w:val="center"/>
          </w:tcPr>
          <w:p w14:paraId="390B6DD6" w14:textId="77777777" w:rsidR="0032226A" w:rsidRDefault="0032226A" w:rsidP="0032226A">
            <w:pPr>
              <w:ind w:right="180"/>
              <w:rPr>
                <w:color w:val="000000"/>
                <w:sz w:val="18"/>
              </w:rPr>
            </w:pPr>
            <w:r>
              <w:rPr>
                <w:color w:val="000000"/>
                <w:sz w:val="18"/>
              </w:rPr>
              <w:t>Annual Statement of Account</w:t>
            </w:r>
          </w:p>
        </w:tc>
        <w:tc>
          <w:tcPr>
            <w:tcW w:w="1363" w:type="dxa"/>
            <w:tcBorders>
              <w:bottom w:val="single" w:sz="4" w:space="0" w:color="auto"/>
            </w:tcBorders>
            <w:vAlign w:val="center"/>
          </w:tcPr>
          <w:p w14:paraId="06818E07" w14:textId="77777777" w:rsidR="0032226A" w:rsidRDefault="0032226A" w:rsidP="0032226A">
            <w:pPr>
              <w:jc w:val="center"/>
            </w:pPr>
            <w:r w:rsidRPr="00191166">
              <w:rPr>
                <w:color w:val="000000"/>
                <w:sz w:val="18"/>
              </w:rPr>
              <w:t>357</w:t>
            </w:r>
          </w:p>
        </w:tc>
        <w:tc>
          <w:tcPr>
            <w:tcW w:w="1429" w:type="dxa"/>
            <w:tcBorders>
              <w:bottom w:val="single" w:sz="4" w:space="0" w:color="auto"/>
            </w:tcBorders>
            <w:vAlign w:val="center"/>
          </w:tcPr>
          <w:p w14:paraId="33326083" w14:textId="4ED5BE39" w:rsidR="0032226A" w:rsidRDefault="0032226A" w:rsidP="0032226A">
            <w:pPr>
              <w:jc w:val="right"/>
              <w:rPr>
                <w:color w:val="000000"/>
                <w:sz w:val="18"/>
              </w:rPr>
            </w:pPr>
            <w:r>
              <w:rPr>
                <w:color w:val="000000"/>
                <w:sz w:val="18"/>
              </w:rPr>
              <w:t>21,956.57</w:t>
            </w:r>
          </w:p>
        </w:tc>
        <w:tc>
          <w:tcPr>
            <w:tcW w:w="1279" w:type="dxa"/>
            <w:tcBorders>
              <w:bottom w:val="single" w:sz="4" w:space="0" w:color="auto"/>
            </w:tcBorders>
            <w:vAlign w:val="center"/>
          </w:tcPr>
          <w:p w14:paraId="2EAD3D62" w14:textId="16F0AAD7" w:rsidR="0032226A" w:rsidRDefault="0032226A" w:rsidP="0032226A">
            <w:pPr>
              <w:jc w:val="right"/>
              <w:rPr>
                <w:color w:val="000000"/>
                <w:sz w:val="18"/>
              </w:rPr>
            </w:pPr>
            <w:r>
              <w:rPr>
                <w:color w:val="000000"/>
                <w:sz w:val="18"/>
              </w:rPr>
              <w:t>7,838,495.49</w:t>
            </w:r>
          </w:p>
        </w:tc>
        <w:tc>
          <w:tcPr>
            <w:tcW w:w="1350" w:type="dxa"/>
            <w:tcBorders>
              <w:bottom w:val="single" w:sz="4" w:space="0" w:color="auto"/>
            </w:tcBorders>
            <w:shd w:val="clear" w:color="auto" w:fill="D9D9D9"/>
            <w:vAlign w:val="center"/>
          </w:tcPr>
          <w:p w14:paraId="4718B07E" w14:textId="77777777" w:rsidR="0032226A" w:rsidRPr="00590C7C" w:rsidRDefault="0032226A" w:rsidP="0032226A">
            <w:pPr>
              <w:ind w:right="-109"/>
              <w:rPr>
                <w:color w:val="000000"/>
                <w:sz w:val="16"/>
                <w:szCs w:val="16"/>
              </w:rPr>
            </w:pPr>
            <w:r w:rsidRPr="00590C7C">
              <w:rPr>
                <w:color w:val="000000"/>
                <w:sz w:val="16"/>
                <w:szCs w:val="16"/>
              </w:rPr>
              <w:t>None, this is</w:t>
            </w:r>
          </w:p>
          <w:p w14:paraId="1937AE16" w14:textId="77777777" w:rsidR="0032226A" w:rsidRPr="00590C7C" w:rsidRDefault="0032226A" w:rsidP="0032226A">
            <w:pPr>
              <w:ind w:right="-109"/>
              <w:rPr>
                <w:color w:val="000000"/>
                <w:sz w:val="16"/>
                <w:szCs w:val="16"/>
              </w:rPr>
            </w:pPr>
            <w:r w:rsidRPr="00590C7C">
              <w:rPr>
                <w:color w:val="000000"/>
                <w:sz w:val="16"/>
                <w:szCs w:val="16"/>
              </w:rPr>
              <w:t xml:space="preserve"> an industry</w:t>
            </w:r>
          </w:p>
          <w:p w14:paraId="081E5371" w14:textId="77777777" w:rsidR="0032226A" w:rsidRPr="00590C7C" w:rsidRDefault="0032226A" w:rsidP="0032226A">
            <w:pPr>
              <w:ind w:right="-109"/>
              <w:rPr>
                <w:color w:val="000000"/>
                <w:sz w:val="16"/>
                <w:szCs w:val="16"/>
              </w:rPr>
            </w:pPr>
            <w:r w:rsidRPr="00590C7C">
              <w:rPr>
                <w:color w:val="000000"/>
                <w:sz w:val="16"/>
                <w:szCs w:val="16"/>
              </w:rPr>
              <w:t xml:space="preserve">   standard</w:t>
            </w:r>
          </w:p>
        </w:tc>
        <w:tc>
          <w:tcPr>
            <w:tcW w:w="1350" w:type="dxa"/>
            <w:tcBorders>
              <w:bottom w:val="single" w:sz="4" w:space="0" w:color="auto"/>
            </w:tcBorders>
            <w:shd w:val="clear" w:color="auto" w:fill="D9D9D9"/>
            <w:vAlign w:val="center"/>
          </w:tcPr>
          <w:p w14:paraId="0E73DA8A" w14:textId="77777777" w:rsidR="0032226A" w:rsidRDefault="0032226A" w:rsidP="0032226A">
            <w:pPr>
              <w:ind w:right="-32"/>
              <w:rPr>
                <w:color w:val="000000"/>
                <w:sz w:val="18"/>
              </w:rPr>
            </w:pPr>
          </w:p>
        </w:tc>
        <w:tc>
          <w:tcPr>
            <w:tcW w:w="990" w:type="dxa"/>
            <w:tcBorders>
              <w:bottom w:val="single" w:sz="4" w:space="0" w:color="auto"/>
            </w:tcBorders>
            <w:shd w:val="clear" w:color="auto" w:fill="D9D9D9"/>
            <w:vAlign w:val="center"/>
          </w:tcPr>
          <w:p w14:paraId="0D93945C" w14:textId="77777777" w:rsidR="0032226A" w:rsidRDefault="0032226A" w:rsidP="0032226A">
            <w:pPr>
              <w:rPr>
                <w:color w:val="000000"/>
                <w:sz w:val="18"/>
              </w:rPr>
            </w:pPr>
          </w:p>
        </w:tc>
        <w:tc>
          <w:tcPr>
            <w:tcW w:w="1530" w:type="dxa"/>
            <w:tcBorders>
              <w:bottom w:val="single" w:sz="4" w:space="0" w:color="auto"/>
            </w:tcBorders>
            <w:shd w:val="clear" w:color="auto" w:fill="D9D9D9"/>
            <w:vAlign w:val="center"/>
          </w:tcPr>
          <w:p w14:paraId="71AF580C" w14:textId="77777777" w:rsidR="0032226A" w:rsidRDefault="0032226A" w:rsidP="0032226A">
            <w:pPr>
              <w:rPr>
                <w:color w:val="000000"/>
                <w:sz w:val="18"/>
              </w:rPr>
            </w:pPr>
          </w:p>
        </w:tc>
      </w:tr>
      <w:tr w:rsidR="00FD6CDA" w14:paraId="6EB4EB02" w14:textId="77777777" w:rsidTr="00CB5B73">
        <w:trPr>
          <w:cantSplit/>
          <w:trHeight w:val="263"/>
        </w:trPr>
        <w:tc>
          <w:tcPr>
            <w:tcW w:w="2157" w:type="dxa"/>
            <w:tcBorders>
              <w:bottom w:val="single" w:sz="4" w:space="0" w:color="auto"/>
            </w:tcBorders>
            <w:vAlign w:val="center"/>
          </w:tcPr>
          <w:p w14:paraId="7FF01FBF" w14:textId="77777777" w:rsidR="00FD6CDA" w:rsidRDefault="00FD6CDA" w:rsidP="00FD6CDA">
            <w:pPr>
              <w:ind w:right="180"/>
              <w:rPr>
                <w:color w:val="000000"/>
                <w:sz w:val="18"/>
              </w:rPr>
            </w:pPr>
            <w:r>
              <w:rPr>
                <w:color w:val="000000"/>
                <w:sz w:val="18"/>
              </w:rPr>
              <w:t>Servicing Transfers</w:t>
            </w:r>
          </w:p>
        </w:tc>
        <w:tc>
          <w:tcPr>
            <w:tcW w:w="1363" w:type="dxa"/>
            <w:tcBorders>
              <w:bottom w:val="single" w:sz="4" w:space="0" w:color="auto"/>
            </w:tcBorders>
            <w:vAlign w:val="center"/>
          </w:tcPr>
          <w:p w14:paraId="39FEDEB2" w14:textId="77777777" w:rsidR="00FD6CDA" w:rsidRDefault="00FD6CDA" w:rsidP="00FD6CDA">
            <w:pPr>
              <w:jc w:val="center"/>
            </w:pPr>
            <w:r w:rsidRPr="00191166">
              <w:rPr>
                <w:color w:val="000000"/>
                <w:sz w:val="18"/>
              </w:rPr>
              <w:t>357</w:t>
            </w:r>
          </w:p>
        </w:tc>
        <w:tc>
          <w:tcPr>
            <w:tcW w:w="1429" w:type="dxa"/>
            <w:tcBorders>
              <w:bottom w:val="single" w:sz="4" w:space="0" w:color="auto"/>
            </w:tcBorders>
            <w:vAlign w:val="center"/>
          </w:tcPr>
          <w:p w14:paraId="01B21355" w14:textId="17C6E209" w:rsidR="00FD6CDA" w:rsidRDefault="00FD6CDA" w:rsidP="00FD6CDA">
            <w:pPr>
              <w:jc w:val="right"/>
              <w:rPr>
                <w:color w:val="000000"/>
                <w:sz w:val="18"/>
              </w:rPr>
            </w:pPr>
            <w:r>
              <w:rPr>
                <w:color w:val="000000"/>
                <w:sz w:val="18"/>
              </w:rPr>
              <w:t xml:space="preserve">  8,403</w:t>
            </w:r>
            <w:r w:rsidR="0032226A">
              <w:rPr>
                <w:color w:val="000000"/>
                <w:sz w:val="18"/>
              </w:rPr>
              <w:t>.36</w:t>
            </w:r>
          </w:p>
        </w:tc>
        <w:tc>
          <w:tcPr>
            <w:tcW w:w="1279" w:type="dxa"/>
            <w:tcBorders>
              <w:bottom w:val="single" w:sz="4" w:space="0" w:color="auto"/>
            </w:tcBorders>
            <w:vAlign w:val="center"/>
          </w:tcPr>
          <w:p w14:paraId="279C4DFE" w14:textId="40C6EAAA" w:rsidR="00FD6CDA" w:rsidRDefault="00FD6CDA" w:rsidP="00CB5B73">
            <w:pPr>
              <w:ind w:right="-15"/>
              <w:jc w:val="right"/>
              <w:rPr>
                <w:color w:val="000000"/>
                <w:sz w:val="18"/>
              </w:rPr>
            </w:pPr>
            <w:r w:rsidRPr="00C92EFE">
              <w:rPr>
                <w:color w:val="000000"/>
                <w:sz w:val="18"/>
              </w:rPr>
              <w:t>2,999,999.52</w:t>
            </w:r>
          </w:p>
        </w:tc>
        <w:tc>
          <w:tcPr>
            <w:tcW w:w="1350" w:type="dxa"/>
            <w:tcBorders>
              <w:bottom w:val="single" w:sz="4" w:space="0" w:color="auto"/>
            </w:tcBorders>
            <w:vAlign w:val="center"/>
          </w:tcPr>
          <w:p w14:paraId="3268BFE6" w14:textId="77777777" w:rsidR="00FD6CDA" w:rsidRDefault="00FD6CDA" w:rsidP="00FD6CDA">
            <w:pPr>
              <w:ind w:right="-109"/>
              <w:jc w:val="center"/>
              <w:rPr>
                <w:color w:val="000000"/>
                <w:sz w:val="18"/>
              </w:rPr>
            </w:pPr>
            <w:r>
              <w:rPr>
                <w:color w:val="000000"/>
                <w:sz w:val="18"/>
              </w:rPr>
              <w:t>.25</w:t>
            </w:r>
          </w:p>
        </w:tc>
        <w:tc>
          <w:tcPr>
            <w:tcW w:w="1350" w:type="dxa"/>
            <w:tcBorders>
              <w:bottom w:val="single" w:sz="4" w:space="0" w:color="auto"/>
            </w:tcBorders>
            <w:vAlign w:val="center"/>
          </w:tcPr>
          <w:p w14:paraId="7796B4FD" w14:textId="2AFE3CBF" w:rsidR="00FD6CDA" w:rsidRDefault="00CB5B73" w:rsidP="00FD6CDA">
            <w:pPr>
              <w:ind w:right="-32"/>
              <w:jc w:val="right"/>
              <w:rPr>
                <w:color w:val="000000"/>
                <w:sz w:val="18"/>
              </w:rPr>
            </w:pPr>
            <w:r>
              <w:rPr>
                <w:color w:val="000000"/>
                <w:sz w:val="18"/>
              </w:rPr>
              <w:t>749,999.</w:t>
            </w:r>
            <w:r w:rsidR="002A7A40">
              <w:rPr>
                <w:color w:val="000000"/>
                <w:sz w:val="18"/>
              </w:rPr>
              <w:t>8</w:t>
            </w:r>
            <w:r>
              <w:rPr>
                <w:color w:val="000000"/>
                <w:sz w:val="18"/>
              </w:rPr>
              <w:t>8</w:t>
            </w:r>
          </w:p>
        </w:tc>
        <w:tc>
          <w:tcPr>
            <w:tcW w:w="990" w:type="dxa"/>
            <w:tcBorders>
              <w:bottom w:val="single" w:sz="4" w:space="0" w:color="auto"/>
            </w:tcBorders>
            <w:vAlign w:val="center"/>
          </w:tcPr>
          <w:p w14:paraId="6BAA5754" w14:textId="77777777" w:rsidR="00FD6CDA" w:rsidRDefault="00FD6CDA" w:rsidP="00FD6CDA">
            <w:pPr>
              <w:jc w:val="center"/>
            </w:pPr>
            <w:r w:rsidRPr="0023071A">
              <w:rPr>
                <w:color w:val="000000"/>
                <w:sz w:val="18"/>
              </w:rPr>
              <w:t>$20.00</w:t>
            </w:r>
          </w:p>
        </w:tc>
        <w:tc>
          <w:tcPr>
            <w:tcW w:w="1530" w:type="dxa"/>
            <w:tcBorders>
              <w:bottom w:val="single" w:sz="4" w:space="0" w:color="auto"/>
            </w:tcBorders>
            <w:vAlign w:val="center"/>
          </w:tcPr>
          <w:p w14:paraId="00E51074" w14:textId="0571F8C8" w:rsidR="00FD6CDA" w:rsidRDefault="00FD6CDA" w:rsidP="00FD6CDA">
            <w:pPr>
              <w:jc w:val="right"/>
              <w:rPr>
                <w:color w:val="000000"/>
                <w:sz w:val="18"/>
              </w:rPr>
            </w:pPr>
            <w:r>
              <w:rPr>
                <w:color w:val="000000"/>
                <w:sz w:val="18"/>
              </w:rPr>
              <w:t>$1</w:t>
            </w:r>
            <w:r w:rsidR="00CB5B73">
              <w:rPr>
                <w:color w:val="000000"/>
                <w:sz w:val="18"/>
              </w:rPr>
              <w:t>4,999,997.60</w:t>
            </w:r>
          </w:p>
        </w:tc>
      </w:tr>
      <w:tr w:rsidR="00CB5B73" w14:paraId="2AF2A2BB" w14:textId="77777777" w:rsidTr="00CB5B73">
        <w:trPr>
          <w:cantSplit/>
          <w:trHeight w:val="181"/>
        </w:trPr>
        <w:tc>
          <w:tcPr>
            <w:tcW w:w="2157" w:type="dxa"/>
            <w:tcBorders>
              <w:bottom w:val="single" w:sz="4" w:space="0" w:color="auto"/>
            </w:tcBorders>
            <w:shd w:val="clear" w:color="auto" w:fill="auto"/>
            <w:vAlign w:val="center"/>
          </w:tcPr>
          <w:p w14:paraId="2DA8A6C3" w14:textId="77777777" w:rsidR="00CB5B73" w:rsidRDefault="00CB5B73" w:rsidP="00CB5B73">
            <w:pPr>
              <w:ind w:right="180"/>
              <w:rPr>
                <w:color w:val="000000"/>
                <w:sz w:val="18"/>
              </w:rPr>
            </w:pPr>
            <w:r>
              <w:rPr>
                <w:color w:val="000000"/>
                <w:sz w:val="18"/>
              </w:rPr>
              <w:t>Customer Service Requests</w:t>
            </w:r>
          </w:p>
        </w:tc>
        <w:tc>
          <w:tcPr>
            <w:tcW w:w="1363" w:type="dxa"/>
            <w:tcBorders>
              <w:bottom w:val="single" w:sz="4" w:space="0" w:color="auto"/>
            </w:tcBorders>
            <w:shd w:val="clear" w:color="auto" w:fill="auto"/>
            <w:vAlign w:val="center"/>
          </w:tcPr>
          <w:p w14:paraId="3A124F99" w14:textId="77777777" w:rsidR="00CB5B73" w:rsidRDefault="00CB5B73" w:rsidP="00CB5B73">
            <w:pPr>
              <w:jc w:val="center"/>
            </w:pPr>
            <w:r w:rsidRPr="00191166">
              <w:rPr>
                <w:color w:val="000000"/>
                <w:sz w:val="18"/>
              </w:rPr>
              <w:t>357</w:t>
            </w:r>
          </w:p>
        </w:tc>
        <w:tc>
          <w:tcPr>
            <w:tcW w:w="1429" w:type="dxa"/>
            <w:tcBorders>
              <w:bottom w:val="single" w:sz="4" w:space="0" w:color="auto"/>
            </w:tcBorders>
            <w:shd w:val="clear" w:color="auto" w:fill="auto"/>
            <w:vAlign w:val="center"/>
          </w:tcPr>
          <w:p w14:paraId="6B84625E" w14:textId="69E3E38B" w:rsidR="00CB5B73" w:rsidRDefault="00CB5B73" w:rsidP="00CB5B73">
            <w:pPr>
              <w:jc w:val="right"/>
              <w:rPr>
                <w:color w:val="000000"/>
                <w:sz w:val="18"/>
              </w:rPr>
            </w:pPr>
            <w:r>
              <w:rPr>
                <w:color w:val="000000"/>
                <w:sz w:val="18"/>
              </w:rPr>
              <w:t xml:space="preserve">  8,403.36</w:t>
            </w:r>
          </w:p>
        </w:tc>
        <w:tc>
          <w:tcPr>
            <w:tcW w:w="1279" w:type="dxa"/>
            <w:tcBorders>
              <w:bottom w:val="single" w:sz="4" w:space="0" w:color="auto"/>
            </w:tcBorders>
            <w:shd w:val="clear" w:color="auto" w:fill="auto"/>
            <w:vAlign w:val="center"/>
          </w:tcPr>
          <w:p w14:paraId="50BE9C6B" w14:textId="7770E7CF" w:rsidR="00CB5B73" w:rsidRDefault="00CB5B73" w:rsidP="00CB5B73">
            <w:pPr>
              <w:jc w:val="right"/>
              <w:rPr>
                <w:color w:val="000000"/>
                <w:sz w:val="18"/>
              </w:rPr>
            </w:pPr>
            <w:r w:rsidRPr="00C92EFE">
              <w:rPr>
                <w:color w:val="000000"/>
                <w:sz w:val="18"/>
              </w:rPr>
              <w:t>2,999,999.52</w:t>
            </w:r>
          </w:p>
        </w:tc>
        <w:tc>
          <w:tcPr>
            <w:tcW w:w="1350" w:type="dxa"/>
            <w:tcBorders>
              <w:bottom w:val="single" w:sz="4" w:space="0" w:color="auto"/>
            </w:tcBorders>
            <w:shd w:val="clear" w:color="auto" w:fill="auto"/>
            <w:vAlign w:val="center"/>
          </w:tcPr>
          <w:p w14:paraId="3B83A0D8" w14:textId="77777777" w:rsidR="00CB5B73" w:rsidRDefault="00CB5B73" w:rsidP="00CB5B73">
            <w:pPr>
              <w:ind w:right="-109"/>
              <w:jc w:val="center"/>
              <w:rPr>
                <w:color w:val="000000"/>
                <w:sz w:val="18"/>
              </w:rPr>
            </w:pPr>
            <w:r>
              <w:rPr>
                <w:color w:val="000000"/>
                <w:sz w:val="18"/>
              </w:rPr>
              <w:t>.25</w:t>
            </w:r>
          </w:p>
        </w:tc>
        <w:tc>
          <w:tcPr>
            <w:tcW w:w="1350" w:type="dxa"/>
            <w:tcBorders>
              <w:bottom w:val="single" w:sz="4" w:space="0" w:color="auto"/>
            </w:tcBorders>
            <w:shd w:val="clear" w:color="auto" w:fill="auto"/>
            <w:vAlign w:val="center"/>
          </w:tcPr>
          <w:p w14:paraId="43BE4E7E" w14:textId="44DEB68A" w:rsidR="00CB5B73" w:rsidRDefault="00CB5B73" w:rsidP="00CB5B73">
            <w:pPr>
              <w:ind w:right="-32"/>
              <w:jc w:val="right"/>
              <w:rPr>
                <w:color w:val="000000"/>
                <w:sz w:val="18"/>
              </w:rPr>
            </w:pPr>
            <w:r>
              <w:rPr>
                <w:color w:val="000000"/>
                <w:sz w:val="18"/>
              </w:rPr>
              <w:t>749,999.</w:t>
            </w:r>
            <w:r w:rsidR="002A7A40">
              <w:rPr>
                <w:color w:val="000000"/>
                <w:sz w:val="18"/>
              </w:rPr>
              <w:t>8</w:t>
            </w:r>
            <w:r>
              <w:rPr>
                <w:color w:val="000000"/>
                <w:sz w:val="18"/>
              </w:rPr>
              <w:t>8</w:t>
            </w:r>
          </w:p>
        </w:tc>
        <w:tc>
          <w:tcPr>
            <w:tcW w:w="990" w:type="dxa"/>
            <w:tcBorders>
              <w:bottom w:val="single" w:sz="4" w:space="0" w:color="auto"/>
            </w:tcBorders>
            <w:shd w:val="clear" w:color="auto" w:fill="auto"/>
            <w:vAlign w:val="center"/>
          </w:tcPr>
          <w:p w14:paraId="76D6114F" w14:textId="77777777" w:rsidR="00CB5B73" w:rsidRDefault="00CB5B73" w:rsidP="00CB5B73">
            <w:pPr>
              <w:jc w:val="center"/>
            </w:pPr>
            <w:r w:rsidRPr="0023071A">
              <w:rPr>
                <w:color w:val="000000"/>
                <w:sz w:val="18"/>
              </w:rPr>
              <w:t>$20.00</w:t>
            </w:r>
          </w:p>
        </w:tc>
        <w:tc>
          <w:tcPr>
            <w:tcW w:w="1530" w:type="dxa"/>
            <w:tcBorders>
              <w:bottom w:val="single" w:sz="4" w:space="0" w:color="auto"/>
            </w:tcBorders>
            <w:shd w:val="clear" w:color="auto" w:fill="auto"/>
            <w:vAlign w:val="center"/>
          </w:tcPr>
          <w:p w14:paraId="0D63063A" w14:textId="0078CA16" w:rsidR="00CB5B73" w:rsidRDefault="00CB5B73" w:rsidP="00CB5B73">
            <w:pPr>
              <w:jc w:val="right"/>
              <w:rPr>
                <w:color w:val="000000"/>
                <w:sz w:val="18"/>
              </w:rPr>
            </w:pPr>
            <w:r>
              <w:rPr>
                <w:color w:val="000000"/>
                <w:sz w:val="18"/>
              </w:rPr>
              <w:t>$14,999,997.60</w:t>
            </w:r>
          </w:p>
        </w:tc>
      </w:tr>
      <w:tr w:rsidR="00CB5B73" w14:paraId="51C4AEE8" w14:textId="77777777" w:rsidTr="00293FAE">
        <w:trPr>
          <w:cantSplit/>
          <w:trHeight w:val="181"/>
        </w:trPr>
        <w:tc>
          <w:tcPr>
            <w:tcW w:w="2157" w:type="dxa"/>
            <w:tcBorders>
              <w:bottom w:val="single" w:sz="4" w:space="0" w:color="auto"/>
            </w:tcBorders>
            <w:shd w:val="clear" w:color="auto" w:fill="C0C0C0"/>
            <w:vAlign w:val="center"/>
          </w:tcPr>
          <w:p w14:paraId="3959BA99" w14:textId="77777777" w:rsidR="00CB5B73" w:rsidRDefault="00CB5B73" w:rsidP="00CB5B73">
            <w:pPr>
              <w:ind w:right="180"/>
              <w:rPr>
                <w:color w:val="000000"/>
                <w:sz w:val="18"/>
              </w:rPr>
            </w:pPr>
            <w:r>
              <w:rPr>
                <w:color w:val="000000"/>
                <w:sz w:val="18"/>
              </w:rPr>
              <w:t>Post Endorsement Fees/Charges</w:t>
            </w:r>
          </w:p>
        </w:tc>
        <w:tc>
          <w:tcPr>
            <w:tcW w:w="1363" w:type="dxa"/>
            <w:tcBorders>
              <w:bottom w:val="single" w:sz="4" w:space="0" w:color="auto"/>
            </w:tcBorders>
            <w:shd w:val="clear" w:color="auto" w:fill="C0C0C0"/>
            <w:vAlign w:val="center"/>
          </w:tcPr>
          <w:p w14:paraId="4258512E" w14:textId="77777777" w:rsidR="00CB5B73" w:rsidRDefault="00CB5B73" w:rsidP="00CB5B73">
            <w:pPr>
              <w:jc w:val="center"/>
              <w:rPr>
                <w:color w:val="000000"/>
                <w:sz w:val="18"/>
              </w:rPr>
            </w:pPr>
          </w:p>
        </w:tc>
        <w:tc>
          <w:tcPr>
            <w:tcW w:w="1429" w:type="dxa"/>
            <w:tcBorders>
              <w:bottom w:val="single" w:sz="4" w:space="0" w:color="auto"/>
            </w:tcBorders>
            <w:shd w:val="clear" w:color="auto" w:fill="C0C0C0"/>
            <w:vAlign w:val="center"/>
          </w:tcPr>
          <w:p w14:paraId="512F2422" w14:textId="77777777" w:rsidR="00CB5B73" w:rsidRDefault="00CB5B73" w:rsidP="00CB5B73">
            <w:pPr>
              <w:jc w:val="right"/>
              <w:rPr>
                <w:color w:val="000000"/>
                <w:sz w:val="18"/>
              </w:rPr>
            </w:pPr>
          </w:p>
        </w:tc>
        <w:tc>
          <w:tcPr>
            <w:tcW w:w="1279" w:type="dxa"/>
            <w:tcBorders>
              <w:bottom w:val="single" w:sz="4" w:space="0" w:color="auto"/>
            </w:tcBorders>
            <w:shd w:val="clear" w:color="auto" w:fill="C0C0C0"/>
            <w:vAlign w:val="center"/>
          </w:tcPr>
          <w:p w14:paraId="1889FEB3" w14:textId="77777777" w:rsidR="00CB5B73" w:rsidRDefault="00CB5B73" w:rsidP="00CB5B73">
            <w:pPr>
              <w:ind w:right="180"/>
              <w:jc w:val="right"/>
              <w:rPr>
                <w:color w:val="000000"/>
                <w:sz w:val="18"/>
              </w:rPr>
            </w:pPr>
          </w:p>
        </w:tc>
        <w:tc>
          <w:tcPr>
            <w:tcW w:w="1350" w:type="dxa"/>
            <w:tcBorders>
              <w:bottom w:val="single" w:sz="4" w:space="0" w:color="auto"/>
            </w:tcBorders>
            <w:shd w:val="clear" w:color="auto" w:fill="C0C0C0"/>
            <w:vAlign w:val="center"/>
          </w:tcPr>
          <w:p w14:paraId="00FCE469" w14:textId="77777777" w:rsidR="00CB5B73" w:rsidRDefault="00CB5B73" w:rsidP="00CB5B73">
            <w:pPr>
              <w:ind w:right="180"/>
              <w:jc w:val="center"/>
              <w:rPr>
                <w:color w:val="000000"/>
                <w:sz w:val="18"/>
              </w:rPr>
            </w:pPr>
          </w:p>
        </w:tc>
        <w:tc>
          <w:tcPr>
            <w:tcW w:w="1350" w:type="dxa"/>
            <w:tcBorders>
              <w:bottom w:val="single" w:sz="4" w:space="0" w:color="auto"/>
            </w:tcBorders>
            <w:shd w:val="clear" w:color="auto" w:fill="C0C0C0"/>
            <w:vAlign w:val="center"/>
          </w:tcPr>
          <w:p w14:paraId="00D33949" w14:textId="77777777" w:rsidR="00CB5B73" w:rsidRDefault="00CB5B73" w:rsidP="00CB5B73">
            <w:pPr>
              <w:ind w:right="180"/>
              <w:jc w:val="right"/>
              <w:rPr>
                <w:color w:val="000000"/>
                <w:sz w:val="18"/>
              </w:rPr>
            </w:pPr>
          </w:p>
        </w:tc>
        <w:tc>
          <w:tcPr>
            <w:tcW w:w="990" w:type="dxa"/>
            <w:tcBorders>
              <w:bottom w:val="single" w:sz="4" w:space="0" w:color="auto"/>
            </w:tcBorders>
            <w:shd w:val="clear" w:color="auto" w:fill="C0C0C0"/>
            <w:vAlign w:val="center"/>
          </w:tcPr>
          <w:p w14:paraId="42494E48" w14:textId="77777777" w:rsidR="00CB5B73" w:rsidRDefault="00CB5B73" w:rsidP="00CB5B73">
            <w:pPr>
              <w:ind w:right="180"/>
              <w:jc w:val="right"/>
              <w:rPr>
                <w:color w:val="000000"/>
                <w:sz w:val="18"/>
              </w:rPr>
            </w:pPr>
          </w:p>
        </w:tc>
        <w:tc>
          <w:tcPr>
            <w:tcW w:w="1530" w:type="dxa"/>
            <w:tcBorders>
              <w:bottom w:val="single" w:sz="4" w:space="0" w:color="auto"/>
            </w:tcBorders>
            <w:shd w:val="clear" w:color="auto" w:fill="C0C0C0"/>
            <w:vAlign w:val="center"/>
          </w:tcPr>
          <w:p w14:paraId="114CFE4E" w14:textId="77777777" w:rsidR="00CB5B73" w:rsidRDefault="00CB5B73" w:rsidP="00CB5B73">
            <w:pPr>
              <w:ind w:right="180"/>
              <w:jc w:val="right"/>
              <w:rPr>
                <w:color w:val="000000"/>
                <w:sz w:val="18"/>
              </w:rPr>
            </w:pPr>
          </w:p>
        </w:tc>
      </w:tr>
      <w:tr w:rsidR="00CB5B73" w14:paraId="7FF5E008" w14:textId="77777777" w:rsidTr="00293FAE">
        <w:trPr>
          <w:cantSplit/>
          <w:trHeight w:val="272"/>
        </w:trPr>
        <w:tc>
          <w:tcPr>
            <w:tcW w:w="2157" w:type="dxa"/>
            <w:tcBorders>
              <w:bottom w:val="single" w:sz="4" w:space="0" w:color="auto"/>
            </w:tcBorders>
            <w:vAlign w:val="center"/>
          </w:tcPr>
          <w:p w14:paraId="0176D972" w14:textId="77777777" w:rsidR="00CB5B73" w:rsidRDefault="00CB5B73" w:rsidP="00CB5B73">
            <w:pPr>
              <w:ind w:right="180"/>
              <w:rPr>
                <w:color w:val="000000"/>
                <w:sz w:val="18"/>
              </w:rPr>
            </w:pPr>
            <w:r>
              <w:rPr>
                <w:color w:val="000000"/>
                <w:sz w:val="18"/>
              </w:rPr>
              <w:t>Written Policy</w:t>
            </w:r>
          </w:p>
        </w:tc>
        <w:tc>
          <w:tcPr>
            <w:tcW w:w="1363" w:type="dxa"/>
            <w:tcBorders>
              <w:bottom w:val="single" w:sz="4" w:space="0" w:color="auto"/>
            </w:tcBorders>
            <w:vAlign w:val="center"/>
          </w:tcPr>
          <w:p w14:paraId="478091C0" w14:textId="77777777" w:rsidR="00CB5B73" w:rsidRDefault="00CB5B73" w:rsidP="00CB5B73">
            <w:pPr>
              <w:jc w:val="center"/>
            </w:pPr>
            <w:r w:rsidRPr="00FF7A6E">
              <w:rPr>
                <w:color w:val="000000"/>
                <w:sz w:val="18"/>
              </w:rPr>
              <w:t>357</w:t>
            </w:r>
          </w:p>
        </w:tc>
        <w:tc>
          <w:tcPr>
            <w:tcW w:w="1429" w:type="dxa"/>
            <w:tcBorders>
              <w:bottom w:val="single" w:sz="4" w:space="0" w:color="auto"/>
            </w:tcBorders>
            <w:vAlign w:val="center"/>
          </w:tcPr>
          <w:p w14:paraId="2A645A74" w14:textId="42A60FA3" w:rsidR="00CB5B73" w:rsidRDefault="00CB5B73" w:rsidP="00CB5B73">
            <w:pPr>
              <w:jc w:val="right"/>
              <w:rPr>
                <w:color w:val="000000"/>
                <w:sz w:val="18"/>
              </w:rPr>
            </w:pPr>
            <w:r>
              <w:rPr>
                <w:color w:val="000000"/>
                <w:sz w:val="18"/>
              </w:rPr>
              <w:t>0.91</w:t>
            </w:r>
          </w:p>
        </w:tc>
        <w:tc>
          <w:tcPr>
            <w:tcW w:w="1279" w:type="dxa"/>
            <w:tcBorders>
              <w:bottom w:val="single" w:sz="4" w:space="0" w:color="auto"/>
            </w:tcBorders>
            <w:vAlign w:val="center"/>
          </w:tcPr>
          <w:p w14:paraId="66EEE210" w14:textId="7690F375" w:rsidR="00CB5B73" w:rsidRDefault="00CB5B73" w:rsidP="00CB5B73">
            <w:pPr>
              <w:jc w:val="right"/>
              <w:rPr>
                <w:color w:val="000000"/>
                <w:sz w:val="18"/>
              </w:rPr>
            </w:pPr>
            <w:r>
              <w:rPr>
                <w:color w:val="000000"/>
                <w:sz w:val="18"/>
              </w:rPr>
              <w:t>324.87</w:t>
            </w:r>
          </w:p>
        </w:tc>
        <w:tc>
          <w:tcPr>
            <w:tcW w:w="1350" w:type="dxa"/>
            <w:tcBorders>
              <w:bottom w:val="single" w:sz="4" w:space="0" w:color="auto"/>
            </w:tcBorders>
            <w:vAlign w:val="center"/>
          </w:tcPr>
          <w:p w14:paraId="75637C6A" w14:textId="33BBB7BA" w:rsidR="00CB5B73" w:rsidRDefault="00CB5B73" w:rsidP="00CB5B73">
            <w:pPr>
              <w:ind w:right="-109"/>
              <w:jc w:val="center"/>
              <w:rPr>
                <w:color w:val="000000"/>
                <w:sz w:val="18"/>
              </w:rPr>
            </w:pPr>
            <w:r>
              <w:rPr>
                <w:color w:val="000000"/>
                <w:sz w:val="18"/>
              </w:rPr>
              <w:t>40.00</w:t>
            </w:r>
          </w:p>
        </w:tc>
        <w:tc>
          <w:tcPr>
            <w:tcW w:w="1350" w:type="dxa"/>
            <w:tcBorders>
              <w:bottom w:val="single" w:sz="4" w:space="0" w:color="auto"/>
            </w:tcBorders>
            <w:vAlign w:val="center"/>
          </w:tcPr>
          <w:p w14:paraId="04A8F156" w14:textId="75CC70E8" w:rsidR="00CB5B73" w:rsidRDefault="00CB5B73" w:rsidP="00CB5B73">
            <w:pPr>
              <w:jc w:val="right"/>
              <w:rPr>
                <w:color w:val="000000"/>
                <w:sz w:val="18"/>
              </w:rPr>
            </w:pPr>
            <w:r>
              <w:rPr>
                <w:color w:val="000000"/>
                <w:sz w:val="18"/>
              </w:rPr>
              <w:t>12,994.80</w:t>
            </w:r>
          </w:p>
        </w:tc>
        <w:tc>
          <w:tcPr>
            <w:tcW w:w="990" w:type="dxa"/>
            <w:tcBorders>
              <w:bottom w:val="single" w:sz="4" w:space="0" w:color="auto"/>
            </w:tcBorders>
            <w:vAlign w:val="center"/>
          </w:tcPr>
          <w:p w14:paraId="603F2969" w14:textId="77777777" w:rsidR="00CB5B73" w:rsidRDefault="00CB5B73" w:rsidP="00CB5B73">
            <w:pPr>
              <w:jc w:val="center"/>
            </w:pPr>
            <w:r w:rsidRPr="0005143B">
              <w:rPr>
                <w:color w:val="000000"/>
                <w:sz w:val="18"/>
              </w:rPr>
              <w:t>$20.00</w:t>
            </w:r>
          </w:p>
        </w:tc>
        <w:tc>
          <w:tcPr>
            <w:tcW w:w="1530" w:type="dxa"/>
            <w:tcBorders>
              <w:bottom w:val="single" w:sz="4" w:space="0" w:color="auto"/>
            </w:tcBorders>
            <w:vAlign w:val="center"/>
          </w:tcPr>
          <w:p w14:paraId="722491AF" w14:textId="6BCD7F71" w:rsidR="00CB5B73" w:rsidRDefault="00CB5B73" w:rsidP="00CB5B73">
            <w:pPr>
              <w:jc w:val="right"/>
              <w:rPr>
                <w:color w:val="000000"/>
                <w:sz w:val="18"/>
              </w:rPr>
            </w:pPr>
            <w:r>
              <w:rPr>
                <w:color w:val="000000"/>
                <w:sz w:val="18"/>
              </w:rPr>
              <w:t>$259,896.00</w:t>
            </w:r>
          </w:p>
        </w:tc>
      </w:tr>
      <w:tr w:rsidR="00CB5B73" w14:paraId="4129DBC7" w14:textId="77777777" w:rsidTr="00293FAE">
        <w:trPr>
          <w:cantSplit/>
          <w:trHeight w:val="272"/>
        </w:trPr>
        <w:tc>
          <w:tcPr>
            <w:tcW w:w="2157" w:type="dxa"/>
            <w:tcBorders>
              <w:bottom w:val="single" w:sz="4" w:space="0" w:color="auto"/>
            </w:tcBorders>
            <w:vAlign w:val="center"/>
          </w:tcPr>
          <w:p w14:paraId="16A07DAF" w14:textId="77777777" w:rsidR="00CB5B73" w:rsidRDefault="00CB5B73" w:rsidP="00CB5B73">
            <w:pPr>
              <w:ind w:right="180"/>
              <w:rPr>
                <w:color w:val="000000"/>
                <w:sz w:val="18"/>
              </w:rPr>
            </w:pPr>
            <w:r>
              <w:rPr>
                <w:color w:val="000000"/>
                <w:sz w:val="18"/>
              </w:rPr>
              <w:t>Special Service Fees</w:t>
            </w:r>
          </w:p>
        </w:tc>
        <w:tc>
          <w:tcPr>
            <w:tcW w:w="1363" w:type="dxa"/>
            <w:tcBorders>
              <w:bottom w:val="single" w:sz="4" w:space="0" w:color="auto"/>
            </w:tcBorders>
            <w:vAlign w:val="center"/>
          </w:tcPr>
          <w:p w14:paraId="26024FE8" w14:textId="77777777" w:rsidR="00CB5B73" w:rsidRDefault="00CB5B73" w:rsidP="00CB5B73">
            <w:pPr>
              <w:jc w:val="center"/>
            </w:pPr>
            <w:r w:rsidRPr="00FF7A6E">
              <w:rPr>
                <w:color w:val="000000"/>
                <w:sz w:val="18"/>
              </w:rPr>
              <w:t>357</w:t>
            </w:r>
          </w:p>
        </w:tc>
        <w:tc>
          <w:tcPr>
            <w:tcW w:w="1429" w:type="dxa"/>
            <w:tcBorders>
              <w:bottom w:val="single" w:sz="4" w:space="0" w:color="auto"/>
            </w:tcBorders>
            <w:vAlign w:val="center"/>
          </w:tcPr>
          <w:p w14:paraId="41C04D00" w14:textId="703B2585" w:rsidR="00CB5B73" w:rsidRDefault="00CB5B73" w:rsidP="00CB5B73">
            <w:pPr>
              <w:jc w:val="right"/>
              <w:rPr>
                <w:color w:val="000000"/>
                <w:sz w:val="18"/>
              </w:rPr>
            </w:pPr>
            <w:r>
              <w:rPr>
                <w:color w:val="000000"/>
                <w:sz w:val="18"/>
              </w:rPr>
              <w:t>11,204.48</w:t>
            </w:r>
          </w:p>
        </w:tc>
        <w:tc>
          <w:tcPr>
            <w:tcW w:w="1279" w:type="dxa"/>
            <w:tcBorders>
              <w:bottom w:val="single" w:sz="4" w:space="0" w:color="auto"/>
            </w:tcBorders>
            <w:vAlign w:val="center"/>
          </w:tcPr>
          <w:p w14:paraId="0956CB0D" w14:textId="6D74BF10" w:rsidR="00CB5B73" w:rsidRDefault="00CB5B73" w:rsidP="00CB5B73">
            <w:pPr>
              <w:ind w:right="18"/>
              <w:jc w:val="right"/>
              <w:rPr>
                <w:color w:val="000000"/>
                <w:sz w:val="18"/>
              </w:rPr>
            </w:pPr>
            <w:r>
              <w:rPr>
                <w:color w:val="000000"/>
                <w:sz w:val="18"/>
              </w:rPr>
              <w:t>3,999,999.36</w:t>
            </w:r>
          </w:p>
        </w:tc>
        <w:tc>
          <w:tcPr>
            <w:tcW w:w="1350" w:type="dxa"/>
            <w:tcBorders>
              <w:bottom w:val="single" w:sz="4" w:space="0" w:color="auto"/>
            </w:tcBorders>
            <w:vAlign w:val="center"/>
          </w:tcPr>
          <w:p w14:paraId="61B8613A" w14:textId="77777777" w:rsidR="00CB5B73" w:rsidRDefault="00CB5B73" w:rsidP="00CB5B73">
            <w:pPr>
              <w:ind w:right="-109"/>
              <w:jc w:val="center"/>
              <w:rPr>
                <w:color w:val="000000"/>
                <w:sz w:val="18"/>
              </w:rPr>
            </w:pPr>
            <w:r>
              <w:rPr>
                <w:color w:val="000000"/>
                <w:sz w:val="18"/>
              </w:rPr>
              <w:t>.02</w:t>
            </w:r>
          </w:p>
        </w:tc>
        <w:tc>
          <w:tcPr>
            <w:tcW w:w="1350" w:type="dxa"/>
            <w:tcBorders>
              <w:bottom w:val="single" w:sz="4" w:space="0" w:color="auto"/>
            </w:tcBorders>
            <w:vAlign w:val="center"/>
          </w:tcPr>
          <w:p w14:paraId="7976CE0D" w14:textId="1FFCC434" w:rsidR="00CB5B73" w:rsidRDefault="00CB5B73" w:rsidP="00CB5B73">
            <w:pPr>
              <w:jc w:val="right"/>
              <w:rPr>
                <w:color w:val="000000"/>
                <w:sz w:val="18"/>
              </w:rPr>
            </w:pPr>
            <w:r>
              <w:rPr>
                <w:color w:val="000000"/>
                <w:sz w:val="18"/>
              </w:rPr>
              <w:t>79,999.99</w:t>
            </w:r>
          </w:p>
        </w:tc>
        <w:tc>
          <w:tcPr>
            <w:tcW w:w="990" w:type="dxa"/>
            <w:tcBorders>
              <w:bottom w:val="single" w:sz="4" w:space="0" w:color="auto"/>
            </w:tcBorders>
            <w:vAlign w:val="center"/>
          </w:tcPr>
          <w:p w14:paraId="5DCBBCB6" w14:textId="77777777" w:rsidR="00CB5B73" w:rsidRDefault="00CB5B73" w:rsidP="00CB5B73">
            <w:pPr>
              <w:jc w:val="center"/>
            </w:pPr>
            <w:r w:rsidRPr="0005143B">
              <w:rPr>
                <w:color w:val="000000"/>
                <w:sz w:val="18"/>
              </w:rPr>
              <w:t>$20.00</w:t>
            </w:r>
          </w:p>
        </w:tc>
        <w:tc>
          <w:tcPr>
            <w:tcW w:w="1530" w:type="dxa"/>
            <w:tcBorders>
              <w:bottom w:val="single" w:sz="4" w:space="0" w:color="auto"/>
            </w:tcBorders>
            <w:vAlign w:val="center"/>
          </w:tcPr>
          <w:p w14:paraId="6C1372D9" w14:textId="7F6CFD31" w:rsidR="00CB5B73" w:rsidRDefault="00CB5B73" w:rsidP="00CB5B73">
            <w:pPr>
              <w:jc w:val="right"/>
              <w:rPr>
                <w:color w:val="000000"/>
                <w:sz w:val="18"/>
              </w:rPr>
            </w:pPr>
            <w:r>
              <w:rPr>
                <w:color w:val="000000"/>
                <w:sz w:val="18"/>
              </w:rPr>
              <w:t>$1,599,999.</w:t>
            </w:r>
            <w:r w:rsidR="002A7A40">
              <w:rPr>
                <w:color w:val="000000"/>
                <w:sz w:val="18"/>
              </w:rPr>
              <w:t>80</w:t>
            </w:r>
          </w:p>
        </w:tc>
      </w:tr>
      <w:tr w:rsidR="00CB5B73" w14:paraId="19E649AB" w14:textId="77777777" w:rsidTr="00293FAE">
        <w:trPr>
          <w:cantSplit/>
          <w:trHeight w:val="272"/>
        </w:trPr>
        <w:tc>
          <w:tcPr>
            <w:tcW w:w="2157" w:type="dxa"/>
            <w:vAlign w:val="center"/>
          </w:tcPr>
          <w:p w14:paraId="7DE13F53" w14:textId="77777777" w:rsidR="00CB5B73" w:rsidRDefault="00CB5B73" w:rsidP="00CB5B73">
            <w:pPr>
              <w:ind w:right="180"/>
              <w:rPr>
                <w:color w:val="000000"/>
                <w:sz w:val="18"/>
              </w:rPr>
            </w:pPr>
            <w:r>
              <w:rPr>
                <w:color w:val="000000"/>
                <w:sz w:val="18"/>
              </w:rPr>
              <w:t>Prohibited Fees</w:t>
            </w:r>
          </w:p>
        </w:tc>
        <w:tc>
          <w:tcPr>
            <w:tcW w:w="1363" w:type="dxa"/>
            <w:vAlign w:val="center"/>
          </w:tcPr>
          <w:p w14:paraId="454751C8" w14:textId="77777777" w:rsidR="00CB5B73" w:rsidRDefault="00CB5B73" w:rsidP="00CB5B73">
            <w:pPr>
              <w:jc w:val="center"/>
            </w:pPr>
            <w:r w:rsidRPr="00FF7A6E">
              <w:rPr>
                <w:color w:val="000000"/>
                <w:sz w:val="18"/>
              </w:rPr>
              <w:t>357</w:t>
            </w:r>
          </w:p>
        </w:tc>
        <w:tc>
          <w:tcPr>
            <w:tcW w:w="1429" w:type="dxa"/>
            <w:vAlign w:val="center"/>
          </w:tcPr>
          <w:p w14:paraId="5C193E98" w14:textId="4057E960" w:rsidR="00CB5B73" w:rsidRDefault="00CB5B73" w:rsidP="00CB5B73">
            <w:pPr>
              <w:jc w:val="right"/>
              <w:rPr>
                <w:color w:val="000000"/>
                <w:sz w:val="18"/>
              </w:rPr>
            </w:pPr>
            <w:r>
              <w:rPr>
                <w:color w:val="000000"/>
                <w:sz w:val="18"/>
              </w:rPr>
              <w:t>11,204.48</w:t>
            </w:r>
          </w:p>
        </w:tc>
        <w:tc>
          <w:tcPr>
            <w:tcW w:w="1279" w:type="dxa"/>
            <w:vAlign w:val="center"/>
          </w:tcPr>
          <w:p w14:paraId="4F833E5C" w14:textId="1BB20487" w:rsidR="00CB5B73" w:rsidRDefault="00CB5B73" w:rsidP="00CB5B73">
            <w:pPr>
              <w:jc w:val="right"/>
              <w:rPr>
                <w:color w:val="000000"/>
                <w:sz w:val="18"/>
              </w:rPr>
            </w:pPr>
            <w:r>
              <w:rPr>
                <w:color w:val="000000"/>
                <w:sz w:val="18"/>
              </w:rPr>
              <w:t>3,999,999.36</w:t>
            </w:r>
          </w:p>
        </w:tc>
        <w:tc>
          <w:tcPr>
            <w:tcW w:w="1350" w:type="dxa"/>
            <w:shd w:val="clear" w:color="auto" w:fill="D9D9D9"/>
            <w:vAlign w:val="center"/>
          </w:tcPr>
          <w:p w14:paraId="78FC33E6" w14:textId="77777777" w:rsidR="00CB5B73" w:rsidRPr="00590C7C" w:rsidRDefault="00CB5B73" w:rsidP="00CB5B73">
            <w:pPr>
              <w:ind w:right="180"/>
              <w:jc w:val="center"/>
              <w:rPr>
                <w:color w:val="000000"/>
                <w:sz w:val="16"/>
                <w:szCs w:val="16"/>
              </w:rPr>
            </w:pPr>
            <w:r w:rsidRPr="00590C7C">
              <w:rPr>
                <w:color w:val="000000"/>
                <w:sz w:val="16"/>
                <w:szCs w:val="16"/>
              </w:rPr>
              <w:t>None, this is an industry standard</w:t>
            </w:r>
          </w:p>
        </w:tc>
        <w:tc>
          <w:tcPr>
            <w:tcW w:w="1350" w:type="dxa"/>
            <w:shd w:val="clear" w:color="auto" w:fill="D9D9D9"/>
            <w:vAlign w:val="center"/>
          </w:tcPr>
          <w:p w14:paraId="7E5FEEA5" w14:textId="77777777" w:rsidR="00CB5B73" w:rsidRDefault="00CB5B73" w:rsidP="00CB5B73">
            <w:pPr>
              <w:ind w:right="180"/>
              <w:jc w:val="right"/>
              <w:rPr>
                <w:color w:val="000000"/>
                <w:sz w:val="18"/>
              </w:rPr>
            </w:pPr>
          </w:p>
        </w:tc>
        <w:tc>
          <w:tcPr>
            <w:tcW w:w="990" w:type="dxa"/>
            <w:shd w:val="clear" w:color="auto" w:fill="D9D9D9"/>
            <w:vAlign w:val="center"/>
          </w:tcPr>
          <w:p w14:paraId="415325F4" w14:textId="77777777" w:rsidR="00CB5B73" w:rsidRDefault="00CB5B73" w:rsidP="00CB5B73">
            <w:pPr>
              <w:ind w:right="180"/>
              <w:jc w:val="right"/>
              <w:rPr>
                <w:color w:val="000000"/>
                <w:sz w:val="18"/>
              </w:rPr>
            </w:pPr>
          </w:p>
        </w:tc>
        <w:tc>
          <w:tcPr>
            <w:tcW w:w="1530" w:type="dxa"/>
            <w:shd w:val="clear" w:color="auto" w:fill="D9D9D9"/>
            <w:vAlign w:val="center"/>
          </w:tcPr>
          <w:p w14:paraId="2DE3DEC7" w14:textId="77777777" w:rsidR="00CB5B73" w:rsidRDefault="00CB5B73" w:rsidP="00CB5B73">
            <w:pPr>
              <w:ind w:right="180"/>
              <w:jc w:val="right"/>
              <w:rPr>
                <w:color w:val="000000"/>
                <w:sz w:val="18"/>
              </w:rPr>
            </w:pPr>
          </w:p>
        </w:tc>
      </w:tr>
      <w:tr w:rsidR="00CB5B73" w14:paraId="68D18E2C" w14:textId="77777777" w:rsidTr="00CB5B73">
        <w:trPr>
          <w:cantSplit/>
          <w:trHeight w:val="272"/>
        </w:trPr>
        <w:tc>
          <w:tcPr>
            <w:tcW w:w="2157" w:type="dxa"/>
            <w:tcBorders>
              <w:bottom w:val="single" w:sz="4" w:space="0" w:color="auto"/>
            </w:tcBorders>
            <w:vAlign w:val="center"/>
          </w:tcPr>
          <w:p w14:paraId="1C8723B5" w14:textId="02FDF6C2" w:rsidR="00CB5B73" w:rsidRPr="0032226A" w:rsidRDefault="00CB5B73" w:rsidP="00CB5B73">
            <w:pPr>
              <w:ind w:right="180"/>
              <w:rPr>
                <w:color w:val="000000"/>
                <w:sz w:val="18"/>
                <w:szCs w:val="18"/>
              </w:rPr>
            </w:pPr>
            <w:r w:rsidRPr="0032226A">
              <w:rPr>
                <w:sz w:val="18"/>
                <w:szCs w:val="18"/>
              </w:rPr>
              <w:t>Totals</w:t>
            </w:r>
          </w:p>
        </w:tc>
        <w:tc>
          <w:tcPr>
            <w:tcW w:w="1363" w:type="dxa"/>
            <w:tcBorders>
              <w:bottom w:val="single" w:sz="4" w:space="0" w:color="auto"/>
            </w:tcBorders>
            <w:vAlign w:val="bottom"/>
          </w:tcPr>
          <w:p w14:paraId="077196F9" w14:textId="670939EA" w:rsidR="00CB5B73" w:rsidRPr="0032226A" w:rsidRDefault="00CB5B73" w:rsidP="00CB5B73">
            <w:pPr>
              <w:jc w:val="right"/>
              <w:rPr>
                <w:color w:val="000000"/>
                <w:sz w:val="18"/>
                <w:szCs w:val="18"/>
              </w:rPr>
            </w:pPr>
          </w:p>
        </w:tc>
        <w:tc>
          <w:tcPr>
            <w:tcW w:w="1429" w:type="dxa"/>
            <w:tcBorders>
              <w:bottom w:val="single" w:sz="4" w:space="0" w:color="auto"/>
            </w:tcBorders>
            <w:vAlign w:val="bottom"/>
          </w:tcPr>
          <w:p w14:paraId="2BB9751F" w14:textId="77777777" w:rsidR="00CB5B73" w:rsidRPr="0032226A" w:rsidRDefault="00CB5B73" w:rsidP="00CB5B73">
            <w:pPr>
              <w:jc w:val="right"/>
              <w:rPr>
                <w:color w:val="000000"/>
                <w:sz w:val="18"/>
                <w:szCs w:val="18"/>
              </w:rPr>
            </w:pPr>
          </w:p>
        </w:tc>
        <w:tc>
          <w:tcPr>
            <w:tcW w:w="1279" w:type="dxa"/>
            <w:tcBorders>
              <w:bottom w:val="single" w:sz="4" w:space="0" w:color="auto"/>
            </w:tcBorders>
            <w:vAlign w:val="bottom"/>
          </w:tcPr>
          <w:p w14:paraId="04CEF59D" w14:textId="43BBC2D1" w:rsidR="00CB5B73" w:rsidRPr="0032226A" w:rsidRDefault="00CB5B73" w:rsidP="00CB5B73">
            <w:pPr>
              <w:jc w:val="right"/>
              <w:rPr>
                <w:color w:val="000000"/>
                <w:sz w:val="18"/>
                <w:szCs w:val="18"/>
              </w:rPr>
            </w:pPr>
          </w:p>
        </w:tc>
        <w:tc>
          <w:tcPr>
            <w:tcW w:w="1350" w:type="dxa"/>
            <w:tcBorders>
              <w:bottom w:val="single" w:sz="4" w:space="0" w:color="auto"/>
            </w:tcBorders>
            <w:shd w:val="clear" w:color="auto" w:fill="auto"/>
            <w:vAlign w:val="bottom"/>
          </w:tcPr>
          <w:p w14:paraId="12B1493A" w14:textId="77777777" w:rsidR="00CB5B73" w:rsidRPr="0032226A" w:rsidRDefault="00CB5B73" w:rsidP="00CB5B73">
            <w:pPr>
              <w:ind w:right="180"/>
              <w:jc w:val="right"/>
              <w:rPr>
                <w:color w:val="000000"/>
                <w:sz w:val="18"/>
                <w:szCs w:val="18"/>
              </w:rPr>
            </w:pPr>
          </w:p>
        </w:tc>
        <w:tc>
          <w:tcPr>
            <w:tcW w:w="1350" w:type="dxa"/>
            <w:tcBorders>
              <w:bottom w:val="single" w:sz="4" w:space="0" w:color="auto"/>
            </w:tcBorders>
            <w:shd w:val="clear" w:color="auto" w:fill="auto"/>
            <w:vAlign w:val="bottom"/>
          </w:tcPr>
          <w:p w14:paraId="3652EA99" w14:textId="05A14379" w:rsidR="00CB5B73" w:rsidRPr="0032226A" w:rsidRDefault="00CB5B73" w:rsidP="00CB5B73">
            <w:pPr>
              <w:ind w:right="180"/>
              <w:jc w:val="right"/>
              <w:rPr>
                <w:color w:val="000000"/>
                <w:sz w:val="18"/>
                <w:szCs w:val="18"/>
              </w:rPr>
            </w:pPr>
            <w:r>
              <w:rPr>
                <w:b/>
                <w:bCs/>
                <w:color w:val="000000"/>
                <w:sz w:val="18"/>
                <w:szCs w:val="18"/>
              </w:rPr>
              <w:t>3,064,041.</w:t>
            </w:r>
            <w:r w:rsidR="000A7F43">
              <w:rPr>
                <w:b/>
                <w:bCs/>
                <w:color w:val="000000"/>
                <w:sz w:val="18"/>
                <w:szCs w:val="18"/>
              </w:rPr>
              <w:t>60</w:t>
            </w:r>
          </w:p>
        </w:tc>
        <w:tc>
          <w:tcPr>
            <w:tcW w:w="990" w:type="dxa"/>
            <w:tcBorders>
              <w:bottom w:val="single" w:sz="4" w:space="0" w:color="auto"/>
            </w:tcBorders>
            <w:shd w:val="clear" w:color="auto" w:fill="auto"/>
            <w:vAlign w:val="bottom"/>
          </w:tcPr>
          <w:p w14:paraId="25FEAFB9" w14:textId="77777777" w:rsidR="00CB5B73" w:rsidRPr="0032226A" w:rsidRDefault="00CB5B73" w:rsidP="00CB5B73">
            <w:pPr>
              <w:ind w:right="180"/>
              <w:jc w:val="right"/>
              <w:rPr>
                <w:color w:val="000000"/>
                <w:sz w:val="18"/>
                <w:szCs w:val="18"/>
              </w:rPr>
            </w:pPr>
          </w:p>
        </w:tc>
        <w:tc>
          <w:tcPr>
            <w:tcW w:w="1530" w:type="dxa"/>
            <w:tcBorders>
              <w:bottom w:val="single" w:sz="4" w:space="0" w:color="auto"/>
            </w:tcBorders>
            <w:shd w:val="clear" w:color="auto" w:fill="auto"/>
            <w:vAlign w:val="bottom"/>
          </w:tcPr>
          <w:p w14:paraId="36A81244" w14:textId="3E665BD3" w:rsidR="00CB5B73" w:rsidRPr="0032226A" w:rsidRDefault="00CB5B73" w:rsidP="00CB5B73">
            <w:pPr>
              <w:ind w:right="180"/>
              <w:jc w:val="right"/>
              <w:rPr>
                <w:color w:val="000000"/>
                <w:sz w:val="18"/>
                <w:szCs w:val="18"/>
              </w:rPr>
            </w:pPr>
            <w:r w:rsidRPr="0032226A">
              <w:rPr>
                <w:b/>
                <w:bCs/>
                <w:color w:val="000000"/>
                <w:sz w:val="18"/>
                <w:szCs w:val="18"/>
              </w:rPr>
              <w:t>$</w:t>
            </w:r>
            <w:r>
              <w:rPr>
                <w:b/>
                <w:bCs/>
                <w:color w:val="000000"/>
                <w:sz w:val="18"/>
                <w:szCs w:val="18"/>
              </w:rPr>
              <w:t>61,280,827.86</w:t>
            </w:r>
          </w:p>
        </w:tc>
      </w:tr>
    </w:tbl>
    <w:p w14:paraId="281D51AB" w14:textId="432C3170" w:rsidR="00BA4704" w:rsidRPr="00590C7C" w:rsidRDefault="00BA4704" w:rsidP="00590C7C">
      <w:r>
        <w:rPr>
          <w:color w:val="000000"/>
        </w:rPr>
        <w:t>The hourly cost is based on estima</w:t>
      </w:r>
      <w:r w:rsidR="00CF599C">
        <w:rPr>
          <w:color w:val="000000"/>
        </w:rPr>
        <w:t>t</w:t>
      </w:r>
      <w:r w:rsidR="00B46A67">
        <w:rPr>
          <w:color w:val="000000"/>
        </w:rPr>
        <w:t>ed mortgagee staff salary of $40</w:t>
      </w:r>
      <w:r>
        <w:rPr>
          <w:color w:val="000000"/>
        </w:rPr>
        <w:t>,</w:t>
      </w:r>
      <w:r w:rsidR="00B46A67">
        <w:rPr>
          <w:color w:val="000000"/>
        </w:rPr>
        <w:t>0</w:t>
      </w:r>
      <w:r w:rsidR="00CF599C">
        <w:rPr>
          <w:color w:val="000000"/>
        </w:rPr>
        <w:t>0</w:t>
      </w:r>
      <w:r>
        <w:rPr>
          <w:color w:val="000000"/>
        </w:rPr>
        <w:t>0 annually.</w:t>
      </w:r>
    </w:p>
    <w:p w14:paraId="07D2C6BF" w14:textId="77777777" w:rsidR="00BA4704" w:rsidRDefault="00BA4704">
      <w:pPr>
        <w:pStyle w:val="OmniPage269"/>
        <w:ind w:left="0"/>
        <w:rPr>
          <w:color w:val="000000"/>
          <w:sz w:val="24"/>
        </w:rPr>
      </w:pPr>
    </w:p>
    <w:p w14:paraId="412E7016" w14:textId="77777777" w:rsidR="00590C7C" w:rsidRDefault="00590C7C">
      <w:pPr>
        <w:tabs>
          <w:tab w:val="left" w:pos="360"/>
        </w:tabs>
        <w:ind w:left="360" w:hanging="360"/>
        <w:rPr>
          <w:color w:val="000000"/>
          <w:sz w:val="24"/>
        </w:rPr>
      </w:pPr>
    </w:p>
    <w:p w14:paraId="304FF51D" w14:textId="77777777" w:rsidR="00590C7C" w:rsidRDefault="00590C7C">
      <w:pPr>
        <w:tabs>
          <w:tab w:val="left" w:pos="360"/>
        </w:tabs>
        <w:ind w:left="360" w:hanging="360"/>
        <w:rPr>
          <w:color w:val="000000"/>
          <w:sz w:val="24"/>
        </w:rPr>
      </w:pPr>
    </w:p>
    <w:p w14:paraId="2309BF9B" w14:textId="77777777" w:rsidR="00590C7C" w:rsidRDefault="00590C7C">
      <w:pPr>
        <w:tabs>
          <w:tab w:val="left" w:pos="360"/>
        </w:tabs>
        <w:ind w:left="360" w:hanging="360"/>
        <w:rPr>
          <w:color w:val="000000"/>
          <w:sz w:val="24"/>
        </w:rPr>
      </w:pPr>
    </w:p>
    <w:p w14:paraId="5CE79699" w14:textId="77777777" w:rsidR="00590C7C" w:rsidRDefault="00590C7C">
      <w:pPr>
        <w:tabs>
          <w:tab w:val="left" w:pos="360"/>
        </w:tabs>
        <w:ind w:left="360" w:hanging="360"/>
        <w:rPr>
          <w:color w:val="000000"/>
          <w:sz w:val="24"/>
        </w:rPr>
      </w:pPr>
    </w:p>
    <w:p w14:paraId="3C1F34A6" w14:textId="07121CCD" w:rsidR="00BA4704" w:rsidRDefault="00BA4704">
      <w:pPr>
        <w:tabs>
          <w:tab w:val="left" w:pos="360"/>
        </w:tabs>
        <w:ind w:left="360" w:hanging="360"/>
        <w:rPr>
          <w:color w:val="000000"/>
          <w:sz w:val="24"/>
        </w:rPr>
      </w:pPr>
      <w:r>
        <w:rPr>
          <w:color w:val="000000"/>
          <w:sz w:val="24"/>
        </w:rPr>
        <w:lastRenderedPageBreak/>
        <w:t>13.</w:t>
      </w:r>
      <w:r>
        <w:rPr>
          <w:color w:val="000000"/>
          <w:sz w:val="24"/>
        </w:rPr>
        <w:tab/>
        <w:t>There are no additional costs to the respondents.</w:t>
      </w:r>
    </w:p>
    <w:p w14:paraId="1433A50A" w14:textId="77777777" w:rsidR="00BA4704" w:rsidRDefault="00BA4704">
      <w:pPr>
        <w:tabs>
          <w:tab w:val="right" w:pos="8349"/>
        </w:tabs>
        <w:rPr>
          <w:color w:val="000000"/>
          <w:sz w:val="24"/>
        </w:rPr>
      </w:pPr>
    </w:p>
    <w:p w14:paraId="1C4F3738" w14:textId="77777777" w:rsidR="00BA4704" w:rsidRDefault="00BA4704">
      <w:pPr>
        <w:tabs>
          <w:tab w:val="right" w:pos="8349"/>
        </w:tabs>
        <w:ind w:left="360" w:hanging="360"/>
        <w:rPr>
          <w:color w:val="000000"/>
          <w:sz w:val="24"/>
        </w:rPr>
      </w:pPr>
      <w:r>
        <w:rPr>
          <w:color w:val="000000"/>
          <w:sz w:val="24"/>
        </w:rPr>
        <w:t>14.</w:t>
      </w:r>
      <w:r>
        <w:rPr>
          <w:color w:val="000000"/>
          <w:sz w:val="24"/>
        </w:rPr>
        <w:tab/>
        <w:t>Estimated Burden and Annual Cost to the Federal Government:</w:t>
      </w:r>
    </w:p>
    <w:p w14:paraId="260616DE" w14:textId="77777777" w:rsidR="00BA4704" w:rsidRDefault="00BA4704">
      <w:pPr>
        <w:rPr>
          <w:color w:val="000000"/>
          <w:sz w:val="24"/>
        </w:rPr>
      </w:pP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00"/>
        <w:gridCol w:w="1400"/>
        <w:gridCol w:w="948"/>
        <w:gridCol w:w="6"/>
        <w:gridCol w:w="933"/>
        <w:gridCol w:w="6"/>
        <w:gridCol w:w="2377"/>
      </w:tblGrid>
      <w:tr w:rsidR="00343454" w14:paraId="388D007B" w14:textId="77777777" w:rsidTr="001072CE">
        <w:tc>
          <w:tcPr>
            <w:tcW w:w="3510" w:type="dxa"/>
            <w:tcBorders>
              <w:bottom w:val="single" w:sz="4" w:space="0" w:color="auto"/>
            </w:tcBorders>
            <w:vAlign w:val="center"/>
          </w:tcPr>
          <w:p w14:paraId="52A80CFA" w14:textId="77777777" w:rsidR="00343454" w:rsidRPr="00343454" w:rsidRDefault="00343454">
            <w:pPr>
              <w:jc w:val="center"/>
              <w:rPr>
                <w:color w:val="000000"/>
                <w:sz w:val="18"/>
              </w:rPr>
            </w:pPr>
            <w:r w:rsidRPr="00343454">
              <w:rPr>
                <w:color w:val="000000"/>
                <w:sz w:val="18"/>
              </w:rPr>
              <w:t>Information Collection</w:t>
            </w:r>
          </w:p>
        </w:tc>
        <w:tc>
          <w:tcPr>
            <w:tcW w:w="1800" w:type="dxa"/>
            <w:tcBorders>
              <w:bottom w:val="single" w:sz="4" w:space="0" w:color="auto"/>
            </w:tcBorders>
            <w:vAlign w:val="center"/>
          </w:tcPr>
          <w:p w14:paraId="1406B3DB" w14:textId="77777777" w:rsidR="00343454" w:rsidRPr="00343454" w:rsidRDefault="00931A55">
            <w:pPr>
              <w:jc w:val="center"/>
              <w:rPr>
                <w:color w:val="000000"/>
                <w:sz w:val="18"/>
              </w:rPr>
            </w:pPr>
            <w:r>
              <w:rPr>
                <w:color w:val="000000"/>
                <w:sz w:val="18"/>
              </w:rPr>
              <w:t>Responses Per Year</w:t>
            </w:r>
          </w:p>
        </w:tc>
        <w:tc>
          <w:tcPr>
            <w:tcW w:w="1400" w:type="dxa"/>
            <w:tcBorders>
              <w:bottom w:val="single" w:sz="4" w:space="0" w:color="auto"/>
            </w:tcBorders>
            <w:vAlign w:val="center"/>
          </w:tcPr>
          <w:p w14:paraId="602E94A6" w14:textId="77777777" w:rsidR="00343454" w:rsidRPr="00343454" w:rsidRDefault="00931A55">
            <w:pPr>
              <w:jc w:val="center"/>
              <w:rPr>
                <w:color w:val="000000"/>
                <w:sz w:val="18"/>
              </w:rPr>
            </w:pPr>
            <w:r>
              <w:rPr>
                <w:color w:val="000000"/>
                <w:sz w:val="18"/>
              </w:rPr>
              <w:t xml:space="preserve">Average </w:t>
            </w:r>
            <w:r w:rsidR="00343454" w:rsidRPr="00343454">
              <w:rPr>
                <w:color w:val="000000"/>
                <w:sz w:val="18"/>
              </w:rPr>
              <w:t>Burden Hour Per Response</w:t>
            </w:r>
          </w:p>
        </w:tc>
        <w:tc>
          <w:tcPr>
            <w:tcW w:w="954" w:type="dxa"/>
            <w:gridSpan w:val="2"/>
            <w:tcBorders>
              <w:bottom w:val="single" w:sz="4" w:space="0" w:color="auto"/>
            </w:tcBorders>
            <w:vAlign w:val="center"/>
          </w:tcPr>
          <w:p w14:paraId="76099811" w14:textId="77777777" w:rsidR="00343454" w:rsidRPr="00343454" w:rsidRDefault="00343454">
            <w:pPr>
              <w:jc w:val="center"/>
              <w:rPr>
                <w:color w:val="000000"/>
                <w:sz w:val="18"/>
              </w:rPr>
            </w:pPr>
            <w:r w:rsidRPr="00343454">
              <w:rPr>
                <w:color w:val="000000"/>
                <w:sz w:val="18"/>
              </w:rPr>
              <w:t>Annual Burden Hours</w:t>
            </w:r>
          </w:p>
        </w:tc>
        <w:tc>
          <w:tcPr>
            <w:tcW w:w="939" w:type="dxa"/>
            <w:gridSpan w:val="2"/>
            <w:tcBorders>
              <w:bottom w:val="single" w:sz="4" w:space="0" w:color="auto"/>
            </w:tcBorders>
            <w:vAlign w:val="center"/>
          </w:tcPr>
          <w:p w14:paraId="691BB65D" w14:textId="77777777" w:rsidR="00343454" w:rsidRPr="00343454" w:rsidRDefault="00343454">
            <w:pPr>
              <w:jc w:val="center"/>
              <w:rPr>
                <w:color w:val="000000"/>
                <w:sz w:val="18"/>
              </w:rPr>
            </w:pPr>
            <w:r w:rsidRPr="00343454">
              <w:rPr>
                <w:color w:val="000000"/>
                <w:sz w:val="18"/>
              </w:rPr>
              <w:t>Hourly Cost Per Response</w:t>
            </w:r>
          </w:p>
        </w:tc>
        <w:tc>
          <w:tcPr>
            <w:tcW w:w="2377" w:type="dxa"/>
            <w:tcBorders>
              <w:bottom w:val="single" w:sz="4" w:space="0" w:color="auto"/>
            </w:tcBorders>
            <w:vAlign w:val="center"/>
          </w:tcPr>
          <w:p w14:paraId="67300718" w14:textId="77777777" w:rsidR="00343454" w:rsidRPr="00343454" w:rsidRDefault="00931A55">
            <w:pPr>
              <w:jc w:val="center"/>
              <w:rPr>
                <w:color w:val="000000"/>
                <w:sz w:val="18"/>
              </w:rPr>
            </w:pPr>
            <w:r>
              <w:rPr>
                <w:color w:val="000000"/>
                <w:sz w:val="18"/>
              </w:rPr>
              <w:t xml:space="preserve">Total </w:t>
            </w:r>
            <w:r w:rsidR="00343454" w:rsidRPr="00343454">
              <w:rPr>
                <w:color w:val="000000"/>
                <w:sz w:val="18"/>
              </w:rPr>
              <w:t>Annual Cost</w:t>
            </w:r>
          </w:p>
        </w:tc>
      </w:tr>
      <w:tr w:rsidR="00343454" w14:paraId="1DA37324" w14:textId="77777777" w:rsidTr="001072CE">
        <w:trPr>
          <w:trHeight w:val="455"/>
        </w:trPr>
        <w:tc>
          <w:tcPr>
            <w:tcW w:w="3510" w:type="dxa"/>
            <w:shd w:val="clear" w:color="auto" w:fill="C0C0C0"/>
            <w:vAlign w:val="center"/>
          </w:tcPr>
          <w:p w14:paraId="14584395" w14:textId="77777777" w:rsidR="00343454" w:rsidRPr="00343454" w:rsidRDefault="00343454" w:rsidP="00343454">
            <w:pPr>
              <w:rPr>
                <w:color w:val="000000"/>
                <w:sz w:val="18"/>
              </w:rPr>
            </w:pPr>
            <w:r w:rsidRPr="00343454">
              <w:rPr>
                <w:color w:val="000000"/>
                <w:sz w:val="18"/>
              </w:rPr>
              <w:t xml:space="preserve">FHA </w:t>
            </w:r>
            <w:r>
              <w:rPr>
                <w:color w:val="000000"/>
                <w:sz w:val="18"/>
              </w:rPr>
              <w:t xml:space="preserve">Mortgage Insurance </w:t>
            </w:r>
          </w:p>
        </w:tc>
        <w:tc>
          <w:tcPr>
            <w:tcW w:w="1800" w:type="dxa"/>
            <w:shd w:val="clear" w:color="auto" w:fill="C0C0C0"/>
          </w:tcPr>
          <w:p w14:paraId="192556E4" w14:textId="77777777" w:rsidR="00343454" w:rsidRPr="00343454" w:rsidRDefault="00343454">
            <w:pPr>
              <w:rPr>
                <w:color w:val="000000"/>
                <w:sz w:val="18"/>
              </w:rPr>
            </w:pPr>
          </w:p>
        </w:tc>
        <w:tc>
          <w:tcPr>
            <w:tcW w:w="1400" w:type="dxa"/>
            <w:shd w:val="clear" w:color="auto" w:fill="C0C0C0"/>
          </w:tcPr>
          <w:p w14:paraId="48831F4D" w14:textId="77777777" w:rsidR="00343454" w:rsidRPr="00343454" w:rsidRDefault="00343454">
            <w:pPr>
              <w:rPr>
                <w:color w:val="000000"/>
                <w:sz w:val="18"/>
              </w:rPr>
            </w:pPr>
          </w:p>
        </w:tc>
        <w:tc>
          <w:tcPr>
            <w:tcW w:w="948" w:type="dxa"/>
            <w:shd w:val="clear" w:color="auto" w:fill="C0C0C0"/>
          </w:tcPr>
          <w:p w14:paraId="6954A8D5" w14:textId="77777777" w:rsidR="00343454" w:rsidRPr="00343454" w:rsidRDefault="00343454">
            <w:pPr>
              <w:rPr>
                <w:color w:val="000000"/>
                <w:sz w:val="18"/>
              </w:rPr>
            </w:pPr>
          </w:p>
        </w:tc>
        <w:tc>
          <w:tcPr>
            <w:tcW w:w="939" w:type="dxa"/>
            <w:gridSpan w:val="2"/>
            <w:shd w:val="clear" w:color="auto" w:fill="C0C0C0"/>
          </w:tcPr>
          <w:p w14:paraId="6FDDE7BD" w14:textId="77777777" w:rsidR="00343454" w:rsidRPr="00343454" w:rsidRDefault="00343454">
            <w:pPr>
              <w:rPr>
                <w:color w:val="000000"/>
                <w:sz w:val="18"/>
              </w:rPr>
            </w:pPr>
          </w:p>
        </w:tc>
        <w:tc>
          <w:tcPr>
            <w:tcW w:w="2383" w:type="dxa"/>
            <w:gridSpan w:val="2"/>
            <w:shd w:val="clear" w:color="auto" w:fill="C0C0C0"/>
          </w:tcPr>
          <w:p w14:paraId="2F10413C" w14:textId="77777777" w:rsidR="00343454" w:rsidRPr="00343454" w:rsidRDefault="00343454">
            <w:pPr>
              <w:rPr>
                <w:color w:val="000000"/>
                <w:sz w:val="18"/>
              </w:rPr>
            </w:pPr>
          </w:p>
        </w:tc>
      </w:tr>
      <w:tr w:rsidR="00343454" w14:paraId="489D8951" w14:textId="77777777" w:rsidTr="001072CE">
        <w:trPr>
          <w:trHeight w:val="347"/>
        </w:trPr>
        <w:tc>
          <w:tcPr>
            <w:tcW w:w="3510" w:type="dxa"/>
            <w:vAlign w:val="center"/>
          </w:tcPr>
          <w:p w14:paraId="2284E57A" w14:textId="77777777" w:rsidR="00343454" w:rsidRPr="00343454" w:rsidRDefault="00343454" w:rsidP="00A46CB7">
            <w:pPr>
              <w:rPr>
                <w:color w:val="000000"/>
                <w:sz w:val="18"/>
              </w:rPr>
            </w:pPr>
            <w:r>
              <w:rPr>
                <w:color w:val="000000"/>
                <w:sz w:val="18"/>
              </w:rPr>
              <w:t>Canceling Mortgage Insurance</w:t>
            </w:r>
          </w:p>
        </w:tc>
        <w:tc>
          <w:tcPr>
            <w:tcW w:w="1800" w:type="dxa"/>
            <w:vAlign w:val="center"/>
          </w:tcPr>
          <w:p w14:paraId="5F64320A" w14:textId="77A1CE50" w:rsidR="00343454" w:rsidRPr="00343454" w:rsidRDefault="00FE251F" w:rsidP="00FE251F">
            <w:pPr>
              <w:jc w:val="right"/>
              <w:rPr>
                <w:color w:val="000000"/>
                <w:sz w:val="18"/>
              </w:rPr>
            </w:pPr>
            <w:r>
              <w:rPr>
                <w:color w:val="000000"/>
                <w:sz w:val="18"/>
              </w:rPr>
              <w:t>756,18</w:t>
            </w:r>
            <w:r w:rsidR="00590C7C">
              <w:rPr>
                <w:color w:val="000000"/>
                <w:sz w:val="18"/>
              </w:rPr>
              <w:t>6.69</w:t>
            </w:r>
          </w:p>
        </w:tc>
        <w:tc>
          <w:tcPr>
            <w:tcW w:w="1400" w:type="dxa"/>
            <w:vAlign w:val="center"/>
          </w:tcPr>
          <w:p w14:paraId="21E096BB" w14:textId="77777777" w:rsidR="00343454" w:rsidRPr="00343454" w:rsidRDefault="0087379F" w:rsidP="00343454">
            <w:pPr>
              <w:jc w:val="center"/>
              <w:rPr>
                <w:color w:val="000000"/>
                <w:sz w:val="18"/>
              </w:rPr>
            </w:pPr>
            <w:r>
              <w:rPr>
                <w:color w:val="000000"/>
                <w:sz w:val="18"/>
              </w:rPr>
              <w:t>.</w:t>
            </w:r>
            <w:r w:rsidR="00A46CB7">
              <w:rPr>
                <w:color w:val="000000"/>
                <w:sz w:val="18"/>
              </w:rPr>
              <w:t>0</w:t>
            </w:r>
            <w:r>
              <w:rPr>
                <w:color w:val="000000"/>
                <w:sz w:val="18"/>
              </w:rPr>
              <w:t>1</w:t>
            </w:r>
          </w:p>
        </w:tc>
        <w:tc>
          <w:tcPr>
            <w:tcW w:w="948" w:type="dxa"/>
            <w:vAlign w:val="center"/>
          </w:tcPr>
          <w:p w14:paraId="40034964" w14:textId="70954F29" w:rsidR="00343454" w:rsidRPr="00343454" w:rsidRDefault="00FE251F" w:rsidP="00FE251F">
            <w:pPr>
              <w:jc w:val="right"/>
              <w:rPr>
                <w:color w:val="000000"/>
                <w:sz w:val="18"/>
              </w:rPr>
            </w:pPr>
            <w:r>
              <w:rPr>
                <w:color w:val="000000"/>
                <w:sz w:val="18"/>
              </w:rPr>
              <w:t>7</w:t>
            </w:r>
            <w:r w:rsidR="00A46CB7">
              <w:rPr>
                <w:color w:val="000000"/>
                <w:sz w:val="18"/>
              </w:rPr>
              <w:t>,</w:t>
            </w:r>
            <w:r w:rsidR="0087379F">
              <w:rPr>
                <w:color w:val="000000"/>
                <w:sz w:val="18"/>
              </w:rPr>
              <w:t>5</w:t>
            </w:r>
            <w:r>
              <w:rPr>
                <w:color w:val="000000"/>
                <w:sz w:val="18"/>
              </w:rPr>
              <w:t>6</w:t>
            </w:r>
            <w:r w:rsidR="00590C7C">
              <w:rPr>
                <w:color w:val="000000"/>
                <w:sz w:val="18"/>
              </w:rPr>
              <w:t>1.87</w:t>
            </w:r>
          </w:p>
        </w:tc>
        <w:tc>
          <w:tcPr>
            <w:tcW w:w="939" w:type="dxa"/>
            <w:gridSpan w:val="2"/>
            <w:vAlign w:val="center"/>
          </w:tcPr>
          <w:p w14:paraId="592369C7" w14:textId="556EF2FD" w:rsidR="00343454" w:rsidRPr="00343454" w:rsidRDefault="00590C7C" w:rsidP="00A46CB7">
            <w:pPr>
              <w:jc w:val="right"/>
              <w:rPr>
                <w:color w:val="000000"/>
                <w:sz w:val="18"/>
              </w:rPr>
            </w:pPr>
            <w:r>
              <w:rPr>
                <w:color w:val="000000"/>
                <w:sz w:val="18"/>
              </w:rPr>
              <w:t>$38.20</w:t>
            </w:r>
          </w:p>
        </w:tc>
        <w:tc>
          <w:tcPr>
            <w:tcW w:w="2383" w:type="dxa"/>
            <w:gridSpan w:val="2"/>
            <w:vAlign w:val="center"/>
          </w:tcPr>
          <w:p w14:paraId="3E9DD913" w14:textId="714CB0BC" w:rsidR="00343454" w:rsidRPr="00343454" w:rsidRDefault="00A46CB7" w:rsidP="00FE251F">
            <w:pPr>
              <w:jc w:val="right"/>
              <w:rPr>
                <w:color w:val="000000"/>
                <w:sz w:val="18"/>
              </w:rPr>
            </w:pPr>
            <w:r>
              <w:rPr>
                <w:color w:val="000000"/>
                <w:sz w:val="18"/>
              </w:rPr>
              <w:t>$</w:t>
            </w:r>
            <w:r w:rsidR="00590C7C">
              <w:rPr>
                <w:color w:val="000000"/>
                <w:sz w:val="18"/>
              </w:rPr>
              <w:t>288,863.</w:t>
            </w:r>
            <w:r w:rsidR="00085B68">
              <w:rPr>
                <w:color w:val="000000"/>
                <w:sz w:val="18"/>
              </w:rPr>
              <w:t>43</w:t>
            </w:r>
          </w:p>
        </w:tc>
      </w:tr>
      <w:tr w:rsidR="00343454" w14:paraId="610C013F" w14:textId="77777777" w:rsidTr="001072CE">
        <w:trPr>
          <w:trHeight w:val="347"/>
        </w:trPr>
        <w:tc>
          <w:tcPr>
            <w:tcW w:w="3510" w:type="dxa"/>
            <w:vAlign w:val="center"/>
          </w:tcPr>
          <w:p w14:paraId="5EA9B2FA" w14:textId="77777777" w:rsidR="00343454" w:rsidRPr="00343454" w:rsidRDefault="00343454" w:rsidP="00A46CB7">
            <w:pPr>
              <w:rPr>
                <w:b/>
                <w:color w:val="000000"/>
                <w:sz w:val="18"/>
              </w:rPr>
            </w:pPr>
            <w:r w:rsidRPr="00343454">
              <w:rPr>
                <w:b/>
                <w:color w:val="000000"/>
                <w:sz w:val="18"/>
              </w:rPr>
              <w:t>Total</w:t>
            </w:r>
          </w:p>
        </w:tc>
        <w:tc>
          <w:tcPr>
            <w:tcW w:w="1800" w:type="dxa"/>
            <w:vAlign w:val="center"/>
          </w:tcPr>
          <w:p w14:paraId="2F4416C2" w14:textId="4D526195" w:rsidR="00343454" w:rsidRPr="00716BB2" w:rsidRDefault="00FE251F" w:rsidP="00FE251F">
            <w:pPr>
              <w:jc w:val="right"/>
              <w:rPr>
                <w:b/>
                <w:color w:val="000000"/>
                <w:sz w:val="18"/>
              </w:rPr>
            </w:pPr>
            <w:r>
              <w:rPr>
                <w:b/>
                <w:color w:val="000000"/>
                <w:sz w:val="18"/>
              </w:rPr>
              <w:t>756,18</w:t>
            </w:r>
            <w:r w:rsidR="00590C7C">
              <w:rPr>
                <w:b/>
                <w:color w:val="000000"/>
                <w:sz w:val="18"/>
              </w:rPr>
              <w:t>6.69</w:t>
            </w:r>
          </w:p>
        </w:tc>
        <w:tc>
          <w:tcPr>
            <w:tcW w:w="1400" w:type="dxa"/>
            <w:vAlign w:val="center"/>
          </w:tcPr>
          <w:p w14:paraId="6229E691" w14:textId="77777777" w:rsidR="00343454" w:rsidRPr="00716BB2" w:rsidRDefault="00343454" w:rsidP="004D3BD8">
            <w:pPr>
              <w:jc w:val="right"/>
              <w:rPr>
                <w:b/>
                <w:color w:val="000000"/>
                <w:sz w:val="18"/>
              </w:rPr>
            </w:pPr>
          </w:p>
        </w:tc>
        <w:tc>
          <w:tcPr>
            <w:tcW w:w="948" w:type="dxa"/>
            <w:vAlign w:val="center"/>
          </w:tcPr>
          <w:p w14:paraId="7C7F3D90" w14:textId="44A976B0" w:rsidR="00343454" w:rsidRPr="00716BB2" w:rsidRDefault="00FE251F" w:rsidP="00FE251F">
            <w:pPr>
              <w:jc w:val="right"/>
              <w:rPr>
                <w:b/>
                <w:color w:val="000000"/>
                <w:sz w:val="18"/>
              </w:rPr>
            </w:pPr>
            <w:r>
              <w:rPr>
                <w:b/>
                <w:color w:val="000000"/>
                <w:sz w:val="18"/>
              </w:rPr>
              <w:t>7</w:t>
            </w:r>
            <w:r w:rsidR="004D3BD8" w:rsidRPr="00716BB2">
              <w:rPr>
                <w:b/>
                <w:color w:val="000000"/>
                <w:sz w:val="18"/>
              </w:rPr>
              <w:t>,</w:t>
            </w:r>
            <w:r w:rsidR="0087379F">
              <w:rPr>
                <w:b/>
                <w:color w:val="000000"/>
                <w:sz w:val="18"/>
              </w:rPr>
              <w:t>5</w:t>
            </w:r>
            <w:r>
              <w:rPr>
                <w:b/>
                <w:color w:val="000000"/>
                <w:sz w:val="18"/>
              </w:rPr>
              <w:t>6</w:t>
            </w:r>
            <w:r w:rsidR="00590C7C">
              <w:rPr>
                <w:b/>
                <w:color w:val="000000"/>
                <w:sz w:val="18"/>
              </w:rPr>
              <w:t>1.87</w:t>
            </w:r>
          </w:p>
        </w:tc>
        <w:tc>
          <w:tcPr>
            <w:tcW w:w="939" w:type="dxa"/>
            <w:gridSpan w:val="2"/>
            <w:vAlign w:val="center"/>
          </w:tcPr>
          <w:p w14:paraId="3869A4F0" w14:textId="77777777" w:rsidR="00343454" w:rsidRPr="00716BB2" w:rsidRDefault="00343454" w:rsidP="004D3BD8">
            <w:pPr>
              <w:jc w:val="right"/>
              <w:rPr>
                <w:b/>
                <w:color w:val="000000"/>
                <w:sz w:val="18"/>
              </w:rPr>
            </w:pPr>
          </w:p>
        </w:tc>
        <w:tc>
          <w:tcPr>
            <w:tcW w:w="2383" w:type="dxa"/>
            <w:gridSpan w:val="2"/>
            <w:vAlign w:val="center"/>
          </w:tcPr>
          <w:p w14:paraId="47E96D1E" w14:textId="6D536CFB" w:rsidR="00343454" w:rsidRPr="00716BB2" w:rsidRDefault="004D3BD8" w:rsidP="00FE251F">
            <w:pPr>
              <w:jc w:val="right"/>
              <w:rPr>
                <w:b/>
                <w:color w:val="000000"/>
                <w:sz w:val="18"/>
              </w:rPr>
            </w:pPr>
            <w:r w:rsidRPr="00716BB2">
              <w:rPr>
                <w:b/>
                <w:color w:val="000000"/>
                <w:sz w:val="18"/>
              </w:rPr>
              <w:t>$</w:t>
            </w:r>
            <w:r w:rsidR="00590C7C">
              <w:rPr>
                <w:b/>
                <w:color w:val="000000"/>
                <w:sz w:val="18"/>
              </w:rPr>
              <w:t>288,863.</w:t>
            </w:r>
            <w:r w:rsidR="00085B68">
              <w:rPr>
                <w:b/>
                <w:color w:val="000000"/>
                <w:sz w:val="18"/>
              </w:rPr>
              <w:t>43</w:t>
            </w:r>
          </w:p>
        </w:tc>
      </w:tr>
    </w:tbl>
    <w:p w14:paraId="2498B690" w14:textId="74FDA739" w:rsidR="00B46A67" w:rsidRDefault="00B46A67" w:rsidP="00B46A67">
      <w:pPr>
        <w:pStyle w:val="OmniPage269"/>
        <w:ind w:left="0"/>
        <w:rPr>
          <w:color w:val="000000"/>
        </w:rPr>
      </w:pPr>
      <w:r>
        <w:rPr>
          <w:color w:val="000000"/>
        </w:rPr>
        <w:t>The hourly cost i</w:t>
      </w:r>
      <w:r w:rsidR="00590C7C">
        <w:rPr>
          <w:color w:val="000000"/>
        </w:rPr>
        <w:t>s based on estimated GS12 CY2017 salary of $79</w:t>
      </w:r>
      <w:r>
        <w:rPr>
          <w:color w:val="000000"/>
        </w:rPr>
        <w:t>,</w:t>
      </w:r>
      <w:r w:rsidR="00590C7C">
        <w:rPr>
          <w:color w:val="000000"/>
        </w:rPr>
        <w:t>72</w:t>
      </w:r>
      <w:r>
        <w:rPr>
          <w:color w:val="000000"/>
        </w:rPr>
        <w:t>0 annually.</w:t>
      </w:r>
    </w:p>
    <w:p w14:paraId="135F93AE" w14:textId="3074DE10" w:rsidR="00EF3907" w:rsidRDefault="00EF3907" w:rsidP="00590C7C">
      <w:pPr>
        <w:pStyle w:val="OmniPage517"/>
        <w:ind w:left="0" w:right="30"/>
        <w:rPr>
          <w:color w:val="000000"/>
          <w:sz w:val="24"/>
        </w:rPr>
      </w:pPr>
    </w:p>
    <w:p w14:paraId="2B581471" w14:textId="39A8629F" w:rsidR="00B46A67" w:rsidRDefault="005A4843" w:rsidP="00590C7C">
      <w:pPr>
        <w:pStyle w:val="BodyTextIndent"/>
        <w:spacing w:line="240" w:lineRule="auto"/>
      </w:pPr>
      <w:r>
        <w:t>15.</w:t>
      </w:r>
      <w:r w:rsidR="00D414F3">
        <w:rPr>
          <w:color w:val="FF0000"/>
        </w:rPr>
        <w:t xml:space="preserve"> </w:t>
      </w:r>
      <w:r>
        <w:t>Th</w:t>
      </w:r>
      <w:r w:rsidR="00B46A67">
        <w:t xml:space="preserve">is </w:t>
      </w:r>
      <w:r>
        <w:t xml:space="preserve">is </w:t>
      </w:r>
      <w:r w:rsidR="00B46A67">
        <w:t xml:space="preserve">a revision of currently approved collection. Due to conditions in the mortgage banking industry, foreclosures, claims, and the increased popularity of the FHA-insured loan program the loan portfolio has increased. </w:t>
      </w:r>
      <w:r w:rsidR="00590C7C" w:rsidRPr="00590C7C">
        <w:t>With this increase, the information collection results in an increase in the estimated annual responses and annual burden hours. Because of the activities, such as escrow administration that are standard practices within the mortgage industry on all FHA, Veterans Administration (VA) and conventional loans, HUD ascribes no burden hours. However, because HUD removed the regulations for its Section 235 Program, the number of respondents decreased.</w:t>
      </w:r>
    </w:p>
    <w:p w14:paraId="204B1C8A" w14:textId="77777777" w:rsidR="00806C32" w:rsidRDefault="005A4843" w:rsidP="00B46A67">
      <w:pPr>
        <w:pStyle w:val="BodyTextIndent"/>
      </w:pPr>
      <w:r>
        <w:tab/>
      </w:r>
    </w:p>
    <w:p w14:paraId="6D14EC5E" w14:textId="0C3CD069" w:rsidR="00B46A67" w:rsidRDefault="00806C32" w:rsidP="00B46A67">
      <w:pPr>
        <w:pStyle w:val="BodyTextIndent"/>
      </w:pPr>
      <w:r>
        <w:tab/>
      </w:r>
      <w:r w:rsidR="00B46A67">
        <w:t xml:space="preserve">Additionally, the information collections do not have substantive changes to the language contained in the form; however, a non-substantive edit is made to some of the forms to reflect a handbook reference change to HUD’s new FHA Single Family Housing Policy Handbook (Handbook 4000.1).  </w:t>
      </w:r>
    </w:p>
    <w:p w14:paraId="56BCD0A0" w14:textId="77777777" w:rsidR="00BA4704" w:rsidRDefault="00BA4704">
      <w:pPr>
        <w:pStyle w:val="BodyTextIndent"/>
        <w:spacing w:line="240" w:lineRule="auto"/>
      </w:pPr>
    </w:p>
    <w:p w14:paraId="249C7B58" w14:textId="77777777" w:rsidR="00BA4704" w:rsidRDefault="00BA4704">
      <w:pPr>
        <w:keepLines/>
        <w:tabs>
          <w:tab w:val="left" w:pos="360"/>
          <w:tab w:val="left" w:pos="720"/>
        </w:tabs>
        <w:ind w:left="360" w:hanging="360"/>
        <w:rPr>
          <w:color w:val="000000"/>
          <w:sz w:val="24"/>
        </w:rPr>
      </w:pPr>
      <w:r>
        <w:rPr>
          <w:color w:val="000000"/>
          <w:sz w:val="24"/>
        </w:rPr>
        <w:t>16.</w:t>
      </w:r>
      <w:r>
        <w:rPr>
          <w:color w:val="000000"/>
          <w:sz w:val="24"/>
        </w:rPr>
        <w:tab/>
        <w:t xml:space="preserve">There are no plans to publish this information collection for statistical use.  </w:t>
      </w:r>
    </w:p>
    <w:p w14:paraId="2234A40E" w14:textId="77777777" w:rsidR="00BA4704" w:rsidRDefault="00BA4704">
      <w:pPr>
        <w:tabs>
          <w:tab w:val="left" w:pos="360"/>
        </w:tabs>
        <w:ind w:left="360" w:hanging="360"/>
        <w:rPr>
          <w:color w:val="000000"/>
          <w:sz w:val="24"/>
        </w:rPr>
      </w:pPr>
    </w:p>
    <w:p w14:paraId="588672B1" w14:textId="77777777" w:rsidR="00BA4704" w:rsidRDefault="00BA4704">
      <w:pPr>
        <w:keepLines/>
        <w:tabs>
          <w:tab w:val="left" w:pos="360"/>
          <w:tab w:val="left" w:pos="720"/>
        </w:tabs>
        <w:ind w:left="360" w:hanging="360"/>
        <w:rPr>
          <w:color w:val="000000"/>
          <w:sz w:val="24"/>
        </w:rPr>
      </w:pPr>
      <w:r>
        <w:rPr>
          <w:color w:val="000000"/>
          <w:sz w:val="24"/>
        </w:rPr>
        <w:t>17.</w:t>
      </w:r>
      <w:r>
        <w:rPr>
          <w:color w:val="000000"/>
          <w:sz w:val="24"/>
        </w:rPr>
        <w:tab/>
        <w:t xml:space="preserve">HUD is not seeking approval to avoid displaying the expiration date. </w:t>
      </w:r>
    </w:p>
    <w:p w14:paraId="38EAE6B0" w14:textId="77777777" w:rsidR="00BA4704" w:rsidRDefault="00BA4704">
      <w:pPr>
        <w:tabs>
          <w:tab w:val="left" w:pos="360"/>
        </w:tabs>
        <w:ind w:left="360" w:hanging="360"/>
        <w:rPr>
          <w:color w:val="000000"/>
          <w:sz w:val="24"/>
        </w:rPr>
      </w:pPr>
    </w:p>
    <w:p w14:paraId="26A0C77B" w14:textId="77777777" w:rsidR="00BA4704" w:rsidRDefault="00BA4704">
      <w:pPr>
        <w:keepLines/>
        <w:tabs>
          <w:tab w:val="left" w:pos="360"/>
        </w:tabs>
        <w:ind w:left="360" w:hanging="360"/>
        <w:rPr>
          <w:color w:val="000000"/>
          <w:sz w:val="24"/>
        </w:rPr>
      </w:pPr>
      <w:r>
        <w:rPr>
          <w:color w:val="000000"/>
          <w:sz w:val="24"/>
        </w:rPr>
        <w:t>18.</w:t>
      </w:r>
      <w:r>
        <w:rPr>
          <w:color w:val="000000"/>
          <w:sz w:val="24"/>
        </w:rPr>
        <w:tab/>
        <w:t>There are no exceptions to the certification statement identified in Item 19 of the OMB 83-I.</w:t>
      </w:r>
    </w:p>
    <w:p w14:paraId="01116F7C" w14:textId="77777777" w:rsidR="00BA4704" w:rsidRDefault="00BA4704">
      <w:pPr>
        <w:tabs>
          <w:tab w:val="left" w:pos="360"/>
          <w:tab w:val="left" w:pos="720"/>
        </w:tabs>
        <w:rPr>
          <w:color w:val="000000"/>
          <w:sz w:val="24"/>
        </w:rPr>
      </w:pPr>
    </w:p>
    <w:p w14:paraId="14EEAB8F" w14:textId="77777777" w:rsidR="00BA4704" w:rsidRDefault="00BA470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14:paraId="233859AE" w14:textId="77777777" w:rsidR="00BA4704" w:rsidRDefault="00BA470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14:paraId="43D52730" w14:textId="77777777" w:rsidR="00BA4704" w:rsidRDefault="00BA4704">
      <w:pPr>
        <w:keepLines/>
        <w:tabs>
          <w:tab w:val="left" w:pos="360"/>
          <w:tab w:val="left" w:pos="720"/>
        </w:tabs>
        <w:ind w:left="360"/>
        <w:rPr>
          <w:color w:val="000000"/>
          <w:sz w:val="24"/>
        </w:rPr>
      </w:pPr>
      <w:r>
        <w:rPr>
          <w:color w:val="000000"/>
          <w:sz w:val="24"/>
        </w:rPr>
        <w:t>This collection of information does not employ statistical methods.</w:t>
      </w:r>
    </w:p>
    <w:p w14:paraId="634D3CC2" w14:textId="77777777" w:rsidR="00BA4704" w:rsidRDefault="00BA4704">
      <w:pPr>
        <w:pStyle w:val="HTMLPreformatted"/>
        <w:tabs>
          <w:tab w:val="left" w:pos="1062"/>
        </w:tabs>
        <w:jc w:val="both"/>
        <w:rPr>
          <w:rFonts w:ascii="Times New Roman" w:hAnsi="Times New Roman" w:cs="Times New Roman"/>
          <w:sz w:val="24"/>
        </w:rPr>
      </w:pPr>
    </w:p>
    <w:sectPr w:rsidR="00BA4704" w:rsidSect="00732109">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79FC0" w14:textId="77777777" w:rsidR="00215AE0" w:rsidRDefault="00215AE0">
      <w:r>
        <w:separator/>
      </w:r>
    </w:p>
  </w:endnote>
  <w:endnote w:type="continuationSeparator" w:id="0">
    <w:p w14:paraId="50D2D8BD" w14:textId="77777777" w:rsidR="00215AE0" w:rsidRDefault="0021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E15E5" w14:textId="77777777" w:rsidR="00215AE0" w:rsidRDefault="00215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6529" w14:textId="589D5415" w:rsidR="00215AE0" w:rsidRDefault="00215AE0">
    <w:pPr>
      <w:pStyle w:val="Footer"/>
      <w:jc w:val="center"/>
    </w:pPr>
    <w:r>
      <w:fldChar w:fldCharType="begin"/>
    </w:r>
    <w:r>
      <w:instrText xml:space="preserve"> PAGE   \* MERGEFORMAT </w:instrText>
    </w:r>
    <w:r>
      <w:fldChar w:fldCharType="separate"/>
    </w:r>
    <w:r w:rsidR="00673C2D">
      <w:rPr>
        <w:noProof/>
      </w:rPr>
      <w:t>13</w:t>
    </w:r>
    <w:r>
      <w:fldChar w:fldCharType="end"/>
    </w:r>
  </w:p>
  <w:p w14:paraId="7A11CCBA" w14:textId="77777777" w:rsidR="00215AE0" w:rsidRDefault="00215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68E0" w14:textId="5D5E2D76" w:rsidR="00215AE0" w:rsidRPr="004E06BD" w:rsidRDefault="00215AE0" w:rsidP="004E06BD">
    <w:pPr>
      <w:pStyle w:val="Footer"/>
      <w:jc w:val="center"/>
    </w:pPr>
    <w:r>
      <w:fldChar w:fldCharType="begin"/>
    </w:r>
    <w:r>
      <w:instrText xml:space="preserve"> PAGE   \* MERGEFORMAT </w:instrText>
    </w:r>
    <w:r>
      <w:fldChar w:fldCharType="separate"/>
    </w:r>
    <w:r w:rsidR="00673C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9D116" w14:textId="77777777" w:rsidR="00215AE0" w:rsidRDefault="00215AE0">
      <w:r>
        <w:separator/>
      </w:r>
    </w:p>
  </w:footnote>
  <w:footnote w:type="continuationSeparator" w:id="0">
    <w:p w14:paraId="54F09E20" w14:textId="77777777" w:rsidR="00215AE0" w:rsidRDefault="0021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E0F92" w14:textId="77777777" w:rsidR="00215AE0" w:rsidRDefault="00215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1B7C" w14:textId="77777777" w:rsidR="00215AE0" w:rsidRDefault="00215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673F" w14:textId="77777777" w:rsidR="00215AE0" w:rsidRDefault="00215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32B"/>
    <w:multiLevelType w:val="hybridMultilevel"/>
    <w:tmpl w:val="14E4DFFE"/>
    <w:lvl w:ilvl="0" w:tplc="30245BD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7852593"/>
    <w:multiLevelType w:val="hybridMultilevel"/>
    <w:tmpl w:val="62E8E160"/>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866020"/>
    <w:multiLevelType w:val="hybridMultilevel"/>
    <w:tmpl w:val="DA6C06D6"/>
    <w:lvl w:ilvl="0" w:tplc="30245BD0">
      <w:start w:val="1"/>
      <w:numFmt w:val="bullet"/>
      <w:lvlText w:val=""/>
      <w:lvlJc w:val="left"/>
      <w:pPr>
        <w:tabs>
          <w:tab w:val="num" w:pos="648"/>
        </w:tabs>
        <w:ind w:left="648" w:hanging="360"/>
      </w:pPr>
      <w:rPr>
        <w:rFonts w:ascii="Symbol" w:hAnsi="Symbol" w:hint="default"/>
        <w:color w:val="auto"/>
        <w:sz w:val="24"/>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color w:val="auto"/>
        <w:sz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103C0DFC"/>
    <w:multiLevelType w:val="hybridMultilevel"/>
    <w:tmpl w:val="437EBB1C"/>
    <w:lvl w:ilvl="0" w:tplc="30245BD0">
      <w:start w:val="1"/>
      <w:numFmt w:val="bullet"/>
      <w:lvlText w:val=""/>
      <w:lvlJc w:val="left"/>
      <w:pPr>
        <w:tabs>
          <w:tab w:val="num" w:pos="1080"/>
        </w:tabs>
        <w:ind w:left="1080" w:hanging="360"/>
      </w:pPr>
      <w:rPr>
        <w:rFonts w:ascii="Symbol" w:hAnsi="Symbol" w:hint="default"/>
        <w:color w:val="auto"/>
        <w:sz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4E2481B"/>
    <w:multiLevelType w:val="hybridMultilevel"/>
    <w:tmpl w:val="D5745C72"/>
    <w:lvl w:ilvl="0" w:tplc="04090003">
      <w:start w:val="1"/>
      <w:numFmt w:val="bullet"/>
      <w:lvlText w:val="o"/>
      <w:lvlJc w:val="left"/>
      <w:pPr>
        <w:tabs>
          <w:tab w:val="num" w:pos="1800"/>
        </w:tabs>
        <w:ind w:left="1800" w:hanging="360"/>
      </w:pPr>
      <w:rPr>
        <w:rFonts w:ascii="Courier New" w:hAnsi="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7D6292F"/>
    <w:multiLevelType w:val="hybridMultilevel"/>
    <w:tmpl w:val="66E84AC6"/>
    <w:lvl w:ilvl="0" w:tplc="04090003">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66555"/>
    <w:multiLevelType w:val="hybridMultilevel"/>
    <w:tmpl w:val="18FA89D8"/>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8EC5438"/>
    <w:multiLevelType w:val="hybridMultilevel"/>
    <w:tmpl w:val="78AE0AAC"/>
    <w:lvl w:ilvl="0" w:tplc="0409000F">
      <w:start w:val="1"/>
      <w:numFmt w:val="decimal"/>
      <w:lvlText w:val="%1."/>
      <w:lvlJc w:val="left"/>
      <w:pPr>
        <w:tabs>
          <w:tab w:val="num" w:pos="720"/>
        </w:tabs>
        <w:ind w:left="720" w:hanging="360"/>
      </w:pPr>
    </w:lvl>
    <w:lvl w:ilvl="1" w:tplc="EC2C0164">
      <w:start w:val="1"/>
      <w:numFmt w:val="bullet"/>
      <w:lvlText w:val=""/>
      <w:lvlJc w:val="left"/>
      <w:pPr>
        <w:tabs>
          <w:tab w:val="num" w:pos="1440"/>
        </w:tabs>
        <w:ind w:left="1440" w:hanging="360"/>
      </w:pPr>
      <w:rPr>
        <w:rFonts w:ascii="Symbol" w:hAnsi="Symbol" w:hint="default"/>
        <w:sz w:val="20"/>
      </w:rPr>
    </w:lvl>
    <w:lvl w:ilvl="2" w:tplc="BBA06572">
      <w:start w:val="1"/>
      <w:numFmt w:val="upperLetter"/>
      <w:lvlText w:val="%3."/>
      <w:lvlJc w:val="left"/>
      <w:pPr>
        <w:tabs>
          <w:tab w:val="num" w:pos="2700"/>
        </w:tabs>
        <w:ind w:left="2700" w:hanging="720"/>
      </w:pPr>
      <w:rPr>
        <w:rFonts w:hint="default"/>
        <w:u w:val="none"/>
      </w:rPr>
    </w:lvl>
    <w:lvl w:ilvl="3" w:tplc="71D099C4">
      <w:start w:val="1"/>
      <w:numFmt w:val="bullet"/>
      <w:lvlText w:val=""/>
      <w:lvlJc w:val="left"/>
      <w:pPr>
        <w:tabs>
          <w:tab w:val="num" w:pos="504"/>
        </w:tabs>
        <w:ind w:left="504" w:hanging="432"/>
      </w:pPr>
      <w:rPr>
        <w:rFonts w:ascii="Symbol" w:hAnsi="Symbol"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CD5528"/>
    <w:multiLevelType w:val="hybridMultilevel"/>
    <w:tmpl w:val="BEDEDEBC"/>
    <w:lvl w:ilvl="0" w:tplc="30245BD0">
      <w:start w:val="1"/>
      <w:numFmt w:val="bullet"/>
      <w:lvlText w:val=""/>
      <w:lvlJc w:val="left"/>
      <w:pPr>
        <w:tabs>
          <w:tab w:val="num" w:pos="1080"/>
        </w:tabs>
        <w:ind w:left="1080" w:hanging="360"/>
      </w:pPr>
      <w:rPr>
        <w:rFonts w:ascii="Symbol" w:hAnsi="Symbol" w:hint="default"/>
        <w:color w:val="auto"/>
        <w:sz w:val="24"/>
      </w:rPr>
    </w:lvl>
    <w:lvl w:ilvl="1" w:tplc="50321C6A">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047EB6"/>
    <w:multiLevelType w:val="hybridMultilevel"/>
    <w:tmpl w:val="BE1E0554"/>
    <w:lvl w:ilvl="0" w:tplc="30245BD0">
      <w:start w:val="1"/>
      <w:numFmt w:val="bullet"/>
      <w:lvlText w:val=""/>
      <w:lvlJc w:val="left"/>
      <w:pPr>
        <w:tabs>
          <w:tab w:val="num" w:pos="1080"/>
        </w:tabs>
        <w:ind w:left="1080" w:hanging="360"/>
      </w:pPr>
      <w:rPr>
        <w:rFonts w:ascii="Symbol" w:hAnsi="Symbol" w:hint="default"/>
        <w:color w:val="auto"/>
        <w:sz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4789D"/>
    <w:multiLevelType w:val="hybridMultilevel"/>
    <w:tmpl w:val="CD304AB2"/>
    <w:lvl w:ilvl="0" w:tplc="30245BD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12257CB"/>
    <w:multiLevelType w:val="hybridMultilevel"/>
    <w:tmpl w:val="B4686A70"/>
    <w:lvl w:ilvl="0" w:tplc="30245BD0">
      <w:start w:val="1"/>
      <w:numFmt w:val="bullet"/>
      <w:lvlText w:val=""/>
      <w:lvlJc w:val="left"/>
      <w:pPr>
        <w:tabs>
          <w:tab w:val="num" w:pos="1080"/>
        </w:tabs>
        <w:ind w:left="1080" w:hanging="360"/>
      </w:pPr>
      <w:rPr>
        <w:rFonts w:ascii="Symbol" w:hAnsi="Symbol" w:hint="default"/>
        <w:color w:val="auto"/>
        <w:sz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506106"/>
    <w:multiLevelType w:val="hybridMultilevel"/>
    <w:tmpl w:val="AB649298"/>
    <w:lvl w:ilvl="0" w:tplc="991ADE78">
      <w:start w:val="1"/>
      <w:numFmt w:val="decimal"/>
      <w:lvlText w:val="%1."/>
      <w:lvlJc w:val="left"/>
      <w:pPr>
        <w:tabs>
          <w:tab w:val="num" w:pos="720"/>
        </w:tabs>
        <w:ind w:left="720" w:hanging="360"/>
      </w:pPr>
      <w:rPr>
        <w:rFonts w:hint="default"/>
      </w:rPr>
    </w:lvl>
    <w:lvl w:ilvl="1" w:tplc="5106B3B2">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532FD5"/>
    <w:multiLevelType w:val="hybridMultilevel"/>
    <w:tmpl w:val="6E345442"/>
    <w:lvl w:ilvl="0" w:tplc="30245BD0">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212"/>
        </w:tabs>
        <w:ind w:left="1212" w:hanging="360"/>
      </w:pPr>
      <w:rPr>
        <w:rFonts w:ascii="Courier New" w:hAnsi="Courier New" w:hint="default"/>
      </w:rPr>
    </w:lvl>
    <w:lvl w:ilvl="2" w:tplc="04090005">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16" w15:restartNumberingAfterBreak="0">
    <w:nsid w:val="3036542C"/>
    <w:multiLevelType w:val="hybridMultilevel"/>
    <w:tmpl w:val="D8EC65A0"/>
    <w:lvl w:ilvl="0" w:tplc="30245BD0">
      <w:start w:val="1"/>
      <w:numFmt w:val="bullet"/>
      <w:lvlText w:val=""/>
      <w:lvlJc w:val="left"/>
      <w:pPr>
        <w:tabs>
          <w:tab w:val="num" w:pos="1368"/>
        </w:tabs>
        <w:ind w:left="1368" w:hanging="360"/>
      </w:pPr>
      <w:rPr>
        <w:rFonts w:ascii="Symbol" w:hAnsi="Symbol" w:hint="default"/>
        <w:color w:val="auto"/>
        <w:sz w:val="24"/>
      </w:rPr>
    </w:lvl>
    <w:lvl w:ilvl="1" w:tplc="2D52FAF6">
      <w:start w:val="1"/>
      <w:numFmt w:val="bullet"/>
      <w:lvlText w:val=""/>
      <w:lvlJc w:val="left"/>
      <w:pPr>
        <w:tabs>
          <w:tab w:val="num" w:pos="2220"/>
        </w:tabs>
        <w:ind w:left="2220" w:hanging="360"/>
      </w:pPr>
      <w:rPr>
        <w:rFonts w:ascii="Wingdings" w:hAnsi="Wingdings" w:hint="default"/>
        <w:sz w:val="24"/>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31791D9B"/>
    <w:multiLevelType w:val="hybridMultilevel"/>
    <w:tmpl w:val="05281BDE"/>
    <w:lvl w:ilvl="0" w:tplc="04090003">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E1935"/>
    <w:multiLevelType w:val="hybridMultilevel"/>
    <w:tmpl w:val="7A8E1852"/>
    <w:lvl w:ilvl="0" w:tplc="2D52FAF6">
      <w:start w:val="1"/>
      <w:numFmt w:val="bullet"/>
      <w:lvlText w:val=""/>
      <w:lvlJc w:val="left"/>
      <w:pPr>
        <w:tabs>
          <w:tab w:val="num" w:pos="1500"/>
        </w:tabs>
        <w:ind w:left="1500" w:hanging="360"/>
      </w:pPr>
      <w:rPr>
        <w:rFonts w:ascii="Wingdings" w:hAnsi="Wingdings" w:hint="default"/>
        <w:sz w:val="24"/>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20" w15:restartNumberingAfterBreak="0">
    <w:nsid w:val="3AF047C1"/>
    <w:multiLevelType w:val="hybridMultilevel"/>
    <w:tmpl w:val="09647E54"/>
    <w:lvl w:ilvl="0" w:tplc="30245BD0">
      <w:start w:val="1"/>
      <w:numFmt w:val="bullet"/>
      <w:lvlText w:val=""/>
      <w:lvlJc w:val="left"/>
      <w:pPr>
        <w:tabs>
          <w:tab w:val="num" w:pos="1080"/>
        </w:tabs>
        <w:ind w:left="1080" w:hanging="360"/>
      </w:pPr>
      <w:rPr>
        <w:rFonts w:ascii="Symbol" w:hAnsi="Symbo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4306B3"/>
    <w:multiLevelType w:val="hybridMultilevel"/>
    <w:tmpl w:val="87847A9A"/>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D45C80"/>
    <w:multiLevelType w:val="hybridMultilevel"/>
    <w:tmpl w:val="E7B22B80"/>
    <w:lvl w:ilvl="0" w:tplc="04090003">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138A0"/>
    <w:multiLevelType w:val="hybridMultilevel"/>
    <w:tmpl w:val="2A46302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037F4E"/>
    <w:multiLevelType w:val="hybridMultilevel"/>
    <w:tmpl w:val="33C693B8"/>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925EB9"/>
    <w:multiLevelType w:val="hybridMultilevel"/>
    <w:tmpl w:val="36FE21F4"/>
    <w:lvl w:ilvl="0" w:tplc="04090003">
      <w:start w:val="1"/>
      <w:numFmt w:val="bullet"/>
      <w:lvlText w:val="o"/>
      <w:lvlJc w:val="left"/>
      <w:pPr>
        <w:tabs>
          <w:tab w:val="num" w:pos="1152"/>
        </w:tabs>
        <w:ind w:left="1152" w:hanging="360"/>
      </w:pPr>
      <w:rPr>
        <w:rFonts w:ascii="Courier New" w:hAnsi="Courier New" w:hint="default"/>
        <w:spacing w:val="0"/>
        <w:position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1205EF"/>
    <w:multiLevelType w:val="hybridMultilevel"/>
    <w:tmpl w:val="9DF074EA"/>
    <w:lvl w:ilvl="0" w:tplc="8C261EF8">
      <w:start w:val="1"/>
      <w:numFmt w:val="bullet"/>
      <w:lvlText w:val="◦"/>
      <w:lvlJc w:val="left"/>
      <w:pPr>
        <w:ind w:left="1080" w:hanging="360"/>
      </w:pPr>
      <w:rPr>
        <w:rFonts w:ascii="Courier New" w:hAnsi="Courier New" w:hint="default"/>
        <w:sz w:val="3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6F4DF7"/>
    <w:multiLevelType w:val="hybridMultilevel"/>
    <w:tmpl w:val="88386F8E"/>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DD767A6"/>
    <w:multiLevelType w:val="hybridMultilevel"/>
    <w:tmpl w:val="C3FC131C"/>
    <w:lvl w:ilvl="0" w:tplc="30245BD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DE21B86"/>
    <w:multiLevelType w:val="hybridMultilevel"/>
    <w:tmpl w:val="58D2D6CE"/>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hint="default"/>
        <w:color w:val="auto"/>
        <w:sz w:val="24"/>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0" w15:restartNumberingAfterBreak="0">
    <w:nsid w:val="56AE213A"/>
    <w:multiLevelType w:val="hybridMultilevel"/>
    <w:tmpl w:val="CFB6026C"/>
    <w:lvl w:ilvl="0" w:tplc="30245BD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58590BCB"/>
    <w:multiLevelType w:val="hybridMultilevel"/>
    <w:tmpl w:val="17DA8C68"/>
    <w:lvl w:ilvl="0" w:tplc="30245BD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91424D3"/>
    <w:multiLevelType w:val="hybridMultilevel"/>
    <w:tmpl w:val="BF8286C6"/>
    <w:lvl w:ilvl="0" w:tplc="30245BD0">
      <w:start w:val="1"/>
      <w:numFmt w:val="bullet"/>
      <w:lvlText w:val=""/>
      <w:lvlJc w:val="left"/>
      <w:pPr>
        <w:tabs>
          <w:tab w:val="num" w:pos="1080"/>
        </w:tabs>
        <w:ind w:left="1080" w:hanging="360"/>
      </w:pPr>
      <w:rPr>
        <w:rFonts w:ascii="Symbol" w:hAnsi="Symbol" w:hint="default"/>
        <w:color w:val="auto"/>
        <w:sz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9B3D7E"/>
    <w:multiLevelType w:val="hybridMultilevel"/>
    <w:tmpl w:val="7EEEF54E"/>
    <w:lvl w:ilvl="0" w:tplc="30245BD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0CD54A5"/>
    <w:multiLevelType w:val="hybridMultilevel"/>
    <w:tmpl w:val="7A5A54A4"/>
    <w:lvl w:ilvl="0" w:tplc="B060C03E">
      <w:start w:val="1"/>
      <w:numFmt w:val="bullet"/>
      <w:lvlText w:val=""/>
      <w:lvlJc w:val="left"/>
      <w:pPr>
        <w:tabs>
          <w:tab w:val="num" w:pos="1080"/>
        </w:tabs>
        <w:ind w:left="1080" w:hanging="360"/>
      </w:pPr>
      <w:rPr>
        <w:rFonts w:ascii="Symbol" w:hAnsi="Symbol" w:hint="default"/>
        <w:color w:val="auto"/>
        <w:sz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85664D"/>
    <w:multiLevelType w:val="hybridMultilevel"/>
    <w:tmpl w:val="D47AE1B0"/>
    <w:lvl w:ilvl="0" w:tplc="30245BD0">
      <w:start w:val="1"/>
      <w:numFmt w:val="bullet"/>
      <w:lvlText w:val=""/>
      <w:lvlJc w:val="left"/>
      <w:pPr>
        <w:tabs>
          <w:tab w:val="num" w:pos="1368"/>
        </w:tabs>
        <w:ind w:left="1368"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1F55160"/>
    <w:multiLevelType w:val="hybridMultilevel"/>
    <w:tmpl w:val="217CD8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F36003"/>
    <w:multiLevelType w:val="hybridMultilevel"/>
    <w:tmpl w:val="386856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76218D"/>
    <w:multiLevelType w:val="hybridMultilevel"/>
    <w:tmpl w:val="B614AB3C"/>
    <w:lvl w:ilvl="0" w:tplc="30245BD0">
      <w:start w:val="1"/>
      <w:numFmt w:val="bullet"/>
      <w:lvlText w:val=""/>
      <w:lvlJc w:val="left"/>
      <w:pPr>
        <w:tabs>
          <w:tab w:val="num" w:pos="1080"/>
        </w:tabs>
        <w:ind w:left="1080" w:hanging="360"/>
      </w:pPr>
      <w:rPr>
        <w:rFonts w:ascii="Symbol" w:hAnsi="Symbol" w:hint="default"/>
        <w:color w:val="auto"/>
        <w:sz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1" w15:restartNumberingAfterBreak="0">
    <w:nsid w:val="78F7743E"/>
    <w:multiLevelType w:val="hybridMultilevel"/>
    <w:tmpl w:val="B67E95FE"/>
    <w:lvl w:ilvl="0" w:tplc="04090003">
      <w:start w:val="1"/>
      <w:numFmt w:val="bullet"/>
      <w:lvlText w:val="o"/>
      <w:lvlJc w:val="left"/>
      <w:pPr>
        <w:tabs>
          <w:tab w:val="num" w:pos="1440"/>
        </w:tabs>
        <w:ind w:left="1440" w:hanging="360"/>
      </w:pPr>
      <w:rPr>
        <w:rFonts w:ascii="Courier New" w:hAnsi="Courier New" w:hint="default"/>
      </w:rPr>
    </w:lvl>
    <w:lvl w:ilvl="1" w:tplc="30245BD0">
      <w:start w:val="1"/>
      <w:numFmt w:val="bullet"/>
      <w:lvlText w:val=""/>
      <w:lvlJc w:val="left"/>
      <w:pPr>
        <w:tabs>
          <w:tab w:val="num" w:pos="2160"/>
        </w:tabs>
        <w:ind w:left="2160" w:hanging="360"/>
      </w:pPr>
      <w:rPr>
        <w:rFonts w:ascii="Symbol" w:hAnsi="Symbol"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3" w15:restartNumberingAfterBreak="0">
    <w:nsid w:val="7B7C2A1F"/>
    <w:multiLevelType w:val="hybridMultilevel"/>
    <w:tmpl w:val="2D020150"/>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D931A9"/>
    <w:multiLevelType w:val="hybridMultilevel"/>
    <w:tmpl w:val="A8649730"/>
    <w:lvl w:ilvl="0" w:tplc="04090003">
      <w:start w:val="1"/>
      <w:numFmt w:val="bullet"/>
      <w:lvlText w:val="o"/>
      <w:lvlJc w:val="left"/>
      <w:pPr>
        <w:tabs>
          <w:tab w:val="num" w:pos="1368"/>
        </w:tabs>
        <w:ind w:left="1368" w:hanging="360"/>
      </w:pPr>
      <w:rPr>
        <w:rFonts w:ascii="Courier New" w:hAnsi="Courier New" w:hint="default"/>
        <w:color w:val="auto"/>
        <w:sz w:val="24"/>
      </w:rPr>
    </w:lvl>
    <w:lvl w:ilvl="1" w:tplc="04090003">
      <w:start w:val="1"/>
      <w:numFmt w:val="bullet"/>
      <w:lvlText w:val="o"/>
      <w:lvlJc w:val="left"/>
      <w:pPr>
        <w:tabs>
          <w:tab w:val="num" w:pos="2160"/>
        </w:tabs>
        <w:ind w:left="2160" w:hanging="360"/>
      </w:pPr>
      <w:rPr>
        <w:rFonts w:ascii="Courier New" w:hAnsi="Courier New"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E71EA8"/>
    <w:multiLevelType w:val="hybridMultilevel"/>
    <w:tmpl w:val="94783B14"/>
    <w:lvl w:ilvl="0" w:tplc="30245BD0">
      <w:start w:val="1"/>
      <w:numFmt w:val="bullet"/>
      <w:lvlText w:val=""/>
      <w:lvlJc w:val="left"/>
      <w:pPr>
        <w:tabs>
          <w:tab w:val="num" w:pos="1368"/>
        </w:tabs>
        <w:ind w:left="1368"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2"/>
  </w:num>
  <w:num w:numId="3">
    <w:abstractNumId w:val="3"/>
  </w:num>
  <w:num w:numId="4">
    <w:abstractNumId w:val="40"/>
  </w:num>
  <w:num w:numId="5">
    <w:abstractNumId w:val="39"/>
  </w:num>
  <w:num w:numId="6">
    <w:abstractNumId w:val="3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 w:numId="8">
    <w:abstractNumId w:val="6"/>
  </w:num>
  <w:num w:numId="9">
    <w:abstractNumId w:val="8"/>
  </w:num>
  <w:num w:numId="10">
    <w:abstractNumId w:val="21"/>
  </w:num>
  <w:num w:numId="11">
    <w:abstractNumId w:val="41"/>
  </w:num>
  <w:num w:numId="12">
    <w:abstractNumId w:val="9"/>
  </w:num>
  <w:num w:numId="13">
    <w:abstractNumId w:val="14"/>
  </w:num>
  <w:num w:numId="14">
    <w:abstractNumId w:val="18"/>
  </w:num>
  <w:num w:numId="15">
    <w:abstractNumId w:val="13"/>
  </w:num>
  <w:num w:numId="16">
    <w:abstractNumId w:val="22"/>
  </w:num>
  <w:num w:numId="17">
    <w:abstractNumId w:val="17"/>
  </w:num>
  <w:num w:numId="18">
    <w:abstractNumId w:val="7"/>
  </w:num>
  <w:num w:numId="19">
    <w:abstractNumId w:val="4"/>
  </w:num>
  <w:num w:numId="20">
    <w:abstractNumId w:val="34"/>
  </w:num>
  <w:num w:numId="21">
    <w:abstractNumId w:val="33"/>
  </w:num>
  <w:num w:numId="22">
    <w:abstractNumId w:val="38"/>
  </w:num>
  <w:num w:numId="23">
    <w:abstractNumId w:val="32"/>
  </w:num>
  <w:num w:numId="24">
    <w:abstractNumId w:val="11"/>
  </w:num>
  <w:num w:numId="25">
    <w:abstractNumId w:val="28"/>
  </w:num>
  <w:num w:numId="26">
    <w:abstractNumId w:val="30"/>
  </w:num>
  <w:num w:numId="27">
    <w:abstractNumId w:val="0"/>
  </w:num>
  <w:num w:numId="28">
    <w:abstractNumId w:val="12"/>
  </w:num>
  <w:num w:numId="29">
    <w:abstractNumId w:val="31"/>
  </w:num>
  <w:num w:numId="30">
    <w:abstractNumId w:val="20"/>
  </w:num>
  <w:num w:numId="31">
    <w:abstractNumId w:val="10"/>
  </w:num>
  <w:num w:numId="32">
    <w:abstractNumId w:val="43"/>
  </w:num>
  <w:num w:numId="33">
    <w:abstractNumId w:val="27"/>
  </w:num>
  <w:num w:numId="34">
    <w:abstractNumId w:val="45"/>
  </w:num>
  <w:num w:numId="35">
    <w:abstractNumId w:val="24"/>
  </w:num>
  <w:num w:numId="36">
    <w:abstractNumId w:val="1"/>
  </w:num>
  <w:num w:numId="37">
    <w:abstractNumId w:val="16"/>
  </w:num>
  <w:num w:numId="38">
    <w:abstractNumId w:val="15"/>
  </w:num>
  <w:num w:numId="39">
    <w:abstractNumId w:val="35"/>
  </w:num>
  <w:num w:numId="40">
    <w:abstractNumId w:val="37"/>
  </w:num>
  <w:num w:numId="41">
    <w:abstractNumId w:val="25"/>
  </w:num>
  <w:num w:numId="42">
    <w:abstractNumId w:val="29"/>
  </w:num>
  <w:num w:numId="43">
    <w:abstractNumId w:val="44"/>
  </w:num>
  <w:num w:numId="44">
    <w:abstractNumId w:val="26"/>
  </w:num>
  <w:num w:numId="45">
    <w:abstractNumId w:val="19"/>
  </w:num>
  <w:num w:numId="46">
    <w:abstractNumId w:val="36"/>
  </w:num>
  <w:num w:numId="47">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F7"/>
    <w:rsid w:val="000010E2"/>
    <w:rsid w:val="0002399C"/>
    <w:rsid w:val="00023AEC"/>
    <w:rsid w:val="000243D6"/>
    <w:rsid w:val="00036404"/>
    <w:rsid w:val="00045B7E"/>
    <w:rsid w:val="00056722"/>
    <w:rsid w:val="0006013A"/>
    <w:rsid w:val="00085B68"/>
    <w:rsid w:val="00091ADD"/>
    <w:rsid w:val="00096C73"/>
    <w:rsid w:val="000A3305"/>
    <w:rsid w:val="000A7F43"/>
    <w:rsid w:val="000B4958"/>
    <w:rsid w:val="000D292B"/>
    <w:rsid w:val="000D698A"/>
    <w:rsid w:val="000F3CD0"/>
    <w:rsid w:val="001016BF"/>
    <w:rsid w:val="00101779"/>
    <w:rsid w:val="00101F81"/>
    <w:rsid w:val="00104E71"/>
    <w:rsid w:val="00105276"/>
    <w:rsid w:val="001072CE"/>
    <w:rsid w:val="00123D43"/>
    <w:rsid w:val="001277F4"/>
    <w:rsid w:val="00132CE6"/>
    <w:rsid w:val="0013502E"/>
    <w:rsid w:val="001573A6"/>
    <w:rsid w:val="001652F2"/>
    <w:rsid w:val="00171C96"/>
    <w:rsid w:val="001737C9"/>
    <w:rsid w:val="0017479F"/>
    <w:rsid w:val="00193F70"/>
    <w:rsid w:val="0019564F"/>
    <w:rsid w:val="001A04AF"/>
    <w:rsid w:val="001A33B9"/>
    <w:rsid w:val="001B005D"/>
    <w:rsid w:val="001D3A8B"/>
    <w:rsid w:val="001E0CA5"/>
    <w:rsid w:val="001F0CCF"/>
    <w:rsid w:val="001F44DF"/>
    <w:rsid w:val="001F4FAE"/>
    <w:rsid w:val="00205E12"/>
    <w:rsid w:val="002073AC"/>
    <w:rsid w:val="00214406"/>
    <w:rsid w:val="00215AE0"/>
    <w:rsid w:val="002225A5"/>
    <w:rsid w:val="002501CB"/>
    <w:rsid w:val="00260EED"/>
    <w:rsid w:val="002635EB"/>
    <w:rsid w:val="00266303"/>
    <w:rsid w:val="00267C69"/>
    <w:rsid w:val="00280330"/>
    <w:rsid w:val="0028403B"/>
    <w:rsid w:val="00293FAE"/>
    <w:rsid w:val="002942C9"/>
    <w:rsid w:val="00297C44"/>
    <w:rsid w:val="002A7A40"/>
    <w:rsid w:val="002C0B03"/>
    <w:rsid w:val="002D04B5"/>
    <w:rsid w:val="002E0176"/>
    <w:rsid w:val="002E6C8C"/>
    <w:rsid w:val="002E7094"/>
    <w:rsid w:val="002F1307"/>
    <w:rsid w:val="002F2010"/>
    <w:rsid w:val="0032226A"/>
    <w:rsid w:val="003345DD"/>
    <w:rsid w:val="003350FB"/>
    <w:rsid w:val="003374C5"/>
    <w:rsid w:val="00343454"/>
    <w:rsid w:val="00361A1E"/>
    <w:rsid w:val="00362322"/>
    <w:rsid w:val="00391C70"/>
    <w:rsid w:val="00393EE3"/>
    <w:rsid w:val="003E79BD"/>
    <w:rsid w:val="003E7B4E"/>
    <w:rsid w:val="003F6640"/>
    <w:rsid w:val="00414391"/>
    <w:rsid w:val="00425D71"/>
    <w:rsid w:val="00437D16"/>
    <w:rsid w:val="004519CE"/>
    <w:rsid w:val="00463ED9"/>
    <w:rsid w:val="0046532E"/>
    <w:rsid w:val="004672EB"/>
    <w:rsid w:val="00476229"/>
    <w:rsid w:val="00481F27"/>
    <w:rsid w:val="00482E79"/>
    <w:rsid w:val="004900C6"/>
    <w:rsid w:val="0049043E"/>
    <w:rsid w:val="004B4DEF"/>
    <w:rsid w:val="004B6589"/>
    <w:rsid w:val="004B681F"/>
    <w:rsid w:val="004D3BD8"/>
    <w:rsid w:val="004E06BD"/>
    <w:rsid w:val="004E4E5A"/>
    <w:rsid w:val="0051214C"/>
    <w:rsid w:val="0052368C"/>
    <w:rsid w:val="00524B4C"/>
    <w:rsid w:val="005300BA"/>
    <w:rsid w:val="00541207"/>
    <w:rsid w:val="0054120A"/>
    <w:rsid w:val="005436E5"/>
    <w:rsid w:val="005437E3"/>
    <w:rsid w:val="00551F9A"/>
    <w:rsid w:val="005559CC"/>
    <w:rsid w:val="00572F82"/>
    <w:rsid w:val="0057326C"/>
    <w:rsid w:val="00574052"/>
    <w:rsid w:val="005814FF"/>
    <w:rsid w:val="00590C7C"/>
    <w:rsid w:val="00594ED7"/>
    <w:rsid w:val="005971C1"/>
    <w:rsid w:val="005A4843"/>
    <w:rsid w:val="005B251A"/>
    <w:rsid w:val="005B43EC"/>
    <w:rsid w:val="005C2903"/>
    <w:rsid w:val="005D4674"/>
    <w:rsid w:val="005F2CB9"/>
    <w:rsid w:val="005F6038"/>
    <w:rsid w:val="00610FFF"/>
    <w:rsid w:val="006145F5"/>
    <w:rsid w:val="00630443"/>
    <w:rsid w:val="00632859"/>
    <w:rsid w:val="00646BF9"/>
    <w:rsid w:val="00651D8A"/>
    <w:rsid w:val="0065552C"/>
    <w:rsid w:val="00661138"/>
    <w:rsid w:val="00673C2D"/>
    <w:rsid w:val="006761DE"/>
    <w:rsid w:val="0067756B"/>
    <w:rsid w:val="00696D09"/>
    <w:rsid w:val="006A7636"/>
    <w:rsid w:val="006B5822"/>
    <w:rsid w:val="006B6B34"/>
    <w:rsid w:val="006C09B6"/>
    <w:rsid w:val="006C274F"/>
    <w:rsid w:val="006D1B14"/>
    <w:rsid w:val="006D4510"/>
    <w:rsid w:val="006E037D"/>
    <w:rsid w:val="00706E94"/>
    <w:rsid w:val="00716BB2"/>
    <w:rsid w:val="00726446"/>
    <w:rsid w:val="0073111E"/>
    <w:rsid w:val="00732109"/>
    <w:rsid w:val="00733E0A"/>
    <w:rsid w:val="0074055D"/>
    <w:rsid w:val="00745602"/>
    <w:rsid w:val="00746441"/>
    <w:rsid w:val="0074645D"/>
    <w:rsid w:val="00752C0D"/>
    <w:rsid w:val="007611D7"/>
    <w:rsid w:val="0076791F"/>
    <w:rsid w:val="007714A7"/>
    <w:rsid w:val="0077459B"/>
    <w:rsid w:val="00783490"/>
    <w:rsid w:val="00792595"/>
    <w:rsid w:val="007A2462"/>
    <w:rsid w:val="007A26E3"/>
    <w:rsid w:val="007B7877"/>
    <w:rsid w:val="007C0BB9"/>
    <w:rsid w:val="007C5B2A"/>
    <w:rsid w:val="007F1CA9"/>
    <w:rsid w:val="007F39B9"/>
    <w:rsid w:val="00806C32"/>
    <w:rsid w:val="00816D41"/>
    <w:rsid w:val="008263F7"/>
    <w:rsid w:val="00835524"/>
    <w:rsid w:val="00837B2E"/>
    <w:rsid w:val="00846D03"/>
    <w:rsid w:val="00847F70"/>
    <w:rsid w:val="00852484"/>
    <w:rsid w:val="00853571"/>
    <w:rsid w:val="0085644C"/>
    <w:rsid w:val="00861BC0"/>
    <w:rsid w:val="00865B8C"/>
    <w:rsid w:val="00865CD8"/>
    <w:rsid w:val="0087379F"/>
    <w:rsid w:val="008738FB"/>
    <w:rsid w:val="008769B8"/>
    <w:rsid w:val="00882C29"/>
    <w:rsid w:val="008908F4"/>
    <w:rsid w:val="008A1291"/>
    <w:rsid w:val="008B6397"/>
    <w:rsid w:val="008C2DB1"/>
    <w:rsid w:val="008D19D6"/>
    <w:rsid w:val="008D7C27"/>
    <w:rsid w:val="008E00C6"/>
    <w:rsid w:val="008E060D"/>
    <w:rsid w:val="008E3A6E"/>
    <w:rsid w:val="008E3E29"/>
    <w:rsid w:val="00913C8B"/>
    <w:rsid w:val="00921F19"/>
    <w:rsid w:val="00927889"/>
    <w:rsid w:val="00931A55"/>
    <w:rsid w:val="0093410D"/>
    <w:rsid w:val="00947977"/>
    <w:rsid w:val="00951686"/>
    <w:rsid w:val="00954999"/>
    <w:rsid w:val="00956C42"/>
    <w:rsid w:val="00973DDB"/>
    <w:rsid w:val="009813A8"/>
    <w:rsid w:val="00985B3C"/>
    <w:rsid w:val="00991A4B"/>
    <w:rsid w:val="00992B1D"/>
    <w:rsid w:val="00995C45"/>
    <w:rsid w:val="009B2B06"/>
    <w:rsid w:val="009B404C"/>
    <w:rsid w:val="009C0DBA"/>
    <w:rsid w:val="009D01B8"/>
    <w:rsid w:val="009F2191"/>
    <w:rsid w:val="009F348B"/>
    <w:rsid w:val="00A01FFE"/>
    <w:rsid w:val="00A062F6"/>
    <w:rsid w:val="00A24C97"/>
    <w:rsid w:val="00A42466"/>
    <w:rsid w:val="00A45A33"/>
    <w:rsid w:val="00A46CB7"/>
    <w:rsid w:val="00A53ADF"/>
    <w:rsid w:val="00A55767"/>
    <w:rsid w:val="00A55F09"/>
    <w:rsid w:val="00A56BB2"/>
    <w:rsid w:val="00A6042B"/>
    <w:rsid w:val="00A71594"/>
    <w:rsid w:val="00A909F3"/>
    <w:rsid w:val="00A916D0"/>
    <w:rsid w:val="00AA1A9B"/>
    <w:rsid w:val="00AB0503"/>
    <w:rsid w:val="00AE0DCC"/>
    <w:rsid w:val="00AE153C"/>
    <w:rsid w:val="00AE5934"/>
    <w:rsid w:val="00AE7AE2"/>
    <w:rsid w:val="00AF447C"/>
    <w:rsid w:val="00B0101B"/>
    <w:rsid w:val="00B146DC"/>
    <w:rsid w:val="00B17F6F"/>
    <w:rsid w:val="00B21385"/>
    <w:rsid w:val="00B21AB7"/>
    <w:rsid w:val="00B3224D"/>
    <w:rsid w:val="00B4092E"/>
    <w:rsid w:val="00B46A67"/>
    <w:rsid w:val="00B620DF"/>
    <w:rsid w:val="00B746AD"/>
    <w:rsid w:val="00B7510F"/>
    <w:rsid w:val="00B7623E"/>
    <w:rsid w:val="00B76352"/>
    <w:rsid w:val="00B81F55"/>
    <w:rsid w:val="00B95CEC"/>
    <w:rsid w:val="00BA4704"/>
    <w:rsid w:val="00BD1DD8"/>
    <w:rsid w:val="00BE2FB2"/>
    <w:rsid w:val="00BE39A3"/>
    <w:rsid w:val="00BE446C"/>
    <w:rsid w:val="00BF626E"/>
    <w:rsid w:val="00BF7FF0"/>
    <w:rsid w:val="00C00662"/>
    <w:rsid w:val="00C008F0"/>
    <w:rsid w:val="00C02541"/>
    <w:rsid w:val="00C02ED5"/>
    <w:rsid w:val="00C03F22"/>
    <w:rsid w:val="00C06195"/>
    <w:rsid w:val="00C06647"/>
    <w:rsid w:val="00C120C1"/>
    <w:rsid w:val="00C2730D"/>
    <w:rsid w:val="00C425A0"/>
    <w:rsid w:val="00C549B6"/>
    <w:rsid w:val="00C60777"/>
    <w:rsid w:val="00C63961"/>
    <w:rsid w:val="00C63C1A"/>
    <w:rsid w:val="00C72A93"/>
    <w:rsid w:val="00C732A4"/>
    <w:rsid w:val="00C929F2"/>
    <w:rsid w:val="00C9301B"/>
    <w:rsid w:val="00CA398A"/>
    <w:rsid w:val="00CB5B73"/>
    <w:rsid w:val="00CB6AB8"/>
    <w:rsid w:val="00CC133B"/>
    <w:rsid w:val="00CC2BCE"/>
    <w:rsid w:val="00CC336F"/>
    <w:rsid w:val="00CC65D1"/>
    <w:rsid w:val="00CD5B85"/>
    <w:rsid w:val="00CE16C7"/>
    <w:rsid w:val="00CF2D15"/>
    <w:rsid w:val="00CF599C"/>
    <w:rsid w:val="00D04B4C"/>
    <w:rsid w:val="00D116C0"/>
    <w:rsid w:val="00D122E7"/>
    <w:rsid w:val="00D1282A"/>
    <w:rsid w:val="00D13E0F"/>
    <w:rsid w:val="00D25987"/>
    <w:rsid w:val="00D414F3"/>
    <w:rsid w:val="00D4441A"/>
    <w:rsid w:val="00D55B22"/>
    <w:rsid w:val="00D62C06"/>
    <w:rsid w:val="00D65244"/>
    <w:rsid w:val="00D73BDC"/>
    <w:rsid w:val="00D748FD"/>
    <w:rsid w:val="00D941C8"/>
    <w:rsid w:val="00DA29DD"/>
    <w:rsid w:val="00DA32E9"/>
    <w:rsid w:val="00DB154E"/>
    <w:rsid w:val="00DE62EC"/>
    <w:rsid w:val="00DF5FA7"/>
    <w:rsid w:val="00DF67FD"/>
    <w:rsid w:val="00DF7367"/>
    <w:rsid w:val="00E00377"/>
    <w:rsid w:val="00E26025"/>
    <w:rsid w:val="00E31068"/>
    <w:rsid w:val="00E319DD"/>
    <w:rsid w:val="00E36FF1"/>
    <w:rsid w:val="00E40D56"/>
    <w:rsid w:val="00E44F42"/>
    <w:rsid w:val="00E4605E"/>
    <w:rsid w:val="00E51C64"/>
    <w:rsid w:val="00E52D60"/>
    <w:rsid w:val="00E60A85"/>
    <w:rsid w:val="00E63300"/>
    <w:rsid w:val="00E74DF7"/>
    <w:rsid w:val="00E93815"/>
    <w:rsid w:val="00EA0A31"/>
    <w:rsid w:val="00EA117C"/>
    <w:rsid w:val="00EB6C60"/>
    <w:rsid w:val="00EC0182"/>
    <w:rsid w:val="00EC2D84"/>
    <w:rsid w:val="00ED0AEC"/>
    <w:rsid w:val="00ED40C0"/>
    <w:rsid w:val="00EE2ED2"/>
    <w:rsid w:val="00EE30B5"/>
    <w:rsid w:val="00EF3166"/>
    <w:rsid w:val="00EF3907"/>
    <w:rsid w:val="00EF7879"/>
    <w:rsid w:val="00F01CB1"/>
    <w:rsid w:val="00F108B4"/>
    <w:rsid w:val="00F20BE5"/>
    <w:rsid w:val="00F21D9F"/>
    <w:rsid w:val="00F2276F"/>
    <w:rsid w:val="00F35801"/>
    <w:rsid w:val="00F35CF8"/>
    <w:rsid w:val="00F462A7"/>
    <w:rsid w:val="00F47023"/>
    <w:rsid w:val="00F51742"/>
    <w:rsid w:val="00F51D83"/>
    <w:rsid w:val="00F563CA"/>
    <w:rsid w:val="00F60CE4"/>
    <w:rsid w:val="00F63100"/>
    <w:rsid w:val="00F63D0B"/>
    <w:rsid w:val="00F64429"/>
    <w:rsid w:val="00F67E80"/>
    <w:rsid w:val="00F76375"/>
    <w:rsid w:val="00F77B32"/>
    <w:rsid w:val="00F8203A"/>
    <w:rsid w:val="00F8632E"/>
    <w:rsid w:val="00F87F79"/>
    <w:rsid w:val="00F92632"/>
    <w:rsid w:val="00FA563C"/>
    <w:rsid w:val="00FB50F8"/>
    <w:rsid w:val="00FC726D"/>
    <w:rsid w:val="00FD6CDA"/>
    <w:rsid w:val="00FE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4B511913"/>
  <w15:chartTrackingRefBased/>
  <w15:docId w15:val="{8FF43BDA-A836-46E3-B242-59A52377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outlineLvl w:val="1"/>
    </w:pPr>
    <w:rPr>
      <w:rFonts w:ascii="Arial" w:hAnsi="Arial" w:cs="Arial"/>
      <w:b/>
      <w:bCs/>
      <w:color w:val="000000"/>
      <w:sz w:val="1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240"/>
      </w:tabs>
      <w:spacing w:after="40"/>
      <w:ind w:left="120" w:right="-120"/>
      <w:outlineLvl w:val="3"/>
    </w:pPr>
    <w:rPr>
      <w:rFonts w:ascii="Helvetica" w:hAnsi="Helvetica"/>
      <w:b/>
      <w:bCs/>
      <w:color w:val="000000"/>
    </w:rPr>
  </w:style>
  <w:style w:type="paragraph" w:styleId="Heading5">
    <w:name w:val="heading 5"/>
    <w:basedOn w:val="Normal"/>
    <w:next w:val="Normal"/>
    <w:qFormat/>
    <w:pPr>
      <w:keepNext/>
      <w:outlineLvl w:val="4"/>
    </w:pPr>
    <w:rPr>
      <w:b/>
      <w:bCs/>
      <w:color w:val="0000FF"/>
      <w:sz w:val="24"/>
    </w:rPr>
  </w:style>
  <w:style w:type="paragraph" w:styleId="Heading6">
    <w:name w:val="heading 6"/>
    <w:basedOn w:val="Normal"/>
    <w:next w:val="Normal"/>
    <w:qFormat/>
    <w:pPr>
      <w:keepNext/>
      <w:ind w:left="1080"/>
      <w:outlineLvl w:val="5"/>
    </w:pPr>
    <w:rPr>
      <w:sz w:val="24"/>
    </w:rPr>
  </w:style>
  <w:style w:type="paragraph" w:styleId="Heading7">
    <w:name w:val="heading 7"/>
    <w:basedOn w:val="Normal"/>
    <w:next w:val="Normal"/>
    <w:qFormat/>
    <w:pPr>
      <w:keepNext/>
      <w:overflowPunct/>
      <w:autoSpaceDE/>
      <w:autoSpaceDN/>
      <w:adjustRightInd/>
      <w:textAlignment w:val="auto"/>
      <w:outlineLvl w:val="6"/>
    </w:pPr>
    <w:rPr>
      <w:rFonts w:ascii="Arial" w:hAnsi="Arial" w:cs="Arial"/>
      <w:b/>
      <w:bCs/>
      <w:color w:val="FFFFFF"/>
      <w:sz w:val="24"/>
      <w:szCs w:val="24"/>
    </w:rPr>
  </w:style>
  <w:style w:type="paragraph" w:styleId="Heading8">
    <w:name w:val="heading 8"/>
    <w:basedOn w:val="Normal"/>
    <w:next w:val="Normal"/>
    <w:qFormat/>
    <w:pPr>
      <w:keepNext/>
      <w:overflowPunct/>
      <w:autoSpaceDE/>
      <w:autoSpaceDN/>
      <w:adjustRightInd/>
      <w:textAlignment w:val="auto"/>
      <w:outlineLvl w:val="7"/>
    </w:pPr>
    <w:rPr>
      <w:rFonts w:ascii="Arial" w:hAnsi="Arial" w:cs="Arial"/>
      <w:b/>
      <w:bCs/>
      <w:sz w:val="22"/>
      <w:szCs w:val="24"/>
    </w:rPr>
  </w:style>
  <w:style w:type="paragraph" w:styleId="Heading9">
    <w:name w:val="heading 9"/>
    <w:basedOn w:val="Normal"/>
    <w:next w:val="Normal"/>
    <w:qFormat/>
    <w:pPr>
      <w:keepNext/>
      <w:overflowPunct/>
      <w:autoSpaceDE/>
      <w:autoSpaceDN/>
      <w:adjustRightInd/>
      <w:jc w:val="center"/>
      <w:textAlignment w:val="auto"/>
      <w:outlineLvl w:val="8"/>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Helvetica" w:hAnsi="Helvetica"/>
      <w:b/>
      <w:sz w:val="28"/>
    </w:rPr>
  </w:style>
  <w:style w:type="character" w:styleId="PageNumber">
    <w:name w:val="page number"/>
    <w:basedOn w:val="DefaultParagraphFont"/>
  </w:style>
  <w:style w:type="paragraph" w:customStyle="1" w:styleId="OmniPage267">
    <w:name w:val="OmniPage #267"/>
    <w:basedOn w:val="Normal"/>
    <w:pPr>
      <w:tabs>
        <w:tab w:val="left" w:pos="1420"/>
        <w:tab w:val="right" w:pos="2840"/>
      </w:tabs>
      <w:ind w:left="2411" w:right="6180"/>
    </w:pPr>
    <w:rPr>
      <w:noProof/>
    </w:rPr>
  </w:style>
  <w:style w:type="paragraph" w:customStyle="1" w:styleId="OmniPage269">
    <w:name w:val="OmniPage #269"/>
    <w:basedOn w:val="Normal"/>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pPr>
      <w:tabs>
        <w:tab w:val="left" w:pos="1972"/>
        <w:tab w:val="right" w:pos="4256"/>
      </w:tabs>
      <w:ind w:left="2628" w:right="4728"/>
    </w:pPr>
    <w:rPr>
      <w:noProof/>
    </w:rPr>
  </w:style>
  <w:style w:type="paragraph" w:styleId="BlockText">
    <w:name w:val="Block Text"/>
    <w:basedOn w:val="Normal"/>
    <w:pPr>
      <w:tabs>
        <w:tab w:val="left" w:pos="240"/>
      </w:tabs>
      <w:spacing w:after="60"/>
      <w:ind w:left="120" w:right="-120"/>
    </w:pPr>
    <w:rPr>
      <w:color w:val="000000"/>
      <w:sz w:val="22"/>
    </w:rPr>
  </w:style>
  <w:style w:type="paragraph" w:styleId="BodyTextIndent">
    <w:name w:val="Body Text Indent"/>
    <w:basedOn w:val="Normal"/>
    <w:pPr>
      <w:tabs>
        <w:tab w:val="left" w:pos="360"/>
      </w:tabs>
      <w:overflowPunct/>
      <w:spacing w:line="240" w:lineRule="atLeast"/>
      <w:ind w:left="360" w:hanging="360"/>
      <w:textAlignment w:val="auto"/>
    </w:pPr>
    <w:rPr>
      <w:color w:val="000000"/>
      <w:sz w:val="24"/>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
    <w:name w:val="Body Text"/>
    <w:basedOn w:val="Normal"/>
    <w:rPr>
      <w:color w:val="0000FF"/>
      <w:sz w:val="24"/>
    </w:rPr>
  </w:style>
  <w:style w:type="paragraph" w:styleId="BodyTextIndent2">
    <w:name w:val="Body Text Indent 2"/>
    <w:basedOn w:val="Normal"/>
    <w:pPr>
      <w:ind w:left="630"/>
    </w:pPr>
    <w:rPr>
      <w:sz w:val="24"/>
    </w:rPr>
  </w:style>
  <w:style w:type="paragraph" w:styleId="BodyTextIndent3">
    <w:name w:val="Body Text Indent 3"/>
    <w:basedOn w:val="Normal"/>
    <w:pPr>
      <w:ind w:left="630"/>
    </w:pPr>
    <w:rPr>
      <w:sz w:val="22"/>
    </w:rPr>
  </w:style>
  <w:style w:type="paragraph" w:styleId="CommentSubject">
    <w:name w:val="annotation subject"/>
    <w:basedOn w:val="CommentText"/>
    <w:next w:val="CommentText"/>
    <w:semiHidden/>
    <w:pPr>
      <w:overflowPunct/>
      <w:autoSpaceDE/>
      <w:autoSpaceDN/>
      <w:adjustRightInd/>
      <w:textAlignment w:val="auto"/>
    </w:pPr>
    <w:rPr>
      <w:b/>
      <w:bCs/>
    </w:rPr>
  </w:style>
  <w:style w:type="paragraph" w:styleId="CommentText">
    <w:name w:val="annotation text"/>
    <w:basedOn w:val="Normal"/>
    <w:semiHidden/>
  </w:style>
  <w:style w:type="paragraph" w:styleId="EndnoteText">
    <w:name w:val="endnote text"/>
    <w:basedOn w:val="Normal"/>
    <w:semiHidden/>
    <w:pPr>
      <w:widowControl w:val="0"/>
    </w:pPr>
    <w:rPr>
      <w:spacing w:val="-3"/>
      <w:sz w:val="24"/>
    </w:rPr>
  </w:style>
  <w:style w:type="paragraph" w:styleId="Subtitle">
    <w:name w:val="Subtitle"/>
    <w:basedOn w:val="Normal"/>
    <w:qFormat/>
    <w:pPr>
      <w:overflowPunct/>
      <w:autoSpaceDE/>
      <w:autoSpaceDN/>
      <w:adjustRightInd/>
      <w:jc w:val="center"/>
      <w:textAlignment w:val="auto"/>
    </w:pPr>
    <w:rPr>
      <w:b/>
      <w:sz w:val="24"/>
      <w:szCs w:val="24"/>
    </w:rPr>
  </w:style>
  <w:style w:type="character" w:styleId="CommentReference">
    <w:name w:val="annotation reference"/>
    <w:semiHidden/>
    <w:rsid w:val="008E3A6E"/>
    <w:rPr>
      <w:sz w:val="16"/>
      <w:szCs w:val="16"/>
    </w:rPr>
  </w:style>
  <w:style w:type="paragraph" w:styleId="BalloonText">
    <w:name w:val="Balloon Text"/>
    <w:basedOn w:val="Normal"/>
    <w:semiHidden/>
    <w:rsid w:val="008E3A6E"/>
    <w:rPr>
      <w:rFonts w:ascii="Tahoma" w:hAnsi="Tahoma" w:cs="Tahoma"/>
      <w:sz w:val="16"/>
      <w:szCs w:val="16"/>
    </w:rPr>
  </w:style>
  <w:style w:type="paragraph" w:styleId="BodyText2">
    <w:name w:val="Body Text 2"/>
    <w:basedOn w:val="Normal"/>
    <w:rsid w:val="008E3A6E"/>
    <w:pPr>
      <w:spacing w:after="120" w:line="480" w:lineRule="auto"/>
    </w:pPr>
  </w:style>
  <w:style w:type="paragraph" w:styleId="DocumentMap">
    <w:name w:val="Document Map"/>
    <w:basedOn w:val="Normal"/>
    <w:semiHidden/>
    <w:rsid w:val="00C9301B"/>
    <w:pPr>
      <w:shd w:val="clear" w:color="auto" w:fill="000080"/>
    </w:pPr>
    <w:rPr>
      <w:rFonts w:ascii="Tahoma" w:hAnsi="Tahoma" w:cs="Tahoma"/>
    </w:rPr>
  </w:style>
  <w:style w:type="paragraph" w:customStyle="1" w:styleId="Style1">
    <w:name w:val="Style1"/>
    <w:basedOn w:val="Heading8"/>
    <w:rsid w:val="008738FB"/>
    <w:rPr>
      <w:rFonts w:ascii="Times New Roman" w:hAnsi="Times New Roman"/>
      <w:sz w:val="20"/>
    </w:rPr>
  </w:style>
  <w:style w:type="character" w:styleId="Hyperlink">
    <w:name w:val="Hyperlink"/>
    <w:rsid w:val="00C732A4"/>
    <w:rPr>
      <w:b/>
      <w:bCs/>
      <w:color w:val="990000"/>
      <w:u w:val="single"/>
    </w:rPr>
  </w:style>
  <w:style w:type="table" w:styleId="TableGrid">
    <w:name w:val="Table Grid"/>
    <w:basedOn w:val="TableNormal"/>
    <w:rsid w:val="00D6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E06BD"/>
  </w:style>
  <w:style w:type="paragraph" w:styleId="ListParagraph">
    <w:name w:val="List Paragraph"/>
    <w:basedOn w:val="Normal"/>
    <w:uiPriority w:val="34"/>
    <w:qFormat/>
    <w:rsid w:val="00590C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BF28-47EF-4D87-9F1D-5C1D8E93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6164</Words>
  <Characters>34249</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VBrown</dc:creator>
  <cp:keywords/>
  <cp:lastModifiedBy>Pollard, Colette</cp:lastModifiedBy>
  <cp:revision>2</cp:revision>
  <cp:lastPrinted>2017-06-28T19:07:00Z</cp:lastPrinted>
  <dcterms:created xsi:type="dcterms:W3CDTF">2017-06-30T21:27:00Z</dcterms:created>
  <dcterms:modified xsi:type="dcterms:W3CDTF">2017-06-30T21:27:00Z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