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1DB95" w14:textId="77777777" w:rsidR="00915327" w:rsidRDefault="00915327" w:rsidP="005D5B95">
      <w:pPr>
        <w:spacing w:after="0"/>
        <w:jc w:val="center"/>
        <w:rPr>
          <w:rFonts w:ascii="Times New Roman" w:hAnsi="Times New Roman" w:cs="Times New Roman"/>
          <w:sz w:val="24"/>
          <w:szCs w:val="24"/>
        </w:rPr>
      </w:pPr>
    </w:p>
    <w:p w14:paraId="21C1DFBD" w14:textId="77777777" w:rsidR="005D5B95" w:rsidRPr="002A6E9C" w:rsidRDefault="005D5B95" w:rsidP="005D5B95">
      <w:pPr>
        <w:spacing w:after="0"/>
        <w:jc w:val="center"/>
        <w:rPr>
          <w:rFonts w:ascii="Times New Roman" w:hAnsi="Times New Roman" w:cs="Times New Roman"/>
          <w:sz w:val="26"/>
          <w:szCs w:val="26"/>
        </w:rPr>
      </w:pPr>
      <w:r w:rsidRPr="002A6E9C">
        <w:rPr>
          <w:rFonts w:ascii="Times New Roman" w:hAnsi="Times New Roman" w:cs="Times New Roman"/>
          <w:sz w:val="26"/>
          <w:szCs w:val="26"/>
        </w:rPr>
        <w:t>Supporting Statement</w:t>
      </w:r>
    </w:p>
    <w:p w14:paraId="25B10BC3" w14:textId="77777777" w:rsidR="005D5B95" w:rsidRPr="002A6E9C" w:rsidRDefault="005D5B95" w:rsidP="005D5B95">
      <w:pPr>
        <w:spacing w:after="0"/>
        <w:jc w:val="center"/>
        <w:rPr>
          <w:rFonts w:ascii="Times New Roman" w:hAnsi="Times New Roman" w:cs="Times New Roman"/>
          <w:b/>
          <w:sz w:val="26"/>
          <w:szCs w:val="26"/>
        </w:rPr>
      </w:pPr>
      <w:r w:rsidRPr="002A6E9C">
        <w:rPr>
          <w:rFonts w:ascii="Times New Roman" w:hAnsi="Times New Roman" w:cs="Times New Roman"/>
          <w:b/>
          <w:sz w:val="26"/>
          <w:szCs w:val="26"/>
        </w:rPr>
        <w:t>FERC-521, Payments for Benefits from Headwater Improvements</w:t>
      </w:r>
    </w:p>
    <w:p w14:paraId="141CF0DD" w14:textId="77777777" w:rsidR="005D5B95" w:rsidRPr="002A6E9C" w:rsidRDefault="005D5B95" w:rsidP="005D5B95">
      <w:pPr>
        <w:spacing w:after="0"/>
        <w:jc w:val="center"/>
        <w:rPr>
          <w:rFonts w:ascii="Times New Roman" w:hAnsi="Times New Roman" w:cs="Times New Roman"/>
          <w:sz w:val="26"/>
          <w:szCs w:val="26"/>
        </w:rPr>
      </w:pPr>
    </w:p>
    <w:p w14:paraId="35510A87"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 xml:space="preserve">The Federal Energy Regulatory Commission (FERC or Commission) requests that the Office of Management and Budget (OMB) review and approve the </w:t>
      </w:r>
      <w:r w:rsidR="00915327" w:rsidRPr="002A6E9C">
        <w:rPr>
          <w:rFonts w:ascii="Times New Roman" w:hAnsi="Times New Roman" w:cs="Times New Roman"/>
          <w:sz w:val="26"/>
          <w:szCs w:val="26"/>
        </w:rPr>
        <w:t xml:space="preserve">information collection </w:t>
      </w:r>
      <w:r w:rsidRPr="002A6E9C">
        <w:rPr>
          <w:rFonts w:ascii="Times New Roman" w:hAnsi="Times New Roman" w:cs="Times New Roman"/>
          <w:sz w:val="26"/>
          <w:szCs w:val="26"/>
        </w:rPr>
        <w:t>FERC-521 (Payments for Benefits from Headwater Improvements) for a three-year period.</w:t>
      </w:r>
    </w:p>
    <w:p w14:paraId="010DB862" w14:textId="77777777" w:rsidR="005D5B95" w:rsidRPr="002A6E9C" w:rsidRDefault="005D5B95" w:rsidP="005D5B95">
      <w:pPr>
        <w:spacing w:after="0"/>
        <w:rPr>
          <w:rFonts w:ascii="Times New Roman" w:hAnsi="Times New Roman" w:cs="Times New Roman"/>
          <w:sz w:val="26"/>
          <w:szCs w:val="26"/>
        </w:rPr>
      </w:pPr>
    </w:p>
    <w:p w14:paraId="06674B31"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CIRCUMSTANCES THAT MAKE THE COLLECTION OF INFORMATION NECESSARY</w:t>
      </w:r>
    </w:p>
    <w:p w14:paraId="43BC4422" w14:textId="77777777" w:rsidR="005D5B95" w:rsidRPr="002A6E9C" w:rsidRDefault="005D5B95" w:rsidP="005D5B95">
      <w:pPr>
        <w:spacing w:after="0"/>
        <w:rPr>
          <w:rFonts w:ascii="Times New Roman" w:hAnsi="Times New Roman" w:cs="Times New Roman"/>
          <w:sz w:val="26"/>
          <w:szCs w:val="26"/>
        </w:rPr>
      </w:pPr>
    </w:p>
    <w:p w14:paraId="288EAD91"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The Commission has authority for the filing of headwater benefits information as mandated by Part 1 of the Federal Power Act</w:t>
      </w:r>
      <w:r w:rsidRPr="002A6E9C">
        <w:rPr>
          <w:rFonts w:ascii="Times New Roman" w:eastAsia="Times New Roman" w:hAnsi="Times New Roman" w:cs="Times New Roman"/>
          <w:b/>
          <w:sz w:val="26"/>
          <w:szCs w:val="26"/>
          <w:vertAlign w:val="superscript"/>
        </w:rPr>
        <w:footnoteReference w:id="1"/>
      </w:r>
      <w:r w:rsidRPr="002A6E9C">
        <w:rPr>
          <w:rFonts w:ascii="Times New Roman" w:hAnsi="Times New Roman" w:cs="Times New Roman"/>
          <w:sz w:val="26"/>
          <w:szCs w:val="26"/>
        </w:rPr>
        <w:t xml:space="preserve"> (FPA), Section 10(f).  Under Section 10(f), an owner of a hydropower project is required to reimburse upstream headwater project owners for an equitable part of the benefits it receives.  This includes paying equitable portions of the annual charges for interest, maintenance, and depreciation of the headwater project to the U.S. Treasury.  The Commission collects about $7.</w:t>
      </w:r>
      <w:r w:rsidR="00610A60" w:rsidRPr="002A6E9C">
        <w:rPr>
          <w:rFonts w:ascii="Times New Roman" w:hAnsi="Times New Roman" w:cs="Times New Roman"/>
          <w:sz w:val="26"/>
          <w:szCs w:val="26"/>
        </w:rPr>
        <w:t>9</w:t>
      </w:r>
      <w:r w:rsidRPr="002A6E9C">
        <w:rPr>
          <w:rFonts w:ascii="Times New Roman" w:hAnsi="Times New Roman" w:cs="Times New Roman"/>
          <w:sz w:val="26"/>
          <w:szCs w:val="26"/>
        </w:rPr>
        <w:t xml:space="preserve"> million annually, which it returns to the U.S. Treasury.  The Commission’s regulations provide for apportionment of these costs between the headwater project and downstream projects based on downstream energy gains and propose an equitable apportionment methodology that can be applied to all river basins in which headwater improvements are built.</w:t>
      </w:r>
    </w:p>
    <w:p w14:paraId="04A56CC5" w14:textId="77777777" w:rsidR="005D5B95" w:rsidRPr="002A6E9C" w:rsidRDefault="005D5B95" w:rsidP="005D5B95">
      <w:pPr>
        <w:spacing w:after="0"/>
        <w:rPr>
          <w:rFonts w:ascii="Times New Roman" w:hAnsi="Times New Roman" w:cs="Times New Roman"/>
          <w:sz w:val="26"/>
          <w:szCs w:val="26"/>
        </w:rPr>
      </w:pPr>
    </w:p>
    <w:p w14:paraId="594A73EB" w14:textId="5925A85D"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 xml:space="preserve">The Commission focuses its efforts on assessing headwater benefits derived from upstream federal storage projects constructed and operated by the U.S. Army Corps of Engineers and the Bureau of Reclamation.  </w:t>
      </w:r>
      <w:r w:rsidR="008A5770" w:rsidRPr="002A6E9C">
        <w:rPr>
          <w:rFonts w:ascii="Times New Roman" w:hAnsi="Times New Roman" w:cs="Times New Roman"/>
          <w:sz w:val="26"/>
          <w:szCs w:val="26"/>
        </w:rPr>
        <w:t xml:space="preserve">Headwater benefits are the additional energy production possible at downstream hydropower projects resulting from the regulation of river flows by an upstream storage reservoir.  </w:t>
      </w:r>
      <w:r w:rsidRPr="002A6E9C">
        <w:rPr>
          <w:rFonts w:ascii="Times New Roman" w:hAnsi="Times New Roman" w:cs="Times New Roman"/>
          <w:sz w:val="26"/>
          <w:szCs w:val="26"/>
        </w:rPr>
        <w:t>The purpose of determining the headwater benefits is to assess the downstream beneficiaries for a portion of the annual charges of the headwater project.  The Commission implements these requirements in the 18 CFR Part 11</w:t>
      </w:r>
      <w:r w:rsidR="004C2E9D">
        <w:rPr>
          <w:rFonts w:ascii="Times New Roman" w:hAnsi="Times New Roman" w:cs="Times New Roman"/>
          <w:sz w:val="26"/>
          <w:szCs w:val="26"/>
        </w:rPr>
        <w:t>.10</w:t>
      </w:r>
      <w:r w:rsidRPr="002A6E9C">
        <w:rPr>
          <w:rFonts w:ascii="Times New Roman" w:hAnsi="Times New Roman" w:cs="Times New Roman"/>
          <w:sz w:val="26"/>
          <w:szCs w:val="26"/>
        </w:rPr>
        <w:t>.</w:t>
      </w:r>
      <w:r w:rsidR="008A5770" w:rsidRPr="002A6E9C">
        <w:rPr>
          <w:rFonts w:ascii="Times New Roman" w:hAnsi="Times New Roman" w:cs="Times New Roman"/>
          <w:sz w:val="26"/>
          <w:szCs w:val="26"/>
        </w:rPr>
        <w:t xml:space="preserve"> </w:t>
      </w:r>
    </w:p>
    <w:p w14:paraId="184DDA9C" w14:textId="77777777" w:rsidR="005D5B95" w:rsidRPr="002A6E9C" w:rsidRDefault="005D5B95" w:rsidP="005D5B95">
      <w:pPr>
        <w:spacing w:after="0"/>
        <w:rPr>
          <w:rFonts w:ascii="Times New Roman" w:hAnsi="Times New Roman" w:cs="Times New Roman"/>
          <w:sz w:val="26"/>
          <w:szCs w:val="26"/>
        </w:rPr>
      </w:pPr>
      <w:bookmarkStart w:id="0" w:name="_GoBack"/>
      <w:bookmarkEnd w:id="0"/>
    </w:p>
    <w:p w14:paraId="7DC85D26"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HOW, BY WHOM, AND FOR WHAT PURPOSE THE INFORMATION IS TO BE USED AND THE CONSEQUENCES OF NOT COLLECTING THE INFORMATION</w:t>
      </w:r>
    </w:p>
    <w:p w14:paraId="0AAA69C7" w14:textId="77777777" w:rsidR="005D5B95" w:rsidRPr="002A6E9C" w:rsidRDefault="005D5B95" w:rsidP="005D5B95">
      <w:pPr>
        <w:spacing w:after="0"/>
        <w:rPr>
          <w:rFonts w:ascii="Times New Roman" w:hAnsi="Times New Roman" w:cs="Times New Roman"/>
          <w:sz w:val="26"/>
          <w:szCs w:val="26"/>
        </w:rPr>
      </w:pPr>
    </w:p>
    <w:p w14:paraId="46A8AB38"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lastRenderedPageBreak/>
        <w:t>FERC-521 implements the existing regulations and is necessary for the determination of headwater benefits derived by downstream parties.  The regulations set forth a formula</w:t>
      </w:r>
      <w:r w:rsidRPr="002A6E9C">
        <w:rPr>
          <w:rStyle w:val="FootnoteReference"/>
          <w:rFonts w:ascii="Times New Roman" w:hAnsi="Times New Roman" w:cs="Times New Roman"/>
          <w:sz w:val="26"/>
          <w:szCs w:val="26"/>
          <w:vertAlign w:val="superscript"/>
        </w:rPr>
        <w:footnoteReference w:id="2"/>
      </w:r>
      <w:r w:rsidRPr="002A6E9C">
        <w:rPr>
          <w:rFonts w:ascii="Times New Roman" w:hAnsi="Times New Roman" w:cs="Times New Roman"/>
          <w:sz w:val="26"/>
          <w:szCs w:val="26"/>
          <w:vertAlign w:val="superscript"/>
        </w:rPr>
        <w:t xml:space="preserve"> </w:t>
      </w:r>
      <w:r w:rsidRPr="002A6E9C">
        <w:rPr>
          <w:rFonts w:ascii="Times New Roman" w:hAnsi="Times New Roman" w:cs="Times New Roman"/>
          <w:sz w:val="26"/>
          <w:szCs w:val="26"/>
        </w:rPr>
        <w:t>for determining an equitable apportionment of the annual charges for interest, maintenance, and depreciation for a storage reservoir or other headwater improvement owned by the United States, a licensee, or a pre-1920 permittee.  Energy gains are determined by FERC using various analytical methods.  The method chosen depends upon the complexity of the river basin and the potential headwater benefits.  Complex river basins that include a large number of headwater and downstream projects often require a detailed computer analysis using FERC’s computer modeling simulation program Headwater Benefits Energy Gain Model (HWBEG).  For river basins that are not complex or in which the headwater benefits are expected to be small, the Commission relies on a flow duration methodology to determine energy gains.  Investigations are based on the determination of the average energy gains of a project.  To determine how much annual energy is produced, it is necessary to calculate how much energy the downstream project would have produced if the upstream projects did not exist.  The amount of energy that a hydropower project produces depends primarily on the following factors:</w:t>
      </w:r>
    </w:p>
    <w:p w14:paraId="4FBD5876" w14:textId="77777777" w:rsidR="005D5B95" w:rsidRPr="002A6E9C" w:rsidRDefault="005D5B95" w:rsidP="005D5B95">
      <w:pPr>
        <w:spacing w:after="0"/>
        <w:rPr>
          <w:rFonts w:ascii="Times New Roman" w:hAnsi="Times New Roman" w:cs="Times New Roman"/>
          <w:sz w:val="26"/>
          <w:szCs w:val="26"/>
        </w:rPr>
      </w:pPr>
    </w:p>
    <w:p w14:paraId="2DF78DE5"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w:t>
      </w:r>
      <w:r w:rsidRPr="002A6E9C">
        <w:rPr>
          <w:rFonts w:ascii="Times New Roman" w:hAnsi="Times New Roman" w:cs="Times New Roman"/>
          <w:sz w:val="26"/>
          <w:szCs w:val="26"/>
        </w:rPr>
        <w:tab/>
        <w:t>Stream flow;</w:t>
      </w:r>
    </w:p>
    <w:p w14:paraId="0D0B5AAB"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w:t>
      </w:r>
      <w:r w:rsidRPr="002A6E9C">
        <w:rPr>
          <w:rFonts w:ascii="Times New Roman" w:hAnsi="Times New Roman" w:cs="Times New Roman"/>
          <w:sz w:val="26"/>
          <w:szCs w:val="26"/>
        </w:rPr>
        <w:tab/>
        <w:t>Reservoir storage;</w:t>
      </w:r>
    </w:p>
    <w:p w14:paraId="07A208BF"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w:t>
      </w:r>
      <w:r w:rsidRPr="002A6E9C">
        <w:rPr>
          <w:rFonts w:ascii="Times New Roman" w:hAnsi="Times New Roman" w:cs="Times New Roman"/>
          <w:sz w:val="26"/>
          <w:szCs w:val="26"/>
        </w:rPr>
        <w:tab/>
        <w:t>Head;</w:t>
      </w:r>
    </w:p>
    <w:p w14:paraId="6E364AD2"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w:t>
      </w:r>
      <w:r w:rsidRPr="002A6E9C">
        <w:rPr>
          <w:rFonts w:ascii="Times New Roman" w:hAnsi="Times New Roman" w:cs="Times New Roman"/>
          <w:sz w:val="26"/>
          <w:szCs w:val="26"/>
        </w:rPr>
        <w:tab/>
        <w:t>Size and efficiency of the turbines and generators;</w:t>
      </w:r>
    </w:p>
    <w:p w14:paraId="33E14669"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w:t>
      </w:r>
      <w:r w:rsidRPr="002A6E9C">
        <w:rPr>
          <w:rFonts w:ascii="Times New Roman" w:hAnsi="Times New Roman" w:cs="Times New Roman"/>
          <w:sz w:val="26"/>
          <w:szCs w:val="26"/>
        </w:rPr>
        <w:tab/>
        <w:t>Load to be served.</w:t>
      </w:r>
    </w:p>
    <w:p w14:paraId="6457082D" w14:textId="77777777" w:rsidR="005D5B95" w:rsidRPr="002A6E9C" w:rsidRDefault="005D5B95" w:rsidP="005D5B95">
      <w:pPr>
        <w:spacing w:after="0"/>
        <w:rPr>
          <w:rFonts w:ascii="Times New Roman" w:hAnsi="Times New Roman" w:cs="Times New Roman"/>
          <w:sz w:val="26"/>
          <w:szCs w:val="26"/>
        </w:rPr>
      </w:pPr>
    </w:p>
    <w:p w14:paraId="79E1A4F9"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 xml:space="preserve">In determining energy gains, the size and efficiency of the turbines and the generators, and the load to be served will remain constant, while stream flow, reservoir storage, and head will vary depending on the operation conditions of the upstream reservoirs.  Because head and stream flow determine the amount of energy produced at the </w:t>
      </w:r>
      <w:r w:rsidRPr="002A6E9C">
        <w:rPr>
          <w:rFonts w:ascii="Times New Roman" w:hAnsi="Times New Roman" w:cs="Times New Roman"/>
          <w:sz w:val="26"/>
          <w:szCs w:val="26"/>
        </w:rPr>
        <w:lastRenderedPageBreak/>
        <w:t>hydropower project, a relationship of generation as a function of the head and stream flow can be developed.  Commission experience has shown that the relationship between generation and stream flow is an adequate tool for estimating generation in calculating gains.</w:t>
      </w:r>
    </w:p>
    <w:p w14:paraId="6082E39C" w14:textId="77777777" w:rsidR="005D5B95" w:rsidRPr="002A6E9C" w:rsidRDefault="005D5B95" w:rsidP="005D5B95">
      <w:pPr>
        <w:spacing w:after="0"/>
        <w:rPr>
          <w:rFonts w:ascii="Times New Roman" w:hAnsi="Times New Roman" w:cs="Times New Roman"/>
          <w:sz w:val="26"/>
          <w:szCs w:val="26"/>
        </w:rPr>
      </w:pPr>
    </w:p>
    <w:p w14:paraId="1862BAF4"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If the information were not collected, there would be no data available to determine the benefits received from downstream parties from the operation of storage reservoirs, or other headwater improvements.</w:t>
      </w:r>
    </w:p>
    <w:p w14:paraId="1EAAEFF8" w14:textId="77777777" w:rsidR="005D5B95" w:rsidRPr="002A6E9C" w:rsidRDefault="005D5B95" w:rsidP="005D5B95">
      <w:pPr>
        <w:spacing w:after="0"/>
        <w:rPr>
          <w:rFonts w:ascii="Times New Roman" w:hAnsi="Times New Roman" w:cs="Times New Roman"/>
          <w:sz w:val="26"/>
          <w:szCs w:val="26"/>
        </w:rPr>
      </w:pPr>
    </w:p>
    <w:p w14:paraId="1EC4C1F5"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DESCRIBE ANY CONSIDERATION OF THE USE OF IMPROVED INFORMATION TECHNOLOGY TO REDUCE THE BURDEN AND TECHNICAL OR LEGAL OBSTACLES TO REDUCING BURDEN</w:t>
      </w:r>
    </w:p>
    <w:p w14:paraId="7D5184B4" w14:textId="77777777" w:rsidR="005D5B95" w:rsidRPr="002A6E9C" w:rsidRDefault="005D5B95" w:rsidP="005D5B95">
      <w:pPr>
        <w:spacing w:after="0"/>
        <w:rPr>
          <w:rFonts w:ascii="Times New Roman" w:hAnsi="Times New Roman" w:cs="Times New Roman"/>
          <w:sz w:val="26"/>
          <w:szCs w:val="26"/>
        </w:rPr>
      </w:pPr>
    </w:p>
    <w:p w14:paraId="3B5CF024" w14:textId="44D604F2"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FERC continually considers the use of improved information technology to reduce burden in the filing requirements for submission of information concerning headwater benefits.</w:t>
      </w:r>
      <w:r w:rsidR="006F2E26">
        <w:rPr>
          <w:rFonts w:ascii="Times New Roman" w:hAnsi="Times New Roman" w:cs="Times New Roman"/>
          <w:sz w:val="26"/>
          <w:szCs w:val="26"/>
        </w:rPr>
        <w:t xml:space="preserve">  FERC-521 may be eFiled</w:t>
      </w:r>
      <w:r w:rsidR="005A41D3">
        <w:rPr>
          <w:rFonts w:ascii="Times New Roman" w:hAnsi="Times New Roman" w:cs="Times New Roman"/>
          <w:sz w:val="26"/>
          <w:szCs w:val="26"/>
        </w:rPr>
        <w:t xml:space="preserve"> as shown at </w:t>
      </w:r>
      <w:hyperlink r:id="rId13" w:history="1">
        <w:r w:rsidR="005A41D3" w:rsidRPr="00A15FE5">
          <w:rPr>
            <w:rStyle w:val="Hyperlink"/>
            <w:rFonts w:ascii="Times New Roman" w:hAnsi="Times New Roman" w:cs="Times New Roman"/>
            <w:sz w:val="26"/>
            <w:szCs w:val="26"/>
          </w:rPr>
          <w:t>https://www.ferc.gov/docs-filing/efiling/filing.pdf</w:t>
        </w:r>
      </w:hyperlink>
      <w:r w:rsidR="005A41D3">
        <w:rPr>
          <w:rFonts w:ascii="Times New Roman" w:hAnsi="Times New Roman" w:cs="Times New Roman"/>
          <w:sz w:val="26"/>
          <w:szCs w:val="26"/>
        </w:rPr>
        <w:t xml:space="preserve"> .</w:t>
      </w:r>
    </w:p>
    <w:p w14:paraId="77756D91" w14:textId="77777777" w:rsidR="005D5B95" w:rsidRPr="002A6E9C" w:rsidRDefault="005D5B95" w:rsidP="005D5B95">
      <w:pPr>
        <w:spacing w:after="0"/>
        <w:rPr>
          <w:rFonts w:ascii="Times New Roman" w:hAnsi="Times New Roman" w:cs="Times New Roman"/>
          <w:sz w:val="26"/>
          <w:szCs w:val="26"/>
        </w:rPr>
      </w:pPr>
    </w:p>
    <w:p w14:paraId="6EF9415E"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6B4DB05A" w14:textId="77777777" w:rsidR="005D5B95" w:rsidRPr="002A6E9C" w:rsidRDefault="005D5B95" w:rsidP="005D5B95">
      <w:pPr>
        <w:spacing w:after="0"/>
        <w:rPr>
          <w:rFonts w:ascii="Times New Roman" w:hAnsi="Times New Roman" w:cs="Times New Roman"/>
          <w:sz w:val="26"/>
          <w:szCs w:val="26"/>
        </w:rPr>
      </w:pPr>
    </w:p>
    <w:p w14:paraId="1E735A9E" w14:textId="07801806"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 xml:space="preserve">In an effort to alleviate duplication, filing requirements are periodically reviewed as OMB review dates arise, or as the Commission may deem necessary in carrying out its regulatory responsibilities.  </w:t>
      </w:r>
    </w:p>
    <w:p w14:paraId="4A6824DB" w14:textId="77777777" w:rsidR="005D5B95" w:rsidRPr="002A6E9C" w:rsidRDefault="005D5B95" w:rsidP="005D5B95">
      <w:pPr>
        <w:spacing w:after="0"/>
        <w:rPr>
          <w:rFonts w:ascii="Times New Roman" w:hAnsi="Times New Roman" w:cs="Times New Roman"/>
          <w:sz w:val="26"/>
          <w:szCs w:val="26"/>
        </w:rPr>
      </w:pPr>
    </w:p>
    <w:p w14:paraId="185ACE03"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The reporting requirements associated with FERC-521 are basic filing requirements pertaining to headwater benefits.  There are no similar sources of information available.</w:t>
      </w:r>
    </w:p>
    <w:p w14:paraId="6E9E0481" w14:textId="77777777" w:rsidR="005D5B95" w:rsidRPr="002A6E9C" w:rsidRDefault="005D5B95" w:rsidP="005D5B95">
      <w:pPr>
        <w:spacing w:after="0"/>
        <w:rPr>
          <w:rFonts w:ascii="Times New Roman" w:hAnsi="Times New Roman" w:cs="Times New Roman"/>
          <w:sz w:val="26"/>
          <w:szCs w:val="26"/>
        </w:rPr>
      </w:pPr>
    </w:p>
    <w:p w14:paraId="3F1FCAA4"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METHODS USED TO MINIMIZE THE BURDEN IN COLLECTION OF INFORMATION INVOLVING SMALL ENTITIES</w:t>
      </w:r>
    </w:p>
    <w:p w14:paraId="41ADC022" w14:textId="77777777" w:rsidR="005D5B95" w:rsidRPr="002A6E9C" w:rsidRDefault="005D5B95" w:rsidP="005D5B95">
      <w:pPr>
        <w:spacing w:after="0"/>
        <w:rPr>
          <w:rFonts w:ascii="Times New Roman" w:hAnsi="Times New Roman" w:cs="Times New Roman"/>
          <w:sz w:val="26"/>
          <w:szCs w:val="26"/>
        </w:rPr>
      </w:pPr>
    </w:p>
    <w:p w14:paraId="41B0A7ED"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The filing requirements are imposed on both large and small entities.  Specific efforts have been made to minimize the burden imposed on small entities who file the data.  For example, only those hydropower projects with an installed generating capacity greater than 1.5 MW are subject to headwater benefits charges.  No final charge assessed may exceed 85 percent of the value of the energy gains for the assessment period.  The data required is specific to each respondent. Therefore, the reporting burden varies between each respondent.</w:t>
      </w:r>
    </w:p>
    <w:p w14:paraId="31270531" w14:textId="77777777" w:rsidR="005D5B95" w:rsidRPr="002A6E9C" w:rsidRDefault="005D5B95" w:rsidP="005D5B95">
      <w:pPr>
        <w:spacing w:after="0"/>
        <w:rPr>
          <w:rFonts w:ascii="Times New Roman" w:hAnsi="Times New Roman" w:cs="Times New Roman"/>
          <w:sz w:val="26"/>
          <w:szCs w:val="26"/>
        </w:rPr>
      </w:pPr>
    </w:p>
    <w:p w14:paraId="40FEF753"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CONSEQUENCE TO FEDERAL PROGRAM IF COLLECTION WERE CONDUCTED LESS FREQUENTLY</w:t>
      </w:r>
    </w:p>
    <w:p w14:paraId="106312C8" w14:textId="77777777" w:rsidR="005D5B95" w:rsidRPr="002A6E9C" w:rsidRDefault="005D5B95" w:rsidP="005D5B95">
      <w:pPr>
        <w:spacing w:after="0"/>
        <w:rPr>
          <w:rFonts w:ascii="Times New Roman" w:hAnsi="Times New Roman" w:cs="Times New Roman"/>
          <w:sz w:val="26"/>
          <w:szCs w:val="26"/>
        </w:rPr>
      </w:pPr>
    </w:p>
    <w:p w14:paraId="43D43E26"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If the information were collected less frequently, the Commission would be placed at a disadvantage due to not having available data for determining the benefits from headwater improvements.</w:t>
      </w:r>
    </w:p>
    <w:p w14:paraId="40611A30" w14:textId="77777777" w:rsidR="005D5B95" w:rsidRPr="002A6E9C" w:rsidRDefault="005D5B95" w:rsidP="005D5B95">
      <w:pPr>
        <w:spacing w:after="0"/>
        <w:rPr>
          <w:rFonts w:ascii="Times New Roman" w:hAnsi="Times New Roman" w:cs="Times New Roman"/>
          <w:sz w:val="26"/>
          <w:szCs w:val="26"/>
        </w:rPr>
      </w:pPr>
    </w:p>
    <w:p w14:paraId="683669DE"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EXPLAIN ANY SPECIAL CIRCUMSTANCES RELATING TO THE INFORMATION COLLECTION</w:t>
      </w:r>
    </w:p>
    <w:p w14:paraId="0A885FF7" w14:textId="77777777" w:rsidR="005D5B95" w:rsidRPr="002A6E9C" w:rsidRDefault="005D5B95" w:rsidP="005D5B95">
      <w:pPr>
        <w:spacing w:after="0"/>
        <w:rPr>
          <w:rFonts w:ascii="Times New Roman" w:hAnsi="Times New Roman" w:cs="Times New Roman"/>
          <w:sz w:val="26"/>
          <w:szCs w:val="26"/>
        </w:rPr>
      </w:pPr>
    </w:p>
    <w:p w14:paraId="2CD632F1"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 xml:space="preserve">There are no special circumstances </w:t>
      </w:r>
      <w:r w:rsidR="00BA4A4A" w:rsidRPr="002A6E9C">
        <w:rPr>
          <w:rFonts w:ascii="Times New Roman" w:hAnsi="Times New Roman" w:cs="Times New Roman"/>
          <w:sz w:val="26"/>
          <w:szCs w:val="26"/>
        </w:rPr>
        <w:t xml:space="preserve">as described in 5 CFR 1320.5(d)(2) related to  FERC-521. </w:t>
      </w:r>
    </w:p>
    <w:p w14:paraId="306D0179" w14:textId="77777777" w:rsidR="005D5B95" w:rsidRPr="002A6E9C" w:rsidRDefault="005D5B95" w:rsidP="005D5B95">
      <w:pPr>
        <w:spacing w:after="0"/>
        <w:rPr>
          <w:rFonts w:ascii="Times New Roman" w:hAnsi="Times New Roman" w:cs="Times New Roman"/>
          <w:sz w:val="26"/>
          <w:szCs w:val="26"/>
        </w:rPr>
      </w:pPr>
    </w:p>
    <w:p w14:paraId="60DE4217"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DESCRIBE EFFORTS TO CONSULT OUTSIDE THE AGENCY: SUMMARIZE PUBLIC COMMENTS AND THE AGENCY’S RESPONSE</w:t>
      </w:r>
    </w:p>
    <w:p w14:paraId="499A62F7" w14:textId="77777777" w:rsidR="005D5B95" w:rsidRPr="002A6E9C" w:rsidRDefault="005D5B95" w:rsidP="005D5B95">
      <w:pPr>
        <w:spacing w:after="0"/>
        <w:rPr>
          <w:rFonts w:ascii="Times New Roman" w:hAnsi="Times New Roman" w:cs="Times New Roman"/>
          <w:sz w:val="26"/>
          <w:szCs w:val="26"/>
        </w:rPr>
      </w:pPr>
    </w:p>
    <w:p w14:paraId="72B5F870" w14:textId="0885F3E3" w:rsidR="005D5B95"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In accordance with OMB requirements,</w:t>
      </w:r>
      <w:r w:rsidR="00681082" w:rsidRPr="002A6E9C">
        <w:rPr>
          <w:rFonts w:ascii="Times New Roman" w:hAnsi="Times New Roman" w:cs="Times New Roman"/>
          <w:sz w:val="26"/>
          <w:szCs w:val="26"/>
        </w:rPr>
        <w:t xml:space="preserve"> each FERC rulemaking (both proposed and final rules) </w:t>
      </w:r>
      <w:r w:rsidR="00F30D96">
        <w:rPr>
          <w:rFonts w:ascii="Times New Roman" w:hAnsi="Times New Roman" w:cs="Times New Roman"/>
          <w:sz w:val="26"/>
          <w:szCs w:val="26"/>
        </w:rPr>
        <w:t>and information collection renewals are</w:t>
      </w:r>
      <w:r w:rsidR="00681082" w:rsidRPr="002A6E9C">
        <w:rPr>
          <w:rFonts w:ascii="Times New Roman" w:hAnsi="Times New Roman" w:cs="Times New Roman"/>
          <w:sz w:val="26"/>
          <w:szCs w:val="26"/>
        </w:rPr>
        <w:t xml:space="preserve"> published in the Federal Register thereby providing public utilities and licensees, state commissions, Federal agencies, and other interested parties an opportunity to submit data, views, comments or suggestions concerning the collection of data. </w:t>
      </w:r>
      <w:r w:rsidRPr="002A6E9C">
        <w:rPr>
          <w:rFonts w:ascii="Times New Roman" w:hAnsi="Times New Roman" w:cs="Times New Roman"/>
          <w:sz w:val="26"/>
          <w:szCs w:val="26"/>
        </w:rPr>
        <w:t xml:space="preserve"> </w:t>
      </w:r>
      <w:r w:rsidR="00681082" w:rsidRPr="002A6E9C">
        <w:rPr>
          <w:rFonts w:ascii="Times New Roman" w:hAnsi="Times New Roman" w:cs="Times New Roman"/>
          <w:sz w:val="26"/>
          <w:szCs w:val="26"/>
        </w:rPr>
        <w:t>T</w:t>
      </w:r>
      <w:r w:rsidRPr="002A6E9C">
        <w:rPr>
          <w:rFonts w:ascii="Times New Roman" w:hAnsi="Times New Roman" w:cs="Times New Roman"/>
          <w:sz w:val="26"/>
          <w:szCs w:val="26"/>
        </w:rPr>
        <w:t>he Commission published a 60-day notice</w:t>
      </w:r>
      <w:r w:rsidRPr="002A6E9C">
        <w:rPr>
          <w:rStyle w:val="FootnoteReference"/>
          <w:rFonts w:ascii="Times New Roman" w:hAnsi="Times New Roman" w:cs="Times New Roman"/>
          <w:sz w:val="26"/>
          <w:szCs w:val="26"/>
          <w:vertAlign w:val="superscript"/>
        </w:rPr>
        <w:footnoteReference w:id="3"/>
      </w:r>
      <w:r w:rsidRPr="002A6E9C">
        <w:rPr>
          <w:rFonts w:ascii="Times New Roman" w:hAnsi="Times New Roman" w:cs="Times New Roman"/>
          <w:sz w:val="26"/>
          <w:szCs w:val="26"/>
        </w:rPr>
        <w:t xml:space="preserve"> </w:t>
      </w:r>
      <w:r w:rsidR="00CA4566">
        <w:rPr>
          <w:rFonts w:ascii="Times New Roman" w:hAnsi="Times New Roman" w:cs="Times New Roman"/>
          <w:sz w:val="26"/>
          <w:szCs w:val="26"/>
        </w:rPr>
        <w:t>in Docket No. IC17-4</w:t>
      </w:r>
      <w:r w:rsidRPr="002A6E9C">
        <w:rPr>
          <w:rFonts w:ascii="Times New Roman" w:hAnsi="Times New Roman" w:cs="Times New Roman"/>
          <w:sz w:val="26"/>
          <w:szCs w:val="26"/>
        </w:rPr>
        <w:t xml:space="preserve"> regarding this information collection on </w:t>
      </w:r>
      <w:r w:rsidR="00542937" w:rsidRPr="002A6E9C">
        <w:rPr>
          <w:rFonts w:ascii="Times New Roman" w:hAnsi="Times New Roman" w:cs="Times New Roman"/>
          <w:sz w:val="26"/>
          <w:szCs w:val="26"/>
        </w:rPr>
        <w:t>3/22/2017</w:t>
      </w:r>
      <w:r w:rsidR="00681082" w:rsidRPr="002A6E9C">
        <w:rPr>
          <w:rFonts w:ascii="Times New Roman" w:hAnsi="Times New Roman" w:cs="Times New Roman"/>
          <w:sz w:val="26"/>
          <w:szCs w:val="26"/>
        </w:rPr>
        <w:t xml:space="preserve">.  </w:t>
      </w:r>
    </w:p>
    <w:p w14:paraId="4A08C936" w14:textId="77777777" w:rsidR="009018B5" w:rsidRDefault="009018B5" w:rsidP="005D5B95">
      <w:pPr>
        <w:spacing w:after="0"/>
        <w:rPr>
          <w:rFonts w:ascii="Times New Roman" w:hAnsi="Times New Roman" w:cs="Times New Roman"/>
          <w:sz w:val="26"/>
          <w:szCs w:val="26"/>
        </w:rPr>
      </w:pPr>
    </w:p>
    <w:p w14:paraId="4E1C0571" w14:textId="7482E789" w:rsidR="009018B5" w:rsidRPr="009018B5" w:rsidRDefault="009018B5" w:rsidP="009018B5">
      <w:pPr>
        <w:spacing w:after="0"/>
        <w:rPr>
          <w:rFonts w:ascii="Times New Roman" w:hAnsi="Times New Roman" w:cs="Times New Roman"/>
          <w:sz w:val="26"/>
          <w:szCs w:val="26"/>
        </w:rPr>
      </w:pPr>
      <w:r w:rsidRPr="009018B5">
        <w:rPr>
          <w:rFonts w:ascii="Times New Roman" w:hAnsi="Times New Roman" w:cs="Times New Roman"/>
          <w:sz w:val="26"/>
          <w:szCs w:val="26"/>
        </w:rPr>
        <w:t>A 30-day Notice</w:t>
      </w:r>
      <w:r w:rsidR="00396F95" w:rsidRPr="00127E12">
        <w:rPr>
          <w:rStyle w:val="FootnoteReference"/>
          <w:rFonts w:ascii="Times New Roman" w:hAnsi="Times New Roman" w:cs="Times New Roman"/>
          <w:sz w:val="26"/>
          <w:szCs w:val="26"/>
          <w:vertAlign w:val="superscript"/>
        </w:rPr>
        <w:footnoteReference w:id="4"/>
      </w:r>
      <w:r w:rsidRPr="00127E12">
        <w:rPr>
          <w:rFonts w:ascii="Times New Roman" w:hAnsi="Times New Roman" w:cs="Times New Roman"/>
          <w:sz w:val="26"/>
          <w:szCs w:val="26"/>
          <w:vertAlign w:val="superscript"/>
        </w:rPr>
        <w:t xml:space="preserve"> </w:t>
      </w:r>
      <w:r w:rsidR="00396F95">
        <w:rPr>
          <w:rFonts w:ascii="Times New Roman" w:hAnsi="Times New Roman" w:cs="Times New Roman"/>
          <w:sz w:val="26"/>
          <w:szCs w:val="26"/>
        </w:rPr>
        <w:t>was issued on 6/1/2017</w:t>
      </w:r>
      <w:r w:rsidRPr="009018B5">
        <w:rPr>
          <w:rFonts w:ascii="Times New Roman" w:hAnsi="Times New Roman" w:cs="Times New Roman"/>
          <w:sz w:val="26"/>
          <w:szCs w:val="26"/>
        </w:rPr>
        <w:t xml:space="preserve"> and </w:t>
      </w:r>
      <w:r w:rsidR="00396F95">
        <w:rPr>
          <w:rFonts w:ascii="Times New Roman" w:hAnsi="Times New Roman" w:cs="Times New Roman"/>
          <w:sz w:val="26"/>
          <w:szCs w:val="26"/>
        </w:rPr>
        <w:t xml:space="preserve">will be </w:t>
      </w:r>
      <w:r w:rsidRPr="009018B5">
        <w:rPr>
          <w:rFonts w:ascii="Times New Roman" w:hAnsi="Times New Roman" w:cs="Times New Roman"/>
          <w:sz w:val="26"/>
          <w:szCs w:val="26"/>
        </w:rPr>
        <w:t>published in the Federal Register.</w:t>
      </w:r>
    </w:p>
    <w:p w14:paraId="24099E50" w14:textId="77777777" w:rsidR="009018B5" w:rsidRPr="002A6E9C" w:rsidRDefault="009018B5" w:rsidP="005D5B95">
      <w:pPr>
        <w:spacing w:after="0"/>
        <w:rPr>
          <w:rFonts w:ascii="Times New Roman" w:hAnsi="Times New Roman" w:cs="Times New Roman"/>
          <w:sz w:val="26"/>
          <w:szCs w:val="26"/>
        </w:rPr>
      </w:pPr>
    </w:p>
    <w:p w14:paraId="200B29DF" w14:textId="77777777" w:rsidR="005D5B95" w:rsidRPr="002A6E9C" w:rsidRDefault="005D5B95" w:rsidP="005D5B95">
      <w:pPr>
        <w:spacing w:after="0"/>
        <w:rPr>
          <w:rFonts w:ascii="Times New Roman" w:hAnsi="Times New Roman" w:cs="Times New Roman"/>
          <w:sz w:val="26"/>
          <w:szCs w:val="26"/>
        </w:rPr>
      </w:pPr>
    </w:p>
    <w:p w14:paraId="67521C70"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EXPLAIN ANY PAYMENT OR GIFTS TO RESPONDENTS</w:t>
      </w:r>
    </w:p>
    <w:p w14:paraId="5419D904" w14:textId="77777777" w:rsidR="005D5B95" w:rsidRPr="002A6E9C" w:rsidRDefault="005D5B95" w:rsidP="005D5B95">
      <w:pPr>
        <w:spacing w:after="0"/>
        <w:rPr>
          <w:rFonts w:ascii="Times New Roman" w:hAnsi="Times New Roman" w:cs="Times New Roman"/>
          <w:sz w:val="26"/>
          <w:szCs w:val="26"/>
        </w:rPr>
      </w:pPr>
    </w:p>
    <w:p w14:paraId="7EA7509B" w14:textId="77777777" w:rsidR="005D5B95" w:rsidRPr="002A6E9C" w:rsidRDefault="009018B5" w:rsidP="005D5B95">
      <w:pPr>
        <w:spacing w:after="0"/>
        <w:rPr>
          <w:rFonts w:ascii="Times New Roman" w:hAnsi="Times New Roman" w:cs="Times New Roman"/>
          <w:sz w:val="26"/>
          <w:szCs w:val="26"/>
        </w:rPr>
      </w:pPr>
      <w:r>
        <w:rPr>
          <w:rFonts w:ascii="Times New Roman" w:hAnsi="Times New Roman" w:cs="Times New Roman"/>
          <w:sz w:val="26"/>
          <w:szCs w:val="26"/>
        </w:rPr>
        <w:t xml:space="preserve">The Commission does not make payments or provide gifts for respondents related to </w:t>
      </w:r>
      <w:r w:rsidR="005D5B95" w:rsidRPr="002A6E9C">
        <w:rPr>
          <w:rFonts w:ascii="Times New Roman" w:hAnsi="Times New Roman" w:cs="Times New Roman"/>
          <w:sz w:val="26"/>
          <w:szCs w:val="26"/>
        </w:rPr>
        <w:t>FERC-521.</w:t>
      </w:r>
    </w:p>
    <w:p w14:paraId="73CC488F" w14:textId="77777777" w:rsidR="005D5B95" w:rsidRPr="002A6E9C" w:rsidRDefault="005D5B95" w:rsidP="005D5B95">
      <w:pPr>
        <w:spacing w:after="0"/>
        <w:rPr>
          <w:rFonts w:ascii="Times New Roman" w:hAnsi="Times New Roman" w:cs="Times New Roman"/>
          <w:sz w:val="26"/>
          <w:szCs w:val="26"/>
        </w:rPr>
      </w:pPr>
    </w:p>
    <w:p w14:paraId="7F0898B2"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DESCRIBE ANY ASSURANCE OF CONFIDENTIALITY PROVIDED TO RESPONDENTS</w:t>
      </w:r>
      <w:r w:rsidR="007E2D75" w:rsidRPr="002A6E9C">
        <w:rPr>
          <w:rFonts w:ascii="Times New Roman" w:hAnsi="Times New Roman" w:cs="Times New Roman"/>
          <w:b/>
          <w:sz w:val="26"/>
          <w:szCs w:val="26"/>
        </w:rPr>
        <w:t xml:space="preserve">  </w:t>
      </w:r>
    </w:p>
    <w:p w14:paraId="07D6E385" w14:textId="77777777" w:rsidR="007F791D" w:rsidRDefault="007F791D" w:rsidP="005D5B95">
      <w:pPr>
        <w:spacing w:after="0"/>
        <w:rPr>
          <w:rFonts w:ascii="Times New Roman" w:hAnsi="Times New Roman" w:cs="Times New Roman"/>
          <w:sz w:val="26"/>
          <w:szCs w:val="26"/>
        </w:rPr>
      </w:pPr>
    </w:p>
    <w:p w14:paraId="59E32CB9" w14:textId="77777777" w:rsidR="005D5B95" w:rsidRPr="002A6E9C" w:rsidRDefault="007F791D" w:rsidP="005D5B95">
      <w:pPr>
        <w:spacing w:after="0"/>
        <w:rPr>
          <w:rFonts w:ascii="Times New Roman" w:hAnsi="Times New Roman" w:cs="Times New Roman"/>
          <w:sz w:val="26"/>
          <w:szCs w:val="26"/>
        </w:rPr>
      </w:pPr>
      <w:r w:rsidRPr="007F791D">
        <w:rPr>
          <w:rFonts w:ascii="Times New Roman" w:hAnsi="Times New Roman" w:cs="Times New Roman"/>
          <w:sz w:val="26"/>
          <w:szCs w:val="26"/>
        </w:rPr>
        <w:t>The information submitted to the Commission is public, therefore, the information is not considered confidential.  Specific requests for confidential treatment will be considered pursuant to 18 C.F.R. Section 388.112.</w:t>
      </w:r>
    </w:p>
    <w:p w14:paraId="7B379304" w14:textId="77777777" w:rsidR="005D5B95" w:rsidRPr="002A6E9C" w:rsidRDefault="005D5B95" w:rsidP="005D5B95">
      <w:pPr>
        <w:spacing w:after="0"/>
        <w:rPr>
          <w:rFonts w:ascii="Times New Roman" w:hAnsi="Times New Roman" w:cs="Times New Roman"/>
          <w:sz w:val="26"/>
          <w:szCs w:val="26"/>
        </w:rPr>
      </w:pPr>
    </w:p>
    <w:p w14:paraId="1E0FEA2E"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PROVIDE ADDITIONAL JUSTIFICATION FOR ANY QUESTIONS OF A SENSITIVE NATURE</w:t>
      </w:r>
      <w:r w:rsidR="007E2D75" w:rsidRPr="002A6E9C">
        <w:rPr>
          <w:rFonts w:ascii="Times New Roman" w:hAnsi="Times New Roman" w:cs="Times New Roman"/>
          <w:b/>
          <w:sz w:val="26"/>
          <w:szCs w:val="26"/>
        </w:rPr>
        <w:t>, SUCH AS SEXUAL BEHAVIOR AND ATTITUDES, RELIGIOUS BELIEFS, AND OTHER MATTERS THAT ARE COMMONLY CONSIDERED PRIVATE.</w:t>
      </w:r>
    </w:p>
    <w:p w14:paraId="6397A593" w14:textId="77777777" w:rsidR="005D5B95" w:rsidRPr="002A6E9C" w:rsidRDefault="005D5B95" w:rsidP="005D5B95">
      <w:pPr>
        <w:spacing w:after="0"/>
        <w:rPr>
          <w:rFonts w:ascii="Times New Roman" w:hAnsi="Times New Roman" w:cs="Times New Roman"/>
          <w:sz w:val="26"/>
          <w:szCs w:val="26"/>
        </w:rPr>
      </w:pPr>
    </w:p>
    <w:p w14:paraId="4BB7E174"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There are no questions of a sensitive nature associated with the FERC-521 reporting requirements.</w:t>
      </w:r>
    </w:p>
    <w:p w14:paraId="6850EBF1" w14:textId="77777777" w:rsidR="005D5B95" w:rsidRPr="002A6E9C" w:rsidRDefault="005D5B95" w:rsidP="005D5B95">
      <w:pPr>
        <w:spacing w:after="0"/>
        <w:rPr>
          <w:rFonts w:ascii="Times New Roman" w:hAnsi="Times New Roman" w:cs="Times New Roman"/>
          <w:sz w:val="26"/>
          <w:szCs w:val="26"/>
        </w:rPr>
      </w:pPr>
    </w:p>
    <w:p w14:paraId="03785D5D"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ESTIMATED BURDEN OF COLLECTION OF INFORMATION</w:t>
      </w:r>
    </w:p>
    <w:p w14:paraId="3BA25FF9" w14:textId="77777777" w:rsidR="005D5B95" w:rsidRPr="002A6E9C" w:rsidRDefault="005D5B95" w:rsidP="005D5B95">
      <w:pPr>
        <w:spacing w:after="0"/>
        <w:rPr>
          <w:rFonts w:ascii="Times New Roman" w:hAnsi="Times New Roman" w:cs="Times New Roman"/>
          <w:sz w:val="26"/>
          <w:szCs w:val="26"/>
        </w:rPr>
      </w:pPr>
    </w:p>
    <w:p w14:paraId="5F48AD38" w14:textId="77777777" w:rsidR="005D5B95"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The Commission estimates the Public Reporting burden for the FERC-521 information collection as follows:</w:t>
      </w:r>
    </w:p>
    <w:p w14:paraId="022A2E6A" w14:textId="77777777" w:rsidR="00092396" w:rsidRPr="002A6E9C" w:rsidRDefault="00092396" w:rsidP="005D5B95">
      <w:pPr>
        <w:spacing w:after="0"/>
        <w:rPr>
          <w:rFonts w:ascii="Times New Roman" w:hAnsi="Times New Roman" w:cs="Times New Roman"/>
          <w:sz w:val="26"/>
          <w:szCs w:val="26"/>
        </w:rPr>
      </w:pPr>
    </w:p>
    <w:tbl>
      <w:tblPr>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3"/>
        <w:gridCol w:w="1184"/>
        <w:gridCol w:w="1531"/>
        <w:gridCol w:w="1439"/>
        <w:gridCol w:w="1349"/>
        <w:gridCol w:w="1529"/>
        <w:gridCol w:w="1711"/>
      </w:tblGrid>
      <w:tr w:rsidR="00092396" w:rsidRPr="00092396" w14:paraId="11429D62" w14:textId="77777777" w:rsidTr="0041651C">
        <w:trPr>
          <w:cantSplit/>
        </w:trPr>
        <w:tc>
          <w:tcPr>
            <w:tcW w:w="5000" w:type="pct"/>
            <w:gridSpan w:val="7"/>
            <w:tcBorders>
              <w:bottom w:val="single" w:sz="4" w:space="0" w:color="auto"/>
            </w:tcBorders>
            <w:shd w:val="clear" w:color="auto" w:fill="D9D9D9"/>
          </w:tcPr>
          <w:p w14:paraId="27434FA8" w14:textId="77777777" w:rsidR="00092396" w:rsidRPr="00092396" w:rsidRDefault="00092396" w:rsidP="00092396">
            <w:pPr>
              <w:spacing w:after="0" w:line="240" w:lineRule="auto"/>
              <w:jc w:val="center"/>
              <w:rPr>
                <w:rFonts w:ascii="Times New Roman" w:eastAsia="Calibri" w:hAnsi="Times New Roman" w:cs="Times New Roman"/>
                <w:b/>
                <w:sz w:val="26"/>
                <w:szCs w:val="26"/>
              </w:rPr>
            </w:pPr>
          </w:p>
          <w:p w14:paraId="5C53ADE2"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FERC-521: Payments for Benefits from Headwater Improvements</w:t>
            </w:r>
          </w:p>
        </w:tc>
      </w:tr>
      <w:tr w:rsidR="00092396" w:rsidRPr="00092396" w14:paraId="77CA2A3C" w14:textId="77777777" w:rsidTr="0041651C">
        <w:trPr>
          <w:cantSplit/>
        </w:trPr>
        <w:tc>
          <w:tcPr>
            <w:tcW w:w="729" w:type="pct"/>
            <w:shd w:val="clear" w:color="auto" w:fill="D9D9D9"/>
          </w:tcPr>
          <w:p w14:paraId="439C69C1" w14:textId="77777777" w:rsidR="00092396" w:rsidRPr="00092396" w:rsidRDefault="00092396" w:rsidP="00092396">
            <w:pPr>
              <w:spacing w:after="0" w:line="240" w:lineRule="auto"/>
              <w:jc w:val="center"/>
              <w:rPr>
                <w:rFonts w:ascii="Times New Roman" w:eastAsia="Calibri" w:hAnsi="Times New Roman" w:cs="Times New Roman"/>
                <w:b/>
                <w:sz w:val="26"/>
                <w:szCs w:val="26"/>
              </w:rPr>
            </w:pPr>
          </w:p>
        </w:tc>
        <w:tc>
          <w:tcPr>
            <w:tcW w:w="578" w:type="pct"/>
            <w:shd w:val="clear" w:color="auto" w:fill="D9D9D9"/>
            <w:vAlign w:val="bottom"/>
          </w:tcPr>
          <w:p w14:paraId="6291F0F2"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Number of Respondents</w:t>
            </w:r>
            <w:r w:rsidRPr="00092396">
              <w:rPr>
                <w:rFonts w:ascii="Times New Roman" w:eastAsia="Calibri" w:hAnsi="Times New Roman" w:cs="Times New Roman"/>
                <w:b/>
                <w:sz w:val="26"/>
                <w:szCs w:val="26"/>
              </w:rPr>
              <w:br/>
              <w:t>(1)</w:t>
            </w:r>
          </w:p>
        </w:tc>
        <w:tc>
          <w:tcPr>
            <w:tcW w:w="748" w:type="pct"/>
            <w:shd w:val="clear" w:color="auto" w:fill="D9D9D9"/>
            <w:vAlign w:val="bottom"/>
          </w:tcPr>
          <w:p w14:paraId="13D559F8"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Annual Number of Responses per Respondent</w:t>
            </w:r>
          </w:p>
          <w:p w14:paraId="7AE941B4"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(2)</w:t>
            </w:r>
          </w:p>
        </w:tc>
        <w:tc>
          <w:tcPr>
            <w:tcW w:w="703" w:type="pct"/>
            <w:shd w:val="clear" w:color="auto" w:fill="D9D9D9"/>
            <w:vAlign w:val="bottom"/>
          </w:tcPr>
          <w:p w14:paraId="618A8296"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Total Number of Responses (1)*(2)=(3)</w:t>
            </w:r>
          </w:p>
        </w:tc>
        <w:tc>
          <w:tcPr>
            <w:tcW w:w="659" w:type="pct"/>
            <w:shd w:val="clear" w:color="auto" w:fill="D9D9D9"/>
            <w:vAlign w:val="bottom"/>
          </w:tcPr>
          <w:p w14:paraId="19C0996C"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Average Burden &amp; Cost Per</w:t>
            </w:r>
          </w:p>
          <w:p w14:paraId="0CCA916A"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 xml:space="preserve"> Response</w:t>
            </w:r>
          </w:p>
          <w:p w14:paraId="5239466E"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(4)</w:t>
            </w:r>
          </w:p>
        </w:tc>
        <w:tc>
          <w:tcPr>
            <w:tcW w:w="747" w:type="pct"/>
            <w:shd w:val="clear" w:color="auto" w:fill="D9D9D9"/>
            <w:vAlign w:val="bottom"/>
          </w:tcPr>
          <w:p w14:paraId="7A4FC944"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Total Annual Burden Hours &amp; Total Annual Cost</w:t>
            </w:r>
          </w:p>
          <w:p w14:paraId="61E937B4"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(3)*(4)=(5)</w:t>
            </w:r>
          </w:p>
        </w:tc>
        <w:tc>
          <w:tcPr>
            <w:tcW w:w="836" w:type="pct"/>
            <w:shd w:val="clear" w:color="auto" w:fill="D9D9D9"/>
            <w:vAlign w:val="bottom"/>
          </w:tcPr>
          <w:p w14:paraId="4B0AD3ED"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Cost per Respondent</w:t>
            </w:r>
          </w:p>
          <w:p w14:paraId="7970F546"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 xml:space="preserve"> ($)</w:t>
            </w:r>
          </w:p>
          <w:p w14:paraId="7D7E77E3" w14:textId="77777777" w:rsidR="00092396" w:rsidRPr="00092396" w:rsidRDefault="00092396" w:rsidP="00092396">
            <w:pPr>
              <w:spacing w:after="0" w:line="240" w:lineRule="auto"/>
              <w:jc w:val="center"/>
              <w:rPr>
                <w:rFonts w:ascii="Times New Roman" w:eastAsia="Calibri" w:hAnsi="Times New Roman" w:cs="Times New Roman"/>
                <w:b/>
                <w:sz w:val="26"/>
                <w:szCs w:val="26"/>
              </w:rPr>
            </w:pPr>
            <w:r w:rsidRPr="00092396">
              <w:rPr>
                <w:rFonts w:ascii="Times New Roman" w:eastAsia="Calibri" w:hAnsi="Times New Roman" w:cs="Times New Roman"/>
                <w:b/>
                <w:sz w:val="26"/>
                <w:szCs w:val="26"/>
              </w:rPr>
              <w:t>(5)÷(1)</w:t>
            </w:r>
          </w:p>
        </w:tc>
      </w:tr>
      <w:tr w:rsidR="00092396" w:rsidRPr="00092396" w14:paraId="2BC4ED4C" w14:textId="77777777" w:rsidTr="0041651C">
        <w:trPr>
          <w:cantSplit/>
        </w:trPr>
        <w:tc>
          <w:tcPr>
            <w:tcW w:w="729" w:type="pct"/>
          </w:tcPr>
          <w:p w14:paraId="21C339DB" w14:textId="77777777" w:rsidR="00092396" w:rsidRPr="00092396" w:rsidRDefault="00092396" w:rsidP="00092396">
            <w:pPr>
              <w:spacing w:after="0" w:line="240" w:lineRule="auto"/>
              <w:jc w:val="right"/>
              <w:rPr>
                <w:rFonts w:ascii="Times New Roman" w:eastAsia="Calibri" w:hAnsi="Times New Roman" w:cs="Times New Roman"/>
                <w:sz w:val="26"/>
                <w:szCs w:val="26"/>
              </w:rPr>
            </w:pPr>
            <w:r w:rsidRPr="00092396">
              <w:rPr>
                <w:rFonts w:ascii="Times New Roman" w:eastAsia="Calibri" w:hAnsi="Times New Roman" w:cs="Times New Roman"/>
                <w:sz w:val="26"/>
                <w:szCs w:val="26"/>
              </w:rPr>
              <w:t xml:space="preserve">Federal and Non-Federal hydropower project owners </w:t>
            </w:r>
          </w:p>
        </w:tc>
        <w:tc>
          <w:tcPr>
            <w:tcW w:w="578" w:type="pct"/>
            <w:tcBorders>
              <w:bottom w:val="single" w:sz="4" w:space="0" w:color="auto"/>
            </w:tcBorders>
            <w:vAlign w:val="bottom"/>
          </w:tcPr>
          <w:p w14:paraId="598F5C5A" w14:textId="77777777" w:rsidR="00092396" w:rsidRPr="00092396" w:rsidRDefault="00092396" w:rsidP="00092396">
            <w:pPr>
              <w:spacing w:after="0" w:line="240" w:lineRule="auto"/>
              <w:jc w:val="right"/>
              <w:rPr>
                <w:rFonts w:ascii="Times New Roman" w:eastAsia="Calibri" w:hAnsi="Times New Roman" w:cs="Times New Roman"/>
                <w:sz w:val="26"/>
                <w:szCs w:val="26"/>
              </w:rPr>
            </w:pPr>
            <w:r w:rsidRPr="00092396">
              <w:rPr>
                <w:rFonts w:ascii="Times New Roman" w:eastAsia="Times New Roman" w:hAnsi="Times New Roman" w:cs="Times New Roman"/>
                <w:sz w:val="26"/>
                <w:szCs w:val="26"/>
              </w:rPr>
              <w:t>3</w:t>
            </w:r>
          </w:p>
        </w:tc>
        <w:tc>
          <w:tcPr>
            <w:tcW w:w="748" w:type="pct"/>
            <w:tcBorders>
              <w:bottom w:val="single" w:sz="4" w:space="0" w:color="auto"/>
            </w:tcBorders>
            <w:vAlign w:val="bottom"/>
          </w:tcPr>
          <w:p w14:paraId="6BD6C1B5" w14:textId="77777777" w:rsidR="00092396" w:rsidRPr="00092396" w:rsidRDefault="00092396" w:rsidP="00092396">
            <w:pPr>
              <w:spacing w:after="0" w:line="240" w:lineRule="auto"/>
              <w:jc w:val="right"/>
              <w:rPr>
                <w:rFonts w:ascii="Times New Roman" w:eastAsia="Calibri" w:hAnsi="Times New Roman" w:cs="Times New Roman"/>
                <w:sz w:val="26"/>
                <w:szCs w:val="26"/>
              </w:rPr>
            </w:pPr>
            <w:r w:rsidRPr="00092396">
              <w:rPr>
                <w:rFonts w:ascii="Times New Roman" w:eastAsia="Times New Roman" w:hAnsi="Times New Roman" w:cs="Times New Roman"/>
                <w:sz w:val="26"/>
                <w:szCs w:val="26"/>
              </w:rPr>
              <w:t>1</w:t>
            </w:r>
          </w:p>
        </w:tc>
        <w:tc>
          <w:tcPr>
            <w:tcW w:w="703" w:type="pct"/>
            <w:tcBorders>
              <w:bottom w:val="single" w:sz="4" w:space="0" w:color="auto"/>
            </w:tcBorders>
            <w:vAlign w:val="bottom"/>
          </w:tcPr>
          <w:p w14:paraId="28D234DE" w14:textId="77777777" w:rsidR="00092396" w:rsidRPr="00092396" w:rsidRDefault="00092396" w:rsidP="00092396">
            <w:pPr>
              <w:spacing w:after="0" w:line="240" w:lineRule="auto"/>
              <w:jc w:val="right"/>
              <w:rPr>
                <w:rFonts w:ascii="Times New Roman" w:eastAsia="Calibri" w:hAnsi="Times New Roman" w:cs="Times New Roman"/>
                <w:sz w:val="26"/>
                <w:szCs w:val="26"/>
              </w:rPr>
            </w:pPr>
            <w:r w:rsidRPr="00092396">
              <w:rPr>
                <w:rFonts w:ascii="Times New Roman" w:eastAsia="Times New Roman" w:hAnsi="Times New Roman" w:cs="Times New Roman"/>
                <w:sz w:val="26"/>
                <w:szCs w:val="26"/>
              </w:rPr>
              <w:t>3</w:t>
            </w:r>
          </w:p>
        </w:tc>
        <w:tc>
          <w:tcPr>
            <w:tcW w:w="659" w:type="pct"/>
            <w:tcBorders>
              <w:bottom w:val="single" w:sz="4" w:space="0" w:color="auto"/>
            </w:tcBorders>
            <w:vAlign w:val="bottom"/>
          </w:tcPr>
          <w:p w14:paraId="2342E2B8" w14:textId="77777777" w:rsidR="00092396" w:rsidRPr="00092396" w:rsidRDefault="00092396" w:rsidP="00092396">
            <w:pPr>
              <w:spacing w:after="0" w:line="240" w:lineRule="auto"/>
              <w:jc w:val="right"/>
              <w:rPr>
                <w:rFonts w:ascii="Times New Roman" w:eastAsia="Calibri" w:hAnsi="Times New Roman" w:cs="Times New Roman"/>
                <w:sz w:val="26"/>
                <w:szCs w:val="26"/>
              </w:rPr>
            </w:pPr>
            <w:r w:rsidRPr="00092396">
              <w:rPr>
                <w:rFonts w:ascii="Times New Roman" w:eastAsia="Times New Roman" w:hAnsi="Times New Roman" w:cs="Times New Roman"/>
                <w:sz w:val="26"/>
                <w:szCs w:val="26"/>
              </w:rPr>
              <w:t>40 hrs.;  $3,060</w:t>
            </w:r>
          </w:p>
        </w:tc>
        <w:tc>
          <w:tcPr>
            <w:tcW w:w="747" w:type="pct"/>
            <w:vAlign w:val="bottom"/>
          </w:tcPr>
          <w:p w14:paraId="58007DEA" w14:textId="77777777" w:rsidR="00092396" w:rsidRPr="00092396" w:rsidRDefault="00092396" w:rsidP="00092396">
            <w:pPr>
              <w:spacing w:after="0" w:line="240" w:lineRule="auto"/>
              <w:jc w:val="right"/>
              <w:rPr>
                <w:rFonts w:ascii="Times New Roman" w:eastAsia="Times New Roman" w:hAnsi="Times New Roman" w:cs="Times New Roman"/>
                <w:strike/>
                <w:sz w:val="26"/>
                <w:szCs w:val="26"/>
              </w:rPr>
            </w:pPr>
            <w:r w:rsidRPr="00092396">
              <w:rPr>
                <w:rFonts w:ascii="Times New Roman" w:eastAsia="Times New Roman" w:hAnsi="Times New Roman" w:cs="Times New Roman"/>
                <w:sz w:val="26"/>
                <w:szCs w:val="26"/>
              </w:rPr>
              <w:t xml:space="preserve">120 hrs.;  </w:t>
            </w:r>
          </w:p>
          <w:p w14:paraId="25EB6861" w14:textId="77777777" w:rsidR="00092396" w:rsidRPr="00092396" w:rsidRDefault="00092396" w:rsidP="00092396">
            <w:pPr>
              <w:spacing w:after="0" w:line="240" w:lineRule="auto"/>
              <w:jc w:val="right"/>
              <w:rPr>
                <w:rFonts w:ascii="Times New Roman" w:eastAsia="Calibri" w:hAnsi="Times New Roman" w:cs="Times New Roman"/>
                <w:sz w:val="26"/>
                <w:szCs w:val="26"/>
              </w:rPr>
            </w:pPr>
            <w:r w:rsidRPr="00092396">
              <w:rPr>
                <w:rFonts w:ascii="Times New Roman" w:eastAsia="Times New Roman" w:hAnsi="Times New Roman" w:cs="Times New Roman"/>
                <w:sz w:val="26"/>
                <w:szCs w:val="26"/>
              </w:rPr>
              <w:t>$9,180</w:t>
            </w:r>
          </w:p>
        </w:tc>
        <w:tc>
          <w:tcPr>
            <w:tcW w:w="836" w:type="pct"/>
            <w:vAlign w:val="bottom"/>
          </w:tcPr>
          <w:p w14:paraId="53101A11" w14:textId="77777777" w:rsidR="00092396" w:rsidRPr="00092396" w:rsidRDefault="00092396" w:rsidP="00092396">
            <w:pPr>
              <w:spacing w:after="0" w:line="240" w:lineRule="auto"/>
              <w:jc w:val="right"/>
              <w:rPr>
                <w:rFonts w:ascii="Times New Roman" w:eastAsia="Calibri" w:hAnsi="Times New Roman" w:cs="Times New Roman"/>
                <w:strike/>
                <w:sz w:val="26"/>
                <w:szCs w:val="26"/>
              </w:rPr>
            </w:pPr>
            <w:r w:rsidRPr="00092396">
              <w:rPr>
                <w:rFonts w:ascii="Times New Roman" w:eastAsia="Calibri" w:hAnsi="Times New Roman" w:cs="Times New Roman"/>
                <w:sz w:val="26"/>
                <w:szCs w:val="26"/>
              </w:rPr>
              <w:t>$3,060</w:t>
            </w:r>
          </w:p>
        </w:tc>
      </w:tr>
      <w:tr w:rsidR="00092396" w:rsidRPr="00092396" w14:paraId="44C26E39" w14:textId="77777777" w:rsidTr="0041651C">
        <w:trPr>
          <w:cantSplit/>
        </w:trPr>
        <w:tc>
          <w:tcPr>
            <w:tcW w:w="729" w:type="pct"/>
          </w:tcPr>
          <w:p w14:paraId="3CD03E66" w14:textId="77777777" w:rsidR="00092396" w:rsidRPr="00092396" w:rsidRDefault="00092396" w:rsidP="00092396">
            <w:pPr>
              <w:spacing w:after="0" w:line="240" w:lineRule="auto"/>
              <w:jc w:val="right"/>
              <w:rPr>
                <w:rFonts w:ascii="Times New Roman" w:eastAsia="Calibri" w:hAnsi="Times New Roman" w:cs="Times New Roman"/>
                <w:b/>
                <w:sz w:val="26"/>
                <w:szCs w:val="26"/>
              </w:rPr>
            </w:pPr>
            <w:r w:rsidRPr="00092396">
              <w:rPr>
                <w:rFonts w:ascii="Times New Roman" w:eastAsia="Calibri" w:hAnsi="Times New Roman" w:cs="Times New Roman"/>
                <w:b/>
                <w:sz w:val="26"/>
                <w:szCs w:val="26"/>
              </w:rPr>
              <w:t>TOTAL COST</w:t>
            </w:r>
          </w:p>
        </w:tc>
        <w:tc>
          <w:tcPr>
            <w:tcW w:w="578" w:type="pct"/>
            <w:shd w:val="clear" w:color="auto" w:fill="D9D9D9" w:themeFill="background1" w:themeFillShade="D9"/>
          </w:tcPr>
          <w:p w14:paraId="1BF694F7" w14:textId="77777777" w:rsidR="00092396" w:rsidRPr="00092396" w:rsidRDefault="00092396" w:rsidP="00092396">
            <w:pPr>
              <w:spacing w:after="0" w:line="240" w:lineRule="auto"/>
              <w:jc w:val="right"/>
              <w:rPr>
                <w:rFonts w:ascii="Times New Roman" w:eastAsia="Calibri" w:hAnsi="Times New Roman" w:cs="Times New Roman"/>
                <w:sz w:val="26"/>
                <w:szCs w:val="26"/>
                <w:highlight w:val="yellow"/>
              </w:rPr>
            </w:pPr>
          </w:p>
        </w:tc>
        <w:tc>
          <w:tcPr>
            <w:tcW w:w="748" w:type="pct"/>
            <w:shd w:val="clear" w:color="auto" w:fill="D9D9D9" w:themeFill="background1" w:themeFillShade="D9"/>
          </w:tcPr>
          <w:p w14:paraId="5DBD8D43" w14:textId="77777777" w:rsidR="00092396" w:rsidRPr="00092396" w:rsidRDefault="00092396" w:rsidP="00092396">
            <w:pPr>
              <w:spacing w:after="0" w:line="240" w:lineRule="auto"/>
              <w:jc w:val="right"/>
              <w:rPr>
                <w:rFonts w:ascii="Times New Roman" w:eastAsia="Calibri" w:hAnsi="Times New Roman" w:cs="Times New Roman"/>
                <w:sz w:val="26"/>
                <w:szCs w:val="26"/>
                <w:highlight w:val="yellow"/>
              </w:rPr>
            </w:pPr>
          </w:p>
        </w:tc>
        <w:tc>
          <w:tcPr>
            <w:tcW w:w="703" w:type="pct"/>
            <w:shd w:val="clear" w:color="auto" w:fill="D9D9D9" w:themeFill="background1" w:themeFillShade="D9"/>
          </w:tcPr>
          <w:p w14:paraId="4BE132C2" w14:textId="77777777" w:rsidR="00092396" w:rsidRPr="00092396" w:rsidRDefault="00092396" w:rsidP="00092396">
            <w:pPr>
              <w:spacing w:after="0" w:line="240" w:lineRule="auto"/>
              <w:jc w:val="right"/>
              <w:rPr>
                <w:rFonts w:ascii="Times New Roman" w:eastAsia="Calibri" w:hAnsi="Times New Roman" w:cs="Times New Roman"/>
                <w:sz w:val="26"/>
                <w:szCs w:val="26"/>
                <w:highlight w:val="yellow"/>
              </w:rPr>
            </w:pPr>
          </w:p>
        </w:tc>
        <w:tc>
          <w:tcPr>
            <w:tcW w:w="659" w:type="pct"/>
            <w:shd w:val="clear" w:color="auto" w:fill="D9D9D9" w:themeFill="background1" w:themeFillShade="D9"/>
          </w:tcPr>
          <w:p w14:paraId="19651A24" w14:textId="77777777" w:rsidR="00092396" w:rsidRPr="00092396" w:rsidRDefault="00092396" w:rsidP="00092396">
            <w:pPr>
              <w:spacing w:after="0" w:line="240" w:lineRule="auto"/>
              <w:jc w:val="right"/>
              <w:rPr>
                <w:rFonts w:ascii="Times New Roman" w:eastAsia="Calibri" w:hAnsi="Times New Roman" w:cs="Times New Roman"/>
                <w:sz w:val="26"/>
                <w:szCs w:val="26"/>
                <w:highlight w:val="yellow"/>
              </w:rPr>
            </w:pPr>
          </w:p>
        </w:tc>
        <w:tc>
          <w:tcPr>
            <w:tcW w:w="747" w:type="pct"/>
          </w:tcPr>
          <w:p w14:paraId="56A88C80" w14:textId="77777777" w:rsidR="00092396" w:rsidRPr="00092396" w:rsidRDefault="00092396" w:rsidP="00092396">
            <w:pPr>
              <w:spacing w:after="0" w:line="240" w:lineRule="auto"/>
              <w:jc w:val="right"/>
              <w:rPr>
                <w:rFonts w:ascii="Times New Roman" w:eastAsia="Calibri" w:hAnsi="Times New Roman" w:cs="Times New Roman"/>
                <w:sz w:val="26"/>
                <w:szCs w:val="26"/>
              </w:rPr>
            </w:pPr>
            <w:r w:rsidRPr="00092396">
              <w:rPr>
                <w:rFonts w:ascii="Times New Roman" w:eastAsia="Calibri" w:hAnsi="Times New Roman" w:cs="Times New Roman"/>
                <w:sz w:val="26"/>
                <w:szCs w:val="26"/>
              </w:rPr>
              <w:t xml:space="preserve">120 hrs.; </w:t>
            </w:r>
          </w:p>
          <w:p w14:paraId="1B22F7E6" w14:textId="77777777" w:rsidR="00092396" w:rsidRPr="00092396" w:rsidRDefault="00092396" w:rsidP="00092396">
            <w:pPr>
              <w:spacing w:after="0" w:line="240" w:lineRule="auto"/>
              <w:jc w:val="right"/>
              <w:rPr>
                <w:rFonts w:ascii="Times New Roman" w:eastAsia="Calibri" w:hAnsi="Times New Roman" w:cs="Times New Roman"/>
                <w:sz w:val="26"/>
                <w:szCs w:val="26"/>
                <w:highlight w:val="yellow"/>
              </w:rPr>
            </w:pPr>
            <w:r w:rsidRPr="00092396">
              <w:rPr>
                <w:rFonts w:ascii="Times New Roman" w:eastAsia="Calibri" w:hAnsi="Times New Roman" w:cs="Times New Roman"/>
                <w:sz w:val="26"/>
                <w:szCs w:val="26"/>
              </w:rPr>
              <w:t>$9,180</w:t>
            </w:r>
          </w:p>
        </w:tc>
        <w:tc>
          <w:tcPr>
            <w:tcW w:w="836" w:type="pct"/>
          </w:tcPr>
          <w:p w14:paraId="278CED86" w14:textId="77777777" w:rsidR="00092396" w:rsidRPr="00092396" w:rsidRDefault="00092396" w:rsidP="00092396">
            <w:pPr>
              <w:spacing w:after="0" w:line="240" w:lineRule="auto"/>
              <w:jc w:val="right"/>
              <w:rPr>
                <w:rFonts w:ascii="Times New Roman" w:eastAsia="Calibri" w:hAnsi="Times New Roman" w:cs="Times New Roman"/>
                <w:sz w:val="26"/>
                <w:szCs w:val="26"/>
              </w:rPr>
            </w:pPr>
            <w:r w:rsidRPr="00092396">
              <w:rPr>
                <w:rFonts w:ascii="Times New Roman" w:eastAsia="Calibri" w:hAnsi="Times New Roman" w:cs="Times New Roman"/>
                <w:sz w:val="26"/>
                <w:szCs w:val="26"/>
              </w:rPr>
              <w:t>$3,060</w:t>
            </w:r>
          </w:p>
          <w:p w14:paraId="648105A5" w14:textId="77777777" w:rsidR="00092396" w:rsidRPr="00092396" w:rsidRDefault="00092396" w:rsidP="00092396">
            <w:pPr>
              <w:spacing w:after="0" w:line="240" w:lineRule="auto"/>
              <w:jc w:val="right"/>
              <w:rPr>
                <w:rFonts w:ascii="Times New Roman" w:eastAsia="Calibri" w:hAnsi="Times New Roman" w:cs="Times New Roman"/>
                <w:strike/>
                <w:sz w:val="26"/>
                <w:szCs w:val="26"/>
                <w:highlight w:val="yellow"/>
              </w:rPr>
            </w:pPr>
          </w:p>
        </w:tc>
      </w:tr>
    </w:tbl>
    <w:p w14:paraId="720B4E08" w14:textId="77777777" w:rsidR="005D5B95" w:rsidRPr="002A6E9C" w:rsidRDefault="005D5B95" w:rsidP="005D5B95">
      <w:pPr>
        <w:spacing w:after="0"/>
        <w:rPr>
          <w:rFonts w:ascii="Times New Roman" w:hAnsi="Times New Roman" w:cs="Times New Roman"/>
          <w:sz w:val="26"/>
          <w:szCs w:val="26"/>
        </w:rPr>
      </w:pPr>
    </w:p>
    <w:p w14:paraId="36BD7421"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The total estimated annual cost burden to respondents is $</w:t>
      </w:r>
      <w:r w:rsidR="00542937" w:rsidRPr="002A6E9C">
        <w:rPr>
          <w:rFonts w:ascii="Times New Roman" w:hAnsi="Times New Roman" w:cs="Times New Roman"/>
          <w:sz w:val="26"/>
          <w:szCs w:val="26"/>
        </w:rPr>
        <w:t>9,180</w:t>
      </w:r>
      <w:r w:rsidRPr="002A6E9C">
        <w:rPr>
          <w:rFonts w:ascii="Times New Roman" w:hAnsi="Times New Roman" w:cs="Times New Roman"/>
          <w:sz w:val="26"/>
          <w:szCs w:val="26"/>
        </w:rPr>
        <w:t xml:space="preserve"> [120 hours * $7</w:t>
      </w:r>
      <w:r w:rsidR="00542937" w:rsidRPr="002A6E9C">
        <w:rPr>
          <w:rFonts w:ascii="Times New Roman" w:hAnsi="Times New Roman" w:cs="Times New Roman"/>
          <w:sz w:val="26"/>
          <w:szCs w:val="26"/>
        </w:rPr>
        <w:t>6</w:t>
      </w:r>
      <w:r w:rsidRPr="002A6E9C">
        <w:rPr>
          <w:rFonts w:ascii="Times New Roman" w:hAnsi="Times New Roman" w:cs="Times New Roman"/>
          <w:sz w:val="26"/>
          <w:szCs w:val="26"/>
        </w:rPr>
        <w:t>.50/hour</w:t>
      </w:r>
      <w:r w:rsidR="00092396" w:rsidRPr="00092396">
        <w:rPr>
          <w:rFonts w:ascii="Times New Roman" w:eastAsia="Times New Roman" w:hAnsi="Times New Roman" w:cs="Times New Roman"/>
          <w:b/>
          <w:sz w:val="26"/>
          <w:szCs w:val="26"/>
          <w:vertAlign w:val="superscript"/>
        </w:rPr>
        <w:footnoteReference w:id="5"/>
      </w:r>
      <w:r w:rsidR="00092396" w:rsidRPr="00092396">
        <w:rPr>
          <w:rFonts w:ascii="Times New Roman" w:eastAsia="Times New Roman" w:hAnsi="Times New Roman" w:cs="Times New Roman"/>
          <w:sz w:val="26"/>
          <w:szCs w:val="24"/>
        </w:rPr>
        <w:t xml:space="preserve"> </w:t>
      </w:r>
      <w:r w:rsidRPr="002A6E9C">
        <w:rPr>
          <w:rFonts w:ascii="Times New Roman" w:hAnsi="Times New Roman" w:cs="Times New Roman"/>
          <w:sz w:val="26"/>
          <w:szCs w:val="26"/>
        </w:rPr>
        <w:t xml:space="preserve"> = $</w:t>
      </w:r>
      <w:r w:rsidR="00542937" w:rsidRPr="002A6E9C">
        <w:rPr>
          <w:rFonts w:ascii="Times New Roman" w:hAnsi="Times New Roman" w:cs="Times New Roman"/>
          <w:sz w:val="26"/>
          <w:szCs w:val="26"/>
        </w:rPr>
        <w:t>9,180</w:t>
      </w:r>
      <w:r w:rsidRPr="002A6E9C">
        <w:rPr>
          <w:rFonts w:ascii="Times New Roman" w:hAnsi="Times New Roman" w:cs="Times New Roman"/>
          <w:sz w:val="26"/>
          <w:szCs w:val="26"/>
        </w:rPr>
        <w:t>].</w:t>
      </w:r>
    </w:p>
    <w:p w14:paraId="1D1CED22" w14:textId="77777777" w:rsidR="005D5B95" w:rsidRPr="002A6E9C" w:rsidRDefault="005D5B95" w:rsidP="005D5B95">
      <w:pPr>
        <w:spacing w:after="0"/>
        <w:rPr>
          <w:rFonts w:ascii="Times New Roman" w:hAnsi="Times New Roman" w:cs="Times New Roman"/>
          <w:sz w:val="26"/>
          <w:szCs w:val="26"/>
        </w:rPr>
      </w:pPr>
    </w:p>
    <w:p w14:paraId="79C1EE57"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ESTIMATE OF THE TOTAL ANNUAL COST BURDEN TO RESPONDENTS</w:t>
      </w:r>
    </w:p>
    <w:p w14:paraId="1FE17A44" w14:textId="77777777" w:rsidR="005D5B95" w:rsidRPr="002A6E9C" w:rsidRDefault="005D5B95" w:rsidP="005D5B95">
      <w:pPr>
        <w:spacing w:after="0"/>
        <w:rPr>
          <w:rFonts w:ascii="Times New Roman" w:hAnsi="Times New Roman" w:cs="Times New Roman"/>
          <w:sz w:val="26"/>
          <w:szCs w:val="26"/>
        </w:rPr>
      </w:pPr>
    </w:p>
    <w:p w14:paraId="281C4385" w14:textId="719A1157" w:rsidR="005D5B95" w:rsidRPr="002A6E9C" w:rsidRDefault="001C522E" w:rsidP="005D5B95">
      <w:pPr>
        <w:spacing w:after="0"/>
        <w:rPr>
          <w:rFonts w:ascii="Times New Roman" w:hAnsi="Times New Roman" w:cs="Times New Roman"/>
          <w:sz w:val="26"/>
          <w:szCs w:val="26"/>
        </w:rPr>
      </w:pPr>
      <w:r>
        <w:rPr>
          <w:rFonts w:ascii="Times New Roman" w:hAnsi="Times New Roman" w:cs="Times New Roman"/>
          <w:sz w:val="26"/>
          <w:szCs w:val="26"/>
        </w:rPr>
        <w:t>The costs for this collection are entirely related to burden hours and are provided in</w:t>
      </w:r>
      <w:r w:rsidR="005D5B95" w:rsidRPr="002A6E9C">
        <w:rPr>
          <w:rFonts w:ascii="Times New Roman" w:hAnsi="Times New Roman" w:cs="Times New Roman"/>
          <w:sz w:val="26"/>
          <w:szCs w:val="26"/>
        </w:rPr>
        <w:t xml:space="preserve"> Question</w:t>
      </w:r>
      <w:r w:rsidR="00801648">
        <w:rPr>
          <w:rFonts w:ascii="Times New Roman" w:hAnsi="Times New Roman" w:cs="Times New Roman"/>
          <w:sz w:val="26"/>
          <w:szCs w:val="26"/>
        </w:rPr>
        <w:t>s</w:t>
      </w:r>
      <w:r w:rsidR="005D5B95" w:rsidRPr="002A6E9C">
        <w:rPr>
          <w:rFonts w:ascii="Times New Roman" w:hAnsi="Times New Roman" w:cs="Times New Roman"/>
          <w:sz w:val="26"/>
          <w:szCs w:val="26"/>
        </w:rPr>
        <w:t xml:space="preserve"> #12</w:t>
      </w:r>
      <w:r w:rsidR="00681082" w:rsidRPr="002A6E9C">
        <w:rPr>
          <w:rFonts w:ascii="Times New Roman" w:hAnsi="Times New Roman" w:cs="Times New Roman"/>
          <w:sz w:val="26"/>
          <w:szCs w:val="26"/>
        </w:rPr>
        <w:t xml:space="preserve"> and #15.</w:t>
      </w:r>
    </w:p>
    <w:p w14:paraId="5F56FD5C" w14:textId="77777777" w:rsidR="005D5B95" w:rsidRPr="002A6E9C" w:rsidRDefault="005D5B95" w:rsidP="005D5B95">
      <w:pPr>
        <w:spacing w:after="0"/>
        <w:rPr>
          <w:rFonts w:ascii="Times New Roman" w:hAnsi="Times New Roman" w:cs="Times New Roman"/>
          <w:sz w:val="26"/>
          <w:szCs w:val="26"/>
        </w:rPr>
      </w:pPr>
    </w:p>
    <w:p w14:paraId="2742AD88"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ESTIMATED ANNUALIZED COST TO FEDERAL GOVERNMENT</w:t>
      </w:r>
    </w:p>
    <w:p w14:paraId="4407FE97" w14:textId="77777777" w:rsidR="00681082" w:rsidRPr="002A6E9C" w:rsidRDefault="00681082" w:rsidP="00681082">
      <w:pPr>
        <w:spacing w:after="0"/>
        <w:rPr>
          <w:rFonts w:ascii="Times New Roman" w:hAnsi="Times New Roman" w:cs="Times New Roman"/>
          <w:sz w:val="26"/>
          <w:szCs w:val="26"/>
        </w:rPr>
      </w:pPr>
    </w:p>
    <w:p w14:paraId="01BECBF0" w14:textId="77777777" w:rsidR="00681082" w:rsidRDefault="00681082" w:rsidP="00681082">
      <w:pPr>
        <w:spacing w:after="0"/>
        <w:rPr>
          <w:rFonts w:ascii="Times New Roman" w:hAnsi="Times New Roman" w:cs="Times New Roman"/>
          <w:sz w:val="26"/>
          <w:szCs w:val="26"/>
        </w:rPr>
      </w:pPr>
      <w:r w:rsidRPr="002A6E9C">
        <w:rPr>
          <w:rFonts w:ascii="Times New Roman" w:hAnsi="Times New Roman" w:cs="Times New Roman"/>
          <w:sz w:val="26"/>
          <w:szCs w:val="26"/>
        </w:rPr>
        <w:t xml:space="preserve">The Commission bases its estimate of </w:t>
      </w:r>
      <w:r w:rsidR="002E44CC">
        <w:rPr>
          <w:rFonts w:ascii="Times New Roman" w:hAnsi="Times New Roman" w:cs="Times New Roman"/>
          <w:sz w:val="26"/>
          <w:szCs w:val="26"/>
        </w:rPr>
        <w:t xml:space="preserve">0.12 Full-Time Employees (FTE’s) for </w:t>
      </w:r>
      <w:r w:rsidRPr="002A6E9C">
        <w:rPr>
          <w:rFonts w:ascii="Times New Roman" w:hAnsi="Times New Roman" w:cs="Times New Roman"/>
          <w:sz w:val="26"/>
          <w:szCs w:val="26"/>
        </w:rPr>
        <w:t>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0FA26AF1" w14:textId="77777777" w:rsidR="002E44CC" w:rsidRDefault="002E44CC" w:rsidP="00681082">
      <w:pPr>
        <w:spacing w:after="0"/>
        <w:rPr>
          <w:rFonts w:ascii="Times New Roman" w:hAnsi="Times New Roman" w:cs="Times New Roman"/>
          <w:sz w:val="26"/>
          <w:szCs w:val="26"/>
        </w:rPr>
      </w:pPr>
    </w:p>
    <w:p w14:paraId="64ED4E3B" w14:textId="77777777" w:rsidR="00681082" w:rsidRPr="002A6E9C" w:rsidRDefault="00681082" w:rsidP="00681082">
      <w:pPr>
        <w:spacing w:after="0"/>
        <w:rPr>
          <w:rFonts w:ascii="Times New Roman" w:hAnsi="Times New Roman" w:cs="Times New Roman"/>
          <w:sz w:val="26"/>
          <w:szCs w:val="26"/>
        </w:rPr>
      </w:pPr>
      <w:r w:rsidRPr="002A6E9C">
        <w:rPr>
          <w:rFonts w:ascii="Times New Roman" w:hAnsi="Times New Roman" w:cs="Times New Roman"/>
          <w:sz w:val="26"/>
          <w:szCs w:val="26"/>
        </w:rPr>
        <w:t>The estimated annualized cost to the Federal Government for FERC-521 is:</w:t>
      </w:r>
    </w:p>
    <w:p w14:paraId="7EDF247E" w14:textId="77777777" w:rsidR="005D5B95" w:rsidRPr="002A6E9C" w:rsidRDefault="005D5B95" w:rsidP="005D5B95">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5D5B95" w:rsidRPr="002A6E9C" w14:paraId="251E82C2" w14:textId="77777777" w:rsidTr="00CF4F49">
        <w:tc>
          <w:tcPr>
            <w:tcW w:w="3182" w:type="dxa"/>
            <w:shd w:val="clear" w:color="auto" w:fill="CCCCCC"/>
          </w:tcPr>
          <w:p w14:paraId="5187E7AA" w14:textId="77777777" w:rsidR="005D5B95" w:rsidRPr="002A6E9C" w:rsidRDefault="005D5B95" w:rsidP="00CF4F49">
            <w:pPr>
              <w:spacing w:after="0" w:line="240" w:lineRule="auto"/>
              <w:rPr>
                <w:rFonts w:ascii="Times New Roman" w:hAnsi="Times New Roman" w:cs="Times New Roman"/>
                <w:sz w:val="26"/>
                <w:szCs w:val="26"/>
              </w:rPr>
            </w:pPr>
          </w:p>
        </w:tc>
        <w:tc>
          <w:tcPr>
            <w:tcW w:w="3201" w:type="dxa"/>
            <w:shd w:val="clear" w:color="auto" w:fill="CCCCCC"/>
          </w:tcPr>
          <w:p w14:paraId="65CF4231" w14:textId="77777777" w:rsidR="005D5B95" w:rsidRPr="002A6E9C" w:rsidRDefault="005D5B95" w:rsidP="00CF4F49">
            <w:pPr>
              <w:spacing w:after="0" w:line="240" w:lineRule="auto"/>
              <w:rPr>
                <w:rFonts w:ascii="Times New Roman" w:hAnsi="Times New Roman" w:cs="Times New Roman"/>
                <w:b/>
                <w:sz w:val="26"/>
                <w:szCs w:val="26"/>
              </w:rPr>
            </w:pPr>
            <w:r w:rsidRPr="002A6E9C">
              <w:rPr>
                <w:rFonts w:ascii="Times New Roman" w:hAnsi="Times New Roman" w:cs="Times New Roman"/>
                <w:b/>
                <w:sz w:val="26"/>
                <w:szCs w:val="26"/>
              </w:rPr>
              <w:t>Number of Employees (FTEs)</w:t>
            </w:r>
          </w:p>
        </w:tc>
        <w:tc>
          <w:tcPr>
            <w:tcW w:w="2995" w:type="dxa"/>
            <w:shd w:val="clear" w:color="auto" w:fill="CCCCCC"/>
          </w:tcPr>
          <w:p w14:paraId="5B2B3F0B" w14:textId="77777777" w:rsidR="005D5B95" w:rsidRPr="002A6E9C" w:rsidRDefault="005D5B95" w:rsidP="00CF4F49">
            <w:pPr>
              <w:spacing w:after="0" w:line="240" w:lineRule="auto"/>
              <w:rPr>
                <w:rFonts w:ascii="Times New Roman" w:hAnsi="Times New Roman" w:cs="Times New Roman"/>
                <w:b/>
                <w:sz w:val="26"/>
                <w:szCs w:val="26"/>
              </w:rPr>
            </w:pPr>
            <w:r w:rsidRPr="002A6E9C">
              <w:rPr>
                <w:rFonts w:ascii="Times New Roman" w:hAnsi="Times New Roman" w:cs="Times New Roman"/>
                <w:b/>
                <w:sz w:val="26"/>
                <w:szCs w:val="26"/>
              </w:rPr>
              <w:t>Estimated Annual Federal Cost</w:t>
            </w:r>
          </w:p>
        </w:tc>
      </w:tr>
      <w:tr w:rsidR="005D5B95" w:rsidRPr="002A6E9C" w14:paraId="054D7C9B" w14:textId="77777777" w:rsidTr="00CF4F49">
        <w:tc>
          <w:tcPr>
            <w:tcW w:w="3182" w:type="dxa"/>
            <w:shd w:val="clear" w:color="auto" w:fill="auto"/>
          </w:tcPr>
          <w:p w14:paraId="1E8B0653" w14:textId="77777777" w:rsidR="005D5B95" w:rsidRPr="002A6E9C" w:rsidRDefault="005D5B95" w:rsidP="00CF4F49">
            <w:pPr>
              <w:spacing w:after="0" w:line="240" w:lineRule="auto"/>
              <w:rPr>
                <w:rFonts w:ascii="Times New Roman" w:hAnsi="Times New Roman" w:cs="Times New Roman"/>
                <w:sz w:val="26"/>
                <w:szCs w:val="26"/>
              </w:rPr>
            </w:pPr>
            <w:r w:rsidRPr="002A6E9C">
              <w:rPr>
                <w:rFonts w:ascii="Times New Roman" w:hAnsi="Times New Roman" w:cs="Times New Roman"/>
                <w:sz w:val="26"/>
                <w:szCs w:val="26"/>
              </w:rPr>
              <w:t>Analysis and Processing of filings</w:t>
            </w:r>
            <w:r w:rsidRPr="002A6E9C">
              <w:rPr>
                <w:rStyle w:val="FootnoteReference"/>
                <w:rFonts w:ascii="Times New Roman" w:hAnsi="Times New Roman" w:cs="Times New Roman"/>
                <w:sz w:val="26"/>
                <w:szCs w:val="26"/>
                <w:vertAlign w:val="superscript"/>
              </w:rPr>
              <w:footnoteReference w:id="6"/>
            </w:r>
          </w:p>
        </w:tc>
        <w:tc>
          <w:tcPr>
            <w:tcW w:w="3201" w:type="dxa"/>
            <w:tcBorders>
              <w:bottom w:val="single" w:sz="4" w:space="0" w:color="auto"/>
            </w:tcBorders>
            <w:shd w:val="clear" w:color="auto" w:fill="auto"/>
            <w:vAlign w:val="center"/>
          </w:tcPr>
          <w:p w14:paraId="567E5A52"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0.12</w:t>
            </w:r>
          </w:p>
        </w:tc>
        <w:tc>
          <w:tcPr>
            <w:tcW w:w="2995" w:type="dxa"/>
            <w:shd w:val="clear" w:color="auto" w:fill="auto"/>
            <w:vAlign w:val="center"/>
          </w:tcPr>
          <w:p w14:paraId="485BD028" w14:textId="77777777" w:rsidR="005D5B95" w:rsidRPr="002A6E9C" w:rsidRDefault="005D5B95" w:rsidP="005D2364">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$1</w:t>
            </w:r>
            <w:r w:rsidR="005D2364" w:rsidRPr="002A6E9C">
              <w:rPr>
                <w:rFonts w:ascii="Times New Roman" w:hAnsi="Times New Roman" w:cs="Times New Roman"/>
                <w:sz w:val="26"/>
                <w:szCs w:val="26"/>
              </w:rPr>
              <w:t>9,049</w:t>
            </w:r>
          </w:p>
        </w:tc>
      </w:tr>
      <w:tr w:rsidR="005D5B95" w:rsidRPr="002A6E9C" w14:paraId="3A87E2E3" w14:textId="77777777" w:rsidTr="00CF4F49">
        <w:tc>
          <w:tcPr>
            <w:tcW w:w="3182" w:type="dxa"/>
            <w:shd w:val="clear" w:color="auto" w:fill="auto"/>
          </w:tcPr>
          <w:p w14:paraId="08B1F345" w14:textId="77777777" w:rsidR="005D5B95" w:rsidRPr="002A6E9C" w:rsidRDefault="005D5B95" w:rsidP="00CF4F49">
            <w:pPr>
              <w:rPr>
                <w:rFonts w:ascii="Times New Roman" w:hAnsi="Times New Roman" w:cs="Times New Roman"/>
                <w:sz w:val="26"/>
                <w:szCs w:val="26"/>
              </w:rPr>
            </w:pPr>
            <w:r w:rsidRPr="002A6E9C">
              <w:rPr>
                <w:rFonts w:ascii="Times New Roman" w:hAnsi="Times New Roman" w:cs="Times New Roman"/>
                <w:sz w:val="26"/>
                <w:szCs w:val="26"/>
              </w:rPr>
              <w:t>PRA</w:t>
            </w:r>
            <w:r w:rsidRPr="002A6E9C">
              <w:rPr>
                <w:rStyle w:val="FootnoteReference"/>
                <w:rFonts w:ascii="Times New Roman" w:hAnsi="Times New Roman" w:cs="Times New Roman"/>
                <w:sz w:val="26"/>
                <w:szCs w:val="26"/>
                <w:vertAlign w:val="superscript"/>
              </w:rPr>
              <w:footnoteReference w:id="7"/>
            </w:r>
            <w:r w:rsidRPr="002A6E9C">
              <w:rPr>
                <w:rFonts w:ascii="Times New Roman" w:hAnsi="Times New Roman" w:cs="Times New Roman"/>
                <w:sz w:val="26"/>
                <w:szCs w:val="26"/>
              </w:rPr>
              <w:t xml:space="preserve"> Administrative Cost</w:t>
            </w:r>
            <w:r w:rsidRPr="002A6E9C">
              <w:rPr>
                <w:rFonts w:ascii="Times New Roman" w:hAnsi="Times New Roman" w:cs="Times New Roman"/>
                <w:sz w:val="26"/>
                <w:szCs w:val="26"/>
                <w:vertAlign w:val="superscript"/>
              </w:rPr>
              <w:footnoteReference w:id="8"/>
            </w:r>
            <w:r w:rsidRPr="002A6E9C">
              <w:rPr>
                <w:rFonts w:ascii="Times New Roman" w:hAnsi="Times New Roman" w:cs="Times New Roman"/>
                <w:sz w:val="26"/>
                <w:szCs w:val="26"/>
              </w:rPr>
              <w:t xml:space="preserve"> </w:t>
            </w:r>
          </w:p>
        </w:tc>
        <w:tc>
          <w:tcPr>
            <w:tcW w:w="3201" w:type="dxa"/>
            <w:vMerge w:val="restart"/>
            <w:shd w:val="clear" w:color="auto" w:fill="D9D9D9" w:themeFill="background1" w:themeFillShade="D9"/>
            <w:vAlign w:val="center"/>
          </w:tcPr>
          <w:p w14:paraId="2DCE50F2" w14:textId="77777777" w:rsidR="005D5B95" w:rsidRPr="002A6E9C" w:rsidRDefault="005D5B95" w:rsidP="00CF4F49">
            <w:pPr>
              <w:spacing w:after="0" w:line="240" w:lineRule="auto"/>
              <w:jc w:val="right"/>
              <w:rPr>
                <w:rFonts w:ascii="Times New Roman" w:hAnsi="Times New Roman" w:cs="Times New Roman"/>
                <w:sz w:val="26"/>
                <w:szCs w:val="26"/>
              </w:rPr>
            </w:pPr>
          </w:p>
        </w:tc>
        <w:tc>
          <w:tcPr>
            <w:tcW w:w="2995" w:type="dxa"/>
            <w:shd w:val="clear" w:color="auto" w:fill="auto"/>
            <w:vAlign w:val="center"/>
          </w:tcPr>
          <w:p w14:paraId="5F041433" w14:textId="77777777" w:rsidR="005D5B95" w:rsidRPr="002A6E9C" w:rsidRDefault="005D5B95" w:rsidP="00542937">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$5,</w:t>
            </w:r>
            <w:r w:rsidR="00542937" w:rsidRPr="002A6E9C">
              <w:rPr>
                <w:rFonts w:ascii="Times New Roman" w:hAnsi="Times New Roman" w:cs="Times New Roman"/>
                <w:sz w:val="26"/>
                <w:szCs w:val="26"/>
              </w:rPr>
              <w:t>723</w:t>
            </w:r>
          </w:p>
        </w:tc>
      </w:tr>
      <w:tr w:rsidR="005D5B95" w:rsidRPr="002A6E9C" w14:paraId="0FCAED96" w14:textId="77777777" w:rsidTr="00CF4F49">
        <w:tc>
          <w:tcPr>
            <w:tcW w:w="3182" w:type="dxa"/>
            <w:shd w:val="clear" w:color="auto" w:fill="auto"/>
          </w:tcPr>
          <w:p w14:paraId="0A17E9B2" w14:textId="77777777" w:rsidR="005D5B95" w:rsidRPr="002A6E9C" w:rsidRDefault="005D5B95" w:rsidP="00CF4F49">
            <w:pPr>
              <w:spacing w:after="0" w:line="240" w:lineRule="auto"/>
              <w:rPr>
                <w:rFonts w:ascii="Times New Roman" w:hAnsi="Times New Roman" w:cs="Times New Roman"/>
                <w:b/>
                <w:sz w:val="26"/>
                <w:szCs w:val="26"/>
              </w:rPr>
            </w:pPr>
            <w:r w:rsidRPr="002A6E9C">
              <w:rPr>
                <w:rFonts w:ascii="Times New Roman" w:hAnsi="Times New Roman" w:cs="Times New Roman"/>
                <w:b/>
                <w:sz w:val="26"/>
                <w:szCs w:val="26"/>
              </w:rPr>
              <w:t>FERC Total</w:t>
            </w:r>
          </w:p>
        </w:tc>
        <w:tc>
          <w:tcPr>
            <w:tcW w:w="3201" w:type="dxa"/>
            <w:vMerge/>
            <w:shd w:val="clear" w:color="auto" w:fill="D9D9D9" w:themeFill="background1" w:themeFillShade="D9"/>
            <w:vAlign w:val="center"/>
          </w:tcPr>
          <w:p w14:paraId="526D133A" w14:textId="77777777" w:rsidR="005D5B95" w:rsidRPr="002A6E9C" w:rsidRDefault="005D5B95" w:rsidP="00CF4F49">
            <w:pPr>
              <w:spacing w:after="0" w:line="240" w:lineRule="auto"/>
              <w:jc w:val="right"/>
              <w:rPr>
                <w:rFonts w:ascii="Times New Roman" w:hAnsi="Times New Roman" w:cs="Times New Roman"/>
                <w:sz w:val="26"/>
                <w:szCs w:val="26"/>
              </w:rPr>
            </w:pPr>
          </w:p>
        </w:tc>
        <w:tc>
          <w:tcPr>
            <w:tcW w:w="2995" w:type="dxa"/>
            <w:shd w:val="clear" w:color="auto" w:fill="auto"/>
            <w:vAlign w:val="center"/>
          </w:tcPr>
          <w:p w14:paraId="3D876F70"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w:t>
            </w:r>
            <w:r w:rsidR="005D2364" w:rsidRPr="002A6E9C">
              <w:rPr>
                <w:rFonts w:ascii="Times New Roman" w:hAnsi="Times New Roman" w:cs="Times New Roman"/>
                <w:sz w:val="26"/>
                <w:szCs w:val="26"/>
              </w:rPr>
              <w:t>24,772</w:t>
            </w:r>
          </w:p>
        </w:tc>
      </w:tr>
    </w:tbl>
    <w:p w14:paraId="77095B6C" w14:textId="77777777" w:rsidR="005D5B95" w:rsidRPr="002A6E9C" w:rsidRDefault="005D5B95" w:rsidP="005D5B95">
      <w:pPr>
        <w:spacing w:after="0"/>
        <w:rPr>
          <w:rFonts w:ascii="Times New Roman" w:hAnsi="Times New Roman" w:cs="Times New Roman"/>
          <w:sz w:val="26"/>
          <w:szCs w:val="26"/>
        </w:rPr>
      </w:pPr>
    </w:p>
    <w:p w14:paraId="3D052676" w14:textId="77777777" w:rsidR="005D5B95" w:rsidRPr="002A6E9C" w:rsidRDefault="005D5B95" w:rsidP="005D5B95">
      <w:pPr>
        <w:spacing w:after="0"/>
        <w:rPr>
          <w:rFonts w:ascii="Times New Roman" w:hAnsi="Times New Roman" w:cs="Times New Roman"/>
          <w:sz w:val="26"/>
          <w:szCs w:val="26"/>
        </w:rPr>
      </w:pPr>
    </w:p>
    <w:p w14:paraId="09A149D2"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REASONS FOR CHANGES IN BURDEN INCLUDING THE NEED FOR ANY INCREASE</w:t>
      </w:r>
    </w:p>
    <w:p w14:paraId="0B99C5AC" w14:textId="77777777" w:rsidR="005D5B95" w:rsidRPr="002A6E9C" w:rsidRDefault="005D5B95" w:rsidP="005D5B95">
      <w:pPr>
        <w:spacing w:after="0"/>
        <w:rPr>
          <w:rFonts w:ascii="Times New Roman" w:hAnsi="Times New Roman" w:cs="Times New Roman"/>
          <w:sz w:val="26"/>
          <w:szCs w:val="26"/>
        </w:rPr>
      </w:pPr>
    </w:p>
    <w:p w14:paraId="25411CCC"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There are no changes to reporting requirements.  Moreover, there is no foreseeable change in either the number of respondents or the frequency with which they must respond. Therefore, there is no change to the estimated reporting burden.</w:t>
      </w:r>
    </w:p>
    <w:p w14:paraId="4DFA7242" w14:textId="77777777" w:rsidR="005D5B95" w:rsidRPr="002A6E9C" w:rsidRDefault="005D5B95" w:rsidP="005D5B95">
      <w:pPr>
        <w:spacing w:after="0"/>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D5B95" w:rsidRPr="002A6E9C" w14:paraId="27AD3995" w14:textId="77777777" w:rsidTr="00CF4F49">
        <w:trPr>
          <w:trHeight w:val="870"/>
        </w:trPr>
        <w:tc>
          <w:tcPr>
            <w:tcW w:w="2679" w:type="dxa"/>
            <w:shd w:val="clear" w:color="auto" w:fill="D9D9D9"/>
            <w:vAlign w:val="bottom"/>
          </w:tcPr>
          <w:p w14:paraId="1BFE3801" w14:textId="77777777" w:rsidR="005D5B95" w:rsidRPr="002A6E9C" w:rsidRDefault="005D5B95" w:rsidP="00CF4F49">
            <w:pPr>
              <w:spacing w:after="0" w:line="240" w:lineRule="auto"/>
              <w:jc w:val="center"/>
              <w:rPr>
                <w:rFonts w:ascii="Times New Roman" w:hAnsi="Times New Roman" w:cs="Times New Roman"/>
                <w:b/>
                <w:sz w:val="26"/>
                <w:szCs w:val="26"/>
              </w:rPr>
            </w:pPr>
            <w:r w:rsidRPr="002A6E9C">
              <w:rPr>
                <w:rFonts w:ascii="Times New Roman" w:hAnsi="Times New Roman" w:cs="Times New Roman"/>
                <w:b/>
                <w:sz w:val="26"/>
                <w:szCs w:val="26"/>
              </w:rPr>
              <w:t>FERC-521</w:t>
            </w:r>
          </w:p>
        </w:tc>
        <w:tc>
          <w:tcPr>
            <w:tcW w:w="1461" w:type="dxa"/>
            <w:shd w:val="clear" w:color="auto" w:fill="D9D9D9"/>
            <w:vAlign w:val="bottom"/>
          </w:tcPr>
          <w:p w14:paraId="02B732AB" w14:textId="77777777" w:rsidR="005D5B95" w:rsidRPr="002A6E9C" w:rsidRDefault="005D5B95" w:rsidP="00CF4F49">
            <w:pPr>
              <w:spacing w:after="0" w:line="240" w:lineRule="auto"/>
              <w:jc w:val="center"/>
              <w:rPr>
                <w:rFonts w:ascii="Times New Roman" w:hAnsi="Times New Roman" w:cs="Times New Roman"/>
                <w:b/>
                <w:sz w:val="26"/>
                <w:szCs w:val="26"/>
              </w:rPr>
            </w:pPr>
            <w:r w:rsidRPr="002A6E9C">
              <w:rPr>
                <w:rFonts w:ascii="Times New Roman" w:hAnsi="Times New Roman" w:cs="Times New Roman"/>
                <w:b/>
                <w:sz w:val="26"/>
                <w:szCs w:val="26"/>
              </w:rPr>
              <w:t>Total Request</w:t>
            </w:r>
          </w:p>
        </w:tc>
        <w:tc>
          <w:tcPr>
            <w:tcW w:w="1620" w:type="dxa"/>
            <w:shd w:val="clear" w:color="auto" w:fill="D9D9D9"/>
            <w:vAlign w:val="bottom"/>
          </w:tcPr>
          <w:p w14:paraId="491F755B" w14:textId="77777777" w:rsidR="005D5B95" w:rsidRPr="002A6E9C" w:rsidRDefault="005D5B95" w:rsidP="00CF4F49">
            <w:pPr>
              <w:spacing w:after="0" w:line="240" w:lineRule="auto"/>
              <w:jc w:val="center"/>
              <w:rPr>
                <w:rFonts w:ascii="Times New Roman" w:hAnsi="Times New Roman" w:cs="Times New Roman"/>
                <w:b/>
                <w:sz w:val="26"/>
                <w:szCs w:val="26"/>
              </w:rPr>
            </w:pPr>
            <w:r w:rsidRPr="002A6E9C">
              <w:rPr>
                <w:rFonts w:ascii="Times New Roman" w:hAnsi="Times New Roman" w:cs="Times New Roman"/>
                <w:b/>
                <w:sz w:val="26"/>
                <w:szCs w:val="26"/>
              </w:rPr>
              <w:t>Previously Approved</w:t>
            </w:r>
          </w:p>
        </w:tc>
        <w:tc>
          <w:tcPr>
            <w:tcW w:w="1800" w:type="dxa"/>
            <w:shd w:val="clear" w:color="auto" w:fill="D9D9D9"/>
            <w:vAlign w:val="bottom"/>
          </w:tcPr>
          <w:p w14:paraId="56E5F67B" w14:textId="77777777" w:rsidR="005D5B95" w:rsidRPr="002A6E9C" w:rsidRDefault="005D5B95" w:rsidP="00CF4F49">
            <w:pPr>
              <w:spacing w:after="0" w:line="240" w:lineRule="auto"/>
              <w:jc w:val="center"/>
              <w:rPr>
                <w:rFonts w:ascii="Times New Roman" w:hAnsi="Times New Roman" w:cs="Times New Roman"/>
                <w:b/>
                <w:sz w:val="26"/>
                <w:szCs w:val="26"/>
              </w:rPr>
            </w:pPr>
            <w:r w:rsidRPr="002A6E9C">
              <w:rPr>
                <w:rFonts w:ascii="Times New Roman" w:hAnsi="Times New Roman" w:cs="Times New Roman"/>
                <w:b/>
                <w:sz w:val="26"/>
                <w:szCs w:val="26"/>
              </w:rPr>
              <w:t>Change due to Adjustment in Estimate</w:t>
            </w:r>
          </w:p>
        </w:tc>
        <w:tc>
          <w:tcPr>
            <w:tcW w:w="1800" w:type="dxa"/>
            <w:shd w:val="clear" w:color="auto" w:fill="D9D9D9"/>
            <w:vAlign w:val="bottom"/>
          </w:tcPr>
          <w:p w14:paraId="4F2DB608" w14:textId="5A2FD490" w:rsidR="005D5B95" w:rsidRPr="002A6E9C" w:rsidRDefault="00F67FD5" w:rsidP="00CF4F4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Program </w:t>
            </w:r>
            <w:r w:rsidR="005D5B95" w:rsidRPr="002A6E9C">
              <w:rPr>
                <w:rFonts w:ascii="Times New Roman" w:hAnsi="Times New Roman" w:cs="Times New Roman"/>
                <w:b/>
                <w:sz w:val="26"/>
                <w:szCs w:val="26"/>
              </w:rPr>
              <w:t>Change Due to Agency Discretion</w:t>
            </w:r>
          </w:p>
        </w:tc>
      </w:tr>
      <w:tr w:rsidR="005D5B95" w:rsidRPr="002A6E9C" w14:paraId="59BF037B" w14:textId="77777777" w:rsidTr="00CF4F49">
        <w:trPr>
          <w:trHeight w:val="591"/>
        </w:trPr>
        <w:tc>
          <w:tcPr>
            <w:tcW w:w="2679" w:type="dxa"/>
            <w:shd w:val="clear" w:color="auto" w:fill="auto"/>
          </w:tcPr>
          <w:p w14:paraId="3B86D974" w14:textId="77777777" w:rsidR="005D5B95" w:rsidRPr="002A6E9C" w:rsidRDefault="005D5B95" w:rsidP="00CF4F49">
            <w:pPr>
              <w:spacing w:after="0" w:line="240" w:lineRule="auto"/>
              <w:jc w:val="center"/>
              <w:rPr>
                <w:rFonts w:ascii="Times New Roman" w:hAnsi="Times New Roman" w:cs="Times New Roman"/>
                <w:sz w:val="26"/>
                <w:szCs w:val="26"/>
              </w:rPr>
            </w:pPr>
            <w:r w:rsidRPr="002A6E9C">
              <w:rPr>
                <w:rFonts w:ascii="Times New Roman" w:hAnsi="Times New Roman" w:cs="Times New Roman"/>
                <w:sz w:val="26"/>
                <w:szCs w:val="26"/>
              </w:rPr>
              <w:t>Annual Number of Responses</w:t>
            </w:r>
          </w:p>
        </w:tc>
        <w:tc>
          <w:tcPr>
            <w:tcW w:w="1461" w:type="dxa"/>
            <w:shd w:val="clear" w:color="auto" w:fill="auto"/>
            <w:vAlign w:val="center"/>
          </w:tcPr>
          <w:p w14:paraId="3F510631"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3</w:t>
            </w:r>
          </w:p>
        </w:tc>
        <w:tc>
          <w:tcPr>
            <w:tcW w:w="1620" w:type="dxa"/>
            <w:shd w:val="clear" w:color="auto" w:fill="auto"/>
            <w:vAlign w:val="center"/>
          </w:tcPr>
          <w:p w14:paraId="2267517B"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3</w:t>
            </w:r>
          </w:p>
        </w:tc>
        <w:tc>
          <w:tcPr>
            <w:tcW w:w="1800" w:type="dxa"/>
            <w:shd w:val="clear" w:color="auto" w:fill="auto"/>
            <w:vAlign w:val="center"/>
          </w:tcPr>
          <w:p w14:paraId="70ADA0B1"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0</w:t>
            </w:r>
          </w:p>
        </w:tc>
        <w:tc>
          <w:tcPr>
            <w:tcW w:w="1800" w:type="dxa"/>
            <w:shd w:val="clear" w:color="auto" w:fill="auto"/>
            <w:vAlign w:val="center"/>
          </w:tcPr>
          <w:p w14:paraId="4FFA8B4E"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0</w:t>
            </w:r>
          </w:p>
        </w:tc>
      </w:tr>
      <w:tr w:rsidR="005D5B95" w:rsidRPr="002A6E9C" w14:paraId="3D2771E7" w14:textId="77777777" w:rsidTr="00CF4F49">
        <w:trPr>
          <w:trHeight w:val="575"/>
        </w:trPr>
        <w:tc>
          <w:tcPr>
            <w:tcW w:w="2679" w:type="dxa"/>
            <w:shd w:val="clear" w:color="auto" w:fill="auto"/>
          </w:tcPr>
          <w:p w14:paraId="0FF55EDA" w14:textId="70FCFB20" w:rsidR="005D5B95" w:rsidRPr="002A6E9C" w:rsidRDefault="005D5B95" w:rsidP="00CF4F49">
            <w:pPr>
              <w:spacing w:after="0" w:line="240" w:lineRule="auto"/>
              <w:jc w:val="center"/>
              <w:rPr>
                <w:rFonts w:ascii="Times New Roman" w:hAnsi="Times New Roman" w:cs="Times New Roman"/>
                <w:sz w:val="26"/>
                <w:szCs w:val="26"/>
              </w:rPr>
            </w:pPr>
            <w:r w:rsidRPr="002A6E9C">
              <w:rPr>
                <w:rFonts w:ascii="Times New Roman" w:hAnsi="Times New Roman" w:cs="Times New Roman"/>
                <w:sz w:val="26"/>
                <w:szCs w:val="26"/>
              </w:rPr>
              <w:t>Annual Time Burden (Hr</w:t>
            </w:r>
            <w:r w:rsidR="00F67FD5">
              <w:rPr>
                <w:rFonts w:ascii="Times New Roman" w:hAnsi="Times New Roman" w:cs="Times New Roman"/>
                <w:sz w:val="26"/>
                <w:szCs w:val="26"/>
              </w:rPr>
              <w:t>.</w:t>
            </w:r>
            <w:r w:rsidRPr="002A6E9C">
              <w:rPr>
                <w:rFonts w:ascii="Times New Roman" w:hAnsi="Times New Roman" w:cs="Times New Roman"/>
                <w:sz w:val="26"/>
                <w:szCs w:val="26"/>
              </w:rPr>
              <w:t>)</w:t>
            </w:r>
          </w:p>
        </w:tc>
        <w:tc>
          <w:tcPr>
            <w:tcW w:w="1461" w:type="dxa"/>
            <w:shd w:val="clear" w:color="auto" w:fill="auto"/>
            <w:vAlign w:val="center"/>
          </w:tcPr>
          <w:p w14:paraId="53448A84"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120</w:t>
            </w:r>
          </w:p>
        </w:tc>
        <w:tc>
          <w:tcPr>
            <w:tcW w:w="1620" w:type="dxa"/>
            <w:shd w:val="clear" w:color="auto" w:fill="auto"/>
            <w:vAlign w:val="center"/>
          </w:tcPr>
          <w:p w14:paraId="0782C213"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120</w:t>
            </w:r>
          </w:p>
        </w:tc>
        <w:tc>
          <w:tcPr>
            <w:tcW w:w="1800" w:type="dxa"/>
            <w:shd w:val="clear" w:color="auto" w:fill="auto"/>
            <w:vAlign w:val="center"/>
          </w:tcPr>
          <w:p w14:paraId="3E5BF765"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0</w:t>
            </w:r>
          </w:p>
        </w:tc>
        <w:tc>
          <w:tcPr>
            <w:tcW w:w="1800" w:type="dxa"/>
            <w:shd w:val="clear" w:color="auto" w:fill="auto"/>
            <w:vAlign w:val="center"/>
          </w:tcPr>
          <w:p w14:paraId="692EA2C6"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0</w:t>
            </w:r>
          </w:p>
        </w:tc>
      </w:tr>
      <w:tr w:rsidR="005D5B95" w:rsidRPr="002A6E9C" w14:paraId="15FEEBCC" w14:textId="77777777" w:rsidTr="00CF4F49">
        <w:trPr>
          <w:trHeight w:val="295"/>
        </w:trPr>
        <w:tc>
          <w:tcPr>
            <w:tcW w:w="2679" w:type="dxa"/>
            <w:tcBorders>
              <w:bottom w:val="single" w:sz="4" w:space="0" w:color="auto"/>
            </w:tcBorders>
            <w:shd w:val="clear" w:color="auto" w:fill="auto"/>
          </w:tcPr>
          <w:p w14:paraId="2D497AF1" w14:textId="77777777" w:rsidR="005D5B95" w:rsidRPr="002A6E9C" w:rsidRDefault="005D5B95" w:rsidP="00CF4F49">
            <w:pPr>
              <w:spacing w:after="0" w:line="240" w:lineRule="auto"/>
              <w:jc w:val="center"/>
              <w:rPr>
                <w:rFonts w:ascii="Times New Roman" w:hAnsi="Times New Roman" w:cs="Times New Roman"/>
                <w:sz w:val="26"/>
                <w:szCs w:val="26"/>
              </w:rPr>
            </w:pPr>
            <w:r w:rsidRPr="002A6E9C">
              <w:rPr>
                <w:rFonts w:ascii="Times New Roman" w:hAnsi="Times New Roman" w:cs="Times New Roman"/>
                <w:sz w:val="26"/>
                <w:szCs w:val="26"/>
              </w:rPr>
              <w:t>Annual Cost Burden ($)</w:t>
            </w:r>
          </w:p>
        </w:tc>
        <w:tc>
          <w:tcPr>
            <w:tcW w:w="1461" w:type="dxa"/>
            <w:tcBorders>
              <w:bottom w:val="single" w:sz="4" w:space="0" w:color="auto"/>
            </w:tcBorders>
            <w:shd w:val="clear" w:color="auto" w:fill="auto"/>
            <w:vAlign w:val="center"/>
          </w:tcPr>
          <w:p w14:paraId="76FE4916"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$ 0</w:t>
            </w:r>
          </w:p>
        </w:tc>
        <w:tc>
          <w:tcPr>
            <w:tcW w:w="1620" w:type="dxa"/>
            <w:tcBorders>
              <w:bottom w:val="single" w:sz="4" w:space="0" w:color="auto"/>
            </w:tcBorders>
            <w:shd w:val="clear" w:color="auto" w:fill="auto"/>
            <w:vAlign w:val="center"/>
          </w:tcPr>
          <w:p w14:paraId="1446D385"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$ 0</w:t>
            </w:r>
          </w:p>
        </w:tc>
        <w:tc>
          <w:tcPr>
            <w:tcW w:w="1800" w:type="dxa"/>
            <w:tcBorders>
              <w:bottom w:val="single" w:sz="4" w:space="0" w:color="auto"/>
            </w:tcBorders>
            <w:shd w:val="clear" w:color="auto" w:fill="auto"/>
            <w:vAlign w:val="center"/>
          </w:tcPr>
          <w:p w14:paraId="7C2D58F9"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$ 0</w:t>
            </w:r>
          </w:p>
        </w:tc>
        <w:tc>
          <w:tcPr>
            <w:tcW w:w="1800" w:type="dxa"/>
            <w:tcBorders>
              <w:bottom w:val="single" w:sz="4" w:space="0" w:color="auto"/>
            </w:tcBorders>
            <w:shd w:val="clear" w:color="auto" w:fill="auto"/>
            <w:vAlign w:val="center"/>
          </w:tcPr>
          <w:p w14:paraId="72BB497B" w14:textId="77777777" w:rsidR="005D5B95" w:rsidRPr="002A6E9C" w:rsidRDefault="005D5B95" w:rsidP="00CF4F49">
            <w:pPr>
              <w:spacing w:after="0" w:line="240" w:lineRule="auto"/>
              <w:jc w:val="right"/>
              <w:rPr>
                <w:rFonts w:ascii="Times New Roman" w:hAnsi="Times New Roman" w:cs="Times New Roman"/>
                <w:sz w:val="26"/>
                <w:szCs w:val="26"/>
              </w:rPr>
            </w:pPr>
            <w:r w:rsidRPr="002A6E9C">
              <w:rPr>
                <w:rFonts w:ascii="Times New Roman" w:hAnsi="Times New Roman" w:cs="Times New Roman"/>
                <w:sz w:val="26"/>
                <w:szCs w:val="26"/>
              </w:rPr>
              <w:t>$ 0</w:t>
            </w:r>
          </w:p>
        </w:tc>
      </w:tr>
    </w:tbl>
    <w:p w14:paraId="6FA8AB2D" w14:textId="77777777" w:rsidR="005D5B95" w:rsidRPr="002A6E9C" w:rsidRDefault="005D5B95" w:rsidP="005D5B95">
      <w:pPr>
        <w:spacing w:after="0"/>
        <w:rPr>
          <w:rFonts w:ascii="Times New Roman" w:hAnsi="Times New Roman" w:cs="Times New Roman"/>
          <w:sz w:val="26"/>
          <w:szCs w:val="26"/>
        </w:rPr>
      </w:pPr>
    </w:p>
    <w:p w14:paraId="34BBD4C9"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 xml:space="preserve">The format, label, and definitions of the table above follow the Office of Management and Budget’s online submittal system for information collection requests. </w:t>
      </w:r>
    </w:p>
    <w:p w14:paraId="24DEEB2D" w14:textId="77777777" w:rsidR="005D5B95" w:rsidRPr="002A6E9C" w:rsidRDefault="005D5B95" w:rsidP="005D5B95">
      <w:pPr>
        <w:spacing w:after="0"/>
        <w:rPr>
          <w:rFonts w:ascii="Times New Roman" w:hAnsi="Times New Roman" w:cs="Times New Roman"/>
          <w:sz w:val="26"/>
          <w:szCs w:val="26"/>
        </w:rPr>
      </w:pPr>
    </w:p>
    <w:p w14:paraId="16F0F41E"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TIME SCHEDULE FOR PUBLICATION OF DATA</w:t>
      </w:r>
    </w:p>
    <w:p w14:paraId="34D1E36A" w14:textId="77777777" w:rsidR="005D5B95" w:rsidRPr="002A6E9C" w:rsidRDefault="005D5B95" w:rsidP="005D5B95">
      <w:pPr>
        <w:spacing w:after="0"/>
        <w:rPr>
          <w:rFonts w:ascii="Times New Roman" w:hAnsi="Times New Roman" w:cs="Times New Roman"/>
          <w:sz w:val="26"/>
          <w:szCs w:val="26"/>
        </w:rPr>
      </w:pPr>
    </w:p>
    <w:p w14:paraId="730E1C0B" w14:textId="77777777" w:rsidR="004E07F7" w:rsidRPr="002A6E9C" w:rsidRDefault="002E44CC" w:rsidP="004E07F7">
      <w:pPr>
        <w:spacing w:after="0"/>
        <w:rPr>
          <w:rFonts w:ascii="Times New Roman" w:hAnsi="Times New Roman" w:cs="Times New Roman"/>
          <w:sz w:val="26"/>
          <w:szCs w:val="26"/>
        </w:rPr>
      </w:pPr>
      <w:r>
        <w:rPr>
          <w:rFonts w:ascii="Times New Roman" w:hAnsi="Times New Roman" w:cs="Times New Roman"/>
          <w:sz w:val="26"/>
          <w:szCs w:val="26"/>
        </w:rPr>
        <w:t xml:space="preserve">There is no plan for publication of this information collection.  </w:t>
      </w:r>
    </w:p>
    <w:p w14:paraId="7F56B738" w14:textId="77777777" w:rsidR="005D5B95" w:rsidRPr="002A6E9C" w:rsidRDefault="005D5B95" w:rsidP="005D5B95">
      <w:pPr>
        <w:spacing w:after="0"/>
        <w:rPr>
          <w:rFonts w:ascii="Times New Roman" w:hAnsi="Times New Roman" w:cs="Times New Roman"/>
          <w:sz w:val="26"/>
          <w:szCs w:val="26"/>
        </w:rPr>
      </w:pPr>
    </w:p>
    <w:p w14:paraId="3CBFEED5"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DISPLAY OF EXPIRATION DATE</w:t>
      </w:r>
    </w:p>
    <w:p w14:paraId="2A3A353A" w14:textId="77777777" w:rsidR="005D5B95" w:rsidRPr="002A6E9C" w:rsidRDefault="005D5B95" w:rsidP="005D5B95">
      <w:pPr>
        <w:spacing w:after="0"/>
        <w:rPr>
          <w:rFonts w:ascii="Times New Roman" w:hAnsi="Times New Roman" w:cs="Times New Roman"/>
          <w:sz w:val="26"/>
          <w:szCs w:val="26"/>
        </w:rPr>
      </w:pPr>
    </w:p>
    <w:p w14:paraId="1618AF5D" w14:textId="77777777" w:rsidR="005D5B95" w:rsidRPr="002A6E9C" w:rsidRDefault="005D5B95" w:rsidP="005D5B95">
      <w:pPr>
        <w:spacing w:after="0"/>
        <w:rPr>
          <w:rFonts w:ascii="Times New Roman" w:hAnsi="Times New Roman" w:cs="Times New Roman"/>
          <w:sz w:val="26"/>
          <w:szCs w:val="26"/>
        </w:rPr>
      </w:pPr>
      <w:r w:rsidRPr="002A6E9C">
        <w:rPr>
          <w:rFonts w:ascii="Times New Roman" w:hAnsi="Times New Roman" w:cs="Times New Roman"/>
          <w:sz w:val="26"/>
          <w:szCs w:val="26"/>
        </w:rPr>
        <w:t xml:space="preserve">The expiration date is displayed at </w:t>
      </w:r>
      <w:hyperlink r:id="rId14" w:history="1">
        <w:r w:rsidRPr="002A6E9C">
          <w:rPr>
            <w:rStyle w:val="Hyperlink"/>
            <w:rFonts w:ascii="Times New Roman" w:hAnsi="Times New Roman" w:cs="Times New Roman"/>
            <w:sz w:val="26"/>
            <w:szCs w:val="26"/>
          </w:rPr>
          <w:t>http://www.ferc.gov/docs-filing/info-collections.asp</w:t>
        </w:r>
      </w:hyperlink>
      <w:r w:rsidRPr="002A6E9C">
        <w:rPr>
          <w:rFonts w:ascii="Times New Roman" w:hAnsi="Times New Roman" w:cs="Times New Roman"/>
          <w:sz w:val="26"/>
          <w:szCs w:val="26"/>
        </w:rPr>
        <w:t>.</w:t>
      </w:r>
    </w:p>
    <w:p w14:paraId="4C0C4C97" w14:textId="77777777" w:rsidR="005D5B95" w:rsidRPr="002A6E9C" w:rsidRDefault="005D5B95" w:rsidP="005D5B95">
      <w:pPr>
        <w:spacing w:after="0"/>
        <w:rPr>
          <w:rFonts w:ascii="Times New Roman" w:hAnsi="Times New Roman" w:cs="Times New Roman"/>
          <w:sz w:val="26"/>
          <w:szCs w:val="26"/>
        </w:rPr>
      </w:pPr>
    </w:p>
    <w:p w14:paraId="0EE3137A" w14:textId="77777777" w:rsidR="005D5B95" w:rsidRPr="002A6E9C" w:rsidRDefault="005D5B95" w:rsidP="005D5B95">
      <w:pPr>
        <w:pStyle w:val="ListParagraph"/>
        <w:numPr>
          <w:ilvl w:val="0"/>
          <w:numId w:val="1"/>
        </w:numPr>
        <w:spacing w:after="0"/>
        <w:ind w:left="360"/>
        <w:rPr>
          <w:rFonts w:ascii="Times New Roman" w:hAnsi="Times New Roman" w:cs="Times New Roman"/>
          <w:b/>
          <w:sz w:val="26"/>
          <w:szCs w:val="26"/>
        </w:rPr>
      </w:pPr>
      <w:r w:rsidRPr="002A6E9C">
        <w:rPr>
          <w:rFonts w:ascii="Times New Roman" w:hAnsi="Times New Roman" w:cs="Times New Roman"/>
          <w:b/>
          <w:sz w:val="26"/>
          <w:szCs w:val="26"/>
        </w:rPr>
        <w:t>EXCEPTIONS TO THE CERTIFICATION STATEMENT</w:t>
      </w:r>
    </w:p>
    <w:p w14:paraId="386EE1E6" w14:textId="77777777" w:rsidR="005D5B95" w:rsidRPr="002A6E9C" w:rsidRDefault="005D5B95" w:rsidP="005D5B95">
      <w:pPr>
        <w:spacing w:after="0"/>
        <w:rPr>
          <w:rFonts w:ascii="Times New Roman" w:hAnsi="Times New Roman" w:cs="Times New Roman"/>
          <w:b/>
          <w:sz w:val="26"/>
          <w:szCs w:val="26"/>
        </w:rPr>
      </w:pPr>
    </w:p>
    <w:p w14:paraId="10DCFF56" w14:textId="77777777" w:rsidR="0052545C" w:rsidRPr="002A6E9C" w:rsidRDefault="000F40D2">
      <w:pPr>
        <w:rPr>
          <w:rFonts w:ascii="Times New Roman" w:hAnsi="Times New Roman" w:cs="Times New Roman"/>
          <w:sz w:val="26"/>
          <w:szCs w:val="26"/>
        </w:rPr>
      </w:pPr>
      <w:r w:rsidRPr="002A6E9C">
        <w:rPr>
          <w:rFonts w:ascii="Times New Roman" w:hAnsi="Times New Roman" w:cs="Times New Roman"/>
          <w:sz w:val="26"/>
          <w:szCs w:val="26"/>
        </w:rPr>
        <w:t>There are no exceptions.</w:t>
      </w:r>
    </w:p>
    <w:sectPr w:rsidR="0052545C" w:rsidRPr="002A6E9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29C95" w14:textId="77777777" w:rsidR="00677D81" w:rsidRDefault="00677D81" w:rsidP="005D5B95">
      <w:pPr>
        <w:spacing w:after="0" w:line="240" w:lineRule="auto"/>
      </w:pPr>
      <w:r>
        <w:separator/>
      </w:r>
    </w:p>
  </w:endnote>
  <w:endnote w:type="continuationSeparator" w:id="0">
    <w:p w14:paraId="139F2F08" w14:textId="77777777" w:rsidR="00677D81" w:rsidRDefault="00677D81" w:rsidP="005D5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646847"/>
      <w:docPartObj>
        <w:docPartGallery w:val="Page Numbers (Bottom of Page)"/>
        <w:docPartUnique/>
      </w:docPartObj>
    </w:sdtPr>
    <w:sdtEndPr>
      <w:rPr>
        <w:noProof/>
      </w:rPr>
    </w:sdtEndPr>
    <w:sdtContent>
      <w:p w14:paraId="5F7F0106" w14:textId="77777777" w:rsidR="00EF2ABA" w:rsidRDefault="00212648">
        <w:pPr>
          <w:pStyle w:val="Footer"/>
          <w:jc w:val="right"/>
        </w:pPr>
        <w:r>
          <w:fldChar w:fldCharType="begin"/>
        </w:r>
        <w:r>
          <w:instrText xml:space="preserve"> PAGE   \* MERGEFORMAT </w:instrText>
        </w:r>
        <w:r>
          <w:fldChar w:fldCharType="separate"/>
        </w:r>
        <w:r w:rsidR="00501FFC">
          <w:rPr>
            <w:noProof/>
          </w:rPr>
          <w:t>7</w:t>
        </w:r>
        <w:r>
          <w:rPr>
            <w:noProof/>
          </w:rPr>
          <w:fldChar w:fldCharType="end"/>
        </w:r>
      </w:p>
    </w:sdtContent>
  </w:sdt>
  <w:p w14:paraId="2657281C" w14:textId="77777777" w:rsidR="00EF2ABA" w:rsidRDefault="00501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E98FD" w14:textId="77777777" w:rsidR="00677D81" w:rsidRDefault="00677D81" w:rsidP="005D5B95">
      <w:pPr>
        <w:spacing w:after="0" w:line="240" w:lineRule="auto"/>
      </w:pPr>
      <w:r>
        <w:separator/>
      </w:r>
    </w:p>
  </w:footnote>
  <w:footnote w:type="continuationSeparator" w:id="0">
    <w:p w14:paraId="4049A110" w14:textId="77777777" w:rsidR="00677D81" w:rsidRDefault="00677D81" w:rsidP="005D5B95">
      <w:pPr>
        <w:spacing w:after="0" w:line="240" w:lineRule="auto"/>
      </w:pPr>
      <w:r>
        <w:continuationSeparator/>
      </w:r>
    </w:p>
  </w:footnote>
  <w:footnote w:id="1">
    <w:p w14:paraId="1C3AE9CF" w14:textId="77777777" w:rsidR="005D5B95" w:rsidRDefault="005D5B95" w:rsidP="005D5B95">
      <w:pPr>
        <w:pStyle w:val="FootnoteText"/>
      </w:pPr>
      <w:r w:rsidRPr="00101D2E">
        <w:rPr>
          <w:rStyle w:val="FootnoteReference"/>
          <w:sz w:val="22"/>
          <w:szCs w:val="22"/>
        </w:rPr>
        <w:footnoteRef/>
      </w:r>
      <w:r>
        <w:t xml:space="preserve"> </w:t>
      </w:r>
      <w:r w:rsidRPr="00915327">
        <w:rPr>
          <w:sz w:val="26"/>
          <w:szCs w:val="26"/>
        </w:rPr>
        <w:t>16 USC Section 803</w:t>
      </w:r>
    </w:p>
  </w:footnote>
  <w:footnote w:id="2">
    <w:p w14:paraId="1B2859A2" w14:textId="77777777" w:rsidR="005D5B95" w:rsidRPr="00915327" w:rsidRDefault="005D5B95" w:rsidP="005D5B95">
      <w:pPr>
        <w:pStyle w:val="FootnoteText"/>
        <w:rPr>
          <w:sz w:val="26"/>
          <w:szCs w:val="26"/>
        </w:rPr>
      </w:pPr>
      <w:r w:rsidRPr="00915327">
        <w:rPr>
          <w:rStyle w:val="FootnoteReference"/>
          <w:sz w:val="26"/>
          <w:szCs w:val="26"/>
        </w:rPr>
        <w:footnoteRef/>
      </w:r>
      <w:r w:rsidRPr="00915327">
        <w:rPr>
          <w:sz w:val="26"/>
          <w:szCs w:val="26"/>
        </w:rPr>
        <w:t xml:space="preserve"> </w:t>
      </w:r>
      <m:oMath>
        <m:r>
          <w:rPr>
            <w:rFonts w:ascii="Cambria Math" w:hAnsi="Cambria Math"/>
            <w:sz w:val="26"/>
            <w:szCs w:val="26"/>
          </w:rPr>
          <m:t>P=</m:t>
        </m:r>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p</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n</m:t>
                </m:r>
              </m:sub>
            </m:sSub>
          </m:num>
          <m:den>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d</m:t>
                </m:r>
              </m:sub>
            </m:sSub>
            <m:r>
              <w:rPr>
                <w:rFonts w:ascii="Cambria Math" w:hAnsi="Cambria Math"/>
                <w:sz w:val="26"/>
                <w:szCs w:val="26"/>
              </w:rPr>
              <m:t>)</m:t>
            </m:r>
          </m:den>
        </m:f>
      </m:oMath>
      <w:r w:rsidRPr="00915327">
        <w:rPr>
          <w:sz w:val="26"/>
          <w:szCs w:val="26"/>
        </w:rPr>
        <w:t xml:space="preserve"> ; In this formula the following applies:</w:t>
      </w:r>
    </w:p>
    <w:p w14:paraId="76034E80" w14:textId="77777777" w:rsidR="005D5B95" w:rsidRPr="00915327" w:rsidRDefault="005D5B95" w:rsidP="005D5B95">
      <w:pPr>
        <w:pStyle w:val="FootnoteText"/>
        <w:numPr>
          <w:ilvl w:val="0"/>
          <w:numId w:val="2"/>
        </w:numPr>
        <w:ind w:left="0" w:firstLine="0"/>
        <w:rPr>
          <w:sz w:val="26"/>
          <w:szCs w:val="26"/>
        </w:rPr>
      </w:pPr>
      <w:r w:rsidRPr="00915327">
        <w:rPr>
          <w:b/>
          <w:sz w:val="26"/>
          <w:szCs w:val="26"/>
        </w:rPr>
        <w:t>P</w:t>
      </w:r>
      <w:r w:rsidRPr="00915327">
        <w:rPr>
          <w:sz w:val="26"/>
          <w:szCs w:val="26"/>
        </w:rPr>
        <w:t xml:space="preserve"> = annual payment to be made for headwater benefits received by downstream project</w:t>
      </w:r>
    </w:p>
    <w:p w14:paraId="77E77C9B" w14:textId="77777777" w:rsidR="005D5B95" w:rsidRPr="00915327" w:rsidRDefault="005D5B95" w:rsidP="005D5B95">
      <w:pPr>
        <w:pStyle w:val="FootnoteText"/>
        <w:numPr>
          <w:ilvl w:val="0"/>
          <w:numId w:val="2"/>
        </w:numPr>
        <w:ind w:left="0" w:firstLine="0"/>
        <w:rPr>
          <w:sz w:val="26"/>
          <w:szCs w:val="26"/>
        </w:rPr>
      </w:pPr>
      <w:r w:rsidRPr="00915327">
        <w:rPr>
          <w:b/>
          <w:sz w:val="26"/>
          <w:szCs w:val="26"/>
        </w:rPr>
        <w:t>C</w:t>
      </w:r>
      <w:r w:rsidRPr="00915327">
        <w:rPr>
          <w:b/>
          <w:sz w:val="26"/>
          <w:szCs w:val="26"/>
          <w:vertAlign w:val="subscript"/>
        </w:rPr>
        <w:t>p</w:t>
      </w:r>
      <w:r w:rsidRPr="00915327">
        <w:rPr>
          <w:sz w:val="26"/>
          <w:szCs w:val="26"/>
        </w:rPr>
        <w:t xml:space="preserve"> = Annual Section 10(f) cost of headwater project</w:t>
      </w:r>
    </w:p>
    <w:p w14:paraId="06A44D1C" w14:textId="77777777" w:rsidR="005D5B95" w:rsidRPr="00915327" w:rsidRDefault="005D5B95" w:rsidP="005D5B95">
      <w:pPr>
        <w:pStyle w:val="FootnoteText"/>
        <w:numPr>
          <w:ilvl w:val="0"/>
          <w:numId w:val="2"/>
        </w:numPr>
        <w:ind w:left="0" w:firstLine="0"/>
        <w:rPr>
          <w:sz w:val="26"/>
          <w:szCs w:val="26"/>
        </w:rPr>
      </w:pPr>
      <w:r w:rsidRPr="00915327">
        <w:rPr>
          <w:b/>
          <w:sz w:val="26"/>
          <w:szCs w:val="26"/>
        </w:rPr>
        <w:t>E</w:t>
      </w:r>
      <w:r w:rsidRPr="00915327">
        <w:rPr>
          <w:b/>
          <w:sz w:val="26"/>
          <w:szCs w:val="26"/>
          <w:vertAlign w:val="subscript"/>
        </w:rPr>
        <w:t>n</w:t>
      </w:r>
      <w:r w:rsidRPr="00915327">
        <w:rPr>
          <w:sz w:val="26"/>
          <w:szCs w:val="26"/>
          <w:vertAlign w:val="subscript"/>
        </w:rPr>
        <w:t xml:space="preserve"> </w:t>
      </w:r>
      <w:r w:rsidRPr="00915327">
        <w:rPr>
          <w:sz w:val="26"/>
          <w:szCs w:val="26"/>
        </w:rPr>
        <w:t xml:space="preserve">= </w:t>
      </w:r>
      <w:r w:rsidRPr="00127E12">
        <w:rPr>
          <w:sz w:val="26"/>
          <w:szCs w:val="26"/>
        </w:rPr>
        <w:t>Annual</w:t>
      </w:r>
      <w:r w:rsidRPr="00FA6D75">
        <w:rPr>
          <w:sz w:val="26"/>
          <w:szCs w:val="26"/>
        </w:rPr>
        <w:t xml:space="preserve"> </w:t>
      </w:r>
      <w:r w:rsidRPr="00915327">
        <w:rPr>
          <w:sz w:val="26"/>
          <w:szCs w:val="26"/>
        </w:rPr>
        <w:t>energy gains received at a downstream project (or group of projects)</w:t>
      </w:r>
    </w:p>
    <w:p w14:paraId="682ED5F4" w14:textId="77777777" w:rsidR="005D5B95" w:rsidRPr="00915327" w:rsidRDefault="005D5B95" w:rsidP="005D5B95">
      <w:pPr>
        <w:pStyle w:val="FootnoteText"/>
        <w:numPr>
          <w:ilvl w:val="0"/>
          <w:numId w:val="2"/>
        </w:numPr>
        <w:ind w:left="0" w:firstLine="0"/>
        <w:rPr>
          <w:sz w:val="26"/>
          <w:szCs w:val="26"/>
        </w:rPr>
      </w:pPr>
      <w:r w:rsidRPr="00915327">
        <w:rPr>
          <w:b/>
          <w:sz w:val="26"/>
          <w:szCs w:val="26"/>
        </w:rPr>
        <w:t>E</w:t>
      </w:r>
      <w:r w:rsidRPr="00915327">
        <w:rPr>
          <w:b/>
          <w:sz w:val="26"/>
          <w:szCs w:val="26"/>
          <w:vertAlign w:val="subscript"/>
        </w:rPr>
        <w:t>j</w:t>
      </w:r>
      <w:r w:rsidRPr="00915327">
        <w:rPr>
          <w:sz w:val="26"/>
          <w:szCs w:val="26"/>
        </w:rPr>
        <w:t xml:space="preserve"> = portion of annual energy generated at the headwater project assigned to the joint-use power cost</w:t>
      </w:r>
    </w:p>
    <w:p w14:paraId="67D2E6FA" w14:textId="77777777" w:rsidR="005D5B95" w:rsidRDefault="005D5B95" w:rsidP="005D5B95">
      <w:pPr>
        <w:pStyle w:val="FootnoteText"/>
        <w:numPr>
          <w:ilvl w:val="0"/>
          <w:numId w:val="2"/>
        </w:numPr>
        <w:ind w:left="0" w:firstLine="0"/>
      </w:pPr>
      <w:r w:rsidRPr="00915327">
        <w:rPr>
          <w:b/>
          <w:sz w:val="26"/>
          <w:szCs w:val="26"/>
        </w:rPr>
        <w:t>E</w:t>
      </w:r>
      <w:r w:rsidRPr="00915327">
        <w:rPr>
          <w:b/>
          <w:sz w:val="26"/>
          <w:szCs w:val="26"/>
          <w:vertAlign w:val="subscript"/>
        </w:rPr>
        <w:t>d</w:t>
      </w:r>
      <w:r w:rsidRPr="00915327">
        <w:rPr>
          <w:b/>
          <w:sz w:val="26"/>
          <w:szCs w:val="26"/>
        </w:rPr>
        <w:t xml:space="preserve"> = </w:t>
      </w:r>
      <w:r w:rsidRPr="00915327">
        <w:rPr>
          <w:sz w:val="26"/>
          <w:szCs w:val="26"/>
        </w:rPr>
        <w:t>annual energy gains received at all downstream projects (except ones specified in 18 CFR 11.10(b)</w:t>
      </w:r>
      <w:r w:rsidR="001C4D17">
        <w:rPr>
          <w:sz w:val="26"/>
          <w:szCs w:val="26"/>
        </w:rPr>
        <w:t>)</w:t>
      </w:r>
    </w:p>
  </w:footnote>
  <w:footnote w:id="3">
    <w:p w14:paraId="20F3EFE5" w14:textId="77777777" w:rsidR="005D5B95" w:rsidRDefault="005D5B95" w:rsidP="005D5B95">
      <w:pPr>
        <w:pStyle w:val="FootnoteText"/>
      </w:pPr>
      <w:r w:rsidRPr="00F30D96">
        <w:rPr>
          <w:rStyle w:val="FootnoteReference"/>
          <w:sz w:val="22"/>
          <w:szCs w:val="22"/>
        </w:rPr>
        <w:footnoteRef/>
      </w:r>
      <w:r w:rsidRPr="00F30D96">
        <w:rPr>
          <w:sz w:val="22"/>
          <w:szCs w:val="22"/>
        </w:rPr>
        <w:t xml:space="preserve"> </w:t>
      </w:r>
      <w:r w:rsidR="00542937" w:rsidRPr="00915327">
        <w:rPr>
          <w:sz w:val="26"/>
          <w:szCs w:val="26"/>
        </w:rPr>
        <w:t>82</w:t>
      </w:r>
      <w:r w:rsidRPr="00915327">
        <w:rPr>
          <w:sz w:val="26"/>
          <w:szCs w:val="26"/>
        </w:rPr>
        <w:t xml:space="preserve"> FR </w:t>
      </w:r>
      <w:r w:rsidR="00542937" w:rsidRPr="00915327">
        <w:rPr>
          <w:sz w:val="26"/>
          <w:szCs w:val="26"/>
        </w:rPr>
        <w:t>14710</w:t>
      </w:r>
    </w:p>
  </w:footnote>
  <w:footnote w:id="4">
    <w:p w14:paraId="31056FDB" w14:textId="73C521BF" w:rsidR="00396F95" w:rsidRPr="00F30D96" w:rsidRDefault="00396F95">
      <w:pPr>
        <w:pStyle w:val="FootnoteText"/>
        <w:rPr>
          <w:sz w:val="26"/>
          <w:szCs w:val="26"/>
        </w:rPr>
      </w:pPr>
      <w:r w:rsidRPr="00F30D96">
        <w:rPr>
          <w:rStyle w:val="FootnoteReference"/>
          <w:sz w:val="22"/>
          <w:szCs w:val="22"/>
        </w:rPr>
        <w:footnoteRef/>
      </w:r>
      <w:r w:rsidRPr="00F30D96">
        <w:rPr>
          <w:sz w:val="26"/>
          <w:szCs w:val="26"/>
        </w:rPr>
        <w:t xml:space="preserve"> The Notice is posted in FERC’s eLibrary at https://elibrary.ferc.gov/idmws/common/OpenNat.asp?fileID=14604422.</w:t>
      </w:r>
    </w:p>
  </w:footnote>
  <w:footnote w:id="5">
    <w:p w14:paraId="4946ED52" w14:textId="77777777" w:rsidR="00092396" w:rsidRPr="002838C3" w:rsidRDefault="00092396" w:rsidP="00092396">
      <w:pPr>
        <w:pStyle w:val="FootnoteText"/>
        <w:rPr>
          <w:sz w:val="26"/>
          <w:szCs w:val="26"/>
        </w:rPr>
      </w:pPr>
      <w:r w:rsidRPr="00F30D96">
        <w:rPr>
          <w:rStyle w:val="FootnoteReference"/>
          <w:sz w:val="22"/>
          <w:szCs w:val="22"/>
        </w:rPr>
        <w:footnoteRef/>
      </w:r>
      <w:r w:rsidRPr="00F30D96">
        <w:rPr>
          <w:sz w:val="22"/>
          <w:szCs w:val="22"/>
        </w:rPr>
        <w:t xml:space="preserve"> </w:t>
      </w:r>
      <w:r>
        <w:rPr>
          <w:sz w:val="26"/>
          <w:szCs w:val="26"/>
        </w:rPr>
        <w:t>Commission staff thinks</w:t>
      </w:r>
      <w:r w:rsidRPr="002838C3">
        <w:rPr>
          <w:sz w:val="26"/>
          <w:szCs w:val="26"/>
        </w:rPr>
        <w:t xml:space="preserve"> that respondents to this collection are similarly compensated in terms of salary and benefits.</w:t>
      </w:r>
      <w:r w:rsidRPr="00723906">
        <w:rPr>
          <w:sz w:val="26"/>
          <w:szCs w:val="26"/>
        </w:rPr>
        <w:t xml:space="preserve"> </w:t>
      </w:r>
      <w:r w:rsidRPr="002838C3">
        <w:rPr>
          <w:sz w:val="26"/>
          <w:szCs w:val="26"/>
        </w:rPr>
        <w:t xml:space="preserve">$76.50/hour is the average FERC employee </w:t>
      </w:r>
      <w:r>
        <w:rPr>
          <w:sz w:val="26"/>
          <w:szCs w:val="26"/>
        </w:rPr>
        <w:t xml:space="preserve">hourly </w:t>
      </w:r>
      <w:r w:rsidRPr="002838C3">
        <w:rPr>
          <w:sz w:val="26"/>
          <w:szCs w:val="26"/>
        </w:rPr>
        <w:t>salary plus benefits</w:t>
      </w:r>
      <w:r>
        <w:rPr>
          <w:sz w:val="26"/>
          <w:szCs w:val="26"/>
        </w:rPr>
        <w:t xml:space="preserve"> for 2017</w:t>
      </w:r>
      <w:r w:rsidRPr="002838C3">
        <w:rPr>
          <w:sz w:val="26"/>
          <w:szCs w:val="26"/>
        </w:rPr>
        <w:t>.</w:t>
      </w:r>
    </w:p>
  </w:footnote>
  <w:footnote w:id="6">
    <w:p w14:paraId="410B476B" w14:textId="77001D57" w:rsidR="005D5B95" w:rsidRPr="00092396" w:rsidRDefault="005D5B95" w:rsidP="005D5B95">
      <w:pPr>
        <w:pStyle w:val="FootnoteText"/>
        <w:rPr>
          <w:sz w:val="26"/>
          <w:szCs w:val="26"/>
        </w:rPr>
      </w:pPr>
      <w:r w:rsidRPr="00F30D96">
        <w:rPr>
          <w:rStyle w:val="FootnoteReference"/>
          <w:sz w:val="22"/>
          <w:szCs w:val="22"/>
        </w:rPr>
        <w:footnoteRef/>
      </w:r>
      <w:r w:rsidRPr="00F30D96">
        <w:rPr>
          <w:sz w:val="22"/>
          <w:szCs w:val="22"/>
        </w:rPr>
        <w:t xml:space="preserve"> </w:t>
      </w:r>
      <w:r w:rsidRPr="00092396">
        <w:rPr>
          <w:sz w:val="26"/>
          <w:szCs w:val="26"/>
        </w:rPr>
        <w:t>Based upon 201</w:t>
      </w:r>
      <w:r w:rsidR="00542937" w:rsidRPr="00092396">
        <w:rPr>
          <w:sz w:val="26"/>
          <w:szCs w:val="26"/>
        </w:rPr>
        <w:t>7</w:t>
      </w:r>
      <w:r w:rsidRPr="00092396">
        <w:rPr>
          <w:sz w:val="26"/>
          <w:szCs w:val="26"/>
        </w:rPr>
        <w:t xml:space="preserve"> </w:t>
      </w:r>
      <w:r w:rsidR="00801648">
        <w:rPr>
          <w:sz w:val="26"/>
          <w:szCs w:val="26"/>
        </w:rPr>
        <w:t>FERC</w:t>
      </w:r>
      <w:r w:rsidR="00801648" w:rsidRPr="00092396">
        <w:rPr>
          <w:sz w:val="26"/>
          <w:szCs w:val="26"/>
        </w:rPr>
        <w:t xml:space="preserve"> </w:t>
      </w:r>
      <w:r w:rsidRPr="00092396">
        <w:rPr>
          <w:sz w:val="26"/>
          <w:szCs w:val="26"/>
        </w:rPr>
        <w:t xml:space="preserve">average </w:t>
      </w:r>
      <w:r w:rsidR="00801648">
        <w:rPr>
          <w:sz w:val="26"/>
          <w:szCs w:val="26"/>
        </w:rPr>
        <w:t xml:space="preserve">annual </w:t>
      </w:r>
      <w:r w:rsidRPr="00092396">
        <w:rPr>
          <w:sz w:val="26"/>
          <w:szCs w:val="26"/>
        </w:rPr>
        <w:t>salary plus benefits ($1</w:t>
      </w:r>
      <w:r w:rsidR="005D2364" w:rsidRPr="00092396">
        <w:rPr>
          <w:sz w:val="26"/>
          <w:szCs w:val="26"/>
        </w:rPr>
        <w:t>58,754</w:t>
      </w:r>
      <w:r w:rsidRPr="00092396">
        <w:rPr>
          <w:sz w:val="26"/>
          <w:szCs w:val="26"/>
        </w:rPr>
        <w:t>)</w:t>
      </w:r>
    </w:p>
  </w:footnote>
  <w:footnote w:id="7">
    <w:p w14:paraId="68BFAB89" w14:textId="77777777" w:rsidR="005D5B95" w:rsidRPr="00092396" w:rsidRDefault="005D5B95" w:rsidP="005D5B95">
      <w:pPr>
        <w:pStyle w:val="FootnoteText"/>
        <w:rPr>
          <w:sz w:val="26"/>
          <w:szCs w:val="26"/>
        </w:rPr>
      </w:pPr>
      <w:r w:rsidRPr="00F30D96">
        <w:rPr>
          <w:rStyle w:val="FootnoteReference"/>
          <w:sz w:val="22"/>
          <w:szCs w:val="22"/>
        </w:rPr>
        <w:footnoteRef/>
      </w:r>
      <w:r>
        <w:t xml:space="preserve"> </w:t>
      </w:r>
      <w:r w:rsidRPr="00092396">
        <w:rPr>
          <w:sz w:val="26"/>
          <w:szCs w:val="26"/>
        </w:rPr>
        <w:t>Paperwork Reduction Act of 1995</w:t>
      </w:r>
    </w:p>
  </w:footnote>
  <w:footnote w:id="8">
    <w:p w14:paraId="02D8C55D" w14:textId="2F684778" w:rsidR="008E00CC" w:rsidRPr="008E00CC" w:rsidRDefault="005D5B95" w:rsidP="008E00CC">
      <w:pPr>
        <w:pStyle w:val="FootnoteText"/>
        <w:rPr>
          <w:sz w:val="26"/>
          <w:szCs w:val="26"/>
          <w:vertAlign w:val="superscript"/>
        </w:rPr>
      </w:pPr>
      <w:r w:rsidRPr="00F30D96">
        <w:rPr>
          <w:rStyle w:val="FootnoteReference"/>
          <w:sz w:val="22"/>
          <w:szCs w:val="22"/>
        </w:rPr>
        <w:footnoteRef/>
      </w:r>
      <w:r w:rsidRPr="00F30D96">
        <w:rPr>
          <w:sz w:val="22"/>
          <w:szCs w:val="22"/>
        </w:rPr>
        <w:t xml:space="preserve"> </w:t>
      </w:r>
      <w:r w:rsidR="008E00CC" w:rsidRPr="008E00CC">
        <w:rPr>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1C24948B" w14:textId="33C9FB92" w:rsidR="005D5B95" w:rsidRPr="00092396" w:rsidRDefault="005D5B95" w:rsidP="005D5B95">
      <w:pPr>
        <w:pStyle w:val="FootnoteText"/>
        <w:rPr>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7B790" w14:textId="77777777" w:rsidR="00EF2ABA" w:rsidRDefault="00212648">
    <w:pPr>
      <w:pStyle w:val="Header"/>
      <w:rPr>
        <w:rFonts w:ascii="Times New Roman" w:hAnsi="Times New Roman" w:cs="Times New Roman"/>
        <w:sz w:val="24"/>
        <w:szCs w:val="24"/>
      </w:rPr>
    </w:pPr>
    <w:r>
      <w:rPr>
        <w:rFonts w:ascii="Times New Roman" w:hAnsi="Times New Roman" w:cs="Times New Roman"/>
        <w:sz w:val="24"/>
        <w:szCs w:val="24"/>
      </w:rPr>
      <w:t>FERC-521, Payments for Benefits from Headwater Improvements</w:t>
    </w:r>
  </w:p>
  <w:p w14:paraId="26BA0D32" w14:textId="77777777" w:rsidR="00EF2ABA" w:rsidRDefault="00212648">
    <w:pPr>
      <w:pStyle w:val="Header"/>
    </w:pPr>
    <w:r>
      <w:rPr>
        <w:rFonts w:ascii="Times New Roman" w:hAnsi="Times New Roman" w:cs="Times New Roman"/>
        <w:sz w:val="24"/>
        <w:szCs w:val="24"/>
      </w:rPr>
      <w:t>OMB Control No: 1902-0087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15317"/>
    <w:multiLevelType w:val="hybridMultilevel"/>
    <w:tmpl w:val="9F84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95"/>
    <w:rsid w:val="00071969"/>
    <w:rsid w:val="00092396"/>
    <w:rsid w:val="00093B80"/>
    <w:rsid w:val="000E62AF"/>
    <w:rsid w:val="000F40D2"/>
    <w:rsid w:val="00127E12"/>
    <w:rsid w:val="00173CA3"/>
    <w:rsid w:val="001C44B3"/>
    <w:rsid w:val="001C4D17"/>
    <w:rsid w:val="001C522E"/>
    <w:rsid w:val="001C719C"/>
    <w:rsid w:val="00212648"/>
    <w:rsid w:val="002522B3"/>
    <w:rsid w:val="002A6E9C"/>
    <w:rsid w:val="002E44CC"/>
    <w:rsid w:val="00396F95"/>
    <w:rsid w:val="00465818"/>
    <w:rsid w:val="004C2E9D"/>
    <w:rsid w:val="004E07F7"/>
    <w:rsid w:val="004E43EE"/>
    <w:rsid w:val="00501FFC"/>
    <w:rsid w:val="00513702"/>
    <w:rsid w:val="005245C6"/>
    <w:rsid w:val="00542937"/>
    <w:rsid w:val="00564324"/>
    <w:rsid w:val="005A41D3"/>
    <w:rsid w:val="005D2364"/>
    <w:rsid w:val="005D5B95"/>
    <w:rsid w:val="00610A60"/>
    <w:rsid w:val="00650A76"/>
    <w:rsid w:val="00677D81"/>
    <w:rsid w:val="00681082"/>
    <w:rsid w:val="00697975"/>
    <w:rsid w:val="006F2E26"/>
    <w:rsid w:val="007A3197"/>
    <w:rsid w:val="007E2D75"/>
    <w:rsid w:val="007F791D"/>
    <w:rsid w:val="00801648"/>
    <w:rsid w:val="008A5770"/>
    <w:rsid w:val="008E00CC"/>
    <w:rsid w:val="009018B5"/>
    <w:rsid w:val="00915327"/>
    <w:rsid w:val="00951915"/>
    <w:rsid w:val="00984418"/>
    <w:rsid w:val="00A84BA2"/>
    <w:rsid w:val="00B93E7D"/>
    <w:rsid w:val="00BA4A4A"/>
    <w:rsid w:val="00BE0A73"/>
    <w:rsid w:val="00C33342"/>
    <w:rsid w:val="00CA4566"/>
    <w:rsid w:val="00CD6521"/>
    <w:rsid w:val="00E23A17"/>
    <w:rsid w:val="00E71434"/>
    <w:rsid w:val="00EB7F52"/>
    <w:rsid w:val="00F30D96"/>
    <w:rsid w:val="00F36D2E"/>
    <w:rsid w:val="00F55B4A"/>
    <w:rsid w:val="00F67FD5"/>
    <w:rsid w:val="00FA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CF496"/>
  <w15:chartTrackingRefBased/>
  <w15:docId w15:val="{0D8B3FE0-749A-416D-B1C3-3F2D9E11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B95"/>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95"/>
  </w:style>
  <w:style w:type="paragraph" w:styleId="Footer">
    <w:name w:val="footer"/>
    <w:basedOn w:val="Normal"/>
    <w:link w:val="FooterChar"/>
    <w:uiPriority w:val="99"/>
    <w:unhideWhenUsed/>
    <w:rsid w:val="005D5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95"/>
  </w:style>
  <w:style w:type="paragraph" w:styleId="ListParagraph">
    <w:name w:val="List Paragraph"/>
    <w:basedOn w:val="Normal"/>
    <w:uiPriority w:val="34"/>
    <w:qFormat/>
    <w:rsid w:val="005D5B9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rsid w:val="005D5B9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5D5B9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5D5B95"/>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semiHidden/>
    <w:rsid w:val="005D5B9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D5B95"/>
    <w:rPr>
      <w:color w:val="0000FF"/>
      <w:u w:val="single"/>
    </w:rPr>
  </w:style>
  <w:style w:type="paragraph" w:styleId="BalloonText">
    <w:name w:val="Balloon Text"/>
    <w:basedOn w:val="Normal"/>
    <w:link w:val="BalloonTextChar"/>
    <w:uiPriority w:val="99"/>
    <w:semiHidden/>
    <w:unhideWhenUsed/>
    <w:rsid w:val="00071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69"/>
    <w:rPr>
      <w:rFonts w:ascii="Segoe UI" w:hAnsi="Segoe UI" w:cs="Segoe UI"/>
      <w:sz w:val="18"/>
      <w:szCs w:val="18"/>
    </w:rPr>
  </w:style>
  <w:style w:type="paragraph" w:styleId="EndnoteText">
    <w:name w:val="endnote text"/>
    <w:basedOn w:val="Normal"/>
    <w:link w:val="EndnoteTextChar"/>
    <w:uiPriority w:val="99"/>
    <w:semiHidden/>
    <w:unhideWhenUsed/>
    <w:rsid w:val="000923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2396"/>
    <w:rPr>
      <w:sz w:val="20"/>
      <w:szCs w:val="20"/>
    </w:rPr>
  </w:style>
  <w:style w:type="character" w:styleId="EndnoteReference">
    <w:name w:val="endnote reference"/>
    <w:basedOn w:val="DefaultParagraphFont"/>
    <w:uiPriority w:val="99"/>
    <w:semiHidden/>
    <w:unhideWhenUsed/>
    <w:rsid w:val="00092396"/>
    <w:rPr>
      <w:vertAlign w:val="superscript"/>
    </w:rPr>
  </w:style>
  <w:style w:type="character" w:styleId="CommentReference">
    <w:name w:val="annotation reference"/>
    <w:basedOn w:val="DefaultParagraphFont"/>
    <w:uiPriority w:val="99"/>
    <w:semiHidden/>
    <w:unhideWhenUsed/>
    <w:rsid w:val="00FA6D75"/>
    <w:rPr>
      <w:sz w:val="16"/>
      <w:szCs w:val="16"/>
    </w:rPr>
  </w:style>
  <w:style w:type="paragraph" w:styleId="CommentText">
    <w:name w:val="annotation text"/>
    <w:basedOn w:val="Normal"/>
    <w:link w:val="CommentTextChar"/>
    <w:uiPriority w:val="99"/>
    <w:semiHidden/>
    <w:unhideWhenUsed/>
    <w:rsid w:val="00FA6D75"/>
    <w:pPr>
      <w:spacing w:line="240" w:lineRule="auto"/>
    </w:pPr>
    <w:rPr>
      <w:sz w:val="20"/>
      <w:szCs w:val="20"/>
    </w:rPr>
  </w:style>
  <w:style w:type="character" w:customStyle="1" w:styleId="CommentTextChar">
    <w:name w:val="Comment Text Char"/>
    <w:basedOn w:val="DefaultParagraphFont"/>
    <w:link w:val="CommentText"/>
    <w:uiPriority w:val="99"/>
    <w:semiHidden/>
    <w:rsid w:val="00FA6D75"/>
    <w:rPr>
      <w:sz w:val="20"/>
      <w:szCs w:val="20"/>
    </w:rPr>
  </w:style>
  <w:style w:type="paragraph" w:styleId="CommentSubject">
    <w:name w:val="annotation subject"/>
    <w:basedOn w:val="CommentText"/>
    <w:next w:val="CommentText"/>
    <w:link w:val="CommentSubjectChar"/>
    <w:uiPriority w:val="99"/>
    <w:semiHidden/>
    <w:unhideWhenUsed/>
    <w:rsid w:val="00FA6D75"/>
    <w:rPr>
      <w:b/>
      <w:bCs/>
    </w:rPr>
  </w:style>
  <w:style w:type="character" w:customStyle="1" w:styleId="CommentSubjectChar">
    <w:name w:val="Comment Subject Char"/>
    <w:basedOn w:val="CommentTextChar"/>
    <w:link w:val="CommentSubject"/>
    <w:uiPriority w:val="99"/>
    <w:semiHidden/>
    <w:rsid w:val="00FA6D75"/>
    <w:rPr>
      <w:b/>
      <w:bCs/>
      <w:sz w:val="20"/>
      <w:szCs w:val="20"/>
    </w:rPr>
  </w:style>
  <w:style w:type="paragraph" w:styleId="Revision">
    <w:name w:val="Revision"/>
    <w:hidden/>
    <w:uiPriority w:val="99"/>
    <w:semiHidden/>
    <w:rsid w:val="00CD6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7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docs-filing/efiling/filing.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521</_x0031__x002e__x0020_Collection_x0020_Number>
    <Date xmlns="d6eefc7d-9817-4fa6-84d5-3bc009be21b8">2017-06-05T00:00:00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IC17-4</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C33B-1499-41A6-A47D-AA07920269FF}">
  <ds:schemaRefs>
    <ds:schemaRef ds:uri="http://schemas.microsoft.com/office/2006/metadata/customXsn"/>
  </ds:schemaRefs>
</ds:datastoreItem>
</file>

<file path=customXml/itemProps2.xml><?xml version="1.0" encoding="utf-8"?>
<ds:datastoreItem xmlns:ds="http://schemas.openxmlformats.org/officeDocument/2006/customXml" ds:itemID="{7F8E6D8B-91E7-4468-8638-CF6ED8815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0BB6D-8007-421B-97FF-EFFC4F114DA6}">
  <ds:schemaRefs>
    <ds:schemaRef ds:uri="http://purl.org/dc/dcmitype/"/>
    <ds:schemaRef ds:uri="http://purl.org/dc/terms/"/>
    <ds:schemaRef ds:uri="http://www.w3.org/XML/1998/namespace"/>
    <ds:schemaRef ds:uri="d6eefc7d-9817-4fa6-84d5-3bc009be21b8"/>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BC8BA91-D497-4663-9319-E96CF456A669}">
  <ds:schemaRefs>
    <ds:schemaRef ds:uri="http://schemas.microsoft.com/sharepoint/v3/contenttype/forms"/>
  </ds:schemaRefs>
</ds:datastoreItem>
</file>

<file path=customXml/itemProps5.xml><?xml version="1.0" encoding="utf-8"?>
<ds:datastoreItem xmlns:ds="http://schemas.openxmlformats.org/officeDocument/2006/customXml" ds:itemID="{45463EC4-2D99-4C27-B558-12140CCE43DC}">
  <ds:schemaRefs>
    <ds:schemaRef ds:uri="Microsoft.SharePoint.Taxonomy.ContentTypeSync"/>
  </ds:schemaRefs>
</ds:datastoreItem>
</file>

<file path=customXml/itemProps6.xml><?xml version="1.0" encoding="utf-8"?>
<ds:datastoreItem xmlns:ds="http://schemas.openxmlformats.org/officeDocument/2006/customXml" ds:itemID="{860E87A3-F099-4494-8188-04AE9744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2017-06-05T12:45:00Z</dcterms:created>
  <dcterms:modified xsi:type="dcterms:W3CDTF">2017-06-05T12:45:00Z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