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DB12BB" w:rsidRPr="00DB12BB" w14:paraId="7B721677" w14:textId="77777777" w:rsidTr="00DB12BB">
        <w:trPr>
          <w:tblCellSpacing w:w="15" w:type="dxa"/>
          <w:jc w:val="center"/>
        </w:trPr>
        <w:tc>
          <w:tcPr>
            <w:tcW w:w="0" w:type="auto"/>
            <w:hideMark/>
          </w:tcPr>
          <w:p w14:paraId="42E8E3A5" w14:textId="77777777" w:rsidR="00DB12BB" w:rsidRPr="00DB12BB" w:rsidRDefault="00DB12BB" w:rsidP="00DB12BB">
            <w:pPr>
              <w:jc w:val="center"/>
              <w:rPr>
                <w:b/>
                <w:bCs/>
              </w:rPr>
            </w:pPr>
            <w:r w:rsidRPr="00DB12BB">
              <w:rPr>
                <w:b/>
                <w:bCs/>
                <w:color w:val="FF0000"/>
              </w:rPr>
              <w:t>e-CFR data is current as of April 19, 2017</w:t>
            </w:r>
          </w:p>
        </w:tc>
      </w:tr>
    </w:tbl>
    <w:p w14:paraId="62D4D827" w14:textId="77777777" w:rsidR="00DB12BB" w:rsidRPr="00DB12BB" w:rsidRDefault="00DB12BB" w:rsidP="00DB12BB">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91"/>
      </w:tblGrid>
      <w:tr w:rsidR="00DB12BB" w:rsidRPr="00DB12BB" w14:paraId="2E55A553" w14:textId="77777777" w:rsidTr="00DB12BB">
        <w:trPr>
          <w:tblCellSpacing w:w="15" w:type="dxa"/>
          <w:jc w:val="center"/>
        </w:trPr>
        <w:tc>
          <w:tcPr>
            <w:tcW w:w="0" w:type="auto"/>
            <w:hideMark/>
          </w:tcPr>
          <w:p w14:paraId="1A753300" w14:textId="77777777" w:rsidR="00DB12BB" w:rsidRPr="00DB12BB" w:rsidRDefault="00DB12BB" w:rsidP="00DB12BB">
            <w:hyperlink r:id="rId9" w:history="1">
              <w:r w:rsidRPr="00DB12BB">
                <w:rPr>
                  <w:rStyle w:val="Hyperlink"/>
                </w:rPr>
                <w:t>Title 18</w:t>
              </w:r>
            </w:hyperlink>
            <w:r w:rsidRPr="00DB12BB">
              <w:t xml:space="preserve"> → </w:t>
            </w:r>
            <w:hyperlink r:id="rId10" w:history="1">
              <w:r w:rsidRPr="00DB12BB">
                <w:rPr>
                  <w:rStyle w:val="Hyperlink"/>
                </w:rPr>
                <w:t>Chapter I</w:t>
              </w:r>
            </w:hyperlink>
            <w:r w:rsidRPr="00DB12BB">
              <w:t xml:space="preserve"> → </w:t>
            </w:r>
            <w:hyperlink r:id="rId11" w:history="1">
              <w:r w:rsidRPr="00DB12BB">
                <w:rPr>
                  <w:rStyle w:val="Hyperlink"/>
                </w:rPr>
                <w:t>Subchapter B</w:t>
              </w:r>
            </w:hyperlink>
            <w:r w:rsidRPr="00DB12BB">
              <w:t xml:space="preserve"> → Part 6</w:t>
            </w:r>
          </w:p>
          <w:p w14:paraId="1D3250E2" w14:textId="77777777" w:rsidR="00DB12BB" w:rsidRPr="00DB12BB" w:rsidRDefault="00DB12BB" w:rsidP="00DB12BB">
            <w:r w:rsidRPr="00DB12BB">
              <w:pict w14:anchorId="6C1AD052">
                <v:rect id="_x0000_i1085" style="width:0;height:1.5pt" o:hralign="center" o:hrstd="t" o:hrnoshade="t" o:hr="t" fillcolor="black" stroked="f"/>
              </w:pict>
            </w:r>
          </w:p>
        </w:tc>
      </w:tr>
    </w:tbl>
    <w:p w14:paraId="26B435F9" w14:textId="77777777" w:rsidR="00DB12BB" w:rsidRPr="00DB12BB" w:rsidRDefault="00DB12BB" w:rsidP="00DB12BB">
      <w:r w:rsidRPr="00DB12BB">
        <w:t xml:space="preserve">Title 18: Conservation of Power and Water Resources </w:t>
      </w:r>
    </w:p>
    <w:p w14:paraId="6A875C9C" w14:textId="77777777" w:rsidR="00DB12BB" w:rsidRPr="00DB12BB" w:rsidRDefault="00DB12BB" w:rsidP="00DB12BB">
      <w:r w:rsidRPr="00DB12BB">
        <w:pict w14:anchorId="5BB6C768">
          <v:rect id="_x0000_i1086" style="width:0;height:1.5pt" o:hralign="center" o:hrstd="t" o:hr="t" fillcolor="#a0a0a0" stroked="f"/>
        </w:pict>
      </w:r>
    </w:p>
    <w:p w14:paraId="65F8ADA1" w14:textId="77777777" w:rsidR="00DB12BB" w:rsidRPr="00DB12BB" w:rsidRDefault="00DB12BB" w:rsidP="00DB12BB">
      <w:pPr>
        <w:rPr>
          <w:b/>
          <w:bCs/>
        </w:rPr>
      </w:pPr>
      <w:bookmarkStart w:id="0" w:name="_top"/>
      <w:bookmarkEnd w:id="0"/>
      <w:r w:rsidRPr="00DB12BB">
        <w:rPr>
          <w:b/>
          <w:bCs/>
        </w:rPr>
        <w:t>PART 6—SURRENDER OR TERMINATION OF LICENSE</w:t>
      </w:r>
    </w:p>
    <w:p w14:paraId="1029D4FB" w14:textId="77777777" w:rsidR="00DB12BB" w:rsidRPr="00DB12BB" w:rsidRDefault="00DB12BB" w:rsidP="00DB12BB">
      <w:r w:rsidRPr="00DB12BB">
        <w:pict w14:anchorId="0E0CD719">
          <v:rect id="_x0000_i1087" style="width:0;height:1.5pt" o:hralign="center" o:hrstd="t" o:hr="t" fillcolor="#a0a0a0" stroked="f"/>
        </w:pict>
      </w:r>
    </w:p>
    <w:p w14:paraId="2FDC4C58" w14:textId="77777777" w:rsidR="00DB12BB" w:rsidRDefault="00DB12BB" w:rsidP="00DB12BB">
      <w:r w:rsidRPr="00DB12BB">
        <w:rPr>
          <w:b/>
          <w:bCs/>
        </w:rPr>
        <w:t>Contents</w:t>
      </w:r>
      <w:r w:rsidRPr="00DB12BB">
        <w:br/>
      </w:r>
      <w:hyperlink r:id="rId12" w:anchor="se18.1.6_11" w:history="1">
        <w:r w:rsidRPr="00DB12BB">
          <w:rPr>
            <w:rStyle w:val="Hyperlink"/>
          </w:rPr>
          <w:t>§6.1   Application for surrender.</w:t>
        </w:r>
      </w:hyperlink>
      <w:r w:rsidRPr="00DB12BB">
        <w:br/>
      </w:r>
      <w:hyperlink r:id="rId13" w:anchor="se18.1.6_12" w:history="1">
        <w:r w:rsidRPr="00DB12BB">
          <w:rPr>
            <w:rStyle w:val="Hyperlink"/>
          </w:rPr>
          <w:t>§6.2   Surrender of license.</w:t>
        </w:r>
      </w:hyperlink>
      <w:r w:rsidRPr="00DB12BB">
        <w:br/>
      </w:r>
      <w:hyperlink r:id="rId14" w:anchor="se18.1.6_13" w:history="1">
        <w:r w:rsidRPr="00DB12BB">
          <w:rPr>
            <w:rStyle w:val="Hyperlink"/>
          </w:rPr>
          <w:t>§6.3   Termination of license.</w:t>
        </w:r>
      </w:hyperlink>
      <w:r w:rsidRPr="00DB12BB">
        <w:br/>
      </w:r>
      <w:hyperlink r:id="rId15" w:anchor="se18.1.6_14" w:history="1">
        <w:r w:rsidRPr="00DB12BB">
          <w:rPr>
            <w:rStyle w:val="Hyperlink"/>
          </w:rPr>
          <w:t>§6.4   Termination by implied surrender.</w:t>
        </w:r>
      </w:hyperlink>
      <w:r w:rsidRPr="00DB12BB">
        <w:br/>
      </w:r>
      <w:hyperlink r:id="rId16" w:anchor="se18.1.6_15" w:history="1">
        <w:r>
          <w:rPr>
            <w:rStyle w:val="Hyperlink"/>
          </w:rPr>
          <w:t>….</w:t>
        </w:r>
      </w:hyperlink>
    </w:p>
    <w:p w14:paraId="3169976C" w14:textId="77777777" w:rsidR="00DB12BB" w:rsidRPr="00DB12BB" w:rsidRDefault="00DB12BB" w:rsidP="00DB12BB">
      <w:bookmarkStart w:id="1" w:name="_GoBack"/>
      <w:bookmarkEnd w:id="1"/>
      <w:r w:rsidRPr="00DB12BB">
        <w:pict w14:anchorId="1DA4864B">
          <v:rect id="_x0000_i1088" style="width:0;height:1.5pt" o:hralign="center" o:hrstd="t" o:hr="t" fillcolor="#a0a0a0" stroked="f"/>
        </w:pict>
      </w:r>
    </w:p>
    <w:p w14:paraId="3AE2E0B4" w14:textId="77777777" w:rsidR="00DB12BB" w:rsidRPr="00DB12BB" w:rsidRDefault="00DB12BB" w:rsidP="00DB12BB">
      <w:r w:rsidRPr="00DB12BB">
        <w:t>Authority: Secs. 6, 10(</w:t>
      </w:r>
      <w:proofErr w:type="spellStart"/>
      <w:r w:rsidRPr="00DB12BB">
        <w:t>i</w:t>
      </w:r>
      <w:proofErr w:type="spellEnd"/>
      <w:r w:rsidRPr="00DB12BB">
        <w:t>), 13, 41 Stat. 1067, 1068, 1071, as amended, sec. 309, 49 Stat. 858; 16 U.S.C. 799, 803(</w:t>
      </w:r>
      <w:proofErr w:type="spellStart"/>
      <w:r w:rsidRPr="00DB12BB">
        <w:t>i</w:t>
      </w:r>
      <w:proofErr w:type="spellEnd"/>
      <w:r w:rsidRPr="00DB12BB">
        <w:t xml:space="preserve">), 806, 825h; Pub. L. 96-511, 94 Stat. 2812 (44 U.S.C. 3501 </w:t>
      </w:r>
      <w:r w:rsidRPr="00DB12BB">
        <w:rPr>
          <w:i/>
          <w:iCs/>
        </w:rPr>
        <w:t>et seq.</w:t>
      </w:r>
      <w:r w:rsidRPr="00DB12BB">
        <w:t xml:space="preserve">), unless otherwise noted. </w:t>
      </w:r>
    </w:p>
    <w:p w14:paraId="2CD32465" w14:textId="77777777" w:rsidR="00DB12BB" w:rsidRPr="00DB12BB" w:rsidRDefault="00DB12BB" w:rsidP="00DB12BB">
      <w:pPr>
        <w:rPr>
          <w:b/>
          <w:bCs/>
        </w:rPr>
      </w:pPr>
      <w:bookmarkStart w:id="2" w:name="se18.1.6_11"/>
      <w:bookmarkEnd w:id="2"/>
      <w:r w:rsidRPr="00DB12BB">
        <w:rPr>
          <w:b/>
          <w:bCs/>
        </w:rPr>
        <w:t>§6.1   Application for surrender.</w:t>
      </w:r>
    </w:p>
    <w:p w14:paraId="3B2809B6" w14:textId="77777777" w:rsidR="00DB12BB" w:rsidRPr="00DB12BB" w:rsidRDefault="00DB12BB" w:rsidP="00DB12BB">
      <w:r w:rsidRPr="00DB12BB">
        <w:t>Every application for surrender of a license shall state the reason therefor; and, except in the case of an application for surrender of a license for a minor project, or for a transmission line only, shall be executed by the licensee and filed in the same form and manner as the application for license, and shall be accompanied by the license and all amendments thereof. Public notice of such application shall be given at least 30 days prior to action upon the application.</w:t>
      </w:r>
    </w:p>
    <w:p w14:paraId="0A096EDA" w14:textId="77777777" w:rsidR="00DB12BB" w:rsidRPr="00DB12BB" w:rsidRDefault="00DB12BB" w:rsidP="00DB12BB">
      <w:r w:rsidRPr="00DB12BB">
        <w:t>(Secs. 308 and 309; 49 Stat. 858, 859 (16 U.S.C. 825g, 825h))</w:t>
      </w:r>
    </w:p>
    <w:p w14:paraId="26EE4B9B" w14:textId="77777777" w:rsidR="00DB12BB" w:rsidRPr="00DB12BB" w:rsidRDefault="00DB12BB" w:rsidP="00DB12BB">
      <w:r w:rsidRPr="00DB12BB">
        <w:t xml:space="preserve">[Order 570, 42 FR 40191, Aug. 9, 1977] </w:t>
      </w:r>
    </w:p>
    <w:p w14:paraId="1ED74BCF" w14:textId="77777777" w:rsidR="00DB12BB" w:rsidRPr="00DB12BB" w:rsidRDefault="00DB12BB" w:rsidP="00DB12BB">
      <w:r w:rsidRPr="00DB12BB">
        <w:t xml:space="preserve">Cross References: For application for license, general provisions, see §§4.30 to 4.33, inclusive, of this chapter. For application for license for proposed major project or minor part thereof, see §§4.40 to 4.41, inclusive, of this chapter. For application for license for constructed major project or minor part thereof, see §§4.50 and 4.51 of this chapter. </w:t>
      </w:r>
    </w:p>
    <w:p w14:paraId="4483F727" w14:textId="77777777" w:rsidR="00DB12BB" w:rsidRPr="00DB12BB" w:rsidRDefault="00DB12BB" w:rsidP="00DB12BB">
      <w:pPr>
        <w:rPr>
          <w:b/>
          <w:bCs/>
        </w:rPr>
      </w:pPr>
      <w:bookmarkStart w:id="3" w:name="se18.1.6_12"/>
      <w:bookmarkEnd w:id="3"/>
      <w:r w:rsidRPr="00DB12BB">
        <w:rPr>
          <w:b/>
          <w:bCs/>
        </w:rPr>
        <w:t>§6.2   Surrender of license.</w:t>
      </w:r>
    </w:p>
    <w:p w14:paraId="15AD5A6D" w14:textId="77777777" w:rsidR="00DB12BB" w:rsidRPr="00DB12BB" w:rsidRDefault="00DB12BB" w:rsidP="00DB12BB">
      <w:r w:rsidRPr="00DB12BB">
        <w:t xml:space="preserve">Licenses may be surrendered only upon the fulfillment by the licensee of such obligations under the license as the Commission may prescribe, and, if the project works authorized under the license have been constructed in whole or in part, upon such conditions with respect to the disposition of such works as may be determined by the Commission. Where project works have been constructed on lands of the United States the licensee will be required to restore the lands to a condition satisfactory to the </w:t>
      </w:r>
      <w:r w:rsidRPr="00DB12BB">
        <w:lastRenderedPageBreak/>
        <w:t xml:space="preserve">Department having supervision over such lands and annual charges will continue until such restoration has been satisfactorily completed. </w:t>
      </w:r>
    </w:p>
    <w:p w14:paraId="3672D779" w14:textId="77777777" w:rsidR="00DB12BB" w:rsidRPr="00DB12BB" w:rsidRDefault="00DB12BB" w:rsidP="00DB12BB">
      <w:r w:rsidRPr="00DB12BB">
        <w:t xml:space="preserve">[Order 175, 19 FR 5217, Aug. 18, 1954] </w:t>
      </w:r>
    </w:p>
    <w:p w14:paraId="6EC1088F" w14:textId="77777777" w:rsidR="00DB12BB" w:rsidRPr="00DB12BB" w:rsidRDefault="00DB12BB" w:rsidP="00DB12BB">
      <w:pPr>
        <w:rPr>
          <w:b/>
          <w:bCs/>
        </w:rPr>
      </w:pPr>
      <w:bookmarkStart w:id="4" w:name="se18.1.6_13"/>
      <w:bookmarkEnd w:id="4"/>
      <w:r w:rsidRPr="00DB12BB">
        <w:rPr>
          <w:b/>
          <w:bCs/>
        </w:rPr>
        <w:t>§6.3   Termination of license.</w:t>
      </w:r>
    </w:p>
    <w:p w14:paraId="7E723A5A" w14:textId="77777777" w:rsidR="00DB12BB" w:rsidRPr="00DB12BB" w:rsidRDefault="00DB12BB" w:rsidP="00DB12BB">
      <w:r w:rsidRPr="00DB12BB">
        <w:t>Licenses may be terminated by written order of the Commission not less than 90 days after notice thereof shall have been mailed to the licensee by certified mail to the last address whereof the Commission has been notified by the licensee, if there is failure to commence actual construction of the project works within the time prescribed in the license, or as extended by the Commission. Upon like notice, the authority granted under a license with respect to any separable part of the project works may be terminated if there is failure to begin construction of such separable part within the time prescribed or as extended by the Commission.</w:t>
      </w:r>
    </w:p>
    <w:p w14:paraId="7F3577D1" w14:textId="77777777" w:rsidR="00DB12BB" w:rsidRPr="00DB12BB" w:rsidRDefault="00DB12BB" w:rsidP="00DB12BB">
      <w:r w:rsidRPr="00DB12BB">
        <w:t>(Administrative Procedure Act, 5 U.S.C. 551-557 (1976); Federal Power Act, as amended, 16 U.S.C. 291-628 (1976 &amp; Supp. V 1981), Dept. of Energy Organization Act 42 U.S.C. 7101-7352 (Supp. V 1981); E.O. 12009, 3 CFR 142 (1978))</w:t>
      </w:r>
    </w:p>
    <w:p w14:paraId="41428722" w14:textId="77777777" w:rsidR="00DB12BB" w:rsidRPr="00DB12BB" w:rsidRDefault="00DB12BB" w:rsidP="00DB12BB">
      <w:r w:rsidRPr="00DB12BB">
        <w:t xml:space="preserve">[Order 141, 12 FR 8491, Dec. 19, 1947, as amended by Order 344, 48 FR 49010, </w:t>
      </w:r>
      <w:proofErr w:type="gramStart"/>
      <w:r w:rsidRPr="00DB12BB">
        <w:t>Oct</w:t>
      </w:r>
      <w:proofErr w:type="gramEnd"/>
      <w:r w:rsidRPr="00DB12BB">
        <w:t>. 24, 1983]</w:t>
      </w:r>
    </w:p>
    <w:p w14:paraId="30470715" w14:textId="77777777" w:rsidR="00DB12BB" w:rsidRPr="00DB12BB" w:rsidRDefault="00DB12BB" w:rsidP="00DB12BB">
      <w:pPr>
        <w:rPr>
          <w:b/>
          <w:bCs/>
        </w:rPr>
      </w:pPr>
      <w:bookmarkStart w:id="5" w:name="se18.1.6_14"/>
      <w:bookmarkEnd w:id="5"/>
      <w:r w:rsidRPr="00DB12BB">
        <w:rPr>
          <w:b/>
          <w:bCs/>
        </w:rPr>
        <w:t>§6.4   Termination by implied surrender.</w:t>
      </w:r>
    </w:p>
    <w:p w14:paraId="2FE78167" w14:textId="77777777" w:rsidR="00DB12BB" w:rsidRPr="00DB12BB" w:rsidRDefault="00DB12BB" w:rsidP="00DB12BB">
      <w:r w:rsidRPr="00DB12BB">
        <w:t>If any licensee holding a license subject to the provisions of section 10(</w:t>
      </w:r>
      <w:proofErr w:type="spellStart"/>
      <w:r w:rsidRPr="00DB12BB">
        <w:t>i</w:t>
      </w:r>
      <w:proofErr w:type="spellEnd"/>
      <w:r w:rsidRPr="00DB12BB">
        <w:t>) of the Act shall cause or suffer essential project property to be removed or destroyed, or become unfit for use, without replacement, or shall abandon, or shall discontinue good faith operation of the project for a period of three years, the Commission will deem it to be the intent of the licensee to surrender the license; and not less than 90 days after public notice may in its discretion terminate the license.</w:t>
      </w:r>
    </w:p>
    <w:p w14:paraId="5F5C1EEA" w14:textId="77777777" w:rsidR="00B5031D" w:rsidRDefault="00DB12BB" w:rsidP="00DB12BB">
      <w:r w:rsidRPr="00DB12BB">
        <w:t>[Order 141, 12 FR 8491, Dec. 19, 1947]</w:t>
      </w:r>
    </w:p>
    <w:sectPr w:rsidR="00B50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2BB"/>
    <w:rsid w:val="00B5031D"/>
    <w:rsid w:val="00DB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9F83"/>
  <w15:chartTrackingRefBased/>
  <w15:docId w15:val="{6D7A7181-4D95-4B68-9792-29A3C28A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12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02715">
      <w:bodyDiv w:val="1"/>
      <w:marLeft w:val="0"/>
      <w:marRight w:val="0"/>
      <w:marTop w:val="30"/>
      <w:marBottom w:val="750"/>
      <w:divBdr>
        <w:top w:val="none" w:sz="0" w:space="0" w:color="auto"/>
        <w:left w:val="none" w:sz="0" w:space="0" w:color="auto"/>
        <w:bottom w:val="none" w:sz="0" w:space="0" w:color="auto"/>
        <w:right w:val="none" w:sz="0" w:space="0" w:color="auto"/>
      </w:divBdr>
      <w:divsChild>
        <w:div w:id="1258710245">
          <w:marLeft w:val="0"/>
          <w:marRight w:val="0"/>
          <w:marTop w:val="0"/>
          <w:marBottom w:val="0"/>
          <w:divBdr>
            <w:top w:val="none" w:sz="0" w:space="0" w:color="auto"/>
            <w:left w:val="none" w:sz="0" w:space="0" w:color="auto"/>
            <w:bottom w:val="none" w:sz="0" w:space="0" w:color="auto"/>
            <w:right w:val="none" w:sz="0" w:space="0" w:color="auto"/>
          </w:divBdr>
          <w:divsChild>
            <w:div w:id="1616715894">
              <w:marLeft w:val="0"/>
              <w:marRight w:val="0"/>
              <w:marTop w:val="0"/>
              <w:marBottom w:val="0"/>
              <w:divBdr>
                <w:top w:val="none" w:sz="0" w:space="0" w:color="auto"/>
                <w:left w:val="none" w:sz="0" w:space="0" w:color="auto"/>
                <w:bottom w:val="none" w:sz="0" w:space="0" w:color="auto"/>
                <w:right w:val="none" w:sz="0" w:space="0" w:color="auto"/>
              </w:divBdr>
            </w:div>
            <w:div w:id="1696535166">
              <w:marLeft w:val="0"/>
              <w:marRight w:val="0"/>
              <w:marTop w:val="0"/>
              <w:marBottom w:val="0"/>
              <w:divBdr>
                <w:top w:val="none" w:sz="0" w:space="0" w:color="auto"/>
                <w:left w:val="none" w:sz="0" w:space="0" w:color="auto"/>
                <w:bottom w:val="none" w:sz="0" w:space="0" w:color="auto"/>
                <w:right w:val="none" w:sz="0" w:space="0" w:color="auto"/>
              </w:divBdr>
            </w:div>
            <w:div w:id="2112165103">
              <w:marLeft w:val="0"/>
              <w:marRight w:val="0"/>
              <w:marTop w:val="0"/>
              <w:marBottom w:val="0"/>
              <w:divBdr>
                <w:top w:val="none" w:sz="0" w:space="0" w:color="auto"/>
                <w:left w:val="none" w:sz="0" w:space="0" w:color="auto"/>
                <w:bottom w:val="none" w:sz="0" w:space="0" w:color="auto"/>
                <w:right w:val="none" w:sz="0" w:space="0" w:color="auto"/>
              </w:divBdr>
            </w:div>
            <w:div w:id="319041768">
              <w:marLeft w:val="0"/>
              <w:marRight w:val="0"/>
              <w:marTop w:val="0"/>
              <w:marBottom w:val="0"/>
              <w:divBdr>
                <w:top w:val="none" w:sz="0" w:space="0" w:color="auto"/>
                <w:left w:val="none" w:sz="0" w:space="0" w:color="auto"/>
                <w:bottom w:val="none" w:sz="0" w:space="0" w:color="auto"/>
                <w:right w:val="none" w:sz="0" w:space="0" w:color="auto"/>
              </w:divBdr>
            </w:div>
            <w:div w:id="120436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32728">
      <w:bodyDiv w:val="1"/>
      <w:marLeft w:val="0"/>
      <w:marRight w:val="0"/>
      <w:marTop w:val="30"/>
      <w:marBottom w:val="750"/>
      <w:divBdr>
        <w:top w:val="none" w:sz="0" w:space="0" w:color="auto"/>
        <w:left w:val="none" w:sz="0" w:space="0" w:color="auto"/>
        <w:bottom w:val="none" w:sz="0" w:space="0" w:color="auto"/>
        <w:right w:val="none" w:sz="0" w:space="0" w:color="auto"/>
      </w:divBdr>
      <w:divsChild>
        <w:div w:id="1795908839">
          <w:marLeft w:val="0"/>
          <w:marRight w:val="0"/>
          <w:marTop w:val="0"/>
          <w:marBottom w:val="0"/>
          <w:divBdr>
            <w:top w:val="none" w:sz="0" w:space="0" w:color="auto"/>
            <w:left w:val="none" w:sz="0" w:space="0" w:color="auto"/>
            <w:bottom w:val="none" w:sz="0" w:space="0" w:color="auto"/>
            <w:right w:val="none" w:sz="0" w:space="0" w:color="auto"/>
          </w:divBdr>
          <w:divsChild>
            <w:div w:id="229577770">
              <w:marLeft w:val="0"/>
              <w:marRight w:val="0"/>
              <w:marTop w:val="0"/>
              <w:marBottom w:val="0"/>
              <w:divBdr>
                <w:top w:val="none" w:sz="0" w:space="0" w:color="auto"/>
                <w:left w:val="none" w:sz="0" w:space="0" w:color="auto"/>
                <w:bottom w:val="none" w:sz="0" w:space="0" w:color="auto"/>
                <w:right w:val="none" w:sz="0" w:space="0" w:color="auto"/>
              </w:divBdr>
            </w:div>
            <w:div w:id="556362571">
              <w:marLeft w:val="0"/>
              <w:marRight w:val="0"/>
              <w:marTop w:val="0"/>
              <w:marBottom w:val="0"/>
              <w:divBdr>
                <w:top w:val="none" w:sz="0" w:space="0" w:color="auto"/>
                <w:left w:val="none" w:sz="0" w:space="0" w:color="auto"/>
                <w:bottom w:val="none" w:sz="0" w:space="0" w:color="auto"/>
                <w:right w:val="none" w:sz="0" w:space="0" w:color="auto"/>
              </w:divBdr>
            </w:div>
            <w:div w:id="885025999">
              <w:marLeft w:val="0"/>
              <w:marRight w:val="0"/>
              <w:marTop w:val="0"/>
              <w:marBottom w:val="0"/>
              <w:divBdr>
                <w:top w:val="none" w:sz="0" w:space="0" w:color="auto"/>
                <w:left w:val="none" w:sz="0" w:space="0" w:color="auto"/>
                <w:bottom w:val="none" w:sz="0" w:space="0" w:color="auto"/>
                <w:right w:val="none" w:sz="0" w:space="0" w:color="auto"/>
              </w:divBdr>
            </w:div>
            <w:div w:id="1571379756">
              <w:marLeft w:val="0"/>
              <w:marRight w:val="0"/>
              <w:marTop w:val="0"/>
              <w:marBottom w:val="0"/>
              <w:divBdr>
                <w:top w:val="none" w:sz="0" w:space="0" w:color="auto"/>
                <w:left w:val="none" w:sz="0" w:space="0" w:color="auto"/>
                <w:bottom w:val="none" w:sz="0" w:space="0" w:color="auto"/>
                <w:right w:val="none" w:sz="0" w:space="0" w:color="auto"/>
              </w:divBdr>
            </w:div>
            <w:div w:id="207588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gi-bin/text-idx?SID=c9bd971a0ba260001168f4a7783a829c&amp;mc=true&amp;node=pt18.1.6&amp;rgn=div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gi-bin/text-idx?SID=c9bd971a0ba260001168f4a7783a829c&amp;mc=true&amp;node=pt18.1.6&amp;rgn=div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cfr.gov/cgi-bin/text-idx?SID=c9bd971a0ba260001168f4a7783a829c&amp;mc=true&amp;node=pt18.1.6&amp;rgn=div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gp=&amp;SID=c9bd971a0ba260001168f4a7783a829c&amp;mc=true&amp;tpl=/ecfrbrowse/Title18/18CIsubchapB.tpl" TargetMode="External"/><Relationship Id="rId5" Type="http://schemas.openxmlformats.org/officeDocument/2006/relationships/customXml" Target="../customXml/item5.xml"/><Relationship Id="rId15" Type="http://schemas.openxmlformats.org/officeDocument/2006/relationships/hyperlink" Target="https://www.ecfr.gov/cgi-bin/text-idx?SID=c9bd971a0ba260001168f4a7783a829c&amp;mc=true&amp;node=pt18.1.6&amp;rgn=div5" TargetMode="External"/><Relationship Id="rId10" Type="http://schemas.openxmlformats.org/officeDocument/2006/relationships/hyperlink" Target="https://www.ecfr.gov/cgi-bin/text-idx?gp=&amp;SID=c9bd971a0ba260001168f4a7783a829c&amp;mc=true&amp;tpl=/ecfrbrowse/Title18/18chapterI.tpl" TargetMode="External"/><Relationship Id="rId4" Type="http://schemas.openxmlformats.org/officeDocument/2006/relationships/customXml" Target="../customXml/item4.xml"/><Relationship Id="rId9" Type="http://schemas.openxmlformats.org/officeDocument/2006/relationships/hyperlink" Target="https://www.ecfr.gov/cgi-bin/text-idx?gp=&amp;SID=c9bd971a0ba260001168f4a7783a829c&amp;mc=true&amp;tpl=/ecfrbrowse/Title18/18tab_02.tpl" TargetMode="External"/><Relationship Id="rId14" Type="http://schemas.openxmlformats.org/officeDocument/2006/relationships/hyperlink" Target="https://www.ecfr.gov/cgi-bin/text-idx?SID=c9bd971a0ba260001168f4a7783a829c&amp;mc=true&amp;node=pt18.1.6&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Supporting Information</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510</_x0031__x002e__x0020_Collection_x0020_Number>
    <Date xmlns="d6eefc7d-9817-4fa6-84d5-3bc009be21b8">2017-04-21T00:00:00-04:00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IC17-9</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DF8AC96D-38BF-4747-AF09-94135A0B3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868941-1B61-4249-9ED3-36739C0A29CD}">
  <ds:schemaRefs>
    <ds:schemaRef ds:uri="http://schemas.microsoft.com/office/2006/metadata/customXsn"/>
  </ds:schemaRefs>
</ds:datastoreItem>
</file>

<file path=customXml/itemProps3.xml><?xml version="1.0" encoding="utf-8"?>
<ds:datastoreItem xmlns:ds="http://schemas.openxmlformats.org/officeDocument/2006/customXml" ds:itemID="{D6F4C0ED-60CB-4434-ABBD-F2D0E9FAB824}">
  <ds:schemaRefs>
    <ds:schemaRef ds:uri="Microsoft.SharePoint.Taxonomy.ContentTypeSync"/>
  </ds:schemaRefs>
</ds:datastoreItem>
</file>

<file path=customXml/itemProps4.xml><?xml version="1.0" encoding="utf-8"?>
<ds:datastoreItem xmlns:ds="http://schemas.openxmlformats.org/officeDocument/2006/customXml" ds:itemID="{A0F139D3-AD30-48DE-B650-671C10878C71}">
  <ds:schemaRefs>
    <ds:schemaRef ds:uri="http://schemas.microsoft.com/sharepoint/v3/contenttype/forms"/>
  </ds:schemaRefs>
</ds:datastoreItem>
</file>

<file path=customXml/itemProps5.xml><?xml version="1.0" encoding="utf-8"?>
<ds:datastoreItem xmlns:ds="http://schemas.openxmlformats.org/officeDocument/2006/customXml" ds:itemID="{6D40208E-E1DD-4C6B-BEF7-45DFF2F8C3CD}">
  <ds:schemaRefs>
    <ds:schemaRef ds:uri="http://purl.org/dc/elements/1.1/"/>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 ds:uri="d6eefc7d-9817-4fa6-84d5-3bc009be21b8"/>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2</cp:revision>
  <dcterms:created xsi:type="dcterms:W3CDTF">2017-04-21T13:15:00Z</dcterms:created>
  <dcterms:modified xsi:type="dcterms:W3CDTF">2017-04-21T13:18:00Z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