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621C4" w14:textId="77777777" w:rsidR="00772335" w:rsidRPr="00772335" w:rsidRDefault="00772335" w:rsidP="00772335">
      <w:pPr>
        <w:spacing w:before="200" w:after="100" w:afterAutospacing="1" w:line="240" w:lineRule="auto"/>
        <w:rPr>
          <w:rFonts w:ascii="Arial" w:eastAsia="Times New Roman" w:hAnsi="Arial" w:cs="Arial"/>
          <w:b/>
          <w:color w:val="FF0000"/>
          <w:sz w:val="20"/>
          <w:szCs w:val="20"/>
        </w:rPr>
      </w:pPr>
      <w:proofErr w:type="gramStart"/>
      <w:r w:rsidRPr="00772335">
        <w:rPr>
          <w:rFonts w:ascii="Arial" w:eastAsia="Times New Roman" w:hAnsi="Arial" w:cs="Arial"/>
          <w:b/>
          <w:color w:val="FF0000"/>
          <w:sz w:val="20"/>
          <w:szCs w:val="20"/>
        </w:rPr>
        <w:t>e-CFR</w:t>
      </w:r>
      <w:proofErr w:type="gramEnd"/>
      <w:r w:rsidRPr="00772335">
        <w:rPr>
          <w:rFonts w:ascii="Arial" w:eastAsia="Times New Roman" w:hAnsi="Arial" w:cs="Arial"/>
          <w:b/>
          <w:color w:val="FF0000"/>
          <w:sz w:val="20"/>
          <w:szCs w:val="20"/>
        </w:rPr>
        <w:t xml:space="preserve"> data is current as of April 19, 2017</w:t>
      </w:r>
    </w:p>
    <w:p w14:paraId="177A537E" w14:textId="77777777" w:rsidR="00772335" w:rsidRPr="00772335" w:rsidRDefault="00772335" w:rsidP="00772335">
      <w:pPr>
        <w:spacing w:before="200" w:after="100" w:afterAutospacing="1" w:line="240" w:lineRule="auto"/>
        <w:rPr>
          <w:rFonts w:ascii="Arial" w:eastAsia="Times New Roman" w:hAnsi="Arial" w:cs="Arial"/>
          <w:sz w:val="20"/>
          <w:szCs w:val="20"/>
        </w:rPr>
      </w:pPr>
      <w:r w:rsidRPr="00772335">
        <w:rPr>
          <w:rFonts w:ascii="Arial" w:eastAsia="Times New Roman" w:hAnsi="Arial" w:cs="Arial"/>
          <w:sz w:val="20"/>
          <w:szCs w:val="20"/>
        </w:rPr>
        <w:t xml:space="preserve">Title 18: Conservation of Power and Water Resources </w:t>
      </w:r>
    </w:p>
    <w:p w14:paraId="4AE1C2D8" w14:textId="77777777" w:rsidR="00772335" w:rsidRPr="00772335" w:rsidRDefault="00772335" w:rsidP="00772335">
      <w:pPr>
        <w:spacing w:after="0" w:line="240" w:lineRule="auto"/>
        <w:rPr>
          <w:rFonts w:ascii="Arial" w:eastAsia="Times New Roman" w:hAnsi="Arial" w:cs="Arial"/>
          <w:sz w:val="20"/>
          <w:szCs w:val="20"/>
        </w:rPr>
      </w:pPr>
      <w:r w:rsidRPr="00772335">
        <w:rPr>
          <w:rFonts w:ascii="Arial" w:eastAsia="Times New Roman" w:hAnsi="Arial" w:cs="Arial"/>
          <w:sz w:val="20"/>
          <w:szCs w:val="20"/>
        </w:rPr>
        <w:pict w14:anchorId="27F5AA1D">
          <v:rect id="_x0000_i1025" style="width:0;height:1.5pt" o:hrstd="t" o:hr="t" fillcolor="#a0a0a0" stroked="f"/>
        </w:pict>
      </w:r>
    </w:p>
    <w:p w14:paraId="51FCA98A"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0" w:name="_top"/>
      <w:bookmarkEnd w:id="0"/>
      <w:r w:rsidRPr="00772335">
        <w:rPr>
          <w:rFonts w:ascii="Arial" w:eastAsia="Times New Roman" w:hAnsi="Arial" w:cs="Arial"/>
          <w:b/>
          <w:bCs/>
          <w:sz w:val="20"/>
          <w:szCs w:val="20"/>
        </w:rPr>
        <w:t xml:space="preserve">PART 11—ANNUAL CHARGES UNDER PART I OF THE FEDERAL POWER ACT </w:t>
      </w:r>
    </w:p>
    <w:p w14:paraId="65010180" w14:textId="77777777" w:rsidR="00772335" w:rsidRPr="00772335" w:rsidRDefault="00772335" w:rsidP="00772335">
      <w:pPr>
        <w:spacing w:after="0" w:line="240" w:lineRule="auto"/>
        <w:rPr>
          <w:rFonts w:ascii="Arial" w:eastAsia="Times New Roman" w:hAnsi="Arial" w:cs="Arial"/>
          <w:sz w:val="20"/>
          <w:szCs w:val="20"/>
        </w:rPr>
      </w:pPr>
      <w:r w:rsidRPr="00772335">
        <w:rPr>
          <w:rFonts w:ascii="Arial" w:eastAsia="Times New Roman" w:hAnsi="Arial" w:cs="Arial"/>
          <w:sz w:val="20"/>
          <w:szCs w:val="20"/>
        </w:rPr>
        <w:pict w14:anchorId="168BED09">
          <v:rect id="_x0000_i1026" style="width:0;height:1.5pt" o:hrstd="t" o:hr="t" fillcolor="#a0a0a0" stroked="f"/>
        </w:pict>
      </w:r>
    </w:p>
    <w:p w14:paraId="72A37AB1" w14:textId="77777777" w:rsidR="00772335" w:rsidRPr="00772335" w:rsidRDefault="00772335" w:rsidP="00772335">
      <w:pPr>
        <w:spacing w:after="0" w:line="240" w:lineRule="auto"/>
        <w:rPr>
          <w:rFonts w:ascii="Arial" w:eastAsia="Times New Roman" w:hAnsi="Arial" w:cs="Arial"/>
          <w:sz w:val="20"/>
          <w:szCs w:val="20"/>
        </w:rPr>
      </w:pPr>
      <w:r w:rsidRPr="00772335">
        <w:rPr>
          <w:rFonts w:ascii="Arial" w:eastAsia="Times New Roman" w:hAnsi="Arial" w:cs="Arial"/>
          <w:b/>
          <w:bCs/>
          <w:sz w:val="20"/>
          <w:szCs w:val="20"/>
        </w:rPr>
        <w:t>Contents</w:t>
      </w:r>
    </w:p>
    <w:p w14:paraId="04A6C76C" w14:textId="77777777" w:rsidR="00772335" w:rsidRPr="00772335" w:rsidRDefault="00772335" w:rsidP="00772335">
      <w:pPr>
        <w:spacing w:after="100" w:afterAutospacing="1" w:line="240" w:lineRule="auto"/>
        <w:rPr>
          <w:rFonts w:ascii="Arial" w:eastAsia="Times New Roman" w:hAnsi="Arial" w:cs="Arial"/>
          <w:b/>
          <w:bCs/>
          <w:sz w:val="20"/>
          <w:szCs w:val="20"/>
        </w:rPr>
      </w:pPr>
      <w:hyperlink r:id="rId9" w:anchor="sp18.1.11.a" w:history="1">
        <w:r w:rsidRPr="00772335">
          <w:rPr>
            <w:rFonts w:ascii="Arial" w:eastAsia="Times New Roman" w:hAnsi="Arial" w:cs="Arial"/>
            <w:b/>
            <w:bCs/>
            <w:color w:val="0000FF"/>
            <w:sz w:val="17"/>
            <w:szCs w:val="17"/>
          </w:rPr>
          <w:t xml:space="preserve">Subpart </w:t>
        </w:r>
        <w:proofErr w:type="gramStart"/>
        <w:r w:rsidRPr="00772335">
          <w:rPr>
            <w:rFonts w:ascii="Arial" w:eastAsia="Times New Roman" w:hAnsi="Arial" w:cs="Arial"/>
            <w:b/>
            <w:bCs/>
            <w:color w:val="0000FF"/>
            <w:sz w:val="17"/>
            <w:szCs w:val="17"/>
          </w:rPr>
          <w:t>A—</w:t>
        </w:r>
        <w:proofErr w:type="gramEnd"/>
        <w:r w:rsidRPr="00772335">
          <w:rPr>
            <w:rFonts w:ascii="Arial" w:eastAsia="Times New Roman" w:hAnsi="Arial" w:cs="Arial"/>
            <w:b/>
            <w:bCs/>
            <w:color w:val="0000FF"/>
            <w:sz w:val="17"/>
            <w:szCs w:val="17"/>
          </w:rPr>
          <w:t>Charges for Costs of Administration, Use of Tribal Lands and Other Government Lands, and Use of Government Dams</w:t>
        </w:r>
      </w:hyperlink>
    </w:p>
    <w:p w14:paraId="0D3D3C1A" w14:textId="77777777" w:rsidR="00772335" w:rsidRPr="00772335" w:rsidRDefault="00772335" w:rsidP="00772335">
      <w:pPr>
        <w:spacing w:after="0" w:line="240" w:lineRule="auto"/>
        <w:rPr>
          <w:rFonts w:ascii="Arial" w:eastAsia="Times New Roman" w:hAnsi="Arial" w:cs="Arial"/>
          <w:sz w:val="20"/>
          <w:szCs w:val="20"/>
        </w:rPr>
      </w:pPr>
      <w:hyperlink r:id="rId10" w:anchor="se18.1.11_11" w:history="1">
        <w:r w:rsidRPr="00772335">
          <w:rPr>
            <w:rFonts w:ascii="Arial" w:eastAsia="Times New Roman" w:hAnsi="Arial" w:cs="Arial"/>
            <w:color w:val="0000FF"/>
            <w:sz w:val="17"/>
            <w:szCs w:val="17"/>
          </w:rPr>
          <w:t>§11.1   Costs of administration.</w:t>
        </w:r>
      </w:hyperlink>
      <w:r w:rsidRPr="00772335">
        <w:rPr>
          <w:rFonts w:ascii="Arial" w:eastAsia="Times New Roman" w:hAnsi="Arial" w:cs="Arial"/>
          <w:sz w:val="20"/>
          <w:szCs w:val="20"/>
        </w:rPr>
        <w:br/>
      </w:r>
      <w:hyperlink r:id="rId11" w:anchor="se18.1.11_12" w:history="1">
        <w:r w:rsidRPr="00772335">
          <w:rPr>
            <w:rFonts w:ascii="Arial" w:eastAsia="Times New Roman" w:hAnsi="Arial" w:cs="Arial"/>
            <w:color w:val="0000FF"/>
            <w:sz w:val="17"/>
            <w:szCs w:val="17"/>
          </w:rPr>
          <w:t>§11.2   Use of government lands.</w:t>
        </w:r>
      </w:hyperlink>
      <w:r w:rsidRPr="00772335">
        <w:rPr>
          <w:rFonts w:ascii="Arial" w:eastAsia="Times New Roman" w:hAnsi="Arial" w:cs="Arial"/>
          <w:sz w:val="20"/>
          <w:szCs w:val="20"/>
        </w:rPr>
        <w:br/>
      </w:r>
      <w:hyperlink r:id="rId12" w:anchor="se18.1.11_13" w:history="1">
        <w:r w:rsidRPr="00772335">
          <w:rPr>
            <w:rFonts w:ascii="Arial" w:eastAsia="Times New Roman" w:hAnsi="Arial" w:cs="Arial"/>
            <w:color w:val="0000FF"/>
            <w:sz w:val="17"/>
            <w:szCs w:val="17"/>
          </w:rPr>
          <w:t>§11.3   Use of government dams, excluding pumped storage projects.</w:t>
        </w:r>
      </w:hyperlink>
      <w:r w:rsidRPr="00772335">
        <w:rPr>
          <w:rFonts w:ascii="Arial" w:eastAsia="Times New Roman" w:hAnsi="Arial" w:cs="Arial"/>
          <w:sz w:val="20"/>
          <w:szCs w:val="20"/>
        </w:rPr>
        <w:br/>
      </w:r>
      <w:hyperlink r:id="rId13" w:anchor="se18.1.11_14" w:history="1">
        <w:r w:rsidRPr="00772335">
          <w:rPr>
            <w:rFonts w:ascii="Arial" w:eastAsia="Times New Roman" w:hAnsi="Arial" w:cs="Arial"/>
            <w:color w:val="0000FF"/>
            <w:sz w:val="17"/>
            <w:szCs w:val="17"/>
          </w:rPr>
          <w:t>§11.4   Use of government dams for pumped storage projects, and use of tribal lands.</w:t>
        </w:r>
      </w:hyperlink>
      <w:r w:rsidRPr="00772335">
        <w:rPr>
          <w:rFonts w:ascii="Arial" w:eastAsia="Times New Roman" w:hAnsi="Arial" w:cs="Arial"/>
          <w:sz w:val="20"/>
          <w:szCs w:val="20"/>
        </w:rPr>
        <w:br/>
      </w:r>
      <w:hyperlink r:id="rId14" w:anchor="se18.1.11_15" w:history="1">
        <w:r w:rsidRPr="00772335">
          <w:rPr>
            <w:rFonts w:ascii="Arial" w:eastAsia="Times New Roman" w:hAnsi="Arial" w:cs="Arial"/>
            <w:color w:val="0000FF"/>
            <w:sz w:val="17"/>
            <w:szCs w:val="17"/>
          </w:rPr>
          <w:t>§11.5   Exemption of minor projects.</w:t>
        </w:r>
      </w:hyperlink>
      <w:r w:rsidRPr="00772335">
        <w:rPr>
          <w:rFonts w:ascii="Arial" w:eastAsia="Times New Roman" w:hAnsi="Arial" w:cs="Arial"/>
          <w:sz w:val="20"/>
          <w:szCs w:val="20"/>
        </w:rPr>
        <w:br/>
      </w:r>
      <w:hyperlink r:id="rId15" w:anchor="se18.1.11_16" w:history="1">
        <w:r w:rsidRPr="00772335">
          <w:rPr>
            <w:rFonts w:ascii="Arial" w:eastAsia="Times New Roman" w:hAnsi="Arial" w:cs="Arial"/>
            <w:color w:val="0000FF"/>
            <w:sz w:val="17"/>
            <w:szCs w:val="17"/>
          </w:rPr>
          <w:t>§11.6   Exemption of State and municipal licensees and exemptees.</w:t>
        </w:r>
      </w:hyperlink>
      <w:r w:rsidRPr="00772335">
        <w:rPr>
          <w:rFonts w:ascii="Arial" w:eastAsia="Times New Roman" w:hAnsi="Arial" w:cs="Arial"/>
          <w:sz w:val="20"/>
          <w:szCs w:val="20"/>
        </w:rPr>
        <w:br/>
      </w:r>
      <w:hyperlink r:id="rId16" w:anchor="se18.1.11_17" w:history="1">
        <w:r w:rsidRPr="00772335">
          <w:rPr>
            <w:rFonts w:ascii="Arial" w:eastAsia="Times New Roman" w:hAnsi="Arial" w:cs="Arial"/>
            <w:color w:val="0000FF"/>
            <w:sz w:val="17"/>
            <w:szCs w:val="17"/>
          </w:rPr>
          <w:t>§11.7   Effective date.</w:t>
        </w:r>
      </w:hyperlink>
      <w:r w:rsidRPr="00772335">
        <w:rPr>
          <w:rFonts w:ascii="Arial" w:eastAsia="Times New Roman" w:hAnsi="Arial" w:cs="Arial"/>
          <w:sz w:val="20"/>
          <w:szCs w:val="20"/>
        </w:rPr>
        <w:br/>
      </w:r>
      <w:hyperlink r:id="rId17" w:anchor="se18.1.11_18" w:history="1">
        <w:r w:rsidRPr="00772335">
          <w:rPr>
            <w:rFonts w:ascii="Arial" w:eastAsia="Times New Roman" w:hAnsi="Arial" w:cs="Arial"/>
            <w:color w:val="0000FF"/>
            <w:sz w:val="17"/>
            <w:szCs w:val="17"/>
          </w:rPr>
          <w:t>§11.8   Adjustment of annual charges.</w:t>
        </w:r>
      </w:hyperlink>
    </w:p>
    <w:p w14:paraId="013757F6" w14:textId="77777777" w:rsidR="00772335" w:rsidRPr="00772335" w:rsidRDefault="00772335" w:rsidP="00772335">
      <w:pPr>
        <w:spacing w:after="100" w:afterAutospacing="1" w:line="240" w:lineRule="auto"/>
        <w:rPr>
          <w:rFonts w:ascii="Arial" w:eastAsia="Times New Roman" w:hAnsi="Arial" w:cs="Arial"/>
          <w:b/>
          <w:bCs/>
          <w:sz w:val="20"/>
          <w:szCs w:val="20"/>
        </w:rPr>
      </w:pPr>
      <w:hyperlink r:id="rId18" w:anchor="sp18.1.11.b" w:history="1">
        <w:r w:rsidRPr="00772335">
          <w:rPr>
            <w:rFonts w:ascii="Arial" w:eastAsia="Times New Roman" w:hAnsi="Arial" w:cs="Arial"/>
            <w:b/>
            <w:bCs/>
            <w:color w:val="0000FF"/>
            <w:sz w:val="17"/>
            <w:szCs w:val="17"/>
          </w:rPr>
          <w:t>Subpart B—Charges for Headwater Benefits</w:t>
        </w:r>
      </w:hyperlink>
    </w:p>
    <w:p w14:paraId="433639C8" w14:textId="77777777" w:rsidR="00772335" w:rsidRDefault="00772335" w:rsidP="00772335">
      <w:pPr>
        <w:spacing w:after="0" w:line="240" w:lineRule="auto"/>
        <w:rPr>
          <w:rFonts w:ascii="Arial" w:eastAsia="Times New Roman" w:hAnsi="Arial" w:cs="Arial"/>
          <w:sz w:val="20"/>
          <w:szCs w:val="20"/>
        </w:rPr>
      </w:pPr>
      <w:hyperlink r:id="rId19" w:anchor="se18.1.11_110" w:history="1">
        <w:r w:rsidRPr="00772335">
          <w:rPr>
            <w:rFonts w:ascii="Arial" w:eastAsia="Times New Roman" w:hAnsi="Arial" w:cs="Arial"/>
            <w:color w:val="0000FF"/>
            <w:sz w:val="17"/>
            <w:szCs w:val="17"/>
          </w:rPr>
          <w:t>§11.10   General provision; waiver and exemptions; definitions.</w:t>
        </w:r>
      </w:hyperlink>
      <w:r w:rsidRPr="00772335">
        <w:rPr>
          <w:rFonts w:ascii="Arial" w:eastAsia="Times New Roman" w:hAnsi="Arial" w:cs="Arial"/>
          <w:sz w:val="20"/>
          <w:szCs w:val="20"/>
        </w:rPr>
        <w:br/>
      </w:r>
      <w:r>
        <w:rPr>
          <w:rFonts w:ascii="Arial" w:eastAsia="Times New Roman" w:hAnsi="Arial" w:cs="Arial"/>
          <w:sz w:val="20"/>
          <w:szCs w:val="20"/>
        </w:rPr>
        <w:t>….</w:t>
      </w:r>
    </w:p>
    <w:p w14:paraId="12537717" w14:textId="77777777" w:rsidR="00772335" w:rsidRPr="00772335" w:rsidRDefault="00772335" w:rsidP="00772335">
      <w:pPr>
        <w:spacing w:after="0" w:line="240" w:lineRule="auto"/>
        <w:rPr>
          <w:rFonts w:ascii="Arial" w:eastAsia="Times New Roman" w:hAnsi="Arial" w:cs="Arial"/>
          <w:sz w:val="20"/>
          <w:szCs w:val="20"/>
        </w:rPr>
      </w:pPr>
      <w:bookmarkStart w:id="1" w:name="_GoBack"/>
      <w:bookmarkEnd w:id="1"/>
    </w:p>
    <w:p w14:paraId="270C6C99" w14:textId="77777777" w:rsidR="00772335" w:rsidRPr="00772335" w:rsidRDefault="00772335" w:rsidP="00772335">
      <w:pPr>
        <w:spacing w:after="0" w:line="240" w:lineRule="auto"/>
        <w:rPr>
          <w:rFonts w:ascii="Arial" w:eastAsia="Times New Roman" w:hAnsi="Arial" w:cs="Arial"/>
          <w:sz w:val="20"/>
          <w:szCs w:val="20"/>
        </w:rPr>
      </w:pPr>
      <w:r w:rsidRPr="00772335">
        <w:rPr>
          <w:rFonts w:ascii="Arial" w:eastAsia="Times New Roman" w:hAnsi="Arial" w:cs="Arial"/>
          <w:sz w:val="20"/>
          <w:szCs w:val="20"/>
        </w:rPr>
        <w:pict w14:anchorId="11112539">
          <v:rect id="_x0000_i1027" style="width:0;height:1.5pt" o:hrstd="t" o:hr="t" fillcolor="#a0a0a0" stroked="f"/>
        </w:pict>
      </w:r>
    </w:p>
    <w:p w14:paraId="22AEE8C0" w14:textId="77777777" w:rsidR="00772335" w:rsidRPr="00772335" w:rsidRDefault="00772335" w:rsidP="00772335">
      <w:pPr>
        <w:spacing w:before="200" w:after="100" w:afterAutospacing="1" w:line="240" w:lineRule="auto"/>
        <w:ind w:firstLine="480"/>
        <w:rPr>
          <w:rFonts w:ascii="Arial" w:eastAsia="Times New Roman" w:hAnsi="Arial" w:cs="Arial"/>
          <w:sz w:val="18"/>
          <w:szCs w:val="18"/>
        </w:rPr>
      </w:pPr>
      <w:r w:rsidRPr="00772335">
        <w:rPr>
          <w:rFonts w:ascii="Arial" w:eastAsia="Times New Roman" w:hAnsi="Arial" w:cs="Arial"/>
          <w:smallCaps/>
          <w:sz w:val="18"/>
          <w:szCs w:val="18"/>
        </w:rPr>
        <w:t>Authority:</w:t>
      </w:r>
      <w:r w:rsidRPr="00772335">
        <w:rPr>
          <w:rFonts w:ascii="Arial" w:eastAsia="Times New Roman" w:hAnsi="Arial" w:cs="Arial"/>
          <w:sz w:val="18"/>
          <w:szCs w:val="18"/>
        </w:rPr>
        <w:t xml:space="preserve"> 16 U.S.C. 792-828c; 42 U.S.C. 7101-7352. </w:t>
      </w:r>
    </w:p>
    <w:p w14:paraId="2B23C5F3" w14:textId="77777777" w:rsidR="00772335" w:rsidRPr="00772335" w:rsidRDefault="00772335" w:rsidP="00772335">
      <w:pPr>
        <w:spacing w:before="200" w:after="100" w:line="240" w:lineRule="auto"/>
        <w:outlineLvl w:val="1"/>
        <w:rPr>
          <w:rFonts w:ascii="Arial" w:eastAsia="Times New Roman" w:hAnsi="Arial" w:cs="Arial"/>
          <w:b/>
          <w:bCs/>
          <w:sz w:val="27"/>
          <w:szCs w:val="27"/>
        </w:rPr>
      </w:pPr>
      <w:bookmarkStart w:id="2" w:name="sp18.1.11.a"/>
      <w:bookmarkEnd w:id="2"/>
      <w:r w:rsidRPr="00772335">
        <w:rPr>
          <w:rFonts w:ascii="Arial" w:eastAsia="Times New Roman" w:hAnsi="Arial" w:cs="Arial"/>
          <w:b/>
          <w:bCs/>
          <w:sz w:val="27"/>
          <w:szCs w:val="27"/>
        </w:rPr>
        <w:t xml:space="preserve">Subpart </w:t>
      </w:r>
      <w:proofErr w:type="gramStart"/>
      <w:r w:rsidRPr="00772335">
        <w:rPr>
          <w:rFonts w:ascii="Arial" w:eastAsia="Times New Roman" w:hAnsi="Arial" w:cs="Arial"/>
          <w:b/>
          <w:bCs/>
          <w:sz w:val="27"/>
          <w:szCs w:val="27"/>
        </w:rPr>
        <w:t>A—</w:t>
      </w:r>
      <w:proofErr w:type="gramEnd"/>
      <w:r w:rsidRPr="00772335">
        <w:rPr>
          <w:rFonts w:ascii="Arial" w:eastAsia="Times New Roman" w:hAnsi="Arial" w:cs="Arial"/>
          <w:b/>
          <w:bCs/>
          <w:sz w:val="27"/>
          <w:szCs w:val="27"/>
        </w:rPr>
        <w:t>Charges for Costs of Administration, Use of Tribal Lands and Other Government Lands, and Use of Government Dams</w:t>
      </w:r>
    </w:p>
    <w:p w14:paraId="166DB799"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3" w:name="se18.1.11_11"/>
      <w:bookmarkEnd w:id="3"/>
      <w:r w:rsidRPr="00772335">
        <w:rPr>
          <w:rFonts w:ascii="Arial" w:eastAsia="Times New Roman" w:hAnsi="Arial" w:cs="Arial"/>
          <w:b/>
          <w:bCs/>
          <w:sz w:val="20"/>
          <w:szCs w:val="20"/>
        </w:rPr>
        <w:t>§11.1   Costs of administration.</w:t>
      </w:r>
    </w:p>
    <w:p w14:paraId="0A292487"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(a) </w:t>
      </w:r>
      <w:r w:rsidRPr="00772335">
        <w:rPr>
          <w:rFonts w:ascii="Arial" w:eastAsia="Times New Roman" w:hAnsi="Arial" w:cs="Arial"/>
          <w:i/>
          <w:iCs/>
          <w:sz w:val="20"/>
          <w:szCs w:val="20"/>
        </w:rPr>
        <w:t>Authority.</w:t>
      </w:r>
      <w:r w:rsidRPr="00772335">
        <w:rPr>
          <w:rFonts w:ascii="Arial" w:eastAsia="Times New Roman" w:hAnsi="Arial" w:cs="Arial"/>
          <w:sz w:val="20"/>
          <w:szCs w:val="20"/>
        </w:rPr>
        <w:t xml:space="preserve"> Pursuant to section 10(e) of the Federal Power Act and section 3401 of the Omnibus Budget Reconciliation Act of 1986, the Commission will assess reasonable annual charges against licensees and exemptees to reimburse the United States for the costs of administration of the Commission's hydropower regulatory program. </w:t>
      </w:r>
    </w:p>
    <w:p w14:paraId="676B0E81"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(b) </w:t>
      </w:r>
      <w:r w:rsidRPr="00772335">
        <w:rPr>
          <w:rFonts w:ascii="Arial" w:eastAsia="Times New Roman" w:hAnsi="Arial" w:cs="Arial"/>
          <w:i/>
          <w:iCs/>
          <w:sz w:val="20"/>
          <w:szCs w:val="20"/>
        </w:rPr>
        <w:t>Scope.</w:t>
      </w:r>
      <w:r w:rsidRPr="00772335">
        <w:rPr>
          <w:rFonts w:ascii="Arial" w:eastAsia="Times New Roman" w:hAnsi="Arial" w:cs="Arial"/>
          <w:sz w:val="20"/>
          <w:szCs w:val="20"/>
        </w:rPr>
        <w:t xml:space="preserve"> The annual charges under this section will be charged to and allocated among: </w:t>
      </w:r>
    </w:p>
    <w:p w14:paraId="1118654D"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 All licensees of projects of more than 1.5 megawatts of installed capacity; and </w:t>
      </w:r>
    </w:p>
    <w:p w14:paraId="6FF2E6CE"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(2) All holders of exemptions under either section 30 of the Federal Power Act or sections 405 and 408 of the Public Utility Regulatory Policies Act of 1978, as amended by section 408 of the Energy Security Act of 1980, but only if the exemption was issued subsequent to April 21, 1995 and is for a project of more than 1.5 megawatts of installed capacity. </w:t>
      </w:r>
    </w:p>
    <w:p w14:paraId="548D50A4"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(3) If the exemption for a project of more than 1.5 megawatts of installed capacity was issued subsequent to April 21, 1995 but pursuant to an application filed prior to that date, the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may credit against its annual charge any filing fee paid pursuant to §381.601 of this chapter, which was removed effective April 21, 1995, 18 CFR 381.601 (1994), until the total of all such credits equals the filing fee that was paid. </w:t>
      </w:r>
    </w:p>
    <w:p w14:paraId="4C5B7B52"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lastRenderedPageBreak/>
        <w:t xml:space="preserve">(c) </w:t>
      </w:r>
      <w:r w:rsidRPr="00772335">
        <w:rPr>
          <w:rFonts w:ascii="Arial" w:eastAsia="Times New Roman" w:hAnsi="Arial" w:cs="Arial"/>
          <w:i/>
          <w:iCs/>
          <w:sz w:val="20"/>
          <w:szCs w:val="20"/>
        </w:rPr>
        <w:t>Licenses and exemptions other than State or municipal.</w:t>
      </w:r>
      <w:r w:rsidRPr="00772335">
        <w:rPr>
          <w:rFonts w:ascii="Arial" w:eastAsia="Times New Roman" w:hAnsi="Arial" w:cs="Arial"/>
          <w:sz w:val="20"/>
          <w:szCs w:val="20"/>
        </w:rPr>
        <w:t xml:space="preserve"> For licensees and exemptees, other than State or municipal: </w:t>
      </w:r>
    </w:p>
    <w:p w14:paraId="6C96C729"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 A determination shall be made for each fiscal year of the costs of administration of Part I of the Federal Power Act chargeable to such licensees or exemptees, from which shall be deducted any administrative costs that are stated in the license or exemption or fixed by the Commission in determining headwater benefit payments. </w:t>
      </w:r>
    </w:p>
    <w:p w14:paraId="6F636FF2"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(2) For each fiscal year the costs of administration determined under paragraph (c)(1) of this section will be assessed against such licenses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in the proportion that the annual charge factor for each such project bears to the total of the annual charge factors under all such outstanding licenses and exemptions. </w:t>
      </w:r>
    </w:p>
    <w:p w14:paraId="54CA8116"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(3) The annual charge factor for each such project shall be found as follows: </w:t>
      </w:r>
    </w:p>
    <w:p w14:paraId="77C711AA"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w:t>
      </w:r>
      <w:proofErr w:type="spellStart"/>
      <w:r w:rsidRPr="00772335">
        <w:rPr>
          <w:rFonts w:ascii="Arial" w:eastAsia="Times New Roman" w:hAnsi="Arial" w:cs="Arial"/>
          <w:sz w:val="20"/>
          <w:szCs w:val="20"/>
        </w:rPr>
        <w:t>i</w:t>
      </w:r>
      <w:proofErr w:type="spellEnd"/>
      <w:r w:rsidRPr="00772335">
        <w:rPr>
          <w:rFonts w:ascii="Arial" w:eastAsia="Times New Roman" w:hAnsi="Arial" w:cs="Arial"/>
          <w:sz w:val="20"/>
          <w:szCs w:val="20"/>
        </w:rPr>
        <w:t xml:space="preserve">) For a conventional project the factor is its authorized installed capacity plus 112.5 times its annual energy output in millions of kilowatt-hours. </w:t>
      </w:r>
    </w:p>
    <w:p w14:paraId="2AFD9D72"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(ii) For a pure pumped storage project the factor is its authorized installed capacity. </w:t>
      </w:r>
    </w:p>
    <w:p w14:paraId="5E8DED76"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(iii) For a mixed conventional-pumped storage project the factor is its authorized installed capacity plus 112.5 times its gross annual energy output in millions of kilowatt-hours less 75 times the annual energy used for pumped storage pumping in </w:t>
      </w:r>
      <w:proofErr w:type="spellStart"/>
      <w:r w:rsidRPr="00772335">
        <w:rPr>
          <w:rFonts w:ascii="Arial" w:eastAsia="Times New Roman" w:hAnsi="Arial" w:cs="Arial"/>
          <w:sz w:val="20"/>
          <w:szCs w:val="20"/>
        </w:rPr>
        <w:t>million</w:t>
      </w:r>
      <w:proofErr w:type="spellEnd"/>
      <w:r w:rsidRPr="00772335">
        <w:rPr>
          <w:rFonts w:ascii="Arial" w:eastAsia="Times New Roman" w:hAnsi="Arial" w:cs="Arial"/>
          <w:sz w:val="20"/>
          <w:szCs w:val="20"/>
        </w:rPr>
        <w:t xml:space="preserve"> of kilowatt-hours. </w:t>
      </w:r>
    </w:p>
    <w:p w14:paraId="05DBB9E9"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proofErr w:type="gramStart"/>
      <w:r w:rsidRPr="00772335">
        <w:rPr>
          <w:rFonts w:ascii="Arial" w:eastAsia="Times New Roman" w:hAnsi="Arial" w:cs="Arial"/>
          <w:sz w:val="20"/>
          <w:szCs w:val="20"/>
        </w:rPr>
        <w:t>(iv) For</w:t>
      </w:r>
      <w:proofErr w:type="gramEnd"/>
      <w:r w:rsidRPr="00772335">
        <w:rPr>
          <w:rFonts w:ascii="Arial" w:eastAsia="Times New Roman" w:hAnsi="Arial" w:cs="Arial"/>
          <w:sz w:val="20"/>
          <w:szCs w:val="20"/>
        </w:rPr>
        <w:t xml:space="preserve"> purposes of determining their annual charges factor, projects that are operated pursuant to an exemption will be deemed to have an annual energy output of zero. </w:t>
      </w:r>
    </w:p>
    <w:p w14:paraId="5977E4A7"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(4) To enable the Commission to determine such charges annually, each licensee whose authorized installed capacity exceeds 1.5 megawatts must file with the Commission, on or before November 1 of each year, a statement under oath showing the gross amount of power generated (or produced by nonelectrical equipment) and the amount of power used for pumped storage pumping by the project during the preceding fiscal year, expressed in kilowatt hours. If any licensee does not report the gross energy output of its project within the time specified above, the Commission's staff will estimate the energy output and this estimate may be used in lieu of the filings required by this section made by such licensee after November 1. </w:t>
      </w:r>
    </w:p>
    <w:p w14:paraId="678BBFAB"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(5) For unconstructed projects, the assessments begin on the date by which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is required to commence project construction, or as that deadline may be extended, but in no case longer than four years after the issuance date of the license or exemption. For constructed projects, the assessments begin on the effective date of the license or exemption, except for any new capacity authorized therein. The assessments for new authorized capacity at licensed or exempted projects begin on the date by which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is required to commence construction of the new capacity. In the event that assessments begin during a fiscal year, the charges will be prorated.</w:t>
      </w:r>
    </w:p>
    <w:p w14:paraId="7744FDA0"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(d) </w:t>
      </w:r>
      <w:r w:rsidRPr="00772335">
        <w:rPr>
          <w:rFonts w:ascii="Arial" w:eastAsia="Times New Roman" w:hAnsi="Arial" w:cs="Arial"/>
          <w:i/>
          <w:iCs/>
          <w:sz w:val="20"/>
          <w:szCs w:val="20"/>
        </w:rPr>
        <w:t>State and municipal licensees and exemptees.</w:t>
      </w:r>
      <w:r w:rsidRPr="00772335">
        <w:rPr>
          <w:rFonts w:ascii="Arial" w:eastAsia="Times New Roman" w:hAnsi="Arial" w:cs="Arial"/>
          <w:sz w:val="20"/>
          <w:szCs w:val="20"/>
        </w:rPr>
        <w:t xml:space="preserve"> For State or municipal licensees and exemptees: </w:t>
      </w:r>
    </w:p>
    <w:p w14:paraId="2CC2E2A8"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 A determination shall be made for each fiscal year of the cost of administration under Part I of the Federal Power Act chargeable to such licensees and exemptees, from which shall be deducted any administrative costs that are stated in the license or exemption or that are fixed by the Commission in determining headwater benefit payments. </w:t>
      </w:r>
    </w:p>
    <w:p w14:paraId="4B7E0080"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lastRenderedPageBreak/>
        <w:t xml:space="preserve">(2) An exemption will be granted to a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to the extent, if any, to which it may be entitled under section 10(e) of the Act provided the data is submitted as requested in paragraphs (d) (4) and (5) of this section. </w:t>
      </w:r>
    </w:p>
    <w:p w14:paraId="3BE6148E"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(3) For each fiscal year the total actual cost of administration as determined under paragraph (d</w:t>
      </w:r>
      <w:proofErr w:type="gramStart"/>
      <w:r w:rsidRPr="00772335">
        <w:rPr>
          <w:rFonts w:ascii="Arial" w:eastAsia="Times New Roman" w:hAnsi="Arial" w:cs="Arial"/>
          <w:sz w:val="20"/>
          <w:szCs w:val="20"/>
        </w:rPr>
        <w:t>)(</w:t>
      </w:r>
      <w:proofErr w:type="gramEnd"/>
      <w:r w:rsidRPr="00772335">
        <w:rPr>
          <w:rFonts w:ascii="Arial" w:eastAsia="Times New Roman" w:hAnsi="Arial" w:cs="Arial"/>
          <w:sz w:val="20"/>
          <w:szCs w:val="20"/>
        </w:rPr>
        <w:t xml:space="preserve">1) of this section will be assessed against each such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(except to the extent of the exemptions granted pursuant to paragraph (d)(2) of this section) in the proportion that the authorized installed capacity of each such project bears to the total such capacity under all such outstanding licenses or exemptions. </w:t>
      </w:r>
    </w:p>
    <w:p w14:paraId="04AF4E33"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(4) To enable the Commission to compute on the bill for annual charges the exemption to which State and municipal licensees and exemptees are entitled because of the use of power by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for State or municipal purposes, each such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must file with the Commission, on or before November 1 of each year, a statement under oath showing the following information with respect to the power generated by the project and the disposition thereof during the preceding fiscal year, expressed in kilowatt-hours: </w:t>
      </w:r>
    </w:p>
    <w:p w14:paraId="5457C05C"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w:t>
      </w:r>
      <w:proofErr w:type="spellStart"/>
      <w:r w:rsidRPr="00772335">
        <w:rPr>
          <w:rFonts w:ascii="Arial" w:eastAsia="Times New Roman" w:hAnsi="Arial" w:cs="Arial"/>
          <w:sz w:val="20"/>
          <w:szCs w:val="20"/>
        </w:rPr>
        <w:t>i</w:t>
      </w:r>
      <w:proofErr w:type="spellEnd"/>
      <w:r w:rsidRPr="00772335">
        <w:rPr>
          <w:rFonts w:ascii="Arial" w:eastAsia="Times New Roman" w:hAnsi="Arial" w:cs="Arial"/>
          <w:sz w:val="20"/>
          <w:szCs w:val="20"/>
        </w:rPr>
        <w:t xml:space="preserve">) Gross amount of power generated by the project. </w:t>
      </w:r>
    </w:p>
    <w:p w14:paraId="457B6E5A"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(ii) Amount of power used for station purposes and lost in transmission, etc. </w:t>
      </w:r>
    </w:p>
    <w:p w14:paraId="2B453FDF"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(iii) Net amount of power available for sale or use by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classified as follows: </w:t>
      </w:r>
    </w:p>
    <w:p w14:paraId="1AB02B4D"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(A) Used by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w:t>
      </w:r>
    </w:p>
    <w:p w14:paraId="7379E1EA"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(B) Sold by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w:t>
      </w:r>
    </w:p>
    <w:p w14:paraId="25DCD003"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(5) When the power from a licensed or exempted project owned by a State or municipality enters into its electric system, making it impracticable to meet the requirements of this section with respect to the disposition of project power, such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may, in lieu thereof, furnish similar information with respect to the disposition of the available power of the entire electric system of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w:t>
      </w:r>
    </w:p>
    <w:p w14:paraId="2324BC43"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(6) The assessments commence on the date of commencement of project operation. In the event that project operation commences during a fiscal year, the charges will be prorated based on the date on which operation commenced. </w:t>
      </w:r>
    </w:p>
    <w:p w14:paraId="5357208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(e) </w:t>
      </w:r>
      <w:r w:rsidRPr="00772335">
        <w:rPr>
          <w:rFonts w:ascii="Arial" w:eastAsia="Times New Roman" w:hAnsi="Arial" w:cs="Arial"/>
          <w:i/>
          <w:iCs/>
          <w:sz w:val="20"/>
          <w:szCs w:val="20"/>
        </w:rPr>
        <w:t>Transmission lines.</w:t>
      </w:r>
      <w:r w:rsidRPr="00772335">
        <w:rPr>
          <w:rFonts w:ascii="Arial" w:eastAsia="Times New Roman" w:hAnsi="Arial" w:cs="Arial"/>
          <w:sz w:val="20"/>
          <w:szCs w:val="20"/>
        </w:rPr>
        <w:t xml:space="preserve"> For projects involving transmission lines only, the administrative charge will be stated in the license. </w:t>
      </w:r>
    </w:p>
    <w:p w14:paraId="50876169"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(f) </w:t>
      </w:r>
      <w:r w:rsidRPr="00772335">
        <w:rPr>
          <w:rFonts w:ascii="Arial" w:eastAsia="Times New Roman" w:hAnsi="Arial" w:cs="Arial"/>
          <w:i/>
          <w:iCs/>
          <w:sz w:val="20"/>
          <w:szCs w:val="20"/>
        </w:rPr>
        <w:t>Maximum charge.</w:t>
      </w:r>
      <w:r w:rsidRPr="00772335">
        <w:rPr>
          <w:rFonts w:ascii="Arial" w:eastAsia="Times New Roman" w:hAnsi="Arial" w:cs="Arial"/>
          <w:sz w:val="20"/>
          <w:szCs w:val="20"/>
        </w:rPr>
        <w:t xml:space="preserve"> No licensed or exempted project's annual charge may exceed a maximum charge established each year by the Commission to equal 2.0 percent of the adjusted Commission costs of administration of the hydropower regulatory program. For every project with an annual charge determined to be above the maximum charge, that project's annual charge will be set at the maximum charge, and any amount above the maximum charge will be reapportioned to the remaining projects. The reapportionment will be computed using the method outlined in paragraphs (c) and (d) of this section (but excluding any project whose annual charge is already set at the maximum amount). This procedure will be repeated until no project's annual charge exceeds the maximum charge. </w:t>
      </w:r>
    </w:p>
    <w:p w14:paraId="74B0E3D7"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(g) </w:t>
      </w:r>
      <w:r w:rsidRPr="00772335">
        <w:rPr>
          <w:rFonts w:ascii="Arial" w:eastAsia="Times New Roman" w:hAnsi="Arial" w:cs="Arial"/>
          <w:i/>
          <w:iCs/>
          <w:sz w:val="20"/>
          <w:szCs w:val="20"/>
        </w:rPr>
        <w:t>Commission's costs.</w:t>
      </w:r>
      <w:r w:rsidRPr="00772335">
        <w:rPr>
          <w:rFonts w:ascii="Arial" w:eastAsia="Times New Roman" w:hAnsi="Arial" w:cs="Arial"/>
          <w:sz w:val="20"/>
          <w:szCs w:val="20"/>
        </w:rPr>
        <w:t xml:space="preserve"> (1) With respect to costs incurred by the Commission, the assessment of annual charges will be based on an estimate of the costs of administration of Part I of the Federal Power Act that will be incurred during the fiscal year in which the annual charges are assessed. After the end of the fiscal year, the assessment will be recalculated based on the costs of administration that were </w:t>
      </w:r>
      <w:r w:rsidRPr="00772335">
        <w:rPr>
          <w:rFonts w:ascii="Arial" w:eastAsia="Times New Roman" w:hAnsi="Arial" w:cs="Arial"/>
          <w:sz w:val="20"/>
          <w:szCs w:val="20"/>
        </w:rPr>
        <w:lastRenderedPageBreak/>
        <w:t xml:space="preserve">actually incurred during that fiscal year; the actual costs will be compared to the estimated costs; and the difference between the actual and estimated costs will be carried over as an adjustment to the assessment for the subsequent fiscal year. </w:t>
      </w:r>
    </w:p>
    <w:p w14:paraId="4121A21F"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(2) The issuance of bills based on the administrative costs incurred by the Commission during the year in which the bill is issued will commence in 1993. The annual charge for the administrative costs that were incurred in fiscal year 1992 will be billed in 1994. At the licensee's option, the charge may be paid in three equal annual installments in fiscal years 1994, 1995, and 1996, plus any accrued interest. If the licensee elects the three-year installment plan, the Commission will accrue interest (at the most recent yield of two-year Treasury securities) on the unpaid charges and add the accrued interest to the installments billed in fiscal years 1995 and 1996. </w:t>
      </w:r>
    </w:p>
    <w:p w14:paraId="4255523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(h) In making their annual reports to the Commission on their costs in administering Part I of the Federal Power Act, the United States Fish and Wildlife Service and the National Marine Fisheries Service are to deduct any amounts that were deposited into their Treasury accounts during that year as reimbursements for conducting studies and reviews pursuant to section 30(e) of the Federal Power Act. </w:t>
      </w:r>
    </w:p>
    <w:p w14:paraId="5E3F9803"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w:t>
      </w:r>
      <w:proofErr w:type="spellStart"/>
      <w:r w:rsidRPr="00772335">
        <w:rPr>
          <w:rFonts w:ascii="Arial" w:eastAsia="Times New Roman" w:hAnsi="Arial" w:cs="Arial"/>
          <w:sz w:val="20"/>
          <w:szCs w:val="20"/>
        </w:rPr>
        <w:t>i</w:t>
      </w:r>
      <w:proofErr w:type="spellEnd"/>
      <w:r w:rsidRPr="00772335">
        <w:rPr>
          <w:rFonts w:ascii="Arial" w:eastAsia="Times New Roman" w:hAnsi="Arial" w:cs="Arial"/>
          <w:sz w:val="20"/>
          <w:szCs w:val="20"/>
        </w:rPr>
        <w:t xml:space="preserve">) </w:t>
      </w:r>
      <w:r w:rsidRPr="00772335">
        <w:rPr>
          <w:rFonts w:ascii="Arial" w:eastAsia="Times New Roman" w:hAnsi="Arial" w:cs="Arial"/>
          <w:i/>
          <w:iCs/>
          <w:sz w:val="20"/>
          <w:szCs w:val="20"/>
        </w:rPr>
        <w:t>Definition.</w:t>
      </w:r>
      <w:r w:rsidRPr="00772335">
        <w:rPr>
          <w:rFonts w:ascii="Arial" w:eastAsia="Times New Roman" w:hAnsi="Arial" w:cs="Arial"/>
          <w:sz w:val="20"/>
          <w:szCs w:val="20"/>
        </w:rPr>
        <w:t xml:space="preserve"> As used in paragraphs (c) and (d) of this section, </w:t>
      </w:r>
      <w:r w:rsidRPr="00772335">
        <w:rPr>
          <w:rFonts w:ascii="Arial" w:eastAsia="Times New Roman" w:hAnsi="Arial" w:cs="Arial"/>
          <w:i/>
          <w:iCs/>
          <w:sz w:val="20"/>
          <w:szCs w:val="20"/>
        </w:rPr>
        <w:t>authorized installed capacity</w:t>
      </w:r>
      <w:r w:rsidRPr="00772335">
        <w:rPr>
          <w:rFonts w:ascii="Arial" w:eastAsia="Times New Roman" w:hAnsi="Arial" w:cs="Arial"/>
          <w:sz w:val="20"/>
          <w:szCs w:val="20"/>
        </w:rPr>
        <w:t xml:space="preserve"> means the lesser of the ratings of the generator or turbine units. The rating of a generator is the product of the continuous-load capacity rating of the generator in kilovolt-amperes (kVA) and the system power factor in kW/kVA. If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does not know its power factor, a factor of 1.0 kW/kVA will be used. The rating of a turbine is the product of the turbine's capacity in horsepower (</w:t>
      </w:r>
      <w:proofErr w:type="spellStart"/>
      <w:r w:rsidRPr="00772335">
        <w:rPr>
          <w:rFonts w:ascii="Arial" w:eastAsia="Times New Roman" w:hAnsi="Arial" w:cs="Arial"/>
          <w:sz w:val="20"/>
          <w:szCs w:val="20"/>
        </w:rPr>
        <w:t>hp</w:t>
      </w:r>
      <w:proofErr w:type="spellEnd"/>
      <w:r w:rsidRPr="00772335">
        <w:rPr>
          <w:rFonts w:ascii="Arial" w:eastAsia="Times New Roman" w:hAnsi="Arial" w:cs="Arial"/>
          <w:sz w:val="20"/>
          <w:szCs w:val="20"/>
        </w:rPr>
        <w:t xml:space="preserve">) at best gate (maximum efficiency point) opening under the manufacturer's rated head times a conversion factor of 0.75 kW/hp. If the generator or turbine installed has a rating different from that authorized in the license or exemption, or the installed generator is rewound or otherwise modified to change its rating, or the turbine is modified to change its rating,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must apply to the Commission to amend its authorized installed capacity to reflect the change. </w:t>
      </w:r>
    </w:p>
    <w:p w14:paraId="48B7A659"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(j) </w:t>
      </w:r>
      <w:r w:rsidRPr="00772335">
        <w:rPr>
          <w:rFonts w:ascii="Arial" w:eastAsia="Times New Roman" w:hAnsi="Arial" w:cs="Arial"/>
          <w:i/>
          <w:iCs/>
          <w:sz w:val="20"/>
          <w:szCs w:val="20"/>
        </w:rPr>
        <w:t>Transition.</w:t>
      </w:r>
      <w:r w:rsidRPr="00772335">
        <w:rPr>
          <w:rFonts w:ascii="Arial" w:eastAsia="Times New Roman" w:hAnsi="Arial" w:cs="Arial"/>
          <w:sz w:val="20"/>
          <w:szCs w:val="20"/>
        </w:rPr>
        <w:t xml:space="preserve"> For a license having the capacity of the project for annual charge purposes stated in horsepower, that capacity shall be deemed to be the capacity stated in kilowatts elsewhere in the license, including any amendments thereto.</w:t>
      </w:r>
    </w:p>
    <w:p w14:paraId="48757674" w14:textId="77777777" w:rsidR="00772335" w:rsidRPr="00772335" w:rsidRDefault="00772335" w:rsidP="00772335">
      <w:pPr>
        <w:spacing w:before="200" w:after="100" w:afterAutospacing="1" w:line="240" w:lineRule="auto"/>
        <w:rPr>
          <w:rFonts w:ascii="Arial" w:eastAsia="Times New Roman" w:hAnsi="Arial" w:cs="Arial"/>
          <w:sz w:val="18"/>
          <w:szCs w:val="18"/>
        </w:rPr>
      </w:pPr>
      <w:r w:rsidRPr="00772335">
        <w:rPr>
          <w:rFonts w:ascii="Arial" w:eastAsia="Times New Roman" w:hAnsi="Arial" w:cs="Arial"/>
          <w:sz w:val="18"/>
          <w:szCs w:val="18"/>
        </w:rPr>
        <w:t>[60 FR 15047, Mar. 22, 1995, as amended by Order 584, 60 FR 57925, Nov. 24, 1995; Order 815, 80 FR 63671, Oct. 21, 2015]</w:t>
      </w:r>
    </w:p>
    <w:p w14:paraId="5D4E1CFA"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4" w:name="se18.1.11_12"/>
      <w:bookmarkEnd w:id="4"/>
      <w:r w:rsidRPr="00772335">
        <w:rPr>
          <w:rFonts w:ascii="Arial" w:eastAsia="Times New Roman" w:hAnsi="Arial" w:cs="Arial"/>
          <w:b/>
          <w:bCs/>
          <w:sz w:val="20"/>
          <w:szCs w:val="20"/>
        </w:rPr>
        <w:t>§11.2   Use of government lands.</w:t>
      </w:r>
    </w:p>
    <w:p w14:paraId="18BA7EAF"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(a) Reasonable annual charges for recompensing the United States for the use, occupancy, and enjoyment of its lands (other than lands adjoining or pertaining to Government dams or other structures owned by the United States Government) or its other property, will be fixed by the Commission.</w:t>
      </w:r>
    </w:p>
    <w:p w14:paraId="459ACD93"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(b) </w:t>
      </w:r>
      <w:r w:rsidRPr="00772335">
        <w:rPr>
          <w:rFonts w:ascii="Arial" w:eastAsia="Times New Roman" w:hAnsi="Arial" w:cs="Arial"/>
          <w:i/>
          <w:iCs/>
          <w:sz w:val="20"/>
          <w:szCs w:val="20"/>
        </w:rPr>
        <w:t>General rule.</w:t>
      </w:r>
      <w:r w:rsidRPr="00772335">
        <w:rPr>
          <w:rFonts w:ascii="Arial" w:eastAsia="Times New Roman" w:hAnsi="Arial" w:cs="Arial"/>
          <w:sz w:val="20"/>
          <w:szCs w:val="20"/>
        </w:rPr>
        <w:t xml:space="preserve"> Annual charges for the use of government lands will be payable in advance, and will be set on the basis of an annual schedule of per-acre rental fees, as set forth in Appendix A of this part. The Executive Director will publish the updated fee schedule in the </w:t>
      </w:r>
      <w:r w:rsidRPr="00772335">
        <w:rPr>
          <w:rFonts w:ascii="Arial" w:eastAsia="Times New Roman" w:hAnsi="Arial" w:cs="Arial"/>
          <w:smallCaps/>
          <w:sz w:val="20"/>
          <w:szCs w:val="20"/>
        </w:rPr>
        <w:t>Federal Register.</w:t>
      </w:r>
    </w:p>
    <w:p w14:paraId="5ECD5D9D"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(c) The annual per-acre rental fee is the product of four factors: the adjusted per-acre value multiplied by the encumbrance factor multiplied by the rate of return multiplied by the annual adjustment factor.</w:t>
      </w:r>
    </w:p>
    <w:p w14:paraId="078D2861"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 </w:t>
      </w:r>
      <w:r w:rsidRPr="00772335">
        <w:rPr>
          <w:rFonts w:ascii="Arial" w:eastAsia="Times New Roman" w:hAnsi="Arial" w:cs="Arial"/>
          <w:i/>
          <w:iCs/>
          <w:sz w:val="20"/>
          <w:szCs w:val="20"/>
        </w:rPr>
        <w:t>Adjusted per-acre value.</w:t>
      </w:r>
      <w:r w:rsidRPr="00772335">
        <w:rPr>
          <w:rFonts w:ascii="Arial" w:eastAsia="Times New Roman" w:hAnsi="Arial" w:cs="Arial"/>
          <w:sz w:val="20"/>
          <w:szCs w:val="20"/>
        </w:rPr>
        <w:t xml:space="preserve"> (</w:t>
      </w:r>
      <w:proofErr w:type="spellStart"/>
      <w:r w:rsidRPr="00772335">
        <w:rPr>
          <w:rFonts w:ascii="Arial" w:eastAsia="Times New Roman" w:hAnsi="Arial" w:cs="Arial"/>
          <w:sz w:val="20"/>
          <w:szCs w:val="20"/>
        </w:rPr>
        <w:t>i</w:t>
      </w:r>
      <w:proofErr w:type="spellEnd"/>
      <w:r w:rsidRPr="00772335">
        <w:rPr>
          <w:rFonts w:ascii="Arial" w:eastAsia="Times New Roman" w:hAnsi="Arial" w:cs="Arial"/>
          <w:sz w:val="20"/>
          <w:szCs w:val="20"/>
        </w:rPr>
        <w:t>) Counties (or other geographical areas) are assigned a per-acre value based on their average per-acre land and building value published in the Census of Agriculture (Census) by the National Agricultural Statistics Service (NASS). The adjusted per-acre value is computed by reducing the NASS Census land and building value by the sum of a state-specific modifier and seven percent. A table of state-specific adjustments will be available on the Commission's Web site.</w:t>
      </w:r>
    </w:p>
    <w:p w14:paraId="4D52CAA2"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lastRenderedPageBreak/>
        <w:t>(ii) The state-specific modifier is a percentage reduction applicable to all counties or geographic areas in a state (except Puerto Rico), and represents the ratio of the total value of irrigated farmland in the state to the total value of all farmland in the state. The state-specific modifier will be recalculated every five years beginning in payment year 2016.</w:t>
      </w:r>
    </w:p>
    <w:p w14:paraId="7C3487EF"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(iii) The state-specific modifier for Puerto Rico is 13 percent.</w:t>
      </w:r>
    </w:p>
    <w:p w14:paraId="064FC8EC"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(2) </w:t>
      </w:r>
      <w:r w:rsidRPr="00772335">
        <w:rPr>
          <w:rFonts w:ascii="Arial" w:eastAsia="Times New Roman" w:hAnsi="Arial" w:cs="Arial"/>
          <w:i/>
          <w:iCs/>
          <w:sz w:val="20"/>
          <w:szCs w:val="20"/>
        </w:rPr>
        <w:t>Encumbrance factor.</w:t>
      </w:r>
      <w:r w:rsidRPr="00772335">
        <w:rPr>
          <w:rFonts w:ascii="Arial" w:eastAsia="Times New Roman" w:hAnsi="Arial" w:cs="Arial"/>
          <w:sz w:val="20"/>
          <w:szCs w:val="20"/>
        </w:rPr>
        <w:t xml:space="preserve"> The encumbrance factor is 50 percent.</w:t>
      </w:r>
    </w:p>
    <w:p w14:paraId="3DDBCB32"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(3) </w:t>
      </w:r>
      <w:r w:rsidRPr="00772335">
        <w:rPr>
          <w:rFonts w:ascii="Arial" w:eastAsia="Times New Roman" w:hAnsi="Arial" w:cs="Arial"/>
          <w:i/>
          <w:iCs/>
          <w:sz w:val="20"/>
          <w:szCs w:val="20"/>
        </w:rPr>
        <w:t>Rate of return.</w:t>
      </w:r>
      <w:r w:rsidRPr="00772335">
        <w:rPr>
          <w:rFonts w:ascii="Arial" w:eastAsia="Times New Roman" w:hAnsi="Arial" w:cs="Arial"/>
          <w:sz w:val="20"/>
          <w:szCs w:val="20"/>
        </w:rPr>
        <w:t xml:space="preserve"> The rate of return is 5.77 percent through payment year 2025. The rate of return will be adjusted every 10 years thereafter, and will be based on the 10-year average of the 30-year Treasury bond yield rate immediately preceding the applicable NASS Census. For example, for years 2026 through 2035, the rate of return will be based on the 10-year average (2012-2021) of the 30-year Treasury bond yield rate immediately preceding the 2022 NASS Census. If the 30-year Treasury bond yield rate is not available, the next longest term Treasury bond available should be used in its place.</w:t>
      </w:r>
    </w:p>
    <w:p w14:paraId="340EFF40"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(4) </w:t>
      </w:r>
      <w:r w:rsidRPr="00772335">
        <w:rPr>
          <w:rFonts w:ascii="Arial" w:eastAsia="Times New Roman" w:hAnsi="Arial" w:cs="Arial"/>
          <w:i/>
          <w:iCs/>
          <w:sz w:val="20"/>
          <w:szCs w:val="20"/>
        </w:rPr>
        <w:t>Annual adjustment factor.</w:t>
      </w:r>
      <w:r w:rsidRPr="00772335">
        <w:rPr>
          <w:rFonts w:ascii="Arial" w:eastAsia="Times New Roman" w:hAnsi="Arial" w:cs="Arial"/>
          <w:sz w:val="20"/>
          <w:szCs w:val="20"/>
        </w:rPr>
        <w:t xml:space="preserve"> The annual adjustment factor is 1.9 percent through payment year 2015. For years 2016 through 2025, the annual adjustment factor is the annual change in the Implicit Price Deflator for the Gross Domestic Product (IPD-GDP) for the ten years (2014-2023) preceding issuance (2024) of the most recent NASS Census (2022). Each subsequent ten year adjustment will be made in the same manner.</w:t>
      </w:r>
    </w:p>
    <w:p w14:paraId="3E631C08"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(d) The annual charge for the use of Government lands for 2013 will be reduced by 25 percent for all licensees subject to this section.</w:t>
      </w:r>
    </w:p>
    <w:p w14:paraId="7B373A51"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(e) The minimum annual charge for the use of Government lands under any license will be $25.</w:t>
      </w:r>
    </w:p>
    <w:p w14:paraId="10C52659" w14:textId="77777777" w:rsidR="00772335" w:rsidRPr="00772335" w:rsidRDefault="00772335" w:rsidP="00772335">
      <w:pPr>
        <w:spacing w:before="200" w:after="100" w:afterAutospacing="1" w:line="240" w:lineRule="auto"/>
        <w:rPr>
          <w:rFonts w:ascii="Arial" w:eastAsia="Times New Roman" w:hAnsi="Arial" w:cs="Arial"/>
          <w:sz w:val="18"/>
          <w:szCs w:val="18"/>
        </w:rPr>
      </w:pPr>
      <w:r w:rsidRPr="00772335">
        <w:rPr>
          <w:rFonts w:ascii="Arial" w:eastAsia="Times New Roman" w:hAnsi="Arial" w:cs="Arial"/>
          <w:sz w:val="18"/>
          <w:szCs w:val="18"/>
        </w:rPr>
        <w:t>[Order 774, 78 FR 5265, Jan. 25, 2013]</w:t>
      </w:r>
    </w:p>
    <w:p w14:paraId="765CCD9D"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5" w:name="se18.1.11_13"/>
      <w:bookmarkEnd w:id="5"/>
      <w:r w:rsidRPr="00772335">
        <w:rPr>
          <w:rFonts w:ascii="Arial" w:eastAsia="Times New Roman" w:hAnsi="Arial" w:cs="Arial"/>
          <w:b/>
          <w:bCs/>
          <w:sz w:val="20"/>
          <w:szCs w:val="20"/>
        </w:rPr>
        <w:t>§11.3   Use of government dams, excluding pumped storage projects.</w:t>
      </w:r>
    </w:p>
    <w:p w14:paraId="6149037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(a) </w:t>
      </w:r>
      <w:r w:rsidRPr="00772335">
        <w:rPr>
          <w:rFonts w:ascii="Arial" w:eastAsia="Times New Roman" w:hAnsi="Arial" w:cs="Arial"/>
          <w:i/>
          <w:iCs/>
          <w:sz w:val="20"/>
          <w:szCs w:val="20"/>
        </w:rPr>
        <w:t>General rule.</w:t>
      </w:r>
      <w:r w:rsidRPr="00772335">
        <w:rPr>
          <w:rFonts w:ascii="Arial" w:eastAsia="Times New Roman" w:hAnsi="Arial" w:cs="Arial"/>
          <w:sz w:val="20"/>
          <w:szCs w:val="20"/>
        </w:rPr>
        <w:t xml:space="preserve"> (1) Any licensee whose non-Federal project uses a Government dam or other structure for electric power generation and whose annual charges are not already specified in final form in the license must pay the United States an annual charge for the use of that dam or other structure as determined in accordance with this section. Payment of such annual charge is in addition to any reimbursement paid by a licensee for costs incurred by the United States as a direct result of the licensee's project development at such Government dam.</w:t>
      </w:r>
    </w:p>
    <w:p w14:paraId="4916906C"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(2) Any licensee that is obligated under the terms of a license issued on or before September 16, 1986 to pay specified annual charges for the use of a Government dam must continue to pay the annual charges prescribed in the project license pending any readjustment of the annual charge for the project made pursuant to section 10(e) of the Federal Power Act.</w:t>
      </w:r>
    </w:p>
    <w:p w14:paraId="01AF4ED0"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(b) </w:t>
      </w:r>
      <w:r w:rsidRPr="00772335">
        <w:rPr>
          <w:rFonts w:ascii="Arial" w:eastAsia="Times New Roman" w:hAnsi="Arial" w:cs="Arial"/>
          <w:i/>
          <w:iCs/>
          <w:sz w:val="20"/>
          <w:szCs w:val="20"/>
        </w:rPr>
        <w:t>Graduated flat rates.</w:t>
      </w:r>
      <w:r w:rsidRPr="00772335">
        <w:rPr>
          <w:rFonts w:ascii="Arial" w:eastAsia="Times New Roman" w:hAnsi="Arial" w:cs="Arial"/>
          <w:sz w:val="20"/>
          <w:szCs w:val="20"/>
        </w:rPr>
        <w:t xml:space="preserve"> Annual charges for the use of Government dams or other structures owned by the United States are 1 mill per kilowatt-hour for the first 40 gigawatt-hours of energy a project produces, 1</w:t>
      </w:r>
      <w:r w:rsidRPr="00772335">
        <w:rPr>
          <w:rFonts w:ascii="Arial" w:eastAsia="Times New Roman" w:hAnsi="Arial" w:cs="Arial"/>
          <w:sz w:val="14"/>
          <w:szCs w:val="14"/>
          <w:vertAlign w:val="superscript"/>
        </w:rPr>
        <w:t>1</w:t>
      </w:r>
      <w:r w:rsidRPr="00772335">
        <w:rPr>
          <w:rFonts w:ascii="Arial" w:eastAsia="Times New Roman" w:hAnsi="Arial" w:cs="Arial"/>
          <w:sz w:val="20"/>
          <w:szCs w:val="20"/>
        </w:rPr>
        <w:t>⁄</w:t>
      </w:r>
      <w:r w:rsidRPr="00772335">
        <w:rPr>
          <w:rFonts w:ascii="Arial" w:eastAsia="Times New Roman" w:hAnsi="Arial" w:cs="Arial"/>
          <w:sz w:val="14"/>
          <w:szCs w:val="14"/>
          <w:vertAlign w:val="subscript"/>
        </w:rPr>
        <w:t>2</w:t>
      </w:r>
      <w:r w:rsidRPr="00772335">
        <w:rPr>
          <w:rFonts w:ascii="Arial" w:eastAsia="Times New Roman" w:hAnsi="Arial" w:cs="Arial"/>
          <w:sz w:val="20"/>
          <w:szCs w:val="20"/>
        </w:rPr>
        <w:t xml:space="preserve"> mills per kilowatt-hour for over 40 up to and including 80 gigawatt-hours, and 2 mills per kilowatt-hour for any energy the project produces over 80 gigawatt-hours.</w:t>
      </w:r>
    </w:p>
    <w:p w14:paraId="3D6F314B"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(c) </w:t>
      </w:r>
      <w:r w:rsidRPr="00772335">
        <w:rPr>
          <w:rFonts w:ascii="Arial" w:eastAsia="Times New Roman" w:hAnsi="Arial" w:cs="Arial"/>
          <w:i/>
          <w:iCs/>
          <w:sz w:val="20"/>
          <w:szCs w:val="20"/>
        </w:rPr>
        <w:t>Information reporting.</w:t>
      </w:r>
      <w:r w:rsidRPr="00772335">
        <w:rPr>
          <w:rFonts w:ascii="Arial" w:eastAsia="Times New Roman" w:hAnsi="Arial" w:cs="Arial"/>
          <w:sz w:val="20"/>
          <w:szCs w:val="20"/>
        </w:rPr>
        <w:t xml:space="preserve"> (1) Except as provided in paragraph (c)(2) of this section, each licensee must file with the Commission, on or before November 1 of each year, a sworn statement showing the gross amount of energy generated during the preceding fiscal year and the amount of energy provided free of charge to the Government. The determination of the annual charge will be based on the gross energy production less the energy provided free of charge to the Government. </w:t>
      </w:r>
    </w:p>
    <w:p w14:paraId="6DC2D8C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lastRenderedPageBreak/>
        <w:t xml:space="preserve">(2) A licensee who has filed these data under another section of part 11 or who has submitted identical data with FERC or the Energy Information Administration for the same fiscal year is not required to file the information described in paragraph (c)(1) of this section. Referenced filings should be identified by company name, date filed, docket or project number, and form, number. </w:t>
      </w:r>
    </w:p>
    <w:p w14:paraId="6702FC31"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(d) </w:t>
      </w:r>
      <w:r w:rsidRPr="00772335">
        <w:rPr>
          <w:rFonts w:ascii="Arial" w:eastAsia="Times New Roman" w:hAnsi="Arial" w:cs="Arial"/>
          <w:i/>
          <w:iCs/>
          <w:sz w:val="20"/>
          <w:szCs w:val="20"/>
        </w:rPr>
        <w:t>Credits.</w:t>
      </w:r>
      <w:r w:rsidRPr="00772335">
        <w:rPr>
          <w:rFonts w:ascii="Arial" w:eastAsia="Times New Roman" w:hAnsi="Arial" w:cs="Arial"/>
          <w:sz w:val="20"/>
          <w:szCs w:val="20"/>
        </w:rPr>
        <w:t xml:space="preserve"> A licensee may file a request with the Director of the Office of Energy Projects for a credit for contractual payments made for construction, operation, and maintenance of a Government dam at any time before 30 days after receiving a billing for annual charges determined under this section. The Director, or his designee, will grant such a credit only when the licensee demonstrates that a credit is reasonably justified. The Director, or his designee, shall consider, among other factors, the contractual arrangements between the licensee and the Federal agency which owns the dam and whether these arrangements reveal clearly that substantial payments are being made for power purposes, relevant legislation, and other equitable factors.</w:t>
      </w:r>
    </w:p>
    <w:p w14:paraId="7891E31A" w14:textId="77777777" w:rsidR="00772335" w:rsidRPr="00772335" w:rsidRDefault="00772335" w:rsidP="00772335">
      <w:pPr>
        <w:spacing w:before="200" w:after="100" w:afterAutospacing="1" w:line="240" w:lineRule="auto"/>
        <w:rPr>
          <w:rFonts w:ascii="Arial" w:eastAsia="Times New Roman" w:hAnsi="Arial" w:cs="Arial"/>
          <w:sz w:val="18"/>
          <w:szCs w:val="18"/>
        </w:rPr>
      </w:pPr>
      <w:r w:rsidRPr="00772335">
        <w:rPr>
          <w:rFonts w:ascii="Arial" w:eastAsia="Times New Roman" w:hAnsi="Arial" w:cs="Arial"/>
          <w:sz w:val="18"/>
          <w:szCs w:val="18"/>
        </w:rPr>
        <w:t xml:space="preserve">[Order 379, 49 FR 22778, June 1, 1984, as amended by Order 379-A, 49 FR 33862, Aug. 27, 1984. </w:t>
      </w:r>
      <w:proofErr w:type="spellStart"/>
      <w:r w:rsidRPr="00772335">
        <w:rPr>
          <w:rFonts w:ascii="Arial" w:eastAsia="Times New Roman" w:hAnsi="Arial" w:cs="Arial"/>
          <w:sz w:val="18"/>
          <w:szCs w:val="18"/>
        </w:rPr>
        <w:t>Redesignated</w:t>
      </w:r>
      <w:proofErr w:type="spellEnd"/>
      <w:r w:rsidRPr="00772335">
        <w:rPr>
          <w:rFonts w:ascii="Arial" w:eastAsia="Times New Roman" w:hAnsi="Arial" w:cs="Arial"/>
          <w:sz w:val="18"/>
          <w:szCs w:val="18"/>
        </w:rPr>
        <w:t xml:space="preserve"> at 51 FR 24318, July 3, 1986; Order 469, 52 FR 18209, May 14, 1987; 52 FR 33802, Sept. 8, 1987; 53 FR 44859, Nov. 7, 1988; Order 647, 69 FR 32438, June 10, 2004]</w:t>
      </w:r>
    </w:p>
    <w:p w14:paraId="0FC24D97"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6" w:name="se18.1.11_14"/>
      <w:bookmarkEnd w:id="6"/>
      <w:r w:rsidRPr="00772335">
        <w:rPr>
          <w:rFonts w:ascii="Arial" w:eastAsia="Times New Roman" w:hAnsi="Arial" w:cs="Arial"/>
          <w:b/>
          <w:bCs/>
          <w:sz w:val="20"/>
          <w:szCs w:val="20"/>
        </w:rPr>
        <w:t>§11.4   Use of government dams for pumped storage projects, and use of tribal lands.</w:t>
      </w:r>
    </w:p>
    <w:p w14:paraId="2C27581F"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(a) </w:t>
      </w:r>
      <w:r w:rsidRPr="00772335">
        <w:rPr>
          <w:rFonts w:ascii="Arial" w:eastAsia="Times New Roman" w:hAnsi="Arial" w:cs="Arial"/>
          <w:i/>
          <w:iCs/>
          <w:sz w:val="20"/>
          <w:szCs w:val="20"/>
        </w:rPr>
        <w:t>General Rule.</w:t>
      </w:r>
      <w:r w:rsidRPr="00772335">
        <w:rPr>
          <w:rFonts w:ascii="Arial" w:eastAsia="Times New Roman" w:hAnsi="Arial" w:cs="Arial"/>
          <w:sz w:val="20"/>
          <w:szCs w:val="20"/>
        </w:rPr>
        <w:t xml:space="preserve"> The Commission will determine on a case-by-case basis under section 10(e) of the Federal Power Act the annual charges for any pumped storage project using a Government dam or other structure and for any project using tribal lands within Indian reservations.</w:t>
      </w:r>
    </w:p>
    <w:p w14:paraId="7C6C74ED"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(b) </w:t>
      </w:r>
      <w:r w:rsidRPr="00772335">
        <w:rPr>
          <w:rFonts w:ascii="Arial" w:eastAsia="Times New Roman" w:hAnsi="Arial" w:cs="Arial"/>
          <w:i/>
          <w:iCs/>
          <w:sz w:val="20"/>
          <w:szCs w:val="20"/>
        </w:rPr>
        <w:t>Information reporting.</w:t>
      </w:r>
      <w:r w:rsidRPr="00772335">
        <w:rPr>
          <w:rFonts w:ascii="Arial" w:eastAsia="Times New Roman" w:hAnsi="Arial" w:cs="Arial"/>
          <w:sz w:val="20"/>
          <w:szCs w:val="20"/>
        </w:rPr>
        <w:t xml:space="preserve"> (1) Except as provided in paragraph (b</w:t>
      </w:r>
      <w:proofErr w:type="gramStart"/>
      <w:r w:rsidRPr="00772335">
        <w:rPr>
          <w:rFonts w:ascii="Arial" w:eastAsia="Times New Roman" w:hAnsi="Arial" w:cs="Arial"/>
          <w:sz w:val="20"/>
          <w:szCs w:val="20"/>
        </w:rPr>
        <w:t>)(</w:t>
      </w:r>
      <w:proofErr w:type="gramEnd"/>
      <w:r w:rsidRPr="00772335">
        <w:rPr>
          <w:rFonts w:ascii="Arial" w:eastAsia="Times New Roman" w:hAnsi="Arial" w:cs="Arial"/>
          <w:sz w:val="20"/>
          <w:szCs w:val="20"/>
        </w:rPr>
        <w:t xml:space="preserve">2) of this section a Licensee whose project includes pumped storage facilities must file with the Commission, on or before November 1 of each year, a sworn statement showing the gross amount of energy generated during the preceding fiscal year, and the amount of energy provided free of charge to the Government, and the amount of energy used for pumped storage pumping. </w:t>
      </w:r>
    </w:p>
    <w:p w14:paraId="67CE95DE"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(2) A licensee who has filed these data under another section of part 11 or who has submitted identical data with FERC or the Energy Information Administration for the same fiscal year is not required to file the information required in paragraph (b)(1) of this section. Referenced filings should be identified by company name, date filed, docket or project number, and form number. </w:t>
      </w:r>
    </w:p>
    <w:p w14:paraId="7B584388"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(c) Commencing in 1993, the annual charges for any project using tribal land within Indian reservations will be billed during the fiscal year in which the land is used, for the use of that land during that year.</w:t>
      </w:r>
    </w:p>
    <w:p w14:paraId="0423A91A" w14:textId="77777777" w:rsidR="00772335" w:rsidRPr="00772335" w:rsidRDefault="00772335" w:rsidP="00772335">
      <w:pPr>
        <w:spacing w:before="200" w:after="100" w:afterAutospacing="1" w:line="240" w:lineRule="auto"/>
        <w:rPr>
          <w:rFonts w:ascii="Arial" w:eastAsia="Times New Roman" w:hAnsi="Arial" w:cs="Arial"/>
          <w:sz w:val="18"/>
          <w:szCs w:val="18"/>
        </w:rPr>
      </w:pPr>
      <w:r w:rsidRPr="00772335">
        <w:rPr>
          <w:rFonts w:ascii="Arial" w:eastAsia="Times New Roman" w:hAnsi="Arial" w:cs="Arial"/>
          <w:sz w:val="18"/>
          <w:szCs w:val="18"/>
        </w:rPr>
        <w:t xml:space="preserve">[Order 379, 49 FR 22778, June 1, 1984. </w:t>
      </w:r>
      <w:proofErr w:type="spellStart"/>
      <w:r w:rsidRPr="00772335">
        <w:rPr>
          <w:rFonts w:ascii="Arial" w:eastAsia="Times New Roman" w:hAnsi="Arial" w:cs="Arial"/>
          <w:sz w:val="18"/>
          <w:szCs w:val="18"/>
        </w:rPr>
        <w:t>Redesignated</w:t>
      </w:r>
      <w:proofErr w:type="spellEnd"/>
      <w:r w:rsidRPr="00772335">
        <w:rPr>
          <w:rFonts w:ascii="Arial" w:eastAsia="Times New Roman" w:hAnsi="Arial" w:cs="Arial"/>
          <w:sz w:val="18"/>
          <w:szCs w:val="18"/>
        </w:rPr>
        <w:t xml:space="preserve"> at 51 FR 24318, July 3, 1986; Order 469, 52 FR 18209, May 14, 1987; 52 FR 33802, Sept. 8, 1987; Order 551, 58 FR 15770, Mar. 24, 1993]</w:t>
      </w:r>
    </w:p>
    <w:p w14:paraId="671B051D"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7" w:name="se18.1.11_15"/>
      <w:bookmarkEnd w:id="7"/>
      <w:r w:rsidRPr="00772335">
        <w:rPr>
          <w:rFonts w:ascii="Arial" w:eastAsia="Times New Roman" w:hAnsi="Arial" w:cs="Arial"/>
          <w:b/>
          <w:bCs/>
          <w:sz w:val="20"/>
          <w:szCs w:val="20"/>
        </w:rPr>
        <w:t>§11.5   Exemption of minor projects.</w:t>
      </w:r>
    </w:p>
    <w:p w14:paraId="12A00BFE"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No exemption will be made from payment of annual charges for the use of Government dams or tribal lands within Indian reservations but licenses may be issued without charges other than for such use for the development, transmission, or distribution of power for domestic, mining, or other beneficial use in minor projects. </w:t>
      </w:r>
    </w:p>
    <w:p w14:paraId="20F8DCAD" w14:textId="77777777" w:rsidR="00772335" w:rsidRPr="00772335" w:rsidRDefault="00772335" w:rsidP="00772335">
      <w:pPr>
        <w:spacing w:before="200" w:after="100" w:afterAutospacing="1" w:line="240" w:lineRule="auto"/>
        <w:rPr>
          <w:rFonts w:ascii="Arial" w:eastAsia="Times New Roman" w:hAnsi="Arial" w:cs="Arial"/>
          <w:sz w:val="18"/>
          <w:szCs w:val="18"/>
        </w:rPr>
      </w:pPr>
      <w:r w:rsidRPr="00772335">
        <w:rPr>
          <w:rFonts w:ascii="Arial" w:eastAsia="Times New Roman" w:hAnsi="Arial" w:cs="Arial"/>
          <w:sz w:val="18"/>
          <w:szCs w:val="18"/>
        </w:rPr>
        <w:t xml:space="preserve">[Order 141, 12 FR 8492, Dec. 19, 1947. </w:t>
      </w:r>
      <w:proofErr w:type="spellStart"/>
      <w:r w:rsidRPr="00772335">
        <w:rPr>
          <w:rFonts w:ascii="Arial" w:eastAsia="Times New Roman" w:hAnsi="Arial" w:cs="Arial"/>
          <w:sz w:val="18"/>
          <w:szCs w:val="18"/>
        </w:rPr>
        <w:t>Redesignated</w:t>
      </w:r>
      <w:proofErr w:type="spellEnd"/>
      <w:r w:rsidRPr="00772335">
        <w:rPr>
          <w:rFonts w:ascii="Arial" w:eastAsia="Times New Roman" w:hAnsi="Arial" w:cs="Arial"/>
          <w:sz w:val="18"/>
          <w:szCs w:val="18"/>
        </w:rPr>
        <w:t xml:space="preserve"> by Order 379, 49 FR 22778, June 1, 1984. </w:t>
      </w:r>
      <w:proofErr w:type="spellStart"/>
      <w:r w:rsidRPr="00772335">
        <w:rPr>
          <w:rFonts w:ascii="Arial" w:eastAsia="Times New Roman" w:hAnsi="Arial" w:cs="Arial"/>
          <w:sz w:val="18"/>
          <w:szCs w:val="18"/>
        </w:rPr>
        <w:t>Redesignated</w:t>
      </w:r>
      <w:proofErr w:type="spellEnd"/>
      <w:r w:rsidRPr="00772335">
        <w:rPr>
          <w:rFonts w:ascii="Arial" w:eastAsia="Times New Roman" w:hAnsi="Arial" w:cs="Arial"/>
          <w:sz w:val="18"/>
          <w:szCs w:val="18"/>
        </w:rPr>
        <w:t xml:space="preserve"> at 51 FR 24318, July 3, 1986] </w:t>
      </w:r>
    </w:p>
    <w:p w14:paraId="0636A4AE"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8" w:name="se18.1.11_16"/>
      <w:bookmarkEnd w:id="8"/>
      <w:r w:rsidRPr="00772335">
        <w:rPr>
          <w:rFonts w:ascii="Arial" w:eastAsia="Times New Roman" w:hAnsi="Arial" w:cs="Arial"/>
          <w:b/>
          <w:bCs/>
          <w:sz w:val="20"/>
          <w:szCs w:val="20"/>
        </w:rPr>
        <w:t>§11.6   Exemption of State and municipal licensees and exemptees.</w:t>
      </w:r>
    </w:p>
    <w:p w14:paraId="795853CA"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lastRenderedPageBreak/>
        <w:t xml:space="preserve">(a) </w:t>
      </w:r>
      <w:r w:rsidRPr="00772335">
        <w:rPr>
          <w:rFonts w:ascii="Arial" w:eastAsia="Times New Roman" w:hAnsi="Arial" w:cs="Arial"/>
          <w:i/>
          <w:iCs/>
          <w:sz w:val="20"/>
          <w:szCs w:val="20"/>
        </w:rPr>
        <w:t>Bases for exemption.</w:t>
      </w:r>
      <w:r w:rsidRPr="00772335">
        <w:rPr>
          <w:rFonts w:ascii="Arial" w:eastAsia="Times New Roman" w:hAnsi="Arial" w:cs="Arial"/>
          <w:sz w:val="20"/>
          <w:szCs w:val="20"/>
        </w:rPr>
        <w:t xml:space="preserve"> A State or municipal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may claim total or partial exemption from the assessment of annual charges upon one or more of the following grounds: </w:t>
      </w:r>
    </w:p>
    <w:p w14:paraId="4C936F82"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 The project was primarily designed to provide or improve navigation; </w:t>
      </w:r>
    </w:p>
    <w:p w14:paraId="4F29A34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(2) To the extent that power generated, transmitted, or distributed by the project was sold directly or indirectly to the public (ultimate consumer) without profit; </w:t>
      </w:r>
    </w:p>
    <w:p w14:paraId="0B696E21"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(3) To the extent that power generated, transmitted, or distributed by the project was used by the licensee for State or municipal purposes. </w:t>
      </w:r>
    </w:p>
    <w:p w14:paraId="66B29638"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(b) </w:t>
      </w:r>
      <w:r w:rsidRPr="00772335">
        <w:rPr>
          <w:rFonts w:ascii="Arial" w:eastAsia="Times New Roman" w:hAnsi="Arial" w:cs="Arial"/>
          <w:i/>
          <w:iCs/>
          <w:sz w:val="20"/>
          <w:szCs w:val="20"/>
        </w:rPr>
        <w:t>Projects primarily for navigation.</w:t>
      </w:r>
      <w:r w:rsidRPr="00772335">
        <w:rPr>
          <w:rFonts w:ascii="Arial" w:eastAsia="Times New Roman" w:hAnsi="Arial" w:cs="Arial"/>
          <w:sz w:val="20"/>
          <w:szCs w:val="20"/>
        </w:rPr>
        <w:t xml:space="preserve"> No State or municipal licensee shall be entitled to exemption from the payment of annual charges on the ground that the project was primarily designed to provide or improve navigation unless the licensee establishes that fact from the actual conditions under which the project was constructed and was operated during the calendar year for which the charge is made. </w:t>
      </w:r>
    </w:p>
    <w:p w14:paraId="6C39BEF4"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(c) </w:t>
      </w:r>
      <w:r w:rsidRPr="00772335">
        <w:rPr>
          <w:rFonts w:ascii="Arial" w:eastAsia="Times New Roman" w:hAnsi="Arial" w:cs="Arial"/>
          <w:i/>
          <w:iCs/>
          <w:sz w:val="20"/>
          <w:szCs w:val="20"/>
        </w:rPr>
        <w:t>State or municipal use.</w:t>
      </w:r>
      <w:r w:rsidRPr="00772335">
        <w:rPr>
          <w:rFonts w:ascii="Arial" w:eastAsia="Times New Roman" w:hAnsi="Arial" w:cs="Arial"/>
          <w:sz w:val="20"/>
          <w:szCs w:val="20"/>
        </w:rPr>
        <w:t xml:space="preserve"> A State or municipal licensee shall be entitled to exemption from the payment of annual charges for the project to the extent that power generated, transmitted, or distributed by the project is used by the licensee itself for State or municipal purposes, such as lighting streets, highways, parks, public buildings, etc., for operating licensee's water or sewerage system, or in performing other public functions of the licensee. </w:t>
      </w:r>
    </w:p>
    <w:p w14:paraId="7E5F83F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(d) </w:t>
      </w:r>
      <w:r w:rsidRPr="00772335">
        <w:rPr>
          <w:rFonts w:ascii="Arial" w:eastAsia="Times New Roman" w:hAnsi="Arial" w:cs="Arial"/>
          <w:i/>
          <w:iCs/>
          <w:sz w:val="20"/>
          <w:szCs w:val="20"/>
        </w:rPr>
        <w:t>Sales to public.</w:t>
      </w:r>
      <w:r w:rsidRPr="00772335">
        <w:rPr>
          <w:rFonts w:ascii="Arial" w:eastAsia="Times New Roman" w:hAnsi="Arial" w:cs="Arial"/>
          <w:sz w:val="20"/>
          <w:szCs w:val="20"/>
        </w:rPr>
        <w:t xml:space="preserve"> No State or municipal licensee shall be entitled to exemption from the payment of annual charges on the ground that power generated, transmitted, or distributed by the project is sold to the public without profit, unless such licensee shall show: </w:t>
      </w:r>
    </w:p>
    <w:p w14:paraId="31564ECF"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 That it maintains an accounting system which segregates the operations of the licensed project and reflects with reasonable accuracy the revenues and expenses of the project; </w:t>
      </w:r>
    </w:p>
    <w:p w14:paraId="571A17F7"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(2) That an income statement, prepared in accordance with the Commission's Uniform System of Accounts, shows that the revenues from the sale of project power do not exceed the total amount of operating expenses, maintenance, depreciation, amortization, taxes, and interest on indebtedness, applicable to the project property. Periodic accruals or payments for redemption of the principal of bonds or other indebtedness may not be deducted in determining the net profit of the project. </w:t>
      </w:r>
    </w:p>
    <w:p w14:paraId="1F16447C"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(e) </w:t>
      </w:r>
      <w:r w:rsidRPr="00772335">
        <w:rPr>
          <w:rFonts w:ascii="Arial" w:eastAsia="Times New Roman" w:hAnsi="Arial" w:cs="Arial"/>
          <w:i/>
          <w:iCs/>
          <w:sz w:val="20"/>
          <w:szCs w:val="20"/>
        </w:rPr>
        <w:t>Sales for resale.</w:t>
      </w:r>
      <w:r w:rsidRPr="00772335">
        <w:rPr>
          <w:rFonts w:ascii="Arial" w:eastAsia="Times New Roman" w:hAnsi="Arial" w:cs="Arial"/>
          <w:sz w:val="20"/>
          <w:szCs w:val="20"/>
        </w:rPr>
        <w:t xml:space="preserve"> Notwithstanding compliance by a State or municipal licensee with the requirements of paragraph (d) of this section, it shall be subject to the payment of annual charges to the extent that electric power generated, transmitted, or distributed by the project is sold to another State, municipality, person, or corporation for resale, unless the licensee shall show that the power was sold to the ultimate consumer without profit. The matter of whether or not a profit was made is a question of fact to be established by the licensee. </w:t>
      </w:r>
    </w:p>
    <w:p w14:paraId="344E1626"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(f) </w:t>
      </w:r>
      <w:r w:rsidRPr="00772335">
        <w:rPr>
          <w:rFonts w:ascii="Arial" w:eastAsia="Times New Roman" w:hAnsi="Arial" w:cs="Arial"/>
          <w:i/>
          <w:iCs/>
          <w:sz w:val="20"/>
          <w:szCs w:val="20"/>
        </w:rPr>
        <w:t>Interchange of power.</w:t>
      </w:r>
      <w:r w:rsidRPr="00772335">
        <w:rPr>
          <w:rFonts w:ascii="Arial" w:eastAsia="Times New Roman" w:hAnsi="Arial" w:cs="Arial"/>
          <w:sz w:val="20"/>
          <w:szCs w:val="20"/>
        </w:rPr>
        <w:t xml:space="preserve"> Notwithstanding compliance by a State or municipal licensee with the requirements of paragraph (d) of this section, it shall be subject to the payment of annual charges to the extent that power generated, transmitted, or distributed by the project was supplied under an interchange agreement to a State, municipality, person, or corporation for sale at a profit (which power was not offset by an equivalent amount of power received under such interchange agreement) unless the licensee shall show that the power was sold to ultimate consumers without profit. </w:t>
      </w:r>
    </w:p>
    <w:p w14:paraId="32B48620"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(g) </w:t>
      </w:r>
      <w:r w:rsidRPr="00772335">
        <w:rPr>
          <w:rFonts w:ascii="Arial" w:eastAsia="Times New Roman" w:hAnsi="Arial" w:cs="Arial"/>
          <w:i/>
          <w:iCs/>
          <w:sz w:val="20"/>
          <w:szCs w:val="20"/>
        </w:rPr>
        <w:t>Construction period.</w:t>
      </w:r>
      <w:r w:rsidRPr="00772335">
        <w:rPr>
          <w:rFonts w:ascii="Arial" w:eastAsia="Times New Roman" w:hAnsi="Arial" w:cs="Arial"/>
          <w:sz w:val="20"/>
          <w:szCs w:val="20"/>
        </w:rPr>
        <w:t xml:space="preserve"> During the period when the licensed project is under construction and is not generating power, it will be considered as operating without profit within the meaning of this section, and licensee will be entitled to total exemption from the payment of annual charges, except as to those charges relating to the use of a Government dam or tribal lands within Indian reservations. </w:t>
      </w:r>
    </w:p>
    <w:p w14:paraId="528A36B1"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lastRenderedPageBreak/>
        <w:t xml:space="preserve">(h) </w:t>
      </w:r>
      <w:r w:rsidRPr="00772335">
        <w:rPr>
          <w:rFonts w:ascii="Arial" w:eastAsia="Times New Roman" w:hAnsi="Arial" w:cs="Arial"/>
          <w:i/>
          <w:iCs/>
          <w:sz w:val="20"/>
          <w:szCs w:val="20"/>
        </w:rPr>
        <w:t>Optional showing.</w:t>
      </w:r>
      <w:r w:rsidRPr="00772335">
        <w:rPr>
          <w:rFonts w:ascii="Arial" w:eastAsia="Times New Roman" w:hAnsi="Arial" w:cs="Arial"/>
          <w:sz w:val="20"/>
          <w:szCs w:val="20"/>
        </w:rPr>
        <w:t xml:space="preserve"> When the power from the licensed project enters into the electric power system of the State or municipal licensee, making it impracticable to meet the requirements set forth in this section with respect to the operations of the project only, such licensee may, in lieu thereof, furnish the same information with respect to the operations of said electric power system as a whole. </w:t>
      </w:r>
    </w:p>
    <w:p w14:paraId="1B60FF91"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w:t>
      </w:r>
      <w:proofErr w:type="spellStart"/>
      <w:r w:rsidRPr="00772335">
        <w:rPr>
          <w:rFonts w:ascii="Arial" w:eastAsia="Times New Roman" w:hAnsi="Arial" w:cs="Arial"/>
          <w:sz w:val="20"/>
          <w:szCs w:val="20"/>
        </w:rPr>
        <w:t>i</w:t>
      </w:r>
      <w:proofErr w:type="spellEnd"/>
      <w:r w:rsidRPr="00772335">
        <w:rPr>
          <w:rFonts w:ascii="Arial" w:eastAsia="Times New Roman" w:hAnsi="Arial" w:cs="Arial"/>
          <w:sz w:val="20"/>
          <w:szCs w:val="20"/>
        </w:rPr>
        <w:t xml:space="preserve">) </w:t>
      </w:r>
      <w:r w:rsidRPr="00772335">
        <w:rPr>
          <w:rFonts w:ascii="Arial" w:eastAsia="Times New Roman" w:hAnsi="Arial" w:cs="Arial"/>
          <w:i/>
          <w:iCs/>
          <w:sz w:val="20"/>
          <w:szCs w:val="20"/>
        </w:rPr>
        <w:t>Application for exemption.</w:t>
      </w:r>
      <w:r w:rsidRPr="00772335">
        <w:rPr>
          <w:rFonts w:ascii="Arial" w:eastAsia="Times New Roman" w:hAnsi="Arial" w:cs="Arial"/>
          <w:sz w:val="20"/>
          <w:szCs w:val="20"/>
        </w:rPr>
        <w:t xml:space="preserve"> Applications for exemption from payment of annual charges shall be signed by an authorized executive officer or chief accounting officer of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and verified under oath. The application must be filed with the Secretary of the Commission in accordance with filing procedures posted on the Commission's Web site at </w:t>
      </w:r>
      <w:r w:rsidRPr="00772335">
        <w:rPr>
          <w:rFonts w:ascii="Arial" w:eastAsia="Times New Roman" w:hAnsi="Arial" w:cs="Arial"/>
          <w:i/>
          <w:iCs/>
          <w:sz w:val="20"/>
          <w:szCs w:val="20"/>
        </w:rPr>
        <w:t>http://www.ferc.gov</w:t>
      </w:r>
      <w:r w:rsidRPr="00772335">
        <w:rPr>
          <w:rFonts w:ascii="Arial" w:eastAsia="Times New Roman" w:hAnsi="Arial" w:cs="Arial"/>
          <w:sz w:val="20"/>
          <w:szCs w:val="20"/>
        </w:rPr>
        <w:t xml:space="preserve"> within the time allowed (by §11.20) for the payment of the annual charges. If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within the time allowed for the payment of the annual charges, files notice that it intends to file an application for exemption, an additional period of 30 days is allowed within which to complete and file the application for exemption. The filing of an application for exemption does not by itself alleviate the requirement to pay the annual charges, nor does it exonerate the licensee or </w:t>
      </w:r>
      <w:proofErr w:type="spellStart"/>
      <w:r w:rsidRPr="00772335">
        <w:rPr>
          <w:rFonts w:ascii="Arial" w:eastAsia="Times New Roman" w:hAnsi="Arial" w:cs="Arial"/>
          <w:sz w:val="20"/>
          <w:szCs w:val="20"/>
        </w:rPr>
        <w:t>exemptee</w:t>
      </w:r>
      <w:proofErr w:type="spellEnd"/>
      <w:r w:rsidRPr="00772335">
        <w:rPr>
          <w:rFonts w:ascii="Arial" w:eastAsia="Times New Roman" w:hAnsi="Arial" w:cs="Arial"/>
          <w:sz w:val="20"/>
          <w:szCs w:val="20"/>
        </w:rPr>
        <w:t xml:space="preserve"> from the assessment of penalties under §11.21. If a bill for annual charges becomes payable after an application for an exemption has been filed and while the application is still pending for decision, the bill may be paid under protest and subject to refund.</w:t>
      </w:r>
    </w:p>
    <w:p w14:paraId="73391A4A" w14:textId="77777777" w:rsidR="00772335" w:rsidRPr="00772335" w:rsidRDefault="00772335" w:rsidP="00772335">
      <w:pPr>
        <w:spacing w:before="200" w:after="100" w:afterAutospacing="1" w:line="240" w:lineRule="auto"/>
        <w:rPr>
          <w:rFonts w:ascii="Arial" w:eastAsia="Times New Roman" w:hAnsi="Arial" w:cs="Arial"/>
          <w:sz w:val="18"/>
          <w:szCs w:val="18"/>
        </w:rPr>
      </w:pPr>
      <w:r w:rsidRPr="00772335">
        <w:rPr>
          <w:rFonts w:ascii="Arial" w:eastAsia="Times New Roman" w:hAnsi="Arial" w:cs="Arial"/>
          <w:sz w:val="18"/>
          <w:szCs w:val="18"/>
        </w:rPr>
        <w:t xml:space="preserve">[Order 143, 13 FR 6681, Nov. 13, 1948. </w:t>
      </w:r>
      <w:proofErr w:type="spellStart"/>
      <w:r w:rsidRPr="00772335">
        <w:rPr>
          <w:rFonts w:ascii="Arial" w:eastAsia="Times New Roman" w:hAnsi="Arial" w:cs="Arial"/>
          <w:sz w:val="18"/>
          <w:szCs w:val="18"/>
        </w:rPr>
        <w:t>Redesignated</w:t>
      </w:r>
      <w:proofErr w:type="spellEnd"/>
      <w:r w:rsidRPr="00772335">
        <w:rPr>
          <w:rFonts w:ascii="Arial" w:eastAsia="Times New Roman" w:hAnsi="Arial" w:cs="Arial"/>
          <w:sz w:val="18"/>
          <w:szCs w:val="18"/>
        </w:rPr>
        <w:t xml:space="preserve"> and amended by Order 379, 49 FR 22778, </w:t>
      </w:r>
      <w:proofErr w:type="gramStart"/>
      <w:r w:rsidRPr="00772335">
        <w:rPr>
          <w:rFonts w:ascii="Arial" w:eastAsia="Times New Roman" w:hAnsi="Arial" w:cs="Arial"/>
          <w:sz w:val="18"/>
          <w:szCs w:val="18"/>
        </w:rPr>
        <w:t>June</w:t>
      </w:r>
      <w:proofErr w:type="gramEnd"/>
      <w:r w:rsidRPr="00772335">
        <w:rPr>
          <w:rFonts w:ascii="Arial" w:eastAsia="Times New Roman" w:hAnsi="Arial" w:cs="Arial"/>
          <w:sz w:val="18"/>
          <w:szCs w:val="18"/>
        </w:rPr>
        <w:t xml:space="preserve"> 1, 1984. </w:t>
      </w:r>
      <w:proofErr w:type="spellStart"/>
      <w:r w:rsidRPr="00772335">
        <w:rPr>
          <w:rFonts w:ascii="Arial" w:eastAsia="Times New Roman" w:hAnsi="Arial" w:cs="Arial"/>
          <w:sz w:val="18"/>
          <w:szCs w:val="18"/>
        </w:rPr>
        <w:t>Redesignated</w:t>
      </w:r>
      <w:proofErr w:type="spellEnd"/>
      <w:r w:rsidRPr="00772335">
        <w:rPr>
          <w:rFonts w:ascii="Arial" w:eastAsia="Times New Roman" w:hAnsi="Arial" w:cs="Arial"/>
          <w:sz w:val="18"/>
          <w:szCs w:val="18"/>
        </w:rPr>
        <w:t xml:space="preserve"> at 51 FR 24318, July 3, 1986; 60 FR 15048, Mar. 22, 1995; Order 737, 75 FR 43403, July 26, 2010] </w:t>
      </w:r>
    </w:p>
    <w:p w14:paraId="70B2870F"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9" w:name="se18.1.11_17"/>
      <w:bookmarkEnd w:id="9"/>
      <w:r w:rsidRPr="00772335">
        <w:rPr>
          <w:rFonts w:ascii="Arial" w:eastAsia="Times New Roman" w:hAnsi="Arial" w:cs="Arial"/>
          <w:b/>
          <w:bCs/>
          <w:sz w:val="20"/>
          <w:szCs w:val="20"/>
        </w:rPr>
        <w:t>§11.7   Effective date.</w:t>
      </w:r>
    </w:p>
    <w:p w14:paraId="0BF44629"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All annual charges imposed under this subpart will be computed beginning on the effective date of the license unless some other date is fixed in the license.</w:t>
      </w:r>
    </w:p>
    <w:p w14:paraId="3534422D" w14:textId="77777777" w:rsidR="00772335" w:rsidRPr="00772335" w:rsidRDefault="00772335" w:rsidP="00772335">
      <w:pPr>
        <w:spacing w:before="200" w:after="100" w:afterAutospacing="1" w:line="240" w:lineRule="auto"/>
        <w:rPr>
          <w:rFonts w:ascii="Arial" w:eastAsia="Times New Roman" w:hAnsi="Arial" w:cs="Arial"/>
          <w:sz w:val="18"/>
          <w:szCs w:val="18"/>
        </w:rPr>
      </w:pPr>
      <w:r w:rsidRPr="00772335">
        <w:rPr>
          <w:rFonts w:ascii="Arial" w:eastAsia="Times New Roman" w:hAnsi="Arial" w:cs="Arial"/>
          <w:sz w:val="18"/>
          <w:szCs w:val="18"/>
        </w:rPr>
        <w:t>[51 FR 24318, July 3, 1986]</w:t>
      </w:r>
    </w:p>
    <w:p w14:paraId="30DB836D"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10" w:name="se18.1.11_18"/>
      <w:bookmarkEnd w:id="10"/>
      <w:r w:rsidRPr="00772335">
        <w:rPr>
          <w:rFonts w:ascii="Arial" w:eastAsia="Times New Roman" w:hAnsi="Arial" w:cs="Arial"/>
          <w:b/>
          <w:bCs/>
          <w:sz w:val="20"/>
          <w:szCs w:val="20"/>
        </w:rPr>
        <w:t>§11.8   Adjustment of annual charges.</w:t>
      </w:r>
    </w:p>
    <w:p w14:paraId="704DC69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All annual charges imposed under this subpart continue in effect as fixed unless changed as authorized by law.</w:t>
      </w:r>
    </w:p>
    <w:p w14:paraId="72C84819" w14:textId="77777777" w:rsidR="00772335" w:rsidRPr="00772335" w:rsidRDefault="00772335" w:rsidP="00772335">
      <w:pPr>
        <w:spacing w:before="200" w:after="100" w:afterAutospacing="1" w:line="240" w:lineRule="auto"/>
        <w:rPr>
          <w:rFonts w:ascii="Arial" w:eastAsia="Times New Roman" w:hAnsi="Arial" w:cs="Arial"/>
          <w:sz w:val="18"/>
          <w:szCs w:val="18"/>
        </w:rPr>
      </w:pPr>
      <w:r w:rsidRPr="00772335">
        <w:rPr>
          <w:rFonts w:ascii="Arial" w:eastAsia="Times New Roman" w:hAnsi="Arial" w:cs="Arial"/>
          <w:sz w:val="18"/>
          <w:szCs w:val="18"/>
        </w:rPr>
        <w:t>[51 FR 24318, July 3, 1986]</w:t>
      </w:r>
    </w:p>
    <w:p w14:paraId="0882DE99" w14:textId="77777777" w:rsidR="00772335" w:rsidRPr="00772335" w:rsidRDefault="00772335" w:rsidP="00772335">
      <w:pPr>
        <w:spacing w:before="200" w:after="100" w:line="240" w:lineRule="auto"/>
        <w:outlineLvl w:val="1"/>
        <w:rPr>
          <w:rFonts w:ascii="Arial" w:eastAsia="Times New Roman" w:hAnsi="Arial" w:cs="Arial"/>
          <w:b/>
          <w:bCs/>
          <w:sz w:val="27"/>
          <w:szCs w:val="27"/>
        </w:rPr>
      </w:pPr>
      <w:bookmarkStart w:id="11" w:name="sp18.1.11.b"/>
      <w:bookmarkEnd w:id="11"/>
      <w:r w:rsidRPr="00772335">
        <w:rPr>
          <w:rFonts w:ascii="Arial" w:eastAsia="Times New Roman" w:hAnsi="Arial" w:cs="Arial"/>
          <w:b/>
          <w:bCs/>
          <w:sz w:val="27"/>
          <w:szCs w:val="27"/>
        </w:rPr>
        <w:t>Subpart B—Charges for Headwater Benefits</w:t>
      </w:r>
    </w:p>
    <w:p w14:paraId="1FA23C45" w14:textId="77777777" w:rsidR="00772335" w:rsidRPr="00772335" w:rsidRDefault="00772335" w:rsidP="00772335">
      <w:pPr>
        <w:spacing w:before="200" w:after="100" w:afterAutospacing="1" w:line="240" w:lineRule="auto"/>
        <w:ind w:firstLine="480"/>
        <w:rPr>
          <w:rFonts w:ascii="Arial" w:eastAsia="Times New Roman" w:hAnsi="Arial" w:cs="Arial"/>
          <w:sz w:val="18"/>
          <w:szCs w:val="18"/>
        </w:rPr>
      </w:pPr>
      <w:r w:rsidRPr="00772335">
        <w:rPr>
          <w:rFonts w:ascii="Arial" w:eastAsia="Times New Roman" w:hAnsi="Arial" w:cs="Arial"/>
          <w:smallCaps/>
          <w:sz w:val="18"/>
          <w:szCs w:val="18"/>
        </w:rPr>
        <w:t>Source:</w:t>
      </w:r>
      <w:r w:rsidRPr="00772335">
        <w:rPr>
          <w:rFonts w:ascii="Arial" w:eastAsia="Times New Roman" w:hAnsi="Arial" w:cs="Arial"/>
          <w:sz w:val="18"/>
          <w:szCs w:val="18"/>
        </w:rPr>
        <w:t xml:space="preserve"> Order 453, 51 FR 24318, July 3, 1986, unless otherwise noted. </w:t>
      </w:r>
    </w:p>
    <w:p w14:paraId="2DEEEEBF" w14:textId="77777777" w:rsidR="00772335" w:rsidRPr="00772335" w:rsidRDefault="00772335" w:rsidP="00772335">
      <w:pPr>
        <w:spacing w:before="200" w:after="100" w:line="240" w:lineRule="auto"/>
        <w:outlineLvl w:val="1"/>
        <w:rPr>
          <w:rFonts w:ascii="Arial" w:eastAsia="Times New Roman" w:hAnsi="Arial" w:cs="Arial"/>
          <w:b/>
          <w:bCs/>
          <w:sz w:val="20"/>
          <w:szCs w:val="20"/>
        </w:rPr>
      </w:pPr>
      <w:bookmarkStart w:id="12" w:name="se18.1.11_110"/>
      <w:bookmarkEnd w:id="12"/>
      <w:r w:rsidRPr="00772335">
        <w:rPr>
          <w:rFonts w:ascii="Arial" w:eastAsia="Times New Roman" w:hAnsi="Arial" w:cs="Arial"/>
          <w:b/>
          <w:bCs/>
          <w:sz w:val="20"/>
          <w:szCs w:val="20"/>
        </w:rPr>
        <w:t>§11.10   General provision; waiver and exemptions; definitions.</w:t>
      </w:r>
    </w:p>
    <w:p w14:paraId="4249DA6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(a) </w:t>
      </w:r>
      <w:r w:rsidRPr="00772335">
        <w:rPr>
          <w:rFonts w:ascii="Arial" w:eastAsia="Times New Roman" w:hAnsi="Arial" w:cs="Arial"/>
          <w:i/>
          <w:iCs/>
          <w:sz w:val="20"/>
          <w:szCs w:val="20"/>
        </w:rPr>
        <w:t>Headwater benefits charges.</w:t>
      </w:r>
      <w:r w:rsidRPr="00772335">
        <w:rPr>
          <w:rFonts w:ascii="Arial" w:eastAsia="Times New Roman" w:hAnsi="Arial" w:cs="Arial"/>
          <w:sz w:val="20"/>
          <w:szCs w:val="20"/>
        </w:rPr>
        <w:t xml:space="preserve"> (1) The Commission will assess or approve charges under this subpart for direct benefits derived from headwater projects constructed by the United States, a licensee, or a pre-1920 permittee. Charges under this subpart will amount to an equitable part of the annual costs of interest, maintenance, and depreciation expenses of such headwater projects and the costs to the Commission of determining headwater benefits charges. Except as provided in paragraph (b) of this section, the owner of any non-Federal downstream project that receives headwater benefits must pay charges determined under this subpart.</w:t>
      </w:r>
    </w:p>
    <w:p w14:paraId="264C39B2"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(2) Headwater benefits are the additional electric generation at a downstream project that results from regulation of the flow of the river by the headwater, or upstream, project, usually by increasing or decreasing the release of water from a storage reservoir.</w:t>
      </w:r>
    </w:p>
    <w:p w14:paraId="554E35CF"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lastRenderedPageBreak/>
        <w:t xml:space="preserve">(b) </w:t>
      </w:r>
      <w:r w:rsidRPr="00772335">
        <w:rPr>
          <w:rFonts w:ascii="Arial" w:eastAsia="Times New Roman" w:hAnsi="Arial" w:cs="Arial"/>
          <w:i/>
          <w:iCs/>
          <w:sz w:val="20"/>
          <w:szCs w:val="20"/>
        </w:rPr>
        <w:t>Waiver and exemptions.</w:t>
      </w:r>
      <w:r w:rsidRPr="00772335">
        <w:rPr>
          <w:rFonts w:ascii="Arial" w:eastAsia="Times New Roman" w:hAnsi="Arial" w:cs="Arial"/>
          <w:sz w:val="20"/>
          <w:szCs w:val="20"/>
        </w:rPr>
        <w:t xml:space="preserve"> The owner of a downstream project with installed generating capacity of 1.5 MW (2000 horsepower) or less or for which the Commission has granted an exemption from section 10(f) is not required to pay headwater benefits charges.</w:t>
      </w:r>
    </w:p>
    <w:p w14:paraId="34731F5D"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(c) </w:t>
      </w:r>
      <w:r w:rsidRPr="00772335">
        <w:rPr>
          <w:rFonts w:ascii="Arial" w:eastAsia="Times New Roman" w:hAnsi="Arial" w:cs="Arial"/>
          <w:i/>
          <w:iCs/>
          <w:sz w:val="20"/>
          <w:szCs w:val="20"/>
        </w:rPr>
        <w:t>Definitions.</w:t>
      </w:r>
      <w:r w:rsidRPr="00772335">
        <w:rPr>
          <w:rFonts w:ascii="Arial" w:eastAsia="Times New Roman" w:hAnsi="Arial" w:cs="Arial"/>
          <w:sz w:val="20"/>
          <w:szCs w:val="20"/>
        </w:rPr>
        <w:t xml:space="preserve"> For purposes of this subpart:</w:t>
      </w:r>
    </w:p>
    <w:p w14:paraId="3F871278"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 </w:t>
      </w:r>
      <w:r w:rsidRPr="00772335">
        <w:rPr>
          <w:rFonts w:ascii="Arial" w:eastAsia="Times New Roman" w:hAnsi="Arial" w:cs="Arial"/>
          <w:i/>
          <w:iCs/>
          <w:sz w:val="20"/>
          <w:szCs w:val="20"/>
        </w:rPr>
        <w:t>Energy gains</w:t>
      </w:r>
      <w:r w:rsidRPr="00772335">
        <w:rPr>
          <w:rFonts w:ascii="Arial" w:eastAsia="Times New Roman" w:hAnsi="Arial" w:cs="Arial"/>
          <w:sz w:val="20"/>
          <w:szCs w:val="20"/>
        </w:rPr>
        <w:t xml:space="preserve"> means the difference between the </w:t>
      </w:r>
      <w:proofErr w:type="gramStart"/>
      <w:r w:rsidRPr="00772335">
        <w:rPr>
          <w:rFonts w:ascii="Arial" w:eastAsia="Times New Roman" w:hAnsi="Arial" w:cs="Arial"/>
          <w:sz w:val="20"/>
          <w:szCs w:val="20"/>
        </w:rPr>
        <w:t>number</w:t>
      </w:r>
      <w:proofErr w:type="gramEnd"/>
      <w:r w:rsidRPr="00772335">
        <w:rPr>
          <w:rFonts w:ascii="Arial" w:eastAsia="Times New Roman" w:hAnsi="Arial" w:cs="Arial"/>
          <w:sz w:val="20"/>
          <w:szCs w:val="20"/>
        </w:rPr>
        <w:t xml:space="preserve"> of kilowatt-hours of energy produced at a downstream project with the headwater project and that which would be produced without the headwater project.</w:t>
      </w:r>
    </w:p>
    <w:p w14:paraId="3BDC5DB6"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(2) </w:t>
      </w:r>
      <w:r w:rsidRPr="00772335">
        <w:rPr>
          <w:rFonts w:ascii="Arial" w:eastAsia="Times New Roman" w:hAnsi="Arial" w:cs="Arial"/>
          <w:i/>
          <w:iCs/>
          <w:sz w:val="20"/>
          <w:szCs w:val="20"/>
        </w:rPr>
        <w:t>Generation</w:t>
      </w:r>
      <w:r w:rsidRPr="00772335">
        <w:rPr>
          <w:rFonts w:ascii="Arial" w:eastAsia="Times New Roman" w:hAnsi="Arial" w:cs="Arial"/>
          <w:sz w:val="20"/>
          <w:szCs w:val="20"/>
        </w:rPr>
        <w:t xml:space="preserve"> means gross generation of electricity at a hydroelectric project, including generation needed for station use or the equivalent for direct drive units, measured in kilowatt-hours. It does not include energy used for or derived from pumping in a pumped storage facility.</w:t>
      </w:r>
    </w:p>
    <w:p w14:paraId="1003D9F9"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(3) </w:t>
      </w:r>
      <w:r w:rsidRPr="00772335">
        <w:rPr>
          <w:rFonts w:ascii="Arial" w:eastAsia="Times New Roman" w:hAnsi="Arial" w:cs="Arial"/>
          <w:i/>
          <w:iCs/>
          <w:sz w:val="20"/>
          <w:szCs w:val="20"/>
        </w:rPr>
        <w:t>Headwater project costs</w:t>
      </w:r>
      <w:r w:rsidRPr="00772335">
        <w:rPr>
          <w:rFonts w:ascii="Arial" w:eastAsia="Times New Roman" w:hAnsi="Arial" w:cs="Arial"/>
          <w:sz w:val="20"/>
          <w:szCs w:val="20"/>
        </w:rPr>
        <w:t xml:space="preserve"> means the total costs of an upstream project constructed by the United States, a licensee, or pre-1920 permittee.</w:t>
      </w:r>
    </w:p>
    <w:p w14:paraId="7ECDEA8A"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(4) </w:t>
      </w:r>
      <w:r w:rsidRPr="00772335">
        <w:rPr>
          <w:rFonts w:ascii="Arial" w:eastAsia="Times New Roman" w:hAnsi="Arial" w:cs="Arial"/>
          <w:i/>
          <w:iCs/>
          <w:sz w:val="20"/>
          <w:szCs w:val="20"/>
        </w:rPr>
        <w:t>Separable cost</w:t>
      </w:r>
      <w:r w:rsidRPr="00772335">
        <w:rPr>
          <w:rFonts w:ascii="Arial" w:eastAsia="Times New Roman" w:hAnsi="Arial" w:cs="Arial"/>
          <w:sz w:val="20"/>
          <w:szCs w:val="20"/>
        </w:rPr>
        <w:t xml:space="preserve"> means the difference between the cost of a multiple-function headwater project with and without any particular function.</w:t>
      </w:r>
    </w:p>
    <w:p w14:paraId="3CAB9C1B"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(5) </w:t>
      </w:r>
      <w:r w:rsidRPr="00772335">
        <w:rPr>
          <w:rFonts w:ascii="Arial" w:eastAsia="Times New Roman" w:hAnsi="Arial" w:cs="Arial"/>
          <w:i/>
          <w:iCs/>
          <w:sz w:val="20"/>
          <w:szCs w:val="20"/>
        </w:rPr>
        <w:t>Remaining benefits</w:t>
      </w:r>
      <w:r w:rsidRPr="00772335">
        <w:rPr>
          <w:rFonts w:ascii="Arial" w:eastAsia="Times New Roman" w:hAnsi="Arial" w:cs="Arial"/>
          <w:sz w:val="20"/>
          <w:szCs w:val="20"/>
        </w:rPr>
        <w:t xml:space="preserve"> means the difference between the separable cost of a specific function in a multiple-function project and the lesser of:</w:t>
      </w:r>
    </w:p>
    <w:p w14:paraId="1E9087E9"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w:t>
      </w:r>
      <w:proofErr w:type="spellStart"/>
      <w:r w:rsidRPr="00772335">
        <w:rPr>
          <w:rFonts w:ascii="Arial" w:eastAsia="Times New Roman" w:hAnsi="Arial" w:cs="Arial"/>
          <w:sz w:val="20"/>
          <w:szCs w:val="20"/>
        </w:rPr>
        <w:t>i</w:t>
      </w:r>
      <w:proofErr w:type="spellEnd"/>
      <w:r w:rsidRPr="00772335">
        <w:rPr>
          <w:rFonts w:ascii="Arial" w:eastAsia="Times New Roman" w:hAnsi="Arial" w:cs="Arial"/>
          <w:sz w:val="20"/>
          <w:szCs w:val="20"/>
        </w:rPr>
        <w:t>) The benefits of that function in the project, as determined by the responsible Federal agency at the time the project or function was authorized; or</w:t>
      </w:r>
    </w:p>
    <w:p w14:paraId="29BAAFCA"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(ii) The cost of the most likely alternative single-function project providing the same benefits.</w:t>
      </w:r>
    </w:p>
    <w:p w14:paraId="79F6B06C"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(6) </w:t>
      </w:r>
      <w:r w:rsidRPr="00772335">
        <w:rPr>
          <w:rFonts w:ascii="Arial" w:eastAsia="Times New Roman" w:hAnsi="Arial" w:cs="Arial"/>
          <w:i/>
          <w:iCs/>
          <w:sz w:val="20"/>
          <w:szCs w:val="20"/>
        </w:rPr>
        <w:t>Joint-use cost</w:t>
      </w:r>
      <w:r w:rsidRPr="00772335">
        <w:rPr>
          <w:rFonts w:ascii="Arial" w:eastAsia="Times New Roman" w:hAnsi="Arial" w:cs="Arial"/>
          <w:sz w:val="20"/>
          <w:szCs w:val="20"/>
        </w:rPr>
        <w:t xml:space="preserve"> means the difference between the total project cost and the total separable costs. Joint-use costs are allocated among the project functions according to each function's percentage of the total remaining benefits.</w:t>
      </w:r>
    </w:p>
    <w:p w14:paraId="07DB097D"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(7) </w:t>
      </w:r>
      <w:r w:rsidRPr="00772335">
        <w:rPr>
          <w:rFonts w:ascii="Arial" w:eastAsia="Times New Roman" w:hAnsi="Arial" w:cs="Arial"/>
          <w:i/>
          <w:iCs/>
          <w:sz w:val="20"/>
          <w:szCs w:val="20"/>
        </w:rPr>
        <w:t>Specific power cost</w:t>
      </w:r>
      <w:r w:rsidRPr="00772335">
        <w:rPr>
          <w:rFonts w:ascii="Arial" w:eastAsia="Times New Roman" w:hAnsi="Arial" w:cs="Arial"/>
          <w:sz w:val="20"/>
          <w:szCs w:val="20"/>
        </w:rPr>
        <w:t xml:space="preserve"> means that portion of the headwater project costs that is directly attributable to the function of power generation at the headwater project, including, but not limited to, the cost of the electric generators, turbines, penstocks, and substation.</w:t>
      </w:r>
    </w:p>
    <w:p w14:paraId="7907A366"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(8) </w:t>
      </w:r>
      <w:r w:rsidRPr="00772335">
        <w:rPr>
          <w:rFonts w:ascii="Arial" w:eastAsia="Times New Roman" w:hAnsi="Arial" w:cs="Arial"/>
          <w:i/>
          <w:iCs/>
          <w:sz w:val="20"/>
          <w:szCs w:val="20"/>
        </w:rPr>
        <w:t>Joint-use power cost</w:t>
      </w:r>
      <w:r w:rsidRPr="00772335">
        <w:rPr>
          <w:rFonts w:ascii="Arial" w:eastAsia="Times New Roman" w:hAnsi="Arial" w:cs="Arial"/>
          <w:sz w:val="20"/>
          <w:szCs w:val="20"/>
        </w:rPr>
        <w:t xml:space="preserve"> means the portion of the joint-use cost allocated to the power function of the project.</w:t>
      </w:r>
    </w:p>
    <w:p w14:paraId="35147997"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(9) </w:t>
      </w:r>
      <w:r w:rsidRPr="00772335">
        <w:rPr>
          <w:rFonts w:ascii="Arial" w:eastAsia="Times New Roman" w:hAnsi="Arial" w:cs="Arial"/>
          <w:i/>
          <w:iCs/>
          <w:sz w:val="20"/>
          <w:szCs w:val="20"/>
        </w:rPr>
        <w:t>Section 10(f) costs</w:t>
      </w:r>
      <w:r w:rsidRPr="00772335">
        <w:rPr>
          <w:rFonts w:ascii="Arial" w:eastAsia="Times New Roman" w:hAnsi="Arial" w:cs="Arial"/>
          <w:sz w:val="20"/>
          <w:szCs w:val="20"/>
        </w:rPr>
        <w:t xml:space="preserve"> means the annual interest, depreciation, and maintenance expense portion of the joint-use power cost, including costs of non-power functions required by statute to be paid by revenues from the power function.</w:t>
      </w:r>
    </w:p>
    <w:p w14:paraId="6D89614E"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(10) </w:t>
      </w:r>
      <w:r w:rsidRPr="00772335">
        <w:rPr>
          <w:rFonts w:ascii="Arial" w:eastAsia="Times New Roman" w:hAnsi="Arial" w:cs="Arial"/>
          <w:i/>
          <w:iCs/>
          <w:sz w:val="20"/>
          <w:szCs w:val="20"/>
        </w:rPr>
        <w:t>Party</w:t>
      </w:r>
      <w:r w:rsidRPr="00772335">
        <w:rPr>
          <w:rFonts w:ascii="Arial" w:eastAsia="Times New Roman" w:hAnsi="Arial" w:cs="Arial"/>
          <w:sz w:val="20"/>
          <w:szCs w:val="20"/>
        </w:rPr>
        <w:t xml:space="preserve"> means:</w:t>
      </w:r>
    </w:p>
    <w:p w14:paraId="4A66EA2B"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w:t>
      </w:r>
      <w:proofErr w:type="spellStart"/>
      <w:r w:rsidRPr="00772335">
        <w:rPr>
          <w:rFonts w:ascii="Arial" w:eastAsia="Times New Roman" w:hAnsi="Arial" w:cs="Arial"/>
          <w:sz w:val="20"/>
          <w:szCs w:val="20"/>
        </w:rPr>
        <w:t>i</w:t>
      </w:r>
      <w:proofErr w:type="spellEnd"/>
      <w:r w:rsidRPr="00772335">
        <w:rPr>
          <w:rFonts w:ascii="Arial" w:eastAsia="Times New Roman" w:hAnsi="Arial" w:cs="Arial"/>
          <w:sz w:val="20"/>
          <w:szCs w:val="20"/>
        </w:rPr>
        <w:t>) The owner of a non-Federal downstream hydroelectric project which is directly benefited by a headwater project constructed by the United States, a licensee, or a pre-1920 permittee;</w:t>
      </w:r>
    </w:p>
    <w:p w14:paraId="69323EC6"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(ii) The owner of a headwater project constructed by the United States, a licensee, or a pre-1920 permittee;</w:t>
      </w:r>
    </w:p>
    <w:p w14:paraId="479F12E3"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lastRenderedPageBreak/>
        <w:t>(iii) An operating agency of, or an agency marketing power from, a headwater project constructed by the United States; or</w:t>
      </w:r>
    </w:p>
    <w:p w14:paraId="3CA469F4"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proofErr w:type="gramStart"/>
      <w:r w:rsidRPr="00772335">
        <w:rPr>
          <w:rFonts w:ascii="Arial" w:eastAsia="Times New Roman" w:hAnsi="Arial" w:cs="Arial"/>
          <w:sz w:val="20"/>
          <w:szCs w:val="20"/>
        </w:rPr>
        <w:t>(iv) Any</w:t>
      </w:r>
      <w:proofErr w:type="gramEnd"/>
      <w:r w:rsidRPr="00772335">
        <w:rPr>
          <w:rFonts w:ascii="Arial" w:eastAsia="Times New Roman" w:hAnsi="Arial" w:cs="Arial"/>
          <w:sz w:val="20"/>
          <w:szCs w:val="20"/>
        </w:rPr>
        <w:t xml:space="preserve"> party, as defined in §385.102(c) of this chapter.</w:t>
      </w:r>
    </w:p>
    <w:p w14:paraId="0A81872B"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(11) </w:t>
      </w:r>
      <w:r w:rsidRPr="00772335">
        <w:rPr>
          <w:rFonts w:ascii="Arial" w:eastAsia="Times New Roman" w:hAnsi="Arial" w:cs="Arial"/>
          <w:i/>
          <w:iCs/>
          <w:sz w:val="20"/>
          <w:szCs w:val="20"/>
        </w:rPr>
        <w:t>Final charge</w:t>
      </w:r>
      <w:r w:rsidRPr="00772335">
        <w:rPr>
          <w:rFonts w:ascii="Arial" w:eastAsia="Times New Roman" w:hAnsi="Arial" w:cs="Arial"/>
          <w:sz w:val="20"/>
          <w:szCs w:val="20"/>
        </w:rPr>
        <w:t xml:space="preserve"> means a charge assessed on an annual basis to recover section 10(f) costs and which represents the final determination of the charge for the period for which headwater benefits are assessed. Final charges may be established retroactively, to finalize an interim charge, or prospectively.</w:t>
      </w:r>
    </w:p>
    <w:p w14:paraId="262B21B6"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(12) </w:t>
      </w:r>
      <w:r w:rsidRPr="00772335">
        <w:rPr>
          <w:rFonts w:ascii="Arial" w:eastAsia="Times New Roman" w:hAnsi="Arial" w:cs="Arial"/>
          <w:i/>
          <w:iCs/>
          <w:sz w:val="20"/>
          <w:szCs w:val="20"/>
        </w:rPr>
        <w:t>Interim charge</w:t>
      </w:r>
      <w:r w:rsidRPr="00772335">
        <w:rPr>
          <w:rFonts w:ascii="Arial" w:eastAsia="Times New Roman" w:hAnsi="Arial" w:cs="Arial"/>
          <w:sz w:val="20"/>
          <w:szCs w:val="20"/>
        </w:rPr>
        <w:t xml:space="preserve"> means a charge assessed to recover section 10(f) costs for a specified period of headwater benefits pending determination of a final charge for that period.</w:t>
      </w:r>
    </w:p>
    <w:p w14:paraId="5FB91995"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 xml:space="preserve">(13) </w:t>
      </w:r>
      <w:r w:rsidRPr="00772335">
        <w:rPr>
          <w:rFonts w:ascii="Arial" w:eastAsia="Times New Roman" w:hAnsi="Arial" w:cs="Arial"/>
          <w:i/>
          <w:iCs/>
          <w:sz w:val="20"/>
          <w:szCs w:val="20"/>
        </w:rPr>
        <w:t>Investment cost</w:t>
      </w:r>
      <w:r w:rsidRPr="00772335">
        <w:rPr>
          <w:rFonts w:ascii="Arial" w:eastAsia="Times New Roman" w:hAnsi="Arial" w:cs="Arial"/>
          <w:sz w:val="20"/>
          <w:szCs w:val="20"/>
        </w:rPr>
        <w:t xml:space="preserve"> means the sum of:</w:t>
      </w:r>
    </w:p>
    <w:p w14:paraId="5B175A7E"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w:t>
      </w:r>
      <w:proofErr w:type="spellStart"/>
      <w:r w:rsidRPr="00772335">
        <w:rPr>
          <w:rFonts w:ascii="Arial" w:eastAsia="Times New Roman" w:hAnsi="Arial" w:cs="Arial"/>
          <w:sz w:val="20"/>
          <w:szCs w:val="20"/>
        </w:rPr>
        <w:t>i</w:t>
      </w:r>
      <w:proofErr w:type="spellEnd"/>
      <w:r w:rsidRPr="00772335">
        <w:rPr>
          <w:rFonts w:ascii="Arial" w:eastAsia="Times New Roman" w:hAnsi="Arial" w:cs="Arial"/>
          <w:sz w:val="20"/>
          <w:szCs w:val="20"/>
        </w:rPr>
        <w:t>) Project construction costs, including cost of land, labor and materials, cost of pre- and post-authorization investigations, and cost of engineering, supervision, and administration during construction of the project; and</w:t>
      </w:r>
    </w:p>
    <w:p w14:paraId="29F78D29" w14:textId="77777777" w:rsidR="00772335" w:rsidRPr="00772335" w:rsidRDefault="00772335" w:rsidP="00772335">
      <w:pPr>
        <w:spacing w:before="100" w:beforeAutospacing="1" w:after="100" w:afterAutospacing="1" w:line="240" w:lineRule="auto"/>
        <w:ind w:firstLine="480"/>
        <w:rPr>
          <w:rFonts w:ascii="Arial" w:eastAsia="Times New Roman" w:hAnsi="Arial" w:cs="Arial"/>
          <w:sz w:val="20"/>
          <w:szCs w:val="20"/>
        </w:rPr>
      </w:pPr>
      <w:r w:rsidRPr="00772335">
        <w:rPr>
          <w:rFonts w:ascii="Arial" w:eastAsia="Times New Roman" w:hAnsi="Arial" w:cs="Arial"/>
          <w:sz w:val="20"/>
          <w:szCs w:val="20"/>
        </w:rPr>
        <w:t>(ii) Interest during construction.</w:t>
      </w:r>
    </w:p>
    <w:p w14:paraId="18EF1B43" w14:textId="77777777" w:rsidR="00B5031D" w:rsidRDefault="00772335" w:rsidP="00772335">
      <w:r w:rsidRPr="00772335">
        <w:rPr>
          <w:rFonts w:ascii="Arial" w:eastAsia="Times New Roman" w:hAnsi="Arial" w:cs="Arial"/>
          <w:sz w:val="24"/>
          <w:szCs w:val="24"/>
        </w:rPr>
        <w:t xml:space="preserve">[Order 453, 51 FR 24318, July 3, 1986, as amended by Order 699, 72 FR 45324, </w:t>
      </w:r>
      <w:proofErr w:type="gramStart"/>
      <w:r w:rsidRPr="00772335">
        <w:rPr>
          <w:rFonts w:ascii="Arial" w:eastAsia="Times New Roman" w:hAnsi="Arial" w:cs="Arial"/>
          <w:sz w:val="24"/>
          <w:szCs w:val="24"/>
        </w:rPr>
        <w:t>Aug</w:t>
      </w:r>
      <w:proofErr w:type="gramEnd"/>
      <w:r w:rsidRPr="00772335">
        <w:rPr>
          <w:rFonts w:ascii="Arial" w:eastAsia="Times New Roman" w:hAnsi="Arial" w:cs="Arial"/>
          <w:sz w:val="24"/>
          <w:szCs w:val="24"/>
        </w:rPr>
        <w:t>. 14, 2007]</w:t>
      </w:r>
    </w:p>
    <w:sectPr w:rsidR="00B50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35"/>
    <w:rsid w:val="00772335"/>
    <w:rsid w:val="00B5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071A"/>
  <w15:chartTrackingRefBased/>
  <w15:docId w15:val="{3E3329BF-11C6-4D9F-B62A-E49C1185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261731">
      <w:bodyDiv w:val="1"/>
      <w:marLeft w:val="0"/>
      <w:marRight w:val="0"/>
      <w:marTop w:val="30"/>
      <w:marBottom w:val="750"/>
      <w:divBdr>
        <w:top w:val="none" w:sz="0" w:space="0" w:color="auto"/>
        <w:left w:val="none" w:sz="0" w:space="0" w:color="auto"/>
        <w:bottom w:val="none" w:sz="0" w:space="0" w:color="auto"/>
        <w:right w:val="none" w:sz="0" w:space="0" w:color="auto"/>
      </w:divBdr>
      <w:divsChild>
        <w:div w:id="950818339">
          <w:marLeft w:val="0"/>
          <w:marRight w:val="0"/>
          <w:marTop w:val="0"/>
          <w:marBottom w:val="0"/>
          <w:divBdr>
            <w:top w:val="none" w:sz="0" w:space="0" w:color="auto"/>
            <w:left w:val="none" w:sz="0" w:space="0" w:color="auto"/>
            <w:bottom w:val="none" w:sz="0" w:space="0" w:color="auto"/>
            <w:right w:val="none" w:sz="0" w:space="0" w:color="auto"/>
          </w:divBdr>
          <w:divsChild>
            <w:div w:id="1518419510">
              <w:marLeft w:val="0"/>
              <w:marRight w:val="0"/>
              <w:marTop w:val="0"/>
              <w:marBottom w:val="0"/>
              <w:divBdr>
                <w:top w:val="none" w:sz="0" w:space="0" w:color="auto"/>
                <w:left w:val="none" w:sz="0" w:space="0" w:color="auto"/>
                <w:bottom w:val="none" w:sz="0" w:space="0" w:color="auto"/>
                <w:right w:val="none" w:sz="0" w:space="0" w:color="auto"/>
              </w:divBdr>
            </w:div>
            <w:div w:id="763189974">
              <w:marLeft w:val="0"/>
              <w:marRight w:val="0"/>
              <w:marTop w:val="0"/>
              <w:marBottom w:val="0"/>
              <w:divBdr>
                <w:top w:val="none" w:sz="0" w:space="0" w:color="auto"/>
                <w:left w:val="none" w:sz="0" w:space="0" w:color="auto"/>
                <w:bottom w:val="none" w:sz="0" w:space="0" w:color="auto"/>
                <w:right w:val="none" w:sz="0" w:space="0" w:color="auto"/>
              </w:divBdr>
            </w:div>
            <w:div w:id="1403680447">
              <w:marLeft w:val="0"/>
              <w:marRight w:val="0"/>
              <w:marTop w:val="0"/>
              <w:marBottom w:val="0"/>
              <w:divBdr>
                <w:top w:val="none" w:sz="0" w:space="0" w:color="auto"/>
                <w:left w:val="none" w:sz="0" w:space="0" w:color="auto"/>
                <w:bottom w:val="none" w:sz="0" w:space="0" w:color="auto"/>
                <w:right w:val="none" w:sz="0" w:space="0" w:color="auto"/>
              </w:divBdr>
            </w:div>
            <w:div w:id="617105637">
              <w:marLeft w:val="0"/>
              <w:marRight w:val="0"/>
              <w:marTop w:val="0"/>
              <w:marBottom w:val="0"/>
              <w:divBdr>
                <w:top w:val="none" w:sz="0" w:space="0" w:color="auto"/>
                <w:left w:val="none" w:sz="0" w:space="0" w:color="auto"/>
                <w:bottom w:val="none" w:sz="0" w:space="0" w:color="auto"/>
                <w:right w:val="none" w:sz="0" w:space="0" w:color="auto"/>
              </w:divBdr>
            </w:div>
            <w:div w:id="162548426">
              <w:marLeft w:val="0"/>
              <w:marRight w:val="0"/>
              <w:marTop w:val="0"/>
              <w:marBottom w:val="0"/>
              <w:divBdr>
                <w:top w:val="none" w:sz="0" w:space="0" w:color="auto"/>
                <w:left w:val="none" w:sz="0" w:space="0" w:color="auto"/>
                <w:bottom w:val="none" w:sz="0" w:space="0" w:color="auto"/>
                <w:right w:val="none" w:sz="0" w:space="0" w:color="auto"/>
              </w:divBdr>
            </w:div>
            <w:div w:id="883713620">
              <w:marLeft w:val="0"/>
              <w:marRight w:val="0"/>
              <w:marTop w:val="0"/>
              <w:marBottom w:val="0"/>
              <w:divBdr>
                <w:top w:val="none" w:sz="0" w:space="0" w:color="auto"/>
                <w:left w:val="none" w:sz="0" w:space="0" w:color="auto"/>
                <w:bottom w:val="none" w:sz="0" w:space="0" w:color="auto"/>
                <w:right w:val="none" w:sz="0" w:space="0" w:color="auto"/>
              </w:divBdr>
            </w:div>
            <w:div w:id="1352143742">
              <w:marLeft w:val="0"/>
              <w:marRight w:val="0"/>
              <w:marTop w:val="0"/>
              <w:marBottom w:val="0"/>
              <w:divBdr>
                <w:top w:val="none" w:sz="0" w:space="0" w:color="auto"/>
                <w:left w:val="none" w:sz="0" w:space="0" w:color="auto"/>
                <w:bottom w:val="none" w:sz="0" w:space="0" w:color="auto"/>
                <w:right w:val="none" w:sz="0" w:space="0" w:color="auto"/>
              </w:divBdr>
            </w:div>
            <w:div w:id="1597179128">
              <w:marLeft w:val="0"/>
              <w:marRight w:val="0"/>
              <w:marTop w:val="0"/>
              <w:marBottom w:val="0"/>
              <w:divBdr>
                <w:top w:val="none" w:sz="0" w:space="0" w:color="auto"/>
                <w:left w:val="none" w:sz="0" w:space="0" w:color="auto"/>
                <w:bottom w:val="none" w:sz="0" w:space="0" w:color="auto"/>
                <w:right w:val="none" w:sz="0" w:space="0" w:color="auto"/>
              </w:divBdr>
            </w:div>
            <w:div w:id="527109487">
              <w:marLeft w:val="0"/>
              <w:marRight w:val="0"/>
              <w:marTop w:val="0"/>
              <w:marBottom w:val="0"/>
              <w:divBdr>
                <w:top w:val="none" w:sz="0" w:space="0" w:color="auto"/>
                <w:left w:val="none" w:sz="0" w:space="0" w:color="auto"/>
                <w:bottom w:val="none" w:sz="0" w:space="0" w:color="auto"/>
                <w:right w:val="none" w:sz="0" w:space="0" w:color="auto"/>
              </w:divBdr>
            </w:div>
            <w:div w:id="1445616859">
              <w:marLeft w:val="0"/>
              <w:marRight w:val="0"/>
              <w:marTop w:val="0"/>
              <w:marBottom w:val="0"/>
              <w:divBdr>
                <w:top w:val="none" w:sz="0" w:space="0" w:color="auto"/>
                <w:left w:val="none" w:sz="0" w:space="0" w:color="auto"/>
                <w:bottom w:val="none" w:sz="0" w:space="0" w:color="auto"/>
                <w:right w:val="none" w:sz="0" w:space="0" w:color="auto"/>
              </w:divBdr>
            </w:div>
            <w:div w:id="16481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01458">
      <w:bodyDiv w:val="1"/>
      <w:marLeft w:val="0"/>
      <w:marRight w:val="0"/>
      <w:marTop w:val="30"/>
      <w:marBottom w:val="750"/>
      <w:divBdr>
        <w:top w:val="none" w:sz="0" w:space="0" w:color="auto"/>
        <w:left w:val="none" w:sz="0" w:space="0" w:color="auto"/>
        <w:bottom w:val="none" w:sz="0" w:space="0" w:color="auto"/>
        <w:right w:val="none" w:sz="0" w:space="0" w:color="auto"/>
      </w:divBdr>
      <w:divsChild>
        <w:div w:id="2108571240">
          <w:marLeft w:val="0"/>
          <w:marRight w:val="0"/>
          <w:marTop w:val="0"/>
          <w:marBottom w:val="0"/>
          <w:divBdr>
            <w:top w:val="none" w:sz="0" w:space="0" w:color="auto"/>
            <w:left w:val="none" w:sz="0" w:space="0" w:color="auto"/>
            <w:bottom w:val="none" w:sz="0" w:space="0" w:color="auto"/>
            <w:right w:val="none" w:sz="0" w:space="0" w:color="auto"/>
          </w:divBdr>
          <w:divsChild>
            <w:div w:id="43915557">
              <w:marLeft w:val="0"/>
              <w:marRight w:val="0"/>
              <w:marTop w:val="0"/>
              <w:marBottom w:val="0"/>
              <w:divBdr>
                <w:top w:val="none" w:sz="0" w:space="0" w:color="auto"/>
                <w:left w:val="none" w:sz="0" w:space="0" w:color="auto"/>
                <w:bottom w:val="none" w:sz="0" w:space="0" w:color="auto"/>
                <w:right w:val="none" w:sz="0" w:space="0" w:color="auto"/>
              </w:divBdr>
            </w:div>
            <w:div w:id="749541108">
              <w:marLeft w:val="0"/>
              <w:marRight w:val="0"/>
              <w:marTop w:val="0"/>
              <w:marBottom w:val="0"/>
              <w:divBdr>
                <w:top w:val="none" w:sz="0" w:space="0" w:color="auto"/>
                <w:left w:val="none" w:sz="0" w:space="0" w:color="auto"/>
                <w:bottom w:val="none" w:sz="0" w:space="0" w:color="auto"/>
                <w:right w:val="none" w:sz="0" w:space="0" w:color="auto"/>
              </w:divBdr>
            </w:div>
            <w:div w:id="326638996">
              <w:marLeft w:val="0"/>
              <w:marRight w:val="0"/>
              <w:marTop w:val="0"/>
              <w:marBottom w:val="0"/>
              <w:divBdr>
                <w:top w:val="none" w:sz="0" w:space="0" w:color="auto"/>
                <w:left w:val="none" w:sz="0" w:space="0" w:color="auto"/>
                <w:bottom w:val="none" w:sz="0" w:space="0" w:color="auto"/>
                <w:right w:val="none" w:sz="0" w:space="0" w:color="auto"/>
              </w:divBdr>
            </w:div>
            <w:div w:id="1445685403">
              <w:marLeft w:val="0"/>
              <w:marRight w:val="0"/>
              <w:marTop w:val="0"/>
              <w:marBottom w:val="0"/>
              <w:divBdr>
                <w:top w:val="none" w:sz="0" w:space="0" w:color="auto"/>
                <w:left w:val="none" w:sz="0" w:space="0" w:color="auto"/>
                <w:bottom w:val="none" w:sz="0" w:space="0" w:color="auto"/>
                <w:right w:val="none" w:sz="0" w:space="0" w:color="auto"/>
              </w:divBdr>
            </w:div>
            <w:div w:id="497305564">
              <w:marLeft w:val="0"/>
              <w:marRight w:val="0"/>
              <w:marTop w:val="0"/>
              <w:marBottom w:val="0"/>
              <w:divBdr>
                <w:top w:val="none" w:sz="0" w:space="0" w:color="auto"/>
                <w:left w:val="none" w:sz="0" w:space="0" w:color="auto"/>
                <w:bottom w:val="none" w:sz="0" w:space="0" w:color="auto"/>
                <w:right w:val="none" w:sz="0" w:space="0" w:color="auto"/>
              </w:divBdr>
            </w:div>
            <w:div w:id="1487089398">
              <w:marLeft w:val="0"/>
              <w:marRight w:val="0"/>
              <w:marTop w:val="0"/>
              <w:marBottom w:val="0"/>
              <w:divBdr>
                <w:top w:val="none" w:sz="0" w:space="0" w:color="auto"/>
                <w:left w:val="none" w:sz="0" w:space="0" w:color="auto"/>
                <w:bottom w:val="none" w:sz="0" w:space="0" w:color="auto"/>
                <w:right w:val="none" w:sz="0" w:space="0" w:color="auto"/>
              </w:divBdr>
            </w:div>
            <w:div w:id="921336887">
              <w:marLeft w:val="0"/>
              <w:marRight w:val="0"/>
              <w:marTop w:val="0"/>
              <w:marBottom w:val="0"/>
              <w:divBdr>
                <w:top w:val="none" w:sz="0" w:space="0" w:color="auto"/>
                <w:left w:val="none" w:sz="0" w:space="0" w:color="auto"/>
                <w:bottom w:val="none" w:sz="0" w:space="0" w:color="auto"/>
                <w:right w:val="none" w:sz="0" w:space="0" w:color="auto"/>
              </w:divBdr>
            </w:div>
            <w:div w:id="1737776578">
              <w:marLeft w:val="0"/>
              <w:marRight w:val="0"/>
              <w:marTop w:val="0"/>
              <w:marBottom w:val="0"/>
              <w:divBdr>
                <w:top w:val="none" w:sz="0" w:space="0" w:color="auto"/>
                <w:left w:val="none" w:sz="0" w:space="0" w:color="auto"/>
                <w:bottom w:val="none" w:sz="0" w:space="0" w:color="auto"/>
                <w:right w:val="none" w:sz="0" w:space="0" w:color="auto"/>
              </w:divBdr>
            </w:div>
            <w:div w:id="1909463339">
              <w:marLeft w:val="0"/>
              <w:marRight w:val="0"/>
              <w:marTop w:val="0"/>
              <w:marBottom w:val="0"/>
              <w:divBdr>
                <w:top w:val="none" w:sz="0" w:space="0" w:color="auto"/>
                <w:left w:val="none" w:sz="0" w:space="0" w:color="auto"/>
                <w:bottom w:val="none" w:sz="0" w:space="0" w:color="auto"/>
                <w:right w:val="none" w:sz="0" w:space="0" w:color="auto"/>
              </w:divBdr>
            </w:div>
            <w:div w:id="169101778">
              <w:marLeft w:val="0"/>
              <w:marRight w:val="0"/>
              <w:marTop w:val="0"/>
              <w:marBottom w:val="0"/>
              <w:divBdr>
                <w:top w:val="none" w:sz="0" w:space="0" w:color="auto"/>
                <w:left w:val="none" w:sz="0" w:space="0" w:color="auto"/>
                <w:bottom w:val="none" w:sz="0" w:space="0" w:color="auto"/>
                <w:right w:val="none" w:sz="0" w:space="0" w:color="auto"/>
              </w:divBdr>
            </w:div>
            <w:div w:id="5801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c9bd971a0ba260001168f4a7783a829c&amp;mc=true&amp;node=pt18.1.11&amp;rgn=div5" TargetMode="External"/><Relationship Id="rId18" Type="http://schemas.openxmlformats.org/officeDocument/2006/relationships/hyperlink" Target="https://www.ecfr.gov/cgi-bin/text-idx?SID=c9bd971a0ba260001168f4a7783a829c&amp;mc=true&amp;node=pt18.1.11&amp;rgn=div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fr.gov/cgi-bin/text-idx?SID=c9bd971a0ba260001168f4a7783a829c&amp;mc=true&amp;node=pt18.1.11&amp;rgn=div5" TargetMode="External"/><Relationship Id="rId17" Type="http://schemas.openxmlformats.org/officeDocument/2006/relationships/hyperlink" Target="https://www.ecfr.gov/cgi-bin/text-idx?SID=c9bd971a0ba260001168f4a7783a829c&amp;mc=true&amp;node=pt18.1.11&amp;rgn=div5" TargetMode="External"/><Relationship Id="rId2" Type="http://schemas.openxmlformats.org/officeDocument/2006/relationships/customXml" Target="../customXml/item2.xml"/><Relationship Id="rId16" Type="http://schemas.openxmlformats.org/officeDocument/2006/relationships/hyperlink" Target="https://www.ecfr.gov/cgi-bin/text-idx?SID=c9bd971a0ba260001168f4a7783a829c&amp;mc=true&amp;node=pt18.1.11&amp;rgn=div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c9bd971a0ba260001168f4a7783a829c&amp;mc=true&amp;node=pt18.1.11&amp;rgn=div5" TargetMode="External"/><Relationship Id="rId5" Type="http://schemas.openxmlformats.org/officeDocument/2006/relationships/customXml" Target="../customXml/item5.xml"/><Relationship Id="rId15" Type="http://schemas.openxmlformats.org/officeDocument/2006/relationships/hyperlink" Target="https://www.ecfr.gov/cgi-bin/text-idx?SID=c9bd971a0ba260001168f4a7783a829c&amp;mc=true&amp;node=pt18.1.11&amp;rgn=div5" TargetMode="External"/><Relationship Id="rId10" Type="http://schemas.openxmlformats.org/officeDocument/2006/relationships/hyperlink" Target="https://www.ecfr.gov/cgi-bin/text-idx?SID=c9bd971a0ba260001168f4a7783a829c&amp;mc=true&amp;node=pt18.1.11&amp;rgn=div5" TargetMode="External"/><Relationship Id="rId19" Type="http://schemas.openxmlformats.org/officeDocument/2006/relationships/hyperlink" Target="https://www.ecfr.gov/cgi-bin/text-idx?SID=c9bd971a0ba260001168f4a7783a829c&amp;mc=true&amp;node=pt18.1.11&amp;rgn=div5" TargetMode="External"/><Relationship Id="rId4" Type="http://schemas.openxmlformats.org/officeDocument/2006/relationships/customXml" Target="../customXml/item4.xml"/><Relationship Id="rId9" Type="http://schemas.openxmlformats.org/officeDocument/2006/relationships/hyperlink" Target="https://www.ecfr.gov/cgi-bin/text-idx?SID=c9bd971a0ba260001168f4a7783a829c&amp;mc=true&amp;node=pt18.1.11&amp;rgn=div5" TargetMode="External"/><Relationship Id="rId14" Type="http://schemas.openxmlformats.org/officeDocument/2006/relationships/hyperlink" Target="https://www.ecfr.gov/cgi-bin/text-idx?SID=c9bd971a0ba260001168f4a7783a829c&amp;mc=true&amp;node=pt18.1.11&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583</_x0031__x002e__x0020_Collection_x0020_Number>
    <Date xmlns="d6eefc7d-9817-4fa6-84d5-3bc009be21b8">2017-04-14T00:00:00-04:00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IC17-9</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C25EC76B-2F1B-473E-98DD-37D91E75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3100C-7E27-44F8-9212-9E9933F2F02B}">
  <ds:schemaRefs>
    <ds:schemaRef ds:uri="http://schemas.microsoft.com/office/2006/metadata/customXsn"/>
  </ds:schemaRefs>
</ds:datastoreItem>
</file>

<file path=customXml/itemProps3.xml><?xml version="1.0" encoding="utf-8"?>
<ds:datastoreItem xmlns:ds="http://schemas.openxmlformats.org/officeDocument/2006/customXml" ds:itemID="{B098A113-A869-4CA7-98CB-0A01371A5E2D}">
  <ds:schemaRefs>
    <ds:schemaRef ds:uri="Microsoft.SharePoint.Taxonomy.ContentTypeSync"/>
  </ds:schemaRefs>
</ds:datastoreItem>
</file>

<file path=customXml/itemProps4.xml><?xml version="1.0" encoding="utf-8"?>
<ds:datastoreItem xmlns:ds="http://schemas.openxmlformats.org/officeDocument/2006/customXml" ds:itemID="{EAD81AB9-9A6F-4143-BDE0-56CAF3ED80FA}">
  <ds:schemaRefs>
    <ds:schemaRef ds:uri="http://schemas.microsoft.com/sharepoint/v3/contenttype/forms"/>
  </ds:schemaRefs>
</ds:datastoreItem>
</file>

<file path=customXml/itemProps5.xml><?xml version="1.0" encoding="utf-8"?>
<ds:datastoreItem xmlns:ds="http://schemas.openxmlformats.org/officeDocument/2006/customXml" ds:itemID="{031F8028-3961-405C-804F-51BCF43A0041}">
  <ds:schemaRefs>
    <ds:schemaRef ds:uri="http://schemas.microsoft.com/office/infopath/2007/PartnerControls"/>
    <ds:schemaRef ds:uri="http://schemas.microsoft.com/office/2006/documentManagement/types"/>
    <ds:schemaRef ds:uri="http://purl.org/dc/elements/1.1/"/>
    <ds:schemaRef ds:uri="d6eefc7d-9817-4fa6-84d5-3bc009be21b8"/>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2017-04-21T13:03:00Z</dcterms:created>
  <dcterms:modified xsi:type="dcterms:W3CDTF">2017-04-21T13:11:00Z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