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6CBB" w14:textId="77777777" w:rsidR="00FB3A72" w:rsidRDefault="00FB3A72" w:rsidP="003E16DC">
      <w:pPr>
        <w:widowControl w:val="0"/>
        <w:jc w:val="center"/>
        <w:rPr>
          <w:sz w:val="32"/>
        </w:rPr>
      </w:pPr>
      <w:bookmarkStart w:id="0" w:name="_GoBack"/>
      <w:bookmarkEnd w:id="0"/>
    </w:p>
    <w:p w14:paraId="40FA46BB" w14:textId="77777777" w:rsidR="00FB3A72" w:rsidRDefault="00FB3A72" w:rsidP="003E16DC">
      <w:pPr>
        <w:widowControl w:val="0"/>
        <w:jc w:val="center"/>
        <w:rPr>
          <w:sz w:val="32"/>
        </w:rPr>
      </w:pPr>
    </w:p>
    <w:p w14:paraId="74CBC708" w14:textId="5C5D92E5" w:rsidR="002155CF" w:rsidRPr="00340790" w:rsidRDefault="00FB3A72" w:rsidP="003E16DC">
      <w:pPr>
        <w:widowControl w:val="0"/>
        <w:jc w:val="center"/>
        <w:rPr>
          <w:b/>
          <w:sz w:val="48"/>
          <w:szCs w:val="48"/>
        </w:rPr>
      </w:pPr>
      <w:r w:rsidRPr="00340790">
        <w:rPr>
          <w:b/>
          <w:sz w:val="48"/>
          <w:szCs w:val="48"/>
        </w:rPr>
        <w:t xml:space="preserve">International Computer and Information Literacy Study (ICILS 2018) </w:t>
      </w:r>
      <w:r w:rsidR="00340790">
        <w:rPr>
          <w:b/>
          <w:sz w:val="48"/>
          <w:szCs w:val="48"/>
        </w:rPr>
        <w:t>Pretest</w:t>
      </w:r>
    </w:p>
    <w:p w14:paraId="22A850D6" w14:textId="3EBE9091" w:rsidR="00FB3A72" w:rsidRDefault="00FB3A72" w:rsidP="003E16DC">
      <w:pPr>
        <w:widowControl w:val="0"/>
        <w:jc w:val="center"/>
        <w:rPr>
          <w:sz w:val="32"/>
        </w:rPr>
      </w:pPr>
    </w:p>
    <w:p w14:paraId="2FBCD801" w14:textId="77777777" w:rsidR="00FB3A72" w:rsidRPr="00F51FFD" w:rsidRDefault="00FB3A72" w:rsidP="003E16DC">
      <w:pPr>
        <w:widowControl w:val="0"/>
        <w:jc w:val="center"/>
        <w:rPr>
          <w:sz w:val="40"/>
          <w:szCs w:val="40"/>
        </w:rPr>
      </w:pPr>
    </w:p>
    <w:p w14:paraId="2E52FF6C" w14:textId="7F1E09E8"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sz w:val="32"/>
          <w:szCs w:val="32"/>
        </w:rPr>
        <w:t>OMB# 1850-</w:t>
      </w:r>
      <w:r w:rsidRPr="00AC1341">
        <w:rPr>
          <w:rFonts w:asciiTheme="minorHAnsi" w:hAnsiTheme="minorHAnsi"/>
          <w:sz w:val="32"/>
          <w:szCs w:val="32"/>
        </w:rPr>
        <w:t>0803</w:t>
      </w:r>
      <w:r w:rsidRPr="00FB3A72">
        <w:rPr>
          <w:rFonts w:asciiTheme="minorHAnsi" w:hAnsiTheme="minorHAnsi"/>
          <w:sz w:val="32"/>
          <w:szCs w:val="32"/>
        </w:rPr>
        <w:t xml:space="preserve"> </w:t>
      </w:r>
      <w:r w:rsidR="008A2C65" w:rsidRPr="00FB3A72">
        <w:rPr>
          <w:rFonts w:asciiTheme="minorHAnsi" w:hAnsiTheme="minorHAnsi"/>
          <w:caps w:val="0"/>
          <w:sz w:val="32"/>
          <w:szCs w:val="32"/>
        </w:rPr>
        <w:t>v</w:t>
      </w:r>
      <w:r w:rsidR="008A2C65">
        <w:rPr>
          <w:rFonts w:asciiTheme="minorHAnsi" w:hAnsiTheme="minorHAnsi"/>
          <w:sz w:val="32"/>
          <w:szCs w:val="32"/>
        </w:rPr>
        <w:t>.207</w:t>
      </w:r>
    </w:p>
    <w:p w14:paraId="411D8C27" w14:textId="77777777" w:rsidR="00FB3A72" w:rsidRPr="00FB3A72" w:rsidRDefault="00FB3A72" w:rsidP="00FB3A72">
      <w:pPr>
        <w:pStyle w:val="C1-CtrBoldHd"/>
        <w:spacing w:after="0"/>
        <w:rPr>
          <w:rFonts w:asciiTheme="minorHAnsi" w:hAnsiTheme="minorHAnsi"/>
          <w:sz w:val="32"/>
          <w:szCs w:val="32"/>
        </w:rPr>
      </w:pPr>
    </w:p>
    <w:p w14:paraId="25969DAB" w14:textId="77777777" w:rsidR="00FB3A72" w:rsidRPr="00FB3A72" w:rsidRDefault="00FB3A72" w:rsidP="00FB3A72">
      <w:pPr>
        <w:pStyle w:val="C1-CtrBoldHd"/>
        <w:spacing w:after="0"/>
        <w:rPr>
          <w:rFonts w:asciiTheme="minorHAnsi" w:hAnsiTheme="minorHAnsi"/>
          <w:sz w:val="32"/>
          <w:szCs w:val="32"/>
        </w:rPr>
      </w:pPr>
    </w:p>
    <w:p w14:paraId="1E2B795F" w14:textId="2EF91EFD" w:rsidR="00FB3A72" w:rsidRPr="008E4181" w:rsidRDefault="008E4181" w:rsidP="00FB3A7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1</w:t>
      </w:r>
    </w:p>
    <w:p w14:paraId="06030C05" w14:textId="77777777" w:rsidR="00FB3A72" w:rsidRPr="00FB3A72" w:rsidRDefault="00FB3A72" w:rsidP="00FB3A72">
      <w:pPr>
        <w:pStyle w:val="C1-CtrBoldHd"/>
        <w:spacing w:after="0"/>
        <w:rPr>
          <w:rFonts w:asciiTheme="minorHAnsi" w:hAnsiTheme="minorHAnsi"/>
          <w:sz w:val="32"/>
          <w:szCs w:val="32"/>
        </w:rPr>
      </w:pPr>
    </w:p>
    <w:p w14:paraId="3DF0E074" w14:textId="77777777" w:rsidR="00FB3A72" w:rsidRPr="00FB3A72" w:rsidRDefault="00FB3A72" w:rsidP="00FB3A72">
      <w:pPr>
        <w:pStyle w:val="C1-CtrBoldHd"/>
        <w:spacing w:after="0"/>
        <w:rPr>
          <w:rFonts w:asciiTheme="minorHAnsi" w:hAnsiTheme="minorHAnsi"/>
          <w:sz w:val="32"/>
          <w:szCs w:val="32"/>
        </w:rPr>
      </w:pPr>
    </w:p>
    <w:p w14:paraId="5CDF844D" w14:textId="77777777" w:rsidR="00FB3A72" w:rsidRPr="00FB3A72" w:rsidRDefault="00FB3A72" w:rsidP="00FB3A72">
      <w:pPr>
        <w:pStyle w:val="C1-CtrBoldHd"/>
        <w:spacing w:after="0"/>
        <w:rPr>
          <w:rFonts w:asciiTheme="minorHAnsi" w:hAnsiTheme="minorHAnsi"/>
          <w:sz w:val="32"/>
          <w:szCs w:val="32"/>
        </w:rPr>
      </w:pPr>
    </w:p>
    <w:p w14:paraId="05E366BA"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7FE89E7F" w14:textId="77777777" w:rsidR="00FB3A72" w:rsidRPr="00FB3A72" w:rsidRDefault="00FB3A72" w:rsidP="00FB3A72">
      <w:pPr>
        <w:pStyle w:val="C1-CtrBoldHd"/>
        <w:spacing w:after="0"/>
        <w:rPr>
          <w:rFonts w:asciiTheme="minorHAnsi" w:hAnsiTheme="minorHAnsi"/>
          <w:caps w:val="0"/>
          <w:sz w:val="32"/>
          <w:szCs w:val="32"/>
        </w:rPr>
      </w:pPr>
    </w:p>
    <w:p w14:paraId="1A155F6E" w14:textId="77777777" w:rsidR="00FB3A72" w:rsidRPr="00FB3A72" w:rsidRDefault="00FB3A72" w:rsidP="00FB3A72">
      <w:pPr>
        <w:pStyle w:val="C1-CtrBoldHd"/>
        <w:spacing w:after="0"/>
        <w:rPr>
          <w:rFonts w:asciiTheme="minorHAnsi" w:hAnsiTheme="minorHAnsi"/>
          <w:sz w:val="32"/>
          <w:szCs w:val="32"/>
        </w:rPr>
      </w:pPr>
    </w:p>
    <w:p w14:paraId="40FACB03"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704B19F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0C2F02F4"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0290FA6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1670BB6" w14:textId="77777777" w:rsidR="002155CF" w:rsidRDefault="002155CF" w:rsidP="003E16DC">
      <w:pPr>
        <w:widowControl w:val="0"/>
        <w:rPr>
          <w:rFonts w:ascii="Times New Roman" w:hAnsi="Times New Roman"/>
          <w:b/>
          <w:i/>
          <w:sz w:val="36"/>
        </w:rPr>
      </w:pPr>
    </w:p>
    <w:p w14:paraId="2FF52836" w14:textId="71D43C38" w:rsidR="002155CF" w:rsidRPr="009B5D20" w:rsidRDefault="002155CF" w:rsidP="003E16DC">
      <w:pPr>
        <w:widowControl w:val="0"/>
        <w:jc w:val="center"/>
        <w:rPr>
          <w:sz w:val="36"/>
          <w:szCs w:val="36"/>
        </w:rPr>
      </w:pPr>
    </w:p>
    <w:p w14:paraId="29F752D5" w14:textId="77777777" w:rsidR="00335AF7" w:rsidRDefault="00335AF7" w:rsidP="00335AF7">
      <w:pPr>
        <w:pStyle w:val="NormalWeb"/>
        <w:jc w:val="center"/>
        <w:rPr>
          <w:sz w:val="28"/>
          <w:szCs w:val="28"/>
        </w:rPr>
      </w:pPr>
    </w:p>
    <w:p w14:paraId="3A2204C1" w14:textId="77777777" w:rsidR="00340790" w:rsidRDefault="00FB3A72" w:rsidP="001F744B">
      <w:pPr>
        <w:pStyle w:val="NormalWeb"/>
        <w:spacing w:before="0" w:beforeAutospacing="0" w:after="0" w:afterAutospacing="0"/>
        <w:jc w:val="center"/>
        <w:rPr>
          <w:rFonts w:asciiTheme="minorHAnsi" w:hAnsiTheme="minorHAnsi"/>
          <w:b/>
          <w:sz w:val="32"/>
          <w:szCs w:val="32"/>
        </w:rPr>
      </w:pPr>
      <w:r w:rsidRPr="00340790">
        <w:rPr>
          <w:rFonts w:asciiTheme="minorHAnsi" w:hAnsiTheme="minorHAnsi"/>
          <w:b/>
          <w:sz w:val="32"/>
          <w:szCs w:val="32"/>
        </w:rPr>
        <w:t>August</w:t>
      </w:r>
      <w:r w:rsidR="00142275" w:rsidRPr="00340790">
        <w:rPr>
          <w:rFonts w:asciiTheme="minorHAnsi" w:hAnsiTheme="minorHAnsi"/>
          <w:b/>
          <w:sz w:val="32"/>
          <w:szCs w:val="32"/>
        </w:rPr>
        <w:t xml:space="preserve"> 2017</w:t>
      </w:r>
    </w:p>
    <w:p w14:paraId="58BE99E1" w14:textId="3E06841A" w:rsidR="001F744B" w:rsidRDefault="001F744B" w:rsidP="001F744B">
      <w:pPr>
        <w:pStyle w:val="NormalWeb"/>
        <w:spacing w:before="0" w:beforeAutospacing="0" w:after="0" w:afterAutospacing="0"/>
        <w:jc w:val="center"/>
        <w:rPr>
          <w:rFonts w:asciiTheme="minorHAnsi" w:hAnsiTheme="minorHAnsi"/>
          <w:b/>
          <w:sz w:val="32"/>
          <w:szCs w:val="32"/>
        </w:rPr>
      </w:pPr>
      <w:r>
        <w:rPr>
          <w:rFonts w:asciiTheme="minorHAnsi" w:hAnsiTheme="minorHAnsi"/>
          <w:b/>
          <w:sz w:val="32"/>
          <w:szCs w:val="32"/>
        </w:rPr>
        <w:t>revised September 2017</w:t>
      </w:r>
    </w:p>
    <w:p w14:paraId="476D303A" w14:textId="461D4232" w:rsidR="004109FC" w:rsidRPr="00340790" w:rsidRDefault="004109FC" w:rsidP="0068458E">
      <w:pPr>
        <w:pStyle w:val="NormalWeb"/>
        <w:jc w:val="center"/>
        <w:rPr>
          <w:rFonts w:asciiTheme="minorHAnsi" w:hAnsiTheme="minorHAnsi"/>
          <w:b/>
          <w:sz w:val="32"/>
          <w:szCs w:val="32"/>
        </w:rPr>
      </w:pPr>
      <w:r w:rsidRPr="00340790">
        <w:rPr>
          <w:rFonts w:asciiTheme="minorHAnsi" w:hAnsiTheme="minorHAnsi"/>
          <w:b/>
          <w:sz w:val="32"/>
          <w:szCs w:val="32"/>
        </w:rPr>
        <w:br w:type="page"/>
      </w:r>
    </w:p>
    <w:p w14:paraId="22FFB91C" w14:textId="77777777" w:rsidR="004109FC" w:rsidRDefault="004109FC" w:rsidP="007E5DCB">
      <w:pPr>
        <w:pStyle w:val="TOCHeading"/>
        <w:jc w:val="center"/>
        <w:rPr>
          <w:rFonts w:asciiTheme="minorHAnsi" w:hAnsiTheme="minorHAnsi" w:cstheme="minorHAnsi"/>
        </w:rPr>
      </w:pPr>
    </w:p>
    <w:p w14:paraId="3EF0D7C6" w14:textId="402A50F2" w:rsidR="002155CF" w:rsidRPr="007E5DCB" w:rsidRDefault="007E5DCB" w:rsidP="007E5DCB">
      <w:pPr>
        <w:pStyle w:val="TOCHeading"/>
        <w:jc w:val="center"/>
        <w:rPr>
          <w:rFonts w:asciiTheme="minorHAnsi" w:hAnsiTheme="minorHAnsi" w:cstheme="minorHAnsi"/>
        </w:rPr>
      </w:pPr>
      <w:r w:rsidRPr="007E5DCB">
        <w:rPr>
          <w:rFonts w:asciiTheme="minorHAnsi" w:hAnsiTheme="minorHAnsi" w:cstheme="minorHAnsi"/>
        </w:rPr>
        <w:t xml:space="preserve">Table of </w:t>
      </w:r>
      <w:r w:rsidR="002155CF" w:rsidRPr="007E5DCB">
        <w:rPr>
          <w:rFonts w:asciiTheme="minorHAnsi" w:hAnsiTheme="minorHAnsi" w:cstheme="minorHAnsi"/>
        </w:rPr>
        <w:t>Contents</w:t>
      </w:r>
    </w:p>
    <w:p w14:paraId="389294EE" w14:textId="77777777" w:rsidR="00206DD5" w:rsidRPr="00206DD5" w:rsidRDefault="00206DD5" w:rsidP="00206DD5"/>
    <w:p w14:paraId="0BBF0CE5" w14:textId="5C0BE701" w:rsidR="00087F91" w:rsidRPr="00340790" w:rsidRDefault="000F550D" w:rsidP="0096367C">
      <w:pPr>
        <w:pStyle w:val="TOC1"/>
        <w:rPr>
          <w:rFonts w:asciiTheme="minorHAnsi" w:eastAsiaTheme="minorEastAsia" w:hAnsiTheme="minorHAnsi" w:cstheme="minorBidi"/>
          <w:b w:val="0"/>
          <w:noProof/>
          <w:sz w:val="24"/>
          <w:szCs w:val="24"/>
        </w:rPr>
      </w:pPr>
      <w:r w:rsidRPr="00340790">
        <w:rPr>
          <w:rFonts w:asciiTheme="minorHAnsi" w:hAnsiTheme="minorHAnsi" w:cstheme="minorHAnsi"/>
          <w:b w:val="0"/>
          <w:smallCaps/>
          <w:sz w:val="24"/>
          <w:szCs w:val="24"/>
        </w:rPr>
        <w:fldChar w:fldCharType="begin"/>
      </w:r>
      <w:r w:rsidR="002155CF" w:rsidRPr="00340790">
        <w:rPr>
          <w:rFonts w:asciiTheme="minorHAnsi" w:hAnsiTheme="minorHAnsi" w:cstheme="minorHAnsi"/>
          <w:b w:val="0"/>
          <w:smallCaps/>
          <w:sz w:val="24"/>
          <w:szCs w:val="24"/>
        </w:rPr>
        <w:instrText xml:space="preserve"> TOC \o "1-1" \h \z \t "aAppendix,1" </w:instrText>
      </w:r>
      <w:r w:rsidRPr="00340790">
        <w:rPr>
          <w:rFonts w:asciiTheme="minorHAnsi" w:hAnsiTheme="minorHAnsi" w:cstheme="minorHAnsi"/>
          <w:b w:val="0"/>
          <w:smallCaps/>
          <w:sz w:val="24"/>
          <w:szCs w:val="24"/>
        </w:rPr>
        <w:fldChar w:fldCharType="separate"/>
      </w:r>
      <w:hyperlink w:anchor="_Toc484586716" w:history="1">
        <w:r w:rsidR="00340790" w:rsidRPr="00340790">
          <w:rPr>
            <w:rStyle w:val="Hyperlink"/>
            <w:b w:val="0"/>
            <w:caps w:val="0"/>
            <w:noProof/>
            <w:sz w:val="24"/>
            <w:szCs w:val="24"/>
          </w:rPr>
          <w:t>1)</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Submittal-Related Information</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_Toc484586716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3</w:t>
        </w:r>
        <w:r w:rsidR="00087F91" w:rsidRPr="00340790">
          <w:rPr>
            <w:b w:val="0"/>
            <w:noProof/>
            <w:webHidden/>
            <w:sz w:val="24"/>
            <w:szCs w:val="24"/>
          </w:rPr>
          <w:fldChar w:fldCharType="end"/>
        </w:r>
      </w:hyperlink>
    </w:p>
    <w:p w14:paraId="3B5E7233" w14:textId="14CB773D" w:rsidR="00087F91" w:rsidRPr="00340790" w:rsidRDefault="00183351" w:rsidP="0096367C">
      <w:pPr>
        <w:pStyle w:val="TOC1"/>
        <w:rPr>
          <w:rFonts w:asciiTheme="minorHAnsi" w:eastAsiaTheme="minorEastAsia" w:hAnsiTheme="minorHAnsi" w:cstheme="minorBidi"/>
          <w:b w:val="0"/>
          <w:noProof/>
          <w:sz w:val="24"/>
          <w:szCs w:val="24"/>
        </w:rPr>
      </w:pPr>
      <w:hyperlink w:anchor="_Toc484586717" w:history="1">
        <w:r w:rsidR="00340790" w:rsidRPr="00340790">
          <w:rPr>
            <w:rStyle w:val="Hyperlink"/>
            <w:b w:val="0"/>
            <w:caps w:val="0"/>
            <w:noProof/>
            <w:sz w:val="24"/>
            <w:szCs w:val="24"/>
          </w:rPr>
          <w:t>2)</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Background </w:t>
        </w:r>
        <w:r w:rsidR="00340790">
          <w:rPr>
            <w:rStyle w:val="Hyperlink"/>
            <w:b w:val="0"/>
            <w:caps w:val="0"/>
            <w:noProof/>
            <w:sz w:val="24"/>
            <w:szCs w:val="24"/>
          </w:rPr>
          <w:t>a</w:t>
        </w:r>
        <w:r w:rsidR="00340790" w:rsidRPr="00340790">
          <w:rPr>
            <w:rStyle w:val="Hyperlink"/>
            <w:b w:val="0"/>
            <w:caps w:val="0"/>
            <w:noProof/>
            <w:sz w:val="24"/>
            <w:szCs w:val="24"/>
          </w:rPr>
          <w:t>nd Study Rationale</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_Toc484586717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3</w:t>
        </w:r>
        <w:r w:rsidR="00087F91" w:rsidRPr="00340790">
          <w:rPr>
            <w:b w:val="0"/>
            <w:noProof/>
            <w:webHidden/>
            <w:sz w:val="24"/>
            <w:szCs w:val="24"/>
          </w:rPr>
          <w:fldChar w:fldCharType="end"/>
        </w:r>
      </w:hyperlink>
    </w:p>
    <w:p w14:paraId="314FF388" w14:textId="06264B89" w:rsidR="00087F91" w:rsidRPr="00340790" w:rsidRDefault="00183351" w:rsidP="0096367C">
      <w:pPr>
        <w:pStyle w:val="TOC1"/>
        <w:rPr>
          <w:rFonts w:asciiTheme="minorHAnsi" w:eastAsiaTheme="minorEastAsia" w:hAnsiTheme="minorHAnsi" w:cstheme="minorBidi"/>
          <w:b w:val="0"/>
          <w:noProof/>
          <w:sz w:val="24"/>
          <w:szCs w:val="24"/>
        </w:rPr>
      </w:pPr>
      <w:hyperlink w:anchor="_Toc484586718" w:history="1">
        <w:r w:rsidR="00340790" w:rsidRPr="00340790">
          <w:rPr>
            <w:rStyle w:val="Hyperlink"/>
            <w:b w:val="0"/>
            <w:caps w:val="0"/>
            <w:noProof/>
            <w:sz w:val="24"/>
            <w:szCs w:val="24"/>
          </w:rPr>
          <w:t>3)</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Recruitment </w:t>
        </w:r>
        <w:r w:rsidR="00340790">
          <w:rPr>
            <w:rStyle w:val="Hyperlink"/>
            <w:b w:val="0"/>
            <w:caps w:val="0"/>
            <w:noProof/>
            <w:sz w:val="24"/>
            <w:szCs w:val="24"/>
          </w:rPr>
          <w:t>a</w:t>
        </w:r>
        <w:r w:rsidR="00340790" w:rsidRPr="00340790">
          <w:rPr>
            <w:rStyle w:val="Hyperlink"/>
            <w:b w:val="0"/>
            <w:caps w:val="0"/>
            <w:noProof/>
            <w:sz w:val="24"/>
            <w:szCs w:val="24"/>
          </w:rPr>
          <w:t>nd Data Collection</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_Toc484586718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3</w:t>
        </w:r>
        <w:r w:rsidR="00087F91" w:rsidRPr="00340790">
          <w:rPr>
            <w:b w:val="0"/>
            <w:noProof/>
            <w:webHidden/>
            <w:sz w:val="24"/>
            <w:szCs w:val="24"/>
          </w:rPr>
          <w:fldChar w:fldCharType="end"/>
        </w:r>
      </w:hyperlink>
    </w:p>
    <w:p w14:paraId="633E7C8D" w14:textId="7FF646D6" w:rsidR="00087F91" w:rsidRPr="00340790" w:rsidRDefault="00183351" w:rsidP="0096367C">
      <w:pPr>
        <w:pStyle w:val="TOC1"/>
        <w:rPr>
          <w:rFonts w:asciiTheme="minorHAnsi" w:eastAsiaTheme="minorEastAsia" w:hAnsiTheme="minorHAnsi" w:cstheme="minorBidi"/>
          <w:b w:val="0"/>
          <w:noProof/>
          <w:sz w:val="24"/>
          <w:szCs w:val="24"/>
        </w:rPr>
      </w:pPr>
      <w:hyperlink w:anchor="_Toc484586719" w:history="1">
        <w:r w:rsidR="00340790" w:rsidRPr="00340790">
          <w:rPr>
            <w:rStyle w:val="Hyperlink"/>
            <w:b w:val="0"/>
            <w:caps w:val="0"/>
            <w:noProof/>
            <w:sz w:val="24"/>
            <w:szCs w:val="24"/>
          </w:rPr>
          <w:t>4)</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Consultations </w:t>
        </w:r>
        <w:r w:rsidR="00340790">
          <w:rPr>
            <w:rStyle w:val="Hyperlink"/>
            <w:b w:val="0"/>
            <w:caps w:val="0"/>
            <w:noProof/>
            <w:sz w:val="24"/>
            <w:szCs w:val="24"/>
          </w:rPr>
          <w:t>o</w:t>
        </w:r>
        <w:r w:rsidR="00340790" w:rsidRPr="00340790">
          <w:rPr>
            <w:rStyle w:val="Hyperlink"/>
            <w:b w:val="0"/>
            <w:caps w:val="0"/>
            <w:noProof/>
            <w:sz w:val="24"/>
            <w:szCs w:val="24"/>
          </w:rPr>
          <w:t xml:space="preserve">utside </w:t>
        </w:r>
        <w:r w:rsidR="00340790">
          <w:rPr>
            <w:rStyle w:val="Hyperlink"/>
            <w:b w:val="0"/>
            <w:caps w:val="0"/>
            <w:noProof/>
            <w:sz w:val="24"/>
            <w:szCs w:val="24"/>
          </w:rPr>
          <w:t>t</w:t>
        </w:r>
        <w:r w:rsidR="00340790" w:rsidRPr="00340790">
          <w:rPr>
            <w:rStyle w:val="Hyperlink"/>
            <w:b w:val="0"/>
            <w:caps w:val="0"/>
            <w:noProof/>
            <w:sz w:val="24"/>
            <w:szCs w:val="24"/>
          </w:rPr>
          <w:t>he Agency</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_Toc484586719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5</w:t>
        </w:r>
        <w:r w:rsidR="00087F91" w:rsidRPr="00340790">
          <w:rPr>
            <w:b w:val="0"/>
            <w:noProof/>
            <w:webHidden/>
            <w:sz w:val="24"/>
            <w:szCs w:val="24"/>
          </w:rPr>
          <w:fldChar w:fldCharType="end"/>
        </w:r>
      </w:hyperlink>
    </w:p>
    <w:p w14:paraId="6F3D0663" w14:textId="4CF63DAB" w:rsidR="00087F91" w:rsidRPr="00340790" w:rsidRDefault="00183351" w:rsidP="0096367C">
      <w:pPr>
        <w:pStyle w:val="TOC1"/>
        <w:rPr>
          <w:rFonts w:asciiTheme="minorHAnsi" w:eastAsiaTheme="minorEastAsia" w:hAnsiTheme="minorHAnsi" w:cstheme="minorBidi"/>
          <w:b w:val="0"/>
          <w:noProof/>
          <w:sz w:val="24"/>
          <w:szCs w:val="24"/>
        </w:rPr>
      </w:pPr>
      <w:hyperlink w:anchor="_Toc484586720" w:history="1">
        <w:r w:rsidR="00340790" w:rsidRPr="00340790">
          <w:rPr>
            <w:rStyle w:val="Hyperlink"/>
            <w:b w:val="0"/>
            <w:caps w:val="0"/>
            <w:noProof/>
            <w:sz w:val="24"/>
            <w:szCs w:val="24"/>
          </w:rPr>
          <w:t>5)</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Justification </w:t>
        </w:r>
        <w:r w:rsidR="00340790">
          <w:rPr>
            <w:rStyle w:val="Hyperlink"/>
            <w:b w:val="0"/>
            <w:caps w:val="0"/>
            <w:noProof/>
            <w:sz w:val="24"/>
            <w:szCs w:val="24"/>
          </w:rPr>
          <w:t>f</w:t>
        </w:r>
        <w:r w:rsidR="00340790" w:rsidRPr="00340790">
          <w:rPr>
            <w:rStyle w:val="Hyperlink"/>
            <w:b w:val="0"/>
            <w:caps w:val="0"/>
            <w:noProof/>
            <w:sz w:val="24"/>
            <w:szCs w:val="24"/>
          </w:rPr>
          <w:t>or Sensitive Questions</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_Toc484586720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5</w:t>
        </w:r>
        <w:r w:rsidR="00087F91" w:rsidRPr="00340790">
          <w:rPr>
            <w:b w:val="0"/>
            <w:noProof/>
            <w:webHidden/>
            <w:sz w:val="24"/>
            <w:szCs w:val="24"/>
          </w:rPr>
          <w:fldChar w:fldCharType="end"/>
        </w:r>
      </w:hyperlink>
    </w:p>
    <w:p w14:paraId="132AE3A7" w14:textId="5A0D79AA" w:rsidR="00087F91" w:rsidRPr="00340790" w:rsidRDefault="00183351" w:rsidP="0096367C">
      <w:pPr>
        <w:pStyle w:val="TOC1"/>
        <w:rPr>
          <w:rFonts w:asciiTheme="minorHAnsi" w:eastAsiaTheme="minorEastAsia" w:hAnsiTheme="minorHAnsi" w:cstheme="minorBidi"/>
          <w:b w:val="0"/>
          <w:noProof/>
          <w:sz w:val="24"/>
          <w:szCs w:val="24"/>
        </w:rPr>
      </w:pPr>
      <w:hyperlink w:anchor="_Toc484586721" w:history="1">
        <w:r w:rsidR="00340790" w:rsidRPr="00340790">
          <w:rPr>
            <w:rStyle w:val="Hyperlink"/>
            <w:b w:val="0"/>
            <w:caps w:val="0"/>
            <w:noProof/>
            <w:sz w:val="24"/>
            <w:szCs w:val="24"/>
          </w:rPr>
          <w:t>6)</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Paying Respondents</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_Toc484586721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5</w:t>
        </w:r>
        <w:r w:rsidR="00087F91" w:rsidRPr="00340790">
          <w:rPr>
            <w:b w:val="0"/>
            <w:noProof/>
            <w:webHidden/>
            <w:sz w:val="24"/>
            <w:szCs w:val="24"/>
          </w:rPr>
          <w:fldChar w:fldCharType="end"/>
        </w:r>
      </w:hyperlink>
    </w:p>
    <w:p w14:paraId="6F6C2F7E" w14:textId="6B0A6E52" w:rsidR="00087F91" w:rsidRPr="00340790" w:rsidRDefault="00183351" w:rsidP="0096367C">
      <w:pPr>
        <w:pStyle w:val="TOC1"/>
        <w:rPr>
          <w:rFonts w:asciiTheme="minorHAnsi" w:eastAsiaTheme="minorEastAsia" w:hAnsiTheme="minorHAnsi" w:cstheme="minorBidi"/>
          <w:b w:val="0"/>
          <w:noProof/>
          <w:sz w:val="24"/>
          <w:szCs w:val="24"/>
        </w:rPr>
      </w:pPr>
      <w:hyperlink w:anchor="_Toc484586722" w:history="1">
        <w:r w:rsidR="00340790" w:rsidRPr="00340790">
          <w:rPr>
            <w:rStyle w:val="Hyperlink"/>
            <w:b w:val="0"/>
            <w:caps w:val="0"/>
            <w:noProof/>
            <w:sz w:val="24"/>
            <w:szCs w:val="24"/>
          </w:rPr>
          <w:t>7)</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Assurance </w:t>
        </w:r>
        <w:r w:rsidR="00340790">
          <w:rPr>
            <w:rStyle w:val="Hyperlink"/>
            <w:b w:val="0"/>
            <w:caps w:val="0"/>
            <w:noProof/>
            <w:sz w:val="24"/>
            <w:szCs w:val="24"/>
          </w:rPr>
          <w:t>o</w:t>
        </w:r>
        <w:r w:rsidR="00340790" w:rsidRPr="00340790">
          <w:rPr>
            <w:rStyle w:val="Hyperlink"/>
            <w:b w:val="0"/>
            <w:caps w:val="0"/>
            <w:noProof/>
            <w:sz w:val="24"/>
            <w:szCs w:val="24"/>
          </w:rPr>
          <w:t>f Confidentiality</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_Toc484586722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6</w:t>
        </w:r>
        <w:r w:rsidR="00087F91" w:rsidRPr="00340790">
          <w:rPr>
            <w:b w:val="0"/>
            <w:noProof/>
            <w:webHidden/>
            <w:sz w:val="24"/>
            <w:szCs w:val="24"/>
          </w:rPr>
          <w:fldChar w:fldCharType="end"/>
        </w:r>
      </w:hyperlink>
    </w:p>
    <w:p w14:paraId="2466ECF6" w14:textId="04D282B2" w:rsidR="00087F91" w:rsidRPr="00340790" w:rsidRDefault="00183351" w:rsidP="0096367C">
      <w:pPr>
        <w:pStyle w:val="TOC1"/>
        <w:rPr>
          <w:rFonts w:asciiTheme="minorHAnsi" w:eastAsiaTheme="minorEastAsia" w:hAnsiTheme="minorHAnsi" w:cstheme="minorBidi"/>
          <w:b w:val="0"/>
          <w:noProof/>
          <w:sz w:val="24"/>
          <w:szCs w:val="24"/>
        </w:rPr>
      </w:pPr>
      <w:hyperlink w:anchor="_Toc484586723" w:history="1">
        <w:r w:rsidR="00340790" w:rsidRPr="00340790">
          <w:rPr>
            <w:rStyle w:val="Hyperlink"/>
            <w:b w:val="0"/>
            <w:caps w:val="0"/>
            <w:noProof/>
            <w:sz w:val="24"/>
            <w:szCs w:val="24"/>
          </w:rPr>
          <w:t>8)</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Estimate </w:t>
        </w:r>
        <w:r w:rsidR="00340790">
          <w:rPr>
            <w:rStyle w:val="Hyperlink"/>
            <w:b w:val="0"/>
            <w:caps w:val="0"/>
            <w:noProof/>
            <w:sz w:val="24"/>
            <w:szCs w:val="24"/>
          </w:rPr>
          <w:t>o</w:t>
        </w:r>
        <w:r w:rsidR="00340790" w:rsidRPr="00340790">
          <w:rPr>
            <w:rStyle w:val="Hyperlink"/>
            <w:b w:val="0"/>
            <w:caps w:val="0"/>
            <w:noProof/>
            <w:sz w:val="24"/>
            <w:szCs w:val="24"/>
          </w:rPr>
          <w:t>f Hourly Burden</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_Toc484586723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6</w:t>
        </w:r>
        <w:r w:rsidR="00087F91" w:rsidRPr="00340790">
          <w:rPr>
            <w:b w:val="0"/>
            <w:noProof/>
            <w:webHidden/>
            <w:sz w:val="24"/>
            <w:szCs w:val="24"/>
          </w:rPr>
          <w:fldChar w:fldCharType="end"/>
        </w:r>
      </w:hyperlink>
    </w:p>
    <w:p w14:paraId="1B9D5A55" w14:textId="033DF91B" w:rsidR="00087F91" w:rsidRPr="00340790" w:rsidRDefault="00183351" w:rsidP="0096367C">
      <w:pPr>
        <w:pStyle w:val="TOC1"/>
        <w:rPr>
          <w:rFonts w:asciiTheme="minorHAnsi" w:eastAsiaTheme="minorEastAsia" w:hAnsiTheme="minorHAnsi" w:cstheme="minorBidi"/>
          <w:b w:val="0"/>
          <w:noProof/>
          <w:sz w:val="24"/>
          <w:szCs w:val="24"/>
        </w:rPr>
      </w:pPr>
      <w:hyperlink w:anchor="_Toc484586724" w:history="1">
        <w:r w:rsidR="00340790" w:rsidRPr="00340790">
          <w:rPr>
            <w:rStyle w:val="Hyperlink"/>
            <w:b w:val="0"/>
            <w:caps w:val="0"/>
            <w:noProof/>
            <w:sz w:val="24"/>
            <w:szCs w:val="24"/>
          </w:rPr>
          <w:t>9)</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Cost </w:t>
        </w:r>
        <w:r w:rsidR="00340790">
          <w:rPr>
            <w:rStyle w:val="Hyperlink"/>
            <w:b w:val="0"/>
            <w:caps w:val="0"/>
            <w:noProof/>
            <w:sz w:val="24"/>
            <w:szCs w:val="24"/>
          </w:rPr>
          <w:t>t</w:t>
        </w:r>
        <w:r w:rsidR="00340790" w:rsidRPr="00340790">
          <w:rPr>
            <w:rStyle w:val="Hyperlink"/>
            <w:b w:val="0"/>
            <w:caps w:val="0"/>
            <w:noProof/>
            <w:sz w:val="24"/>
            <w:szCs w:val="24"/>
          </w:rPr>
          <w:t>o Federal Government</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_Toc484586724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6</w:t>
        </w:r>
        <w:r w:rsidR="00087F91" w:rsidRPr="00340790">
          <w:rPr>
            <w:b w:val="0"/>
            <w:noProof/>
            <w:webHidden/>
            <w:sz w:val="24"/>
            <w:szCs w:val="24"/>
          </w:rPr>
          <w:fldChar w:fldCharType="end"/>
        </w:r>
      </w:hyperlink>
    </w:p>
    <w:p w14:paraId="7E9F34DC" w14:textId="4B55A819" w:rsidR="00087F91" w:rsidRPr="00340790" w:rsidRDefault="00183351" w:rsidP="0096367C">
      <w:pPr>
        <w:pStyle w:val="TOC1"/>
        <w:rPr>
          <w:rFonts w:asciiTheme="minorHAnsi" w:eastAsiaTheme="minorEastAsia" w:hAnsiTheme="minorHAnsi" w:cstheme="minorBidi"/>
          <w:b w:val="0"/>
          <w:noProof/>
          <w:sz w:val="24"/>
          <w:szCs w:val="24"/>
        </w:rPr>
      </w:pPr>
      <w:hyperlink w:anchor="_Toc484586725" w:history="1">
        <w:r w:rsidR="00340790" w:rsidRPr="00340790">
          <w:rPr>
            <w:rStyle w:val="Hyperlink"/>
            <w:b w:val="0"/>
            <w:caps w:val="0"/>
            <w:noProof/>
            <w:sz w:val="24"/>
            <w:szCs w:val="24"/>
          </w:rPr>
          <w:t>10)</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Project Schedule</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_Toc484586725 \h </w:instrText>
        </w:r>
        <w:r w:rsidR="00087F91" w:rsidRPr="00340790">
          <w:rPr>
            <w:b w:val="0"/>
            <w:noProof/>
            <w:webHidden/>
            <w:sz w:val="24"/>
            <w:szCs w:val="24"/>
          </w:rPr>
        </w:r>
        <w:r w:rsidR="00087F91" w:rsidRPr="00340790">
          <w:rPr>
            <w:b w:val="0"/>
            <w:noProof/>
            <w:webHidden/>
            <w:sz w:val="24"/>
            <w:szCs w:val="24"/>
          </w:rPr>
          <w:fldChar w:fldCharType="separate"/>
        </w:r>
        <w:r w:rsidR="001F744B">
          <w:rPr>
            <w:b w:val="0"/>
            <w:noProof/>
            <w:webHidden/>
            <w:sz w:val="24"/>
            <w:szCs w:val="24"/>
          </w:rPr>
          <w:t>7</w:t>
        </w:r>
        <w:r w:rsidR="00087F91" w:rsidRPr="00340790">
          <w:rPr>
            <w:b w:val="0"/>
            <w:noProof/>
            <w:webHidden/>
            <w:sz w:val="24"/>
            <w:szCs w:val="24"/>
          </w:rPr>
          <w:fldChar w:fldCharType="end"/>
        </w:r>
      </w:hyperlink>
    </w:p>
    <w:p w14:paraId="38F98F77" w14:textId="77777777" w:rsidR="007D277D" w:rsidRDefault="000F550D" w:rsidP="00206DD5">
      <w:pPr>
        <w:pStyle w:val="TOCHeading"/>
        <w:spacing w:before="0" w:after="240"/>
      </w:pPr>
      <w:r w:rsidRPr="00340790">
        <w:rPr>
          <w:rFonts w:asciiTheme="minorHAnsi" w:hAnsiTheme="minorHAnsi" w:cstheme="minorHAnsi"/>
          <w:b w:val="0"/>
          <w:smallCaps/>
          <w:sz w:val="24"/>
          <w:szCs w:val="24"/>
        </w:rPr>
        <w:fldChar w:fldCharType="end"/>
      </w:r>
    </w:p>
    <w:p w14:paraId="17D6B901" w14:textId="4BAFF93E" w:rsidR="002155CF" w:rsidRDefault="002155CF" w:rsidP="00DD2CE8"/>
    <w:p w14:paraId="23841CA1" w14:textId="77777777" w:rsidR="009112D3" w:rsidRDefault="009112D3" w:rsidP="00DD2CE8"/>
    <w:p w14:paraId="1E4B07FC" w14:textId="77777777" w:rsidR="00540C2E" w:rsidRDefault="00540C2E">
      <w:pPr>
        <w:spacing w:after="0" w:line="240" w:lineRule="auto"/>
        <w:rPr>
          <w:rFonts w:ascii="Candara" w:hAnsi="Candara"/>
          <w:b/>
          <w:smallCaps/>
          <w:color w:val="1F497D"/>
          <w:sz w:val="32"/>
          <w:szCs w:val="32"/>
        </w:rPr>
      </w:pPr>
      <w:bookmarkStart w:id="1" w:name="_Toc365710612"/>
      <w:r>
        <w:br w:type="page"/>
      </w:r>
    </w:p>
    <w:p w14:paraId="6168231B" w14:textId="77777777" w:rsidR="002155CF" w:rsidRDefault="002155CF" w:rsidP="007E5277">
      <w:pPr>
        <w:pStyle w:val="aHeading1"/>
        <w:spacing w:before="0"/>
      </w:pPr>
      <w:bookmarkStart w:id="2" w:name="_Toc484586716"/>
      <w:r>
        <w:lastRenderedPageBreak/>
        <w:t>Submittal-Related Information</w:t>
      </w:r>
      <w:bookmarkEnd w:id="1"/>
      <w:bookmarkEnd w:id="2"/>
    </w:p>
    <w:p w14:paraId="10ED62A3" w14:textId="77777777" w:rsidR="00914F13" w:rsidRPr="00087F91" w:rsidRDefault="00914F13" w:rsidP="00087F91">
      <w:pPr>
        <w:spacing w:after="120"/>
        <w:rPr>
          <w:rStyle w:val="StyleTimesNewRoman"/>
          <w:rFonts w:asciiTheme="minorHAnsi" w:hAnsiTheme="minorHAnsi"/>
          <w:b/>
          <w:smallCaps/>
          <w:szCs w:val="32"/>
        </w:rPr>
      </w:pPr>
      <w:r w:rsidRPr="00AC134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7025ACD5" w14:textId="77777777" w:rsidR="002155CF" w:rsidRPr="009544D6" w:rsidRDefault="002155CF" w:rsidP="005E4E21">
      <w:pPr>
        <w:pStyle w:val="aHeading1"/>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4845867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3AFE1ED6" w14:textId="77777777" w:rsidR="00FB3A72" w:rsidRPr="00FB3A72" w:rsidRDefault="00FB3A72" w:rsidP="00FB3A72">
      <w:pPr>
        <w:pStyle w:val="BodyText0"/>
        <w:rPr>
          <w:rStyle w:val="StyleTimesNewRoman"/>
          <w:rFonts w:eastAsia="Times New Roman"/>
          <w:sz w:val="22"/>
        </w:rPr>
      </w:pPr>
      <w:r w:rsidRPr="00FB3A72">
        <w:rPr>
          <w:rStyle w:val="StyleTimesNewRoman"/>
          <w:rFonts w:eastAsia="Times New Roman"/>
          <w:sz w:val="22"/>
        </w:rPr>
        <w:t>The International Computer and Information Literacy Study (ICILS) is a computer-based international assessment of eighth-grade students’ computer and information literacy (CIL) skills. ICILS was first administered internationally in 2013 in 21 education systems and will be administered again in 2018. The United States will participate for the first time in the 2018 administration. U.S. participation in this study will provide data on students’ skills and experience using technology to investigate, create, and communicate, and will provide a comparison of U.S. student performance and technology access and use with those of the international peers. This study will also allow the U.S. to begin monitoring the progress of its students compared to that of other nations and to provide data on factors that may influence student computer and information literacy skills.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44C5AE22" w14:textId="62DE2492" w:rsidR="00FB3A72" w:rsidRPr="00FB3A72" w:rsidRDefault="00FB3A72" w:rsidP="00FB3A72">
      <w:pPr>
        <w:pStyle w:val="BodyText0"/>
        <w:rPr>
          <w:rStyle w:val="StyleTimesNewRoman"/>
          <w:rFonts w:eastAsia="Times New Roman"/>
          <w:sz w:val="22"/>
        </w:rPr>
      </w:pPr>
      <w:r w:rsidRPr="00FB3A72">
        <w:rPr>
          <w:rStyle w:val="StyleTimesNewRoman"/>
          <w:rFonts w:eastAsia="Times New Roman"/>
          <w:sz w:val="22"/>
        </w:rPr>
        <w:t>ICILS is co</w:t>
      </w:r>
      <w:r w:rsidR="00FF11A2">
        <w:rPr>
          <w:rStyle w:val="StyleTimesNewRoman"/>
          <w:rFonts w:eastAsia="Times New Roman"/>
          <w:sz w:val="22"/>
        </w:rPr>
        <w:t>ordinated</w:t>
      </w:r>
      <w:r w:rsidRPr="00FB3A72">
        <w:rPr>
          <w:rStyle w:val="StyleTimesNewRoman"/>
          <w:rFonts w:eastAsia="Times New Roman"/>
          <w:sz w:val="22"/>
        </w:rPr>
        <w:t xml:space="preserve"> by the International Association for the Evaluation of Educational Achievement (IEA), an international collective of research organizations and government agencies that create the assessment framework, assessment, and background questionnaires. The IEA decides and agrees upon a common set of standards and procedures for collecting and reporting ICILS data, and defines the study timeline, all of which must be followed by all participating countries. As a result, ICILS is able to provide a reliable and comparable measure of student skills in participating countries. In the U.S., the National Center for Education Statistics (NCES) conducts this study and works with the IEA and Westat to ensure proper implementation of the study and adoption of practices in adherence to the IEA’s standards. Participation in ICILS will allow NCES to meet its mandate of acquiring and disseminating data on educational activities and student achievement in the United States compared with foreign nations [The Educational Sciences Reform Act </w:t>
      </w:r>
      <w:r w:rsidR="00FF11A2">
        <w:rPr>
          <w:rStyle w:val="StyleTimesNewRoman"/>
          <w:rFonts w:eastAsia="Times New Roman"/>
          <w:sz w:val="22"/>
        </w:rPr>
        <w:t>of 2002 (ESRA 2002) 20 U.S.C. §</w:t>
      </w:r>
      <w:r w:rsidRPr="00FB3A72">
        <w:rPr>
          <w:rStyle w:val="StyleTimesNewRoman"/>
          <w:rFonts w:eastAsia="Times New Roman"/>
          <w:sz w:val="22"/>
        </w:rPr>
        <w:t>9543].</w:t>
      </w:r>
    </w:p>
    <w:p w14:paraId="65EF28EB" w14:textId="00849909" w:rsidR="007D277D" w:rsidRDefault="002849F7" w:rsidP="00FB3A72">
      <w:pPr>
        <w:pStyle w:val="BodyText0"/>
        <w:rPr>
          <w:rStyle w:val="StyleTimesNewRoman"/>
          <w:sz w:val="22"/>
        </w:rPr>
      </w:pPr>
      <w:r w:rsidRPr="00BA05C5">
        <w:rPr>
          <w:rStyle w:val="StyleTimesNewRoman"/>
          <w:sz w:val="22"/>
        </w:rPr>
        <w:t>Th</w:t>
      </w:r>
      <w:r w:rsidR="00FF7875">
        <w:rPr>
          <w:rStyle w:val="StyleTimesNewRoman"/>
          <w:sz w:val="22"/>
        </w:rPr>
        <w:t>is</w:t>
      </w:r>
      <w:r w:rsidRPr="00BA05C5">
        <w:rPr>
          <w:rStyle w:val="StyleTimesNewRoman"/>
          <w:sz w:val="22"/>
        </w:rPr>
        <w:t xml:space="preserv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w:t>
      </w:r>
      <w:r w:rsidR="00FB3A72">
        <w:t>IEA ICILS assessment</w:t>
      </w:r>
      <w:r w:rsidR="00335AF7" w:rsidRPr="00BA05C5">
        <w:t xml:space="preserve"> system</w:t>
      </w:r>
      <w:r w:rsidR="00914F13">
        <w:t>s</w:t>
      </w:r>
      <w:r w:rsidR="00335AF7">
        <w:t xml:space="preserve"> </w:t>
      </w:r>
      <w:r w:rsidR="00710C93">
        <w:t>with students</w:t>
      </w:r>
      <w:r w:rsidR="004B1614" w:rsidRPr="00BA05C5">
        <w:t xml:space="preserve">, allowing </w:t>
      </w:r>
      <w:r w:rsidRPr="00BA05C5">
        <w:t>the system</w:t>
      </w:r>
      <w:r w:rsidR="00914F13">
        <w:t>s</w:t>
      </w:r>
      <w:r w:rsidRPr="00BA05C5">
        <w:t xml:space="preserve"> to be tested in the manner </w:t>
      </w:r>
      <w:r w:rsidR="00710C93">
        <w:t>that</w:t>
      </w:r>
      <w:r w:rsidRPr="00BA05C5">
        <w:t xml:space="preserve"> will be used in the </w:t>
      </w:r>
      <w:r w:rsidR="00FB3A72">
        <w:t>main</w:t>
      </w:r>
      <w:r w:rsidR="00786189">
        <w:t xml:space="preserve"> study</w:t>
      </w:r>
      <w:r w:rsidRPr="00BA05C5">
        <w:t xml:space="preserve"> to help identify system issues</w:t>
      </w:r>
      <w:r w:rsidRPr="00BA05C5">
        <w:rPr>
          <w:rStyle w:val="StyleTimesNewRoman"/>
          <w:sz w:val="22"/>
        </w:rPr>
        <w:t xml:space="preserve"> </w:t>
      </w:r>
      <w:r w:rsidR="00FF7875">
        <w:rPr>
          <w:rStyle w:val="StyleTimesNewRoman"/>
          <w:sz w:val="22"/>
        </w:rPr>
        <w:t xml:space="preserve">during </w:t>
      </w:r>
      <w:r w:rsidRPr="00BA05C5">
        <w:rPr>
          <w:rStyle w:val="StyleTimesNewRoman"/>
          <w:sz w:val="22"/>
        </w:rPr>
        <w:t xml:space="preserve">the software development process. The rationale for this study is based on lessons learned and issues </w:t>
      </w:r>
      <w:r w:rsidRPr="00BA05C5">
        <w:t xml:space="preserve">encountered by students </w:t>
      </w:r>
      <w:r w:rsidR="00710C93">
        <w:t>during the</w:t>
      </w:r>
      <w:r w:rsidR="000212F1">
        <w:t xml:space="preserve"> </w:t>
      </w:r>
      <w:r w:rsidR="00B0584A">
        <w:t xml:space="preserve">2017 </w:t>
      </w:r>
      <w:r w:rsidR="00373009">
        <w:t>ICILS field test.</w:t>
      </w:r>
      <w:r w:rsidR="00FB246B">
        <w:t xml:space="preserve"> </w:t>
      </w:r>
      <w:r w:rsidR="00373009">
        <w:t xml:space="preserve">In addition, the IEA </w:t>
      </w:r>
      <w:r w:rsidR="00FF7875">
        <w:t>will be using</w:t>
      </w:r>
      <w:r w:rsidR="00373009">
        <w:t xml:space="preserve"> a different assessment system</w:t>
      </w:r>
      <w:r w:rsidR="00FF7875">
        <w:t xml:space="preserve"> in the ICILS main study</w:t>
      </w:r>
      <w:r w:rsidR="00373009">
        <w:t xml:space="preserve"> than in the 2017 field test</w:t>
      </w:r>
      <w:r w:rsidR="00FF11A2">
        <w:t xml:space="preserve">, </w:t>
      </w:r>
      <w:r w:rsidR="007E5277">
        <w:t>and it</w:t>
      </w:r>
      <w:r w:rsidR="00FF11A2">
        <w:t xml:space="preserve"> </w:t>
      </w:r>
      <w:r w:rsidR="00373009">
        <w:t>needs to be evaluated</w:t>
      </w:r>
      <w:r w:rsidRPr="00BA05C5">
        <w:t xml:space="preserve">. It is believed that students use </w:t>
      </w:r>
      <w:r w:rsidR="00710C93">
        <w:t xml:space="preserve">and interact with </w:t>
      </w:r>
      <w:r w:rsidRPr="00BA05C5">
        <w:t>the</w:t>
      </w:r>
      <w:r w:rsidRPr="00BA05C5">
        <w:rPr>
          <w:rStyle w:val="StyleTimesNewRoman"/>
          <w:sz w:val="22"/>
        </w:rPr>
        <w:t xml:space="preserve"> system</w:t>
      </w:r>
      <w:r w:rsidR="000212F1">
        <w:rPr>
          <w:rStyle w:val="StyleTimesNewRoman"/>
          <w:sz w:val="22"/>
        </w:rPr>
        <w:t>s</w:t>
      </w:r>
      <w:r w:rsidRPr="00BA05C5">
        <w:rPr>
          <w:rStyle w:val="StyleTimesNewRoman"/>
          <w:sz w:val="22"/>
        </w:rPr>
        <w:t xml:space="preserve"> differently than adult QC testers.</w:t>
      </w:r>
      <w:r w:rsidR="004B1614" w:rsidRPr="00BA05C5">
        <w:rPr>
          <w:rStyle w:val="StyleTimesNewRoman"/>
          <w:sz w:val="22"/>
        </w:rPr>
        <w:t xml:space="preserve"> </w:t>
      </w:r>
      <w:r w:rsidR="00FF11A2">
        <w:rPr>
          <w:rStyle w:val="StyleTimesNewRoman"/>
          <w:sz w:val="22"/>
        </w:rPr>
        <w:t xml:space="preserve">Conducting </w:t>
      </w:r>
      <w:r w:rsidR="00FF11A2" w:rsidRPr="00BA05C5">
        <w:rPr>
          <w:rStyle w:val="StyleTimesNewRoman"/>
          <w:sz w:val="22"/>
        </w:rPr>
        <w:t>pretesting and QC process</w:t>
      </w:r>
      <w:r w:rsidR="00FF11A2">
        <w:rPr>
          <w:rStyle w:val="StyleTimesNewRoman"/>
          <w:sz w:val="22"/>
        </w:rPr>
        <w:t xml:space="preserve"> with </w:t>
      </w:r>
      <w:r w:rsidR="004B1614" w:rsidRPr="00BA05C5">
        <w:rPr>
          <w:rStyle w:val="StyleTimesNewRoman"/>
          <w:sz w:val="22"/>
        </w:rPr>
        <w:t xml:space="preserve">students should allow </w:t>
      </w:r>
      <w:r w:rsidR="00FF11A2">
        <w:rPr>
          <w:rStyle w:val="StyleTimesNewRoman"/>
          <w:sz w:val="22"/>
        </w:rPr>
        <w:t>us to identify any</w:t>
      </w:r>
      <w:r w:rsidR="004B1614" w:rsidRPr="00BA05C5">
        <w:rPr>
          <w:rStyle w:val="StyleTimesNewRoman"/>
          <w:sz w:val="22"/>
        </w:rPr>
        <w:t xml:space="preserve"> issues and address</w:t>
      </w:r>
      <w:r w:rsidR="00FF11A2">
        <w:rPr>
          <w:rStyle w:val="StyleTimesNewRoman"/>
          <w:sz w:val="22"/>
        </w:rPr>
        <w:t xml:space="preserve"> them</w:t>
      </w:r>
      <w:r w:rsidR="004B1614" w:rsidRPr="00BA05C5">
        <w:rPr>
          <w:rStyle w:val="StyleTimesNewRoman"/>
          <w:sz w:val="22"/>
        </w:rPr>
        <w:t xml:space="preserve"> prior to the operational use of the system</w:t>
      </w:r>
      <w:r w:rsidR="00373009">
        <w:rPr>
          <w:rStyle w:val="StyleTimesNewRoman"/>
          <w:sz w:val="22"/>
        </w:rPr>
        <w:t xml:space="preserve"> in the main study in spring 2018</w:t>
      </w:r>
      <w:r w:rsidR="004B1614" w:rsidRPr="00BA05C5">
        <w:rPr>
          <w:rStyle w:val="StyleTimesNewRoman"/>
          <w:sz w:val="22"/>
        </w:rPr>
        <w:t>.</w:t>
      </w:r>
    </w:p>
    <w:p w14:paraId="0C566D25" w14:textId="1CD247A3" w:rsidR="005035A1" w:rsidRDefault="00D90AA7" w:rsidP="00817C21">
      <w:pPr>
        <w:pStyle w:val="BodyText0"/>
      </w:pPr>
      <w:r>
        <w:t>The</w:t>
      </w:r>
      <w:r w:rsidR="00DB20AA" w:rsidRPr="00BA05C5">
        <w:t xml:space="preserve"> pretesting </w:t>
      </w:r>
      <w:r>
        <w:t xml:space="preserve">will be conducted </w:t>
      </w:r>
      <w:r w:rsidR="00DB20AA" w:rsidRPr="00BA05C5">
        <w:t>with students from grade</w:t>
      </w:r>
      <w:r w:rsidR="000040BD">
        <w:t xml:space="preserve"> 8 </w:t>
      </w:r>
      <w:r>
        <w:t xml:space="preserve">and </w:t>
      </w:r>
      <w:r w:rsidR="00DB20AA" w:rsidRPr="00BA05C5">
        <w:t>will be held in a simulated classroom</w:t>
      </w:r>
      <w:r w:rsidR="00FD1B70" w:rsidRPr="00BA05C5">
        <w:t xml:space="preserve"> after </w:t>
      </w:r>
      <w:r w:rsidR="00373009">
        <w:t>two</w:t>
      </w:r>
      <w:r w:rsidR="00FD1B70" w:rsidRPr="00BA05C5">
        <w:t xml:space="preserve"> preliminary/draft version</w:t>
      </w:r>
      <w:r w:rsidR="00373009">
        <w:t>s</w:t>
      </w:r>
      <w:r w:rsidR="00FD1B70" w:rsidRPr="00BA05C5">
        <w:t xml:space="preserve"> of</w:t>
      </w:r>
      <w:r w:rsidR="000212F1">
        <w:t xml:space="preserve"> </w:t>
      </w:r>
      <w:r w:rsidR="00373009">
        <w:t>the IEA ICILS assessment systems are</w:t>
      </w:r>
      <w:r w:rsidR="00AB3421" w:rsidRPr="00BA05C5">
        <w:t xml:space="preserve"> </w:t>
      </w:r>
      <w:r w:rsidR="00FD1B70" w:rsidRPr="00BA05C5">
        <w:t>produced</w:t>
      </w:r>
      <w:r w:rsidR="00DB20AA" w:rsidRPr="00BA05C5">
        <w:t xml:space="preserve">. </w:t>
      </w:r>
      <w:r w:rsidR="00373009">
        <w:t>Two</w:t>
      </w:r>
      <w:r w:rsidR="005035A1">
        <w:t xml:space="preserve"> </w:t>
      </w:r>
      <w:r w:rsidR="00543B5A" w:rsidRPr="00BA05C5">
        <w:t xml:space="preserve">pretesting </w:t>
      </w:r>
      <w:r w:rsidR="005035A1">
        <w:t>events</w:t>
      </w:r>
      <w:r w:rsidR="0068458E" w:rsidRPr="0068458E">
        <w:t xml:space="preserve"> will take place </w:t>
      </w:r>
      <w:r w:rsidR="00373009">
        <w:t>during fall 2017</w:t>
      </w:r>
      <w:r w:rsidR="0068458E" w:rsidRPr="0068458E">
        <w:t xml:space="preserve">, </w:t>
      </w:r>
      <w:r w:rsidR="00225697">
        <w:t xml:space="preserve">with event sessions </w:t>
      </w:r>
      <w:r w:rsidR="00225697" w:rsidRPr="0068458E">
        <w:t xml:space="preserve">lasting approximately </w:t>
      </w:r>
      <w:r w:rsidR="00583B38">
        <w:t>175</w:t>
      </w:r>
      <w:r w:rsidR="00225697" w:rsidRPr="0068458E">
        <w:t xml:space="preserve"> minutes</w:t>
      </w:r>
      <w:r w:rsidR="00225697">
        <w:t xml:space="preserve"> each</w:t>
      </w:r>
      <w:r w:rsidR="0068458E" w:rsidRPr="0068458E">
        <w:t>.</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p>
    <w:p w14:paraId="01477A23" w14:textId="776FD4D4" w:rsidR="002155CF" w:rsidRDefault="00CB14C2" w:rsidP="0005462E">
      <w:pPr>
        <w:pStyle w:val="aHeading1"/>
      </w:pPr>
      <w:bookmarkStart w:id="31" w:name="_Toc365710615"/>
      <w:bookmarkStart w:id="32" w:name="_Toc484586718"/>
      <w:r>
        <w:t>Recruitment</w:t>
      </w:r>
      <w:r w:rsidR="002155CF">
        <w:t xml:space="preserve"> and </w:t>
      </w:r>
      <w:r>
        <w:t xml:space="preserve">Data </w:t>
      </w:r>
      <w:bookmarkEnd w:id="31"/>
      <w:r>
        <w:t>Collection</w:t>
      </w:r>
      <w:bookmarkEnd w:id="32"/>
    </w:p>
    <w:p w14:paraId="4E300B3B" w14:textId="77777777" w:rsidR="00CB14C2" w:rsidRPr="00341309" w:rsidRDefault="00CB14C2" w:rsidP="00CB14C2">
      <w:pPr>
        <w:pStyle w:val="BodyText0"/>
        <w:rPr>
          <w:u w:val="single"/>
        </w:rPr>
      </w:pPr>
      <w:r w:rsidRPr="00341309">
        <w:rPr>
          <w:u w:val="single"/>
        </w:rPr>
        <w:t>Recruitment and Sample Characteristics</w:t>
      </w:r>
    </w:p>
    <w:p w14:paraId="242BB7EB" w14:textId="32791FBF" w:rsidR="00CB14C2" w:rsidRDefault="00CB14C2" w:rsidP="00CB14C2">
      <w:pPr>
        <w:pStyle w:val="BodyText0"/>
        <w:widowControl w:val="0"/>
        <w:rPr>
          <w:rStyle w:val="StyleTimesNewRoman"/>
          <w:sz w:val="22"/>
        </w:rPr>
      </w:pPr>
      <w:r>
        <w:rPr>
          <w:rStyle w:val="StyleTimesNewRoman"/>
          <w:sz w:val="22"/>
        </w:rPr>
        <w:t>EurekaFacts,</w:t>
      </w:r>
      <w:r w:rsidR="00851C9D">
        <w:rPr>
          <w:rStyle w:val="StyleTimesNewRoman"/>
          <w:sz w:val="22"/>
        </w:rPr>
        <w:t xml:space="preserve"> under contract with Westat,</w:t>
      </w:r>
      <w:r w:rsidRPr="00BA05C5">
        <w:rPr>
          <w:rStyle w:val="StyleTimesNewRoman"/>
          <w:sz w:val="22"/>
        </w:rPr>
        <w:t xml:space="preserve"> </w:t>
      </w:r>
      <w:r w:rsidR="006F38D4">
        <w:rPr>
          <w:rStyle w:val="StyleTimesNewRoman"/>
          <w:sz w:val="22"/>
        </w:rPr>
        <w:t>will</w:t>
      </w:r>
      <w:r w:rsidRPr="00BA05C5">
        <w:rPr>
          <w:rStyle w:val="StyleTimesNewRoman"/>
          <w:sz w:val="22"/>
        </w:rPr>
        <w:t xml:space="preserve"> recruit</w:t>
      </w:r>
      <w:r w:rsidR="006F38D4">
        <w:rPr>
          <w:rStyle w:val="StyleTimesNewRoman"/>
          <w:sz w:val="22"/>
        </w:rPr>
        <w:t xml:space="preserve"> up to</w:t>
      </w:r>
      <w:r w:rsidRPr="00BA05C5">
        <w:rPr>
          <w:rStyle w:val="StyleTimesNewRoman"/>
          <w:sz w:val="22"/>
        </w:rPr>
        <w:t xml:space="preserve"> 30 students </w:t>
      </w:r>
      <w:r>
        <w:rPr>
          <w:rStyle w:val="StyleTimesNewRoman"/>
          <w:sz w:val="22"/>
        </w:rPr>
        <w:t>for each session</w:t>
      </w:r>
      <w:r w:rsidR="005C1BC5">
        <w:rPr>
          <w:rStyle w:val="StyleTimesNewRoman"/>
          <w:sz w:val="22"/>
        </w:rPr>
        <w:t xml:space="preserve"> of</w:t>
      </w:r>
      <w:r>
        <w:rPr>
          <w:rStyle w:val="StyleTimesNewRoman"/>
          <w:sz w:val="22"/>
        </w:rPr>
        <w:t xml:space="preserve"> </w:t>
      </w:r>
      <w:r w:rsidR="00851C9D">
        <w:rPr>
          <w:rStyle w:val="StyleTimesNewRoman"/>
          <w:sz w:val="22"/>
        </w:rPr>
        <w:t>ICILS</w:t>
      </w:r>
      <w:r>
        <w:rPr>
          <w:rStyle w:val="StyleTimesNewRoman"/>
          <w:sz w:val="22"/>
        </w:rPr>
        <w:t xml:space="preserve"> pretesting. Each </w:t>
      </w:r>
      <w:r w:rsidR="00851C9D">
        <w:rPr>
          <w:rStyle w:val="StyleTimesNewRoman"/>
          <w:sz w:val="22"/>
        </w:rPr>
        <w:t xml:space="preserve">ICILS </w:t>
      </w:r>
      <w:r>
        <w:rPr>
          <w:rStyle w:val="StyleTimesNewRoman"/>
          <w:sz w:val="22"/>
        </w:rPr>
        <w:t>session will be exclusively composed of 8</w:t>
      </w:r>
      <w:r w:rsidRPr="00341309">
        <w:rPr>
          <w:rStyle w:val="StyleTimesNewRoman"/>
          <w:sz w:val="22"/>
          <w:vertAlign w:val="superscript"/>
        </w:rPr>
        <w:t>th</w:t>
      </w:r>
      <w:r>
        <w:rPr>
          <w:rStyle w:val="StyleTimesNewRoman"/>
          <w:sz w:val="22"/>
        </w:rPr>
        <w:t xml:space="preserve"> graders</w:t>
      </w:r>
      <w:r w:rsidR="001735B7">
        <w:rPr>
          <w:rStyle w:val="StyleTimesNewRoman"/>
          <w:sz w:val="22"/>
        </w:rPr>
        <w:t>,</w:t>
      </w:r>
      <w:r>
        <w:rPr>
          <w:rStyle w:val="StyleTimesNewRoman"/>
          <w:sz w:val="22"/>
        </w:rPr>
        <w:t xml:space="preserve"> and there will be a </w:t>
      </w:r>
      <w:r w:rsidR="004A131D">
        <w:rPr>
          <w:rStyle w:val="StyleTimesNewRoman"/>
          <w:sz w:val="22"/>
        </w:rPr>
        <w:t xml:space="preserve">maximum </w:t>
      </w:r>
      <w:r>
        <w:rPr>
          <w:rStyle w:val="StyleTimesNewRoman"/>
          <w:sz w:val="22"/>
        </w:rPr>
        <w:t xml:space="preserve">of </w:t>
      </w:r>
      <w:r w:rsidR="00851C9D">
        <w:rPr>
          <w:rStyle w:val="StyleTimesNewRoman"/>
          <w:sz w:val="22"/>
        </w:rPr>
        <w:t>two</w:t>
      </w:r>
      <w:r w:rsidR="001735B7">
        <w:rPr>
          <w:rStyle w:val="StyleTimesNewRoman"/>
          <w:sz w:val="22"/>
        </w:rPr>
        <w:t xml:space="preserve"> </w:t>
      </w:r>
      <w:r>
        <w:rPr>
          <w:rStyle w:val="StyleTimesNewRoman"/>
          <w:sz w:val="22"/>
        </w:rPr>
        <w:t>sessions. Each</w:t>
      </w:r>
      <w:r w:rsidRPr="00BA05C5">
        <w:rPr>
          <w:rStyle w:val="StyleTimesNewRoman"/>
          <w:sz w:val="22"/>
        </w:rPr>
        <w:t xml:space="preserve"> </w:t>
      </w:r>
      <w:r>
        <w:rPr>
          <w:rStyle w:val="StyleTimesNewRoman"/>
          <w:sz w:val="22"/>
        </w:rPr>
        <w:t>session</w:t>
      </w:r>
      <w:r w:rsidRPr="00BA05C5">
        <w:rPr>
          <w:rStyle w:val="StyleTimesNewRoman"/>
          <w:sz w:val="22"/>
        </w:rPr>
        <w:t xml:space="preserve"> will be held</w:t>
      </w:r>
      <w:r w:rsidR="006F38D4" w:rsidRPr="006F38D4">
        <w:t xml:space="preserve"> </w:t>
      </w:r>
      <w:r w:rsidR="006F38D4" w:rsidRPr="00BA05C5">
        <w:t>at the EurekaFacts facility in Rockville, Maryland</w:t>
      </w:r>
      <w:r>
        <w:rPr>
          <w:rStyle w:val="StyleTimesNewRoman"/>
          <w:sz w:val="22"/>
        </w:rPr>
        <w:t xml:space="preserve">, </w:t>
      </w:r>
      <w:r w:rsidR="006F38D4">
        <w:rPr>
          <w:rStyle w:val="StyleTimesNewRoman"/>
          <w:sz w:val="22"/>
        </w:rPr>
        <w:t xml:space="preserve">most </w:t>
      </w:r>
      <w:r>
        <w:rPr>
          <w:rStyle w:val="StyleTimesNewRoman"/>
          <w:sz w:val="22"/>
        </w:rPr>
        <w:t>likely on a Saturday</w:t>
      </w:r>
      <w:r w:rsidRPr="00BA05C5">
        <w:rPr>
          <w:rStyle w:val="StyleTimesNewRoman"/>
          <w:sz w:val="22"/>
        </w:rPr>
        <w:t>.</w:t>
      </w:r>
    </w:p>
    <w:p w14:paraId="3C3B71E9" w14:textId="77777777" w:rsidR="00CB14C2" w:rsidRPr="00BA05C5" w:rsidRDefault="00CB14C2" w:rsidP="00CB14C2">
      <w:pPr>
        <w:pStyle w:val="BeforeBulletedList"/>
      </w:pPr>
      <w:r w:rsidRPr="00BA05C5">
        <w:t>EurekaFacts will recruit</w:t>
      </w:r>
      <w:r>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4F8DD2AF" w14:textId="77777777" w:rsidR="00CB14C2" w:rsidRPr="00BA05C5" w:rsidRDefault="00CB14C2" w:rsidP="00CB14C2">
      <w:pPr>
        <w:pStyle w:val="BulletedList"/>
      </w:pPr>
      <w:r w:rsidRPr="00BA05C5">
        <w:t>A mix of race/ethnicity (Black, Asian, White, Hispanic);</w:t>
      </w:r>
    </w:p>
    <w:p w14:paraId="0ED851A7" w14:textId="438CFCBB" w:rsidR="00CB14C2" w:rsidRDefault="00CB14C2" w:rsidP="00CB14C2">
      <w:pPr>
        <w:pStyle w:val="BulletedList"/>
      </w:pPr>
      <w:r w:rsidRPr="00BA05C5">
        <w:t>A mix of socioeconomic background;</w:t>
      </w:r>
      <w:r w:rsidR="00851C9D">
        <w:t xml:space="preserve"> and</w:t>
      </w:r>
    </w:p>
    <w:p w14:paraId="1BC1317D" w14:textId="5B7C5942" w:rsidR="00CB14C2" w:rsidRPr="00BA05C5" w:rsidRDefault="00CB14C2" w:rsidP="00CB14C2">
      <w:pPr>
        <w:pStyle w:val="BulletedList"/>
      </w:pPr>
      <w:r w:rsidRPr="00BA05C5">
        <w:t>A mix of</w:t>
      </w:r>
      <w:r w:rsidR="00851C9D">
        <w:t xml:space="preserve"> urban/suburban/rural areas.</w:t>
      </w:r>
    </w:p>
    <w:p w14:paraId="19F2AED7" w14:textId="1FDD8E8E" w:rsidR="00CB14C2" w:rsidRPr="00BA05C5" w:rsidRDefault="00CB14C2" w:rsidP="00817C21">
      <w:pPr>
        <w:pStyle w:val="BodyText0"/>
        <w:rPr>
          <w:rStyle w:val="StyleTimesNewRoman"/>
          <w:sz w:val="22"/>
        </w:rPr>
      </w:pPr>
      <w:r w:rsidRPr="00BA05C5">
        <w:rPr>
          <w:rStyle w:val="StyleTimesNewRoman"/>
          <w:sz w:val="22"/>
        </w:rPr>
        <w:t xml:space="preserve">While EurekaFacts will use various outreach methods </w:t>
      </w:r>
      <w:r>
        <w:rPr>
          <w:rStyle w:val="StyleTimesNewRoman"/>
          <w:sz w:val="22"/>
        </w:rPr>
        <w:t>(</w:t>
      </w:r>
      <w:r w:rsidR="00AC1341">
        <w:rPr>
          <w:rStyle w:val="StyleTimesNewRoman"/>
          <w:sz w:val="22"/>
        </w:rPr>
        <w:t>see Appendices</w:t>
      </w:r>
      <w:r w:rsidR="000F7C25">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1735B7">
        <w:rPr>
          <w:rStyle w:val="StyleTimesNewRoman"/>
          <w:sz w:val="22"/>
        </w:rPr>
        <w:t xml:space="preserve"> be</w:t>
      </w:r>
      <w:r w:rsidRPr="00BA05C5">
        <w:rPr>
          <w:rStyle w:val="StyleTimesNewRoman"/>
          <w:sz w:val="22"/>
        </w:rPr>
        <w:t xml:space="preserve"> based on their 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081E005C" w14:textId="2E529639" w:rsidR="00510D69" w:rsidRDefault="00CB14C2" w:rsidP="00CB1104">
      <w:pPr>
        <w:pStyle w:val="BeforeBulletedList"/>
        <w:spacing w:after="240"/>
      </w:pPr>
      <w:r w:rsidRPr="00BA05C5">
        <w:rPr>
          <w:rStyle w:val="StyleTimesNewRoman"/>
          <w:iCs/>
          <w:sz w:val="22"/>
        </w:rPr>
        <w:t xml:space="preserve">Interested students will be </w:t>
      </w:r>
      <w:r w:rsidR="004D3D6D">
        <w:rPr>
          <w:rStyle w:val="StyleTimesNewRoman"/>
          <w:iCs/>
          <w:sz w:val="22"/>
        </w:rPr>
        <w:t>screened (see Appendices E-</w:t>
      </w:r>
      <w:r w:rsidR="000F7C25" w:rsidRPr="00AC1341">
        <w:rPr>
          <w:rStyle w:val="StyleTimesNewRoman"/>
          <w:iCs/>
          <w:sz w:val="22"/>
        </w:rPr>
        <w:t>F</w:t>
      </w:r>
      <w:r w:rsidRPr="000F7C25">
        <w:rPr>
          <w:rStyle w:val="StyleTimesNewRoman"/>
          <w:iCs/>
          <w:sz w:val="22"/>
        </w:rPr>
        <w:t>)</w:t>
      </w:r>
      <w:r w:rsidRPr="00BA05C5">
        <w:rPr>
          <w:rStyle w:val="StyleTimesNewRoman"/>
          <w:iCs/>
          <w:sz w:val="22"/>
        </w:rPr>
        <w:t xml:space="preserve"> to ensure that they meet the criteria for participation in the pretesting study (</w:t>
      </w:r>
      <w:r>
        <w:rPr>
          <w:rStyle w:val="StyleTimesNewRoman"/>
          <w:iCs/>
          <w:sz w:val="22"/>
        </w:rPr>
        <w:t>i.e</w:t>
      </w:r>
      <w:r w:rsidRPr="00BA05C5">
        <w:rPr>
          <w:rStyle w:val="StyleTimesNewRoman"/>
          <w:iCs/>
          <w:sz w:val="22"/>
        </w:rPr>
        <w:t xml:space="preserve">., </w:t>
      </w:r>
      <w:r>
        <w:rPr>
          <w:rStyle w:val="StyleTimesNewRoman"/>
          <w:iCs/>
          <w:sz w:val="22"/>
        </w:rPr>
        <w:t xml:space="preserve">the students are </w:t>
      </w:r>
      <w:r w:rsidRPr="00BA05C5">
        <w:rPr>
          <w:rStyle w:val="StyleTimesNewRoman"/>
          <w:iCs/>
          <w:sz w:val="22"/>
        </w:rPr>
        <w:t>from the targeted demographic groups outlined above</w:t>
      </w:r>
      <w:r>
        <w:rPr>
          <w:rStyle w:val="StyleTimesNewRoman"/>
          <w:iCs/>
          <w:sz w:val="22"/>
        </w:rPr>
        <w:t xml:space="preserve"> and their </w:t>
      </w:r>
      <w:r w:rsidRPr="00BA05C5">
        <w:rPr>
          <w:rStyle w:val="StyleTimesNewRoman"/>
          <w:iCs/>
          <w:sz w:val="22"/>
        </w:rPr>
        <w:t>parent</w:t>
      </w:r>
      <w:r>
        <w:rPr>
          <w:rStyle w:val="StyleTimesNewRoman"/>
          <w:iCs/>
          <w:sz w:val="22"/>
        </w:rPr>
        <w:t>s</w:t>
      </w:r>
      <w:r w:rsidRPr="00BA05C5">
        <w:rPr>
          <w:rStyle w:val="StyleTimesNewRoman"/>
          <w:iCs/>
          <w:sz w:val="22"/>
        </w:rPr>
        <w:t>/</w:t>
      </w:r>
      <w:r w:rsidR="001735B7">
        <w:rPr>
          <w:rStyle w:val="StyleTimesNewRoman"/>
          <w:iCs/>
          <w:sz w:val="22"/>
        </w:rPr>
        <w:t xml:space="preserve">legal </w:t>
      </w:r>
      <w:r w:rsidRPr="00BA05C5">
        <w:rPr>
          <w:rStyle w:val="StyleTimesNewRoman"/>
          <w:iCs/>
          <w:sz w:val="22"/>
        </w:rPr>
        <w:t>guardian</w:t>
      </w:r>
      <w:r>
        <w:rPr>
          <w:rStyle w:val="StyleTimesNewRoman"/>
          <w:iCs/>
          <w:sz w:val="22"/>
        </w:rPr>
        <w:t>s</w:t>
      </w:r>
      <w:r w:rsidRPr="00BA05C5">
        <w:rPr>
          <w:rStyle w:val="StyleTimesNewRoman"/>
          <w:iCs/>
          <w:sz w:val="22"/>
        </w:rPr>
        <w:t xml:space="preserve"> </w:t>
      </w:r>
      <w:r>
        <w:rPr>
          <w:rStyle w:val="StyleTimesNewRoman"/>
          <w:iCs/>
          <w:sz w:val="22"/>
        </w:rPr>
        <w:t>have</w:t>
      </w:r>
      <w:r w:rsidRPr="00BA05C5">
        <w:rPr>
          <w:rStyle w:val="StyleTimesNewRoman"/>
          <w:iCs/>
          <w:sz w:val="22"/>
        </w:rPr>
        <w:t xml:space="preserve"> given consent). When recruiting participants, EurekaFacts staff will speak to the parent/</w:t>
      </w:r>
      <w:r w:rsidR="001735B7">
        <w:rPr>
          <w:rStyle w:val="StyleTimesNewRoman"/>
          <w:iCs/>
          <w:sz w:val="22"/>
        </w:rPr>
        <w:t xml:space="preserve">legal </w:t>
      </w:r>
      <w:r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Pr="00BA05C5">
        <w:rPr>
          <w:rStyle w:val="StyleTimesNewRoman"/>
          <w:iCs/>
          <w:sz w:val="22"/>
        </w:rPr>
        <w:t xml:space="preserve">guardian will be informed about the objectives, purpose, and participation requirements of the data collection effort as well as the activities that it entails. After </w:t>
      </w:r>
      <w:r>
        <w:rPr>
          <w:rStyle w:val="StyleTimesNewRoman"/>
          <w:iCs/>
          <w:sz w:val="22"/>
        </w:rPr>
        <w:t>confirming</w:t>
      </w:r>
      <w:r w:rsidRPr="00BA05C5">
        <w:rPr>
          <w:rStyle w:val="StyleTimesNewRoman"/>
          <w:iCs/>
          <w:sz w:val="22"/>
        </w:rPr>
        <w:t xml:space="preserve"> that</w:t>
      </w:r>
      <w:r>
        <w:rPr>
          <w:rStyle w:val="StyleTimesNewRoman"/>
          <w:iCs/>
          <w:sz w:val="22"/>
        </w:rPr>
        <w:t xml:space="preserve"> a</w:t>
      </w:r>
      <w:r w:rsidRPr="00BA05C5">
        <w:rPr>
          <w:rStyle w:val="StyleTimesNewRoman"/>
          <w:iCs/>
          <w:sz w:val="22"/>
        </w:rPr>
        <w:t xml:space="preserve"> participant</w:t>
      </w:r>
      <w:r>
        <w:rPr>
          <w:rStyle w:val="StyleTimesNewRoman"/>
          <w:iCs/>
          <w:sz w:val="22"/>
        </w:rPr>
        <w:t xml:space="preserve"> is</w:t>
      </w:r>
      <w:r w:rsidRPr="00BA05C5">
        <w:rPr>
          <w:rStyle w:val="StyleTimesNewRoman"/>
          <w:iCs/>
          <w:sz w:val="22"/>
        </w:rPr>
        <w:t xml:space="preserve"> qualified, willing, and available to participate in this study, </w:t>
      </w:r>
      <w:r>
        <w:rPr>
          <w:rStyle w:val="StyleTimesNewRoman"/>
          <w:iCs/>
          <w:sz w:val="22"/>
        </w:rPr>
        <w:t>he or she</w:t>
      </w:r>
      <w:r w:rsidRPr="00BA05C5">
        <w:rPr>
          <w:rStyle w:val="StyleTimesNewRoman"/>
          <w:iCs/>
          <w:sz w:val="22"/>
        </w:rPr>
        <w:t xml:space="preserve"> will receive a confirmation </w:t>
      </w:r>
      <w:r w:rsidR="005D35D6">
        <w:rPr>
          <w:rStyle w:val="StyleTimesNewRoman"/>
          <w:iCs/>
          <w:sz w:val="22"/>
        </w:rPr>
        <w:t>e</w:t>
      </w:r>
      <w:r w:rsidRPr="00BA05C5">
        <w:rPr>
          <w:rStyle w:val="StyleTimesNewRoman"/>
          <w:iCs/>
          <w:sz w:val="22"/>
        </w:rPr>
        <w:t xml:space="preserve">mail/letter and phone call. </w:t>
      </w:r>
      <w:r>
        <w:rPr>
          <w:rStyle w:val="StyleTimesNewRoman"/>
          <w:iCs/>
          <w:sz w:val="22"/>
        </w:rPr>
        <w:t>Written i</w:t>
      </w:r>
      <w:r w:rsidRPr="00BA05C5">
        <w:rPr>
          <w:rStyle w:val="StyleTimesNewRoman"/>
          <w:iCs/>
          <w:sz w:val="22"/>
        </w:rPr>
        <w:t xml:space="preserve">nformed parental </w:t>
      </w:r>
      <w:r w:rsidRPr="000F7C25">
        <w:rPr>
          <w:rStyle w:val="StyleTimesNewRoman"/>
          <w:iCs/>
          <w:sz w:val="22"/>
        </w:rPr>
        <w:t xml:space="preserve">consent (see </w:t>
      </w:r>
      <w:r w:rsidRPr="00D62BC6">
        <w:rPr>
          <w:rStyle w:val="StyleTimesNewRoman"/>
          <w:iCs/>
          <w:sz w:val="22"/>
        </w:rPr>
        <w:t xml:space="preserve">Appendix </w:t>
      </w:r>
      <w:r w:rsidR="00666329" w:rsidRPr="00D62BC6">
        <w:rPr>
          <w:rStyle w:val="StyleTimesNewRoman"/>
          <w:iCs/>
          <w:sz w:val="22"/>
        </w:rPr>
        <w:t>H</w:t>
      </w:r>
      <w:r w:rsidRPr="00D62BC6">
        <w:rPr>
          <w:rStyle w:val="StyleTimesNewRoman"/>
          <w:iCs/>
          <w:sz w:val="22"/>
        </w:rPr>
        <w:t>)</w:t>
      </w:r>
      <w:r w:rsidRPr="00BA05C5">
        <w:rPr>
          <w:rStyle w:val="StyleTimesNewRoman"/>
          <w:iCs/>
          <w:sz w:val="22"/>
        </w:rPr>
        <w:t xml:space="preserve"> will be obtained for all respondents who are interested in participating in the data collection efforts.</w:t>
      </w:r>
      <w:r w:rsidR="00087F91">
        <w:rPr>
          <w:rStyle w:val="StyleTimesNewRoman"/>
          <w:iCs/>
          <w:sz w:val="22"/>
        </w:rPr>
        <w:t xml:space="preserve"> </w:t>
      </w:r>
      <w:r w:rsidR="00533577">
        <w:t>Shortly</w:t>
      </w:r>
      <w:r w:rsidR="002849F7">
        <w:t xml:space="preserve"> after each of the </w:t>
      </w:r>
      <w:r w:rsidR="005C1BC5">
        <w:t xml:space="preserve">two </w:t>
      </w:r>
      <w:r w:rsidR="00533577">
        <w:t>preliminary/draft</w:t>
      </w:r>
      <w:r w:rsidR="00764CDD">
        <w:t xml:space="preserve"> </w:t>
      </w:r>
      <w:r w:rsidR="00CB1556">
        <w:t>IEA ICILS assessment versions</w:t>
      </w:r>
      <w:r w:rsidR="002849F7">
        <w:t xml:space="preserve"> are released, a pretesting event with students will be held in a simulated classroom.</w:t>
      </w:r>
    </w:p>
    <w:p w14:paraId="19FB99CC" w14:textId="2159C172" w:rsidR="008C51F0" w:rsidRDefault="00764CDD" w:rsidP="008C51F0">
      <w:pPr>
        <w:pStyle w:val="BeforeBulletedList"/>
      </w:pPr>
      <w:r>
        <w:t>All events</w:t>
      </w:r>
      <w:r w:rsidR="008C51F0">
        <w:t xml:space="preserve"> </w:t>
      </w:r>
      <w:r w:rsidR="008C51F0" w:rsidRPr="00BA05C5">
        <w:t xml:space="preserve">will have </w:t>
      </w:r>
      <w:r w:rsidR="008C51F0">
        <w:t>one</w:t>
      </w:r>
      <w:r w:rsidR="008C51F0" w:rsidRPr="00BA05C5">
        <w:t xml:space="preserve"> session lasting approximately </w:t>
      </w:r>
      <w:r w:rsidR="008C51F0">
        <w:t>1</w:t>
      </w:r>
      <w:r w:rsidR="00D62BC6">
        <w:t>75</w:t>
      </w:r>
      <w:r w:rsidR="008C51F0" w:rsidRPr="00BA05C5">
        <w:t xml:space="preserve"> minutes each</w:t>
      </w:r>
      <w:r w:rsidR="008C51F0">
        <w:t>, and</w:t>
      </w:r>
      <w:r w:rsidR="001735B7">
        <w:t xml:space="preserve"> it</w:t>
      </w:r>
      <w:r w:rsidR="008C51F0">
        <w:t xml:space="preserve"> will be structured as follows:</w:t>
      </w:r>
    </w:p>
    <w:p w14:paraId="669F226A" w14:textId="71022832" w:rsidR="00510D69" w:rsidRDefault="008C51F0" w:rsidP="00CB1104">
      <w:pPr>
        <w:pStyle w:val="BulletedList"/>
        <w:ind w:hanging="270"/>
      </w:pPr>
      <w:r>
        <w:t xml:space="preserve">During each session, each student will be asked to take the assessment under standard </w:t>
      </w:r>
      <w:r w:rsidR="00CB1556">
        <w:t>ICILS</w:t>
      </w:r>
      <w:r>
        <w:t xml:space="preserve"> assessment conditions (approximately </w:t>
      </w:r>
      <w:r w:rsidR="00D62BC6">
        <w:t>165</w:t>
      </w:r>
      <w:r w:rsidRPr="003E7919">
        <w:t xml:space="preserve"> minutes</w:t>
      </w:r>
      <w:r w:rsidR="003E7919">
        <w:t xml:space="preserve">, which includes </w:t>
      </w:r>
      <w:r w:rsidR="00D62BC6">
        <w:t xml:space="preserve">the directions/tutorial, </w:t>
      </w:r>
      <w:r w:rsidR="003E7919">
        <w:t>the assessment and the student questionnaire</w:t>
      </w:r>
      <w:r>
        <w:t xml:space="preserve">). Westat will administer the session using standard procedures. Students will take the full assessment, including the cognitive items and the </w:t>
      </w:r>
      <w:r w:rsidR="003E7919">
        <w:t xml:space="preserve">student </w:t>
      </w:r>
      <w:r>
        <w:t>questionnaire.</w:t>
      </w:r>
      <w:r>
        <w:rPr>
          <w:rStyle w:val="FootnoteReference"/>
        </w:rPr>
        <w:footnoteReference w:id="1"/>
      </w:r>
    </w:p>
    <w:p w14:paraId="2AED7E6A" w14:textId="4EF793F3" w:rsidR="00510D69" w:rsidRDefault="008C51F0" w:rsidP="00CB1104">
      <w:pPr>
        <w:pStyle w:val="BulletedList"/>
        <w:ind w:hanging="270"/>
      </w:pPr>
      <w:r>
        <w:t>A group debrief (</w:t>
      </w:r>
      <w:r w:rsidR="00CB1104">
        <w:t>up</w:t>
      </w:r>
      <w:r>
        <w:t xml:space="preserve"> to 10 minutes) will be conducted to solicit feedback from the students. See </w:t>
      </w:r>
      <w:r w:rsidRPr="00D62BC6">
        <w:t xml:space="preserve">Volume </w:t>
      </w:r>
      <w:r w:rsidR="009805E3">
        <w:t>2</w:t>
      </w:r>
      <w:r>
        <w:t xml:space="preserve"> for the debriefing script.</w:t>
      </w:r>
    </w:p>
    <w:p w14:paraId="3BAAAA8C" w14:textId="2E41A372" w:rsidR="00324548" w:rsidRDefault="00F310B0" w:rsidP="00A446E2">
      <w:pPr>
        <w:pStyle w:val="BodyText0"/>
        <w:rPr>
          <w:rFonts w:cs="Calibri"/>
        </w:rPr>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w:t>
      </w:r>
      <w:r w:rsidR="00583B38">
        <w:rPr>
          <w:rFonts w:asciiTheme="minorHAnsi" w:hAnsiTheme="minorHAnsi" w:cstheme="minorHAnsi"/>
        </w:rPr>
        <w:t>ke a set of survey question</w:t>
      </w:r>
      <w:r w:rsidR="00324548">
        <w:rPr>
          <w:rFonts w:asciiTheme="minorHAnsi" w:hAnsiTheme="minorHAnsi" w:cstheme="minorHAnsi"/>
        </w:rPr>
        <w:t>s.</w:t>
      </w:r>
      <w:r w:rsidR="00583B38">
        <w:rPr>
          <w:rFonts w:asciiTheme="minorHAnsi" w:hAnsiTheme="minorHAnsi" w:cstheme="minorHAnsi"/>
        </w:rPr>
        <w:t xml:space="preserve"> The maximum time for the student</w:t>
      </w:r>
      <w:r w:rsidR="00324548">
        <w:rPr>
          <w:rFonts w:asciiTheme="minorHAnsi" w:hAnsiTheme="minorHAnsi" w:cstheme="minorHAnsi"/>
        </w:rPr>
        <w:t xml:space="preserve"> questionnaire component is </w:t>
      </w:r>
      <w:r w:rsidR="00CB1556">
        <w:rPr>
          <w:rFonts w:asciiTheme="minorHAnsi" w:hAnsiTheme="minorHAnsi" w:cstheme="minorHAnsi"/>
        </w:rPr>
        <w:t>30 minutes (included in the 1</w:t>
      </w:r>
      <w:r w:rsidR="00583B38">
        <w:rPr>
          <w:rFonts w:asciiTheme="minorHAnsi" w:hAnsiTheme="minorHAnsi" w:cstheme="minorHAnsi"/>
        </w:rPr>
        <w:t>75</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 xml:space="preserve">estimation </w:t>
      </w:r>
      <w:r w:rsidR="00324548">
        <w:rPr>
          <w:rFonts w:asciiTheme="minorHAnsi" w:hAnsiTheme="minorHAnsi" w:cstheme="minorHAnsi"/>
        </w:rPr>
        <w:t>for each session).</w:t>
      </w:r>
      <w:r w:rsidR="007D277D">
        <w:rPr>
          <w:rFonts w:asciiTheme="minorHAnsi" w:hAnsiTheme="minorHAnsi" w:cstheme="minorHAnsi"/>
        </w:rPr>
        <w:t xml:space="preserve"> </w:t>
      </w:r>
      <w:r w:rsidR="006E5AD2" w:rsidRPr="00D62BC6">
        <w:rPr>
          <w:rFonts w:asciiTheme="minorHAnsi" w:hAnsiTheme="minorHAnsi" w:cstheme="minorHAnsi"/>
        </w:rPr>
        <w:t xml:space="preserve">Volume </w:t>
      </w:r>
      <w:r w:rsidR="009805E3">
        <w:rPr>
          <w:rFonts w:asciiTheme="minorHAnsi" w:hAnsiTheme="minorHAnsi" w:cstheme="minorHAnsi"/>
        </w:rPr>
        <w:t>2</w:t>
      </w:r>
      <w:r w:rsidR="006E5AD2" w:rsidRPr="00D62BC6">
        <w:rPr>
          <w:rFonts w:asciiTheme="minorHAnsi" w:hAnsiTheme="minorHAnsi" w:cstheme="minorHAnsi"/>
        </w:rPr>
        <w:t xml:space="preserve"> includes</w:t>
      </w:r>
      <w:r w:rsidR="006E5AD2" w:rsidRPr="00555EE0">
        <w:rPr>
          <w:rFonts w:asciiTheme="minorHAnsi" w:hAnsiTheme="minorHAnsi" w:cstheme="minorHAnsi"/>
        </w:rPr>
        <w:t xml:space="preserve"> </w:t>
      </w:r>
      <w:r w:rsidR="00CB1556">
        <w:rPr>
          <w:rFonts w:asciiTheme="minorHAnsi" w:hAnsiTheme="minorHAnsi" w:cstheme="minorHAnsi"/>
        </w:rPr>
        <w:t>the</w:t>
      </w:r>
      <w:r w:rsidR="006E5AD2" w:rsidRPr="00555EE0">
        <w:rPr>
          <w:rFonts w:asciiTheme="minorHAnsi" w:hAnsiTheme="minorHAnsi" w:cstheme="minorHAnsi"/>
        </w:rPr>
        <w:t xml:space="preserve"> </w:t>
      </w:r>
      <w:r w:rsidRPr="00555EE0">
        <w:rPr>
          <w:rFonts w:asciiTheme="minorHAnsi" w:hAnsiTheme="minorHAnsi" w:cstheme="minorHAnsi"/>
        </w:rPr>
        <w:t xml:space="preserve">student survey </w:t>
      </w:r>
      <w:r w:rsidR="00A06F33" w:rsidRPr="00555EE0">
        <w:rPr>
          <w:rFonts w:asciiTheme="minorHAnsi" w:hAnsiTheme="minorHAnsi" w:cstheme="minorHAnsi"/>
        </w:rPr>
        <w:t>items</w:t>
      </w:r>
      <w:r w:rsidRPr="00555EE0">
        <w:rPr>
          <w:rFonts w:asciiTheme="minorHAnsi" w:hAnsiTheme="minorHAnsi" w:cstheme="minorHAnsi"/>
        </w:rPr>
        <w:t xml:space="preserve"> </w:t>
      </w:r>
      <w:r w:rsidR="00CB1556">
        <w:rPr>
          <w:rFonts w:asciiTheme="minorHAnsi" w:hAnsiTheme="minorHAnsi" w:cstheme="minorHAnsi"/>
        </w:rPr>
        <w:t>that were</w:t>
      </w:r>
      <w:r w:rsidRPr="00555EE0">
        <w:rPr>
          <w:rFonts w:asciiTheme="minorHAnsi" w:hAnsiTheme="minorHAnsi" w:cstheme="minorHAnsi"/>
        </w:rPr>
        <w:t xml:space="preserve"> administered</w:t>
      </w:r>
      <w:r w:rsidR="00CB1556">
        <w:rPr>
          <w:rFonts w:asciiTheme="minorHAnsi" w:hAnsiTheme="minorHAnsi" w:cstheme="minorHAnsi"/>
        </w:rPr>
        <w:t xml:space="preserve"> in the field test</w:t>
      </w:r>
      <w:r w:rsidR="00C60D63" w:rsidRPr="00555EE0">
        <w:rPr>
          <w:rFonts w:asciiTheme="minorHAnsi" w:hAnsiTheme="minorHAnsi" w:cstheme="minorHAnsi"/>
        </w:rPr>
        <w:t>.</w:t>
      </w:r>
      <w:r w:rsidR="006E5AD2" w:rsidRPr="00555EE0">
        <w:rPr>
          <w:rStyle w:val="FootnoteReference"/>
          <w:rFonts w:asciiTheme="minorHAnsi" w:hAnsiTheme="minorHAnsi"/>
        </w:rPr>
        <w:footnoteReference w:id="2"/>
      </w:r>
      <w:r w:rsidR="006E5AD2" w:rsidRPr="00555EE0">
        <w:rPr>
          <w:rFonts w:cs="Calibri"/>
        </w:rPr>
        <w:t xml:space="preserve"> As the </w:t>
      </w:r>
      <w:r w:rsidR="00A06F33" w:rsidRPr="00555EE0">
        <w:rPr>
          <w:rFonts w:cs="Calibri"/>
        </w:rPr>
        <w:t>items</w:t>
      </w:r>
      <w:r w:rsidR="006E5AD2" w:rsidRPr="00555EE0">
        <w:rPr>
          <w:rFonts w:cs="Calibri"/>
        </w:rPr>
        <w:t xml:space="preserve"> for the </w:t>
      </w:r>
      <w:r w:rsidR="00901468" w:rsidRPr="00555EE0">
        <w:rPr>
          <w:rFonts w:cs="Calibri"/>
        </w:rPr>
        <w:t>201</w:t>
      </w:r>
      <w:r w:rsidR="00901468">
        <w:rPr>
          <w:rFonts w:cs="Calibri"/>
        </w:rPr>
        <w:t>8</w:t>
      </w:r>
      <w:r w:rsidR="00901468" w:rsidRPr="00555EE0">
        <w:rPr>
          <w:rFonts w:cs="Calibri"/>
        </w:rPr>
        <w:t xml:space="preserve"> </w:t>
      </w:r>
      <w:r w:rsidR="00D07347">
        <w:rPr>
          <w:rFonts w:cs="Calibri"/>
        </w:rPr>
        <w:t>ICILS</w:t>
      </w:r>
      <w:r w:rsidR="006E5AD2" w:rsidRPr="00555EE0">
        <w:rPr>
          <w:rFonts w:cs="Calibri"/>
        </w:rPr>
        <w:t xml:space="preserve"> are finalized</w:t>
      </w:r>
      <w:r w:rsidR="00211FE2">
        <w:rPr>
          <w:rFonts w:cs="Calibri"/>
        </w:rPr>
        <w:t>,</w:t>
      </w:r>
      <w:r w:rsidR="006E5AD2" w:rsidRPr="00555EE0">
        <w:rPr>
          <w:rFonts w:cs="Calibri"/>
        </w:rPr>
        <w:t xml:space="preserve"> the final </w:t>
      </w:r>
      <w:r w:rsidR="00D07347">
        <w:rPr>
          <w:rFonts w:cs="Calibri"/>
        </w:rPr>
        <w:t>questions</w:t>
      </w:r>
      <w:r w:rsidR="006E5AD2" w:rsidRPr="00555EE0">
        <w:rPr>
          <w:rFonts w:cs="Calibri"/>
        </w:rPr>
        <w:t xml:space="preserve"> will be included in the </w:t>
      </w:r>
      <w:r w:rsidR="00D07347">
        <w:rPr>
          <w:rFonts w:cs="Calibri"/>
        </w:rPr>
        <w:t>ICILS assessment</w:t>
      </w:r>
      <w:r w:rsidR="006E5AD2" w:rsidRPr="00555EE0">
        <w:rPr>
          <w:rFonts w:cs="Calibri"/>
        </w:rPr>
        <w:t xml:space="preserve"> system for pretesting. As such,</w:t>
      </w:r>
      <w:r w:rsidR="00D07347">
        <w:rPr>
          <w:rFonts w:cs="Calibri"/>
        </w:rPr>
        <w:t xml:space="preserve"> session one </w:t>
      </w:r>
      <w:r w:rsidR="001F744B">
        <w:rPr>
          <w:rFonts w:cs="Calibri"/>
        </w:rPr>
        <w:t>will use</w:t>
      </w:r>
      <w:r w:rsidR="00D07347">
        <w:rPr>
          <w:rFonts w:cs="Calibri"/>
        </w:rPr>
        <w:t xml:space="preserve"> the field test versions of the questionnaires and session two is likely to </w:t>
      </w:r>
      <w:r w:rsidR="001F744B">
        <w:rPr>
          <w:rFonts w:cs="Calibri"/>
        </w:rPr>
        <w:t xml:space="preserve">use </w:t>
      </w:r>
      <w:r w:rsidR="00D07347">
        <w:rPr>
          <w:rFonts w:cs="Calibri"/>
        </w:rPr>
        <w:t>the final questionnaires.</w:t>
      </w:r>
      <w:r w:rsidR="006E5AD2" w:rsidRPr="00555EE0">
        <w:rPr>
          <w:rFonts w:cs="Calibri"/>
        </w:rPr>
        <w:t xml:space="preserve"> </w:t>
      </w:r>
      <w:r w:rsidR="00CC7E4D">
        <w:rPr>
          <w:rFonts w:cs="Calibri"/>
        </w:rPr>
        <w:t>If, as anticipated, questionnaire items for session two will differ from those that will be used in session one (</w:t>
      </w:r>
      <w:r w:rsidR="00DD1821">
        <w:rPr>
          <w:rFonts w:cs="Calibri"/>
        </w:rPr>
        <w:t>as</w:t>
      </w:r>
      <w:r w:rsidR="00CC7E4D">
        <w:rPr>
          <w:rFonts w:cs="Calibri"/>
        </w:rPr>
        <w:t xml:space="preserve"> included here), we will submit to OMB for review a</w:t>
      </w:r>
      <w:r w:rsidR="00DD1821">
        <w:rPr>
          <w:rFonts w:cs="Calibri"/>
        </w:rPr>
        <w:t xml:space="preserve"> new</w:t>
      </w:r>
      <w:r w:rsidR="00CC7E4D">
        <w:rPr>
          <w:rFonts w:cs="Calibri"/>
        </w:rPr>
        <w:t xml:space="preserve"> </w:t>
      </w:r>
      <w:r w:rsidR="00DD1821">
        <w:rPr>
          <w:rFonts w:cs="Calibri"/>
        </w:rPr>
        <w:t xml:space="preserve">clearance </w:t>
      </w:r>
      <w:r w:rsidR="00CC7E4D">
        <w:rPr>
          <w:rFonts w:cs="Calibri"/>
        </w:rPr>
        <w:t xml:space="preserve">request under </w:t>
      </w:r>
      <w:r w:rsidR="00DD1821">
        <w:rPr>
          <w:rFonts w:cs="Calibri"/>
        </w:rPr>
        <w:t xml:space="preserve">OMB# </w:t>
      </w:r>
      <w:r w:rsidR="00CC7E4D">
        <w:rPr>
          <w:rFonts w:cs="Calibri"/>
        </w:rPr>
        <w:t>1850-0803</w:t>
      </w:r>
      <w:r w:rsidR="00DD1821">
        <w:rPr>
          <w:rFonts w:cs="Calibri"/>
        </w:rPr>
        <w:t xml:space="preserve"> (please note that the estimated required response burden for session two is included in this request; if additional burden will be needed at the time of session two request submission, we </w:t>
      </w:r>
      <w:r w:rsidR="001F744B">
        <w:rPr>
          <w:rFonts w:cs="Calibri"/>
        </w:rPr>
        <w:t>will explicitly request the additional burden, otherwise we will not ask for new burden amount)</w:t>
      </w:r>
      <w:r w:rsidR="005C1BC5">
        <w:rPr>
          <w:rFonts w:cs="Calibri"/>
        </w:rPr>
        <w:t>.</w:t>
      </w:r>
    </w:p>
    <w:p w14:paraId="4B24A046" w14:textId="0D2B6B0F" w:rsidR="00CB14C2" w:rsidRPr="005035A1" w:rsidRDefault="00CB14C2" w:rsidP="00A446E2">
      <w:pPr>
        <w:pStyle w:val="BodyText0"/>
        <w:rPr>
          <w:u w:val="single"/>
        </w:rPr>
      </w:pPr>
      <w:r>
        <w:rPr>
          <w:u w:val="single"/>
        </w:rPr>
        <w:t>Data Collection Process</w:t>
      </w:r>
    </w:p>
    <w:p w14:paraId="1B318C31" w14:textId="68589660" w:rsidR="007D277D" w:rsidRDefault="002849F7" w:rsidP="00A446E2">
      <w:pPr>
        <w:pStyle w:val="BodyText0"/>
      </w:pPr>
      <w:r w:rsidRPr="00DB3B9F">
        <w:t xml:space="preserve">Normal data collection will </w:t>
      </w:r>
      <w:r>
        <w:t>be enabled by the</w:t>
      </w:r>
      <w:r w:rsidR="002620FC">
        <w:t xml:space="preserve"> </w:t>
      </w:r>
      <w:r w:rsidR="00D07347">
        <w:t>ICILS</w:t>
      </w:r>
      <w:r>
        <w:t xml:space="preserve"> system</w:t>
      </w:r>
      <w:r w:rsidR="002620FC">
        <w:t>s</w:t>
      </w:r>
      <w:r w:rsidR="001735B7">
        <w:t>,</w:t>
      </w:r>
      <w:r>
        <w:t xml:space="preserve">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In addition to the</w:t>
      </w:r>
      <w:r w:rsidR="002620FC">
        <w:t xml:space="preserve"> </w:t>
      </w:r>
      <w:r w:rsidR="00D07347">
        <w:t>ICILS</w:t>
      </w:r>
      <w:r>
        <w:t xml:space="preserve"> system</w:t>
      </w:r>
      <w:r w:rsidR="002620FC">
        <w:t>s</w:t>
      </w:r>
      <w:r>
        <w:t xml:space="preserve"> recording information, administrators and observers from </w:t>
      </w:r>
      <w:r w:rsidR="00DD1668">
        <w:t xml:space="preserve">NCES, </w:t>
      </w:r>
      <w:r>
        <w:t xml:space="preserve">Westat, and/or EurekaFacts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clarification of the actions he or she took prior to an issue </w:t>
      </w:r>
      <w:r w:rsidR="00A446E2">
        <w:t xml:space="preserve">or error </w:t>
      </w:r>
      <w:r>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have enough information for staff to replicate the error and develop a fix for </w:t>
      </w:r>
      <w:r w:rsidR="008B7E00">
        <w:t>it</w:t>
      </w:r>
      <w:r w:rsidR="00A446E2" w:rsidRPr="00AB5DCE">
        <w:t>.</w:t>
      </w:r>
    </w:p>
    <w:p w14:paraId="14945887" w14:textId="6923BDB4" w:rsidR="00823B01" w:rsidRDefault="00823B01" w:rsidP="002849F7">
      <w:pPr>
        <w:pStyle w:val="BodyText0"/>
      </w:pPr>
      <w:r>
        <w:t>The sessions will be audio and/or video recorded to capture information regarding any student actions that resulted in system errors or issues.</w:t>
      </w:r>
    </w:p>
    <w:p w14:paraId="21333C3A" w14:textId="77777777" w:rsidR="002155CF" w:rsidRPr="009544D6" w:rsidRDefault="002155CF" w:rsidP="002625E2">
      <w:pPr>
        <w:pStyle w:val="aHeading1"/>
      </w:pPr>
      <w:bookmarkStart w:id="33" w:name="_Toc365710616"/>
      <w:bookmarkStart w:id="34" w:name="_Toc365710617"/>
      <w:bookmarkStart w:id="35" w:name="_Toc484586719"/>
      <w:bookmarkStart w:id="36" w:name="_Toc92798618"/>
      <w:bookmarkEnd w:id="33"/>
      <w:r>
        <w:t>Consultations outside the agency</w:t>
      </w:r>
      <w:bookmarkEnd w:id="34"/>
      <w:bookmarkEnd w:id="35"/>
    </w:p>
    <w:p w14:paraId="4A27FB4B" w14:textId="3B7A9FE5" w:rsidR="002849F7" w:rsidRDefault="002849F7" w:rsidP="00087F91">
      <w:pPr>
        <w:widowControl w:val="0"/>
      </w:pPr>
      <w:bookmarkStart w:id="37" w:name="_File_Delivery_Expectations"/>
      <w:bookmarkStart w:id="38" w:name="_Toc224109324"/>
      <w:bookmarkStart w:id="39" w:name="_Toc224109833"/>
      <w:bookmarkStart w:id="40" w:name="_Toc314844478"/>
      <w:bookmarkEnd w:id="36"/>
      <w:bookmarkEnd w:id="37"/>
      <w:bookmarkEnd w:id="38"/>
      <w:bookmarkEnd w:id="39"/>
      <w:r>
        <w:t xml:space="preserve">Westat is the contractor for </w:t>
      </w:r>
      <w:r w:rsidR="00D07347">
        <w:t>ICILS</w:t>
      </w:r>
      <w:r>
        <w:t>. Westat will provid</w:t>
      </w:r>
      <w:r w:rsidR="007C4F5B">
        <w:t>e</w:t>
      </w:r>
      <w:r>
        <w:t xml:space="preserve"> the</w:t>
      </w:r>
      <w:r w:rsidR="000040BD">
        <w:t xml:space="preserve"> laptops and</w:t>
      </w:r>
      <w:r>
        <w:t xml:space="preserve"> tablets for the students</w:t>
      </w:r>
      <w:r w:rsidR="00BB2D0F">
        <w:t>’</w:t>
      </w:r>
      <w:r>
        <w:t xml:space="preserve"> use and </w:t>
      </w:r>
      <w:r w:rsidR="007D277D">
        <w:t>carry out</w:t>
      </w:r>
      <w:r w:rsidR="001735B7">
        <w:t xml:space="preserve"> the</w:t>
      </w:r>
      <w:r w:rsidR="007D277D">
        <w:t xml:space="preserve"> pretesting</w:t>
      </w:r>
      <w:r>
        <w:t xml:space="preserve"> study.</w:t>
      </w:r>
    </w:p>
    <w:p w14:paraId="7324E456" w14:textId="24E0521E" w:rsidR="00D07347" w:rsidRPr="00D07347" w:rsidRDefault="00D07347" w:rsidP="00D07347">
      <w:r w:rsidRPr="00D07347">
        <w:t xml:space="preserve">The majority of </w:t>
      </w:r>
      <w:r>
        <w:t>the consultations</w:t>
      </w:r>
      <w:r w:rsidRPr="00D07347">
        <w:t xml:space="preserve"> involve the Australian Council for Educational Research (ACER), the international study center for ICILS. ACER staff are responsible for designing and implementing the study in close cooperation with the IEA Secretariat, the IEA Data Processing and Research Center, and the national centers of participating countries. Key staff from ACER include: Dr. John Ainley (project coordinator), Mr. Julian Fraillon (research director); and Dr. Wolfram Schulz (assessment coordinator), all of whom have extensive experience in developing and operating international education surveys (especially related to ICILS).</w:t>
      </w:r>
    </w:p>
    <w:p w14:paraId="349A4655" w14:textId="56DBF98F" w:rsidR="002849F7" w:rsidRPr="00392D5C" w:rsidRDefault="002849F7">
      <w:r>
        <w:t>EurekaFacts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EurekaFacts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EurekaFacts staff </w:t>
      </w:r>
      <w:r w:rsidR="001A0C90">
        <w:t xml:space="preserve">may assist in </w:t>
      </w:r>
      <w:r w:rsidR="00DD1668">
        <w:t>administering</w:t>
      </w:r>
      <w:r w:rsidR="001A0C90">
        <w:t xml:space="preserve"> and/or observing some sessions.</w:t>
      </w:r>
    </w:p>
    <w:p w14:paraId="1D88F5E2" w14:textId="77777777" w:rsidR="002155CF" w:rsidRPr="002F31A6" w:rsidRDefault="002155CF" w:rsidP="002F31A6">
      <w:pPr>
        <w:pStyle w:val="aHeading1"/>
      </w:pPr>
      <w:bookmarkStart w:id="41" w:name="_Toc365710618"/>
      <w:bookmarkStart w:id="42" w:name="_Toc484586720"/>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14:paraId="2A4DB220" w14:textId="77777777"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D69A976" w14:textId="77777777" w:rsidR="007D277D" w:rsidRDefault="002155CF" w:rsidP="002F31A6">
      <w:pPr>
        <w:pStyle w:val="aHeading1"/>
      </w:pPr>
      <w:bookmarkStart w:id="49" w:name="_Toc365710619"/>
      <w:bookmarkStart w:id="50" w:name="_Toc484586721"/>
      <w:r>
        <w:t>Paying Respondents</w:t>
      </w:r>
      <w:bookmarkEnd w:id="43"/>
      <w:bookmarkEnd w:id="44"/>
      <w:bookmarkEnd w:id="45"/>
      <w:bookmarkEnd w:id="49"/>
      <w:bookmarkEnd w:id="50"/>
    </w:p>
    <w:p w14:paraId="297CB7E2" w14:textId="0CCA190A" w:rsidR="00620A57" w:rsidRDefault="00620A57" w:rsidP="00620A57">
      <w:pPr>
        <w:spacing w:after="120"/>
        <w:rPr>
          <w:rFonts w:cs="Calibri"/>
        </w:rPr>
      </w:pPr>
      <w:bookmarkStart w:id="51" w:name="_Toc365710620"/>
      <w:bookmarkStart w:id="52" w:name="_Toc94498582"/>
      <w:bookmarkStart w:id="53" w:name="_Ref354382733"/>
      <w:bookmarkStart w:id="54" w:name="_Toc92798620"/>
      <w:r w:rsidRPr="001E33ED">
        <w:rPr>
          <w:rFonts w:cs="Calibri"/>
        </w:rPr>
        <w:t xml:space="preserve">To encourage participation and thank </w:t>
      </w:r>
      <w:r>
        <w:rPr>
          <w:rFonts w:cs="Calibri"/>
        </w:rPr>
        <w:t>students</w:t>
      </w:r>
      <w:r w:rsidRPr="001E33ED">
        <w:rPr>
          <w:rFonts w:cs="Calibri"/>
        </w:rPr>
        <w:t xml:space="preserve"> for their time and effort, a</w:t>
      </w:r>
      <w:r>
        <w:rPr>
          <w:rFonts w:cs="Calibri"/>
        </w:rPr>
        <w:t xml:space="preserve"> </w:t>
      </w:r>
      <w:r w:rsidR="00410E59">
        <w:rPr>
          <w:rFonts w:cs="Calibri"/>
        </w:rPr>
        <w:t>$</w:t>
      </w:r>
      <w:r w:rsidR="00D317BC">
        <w:rPr>
          <w:rFonts w:cs="Calibri"/>
        </w:rPr>
        <w:t>50</w:t>
      </w:r>
      <w:r w:rsidR="00956B38">
        <w:rPr>
          <w:rFonts w:cs="Calibri"/>
        </w:rPr>
        <w:t xml:space="preserve"> </w:t>
      </w:r>
      <w:r>
        <w:rPr>
          <w:rFonts w:cs="Calibri"/>
        </w:rPr>
        <w:t xml:space="preserve">gift card from a major credit card </w:t>
      </w:r>
      <w:r w:rsidRPr="001E33ED">
        <w:rPr>
          <w:rFonts w:cs="Calibri"/>
        </w:rPr>
        <w:t xml:space="preserve">will be offered to each participating student. If a parent or legal guardian brings their student to and from the </w:t>
      </w:r>
      <w:r w:rsidR="00956B38">
        <w:rPr>
          <w:rFonts w:cs="Calibri"/>
        </w:rPr>
        <w:t>testing</w:t>
      </w:r>
      <w:r w:rsidRPr="001E33ED">
        <w:rPr>
          <w:rFonts w:cs="Calibri"/>
        </w:rPr>
        <w:t xml:space="preserve"> site, they will also receive </w:t>
      </w:r>
      <w:r>
        <w:rPr>
          <w:rFonts w:cs="Calibri"/>
        </w:rPr>
        <w:t xml:space="preserve">a </w:t>
      </w:r>
      <w:r w:rsidRPr="001E33ED">
        <w:rPr>
          <w:rFonts w:cs="Calibri"/>
        </w:rPr>
        <w:t>$</w:t>
      </w:r>
      <w:r w:rsidR="00D317BC">
        <w:rPr>
          <w:rFonts w:cs="Calibri"/>
        </w:rPr>
        <w:t>50</w:t>
      </w:r>
      <w:r>
        <w:rPr>
          <w:rFonts w:cs="Calibri"/>
        </w:rPr>
        <w:t xml:space="preserve"> gift card</w:t>
      </w:r>
      <w:r w:rsidRPr="001E33ED">
        <w:rPr>
          <w:rFonts w:cs="Calibri"/>
        </w:rPr>
        <w:t xml:space="preserve"> </w:t>
      </w:r>
      <w:r w:rsidR="009F166C">
        <w:rPr>
          <w:rFonts w:cs="Calibri"/>
        </w:rPr>
        <w:t>to</w:t>
      </w:r>
      <w:r w:rsidRPr="001E33ED">
        <w:rPr>
          <w:rFonts w:cs="Calibri"/>
        </w:rPr>
        <w:t xml:space="preserve"> thank </w:t>
      </w:r>
      <w:r w:rsidR="009F166C">
        <w:rPr>
          <w:rFonts w:cs="Calibri"/>
        </w:rPr>
        <w:t>them</w:t>
      </w:r>
      <w:r w:rsidRPr="001E33ED">
        <w:rPr>
          <w:rFonts w:cs="Calibri"/>
        </w:rPr>
        <w:t xml:space="preserve"> for their time</w:t>
      </w:r>
      <w:r w:rsidR="009F166C">
        <w:rPr>
          <w:rFonts w:cs="Calibri"/>
        </w:rPr>
        <w:t xml:space="preserve"> and</w:t>
      </w:r>
      <w:r w:rsidRPr="001E33ED">
        <w:rPr>
          <w:rFonts w:cs="Calibri"/>
        </w:rPr>
        <w:t xml:space="preserve"> effort</w:t>
      </w:r>
      <w:r w:rsidR="009F166C">
        <w:rPr>
          <w:rFonts w:cs="Calibri"/>
        </w:rPr>
        <w:t xml:space="preserve"> in</w:t>
      </w:r>
      <w:r w:rsidRPr="001E33ED">
        <w:rPr>
          <w:rFonts w:cs="Calibri"/>
        </w:rPr>
        <w:t xml:space="preserve"> transport</w:t>
      </w:r>
      <w:r w:rsidR="009F166C">
        <w:rPr>
          <w:rFonts w:cs="Calibri"/>
        </w:rPr>
        <w:t>ing</w:t>
      </w:r>
      <w:r w:rsidR="00BB2D0F">
        <w:rPr>
          <w:rFonts w:cs="Calibri"/>
        </w:rPr>
        <w:t xml:space="preserve"> </w:t>
      </w:r>
      <w:r w:rsidRPr="001E33ED">
        <w:rPr>
          <w:rFonts w:cs="Calibri"/>
        </w:rPr>
        <w:t>their child.</w:t>
      </w:r>
      <w:r w:rsidR="00FC1B2B">
        <w:rPr>
          <w:rFonts w:cs="Calibri"/>
        </w:rPr>
        <w:t xml:space="preserve"> Similar NAEP studies </w:t>
      </w:r>
      <w:r w:rsidR="00925B23">
        <w:rPr>
          <w:rFonts w:cs="Calibri"/>
        </w:rPr>
        <w:t xml:space="preserve">(e.g. </w:t>
      </w:r>
      <w:r w:rsidR="00925B23" w:rsidRPr="00925B23">
        <w:rPr>
          <w:rFonts w:cs="Calibri"/>
        </w:rPr>
        <w:t>OMB# 1850-0803 v. 199</w:t>
      </w:r>
      <w:r w:rsidR="00925B23">
        <w:rPr>
          <w:rFonts w:cs="Calibri"/>
        </w:rPr>
        <w:t xml:space="preserve">) </w:t>
      </w:r>
      <w:r w:rsidR="00FC1B2B">
        <w:rPr>
          <w:rFonts w:cs="Calibri"/>
        </w:rPr>
        <w:t xml:space="preserve">have offered $25 to the student participant and $25 to the parent/guardian for sessions that last approximately 1.5 hours. Given that this research study requires about twice the amount of time (approximately 3 hours per session), $50 is being offered to both the student and parent/guardian in order to </w:t>
      </w:r>
      <w:r w:rsidR="00925B23">
        <w:rPr>
          <w:rFonts w:cs="Calibri"/>
        </w:rPr>
        <w:t>aid in recruitment</w:t>
      </w:r>
      <w:r w:rsidR="00FC1B2B">
        <w:rPr>
          <w:rFonts w:cs="Calibri"/>
        </w:rPr>
        <w:t xml:space="preserve"> and </w:t>
      </w:r>
      <w:r w:rsidR="00925B23">
        <w:rPr>
          <w:rFonts w:cs="Calibri"/>
        </w:rPr>
        <w:t xml:space="preserve">gain </w:t>
      </w:r>
      <w:r w:rsidR="00FC1B2B">
        <w:rPr>
          <w:rFonts w:cs="Calibri"/>
        </w:rPr>
        <w:t>cooperation in the study.</w:t>
      </w:r>
    </w:p>
    <w:p w14:paraId="42A4CAE0" w14:textId="77777777" w:rsidR="002155CF" w:rsidRDefault="002155CF" w:rsidP="00B55B2F">
      <w:pPr>
        <w:pStyle w:val="aHeading1"/>
      </w:pPr>
      <w:bookmarkStart w:id="55" w:name="_Toc483558787"/>
      <w:bookmarkStart w:id="56" w:name="_Toc484586722"/>
      <w:bookmarkEnd w:id="55"/>
      <w:r>
        <w:t>Assurance of Confidentiality</w:t>
      </w:r>
      <w:bookmarkEnd w:id="51"/>
      <w:bookmarkEnd w:id="56"/>
    </w:p>
    <w:p w14:paraId="524BFBD3" w14:textId="77777777" w:rsidR="00956B38" w:rsidRPr="005035A1" w:rsidRDefault="00956B38" w:rsidP="005035A1">
      <w:pPr>
        <w:spacing w:after="120"/>
        <w:rPr>
          <w:rFonts w:cs="Calibri"/>
        </w:rPr>
      </w:pPr>
      <w:r w:rsidRPr="000B234E">
        <w:rPr>
          <w:rFonts w:cs="Calibri"/>
        </w:rPr>
        <w:t>The study</w:t>
      </w:r>
      <w:r w:rsidRPr="00826B49">
        <w:rPr>
          <w:rFonts w:cs="Calibri"/>
        </w:rPr>
        <w:t xml:space="preserve"> will not retain any personally identifiable information. Prior to the start of the study, </w:t>
      </w:r>
      <w:r w:rsidRPr="005035A1">
        <w:rPr>
          <w:rFonts w:cs="Calibri"/>
        </w:rPr>
        <w:t xml:space="preserve">students will be notified that their participation is voluntary. As part of the study, students will be </w:t>
      </w:r>
      <w:r w:rsidRPr="000B234E">
        <w:rPr>
          <w:rFonts w:cs="Calibri"/>
        </w:rPr>
        <w:t>notified that the information they provide may be used only for statistical purposes and may not be disclosed, or used, in identifiable form for any other purpose except as required by law (20 U.S.C. §9573 and 6 U.S.C. §151)</w:t>
      </w:r>
      <w:r w:rsidRPr="005035A1">
        <w:rPr>
          <w:rFonts w:cs="Calibri"/>
        </w:rPr>
        <w:t>.</w:t>
      </w:r>
    </w:p>
    <w:p w14:paraId="4808A4A5" w14:textId="625F6FDA" w:rsidR="00956B38" w:rsidRPr="005035A1" w:rsidRDefault="00061026" w:rsidP="005035A1">
      <w:pPr>
        <w:spacing w:after="120"/>
        <w:rPr>
          <w:rFonts w:cs="Calibri"/>
        </w:rPr>
      </w:pPr>
      <w:r>
        <w:rPr>
          <w:rFonts w:cs="Calibri"/>
        </w:rPr>
        <w:t>B</w:t>
      </w:r>
      <w:r w:rsidRPr="005035A1">
        <w:rPr>
          <w:rFonts w:cs="Calibri"/>
        </w:rPr>
        <w:t xml:space="preserve">efore </w:t>
      </w:r>
      <w:r>
        <w:rPr>
          <w:rFonts w:cs="Calibri"/>
        </w:rPr>
        <w:t>each pretesting session</w:t>
      </w:r>
      <w:r w:rsidRPr="005035A1">
        <w:rPr>
          <w:rFonts w:cs="Calibri"/>
        </w:rPr>
        <w:t xml:space="preserve"> </w:t>
      </w:r>
      <w:r>
        <w:rPr>
          <w:rFonts w:cs="Calibri"/>
        </w:rPr>
        <w:t>is</w:t>
      </w:r>
      <w:r w:rsidRPr="005035A1">
        <w:rPr>
          <w:rFonts w:cs="Calibri"/>
        </w:rPr>
        <w:t xml:space="preserve"> administered</w:t>
      </w:r>
      <w:r>
        <w:rPr>
          <w:rFonts w:cs="Calibri"/>
        </w:rPr>
        <w:t>, f</w:t>
      </w:r>
      <w:r w:rsidR="00956B38" w:rsidRPr="005035A1">
        <w:rPr>
          <w:rFonts w:cs="Calibri"/>
        </w:rPr>
        <w:t xml:space="preserve">or </w:t>
      </w:r>
      <w:r>
        <w:rPr>
          <w:rFonts w:cs="Calibri"/>
        </w:rPr>
        <w:t>each</w:t>
      </w:r>
      <w:r w:rsidR="00956B38" w:rsidRPr="005035A1">
        <w:rPr>
          <w:rFonts w:cs="Calibri"/>
        </w:rPr>
        <w:t xml:space="preserve"> participant</w:t>
      </w:r>
      <w:r>
        <w:rPr>
          <w:rFonts w:cs="Calibri"/>
        </w:rPr>
        <w:t xml:space="preserve"> a</w:t>
      </w:r>
      <w:r w:rsidR="00956B38" w:rsidRPr="005035A1">
        <w:rPr>
          <w:rFonts w:cs="Calibri"/>
        </w:rPr>
        <w:t xml:space="preserve"> written consent will be obtained from </w:t>
      </w:r>
      <w:r>
        <w:rPr>
          <w:rFonts w:cs="Calibri"/>
        </w:rPr>
        <w:t xml:space="preserve">their </w:t>
      </w:r>
      <w:r w:rsidR="00956B38" w:rsidRPr="005035A1">
        <w:rPr>
          <w:rFonts w:cs="Calibri"/>
        </w:rPr>
        <w:t xml:space="preserve">parent/legal guardian.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w:t>
      </w:r>
      <w:r>
        <w:rPr>
          <w:rFonts w:cs="Calibri"/>
        </w:rPr>
        <w:t>and/</w:t>
      </w:r>
      <w:r w:rsidR="00956B38" w:rsidRPr="005035A1">
        <w:rPr>
          <w:rFonts w:cs="Calibri"/>
        </w:rPr>
        <w:t>or screen capture technology. The only identification included on the files will be the participant ID. The recorded files will be secured for the duration of the study and will be destroyed after the final report is completed.</w:t>
      </w:r>
    </w:p>
    <w:p w14:paraId="56FB017C" w14:textId="77777777" w:rsidR="007D277D" w:rsidRDefault="002155CF" w:rsidP="00B55B2F">
      <w:pPr>
        <w:pStyle w:val="aHeading1"/>
      </w:pPr>
      <w:bookmarkStart w:id="57" w:name="_Toc483558789"/>
      <w:bookmarkStart w:id="58" w:name="_Toc483558790"/>
      <w:bookmarkStart w:id="59" w:name="_Toc365710621"/>
      <w:bookmarkStart w:id="60" w:name="_Toc484586723"/>
      <w:bookmarkEnd w:id="57"/>
      <w:bookmarkEnd w:id="58"/>
      <w:r>
        <w:t xml:space="preserve">Estimate of Hourly </w:t>
      </w:r>
      <w:r w:rsidR="001073DE">
        <w:t>B</w:t>
      </w:r>
      <w:r>
        <w:t>urden</w:t>
      </w:r>
      <w:bookmarkEnd w:id="59"/>
      <w:bookmarkEnd w:id="60"/>
    </w:p>
    <w:p w14:paraId="78B900E7" w14:textId="107ADA33" w:rsidR="007D277D" w:rsidRDefault="001A0C90" w:rsidP="001A0C90">
      <w:pPr>
        <w:rPr>
          <w:rStyle w:val="StyleTimesNewRoman"/>
          <w:sz w:val="22"/>
        </w:rPr>
      </w:pPr>
      <w:r w:rsidRPr="001A0C90">
        <w:rPr>
          <w:rStyle w:val="StyleTimesNewRoman"/>
          <w:sz w:val="22"/>
        </w:rPr>
        <w:t>The estimated burden for recruitment assumes attrition throughout the process.</w:t>
      </w:r>
      <w:r w:rsidR="00147595">
        <w:rPr>
          <w:rStyle w:val="FootnoteReference"/>
          <w:color w:val="000000"/>
        </w:rPr>
        <w:footnoteReference w:id="3"/>
      </w:r>
      <w:r w:rsidRPr="001A0C90">
        <w:rPr>
          <w:rStyle w:val="StyleTimesNewRoman"/>
          <w:sz w:val="22"/>
        </w:rPr>
        <w:t xml:space="preserve"> </w:t>
      </w:r>
      <w:r w:rsidR="00427E81" w:rsidRPr="00427E81">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w:t>
      </w:r>
      <w:r w:rsidR="006827FB">
        <w:rPr>
          <w:rStyle w:val="StyleTimesNewRoman"/>
          <w:sz w:val="22"/>
        </w:rPr>
        <w:t>in one session for a total of 1</w:t>
      </w:r>
      <w:r w:rsidR="00583B38">
        <w:rPr>
          <w:rStyle w:val="StyleTimesNewRoman"/>
          <w:sz w:val="22"/>
        </w:rPr>
        <w:t>75</w:t>
      </w:r>
      <w:r w:rsidR="00427E81" w:rsidRPr="00427E81">
        <w:rPr>
          <w:rStyle w:val="StyleTimesNewRoman"/>
          <w:sz w:val="22"/>
        </w:rPr>
        <w:t xml:space="preserve"> minutes. </w:t>
      </w:r>
      <w:r w:rsidRPr="001A0C90">
        <w:rPr>
          <w:rStyle w:val="StyleTimesNewRoman"/>
          <w:sz w:val="22"/>
        </w:rPr>
        <w:t xml:space="preserve">Table </w:t>
      </w:r>
      <w:r>
        <w:rPr>
          <w:rStyle w:val="StyleTimesNewRoman"/>
          <w:sz w:val="22"/>
        </w:rPr>
        <w:t>1</w:t>
      </w:r>
      <w:r w:rsidRPr="001A0C90">
        <w:rPr>
          <w:rStyle w:val="StyleTimesNewRoman"/>
          <w:sz w:val="22"/>
        </w:rPr>
        <w:t xml:space="preserve"> details the estimated burden.</w:t>
      </w:r>
    </w:p>
    <w:p w14:paraId="661D1EBC" w14:textId="7674C510" w:rsidR="00540C2E" w:rsidRDefault="00540C2E" w:rsidP="00061026">
      <w:pPr>
        <w:pStyle w:val="Caption"/>
        <w:keepNext/>
        <w:spacing w:after="60"/>
        <w:rPr>
          <w:sz w:val="24"/>
          <w:szCs w:val="24"/>
        </w:rPr>
      </w:pPr>
      <w:r w:rsidRPr="00EA4688">
        <w:rPr>
          <w:sz w:val="24"/>
          <w:szCs w:val="24"/>
        </w:rPr>
        <w:t xml:space="preserve">Table </w:t>
      </w:r>
      <w:r w:rsidR="00D84DBB">
        <w:rPr>
          <w:sz w:val="24"/>
          <w:szCs w:val="24"/>
        </w:rPr>
        <w:t>1</w:t>
      </w:r>
      <w:r w:rsidRPr="00EA4688">
        <w:rPr>
          <w:sz w:val="24"/>
          <w:szCs w:val="24"/>
        </w:rPr>
        <w:t>.</w:t>
      </w:r>
      <w:r>
        <w:rPr>
          <w:sz w:val="24"/>
          <w:szCs w:val="24"/>
        </w:rPr>
        <w:t xml:space="preserve"> </w:t>
      </w:r>
      <w:r w:rsidRPr="00EA4688">
        <w:rPr>
          <w:sz w:val="24"/>
          <w:szCs w:val="24"/>
        </w:rPr>
        <w:t>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2"/>
        <w:gridCol w:w="1671"/>
        <w:gridCol w:w="1671"/>
        <w:gridCol w:w="1819"/>
        <w:gridCol w:w="1815"/>
      </w:tblGrid>
      <w:tr w:rsidR="00CA2E30" w:rsidRPr="0064170B" w14:paraId="02D0AE1B" w14:textId="77777777" w:rsidTr="005544FD">
        <w:trPr>
          <w:trHeight w:val="395"/>
        </w:trPr>
        <w:tc>
          <w:tcPr>
            <w:tcW w:w="1748" w:type="pct"/>
            <w:vAlign w:val="center"/>
            <w:hideMark/>
          </w:tcPr>
          <w:p w14:paraId="6B6379C7" w14:textId="77777777" w:rsidR="00CA2E30" w:rsidRPr="0064170B" w:rsidRDefault="00CA2E30" w:rsidP="00942A68">
            <w:pPr>
              <w:keepNext/>
              <w:spacing w:after="0" w:line="240" w:lineRule="auto"/>
              <w:rPr>
                <w:b/>
                <w:bCs/>
                <w:color w:val="000000"/>
                <w:sz w:val="24"/>
                <w:szCs w:val="24"/>
              </w:rPr>
            </w:pPr>
            <w:r w:rsidRPr="0064170B">
              <w:rPr>
                <w:b/>
                <w:bCs/>
                <w:color w:val="000000"/>
              </w:rPr>
              <w:t>Respondent</w:t>
            </w:r>
          </w:p>
        </w:tc>
        <w:tc>
          <w:tcPr>
            <w:tcW w:w="779" w:type="pct"/>
            <w:vAlign w:val="center"/>
          </w:tcPr>
          <w:p w14:paraId="6243B583" w14:textId="77777777" w:rsidR="00CA2E30" w:rsidRPr="0064170B" w:rsidRDefault="00CA2E30" w:rsidP="00942A68">
            <w:pPr>
              <w:keepNext/>
              <w:spacing w:after="0" w:line="240" w:lineRule="auto"/>
              <w:jc w:val="center"/>
              <w:rPr>
                <w:b/>
                <w:bCs/>
                <w:color w:val="000000"/>
              </w:rPr>
            </w:pPr>
            <w:r w:rsidRPr="0064170B">
              <w:rPr>
                <w:b/>
                <w:bCs/>
                <w:color w:val="000000"/>
              </w:rPr>
              <w:t>Number of respondents</w:t>
            </w:r>
          </w:p>
        </w:tc>
        <w:tc>
          <w:tcPr>
            <w:tcW w:w="779" w:type="pct"/>
            <w:vAlign w:val="center"/>
            <w:hideMark/>
          </w:tcPr>
          <w:p w14:paraId="5A9743EC" w14:textId="77777777" w:rsidR="00CA2E30" w:rsidRPr="0064170B" w:rsidRDefault="00CA2E30" w:rsidP="00942A68">
            <w:pPr>
              <w:keepNext/>
              <w:spacing w:after="0" w:line="240" w:lineRule="auto"/>
              <w:jc w:val="center"/>
              <w:rPr>
                <w:b/>
                <w:bCs/>
                <w:color w:val="000000"/>
              </w:rPr>
            </w:pPr>
            <w:r w:rsidRPr="0064170B">
              <w:rPr>
                <w:b/>
                <w:bCs/>
                <w:color w:val="000000"/>
              </w:rPr>
              <w:t>Number of responses</w:t>
            </w:r>
          </w:p>
        </w:tc>
        <w:tc>
          <w:tcPr>
            <w:tcW w:w="848" w:type="pct"/>
            <w:vAlign w:val="center"/>
          </w:tcPr>
          <w:p w14:paraId="78158CB2" w14:textId="77777777" w:rsidR="00CA2E30" w:rsidRPr="0064170B" w:rsidRDefault="00CA2E30" w:rsidP="00942A68">
            <w:pPr>
              <w:keepNext/>
              <w:spacing w:after="0" w:line="240" w:lineRule="auto"/>
              <w:jc w:val="center"/>
              <w:rPr>
                <w:b/>
                <w:bCs/>
                <w:color w:val="000000"/>
              </w:rPr>
            </w:pPr>
            <w:r w:rsidRPr="0064170B">
              <w:rPr>
                <w:b/>
                <w:bCs/>
                <w:color w:val="000000"/>
              </w:rPr>
              <w:t>Hours per respondent</w:t>
            </w:r>
          </w:p>
        </w:tc>
        <w:tc>
          <w:tcPr>
            <w:tcW w:w="847" w:type="pct"/>
            <w:vAlign w:val="center"/>
            <w:hideMark/>
          </w:tcPr>
          <w:p w14:paraId="6DC3924E" w14:textId="77777777" w:rsidR="00CA2E30" w:rsidRPr="0064170B" w:rsidRDefault="00CA2E30" w:rsidP="00942A68">
            <w:pPr>
              <w:keepNext/>
              <w:spacing w:after="0" w:line="240" w:lineRule="auto"/>
              <w:jc w:val="center"/>
              <w:rPr>
                <w:b/>
                <w:bCs/>
                <w:color w:val="000000"/>
              </w:rPr>
            </w:pPr>
            <w:r w:rsidRPr="0064170B">
              <w:rPr>
                <w:b/>
                <w:bCs/>
                <w:color w:val="000000"/>
              </w:rPr>
              <w:t>Total hours</w:t>
            </w:r>
          </w:p>
        </w:tc>
      </w:tr>
      <w:tr w:rsidR="00CA2E30" w:rsidRPr="0064170B" w14:paraId="02BF1B41" w14:textId="77777777" w:rsidTr="005035A1">
        <w:trPr>
          <w:trHeight w:val="224"/>
        </w:trPr>
        <w:tc>
          <w:tcPr>
            <w:tcW w:w="5000" w:type="pct"/>
            <w:gridSpan w:val="5"/>
            <w:shd w:val="clear" w:color="auto" w:fill="F2F2F2" w:themeFill="background1" w:themeFillShade="F2"/>
            <w:vAlign w:val="center"/>
          </w:tcPr>
          <w:p w14:paraId="1AB3E75A" w14:textId="77777777" w:rsidR="00CA2E30" w:rsidRPr="0064170B" w:rsidRDefault="00CA2E30" w:rsidP="00BB2D0F">
            <w:pPr>
              <w:keepNext/>
              <w:spacing w:after="0" w:line="240" w:lineRule="auto"/>
              <w:rPr>
                <w:color w:val="000000"/>
              </w:rPr>
            </w:pPr>
            <w:r w:rsidRPr="0064170B">
              <w:rPr>
                <w:color w:val="000000"/>
              </w:rPr>
              <w:t>Parent or Legal Guardian for Student Recruitment</w:t>
            </w:r>
          </w:p>
        </w:tc>
      </w:tr>
      <w:tr w:rsidR="00CA2E30" w:rsidRPr="0064170B" w14:paraId="26A79A3A" w14:textId="77777777" w:rsidTr="005544FD">
        <w:trPr>
          <w:trHeight w:val="300"/>
        </w:trPr>
        <w:tc>
          <w:tcPr>
            <w:tcW w:w="1748" w:type="pct"/>
            <w:vAlign w:val="center"/>
            <w:hideMark/>
          </w:tcPr>
          <w:p w14:paraId="78852F87" w14:textId="77777777" w:rsidR="00CA2E30" w:rsidRPr="0064170B" w:rsidRDefault="00CA2E30" w:rsidP="00087F91">
            <w:pPr>
              <w:keepNext/>
              <w:spacing w:after="0" w:line="240" w:lineRule="auto"/>
              <w:ind w:left="90" w:firstLine="153"/>
              <w:rPr>
                <w:color w:val="000000"/>
              </w:rPr>
            </w:pPr>
            <w:r w:rsidRPr="0064170B">
              <w:rPr>
                <w:color w:val="000000"/>
              </w:rPr>
              <w:t>Initial contact</w:t>
            </w:r>
          </w:p>
        </w:tc>
        <w:tc>
          <w:tcPr>
            <w:tcW w:w="779" w:type="pct"/>
          </w:tcPr>
          <w:p w14:paraId="287D409D" w14:textId="0E1F5824" w:rsidR="00CA2E30" w:rsidRPr="0064170B" w:rsidRDefault="00510D69" w:rsidP="006827FB">
            <w:pPr>
              <w:keepNext/>
              <w:spacing w:after="0" w:line="240" w:lineRule="auto"/>
              <w:jc w:val="center"/>
              <w:rPr>
                <w:color w:val="000000"/>
              </w:rPr>
            </w:pPr>
            <w:r>
              <w:rPr>
                <w:color w:val="000000"/>
              </w:rPr>
              <w:t xml:space="preserve"> </w:t>
            </w:r>
            <w:r w:rsidR="006827FB">
              <w:rPr>
                <w:color w:val="000000"/>
              </w:rPr>
              <w:t>268</w:t>
            </w:r>
          </w:p>
        </w:tc>
        <w:tc>
          <w:tcPr>
            <w:tcW w:w="779" w:type="pct"/>
          </w:tcPr>
          <w:p w14:paraId="68248719" w14:textId="55EAEEE0" w:rsidR="00CA2E30" w:rsidRPr="0064170B" w:rsidRDefault="006827FB">
            <w:pPr>
              <w:keepNext/>
              <w:spacing w:after="0" w:line="240" w:lineRule="auto"/>
              <w:jc w:val="center"/>
              <w:rPr>
                <w:color w:val="000000"/>
              </w:rPr>
            </w:pPr>
            <w:r>
              <w:rPr>
                <w:color w:val="000000"/>
              </w:rPr>
              <w:t>268</w:t>
            </w:r>
          </w:p>
        </w:tc>
        <w:tc>
          <w:tcPr>
            <w:tcW w:w="848" w:type="pct"/>
          </w:tcPr>
          <w:p w14:paraId="5C5FAF89" w14:textId="77777777" w:rsidR="00CA2E30" w:rsidRPr="0064170B" w:rsidRDefault="00CA2E30" w:rsidP="00942A68">
            <w:pPr>
              <w:keepNext/>
              <w:spacing w:after="0" w:line="240" w:lineRule="auto"/>
              <w:jc w:val="center"/>
              <w:rPr>
                <w:color w:val="000000"/>
              </w:rPr>
            </w:pPr>
            <w:r w:rsidRPr="0064170B">
              <w:t>0.05</w:t>
            </w:r>
          </w:p>
        </w:tc>
        <w:tc>
          <w:tcPr>
            <w:tcW w:w="847" w:type="pct"/>
          </w:tcPr>
          <w:p w14:paraId="5DDDF25C" w14:textId="6C8C784E" w:rsidR="00CA2E30" w:rsidRPr="0064170B" w:rsidRDefault="006827FB" w:rsidP="00677802">
            <w:pPr>
              <w:keepNext/>
              <w:spacing w:after="0" w:line="240" w:lineRule="auto"/>
              <w:jc w:val="center"/>
              <w:rPr>
                <w:color w:val="000000"/>
              </w:rPr>
            </w:pPr>
            <w:r>
              <w:rPr>
                <w:color w:val="000000"/>
              </w:rPr>
              <w:t>1</w:t>
            </w:r>
            <w:r w:rsidR="00677802">
              <w:rPr>
                <w:color w:val="000000"/>
              </w:rPr>
              <w:t>4</w:t>
            </w:r>
          </w:p>
        </w:tc>
      </w:tr>
      <w:tr w:rsidR="00CA2E30" w:rsidRPr="0064170B" w14:paraId="09CB1E83" w14:textId="77777777" w:rsidTr="005544FD">
        <w:trPr>
          <w:trHeight w:val="305"/>
        </w:trPr>
        <w:tc>
          <w:tcPr>
            <w:tcW w:w="1748" w:type="pct"/>
            <w:vAlign w:val="center"/>
            <w:hideMark/>
          </w:tcPr>
          <w:p w14:paraId="06D45EA4" w14:textId="77777777" w:rsidR="00CA2E30" w:rsidRPr="0064170B" w:rsidRDefault="00CA2E30" w:rsidP="00087F91">
            <w:pPr>
              <w:keepNext/>
              <w:spacing w:after="0" w:line="240" w:lineRule="auto"/>
              <w:ind w:left="90" w:firstLine="153"/>
              <w:rPr>
                <w:color w:val="000000"/>
              </w:rPr>
            </w:pPr>
            <w:r w:rsidRPr="0064170B">
              <w:rPr>
                <w:color w:val="000000"/>
              </w:rPr>
              <w:t xml:space="preserve">Follow-up via phone </w:t>
            </w:r>
          </w:p>
        </w:tc>
        <w:tc>
          <w:tcPr>
            <w:tcW w:w="779" w:type="pct"/>
          </w:tcPr>
          <w:p w14:paraId="1C3F7C91" w14:textId="6187E2A2" w:rsidR="00CA2E30" w:rsidRPr="0064170B" w:rsidRDefault="00510D69" w:rsidP="006827FB">
            <w:pPr>
              <w:keepNext/>
              <w:spacing w:after="0" w:line="240" w:lineRule="auto"/>
              <w:jc w:val="center"/>
              <w:rPr>
                <w:color w:val="000000"/>
              </w:rPr>
            </w:pPr>
            <w:r>
              <w:rPr>
                <w:color w:val="000000"/>
              </w:rPr>
              <w:t xml:space="preserve"> </w:t>
            </w:r>
            <w:r w:rsidR="006827FB">
              <w:rPr>
                <w:color w:val="000000"/>
              </w:rPr>
              <w:t>134</w:t>
            </w:r>
            <w:r w:rsidR="00555EE0">
              <w:rPr>
                <w:color w:val="000000"/>
              </w:rPr>
              <w:t>*</w:t>
            </w:r>
          </w:p>
        </w:tc>
        <w:tc>
          <w:tcPr>
            <w:tcW w:w="779" w:type="pct"/>
          </w:tcPr>
          <w:p w14:paraId="4A9A88FD" w14:textId="122DA5BE" w:rsidR="00CA2E30" w:rsidRPr="0064170B" w:rsidRDefault="006827FB">
            <w:pPr>
              <w:keepNext/>
              <w:spacing w:after="0" w:line="240" w:lineRule="auto"/>
              <w:jc w:val="center"/>
              <w:rPr>
                <w:color w:val="000000"/>
              </w:rPr>
            </w:pPr>
            <w:r>
              <w:rPr>
                <w:color w:val="000000"/>
              </w:rPr>
              <w:t>134</w:t>
            </w:r>
          </w:p>
        </w:tc>
        <w:tc>
          <w:tcPr>
            <w:tcW w:w="848" w:type="pct"/>
          </w:tcPr>
          <w:p w14:paraId="2586223C" w14:textId="77777777" w:rsidR="00CA2E30" w:rsidRPr="0064170B" w:rsidRDefault="00CA2E30" w:rsidP="00942A68">
            <w:pPr>
              <w:keepNext/>
              <w:spacing w:after="0" w:line="240" w:lineRule="auto"/>
              <w:jc w:val="center"/>
              <w:rPr>
                <w:color w:val="000000"/>
              </w:rPr>
            </w:pPr>
            <w:r w:rsidRPr="0064170B">
              <w:t>0.15</w:t>
            </w:r>
          </w:p>
        </w:tc>
        <w:tc>
          <w:tcPr>
            <w:tcW w:w="847" w:type="pct"/>
          </w:tcPr>
          <w:p w14:paraId="25DC26D9" w14:textId="48E1BA7E" w:rsidR="00CA2E30" w:rsidRPr="0064170B" w:rsidRDefault="00677802" w:rsidP="00677802">
            <w:pPr>
              <w:keepNext/>
              <w:spacing w:after="0" w:line="240" w:lineRule="auto"/>
              <w:jc w:val="center"/>
              <w:rPr>
                <w:color w:val="000000"/>
              </w:rPr>
            </w:pPr>
            <w:r>
              <w:rPr>
                <w:color w:val="000000"/>
              </w:rPr>
              <w:t>20</w:t>
            </w:r>
          </w:p>
        </w:tc>
      </w:tr>
      <w:tr w:rsidR="00CA2E30" w:rsidRPr="0064170B" w14:paraId="1C0047DA" w14:textId="77777777" w:rsidTr="005544FD">
        <w:trPr>
          <w:trHeight w:val="300"/>
        </w:trPr>
        <w:tc>
          <w:tcPr>
            <w:tcW w:w="1748" w:type="pct"/>
            <w:vAlign w:val="center"/>
            <w:hideMark/>
          </w:tcPr>
          <w:p w14:paraId="505E4C99" w14:textId="77777777" w:rsidR="00CA2E30" w:rsidRPr="0064170B" w:rsidRDefault="00CA2E30" w:rsidP="00087F91">
            <w:pPr>
              <w:keepNext/>
              <w:spacing w:after="0" w:line="240" w:lineRule="auto"/>
              <w:ind w:left="90" w:firstLine="153"/>
              <w:rPr>
                <w:color w:val="000000"/>
              </w:rPr>
            </w:pPr>
            <w:r w:rsidRPr="0064170B">
              <w:rPr>
                <w:color w:val="000000"/>
              </w:rPr>
              <w:t>Consent &amp; confirmation</w:t>
            </w:r>
          </w:p>
        </w:tc>
        <w:tc>
          <w:tcPr>
            <w:tcW w:w="779" w:type="pct"/>
          </w:tcPr>
          <w:p w14:paraId="4CAD6E96" w14:textId="0ACE326B" w:rsidR="00CA2E30" w:rsidRPr="0064170B" w:rsidRDefault="006827FB" w:rsidP="00BB2D0F">
            <w:pPr>
              <w:keepNext/>
              <w:spacing w:after="0" w:line="240" w:lineRule="auto"/>
              <w:ind w:firstLine="97"/>
              <w:jc w:val="center"/>
              <w:rPr>
                <w:color w:val="000000"/>
              </w:rPr>
            </w:pPr>
            <w:r>
              <w:rPr>
                <w:color w:val="000000"/>
              </w:rPr>
              <w:t>67</w:t>
            </w:r>
            <w:r w:rsidR="00555EE0">
              <w:rPr>
                <w:color w:val="000000"/>
              </w:rPr>
              <w:t>*</w:t>
            </w:r>
          </w:p>
        </w:tc>
        <w:tc>
          <w:tcPr>
            <w:tcW w:w="779" w:type="pct"/>
          </w:tcPr>
          <w:p w14:paraId="347844A3" w14:textId="226B9A75" w:rsidR="00CA2E30" w:rsidRPr="0064170B" w:rsidRDefault="00510D69" w:rsidP="006827FB">
            <w:pPr>
              <w:keepNext/>
              <w:spacing w:after="0" w:line="240" w:lineRule="auto"/>
              <w:ind w:firstLine="37"/>
              <w:jc w:val="center"/>
              <w:rPr>
                <w:color w:val="000000"/>
              </w:rPr>
            </w:pPr>
            <w:r>
              <w:rPr>
                <w:color w:val="000000"/>
              </w:rPr>
              <w:t xml:space="preserve"> </w:t>
            </w:r>
            <w:r w:rsidR="006827FB">
              <w:rPr>
                <w:color w:val="000000"/>
              </w:rPr>
              <w:t>67</w:t>
            </w:r>
          </w:p>
        </w:tc>
        <w:tc>
          <w:tcPr>
            <w:tcW w:w="848" w:type="pct"/>
          </w:tcPr>
          <w:p w14:paraId="04EDFA62" w14:textId="77777777" w:rsidR="00CA2E30" w:rsidRPr="0064170B" w:rsidRDefault="00CA2E30" w:rsidP="00942A68">
            <w:pPr>
              <w:keepNext/>
              <w:spacing w:after="0" w:line="240" w:lineRule="auto"/>
              <w:jc w:val="center"/>
              <w:rPr>
                <w:color w:val="000000"/>
              </w:rPr>
            </w:pPr>
            <w:r w:rsidRPr="0064170B">
              <w:t>0.15</w:t>
            </w:r>
          </w:p>
        </w:tc>
        <w:tc>
          <w:tcPr>
            <w:tcW w:w="847" w:type="pct"/>
          </w:tcPr>
          <w:p w14:paraId="38AB3AEC" w14:textId="41DCFD6C" w:rsidR="00CA2E30" w:rsidRPr="0064170B" w:rsidRDefault="00677802" w:rsidP="00677802">
            <w:pPr>
              <w:keepNext/>
              <w:spacing w:after="0" w:line="240" w:lineRule="auto"/>
              <w:jc w:val="center"/>
              <w:rPr>
                <w:color w:val="000000"/>
              </w:rPr>
            </w:pPr>
            <w:r>
              <w:rPr>
                <w:color w:val="000000"/>
              </w:rPr>
              <w:t>10</w:t>
            </w:r>
          </w:p>
        </w:tc>
      </w:tr>
      <w:tr w:rsidR="00B90922" w:rsidRPr="0064170B" w14:paraId="6A0E13BB" w14:textId="77777777" w:rsidTr="005544FD">
        <w:trPr>
          <w:trHeight w:val="300"/>
        </w:trPr>
        <w:tc>
          <w:tcPr>
            <w:tcW w:w="1748" w:type="pct"/>
            <w:shd w:val="clear" w:color="auto" w:fill="D9D9D9" w:themeFill="background1" w:themeFillShade="D9"/>
            <w:vAlign w:val="center"/>
          </w:tcPr>
          <w:p w14:paraId="0B736D7F" w14:textId="3917E7F7" w:rsidR="00B90922" w:rsidRPr="00E17F18" w:rsidRDefault="00B90922" w:rsidP="00087F91">
            <w:pPr>
              <w:keepNext/>
              <w:spacing w:after="0" w:line="240" w:lineRule="auto"/>
              <w:ind w:left="90" w:firstLine="1503"/>
              <w:rPr>
                <w:color w:val="000000"/>
              </w:rPr>
            </w:pPr>
            <w:r w:rsidRPr="00E17F18">
              <w:rPr>
                <w:color w:val="000000"/>
              </w:rPr>
              <w:t>Recruitment Totals</w:t>
            </w:r>
          </w:p>
        </w:tc>
        <w:tc>
          <w:tcPr>
            <w:tcW w:w="779" w:type="pct"/>
            <w:shd w:val="clear" w:color="auto" w:fill="D9D9D9" w:themeFill="background1" w:themeFillShade="D9"/>
          </w:tcPr>
          <w:p w14:paraId="663C501D" w14:textId="39C80A8B" w:rsidR="00B90922" w:rsidRPr="00E17F18" w:rsidRDefault="006827FB" w:rsidP="00EE0D4B">
            <w:pPr>
              <w:keepNext/>
              <w:spacing w:after="0" w:line="240" w:lineRule="auto"/>
              <w:ind w:firstLine="97"/>
              <w:jc w:val="center"/>
              <w:rPr>
                <w:color w:val="000000"/>
              </w:rPr>
            </w:pPr>
            <w:r>
              <w:rPr>
                <w:color w:val="000000"/>
              </w:rPr>
              <w:t>268</w:t>
            </w:r>
          </w:p>
        </w:tc>
        <w:tc>
          <w:tcPr>
            <w:tcW w:w="779" w:type="pct"/>
            <w:shd w:val="clear" w:color="auto" w:fill="D9D9D9" w:themeFill="background1" w:themeFillShade="D9"/>
          </w:tcPr>
          <w:p w14:paraId="32DA6478" w14:textId="1D33A69E" w:rsidR="00B90922" w:rsidRPr="006B1CE7" w:rsidRDefault="006827FB">
            <w:pPr>
              <w:keepNext/>
              <w:spacing w:after="0" w:line="240" w:lineRule="auto"/>
              <w:jc w:val="center"/>
              <w:rPr>
                <w:color w:val="000000"/>
              </w:rPr>
            </w:pPr>
            <w:r>
              <w:rPr>
                <w:color w:val="000000"/>
              </w:rPr>
              <w:t>469</w:t>
            </w:r>
          </w:p>
        </w:tc>
        <w:tc>
          <w:tcPr>
            <w:tcW w:w="848" w:type="pct"/>
            <w:shd w:val="clear" w:color="auto" w:fill="D9D9D9" w:themeFill="background1" w:themeFillShade="D9"/>
          </w:tcPr>
          <w:p w14:paraId="7F4D13B3" w14:textId="67692B19" w:rsidR="00B90922" w:rsidRPr="0064170B" w:rsidRDefault="00061026" w:rsidP="00942A68">
            <w:pPr>
              <w:keepNext/>
              <w:spacing w:after="0" w:line="240" w:lineRule="auto"/>
              <w:jc w:val="center"/>
            </w:pPr>
            <w:r>
              <w:t>-</w:t>
            </w:r>
          </w:p>
        </w:tc>
        <w:tc>
          <w:tcPr>
            <w:tcW w:w="847" w:type="pct"/>
            <w:shd w:val="clear" w:color="auto" w:fill="D9D9D9" w:themeFill="background1" w:themeFillShade="D9"/>
          </w:tcPr>
          <w:p w14:paraId="4AF9BE80" w14:textId="78D171E4" w:rsidR="00B90922" w:rsidRPr="00E17F18" w:rsidRDefault="00E4282F" w:rsidP="00FB246B">
            <w:pPr>
              <w:keepNext/>
              <w:spacing w:after="0" w:line="240" w:lineRule="auto"/>
              <w:jc w:val="center"/>
              <w:rPr>
                <w:color w:val="000000"/>
              </w:rPr>
            </w:pPr>
            <w:r>
              <w:rPr>
                <w:color w:val="000000"/>
              </w:rPr>
              <w:t xml:space="preserve"> </w:t>
            </w:r>
            <w:r w:rsidR="006827FB">
              <w:rPr>
                <w:color w:val="000000"/>
              </w:rPr>
              <w:t>4</w:t>
            </w:r>
            <w:r w:rsidR="00FB246B">
              <w:rPr>
                <w:color w:val="000000"/>
              </w:rPr>
              <w:t>4</w:t>
            </w:r>
          </w:p>
        </w:tc>
      </w:tr>
      <w:tr w:rsidR="00CA2E30" w:rsidRPr="0064170B" w14:paraId="63B954CE" w14:textId="77777777" w:rsidTr="005035A1">
        <w:trPr>
          <w:trHeight w:val="350"/>
        </w:trPr>
        <w:tc>
          <w:tcPr>
            <w:tcW w:w="5000" w:type="pct"/>
            <w:gridSpan w:val="5"/>
            <w:shd w:val="clear" w:color="auto" w:fill="F2F2F2" w:themeFill="background1" w:themeFillShade="F2"/>
            <w:vAlign w:val="center"/>
            <w:hideMark/>
          </w:tcPr>
          <w:p w14:paraId="51D1410C" w14:textId="77777777" w:rsidR="00CA2E30" w:rsidRPr="0064170B" w:rsidRDefault="00CA2E30" w:rsidP="00942A68">
            <w:pPr>
              <w:keepNext/>
              <w:spacing w:after="0" w:line="240" w:lineRule="auto"/>
              <w:rPr>
                <w:color w:val="000000"/>
              </w:rPr>
            </w:pPr>
            <w:r w:rsidRPr="0064170B">
              <w:rPr>
                <w:color w:val="000000"/>
              </w:rPr>
              <w:t xml:space="preserve">Participation (Pretesting) </w:t>
            </w:r>
          </w:p>
        </w:tc>
      </w:tr>
      <w:tr w:rsidR="00CA2E30" w:rsidRPr="0064170B" w14:paraId="790F6C98" w14:textId="77777777" w:rsidTr="005544FD">
        <w:trPr>
          <w:trHeight w:val="300"/>
        </w:trPr>
        <w:tc>
          <w:tcPr>
            <w:tcW w:w="1748" w:type="pct"/>
            <w:hideMark/>
          </w:tcPr>
          <w:p w14:paraId="57F74ECE" w14:textId="1159A62A" w:rsidR="00CA2E30" w:rsidRPr="0064170B" w:rsidRDefault="00CA2E30" w:rsidP="006827FB">
            <w:pPr>
              <w:keepNext/>
              <w:spacing w:after="0" w:line="240" w:lineRule="auto"/>
              <w:ind w:left="90" w:firstLine="153"/>
              <w:rPr>
                <w:color w:val="000000"/>
              </w:rPr>
            </w:pPr>
            <w:r>
              <w:t xml:space="preserve">Students in </w:t>
            </w:r>
            <w:r w:rsidR="006827FB">
              <w:t>ICILS</w:t>
            </w:r>
            <w:r>
              <w:t xml:space="preserve"> Events </w:t>
            </w:r>
          </w:p>
        </w:tc>
        <w:tc>
          <w:tcPr>
            <w:tcW w:w="779" w:type="pct"/>
          </w:tcPr>
          <w:p w14:paraId="45972B39" w14:textId="343C6598" w:rsidR="00CA2E30" w:rsidRPr="00CC05BC" w:rsidRDefault="00510D69">
            <w:pPr>
              <w:keepNext/>
              <w:spacing w:after="0" w:line="240" w:lineRule="auto"/>
              <w:jc w:val="center"/>
              <w:rPr>
                <w:color w:val="000000"/>
              </w:rPr>
            </w:pPr>
            <w:r>
              <w:t xml:space="preserve"> </w:t>
            </w:r>
            <w:r w:rsidR="006827FB">
              <w:t>6</w:t>
            </w:r>
            <w:r w:rsidR="000040BD">
              <w:t>0</w:t>
            </w:r>
          </w:p>
        </w:tc>
        <w:tc>
          <w:tcPr>
            <w:tcW w:w="779" w:type="pct"/>
            <w:hideMark/>
          </w:tcPr>
          <w:p w14:paraId="5362033F" w14:textId="7A795E72" w:rsidR="00CA2E30" w:rsidRPr="0064170B" w:rsidRDefault="00510D69" w:rsidP="00942A68">
            <w:pPr>
              <w:keepNext/>
              <w:spacing w:after="0" w:line="240" w:lineRule="auto"/>
              <w:jc w:val="center"/>
              <w:rPr>
                <w:color w:val="000000"/>
              </w:rPr>
            </w:pPr>
            <w:r>
              <w:t xml:space="preserve"> </w:t>
            </w:r>
            <w:r w:rsidR="006827FB">
              <w:t>6</w:t>
            </w:r>
            <w:r w:rsidR="000040BD">
              <w:t>0</w:t>
            </w:r>
          </w:p>
        </w:tc>
        <w:tc>
          <w:tcPr>
            <w:tcW w:w="848" w:type="pct"/>
          </w:tcPr>
          <w:p w14:paraId="7223640C" w14:textId="37E3CC8B" w:rsidR="00CA2E30" w:rsidRPr="0064170B" w:rsidRDefault="006827FB" w:rsidP="00064345">
            <w:pPr>
              <w:keepNext/>
              <w:spacing w:after="0" w:line="240" w:lineRule="auto"/>
              <w:jc w:val="center"/>
              <w:rPr>
                <w:color w:val="000000"/>
              </w:rPr>
            </w:pPr>
            <w:r>
              <w:t>2</w:t>
            </w:r>
            <w:r w:rsidR="00CA2E30">
              <w:t>.</w:t>
            </w:r>
            <w:r w:rsidR="00064345">
              <w:t>91</w:t>
            </w:r>
          </w:p>
        </w:tc>
        <w:tc>
          <w:tcPr>
            <w:tcW w:w="847" w:type="pct"/>
          </w:tcPr>
          <w:p w14:paraId="52C20A3B" w14:textId="76C385AE" w:rsidR="00CA2E30" w:rsidRPr="0064170B" w:rsidRDefault="00510D69" w:rsidP="00FB246B">
            <w:pPr>
              <w:keepNext/>
              <w:spacing w:after="0" w:line="240" w:lineRule="auto"/>
              <w:jc w:val="center"/>
              <w:rPr>
                <w:color w:val="000000"/>
              </w:rPr>
            </w:pPr>
            <w:r>
              <w:rPr>
                <w:color w:val="000000"/>
              </w:rPr>
              <w:t xml:space="preserve"> </w:t>
            </w:r>
            <w:r w:rsidR="00064345">
              <w:rPr>
                <w:color w:val="000000"/>
              </w:rPr>
              <w:t>17</w:t>
            </w:r>
            <w:r w:rsidR="00FB246B">
              <w:rPr>
                <w:color w:val="000000"/>
              </w:rPr>
              <w:t>5</w:t>
            </w:r>
          </w:p>
        </w:tc>
      </w:tr>
      <w:tr w:rsidR="00CA2E30" w:rsidRPr="0064170B" w14:paraId="14DDCD8C" w14:textId="77777777" w:rsidTr="005544FD">
        <w:trPr>
          <w:trHeight w:val="170"/>
        </w:trPr>
        <w:tc>
          <w:tcPr>
            <w:tcW w:w="1748" w:type="pct"/>
            <w:shd w:val="clear" w:color="auto" w:fill="A6A6A6"/>
            <w:vAlign w:val="center"/>
            <w:hideMark/>
          </w:tcPr>
          <w:p w14:paraId="64E035EB" w14:textId="77777777" w:rsidR="00CA2E30" w:rsidRPr="0064170B" w:rsidRDefault="00CA2E30" w:rsidP="00942A68">
            <w:pPr>
              <w:keepNext/>
              <w:spacing w:after="0" w:line="240" w:lineRule="auto"/>
              <w:jc w:val="right"/>
              <w:rPr>
                <w:b/>
                <w:color w:val="000000"/>
              </w:rPr>
            </w:pPr>
            <w:r w:rsidRPr="0064170B">
              <w:rPr>
                <w:b/>
                <w:color w:val="000000"/>
              </w:rPr>
              <w:t>Total</w:t>
            </w:r>
          </w:p>
        </w:tc>
        <w:tc>
          <w:tcPr>
            <w:tcW w:w="779" w:type="pct"/>
            <w:shd w:val="clear" w:color="auto" w:fill="A6A6A6"/>
          </w:tcPr>
          <w:p w14:paraId="08815536" w14:textId="7E911F0D" w:rsidR="00CA2E30" w:rsidRPr="0064170B" w:rsidRDefault="005544FD" w:rsidP="00061026">
            <w:pPr>
              <w:keepNext/>
              <w:spacing w:after="0" w:line="240" w:lineRule="auto"/>
              <w:ind w:firstLine="7"/>
              <w:jc w:val="center"/>
              <w:rPr>
                <w:b/>
                <w:bCs/>
                <w:color w:val="000000"/>
              </w:rPr>
            </w:pPr>
            <w:r>
              <w:rPr>
                <w:b/>
                <w:bCs/>
                <w:color w:val="000000"/>
              </w:rPr>
              <w:t>328</w:t>
            </w:r>
          </w:p>
        </w:tc>
        <w:tc>
          <w:tcPr>
            <w:tcW w:w="779" w:type="pct"/>
            <w:shd w:val="clear" w:color="auto" w:fill="A6A6A6"/>
          </w:tcPr>
          <w:p w14:paraId="64AEAE1D" w14:textId="09CD212B" w:rsidR="00CA2E30" w:rsidRPr="0064170B" w:rsidRDefault="005544FD" w:rsidP="00061026">
            <w:pPr>
              <w:keepNext/>
              <w:spacing w:after="0" w:line="240" w:lineRule="auto"/>
              <w:ind w:right="77" w:hanging="53"/>
              <w:jc w:val="center"/>
              <w:rPr>
                <w:b/>
                <w:color w:val="000000"/>
              </w:rPr>
            </w:pPr>
            <w:r>
              <w:rPr>
                <w:b/>
                <w:color w:val="000000"/>
              </w:rPr>
              <w:t>529</w:t>
            </w:r>
          </w:p>
        </w:tc>
        <w:tc>
          <w:tcPr>
            <w:tcW w:w="848" w:type="pct"/>
            <w:shd w:val="clear" w:color="auto" w:fill="A6A6A6"/>
          </w:tcPr>
          <w:p w14:paraId="1C5A82E7" w14:textId="3FD67403" w:rsidR="00CA2E30" w:rsidRPr="0064170B" w:rsidRDefault="00061026" w:rsidP="00061026">
            <w:pPr>
              <w:keepNext/>
              <w:spacing w:after="0" w:line="240" w:lineRule="auto"/>
              <w:jc w:val="center"/>
              <w:rPr>
                <w:b/>
                <w:bCs/>
                <w:color w:val="000000"/>
              </w:rPr>
            </w:pPr>
            <w:r>
              <w:rPr>
                <w:b/>
                <w:bCs/>
                <w:color w:val="000000"/>
              </w:rPr>
              <w:t>-</w:t>
            </w:r>
          </w:p>
        </w:tc>
        <w:tc>
          <w:tcPr>
            <w:tcW w:w="847" w:type="pct"/>
            <w:shd w:val="clear" w:color="auto" w:fill="A6A6A6"/>
          </w:tcPr>
          <w:p w14:paraId="575C8EC4" w14:textId="7628AF28" w:rsidR="00CA2E30" w:rsidRPr="0064170B" w:rsidRDefault="00677802" w:rsidP="00061026">
            <w:pPr>
              <w:keepNext/>
              <w:spacing w:after="0" w:line="240" w:lineRule="auto"/>
              <w:jc w:val="center"/>
              <w:rPr>
                <w:b/>
                <w:color w:val="000000"/>
              </w:rPr>
            </w:pPr>
            <w:r>
              <w:rPr>
                <w:b/>
                <w:color w:val="000000"/>
              </w:rPr>
              <w:t>219</w:t>
            </w:r>
          </w:p>
        </w:tc>
      </w:tr>
    </w:tbl>
    <w:p w14:paraId="438EE8EA" w14:textId="77777777" w:rsidR="00510D69" w:rsidRDefault="00CC05BC">
      <w:pPr>
        <w:spacing w:before="40" w:after="40" w:line="240" w:lineRule="auto"/>
        <w:rPr>
          <w:sz w:val="20"/>
          <w:szCs w:val="20"/>
        </w:rPr>
      </w:pPr>
      <w:r>
        <w:rPr>
          <w:sz w:val="20"/>
          <w:szCs w:val="20"/>
        </w:rPr>
        <w:t xml:space="preserve">* </w:t>
      </w:r>
      <w:r w:rsidR="00775DBA" w:rsidRPr="00775DBA">
        <w:rPr>
          <w:sz w:val="20"/>
          <w:szCs w:val="20"/>
        </w:rPr>
        <w:t>Subset of initial contact group</w:t>
      </w:r>
    </w:p>
    <w:p w14:paraId="4C278276" w14:textId="08D0FF69" w:rsidR="00817C21" w:rsidRPr="00CB4369" w:rsidRDefault="00817C21" w:rsidP="00CB4369">
      <w:pPr>
        <w:spacing w:after="0" w:line="240" w:lineRule="auto"/>
        <w:rPr>
          <w:sz w:val="18"/>
          <w:szCs w:val="18"/>
        </w:rPr>
      </w:pPr>
      <w:r w:rsidRPr="00390AE5">
        <w:rPr>
          <w:sz w:val="18"/>
          <w:szCs w:val="18"/>
        </w:rPr>
        <w:t>Note: numbers have been rounded and therefore may affect totals</w:t>
      </w:r>
    </w:p>
    <w:p w14:paraId="16B711B5" w14:textId="77777777" w:rsidR="007D277D" w:rsidRDefault="002155CF" w:rsidP="00BB3666">
      <w:pPr>
        <w:pStyle w:val="aHeading1"/>
      </w:pPr>
      <w:bookmarkStart w:id="61" w:name="_Toc365710622"/>
      <w:bookmarkStart w:id="62" w:name="_Toc484586724"/>
      <w:bookmarkEnd w:id="46"/>
      <w:bookmarkEnd w:id="47"/>
      <w:bookmarkEnd w:id="48"/>
      <w:bookmarkEnd w:id="52"/>
      <w:bookmarkEnd w:id="53"/>
      <w:bookmarkEnd w:id="54"/>
      <w:r>
        <w:t>Cost to federal government</w:t>
      </w:r>
      <w:bookmarkEnd w:id="61"/>
      <w:bookmarkEnd w:id="62"/>
    </w:p>
    <w:p w14:paraId="0B7D0B6C" w14:textId="5617A3C4" w:rsidR="002155CF" w:rsidRDefault="00D05DE4" w:rsidP="00BB3666">
      <w:r>
        <w:t xml:space="preserve">The total cost of the study </w:t>
      </w:r>
      <w:r w:rsidRPr="00D317BC">
        <w:t>is $</w:t>
      </w:r>
      <w:r w:rsidR="00D317BC" w:rsidRPr="00D317BC">
        <w:t>90,235</w:t>
      </w:r>
      <w:r w:rsidR="005035A1" w:rsidRPr="00D317BC">
        <w:t xml:space="preserve"> </w:t>
      </w:r>
      <w:r w:rsidRPr="00D317BC">
        <w:t>as</w:t>
      </w:r>
      <w:r>
        <w:t xml:space="preserve"> detailed in Table </w:t>
      </w:r>
      <w:r w:rsidR="008F5956">
        <w:t>2</w:t>
      </w:r>
      <w:r>
        <w:t>.</w:t>
      </w:r>
    </w:p>
    <w:p w14:paraId="4AD49756" w14:textId="77777777" w:rsidR="001F744B" w:rsidRDefault="001F744B">
      <w:pPr>
        <w:spacing w:after="0" w:line="240" w:lineRule="auto"/>
        <w:rPr>
          <w:b/>
          <w:bCs/>
          <w:color w:val="4F81BD"/>
          <w:sz w:val="24"/>
          <w:szCs w:val="24"/>
        </w:rPr>
      </w:pPr>
      <w:bookmarkStart w:id="63" w:name="_Toc359503615"/>
      <w:r>
        <w:rPr>
          <w:sz w:val="24"/>
          <w:szCs w:val="24"/>
        </w:rPr>
        <w:br w:type="page"/>
      </w:r>
    </w:p>
    <w:p w14:paraId="572BE11C" w14:textId="272829B4" w:rsidR="002155CF" w:rsidRPr="00B91A1A" w:rsidRDefault="002155CF" w:rsidP="001A597B">
      <w:pPr>
        <w:pStyle w:val="Caption"/>
        <w:keepNext/>
        <w:spacing w:after="60"/>
        <w:rPr>
          <w:sz w:val="24"/>
          <w:szCs w:val="24"/>
        </w:rPr>
      </w:pPr>
      <w:r w:rsidRPr="00B91A1A">
        <w:rPr>
          <w:sz w:val="24"/>
          <w:szCs w:val="24"/>
        </w:rPr>
        <w:t xml:space="preserve">Table </w:t>
      </w:r>
      <w:r w:rsidR="00D84DBB">
        <w:rPr>
          <w:sz w:val="24"/>
          <w:szCs w:val="24"/>
        </w:rPr>
        <w:t>2</w:t>
      </w:r>
      <w:r w:rsidRPr="00B91A1A">
        <w:rPr>
          <w:sz w:val="24"/>
          <w:szCs w:val="24"/>
        </w:rPr>
        <w:t>: Estimate of Costs</w:t>
      </w:r>
      <w:bookmarkEnd w:id="6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314"/>
        <w:gridCol w:w="2219"/>
        <w:gridCol w:w="2209"/>
      </w:tblGrid>
      <w:tr w:rsidR="002155CF" w:rsidRPr="00DC5175" w14:paraId="5FB11355" w14:textId="77777777" w:rsidTr="001A5EB2">
        <w:trPr>
          <w:trHeight w:val="302"/>
        </w:trPr>
        <w:tc>
          <w:tcPr>
            <w:tcW w:w="2939" w:type="pct"/>
            <w:tcBorders>
              <w:top w:val="single" w:sz="18" w:space="0" w:color="auto"/>
              <w:bottom w:val="single" w:sz="8" w:space="0" w:color="auto"/>
            </w:tcBorders>
            <w:shd w:val="clear" w:color="auto" w:fill="EEECE1"/>
            <w:vAlign w:val="center"/>
          </w:tcPr>
          <w:p w14:paraId="4967D5D3" w14:textId="77777777" w:rsidR="002155CF" w:rsidRPr="00DC5175" w:rsidRDefault="002155CF" w:rsidP="00087F91">
            <w:pPr>
              <w:spacing w:after="0" w:line="240" w:lineRule="auto"/>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14:paraId="2F82D3A6" w14:textId="77777777" w:rsidR="002155CF" w:rsidRPr="00DC5175" w:rsidRDefault="002155CF" w:rsidP="003A32ED">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14:paraId="48FE5288" w14:textId="77777777" w:rsidR="002155CF" w:rsidRPr="00DC5175" w:rsidRDefault="002155CF" w:rsidP="003A32ED">
            <w:pPr>
              <w:spacing w:after="0" w:line="240" w:lineRule="auto"/>
              <w:jc w:val="center"/>
              <w:rPr>
                <w:b/>
                <w:bCs/>
                <w:color w:val="000000"/>
              </w:rPr>
            </w:pPr>
            <w:r w:rsidRPr="00DC5175">
              <w:rPr>
                <w:b/>
                <w:bCs/>
                <w:color w:val="000000"/>
              </w:rPr>
              <w:t>Estimated Cost</w:t>
            </w:r>
          </w:p>
        </w:tc>
      </w:tr>
      <w:tr w:rsidR="00775DBA" w:rsidRPr="00DC5175" w14:paraId="06741982" w14:textId="77777777" w:rsidTr="00D317BC">
        <w:trPr>
          <w:trHeight w:val="302"/>
        </w:trPr>
        <w:tc>
          <w:tcPr>
            <w:tcW w:w="2939" w:type="pct"/>
            <w:tcBorders>
              <w:top w:val="single" w:sz="8" w:space="0" w:color="auto"/>
            </w:tcBorders>
            <w:vAlign w:val="center"/>
          </w:tcPr>
          <w:p w14:paraId="273F7B3F" w14:textId="77777777" w:rsidR="00775DBA" w:rsidRPr="00A335BF" w:rsidRDefault="00775DBA" w:rsidP="003A32ED">
            <w:pPr>
              <w:spacing w:after="0" w:line="240" w:lineRule="auto"/>
              <w:rPr>
                <w:bCs/>
                <w:color w:val="000000"/>
              </w:rPr>
            </w:pPr>
            <w:r w:rsidRPr="00A335BF">
              <w:rPr>
                <w:bCs/>
                <w:color w:val="000000"/>
              </w:rPr>
              <w:t>Recruiting students and providing facilities for the study</w:t>
            </w:r>
          </w:p>
        </w:tc>
        <w:tc>
          <w:tcPr>
            <w:tcW w:w="1033" w:type="pct"/>
            <w:tcBorders>
              <w:top w:val="single" w:sz="8" w:space="0" w:color="auto"/>
            </w:tcBorders>
            <w:vAlign w:val="center"/>
          </w:tcPr>
          <w:p w14:paraId="4967F1C8" w14:textId="77777777" w:rsidR="00775DBA" w:rsidRPr="00A335BF" w:rsidRDefault="00775DBA" w:rsidP="003A32ED">
            <w:pPr>
              <w:spacing w:after="0" w:line="240" w:lineRule="auto"/>
              <w:jc w:val="center"/>
              <w:rPr>
                <w:color w:val="000000"/>
              </w:rPr>
            </w:pPr>
            <w:r w:rsidRPr="00A335BF">
              <w:rPr>
                <w:color w:val="000000"/>
              </w:rPr>
              <w:t>EurekaFacts</w:t>
            </w:r>
          </w:p>
        </w:tc>
        <w:tc>
          <w:tcPr>
            <w:tcW w:w="1028" w:type="pct"/>
            <w:tcBorders>
              <w:top w:val="single" w:sz="8" w:space="0" w:color="auto"/>
            </w:tcBorders>
            <w:shd w:val="clear" w:color="auto" w:fill="auto"/>
          </w:tcPr>
          <w:p w14:paraId="33B373F4" w14:textId="66244002" w:rsidR="00775DBA" w:rsidRPr="00A335BF" w:rsidRDefault="00583B38" w:rsidP="005544FD">
            <w:pPr>
              <w:spacing w:after="0" w:line="240" w:lineRule="auto"/>
              <w:jc w:val="center"/>
              <w:rPr>
                <w:color w:val="000000"/>
              </w:rPr>
            </w:pPr>
            <w:r>
              <w:t>$54,</w:t>
            </w:r>
            <w:r w:rsidR="00D317BC" w:rsidRPr="00D317BC">
              <w:t>353</w:t>
            </w:r>
          </w:p>
        </w:tc>
      </w:tr>
      <w:tr w:rsidR="00775DBA" w:rsidRPr="00DC5175" w14:paraId="50EBFB09" w14:textId="77777777" w:rsidTr="00D922F6">
        <w:trPr>
          <w:trHeight w:val="302"/>
        </w:trPr>
        <w:tc>
          <w:tcPr>
            <w:tcW w:w="2939" w:type="pct"/>
            <w:tcBorders>
              <w:top w:val="single" w:sz="8" w:space="0" w:color="auto"/>
            </w:tcBorders>
            <w:vAlign w:val="center"/>
          </w:tcPr>
          <w:p w14:paraId="2F0336BE" w14:textId="77777777" w:rsidR="00775DBA" w:rsidRPr="00664FC6" w:rsidRDefault="00775DBA" w:rsidP="003A32ED">
            <w:pPr>
              <w:spacing w:after="0" w:line="240" w:lineRule="auto"/>
              <w:rPr>
                <w:bCs/>
                <w:color w:val="000000"/>
              </w:rPr>
            </w:pPr>
            <w:r w:rsidRPr="00664FC6">
              <w:rPr>
                <w:bCs/>
                <w:color w:val="000000"/>
              </w:rPr>
              <w:t>Administering the study</w:t>
            </w:r>
          </w:p>
        </w:tc>
        <w:tc>
          <w:tcPr>
            <w:tcW w:w="1033" w:type="pct"/>
            <w:tcBorders>
              <w:top w:val="single" w:sz="8" w:space="0" w:color="auto"/>
            </w:tcBorders>
            <w:vAlign w:val="center"/>
          </w:tcPr>
          <w:p w14:paraId="2957D870" w14:textId="77777777" w:rsidR="00775DBA" w:rsidRPr="00664FC6" w:rsidRDefault="00775DBA" w:rsidP="003A32ED">
            <w:pPr>
              <w:spacing w:after="0" w:line="240" w:lineRule="auto"/>
              <w:jc w:val="center"/>
              <w:rPr>
                <w:color w:val="000000"/>
              </w:rPr>
            </w:pPr>
            <w:r w:rsidRPr="00664FC6">
              <w:rPr>
                <w:color w:val="000000"/>
              </w:rPr>
              <w:t>Westat</w:t>
            </w:r>
          </w:p>
        </w:tc>
        <w:tc>
          <w:tcPr>
            <w:tcW w:w="1028" w:type="pct"/>
            <w:tcBorders>
              <w:top w:val="single" w:sz="8" w:space="0" w:color="auto"/>
            </w:tcBorders>
          </w:tcPr>
          <w:p w14:paraId="2A170A1E" w14:textId="67E772E4" w:rsidR="00775DBA" w:rsidRPr="00664FC6" w:rsidRDefault="00664FC6" w:rsidP="00D62BC6">
            <w:pPr>
              <w:spacing w:after="0" w:line="240" w:lineRule="auto"/>
              <w:jc w:val="center"/>
              <w:rPr>
                <w:color w:val="000000"/>
              </w:rPr>
            </w:pPr>
            <w:r w:rsidRPr="005035A1">
              <w:t>$</w:t>
            </w:r>
            <w:r w:rsidR="00D62BC6">
              <w:t>35,882</w:t>
            </w:r>
          </w:p>
        </w:tc>
      </w:tr>
      <w:tr w:rsidR="00775DBA" w:rsidRPr="00DC5175" w14:paraId="5E2B847A" w14:textId="77777777" w:rsidTr="00D922F6">
        <w:trPr>
          <w:trHeight w:val="302"/>
        </w:trPr>
        <w:tc>
          <w:tcPr>
            <w:tcW w:w="2939" w:type="pct"/>
            <w:tcBorders>
              <w:bottom w:val="single" w:sz="18" w:space="0" w:color="auto"/>
            </w:tcBorders>
            <w:shd w:val="clear" w:color="auto" w:fill="A6A6A6" w:themeFill="background1" w:themeFillShade="A6"/>
            <w:vAlign w:val="center"/>
          </w:tcPr>
          <w:p w14:paraId="1F04ED9B" w14:textId="77777777" w:rsidR="00775DBA" w:rsidRPr="00DC5175" w:rsidRDefault="00775DBA" w:rsidP="00CA1365">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14:paraId="1B1C1553" w14:textId="77777777"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A6A6A6" w:themeFill="background1" w:themeFillShade="A6"/>
          </w:tcPr>
          <w:p w14:paraId="1F6AC59B" w14:textId="1271C3A4" w:rsidR="00775DBA" w:rsidRPr="00F66956" w:rsidRDefault="00CA1365" w:rsidP="00CB4369">
            <w:pPr>
              <w:spacing w:after="0" w:line="240" w:lineRule="auto"/>
              <w:jc w:val="center"/>
              <w:rPr>
                <w:b/>
              </w:rPr>
            </w:pPr>
            <w:r>
              <w:rPr>
                <w:b/>
              </w:rPr>
              <w:t xml:space="preserve"> </w:t>
            </w:r>
            <w:r w:rsidR="00775DBA" w:rsidRPr="00D317BC">
              <w:rPr>
                <w:b/>
              </w:rPr>
              <w:t>$</w:t>
            </w:r>
            <w:r w:rsidR="00D317BC" w:rsidRPr="00D317BC">
              <w:rPr>
                <w:b/>
              </w:rPr>
              <w:t>90,235</w:t>
            </w:r>
          </w:p>
        </w:tc>
      </w:tr>
    </w:tbl>
    <w:p w14:paraId="46862CDD" w14:textId="283BE872" w:rsidR="002155CF" w:rsidRDefault="00510D69" w:rsidP="003A32ED">
      <w:pPr>
        <w:pStyle w:val="aHeading1"/>
      </w:pPr>
      <w:bookmarkStart w:id="64" w:name="_Toc365710623"/>
      <w:r>
        <w:t xml:space="preserve"> </w:t>
      </w:r>
      <w:bookmarkStart w:id="65" w:name="_Toc484586725"/>
      <w:r w:rsidR="002155CF">
        <w:t>Project Schedule</w:t>
      </w:r>
      <w:bookmarkEnd w:id="64"/>
      <w:bookmarkEnd w:id="65"/>
    </w:p>
    <w:p w14:paraId="574DEC27" w14:textId="00BD215F" w:rsidR="00CA1365" w:rsidRDefault="00CA1365" w:rsidP="001A597B">
      <w:pPr>
        <w:keepNext/>
      </w:pPr>
      <w:r>
        <w:t>The schedule for this study</w:t>
      </w:r>
      <w:r w:rsidR="003E7919">
        <w:t>,</w:t>
      </w:r>
      <w:r>
        <w:t xml:space="preserve"> including all activities, will begin in </w:t>
      </w:r>
      <w:r w:rsidR="0081613C">
        <w:t>Septem</w:t>
      </w:r>
      <w:r w:rsidR="005544FD">
        <w:t>ber</w:t>
      </w:r>
      <w:r>
        <w:t xml:space="preserve"> 2017 through December 2017 as detailed in Table 3.</w:t>
      </w:r>
    </w:p>
    <w:p w14:paraId="7B4C6D47" w14:textId="375B3E99" w:rsidR="00CA1365" w:rsidRPr="00087F91" w:rsidRDefault="00CA1365" w:rsidP="001A597B">
      <w:pPr>
        <w:pStyle w:val="Caption"/>
        <w:keepNext/>
        <w:spacing w:after="60"/>
        <w:rPr>
          <w:sz w:val="24"/>
          <w:szCs w:val="24"/>
        </w:rPr>
      </w:pPr>
      <w:r w:rsidRPr="00B91A1A">
        <w:rPr>
          <w:sz w:val="24"/>
          <w:szCs w:val="24"/>
        </w:rPr>
        <w:t xml:space="preserve">Table </w:t>
      </w:r>
      <w:r>
        <w:rPr>
          <w:sz w:val="24"/>
          <w:szCs w:val="24"/>
        </w:rPr>
        <w:t>3</w:t>
      </w:r>
      <w:r w:rsidRPr="00B91A1A">
        <w:rPr>
          <w:sz w:val="24"/>
          <w:szCs w:val="24"/>
        </w:rPr>
        <w:t xml:space="preserve">: </w:t>
      </w:r>
      <w:r>
        <w:rPr>
          <w:sz w:val="24"/>
          <w:szCs w:val="24"/>
        </w:rPr>
        <w:t>Project Schedule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08"/>
        <w:gridCol w:w="3786"/>
      </w:tblGrid>
      <w:tr w:rsidR="00B505FD" w14:paraId="01FB1B2E" w14:textId="77777777" w:rsidTr="001A597B">
        <w:tc>
          <w:tcPr>
            <w:tcW w:w="6408" w:type="dxa"/>
            <w:shd w:val="clear" w:color="auto" w:fill="EEECE1" w:themeFill="background2"/>
          </w:tcPr>
          <w:p w14:paraId="1639480A" w14:textId="5B1BAF6B" w:rsidR="001A313F" w:rsidRPr="005035A1" w:rsidRDefault="00B505FD" w:rsidP="00087F91">
            <w:pPr>
              <w:keepNext/>
              <w:spacing w:after="0"/>
              <w:rPr>
                <w:i/>
              </w:rPr>
            </w:pPr>
            <w:r w:rsidRPr="005035A1">
              <w:rPr>
                <w:b/>
              </w:rPr>
              <w:t>Activity</w:t>
            </w:r>
          </w:p>
        </w:tc>
        <w:tc>
          <w:tcPr>
            <w:tcW w:w="3786" w:type="dxa"/>
            <w:shd w:val="clear" w:color="auto" w:fill="EEECE1" w:themeFill="background2"/>
          </w:tcPr>
          <w:p w14:paraId="2E8D68D2" w14:textId="717CE68C" w:rsidR="00B505FD" w:rsidRPr="005035A1" w:rsidRDefault="00B505FD" w:rsidP="00CA1365">
            <w:pPr>
              <w:keepNext/>
              <w:spacing w:after="0"/>
              <w:jc w:val="center"/>
              <w:rPr>
                <w:b/>
              </w:rPr>
            </w:pPr>
            <w:r w:rsidRPr="005035A1">
              <w:rPr>
                <w:b/>
              </w:rPr>
              <w:t>Dates</w:t>
            </w:r>
          </w:p>
        </w:tc>
      </w:tr>
      <w:tr w:rsidR="00B505FD" w14:paraId="4FDE0016" w14:textId="77777777" w:rsidTr="001A597B">
        <w:tc>
          <w:tcPr>
            <w:tcW w:w="6408" w:type="dxa"/>
          </w:tcPr>
          <w:p w14:paraId="194E73DA" w14:textId="6B75A4B2" w:rsidR="00B505FD" w:rsidRPr="00826B49" w:rsidRDefault="00826B49" w:rsidP="00087F91">
            <w:pPr>
              <w:keepNext/>
              <w:spacing w:after="0"/>
            </w:pPr>
            <w:r w:rsidRPr="005035A1">
              <w:t>Recruitment, pretesting, data collection</w:t>
            </w:r>
            <w:r w:rsidR="00817C21">
              <w:t xml:space="preserve">, </w:t>
            </w:r>
            <w:r w:rsidRPr="005035A1">
              <w:t>analysis</w:t>
            </w:r>
            <w:r w:rsidRPr="00826B49">
              <w:t xml:space="preserve"> </w:t>
            </w:r>
            <w:r w:rsidR="00817C21">
              <w:t>and final report</w:t>
            </w:r>
          </w:p>
        </w:tc>
        <w:tc>
          <w:tcPr>
            <w:tcW w:w="3786" w:type="dxa"/>
          </w:tcPr>
          <w:p w14:paraId="71BF3841" w14:textId="41CE4205" w:rsidR="00B505FD" w:rsidRDefault="0081613C" w:rsidP="00CA1365">
            <w:pPr>
              <w:keepNext/>
              <w:spacing w:after="0"/>
              <w:jc w:val="center"/>
            </w:pPr>
            <w:r>
              <w:t>Septem</w:t>
            </w:r>
            <w:r w:rsidR="005544FD">
              <w:t>ber</w:t>
            </w:r>
            <w:r w:rsidR="00903C5B">
              <w:t>–</w:t>
            </w:r>
            <w:r w:rsidR="00B505FD">
              <w:t>December</w:t>
            </w:r>
            <w:r w:rsidR="00903C5B">
              <w:t xml:space="preserve"> 2017</w:t>
            </w:r>
          </w:p>
        </w:tc>
      </w:tr>
    </w:tbl>
    <w:p w14:paraId="19D2F217" w14:textId="77777777" w:rsidR="00F66956" w:rsidRPr="00F66956" w:rsidRDefault="00F66956" w:rsidP="00F66956"/>
    <w:sectPr w:rsidR="00F66956" w:rsidRPr="00F66956" w:rsidSect="008A2C65">
      <w:footerReference w:type="defaul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3D508" w14:textId="77777777" w:rsidR="00B05B40" w:rsidRDefault="00B05B40" w:rsidP="00A35ED6">
      <w:pPr>
        <w:spacing w:after="0" w:line="240" w:lineRule="auto"/>
      </w:pPr>
      <w:r>
        <w:separator/>
      </w:r>
    </w:p>
  </w:endnote>
  <w:endnote w:type="continuationSeparator" w:id="0">
    <w:p w14:paraId="3DDF461F" w14:textId="77777777" w:rsidR="00B05B40" w:rsidRDefault="00B05B40"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6B263C4E" w:rsidR="000E5EA7" w:rsidRDefault="000364D6" w:rsidP="008A2C65">
    <w:pPr>
      <w:spacing w:after="0" w:line="240" w:lineRule="auto"/>
      <w:jc w:val="center"/>
    </w:pPr>
    <w:r>
      <w:fldChar w:fldCharType="begin"/>
    </w:r>
    <w:r>
      <w:instrText xml:space="preserve"> PAGE   \* MERGEFORMAT </w:instrText>
    </w:r>
    <w:r>
      <w:fldChar w:fldCharType="separate"/>
    </w:r>
    <w:r w:rsidR="0018335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E7542" w14:textId="77777777" w:rsidR="00B05B40" w:rsidRDefault="00B05B40" w:rsidP="00A35ED6">
      <w:pPr>
        <w:spacing w:after="0" w:line="240" w:lineRule="auto"/>
      </w:pPr>
      <w:r>
        <w:separator/>
      </w:r>
    </w:p>
  </w:footnote>
  <w:footnote w:type="continuationSeparator" w:id="0">
    <w:p w14:paraId="33D1B845" w14:textId="77777777" w:rsidR="00B05B40" w:rsidRDefault="00B05B40" w:rsidP="00A35ED6">
      <w:pPr>
        <w:spacing w:after="0" w:line="240" w:lineRule="auto"/>
      </w:pPr>
      <w:r>
        <w:continuationSeparator/>
      </w:r>
    </w:p>
  </w:footnote>
  <w:footnote w:id="1">
    <w:p w14:paraId="7103DD1E" w14:textId="4EBE19C4" w:rsidR="008C51F0" w:rsidRPr="008C51F0" w:rsidRDefault="008C51F0" w:rsidP="005035A1">
      <w:pPr>
        <w:pStyle w:val="FootnoteText"/>
        <w:tabs>
          <w:tab w:val="left" w:pos="6030"/>
        </w:tabs>
      </w:pPr>
      <w:r w:rsidRPr="008C51F0">
        <w:rPr>
          <w:rStyle w:val="FootnoteReference"/>
        </w:rPr>
        <w:footnoteRef/>
      </w:r>
      <w:r w:rsidRPr="008C51F0">
        <w:t xml:space="preserve"> Draft content may</w:t>
      </w:r>
      <w:r>
        <w:t xml:space="preserve"> be used in the earlier </w:t>
      </w:r>
      <w:r w:rsidR="00CB1556">
        <w:t>version</w:t>
      </w:r>
      <w:r>
        <w:t>s.</w:t>
      </w:r>
      <w:r w:rsidRPr="008C51F0">
        <w:t xml:space="preserve"> </w:t>
      </w:r>
      <w:r w:rsidR="00555EE0">
        <w:tab/>
      </w:r>
    </w:p>
  </w:footnote>
  <w:footnote w:id="2">
    <w:p w14:paraId="3A6726BC" w14:textId="5775D1D7" w:rsidR="006E5AD2" w:rsidRPr="008C51F0" w:rsidRDefault="006E5AD2" w:rsidP="00211FE2">
      <w:pPr>
        <w:pStyle w:val="BodyText0"/>
        <w:spacing w:after="0" w:line="240" w:lineRule="auto"/>
        <w:ind w:left="90" w:hanging="90"/>
        <w:rPr>
          <w:rFonts w:asciiTheme="minorHAnsi" w:hAnsiTheme="minorHAnsi" w:cstheme="minorHAnsi"/>
          <w:sz w:val="20"/>
          <w:szCs w:val="20"/>
        </w:rPr>
      </w:pPr>
      <w:r w:rsidRPr="00555EE0">
        <w:rPr>
          <w:rStyle w:val="FootnoteReference"/>
          <w:sz w:val="20"/>
          <w:szCs w:val="20"/>
        </w:rPr>
        <w:footnoteRef/>
      </w:r>
      <w:r w:rsidRPr="00555EE0">
        <w:rPr>
          <w:sz w:val="20"/>
          <w:szCs w:val="20"/>
        </w:rPr>
        <w:t xml:space="preserve"> </w:t>
      </w:r>
      <w:r w:rsidRPr="00901468">
        <w:rPr>
          <w:rFonts w:asciiTheme="minorHAnsi" w:hAnsiTheme="minorHAnsi" w:cstheme="minorHAnsi"/>
          <w:sz w:val="20"/>
          <w:szCs w:val="20"/>
        </w:rPr>
        <w:t>The</w:t>
      </w:r>
      <w:r w:rsidR="00A06F33" w:rsidRPr="00901468">
        <w:rPr>
          <w:rFonts w:asciiTheme="minorHAnsi" w:hAnsiTheme="minorHAnsi" w:cstheme="minorHAnsi"/>
          <w:sz w:val="20"/>
          <w:szCs w:val="20"/>
        </w:rPr>
        <w:t xml:space="preserve"> final</w:t>
      </w:r>
      <w:r w:rsidRPr="00901468">
        <w:rPr>
          <w:rFonts w:asciiTheme="minorHAnsi" w:hAnsiTheme="minorHAnsi" w:cstheme="minorHAnsi"/>
          <w:sz w:val="20"/>
          <w:szCs w:val="20"/>
        </w:rPr>
        <w:t xml:space="preserve"> </w:t>
      </w:r>
      <w:r w:rsidR="00A06F33" w:rsidRPr="00901468">
        <w:rPr>
          <w:rFonts w:asciiTheme="minorHAnsi" w:hAnsiTheme="minorHAnsi" w:cstheme="minorHAnsi"/>
          <w:sz w:val="20"/>
          <w:szCs w:val="20"/>
        </w:rPr>
        <w:t>items</w:t>
      </w:r>
      <w:r w:rsidRPr="00901468">
        <w:rPr>
          <w:rFonts w:asciiTheme="minorHAnsi" w:hAnsiTheme="minorHAnsi" w:cstheme="minorHAnsi"/>
          <w:sz w:val="20"/>
          <w:szCs w:val="20"/>
        </w:rPr>
        <w:t xml:space="preserve"> will </w:t>
      </w:r>
      <w:r w:rsidR="00DD1668" w:rsidRPr="00901468">
        <w:rPr>
          <w:rFonts w:asciiTheme="minorHAnsi" w:hAnsiTheme="minorHAnsi" w:cstheme="minorHAnsi"/>
          <w:sz w:val="20"/>
          <w:szCs w:val="20"/>
        </w:rPr>
        <w:t>consist of</w:t>
      </w:r>
      <w:r w:rsidRPr="00901468">
        <w:rPr>
          <w:rFonts w:asciiTheme="minorHAnsi" w:hAnsiTheme="minorHAnsi" w:cstheme="minorHAnsi"/>
          <w:sz w:val="20"/>
          <w:szCs w:val="20"/>
        </w:rPr>
        <w:t xml:space="preserve"> th</w:t>
      </w:r>
      <w:r w:rsidR="00DD1668" w:rsidRPr="00901468">
        <w:rPr>
          <w:rFonts w:asciiTheme="minorHAnsi" w:hAnsiTheme="minorHAnsi" w:cstheme="minorHAnsi"/>
          <w:sz w:val="20"/>
          <w:szCs w:val="20"/>
        </w:rPr>
        <w:t>os</w:t>
      </w:r>
      <w:r w:rsidRPr="00901468">
        <w:rPr>
          <w:rFonts w:asciiTheme="minorHAnsi" w:hAnsiTheme="minorHAnsi" w:cstheme="minorHAnsi"/>
          <w:sz w:val="20"/>
          <w:szCs w:val="20"/>
        </w:rPr>
        <w:t xml:space="preserve">e </w:t>
      </w:r>
      <w:r w:rsidR="00DD1668" w:rsidRPr="00901468">
        <w:rPr>
          <w:rFonts w:asciiTheme="minorHAnsi" w:hAnsiTheme="minorHAnsi" w:cstheme="minorHAnsi"/>
          <w:sz w:val="20"/>
          <w:szCs w:val="20"/>
        </w:rPr>
        <w:t>selected for</w:t>
      </w:r>
      <w:r w:rsidRPr="00901468">
        <w:rPr>
          <w:rFonts w:asciiTheme="minorHAnsi" w:hAnsiTheme="minorHAnsi" w:cstheme="minorHAnsi"/>
          <w:sz w:val="20"/>
          <w:szCs w:val="20"/>
        </w:rPr>
        <w:t xml:space="preserve"> </w:t>
      </w:r>
      <w:r w:rsidR="00D07347">
        <w:rPr>
          <w:rFonts w:asciiTheme="minorHAnsi" w:hAnsiTheme="minorHAnsi" w:cstheme="minorHAnsi"/>
          <w:sz w:val="20"/>
          <w:szCs w:val="20"/>
        </w:rPr>
        <w:t>ICILS</w:t>
      </w:r>
      <w:r w:rsidR="00DD1668" w:rsidRPr="00901468">
        <w:rPr>
          <w:rFonts w:asciiTheme="minorHAnsi" w:hAnsiTheme="minorHAnsi" w:cstheme="minorHAnsi"/>
          <w:sz w:val="20"/>
          <w:szCs w:val="20"/>
        </w:rPr>
        <w:t xml:space="preserve"> </w:t>
      </w:r>
      <w:r w:rsidR="00901468" w:rsidRPr="00901468">
        <w:rPr>
          <w:rFonts w:asciiTheme="minorHAnsi" w:hAnsiTheme="minorHAnsi" w:cstheme="minorHAnsi"/>
          <w:sz w:val="20"/>
          <w:szCs w:val="20"/>
        </w:rPr>
        <w:t>201</w:t>
      </w:r>
      <w:r w:rsidR="00901468" w:rsidRPr="005035A1">
        <w:rPr>
          <w:rFonts w:asciiTheme="minorHAnsi" w:hAnsiTheme="minorHAnsi" w:cstheme="minorHAnsi"/>
          <w:sz w:val="20"/>
          <w:szCs w:val="20"/>
        </w:rPr>
        <w:t>8</w:t>
      </w:r>
      <w:r w:rsidR="00901468" w:rsidRPr="00901468">
        <w:rPr>
          <w:rFonts w:asciiTheme="minorHAnsi" w:hAnsiTheme="minorHAnsi" w:cstheme="minorHAnsi"/>
          <w:sz w:val="20"/>
          <w:szCs w:val="20"/>
        </w:rPr>
        <w:t xml:space="preserve"> </w:t>
      </w:r>
      <w:r w:rsidRPr="00901468">
        <w:rPr>
          <w:rFonts w:asciiTheme="minorHAnsi" w:hAnsiTheme="minorHAnsi" w:cstheme="minorHAnsi"/>
          <w:sz w:val="20"/>
          <w:szCs w:val="20"/>
        </w:rPr>
        <w:t>administr</w:t>
      </w:r>
      <w:r w:rsidR="00DD1668" w:rsidRPr="00901468">
        <w:rPr>
          <w:rFonts w:asciiTheme="minorHAnsi" w:hAnsiTheme="minorHAnsi" w:cstheme="minorHAnsi"/>
          <w:sz w:val="20"/>
          <w:szCs w:val="20"/>
        </w:rPr>
        <w:t>ation</w:t>
      </w:r>
      <w:r w:rsidRPr="00901468">
        <w:rPr>
          <w:rFonts w:asciiTheme="minorHAnsi" w:hAnsiTheme="minorHAnsi" w:cstheme="minorHAnsi"/>
          <w:sz w:val="20"/>
          <w:szCs w:val="20"/>
        </w:rPr>
        <w:t xml:space="preserve"> (</w:t>
      </w:r>
      <w:r w:rsidR="00D07347">
        <w:rPr>
          <w:rFonts w:asciiTheme="minorHAnsi" w:hAnsiTheme="minorHAnsi" w:cstheme="minorHAnsi"/>
          <w:sz w:val="20"/>
          <w:szCs w:val="20"/>
        </w:rPr>
        <w:t>to be submitted for</w:t>
      </w:r>
      <w:r w:rsidRPr="00901468">
        <w:rPr>
          <w:rFonts w:asciiTheme="minorHAnsi" w:hAnsiTheme="minorHAnsi" w:cstheme="minorHAnsi"/>
          <w:sz w:val="20"/>
          <w:szCs w:val="20"/>
        </w:rPr>
        <w:t xml:space="preserve"> </w:t>
      </w:r>
      <w:r w:rsidR="00061026">
        <w:rPr>
          <w:rFonts w:asciiTheme="minorHAnsi" w:hAnsiTheme="minorHAnsi" w:cstheme="minorHAnsi"/>
          <w:sz w:val="20"/>
          <w:szCs w:val="20"/>
        </w:rPr>
        <w:t xml:space="preserve">OMB </w:t>
      </w:r>
      <w:r w:rsidRPr="00901468">
        <w:rPr>
          <w:rFonts w:asciiTheme="minorHAnsi" w:hAnsiTheme="minorHAnsi" w:cstheme="minorHAnsi"/>
          <w:sz w:val="20"/>
          <w:szCs w:val="20"/>
        </w:rPr>
        <w:t>review</w:t>
      </w:r>
      <w:r w:rsidR="00211FE2">
        <w:rPr>
          <w:rFonts w:asciiTheme="minorHAnsi" w:hAnsiTheme="minorHAnsi" w:cstheme="minorHAnsi"/>
          <w:sz w:val="20"/>
          <w:szCs w:val="20"/>
        </w:rPr>
        <w:t xml:space="preserve"> in fall 2017</w:t>
      </w:r>
      <w:r w:rsidR="00F66956" w:rsidRPr="00901468">
        <w:rPr>
          <w:rFonts w:asciiTheme="minorHAnsi" w:hAnsiTheme="minorHAnsi" w:cstheme="minorHAnsi"/>
          <w:sz w:val="20"/>
          <w:szCs w:val="20"/>
        </w:rPr>
        <w:t xml:space="preserve">: </w:t>
      </w:r>
      <w:r w:rsidRPr="00901468">
        <w:rPr>
          <w:rFonts w:asciiTheme="minorHAnsi" w:hAnsiTheme="minorHAnsi" w:cstheme="minorHAnsi"/>
          <w:sz w:val="20"/>
          <w:szCs w:val="20"/>
        </w:rPr>
        <w:t>OMB #1850-</w:t>
      </w:r>
      <w:r w:rsidR="00D07347">
        <w:rPr>
          <w:rFonts w:asciiTheme="minorHAnsi" w:hAnsiTheme="minorHAnsi" w:cstheme="minorHAnsi"/>
          <w:sz w:val="20"/>
          <w:szCs w:val="20"/>
        </w:rPr>
        <w:t>0929</w:t>
      </w:r>
      <w:r w:rsidRPr="00901468">
        <w:rPr>
          <w:rFonts w:asciiTheme="minorHAnsi" w:hAnsiTheme="minorHAnsi" w:cstheme="minorHAnsi"/>
          <w:sz w:val="20"/>
          <w:szCs w:val="20"/>
        </w:rPr>
        <w:t xml:space="preserve"> v</w:t>
      </w:r>
      <w:r w:rsidR="00DF5F50" w:rsidRPr="00901468">
        <w:rPr>
          <w:rFonts w:asciiTheme="minorHAnsi" w:hAnsiTheme="minorHAnsi" w:cstheme="minorHAnsi"/>
          <w:sz w:val="20"/>
          <w:szCs w:val="20"/>
        </w:rPr>
        <w:t>.</w:t>
      </w:r>
      <w:r w:rsidR="00D07347">
        <w:rPr>
          <w:rFonts w:asciiTheme="minorHAnsi" w:hAnsiTheme="minorHAnsi" w:cstheme="minorHAnsi"/>
          <w:sz w:val="20"/>
          <w:szCs w:val="20"/>
        </w:rPr>
        <w:t>6</w:t>
      </w:r>
      <w:r w:rsidR="00211FE2">
        <w:rPr>
          <w:rFonts w:asciiTheme="minorHAnsi" w:hAnsiTheme="minorHAnsi" w:cstheme="minorHAnsi"/>
          <w:sz w:val="20"/>
          <w:szCs w:val="20"/>
        </w:rPr>
        <w:t>-</w:t>
      </w:r>
      <w:r w:rsidR="00D07347">
        <w:rPr>
          <w:rFonts w:asciiTheme="minorHAnsi" w:hAnsiTheme="minorHAnsi" w:cstheme="minorHAnsi"/>
          <w:sz w:val="20"/>
          <w:szCs w:val="20"/>
        </w:rPr>
        <w:t>7</w:t>
      </w:r>
      <w:r w:rsidR="00DD1668" w:rsidRPr="00901468">
        <w:rPr>
          <w:rFonts w:asciiTheme="minorHAnsi" w:hAnsiTheme="minorHAnsi" w:cstheme="minorHAnsi"/>
          <w:sz w:val="20"/>
          <w:szCs w:val="20"/>
        </w:rPr>
        <w:t>)</w:t>
      </w:r>
      <w:r w:rsidRPr="00901468">
        <w:rPr>
          <w:rFonts w:asciiTheme="minorHAnsi" w:hAnsiTheme="minorHAnsi" w:cstheme="minorHAnsi"/>
          <w:sz w:val="20"/>
          <w:szCs w:val="20"/>
        </w:rPr>
        <w:t xml:space="preserve">. </w:t>
      </w:r>
      <w:r w:rsidR="00A06F33" w:rsidRPr="00D62BC6">
        <w:rPr>
          <w:rFonts w:asciiTheme="minorHAnsi" w:hAnsiTheme="minorHAnsi" w:cstheme="minorHAnsi"/>
          <w:sz w:val="20"/>
          <w:szCs w:val="20"/>
        </w:rPr>
        <w:t xml:space="preserve">Volume </w:t>
      </w:r>
      <w:r w:rsidR="009805E3">
        <w:rPr>
          <w:rFonts w:asciiTheme="minorHAnsi" w:hAnsiTheme="minorHAnsi" w:cstheme="minorHAnsi"/>
          <w:sz w:val="20"/>
          <w:szCs w:val="20"/>
        </w:rPr>
        <w:t>2</w:t>
      </w:r>
      <w:r w:rsidR="00A06F33" w:rsidRPr="00D62BC6">
        <w:rPr>
          <w:rFonts w:asciiTheme="minorHAnsi" w:hAnsiTheme="minorHAnsi" w:cstheme="minorHAnsi"/>
          <w:sz w:val="20"/>
          <w:szCs w:val="20"/>
        </w:rPr>
        <w:t xml:space="preserve"> </w:t>
      </w:r>
      <w:r w:rsidR="00211FE2" w:rsidRPr="00D62BC6">
        <w:rPr>
          <w:rFonts w:asciiTheme="minorHAnsi" w:hAnsiTheme="minorHAnsi" w:cstheme="minorHAnsi"/>
          <w:sz w:val="20"/>
          <w:szCs w:val="20"/>
        </w:rPr>
        <w:t>provide</w:t>
      </w:r>
      <w:r w:rsidR="00211FE2">
        <w:rPr>
          <w:rFonts w:asciiTheme="minorHAnsi" w:hAnsiTheme="minorHAnsi" w:cstheme="minorHAnsi"/>
          <w:sz w:val="20"/>
          <w:szCs w:val="20"/>
        </w:rPr>
        <w:t>s</w:t>
      </w:r>
      <w:r w:rsidR="00211FE2" w:rsidRPr="00D62BC6">
        <w:rPr>
          <w:rFonts w:asciiTheme="minorHAnsi" w:hAnsiTheme="minorHAnsi" w:cstheme="minorHAnsi"/>
          <w:sz w:val="20"/>
          <w:szCs w:val="20"/>
        </w:rPr>
        <w:t xml:space="preserve"> </w:t>
      </w:r>
      <w:r w:rsidR="00C17E9B" w:rsidRPr="00D62BC6">
        <w:rPr>
          <w:rFonts w:asciiTheme="minorHAnsi" w:hAnsiTheme="minorHAnsi" w:cstheme="minorHAnsi"/>
          <w:sz w:val="20"/>
          <w:szCs w:val="20"/>
        </w:rPr>
        <w:t xml:space="preserve">the </w:t>
      </w:r>
      <w:r w:rsidR="0059118A" w:rsidRPr="00D62BC6">
        <w:rPr>
          <w:rFonts w:asciiTheme="minorHAnsi" w:hAnsiTheme="minorHAnsi" w:cstheme="minorHAnsi"/>
          <w:sz w:val="20"/>
          <w:szCs w:val="20"/>
        </w:rPr>
        <w:t xml:space="preserve">questionnaires </w:t>
      </w:r>
      <w:r w:rsidR="00211FE2">
        <w:rPr>
          <w:rFonts w:asciiTheme="minorHAnsi" w:hAnsiTheme="minorHAnsi" w:cstheme="minorHAnsi"/>
          <w:sz w:val="20"/>
          <w:szCs w:val="20"/>
        </w:rPr>
        <w:t>approved as part of</w:t>
      </w:r>
      <w:r w:rsidR="00DD1668" w:rsidRPr="00D62BC6">
        <w:rPr>
          <w:rFonts w:asciiTheme="minorHAnsi" w:hAnsiTheme="minorHAnsi" w:cstheme="minorHAnsi"/>
          <w:sz w:val="20"/>
          <w:szCs w:val="20"/>
        </w:rPr>
        <w:t xml:space="preserve"> the </w:t>
      </w:r>
      <w:r w:rsidR="00D07347" w:rsidRPr="00D62BC6">
        <w:rPr>
          <w:rFonts w:asciiTheme="minorHAnsi" w:hAnsiTheme="minorHAnsi" w:cstheme="minorHAnsi"/>
          <w:sz w:val="20"/>
          <w:szCs w:val="20"/>
        </w:rPr>
        <w:t>1850-0929</w:t>
      </w:r>
      <w:r w:rsidR="0059118A" w:rsidRPr="00D62BC6">
        <w:rPr>
          <w:rFonts w:asciiTheme="minorHAnsi" w:hAnsiTheme="minorHAnsi" w:cstheme="minorHAnsi"/>
          <w:sz w:val="20"/>
          <w:szCs w:val="20"/>
        </w:rPr>
        <w:t xml:space="preserve"> v.</w:t>
      </w:r>
      <w:r w:rsidR="00211FE2">
        <w:rPr>
          <w:rFonts w:asciiTheme="minorHAnsi" w:hAnsiTheme="minorHAnsi" w:cstheme="minorHAnsi"/>
          <w:sz w:val="20"/>
          <w:szCs w:val="20"/>
        </w:rPr>
        <w:t>1-5</w:t>
      </w:r>
      <w:r w:rsidR="00901468" w:rsidRPr="00D62BC6">
        <w:rPr>
          <w:rFonts w:asciiTheme="minorHAnsi" w:hAnsiTheme="minorHAnsi" w:cstheme="minorHAnsi"/>
          <w:sz w:val="20"/>
          <w:szCs w:val="20"/>
        </w:rPr>
        <w:t xml:space="preserve"> </w:t>
      </w:r>
      <w:r w:rsidR="00211FE2">
        <w:rPr>
          <w:rFonts w:asciiTheme="minorHAnsi" w:hAnsiTheme="minorHAnsi" w:cstheme="minorHAnsi"/>
          <w:sz w:val="20"/>
          <w:szCs w:val="20"/>
        </w:rPr>
        <w:t xml:space="preserve">field test </w:t>
      </w:r>
      <w:r w:rsidR="00C17E9B" w:rsidRPr="00D62BC6">
        <w:rPr>
          <w:rFonts w:asciiTheme="minorHAnsi" w:hAnsiTheme="minorHAnsi" w:cstheme="minorHAnsi"/>
          <w:sz w:val="20"/>
          <w:szCs w:val="20"/>
        </w:rPr>
        <w:t>submittal</w:t>
      </w:r>
      <w:r w:rsidR="00C17E9B" w:rsidRPr="00901468">
        <w:rPr>
          <w:rFonts w:asciiTheme="minorHAnsi" w:hAnsiTheme="minorHAnsi" w:cstheme="minorHAnsi"/>
          <w:sz w:val="20"/>
          <w:szCs w:val="20"/>
        </w:rPr>
        <w:t>.</w:t>
      </w:r>
    </w:p>
  </w:footnote>
  <w:footnote w:id="3">
    <w:p w14:paraId="23A5ECCA" w14:textId="32DBE683" w:rsidR="00147595" w:rsidRDefault="00147595" w:rsidP="00FB246B">
      <w:pPr>
        <w:pStyle w:val="FootnoteText"/>
        <w:ind w:left="90" w:hanging="90"/>
      </w:pPr>
      <w:r>
        <w:rPr>
          <w:rStyle w:val="FootnoteReference"/>
        </w:rPr>
        <w:footnoteRef/>
      </w:r>
      <w:r>
        <w:t xml:space="preserve"> Assumptions for approximate attrition rates are 50 percent from initial contact to follow-up</w:t>
      </w:r>
      <w:r w:rsidR="00564B29">
        <w:t>,</w:t>
      </w:r>
      <w:r>
        <w:t xml:space="preserve"> 50 percent</w:t>
      </w:r>
      <w:r w:rsidR="00564B29">
        <w:t xml:space="preserve"> from follow-up to confirmation, and 90 percent from confirmation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345"/>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606E"/>
    <w:rsid w:val="000A679F"/>
    <w:rsid w:val="000B04B9"/>
    <w:rsid w:val="000B234E"/>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E2A"/>
    <w:rsid w:val="00124108"/>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3351"/>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44B"/>
    <w:rsid w:val="001F7907"/>
    <w:rsid w:val="002028FF"/>
    <w:rsid w:val="00203115"/>
    <w:rsid w:val="002033AE"/>
    <w:rsid w:val="00204A31"/>
    <w:rsid w:val="00205C3C"/>
    <w:rsid w:val="00206DD5"/>
    <w:rsid w:val="00207A48"/>
    <w:rsid w:val="00211FE2"/>
    <w:rsid w:val="002155CF"/>
    <w:rsid w:val="00216EB5"/>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2303"/>
    <w:rsid w:val="0031318D"/>
    <w:rsid w:val="00321578"/>
    <w:rsid w:val="00324382"/>
    <w:rsid w:val="00324548"/>
    <w:rsid w:val="003312F3"/>
    <w:rsid w:val="003343DF"/>
    <w:rsid w:val="00335AF7"/>
    <w:rsid w:val="00340790"/>
    <w:rsid w:val="00345AF2"/>
    <w:rsid w:val="003479DC"/>
    <w:rsid w:val="00350B47"/>
    <w:rsid w:val="00350DD3"/>
    <w:rsid w:val="00351FFB"/>
    <w:rsid w:val="003525C1"/>
    <w:rsid w:val="003529CD"/>
    <w:rsid w:val="003536DC"/>
    <w:rsid w:val="00354E83"/>
    <w:rsid w:val="00355D84"/>
    <w:rsid w:val="003570BE"/>
    <w:rsid w:val="003609BC"/>
    <w:rsid w:val="00361AE9"/>
    <w:rsid w:val="00363498"/>
    <w:rsid w:val="00363CEE"/>
    <w:rsid w:val="00364C57"/>
    <w:rsid w:val="00370CF7"/>
    <w:rsid w:val="0037244E"/>
    <w:rsid w:val="00373009"/>
    <w:rsid w:val="003765D4"/>
    <w:rsid w:val="00377855"/>
    <w:rsid w:val="00381069"/>
    <w:rsid w:val="0038367B"/>
    <w:rsid w:val="003854DE"/>
    <w:rsid w:val="00385EA5"/>
    <w:rsid w:val="00387391"/>
    <w:rsid w:val="00387932"/>
    <w:rsid w:val="0038794F"/>
    <w:rsid w:val="00391816"/>
    <w:rsid w:val="00395BC9"/>
    <w:rsid w:val="00397D50"/>
    <w:rsid w:val="003A0D62"/>
    <w:rsid w:val="003A2DEC"/>
    <w:rsid w:val="003A32ED"/>
    <w:rsid w:val="003A4714"/>
    <w:rsid w:val="003A5B56"/>
    <w:rsid w:val="003A63F6"/>
    <w:rsid w:val="003A79A2"/>
    <w:rsid w:val="003B04CE"/>
    <w:rsid w:val="003B0C11"/>
    <w:rsid w:val="003B631E"/>
    <w:rsid w:val="003C3463"/>
    <w:rsid w:val="003C4B1E"/>
    <w:rsid w:val="003C5A08"/>
    <w:rsid w:val="003C5F9A"/>
    <w:rsid w:val="003C62F3"/>
    <w:rsid w:val="003C6EC8"/>
    <w:rsid w:val="003C7F45"/>
    <w:rsid w:val="003D45E3"/>
    <w:rsid w:val="003D58D8"/>
    <w:rsid w:val="003D7F90"/>
    <w:rsid w:val="003E0146"/>
    <w:rsid w:val="003E1575"/>
    <w:rsid w:val="003E16DC"/>
    <w:rsid w:val="003E71D5"/>
    <w:rsid w:val="003E7919"/>
    <w:rsid w:val="003F0DF3"/>
    <w:rsid w:val="003F4206"/>
    <w:rsid w:val="003F7EBD"/>
    <w:rsid w:val="0040041F"/>
    <w:rsid w:val="0040189E"/>
    <w:rsid w:val="0040238C"/>
    <w:rsid w:val="0040288D"/>
    <w:rsid w:val="00405061"/>
    <w:rsid w:val="0040600A"/>
    <w:rsid w:val="004109FC"/>
    <w:rsid w:val="00410E59"/>
    <w:rsid w:val="00411E45"/>
    <w:rsid w:val="00416F35"/>
    <w:rsid w:val="004175DD"/>
    <w:rsid w:val="004204CE"/>
    <w:rsid w:val="0042057B"/>
    <w:rsid w:val="00422920"/>
    <w:rsid w:val="00423E38"/>
    <w:rsid w:val="00426F1E"/>
    <w:rsid w:val="00427E81"/>
    <w:rsid w:val="004310E1"/>
    <w:rsid w:val="00431F49"/>
    <w:rsid w:val="00433E56"/>
    <w:rsid w:val="0043486D"/>
    <w:rsid w:val="0044081A"/>
    <w:rsid w:val="0044341B"/>
    <w:rsid w:val="00443628"/>
    <w:rsid w:val="00446CD4"/>
    <w:rsid w:val="004501AF"/>
    <w:rsid w:val="00452C45"/>
    <w:rsid w:val="00454131"/>
    <w:rsid w:val="00456F32"/>
    <w:rsid w:val="0046239B"/>
    <w:rsid w:val="00462B31"/>
    <w:rsid w:val="00462F1C"/>
    <w:rsid w:val="00463C33"/>
    <w:rsid w:val="004672B1"/>
    <w:rsid w:val="00467D0F"/>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1635"/>
    <w:rsid w:val="004D3D6D"/>
    <w:rsid w:val="004D6ADF"/>
    <w:rsid w:val="004E245B"/>
    <w:rsid w:val="004E5507"/>
    <w:rsid w:val="004E56B9"/>
    <w:rsid w:val="004E6024"/>
    <w:rsid w:val="004E68A3"/>
    <w:rsid w:val="004E6939"/>
    <w:rsid w:val="004F2282"/>
    <w:rsid w:val="004F7D20"/>
    <w:rsid w:val="00502478"/>
    <w:rsid w:val="005024A3"/>
    <w:rsid w:val="005035A1"/>
    <w:rsid w:val="00504C38"/>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B5A"/>
    <w:rsid w:val="005464C5"/>
    <w:rsid w:val="005544FD"/>
    <w:rsid w:val="00555EE0"/>
    <w:rsid w:val="00560538"/>
    <w:rsid w:val="00561C4B"/>
    <w:rsid w:val="00564B29"/>
    <w:rsid w:val="005673BF"/>
    <w:rsid w:val="0057199B"/>
    <w:rsid w:val="00572F71"/>
    <w:rsid w:val="00575616"/>
    <w:rsid w:val="00575D5F"/>
    <w:rsid w:val="005814EE"/>
    <w:rsid w:val="00581B9F"/>
    <w:rsid w:val="00582435"/>
    <w:rsid w:val="00583B38"/>
    <w:rsid w:val="005861CD"/>
    <w:rsid w:val="00586F75"/>
    <w:rsid w:val="00587D07"/>
    <w:rsid w:val="00590E63"/>
    <w:rsid w:val="0059113F"/>
    <w:rsid w:val="0059118A"/>
    <w:rsid w:val="0059262A"/>
    <w:rsid w:val="005953AA"/>
    <w:rsid w:val="00597358"/>
    <w:rsid w:val="00597D60"/>
    <w:rsid w:val="005A68DC"/>
    <w:rsid w:val="005B0FD0"/>
    <w:rsid w:val="005B3055"/>
    <w:rsid w:val="005B38FE"/>
    <w:rsid w:val="005C1BC5"/>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0A57"/>
    <w:rsid w:val="006236E7"/>
    <w:rsid w:val="00624739"/>
    <w:rsid w:val="00626B15"/>
    <w:rsid w:val="00630BD3"/>
    <w:rsid w:val="00631B8D"/>
    <w:rsid w:val="00632A9F"/>
    <w:rsid w:val="006330FE"/>
    <w:rsid w:val="00635904"/>
    <w:rsid w:val="00643657"/>
    <w:rsid w:val="00643E5A"/>
    <w:rsid w:val="00652342"/>
    <w:rsid w:val="00652D18"/>
    <w:rsid w:val="00653C16"/>
    <w:rsid w:val="00654E24"/>
    <w:rsid w:val="0065632B"/>
    <w:rsid w:val="00664FC6"/>
    <w:rsid w:val="00666329"/>
    <w:rsid w:val="00667906"/>
    <w:rsid w:val="00667C27"/>
    <w:rsid w:val="00670BD5"/>
    <w:rsid w:val="00670F48"/>
    <w:rsid w:val="0067574F"/>
    <w:rsid w:val="0067756F"/>
    <w:rsid w:val="00677802"/>
    <w:rsid w:val="006827FB"/>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4D04"/>
    <w:rsid w:val="00710C93"/>
    <w:rsid w:val="00711353"/>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685A"/>
    <w:rsid w:val="0075051B"/>
    <w:rsid w:val="00757FBC"/>
    <w:rsid w:val="007612ED"/>
    <w:rsid w:val="00762F72"/>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27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FED"/>
    <w:rsid w:val="00815AE8"/>
    <w:rsid w:val="0081613C"/>
    <w:rsid w:val="008177BE"/>
    <w:rsid w:val="00817C21"/>
    <w:rsid w:val="00821CB3"/>
    <w:rsid w:val="0082397F"/>
    <w:rsid w:val="00823B01"/>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51C9D"/>
    <w:rsid w:val="00853032"/>
    <w:rsid w:val="008537A4"/>
    <w:rsid w:val="0085640F"/>
    <w:rsid w:val="008570A9"/>
    <w:rsid w:val="008577BF"/>
    <w:rsid w:val="00857AEC"/>
    <w:rsid w:val="00860404"/>
    <w:rsid w:val="00864161"/>
    <w:rsid w:val="00864A42"/>
    <w:rsid w:val="00873203"/>
    <w:rsid w:val="00873A9A"/>
    <w:rsid w:val="00876779"/>
    <w:rsid w:val="008768B4"/>
    <w:rsid w:val="008807F7"/>
    <w:rsid w:val="00882686"/>
    <w:rsid w:val="00891C99"/>
    <w:rsid w:val="0089507F"/>
    <w:rsid w:val="0089796B"/>
    <w:rsid w:val="008A28F8"/>
    <w:rsid w:val="008A2C65"/>
    <w:rsid w:val="008A3EDA"/>
    <w:rsid w:val="008A4881"/>
    <w:rsid w:val="008A4EAD"/>
    <w:rsid w:val="008A796E"/>
    <w:rsid w:val="008B0F13"/>
    <w:rsid w:val="008B5D9D"/>
    <w:rsid w:val="008B7E00"/>
    <w:rsid w:val="008C0A76"/>
    <w:rsid w:val="008C1EA9"/>
    <w:rsid w:val="008C2CF4"/>
    <w:rsid w:val="008C2FC2"/>
    <w:rsid w:val="008C3CB9"/>
    <w:rsid w:val="008C49F4"/>
    <w:rsid w:val="008C51F0"/>
    <w:rsid w:val="008C6A98"/>
    <w:rsid w:val="008D0E33"/>
    <w:rsid w:val="008D1BA5"/>
    <w:rsid w:val="008D4348"/>
    <w:rsid w:val="008D7633"/>
    <w:rsid w:val="008E4181"/>
    <w:rsid w:val="008F0637"/>
    <w:rsid w:val="008F1979"/>
    <w:rsid w:val="008F2342"/>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25B23"/>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67C"/>
    <w:rsid w:val="00963F98"/>
    <w:rsid w:val="009661EA"/>
    <w:rsid w:val="00966ABA"/>
    <w:rsid w:val="0097084F"/>
    <w:rsid w:val="00971544"/>
    <w:rsid w:val="00971804"/>
    <w:rsid w:val="009725FC"/>
    <w:rsid w:val="00973E87"/>
    <w:rsid w:val="009805E3"/>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421"/>
    <w:rsid w:val="00AB6642"/>
    <w:rsid w:val="00AB6D3C"/>
    <w:rsid w:val="00AC104A"/>
    <w:rsid w:val="00AC1341"/>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63D8"/>
    <w:rsid w:val="00AE6982"/>
    <w:rsid w:val="00AF2C2D"/>
    <w:rsid w:val="00AF404C"/>
    <w:rsid w:val="00AF5BAB"/>
    <w:rsid w:val="00AF6E2D"/>
    <w:rsid w:val="00B035D3"/>
    <w:rsid w:val="00B041DB"/>
    <w:rsid w:val="00B0584A"/>
    <w:rsid w:val="00B05B40"/>
    <w:rsid w:val="00B12368"/>
    <w:rsid w:val="00B12EB8"/>
    <w:rsid w:val="00B17C47"/>
    <w:rsid w:val="00B2075C"/>
    <w:rsid w:val="00B21975"/>
    <w:rsid w:val="00B22543"/>
    <w:rsid w:val="00B258E0"/>
    <w:rsid w:val="00B35A1F"/>
    <w:rsid w:val="00B4238D"/>
    <w:rsid w:val="00B466E1"/>
    <w:rsid w:val="00B46B27"/>
    <w:rsid w:val="00B47AF7"/>
    <w:rsid w:val="00B505FD"/>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114A"/>
    <w:rsid w:val="00BB1447"/>
    <w:rsid w:val="00BB17BE"/>
    <w:rsid w:val="00BB2D0F"/>
    <w:rsid w:val="00BB3666"/>
    <w:rsid w:val="00BB3C4A"/>
    <w:rsid w:val="00BB6AF4"/>
    <w:rsid w:val="00BC24E5"/>
    <w:rsid w:val="00BC3FC0"/>
    <w:rsid w:val="00BC5748"/>
    <w:rsid w:val="00BC5A07"/>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603"/>
    <w:rsid w:val="00C30403"/>
    <w:rsid w:val="00C325D6"/>
    <w:rsid w:val="00C33699"/>
    <w:rsid w:val="00C33DF6"/>
    <w:rsid w:val="00C35F9F"/>
    <w:rsid w:val="00C37CA7"/>
    <w:rsid w:val="00C37CC6"/>
    <w:rsid w:val="00C408E9"/>
    <w:rsid w:val="00C44F85"/>
    <w:rsid w:val="00C45C02"/>
    <w:rsid w:val="00C502BB"/>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75A9"/>
    <w:rsid w:val="00CC05BC"/>
    <w:rsid w:val="00CC592A"/>
    <w:rsid w:val="00CC782F"/>
    <w:rsid w:val="00CC7E4D"/>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07347"/>
    <w:rsid w:val="00D11087"/>
    <w:rsid w:val="00D17CC9"/>
    <w:rsid w:val="00D2052E"/>
    <w:rsid w:val="00D233C3"/>
    <w:rsid w:val="00D2457E"/>
    <w:rsid w:val="00D255A8"/>
    <w:rsid w:val="00D26E1A"/>
    <w:rsid w:val="00D27438"/>
    <w:rsid w:val="00D306DF"/>
    <w:rsid w:val="00D31048"/>
    <w:rsid w:val="00D317BC"/>
    <w:rsid w:val="00D3195A"/>
    <w:rsid w:val="00D321DB"/>
    <w:rsid w:val="00D33F79"/>
    <w:rsid w:val="00D37A71"/>
    <w:rsid w:val="00D51B5C"/>
    <w:rsid w:val="00D5547D"/>
    <w:rsid w:val="00D61000"/>
    <w:rsid w:val="00D62BC6"/>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B20AA"/>
    <w:rsid w:val="00DB7B65"/>
    <w:rsid w:val="00DC0AB0"/>
    <w:rsid w:val="00DC1546"/>
    <w:rsid w:val="00DC1CB7"/>
    <w:rsid w:val="00DC2D0F"/>
    <w:rsid w:val="00DC3CD9"/>
    <w:rsid w:val="00DC5175"/>
    <w:rsid w:val="00DC5437"/>
    <w:rsid w:val="00DC7695"/>
    <w:rsid w:val="00DC7887"/>
    <w:rsid w:val="00DD1668"/>
    <w:rsid w:val="00DD1821"/>
    <w:rsid w:val="00DD197D"/>
    <w:rsid w:val="00DD2CE8"/>
    <w:rsid w:val="00DD35BC"/>
    <w:rsid w:val="00DD3C62"/>
    <w:rsid w:val="00DD45BC"/>
    <w:rsid w:val="00DD5B5F"/>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E4A"/>
    <w:rsid w:val="00E47808"/>
    <w:rsid w:val="00E5317F"/>
    <w:rsid w:val="00E554BF"/>
    <w:rsid w:val="00E67D4D"/>
    <w:rsid w:val="00E721E9"/>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06843"/>
    <w:rsid w:val="00F12BB2"/>
    <w:rsid w:val="00F14DCF"/>
    <w:rsid w:val="00F17EE6"/>
    <w:rsid w:val="00F20A49"/>
    <w:rsid w:val="00F22EAE"/>
    <w:rsid w:val="00F24144"/>
    <w:rsid w:val="00F2486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246B"/>
    <w:rsid w:val="00FB369C"/>
    <w:rsid w:val="00FB3A72"/>
    <w:rsid w:val="00FB44EC"/>
    <w:rsid w:val="00FB5668"/>
    <w:rsid w:val="00FB5BC0"/>
    <w:rsid w:val="00FB5EFE"/>
    <w:rsid w:val="00FB6548"/>
    <w:rsid w:val="00FB7270"/>
    <w:rsid w:val="00FB73DA"/>
    <w:rsid w:val="00FC1B2B"/>
    <w:rsid w:val="00FC355B"/>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11A2"/>
    <w:rsid w:val="00FF399A"/>
    <w:rsid w:val="00FF4B91"/>
    <w:rsid w:val="00FF539C"/>
    <w:rsid w:val="00FF7875"/>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774444586">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1E7C6803-5943-4261-B88B-4F0108EDF5BC}">
  <ds:schemaRefs>
    <ds:schemaRef ds:uri="http://schemas.openxmlformats.org/officeDocument/2006/bibliography"/>
  </ds:schemaRefs>
</ds:datastoreItem>
</file>

<file path=customXml/itemProps5.xml><?xml version="1.0" encoding="utf-8"?>
<ds:datastoreItem xmlns:ds="http://schemas.openxmlformats.org/officeDocument/2006/customXml" ds:itemID="{C7C1FCD1-198B-4AAC-A8DD-8B15D89E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15468</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2017-09-12T16:56:00Z</dcterms:created>
  <dcterms:modified xsi:type="dcterms:W3CDTF">2017-09-12T16:56:00Z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