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C9A7B" w14:textId="3F955683" w:rsidR="00F361B4" w:rsidRDefault="00F361B4" w:rsidP="00385FDC">
      <w:pPr>
        <w:widowControl w:val="0"/>
        <w:tabs>
          <w:tab w:val="right" w:pos="10620"/>
        </w:tabs>
        <w:spacing w:after="360" w:line="240" w:lineRule="auto"/>
        <w:rPr>
          <w:b/>
          <w:sz w:val="24"/>
          <w:szCs w:val="24"/>
        </w:rPr>
      </w:pPr>
      <w:r w:rsidRPr="001D1B0B">
        <w:rPr>
          <w:b/>
          <w:sz w:val="24"/>
          <w:szCs w:val="24"/>
        </w:rPr>
        <w:t>MEMORANDUM</w:t>
      </w:r>
      <w:r>
        <w:rPr>
          <w:b/>
        </w:rPr>
        <w:tab/>
      </w:r>
      <w:r w:rsidRPr="001D1B0B">
        <w:rPr>
          <w:b/>
          <w:sz w:val="24"/>
          <w:szCs w:val="24"/>
        </w:rPr>
        <w:t>OMB # 1850-0803</w:t>
      </w:r>
      <w:r w:rsidR="00F842C9">
        <w:rPr>
          <w:b/>
          <w:sz w:val="24"/>
          <w:szCs w:val="24"/>
        </w:rPr>
        <w:t xml:space="preserve"> v.179</w:t>
      </w:r>
    </w:p>
    <w:p w14:paraId="131C9A7C" w14:textId="2FE0FEB9" w:rsidR="00F361B4" w:rsidRDefault="00F361B4" w:rsidP="00FB6905">
      <w:pPr>
        <w:widowControl w:val="0"/>
        <w:tabs>
          <w:tab w:val="left" w:pos="1080"/>
          <w:tab w:val="left" w:pos="1440"/>
        </w:tabs>
        <w:spacing w:after="0" w:line="240" w:lineRule="auto"/>
      </w:pPr>
      <w:r w:rsidRPr="00AD2C89">
        <w:t>DATE:</w:t>
      </w:r>
      <w:r w:rsidRPr="00AD2C89">
        <w:tab/>
      </w:r>
      <w:r w:rsidR="00E270CF">
        <w:t>October 2</w:t>
      </w:r>
      <w:r w:rsidR="0028119E">
        <w:t>8</w:t>
      </w:r>
      <w:r w:rsidR="00E270CF">
        <w:t>,</w:t>
      </w:r>
      <w:r w:rsidR="006A66B3">
        <w:t xml:space="preserve"> 2016</w:t>
      </w:r>
    </w:p>
    <w:p w14:paraId="131C9A7D" w14:textId="77777777" w:rsidR="000B4F67" w:rsidRPr="00385263" w:rsidRDefault="000B4F67" w:rsidP="00FB6905">
      <w:pPr>
        <w:widowControl w:val="0"/>
        <w:tabs>
          <w:tab w:val="left" w:pos="1080"/>
          <w:tab w:val="left" w:pos="1440"/>
        </w:tabs>
        <w:spacing w:after="0" w:line="240" w:lineRule="auto"/>
        <w:rPr>
          <w:sz w:val="14"/>
          <w:szCs w:val="14"/>
        </w:rPr>
      </w:pPr>
    </w:p>
    <w:p w14:paraId="131C9A7E" w14:textId="77777777" w:rsidR="000B4F67" w:rsidRPr="00DD67F1" w:rsidRDefault="00F361B4" w:rsidP="00FB6905">
      <w:pPr>
        <w:widowControl w:val="0"/>
        <w:tabs>
          <w:tab w:val="left" w:pos="1080"/>
        </w:tabs>
        <w:spacing w:after="0" w:line="240" w:lineRule="auto"/>
        <w:rPr>
          <w:color w:val="1F497D"/>
        </w:rPr>
      </w:pPr>
      <w:r w:rsidRPr="00AD2C89">
        <w:t>TO:</w:t>
      </w:r>
      <w:r w:rsidRPr="00AD2C89">
        <w:tab/>
      </w:r>
      <w:r w:rsidR="000B4F67" w:rsidRPr="00DD67F1">
        <w:t xml:space="preserve">Robert </w:t>
      </w:r>
      <w:proofErr w:type="spellStart"/>
      <w:r w:rsidR="000B4F67" w:rsidRPr="00DD67F1">
        <w:t>Sivinski</w:t>
      </w:r>
      <w:proofErr w:type="spellEnd"/>
      <w:r w:rsidR="000B4F67" w:rsidRPr="00DD67F1">
        <w:t>, Office of Information and Regulatory Affairs, Office of Management and Budget</w:t>
      </w:r>
    </w:p>
    <w:p w14:paraId="131C9A7F" w14:textId="77777777" w:rsidR="00F361B4" w:rsidRPr="00385263" w:rsidRDefault="00F361B4" w:rsidP="00FB6905">
      <w:pPr>
        <w:widowControl w:val="0"/>
        <w:tabs>
          <w:tab w:val="left" w:pos="1080"/>
        </w:tabs>
        <w:spacing w:after="0" w:line="240" w:lineRule="auto"/>
        <w:rPr>
          <w:sz w:val="14"/>
          <w:szCs w:val="14"/>
        </w:rPr>
      </w:pPr>
    </w:p>
    <w:p w14:paraId="131C9A80" w14:textId="644EA4ED" w:rsidR="00F361B4" w:rsidRPr="00AD2C89" w:rsidRDefault="00F361B4" w:rsidP="00FB6905">
      <w:pPr>
        <w:widowControl w:val="0"/>
        <w:tabs>
          <w:tab w:val="left" w:pos="1080"/>
          <w:tab w:val="left" w:pos="1440"/>
        </w:tabs>
        <w:spacing w:after="0" w:line="240" w:lineRule="auto"/>
      </w:pPr>
      <w:r w:rsidRPr="00AD2C89">
        <w:t>FROM:</w:t>
      </w:r>
      <w:r w:rsidRPr="00AD2C89">
        <w:tab/>
      </w:r>
      <w:r w:rsidRPr="00DF0381">
        <w:t>Patricia Etienne</w:t>
      </w:r>
      <w:r w:rsidR="0028119E">
        <w:t xml:space="preserve"> and Linda Hamilton</w:t>
      </w:r>
      <w:r w:rsidR="000B4F67" w:rsidRPr="00DF0381">
        <w:t xml:space="preserve">, </w:t>
      </w:r>
      <w:r w:rsidRPr="00DF0381">
        <w:t>National</w:t>
      </w:r>
      <w:r w:rsidRPr="00AD2C89">
        <w:t xml:space="preserve"> Center for Education Statistics</w:t>
      </w:r>
    </w:p>
    <w:p w14:paraId="131C9A81" w14:textId="77777777" w:rsidR="00F361B4" w:rsidRPr="00385263" w:rsidRDefault="00F361B4" w:rsidP="00FB6905">
      <w:pPr>
        <w:widowControl w:val="0"/>
        <w:tabs>
          <w:tab w:val="left" w:pos="1080"/>
          <w:tab w:val="left" w:pos="1440"/>
        </w:tabs>
        <w:spacing w:after="0" w:line="240" w:lineRule="auto"/>
        <w:rPr>
          <w:sz w:val="14"/>
          <w:szCs w:val="14"/>
        </w:rPr>
      </w:pPr>
    </w:p>
    <w:p w14:paraId="131C9A82" w14:textId="77777777" w:rsidR="000B4F67" w:rsidRPr="00AD2C89" w:rsidRDefault="000B4F67" w:rsidP="00FB6905">
      <w:pPr>
        <w:widowControl w:val="0"/>
        <w:tabs>
          <w:tab w:val="left" w:pos="1080"/>
          <w:tab w:val="left" w:pos="1440"/>
        </w:tabs>
        <w:spacing w:after="0" w:line="240" w:lineRule="auto"/>
      </w:pPr>
      <w:r>
        <w:t>THROUGH:</w:t>
      </w:r>
      <w:r>
        <w:tab/>
        <w:t xml:space="preserve">Kashka Kubzdela, </w:t>
      </w:r>
      <w:r w:rsidRPr="00AD2C89">
        <w:t>National Center for Education Statistics</w:t>
      </w:r>
    </w:p>
    <w:p w14:paraId="131C9A83" w14:textId="77777777" w:rsidR="000B4F67" w:rsidRPr="00385263" w:rsidRDefault="000B4F67" w:rsidP="00FB6905">
      <w:pPr>
        <w:widowControl w:val="0"/>
        <w:tabs>
          <w:tab w:val="left" w:pos="1080"/>
        </w:tabs>
        <w:spacing w:after="0" w:line="240" w:lineRule="auto"/>
        <w:ind w:left="1440" w:hanging="1440"/>
        <w:rPr>
          <w:sz w:val="14"/>
          <w:szCs w:val="14"/>
        </w:rPr>
      </w:pPr>
    </w:p>
    <w:p w14:paraId="131C9A84" w14:textId="362166F4" w:rsidR="00AF0847" w:rsidRDefault="00F361B4" w:rsidP="00FB6905">
      <w:pPr>
        <w:widowControl w:val="0"/>
        <w:tabs>
          <w:tab w:val="left" w:pos="1080"/>
        </w:tabs>
        <w:spacing w:after="0" w:line="240" w:lineRule="auto"/>
        <w:ind w:left="1440" w:hanging="1440"/>
      </w:pPr>
      <w:r w:rsidRPr="00AD2C89">
        <w:t>SUBJECT:</w:t>
      </w:r>
      <w:r w:rsidRPr="00AD2C89">
        <w:tab/>
      </w:r>
      <w:r w:rsidR="00400758" w:rsidRPr="00400758">
        <w:t>National Assessment of Educational Progress (NAEP) Pretesting of Survey and Cognitive Items fo</w:t>
      </w:r>
      <w:r w:rsidR="00400758">
        <w:t>r Pilot in 2017 and 2018 Update</w:t>
      </w:r>
      <w:r w:rsidR="00F842C9">
        <w:t xml:space="preserve"> Revised</w:t>
      </w:r>
      <w:r w:rsidR="00400758">
        <w:t xml:space="preserve"> [</w:t>
      </w:r>
      <w:r w:rsidR="00F842C9">
        <w:t>r</w:t>
      </w:r>
      <w:r w:rsidR="00400758" w:rsidRPr="00400758">
        <w:t>evision to a previously approved</w:t>
      </w:r>
      <w:r w:rsidR="005A576B">
        <w:t xml:space="preserve"> revised</w:t>
      </w:r>
      <w:r w:rsidR="00400758" w:rsidRPr="00400758">
        <w:t xml:space="preserve"> package (1850-0803 v.1</w:t>
      </w:r>
      <w:r w:rsidR="005A576B">
        <w:t>55</w:t>
      </w:r>
      <w:r w:rsidR="00400758" w:rsidRPr="00400758">
        <w:t>)</w:t>
      </w:r>
      <w:r w:rsidR="00400758">
        <w:t>]</w:t>
      </w:r>
    </w:p>
    <w:p w14:paraId="73C17F27" w14:textId="77777777" w:rsidR="00981B25" w:rsidRPr="00AD2C89" w:rsidRDefault="00981B25" w:rsidP="00FB6905">
      <w:pPr>
        <w:widowControl w:val="0"/>
        <w:spacing w:after="0" w:line="240" w:lineRule="auto"/>
        <w:ind w:left="1440" w:hanging="1440"/>
      </w:pPr>
    </w:p>
    <w:p w14:paraId="131C9A86" w14:textId="3394CE3E" w:rsidR="004B731B" w:rsidRDefault="000B554E" w:rsidP="00FB6905">
      <w:pPr>
        <w:widowControl w:val="0"/>
      </w:pPr>
      <w:r>
        <w:t xml:space="preserve">This request is to increase </w:t>
      </w:r>
      <w:r w:rsidR="005A576B">
        <w:t>grade 12 tryout time from 60 minutes to 90 minutes for</w:t>
      </w:r>
      <w:r>
        <w:t xml:space="preserve"> </w:t>
      </w:r>
      <w:r w:rsidR="00AD2C89" w:rsidRPr="00AD2C89">
        <w:t xml:space="preserve">NAEP </w:t>
      </w:r>
      <w:r w:rsidR="00EC059F">
        <w:t>pretesting</w:t>
      </w:r>
      <w:r w:rsidR="00EC059F" w:rsidRPr="00AD2C89">
        <w:t xml:space="preserve"> </w:t>
      </w:r>
      <w:r w:rsidR="00EC059F">
        <w:t>of cognitive items for pilot in 2018</w:t>
      </w:r>
      <w:r w:rsidR="004B731B">
        <w:t xml:space="preserve"> </w:t>
      </w:r>
      <w:r w:rsidR="00EC059F">
        <w:t>(</w:t>
      </w:r>
      <w:r w:rsidR="0057174A">
        <w:t xml:space="preserve">originally approved in October 2015, OMB #01850-0803 v. 146, with </w:t>
      </w:r>
      <w:r w:rsidR="005A576B">
        <w:t xml:space="preserve">revision </w:t>
      </w:r>
      <w:r w:rsidR="00400758">
        <w:t xml:space="preserve">approved in </w:t>
      </w:r>
      <w:r w:rsidR="005A576B">
        <w:t>April</w:t>
      </w:r>
      <w:r w:rsidR="00400758">
        <w:t xml:space="preserve"> 201</w:t>
      </w:r>
      <w:r w:rsidR="005A576B">
        <w:t>6</w:t>
      </w:r>
      <w:r w:rsidR="00400758">
        <w:t xml:space="preserve">, </w:t>
      </w:r>
      <w:r w:rsidR="00EC059F">
        <w:t>OMB #01850-0803 v. 1</w:t>
      </w:r>
      <w:r w:rsidR="005A576B">
        <w:t>55</w:t>
      </w:r>
      <w:r w:rsidR="00EC059F">
        <w:t>)</w:t>
      </w:r>
      <w:r w:rsidR="00F361B4" w:rsidRPr="00AD2C89">
        <w:t xml:space="preserve">. </w:t>
      </w:r>
      <w:r w:rsidR="00EC059F">
        <w:t xml:space="preserve">Since the </w:t>
      </w:r>
      <w:r w:rsidR="005A576B">
        <w:t xml:space="preserve">revised </w:t>
      </w:r>
      <w:r w:rsidR="00EC059F">
        <w:t>submission, the scope of the</w:t>
      </w:r>
      <w:r w:rsidR="00935D20" w:rsidRPr="00454C24">
        <w:t xml:space="preserve"> grade 12 </w:t>
      </w:r>
      <w:r w:rsidR="005963C9">
        <w:t xml:space="preserve">reading and mathematics cognitive items </w:t>
      </w:r>
      <w:r w:rsidR="005A576B">
        <w:t>tryout</w:t>
      </w:r>
      <w:r w:rsidR="00935D20" w:rsidRPr="00454C24">
        <w:t xml:space="preserve"> activities</w:t>
      </w:r>
      <w:r w:rsidR="00EC059F">
        <w:t xml:space="preserve"> has increased</w:t>
      </w:r>
      <w:r w:rsidR="002D5764" w:rsidRPr="00454C24">
        <w:t>.</w:t>
      </w:r>
      <w:r w:rsidR="00935D20">
        <w:t xml:space="preserve"> </w:t>
      </w:r>
      <w:r w:rsidR="00981B25" w:rsidRPr="00981B25">
        <w:t xml:space="preserve">Extending the grade 12 tryout </w:t>
      </w:r>
      <w:proofErr w:type="gramStart"/>
      <w:r w:rsidR="00981B25" w:rsidRPr="00981B25">
        <w:t>session</w:t>
      </w:r>
      <w:proofErr w:type="gramEnd"/>
      <w:r w:rsidR="00981B25" w:rsidRPr="00981B25">
        <w:t xml:space="preserve"> time from 60 to 90 minutes will allow for pretesting two </w:t>
      </w:r>
      <w:r w:rsidR="00B4231F">
        <w:t>tasks</w:t>
      </w:r>
      <w:r w:rsidR="00981B25" w:rsidRPr="00981B25">
        <w:t xml:space="preserve"> with each student, along with sufficient time for greeting, instruction, and distribution of gift cards. </w:t>
      </w:r>
      <w:r w:rsidR="004107B6">
        <w:t>As a result</w:t>
      </w:r>
      <w:r w:rsidR="000D279D">
        <w:t xml:space="preserve">, </w:t>
      </w:r>
      <w:r>
        <w:t xml:space="preserve">we request to increase the </w:t>
      </w:r>
      <w:r w:rsidR="004107B6">
        <w:t xml:space="preserve">study’s total </w:t>
      </w:r>
      <w:r w:rsidR="004107B6">
        <w:t xml:space="preserve">time </w:t>
      </w:r>
      <w:r w:rsidR="00E270CF">
        <w:t>burden by 100 hours. Although there will be an</w:t>
      </w:r>
      <w:r w:rsidR="000D279D">
        <w:t xml:space="preserve"> increase in burden</w:t>
      </w:r>
      <w:r w:rsidR="008D1C6B">
        <w:t xml:space="preserve">, </w:t>
      </w:r>
      <w:r w:rsidR="00E270CF">
        <w:t xml:space="preserve">no additional costs </w:t>
      </w:r>
      <w:r w:rsidR="004107B6">
        <w:t xml:space="preserve">to the federal government </w:t>
      </w:r>
      <w:r w:rsidR="00E270CF">
        <w:t>will be incurred.</w:t>
      </w:r>
      <w:r w:rsidR="004B731B">
        <w:t xml:space="preserve"> </w:t>
      </w:r>
      <w:r w:rsidR="004B731B" w:rsidRPr="00AD2C89">
        <w:t xml:space="preserve">Other than </w:t>
      </w:r>
      <w:r w:rsidR="004B731B">
        <w:t xml:space="preserve">these specific </w:t>
      </w:r>
      <w:r w:rsidR="004B731B" w:rsidRPr="00AD2C89">
        <w:t xml:space="preserve">changes, the objectives and scope of these pretesting activities remain the same as </w:t>
      </w:r>
      <w:r w:rsidR="004107B6">
        <w:t>in the previous, approved request</w:t>
      </w:r>
      <w:r w:rsidR="00385263">
        <w:t>.</w:t>
      </w:r>
    </w:p>
    <w:p w14:paraId="131C9A87" w14:textId="6EB8E528" w:rsidR="004B731B" w:rsidRPr="00AD2C89" w:rsidRDefault="00DF0381" w:rsidP="00FB6905">
      <w:pPr>
        <w:widowControl w:val="0"/>
      </w:pPr>
      <w:proofErr w:type="gramStart"/>
      <w:r>
        <w:t xml:space="preserve">The table below (Table 6, </w:t>
      </w:r>
      <w:r w:rsidR="00385263">
        <w:t xml:space="preserve">numbered as in Volume I) </w:t>
      </w:r>
      <w:r w:rsidR="004B731B">
        <w:t>detail</w:t>
      </w:r>
      <w:r w:rsidR="00981B25">
        <w:t>s</w:t>
      </w:r>
      <w:r w:rsidR="004B731B">
        <w:t xml:space="preserve"> the </w:t>
      </w:r>
      <w:r w:rsidR="000B554E">
        <w:t xml:space="preserve">requested </w:t>
      </w:r>
      <w:r w:rsidR="004B731B">
        <w:t xml:space="preserve">changes to the </w:t>
      </w:r>
      <w:r w:rsidR="00385263">
        <w:t xml:space="preserve">estimated respondent </w:t>
      </w:r>
      <w:r w:rsidR="00981B25">
        <w:t>burden</w:t>
      </w:r>
      <w:r>
        <w:t>.</w:t>
      </w:r>
      <w:proofErr w:type="gramEnd"/>
      <w:r w:rsidR="00981B25">
        <w:t xml:space="preserve"> </w:t>
      </w:r>
      <w:r w:rsidR="00385263">
        <w:t xml:space="preserve">Cells highlighted in yellow pinpoint </w:t>
      </w:r>
      <w:r w:rsidR="004107B6">
        <w:t xml:space="preserve">the </w:t>
      </w:r>
      <w:bookmarkStart w:id="0" w:name="_GoBack"/>
      <w:bookmarkEnd w:id="0"/>
      <w:r w:rsidR="00385263">
        <w:t>changes.</w:t>
      </w:r>
    </w:p>
    <w:p w14:paraId="5E68F730" w14:textId="3BF77E11" w:rsidR="00DF0381" w:rsidRDefault="00913D71" w:rsidP="00FB6905">
      <w:pPr>
        <w:widowControl w:val="0"/>
        <w:spacing w:after="0" w:line="240" w:lineRule="auto"/>
      </w:pPr>
      <w:proofErr w:type="gramStart"/>
      <w:r w:rsidRPr="007A2992">
        <w:rPr>
          <w:u w:val="single"/>
        </w:rPr>
        <w:t xml:space="preserve">Table </w:t>
      </w:r>
      <w:r w:rsidR="00400758">
        <w:rPr>
          <w:u w:val="single"/>
        </w:rPr>
        <w:t>6</w:t>
      </w:r>
      <w:r w:rsidRPr="007A2992">
        <w:rPr>
          <w:u w:val="single"/>
        </w:rPr>
        <w:t>.</w:t>
      </w:r>
      <w:proofErr w:type="gramEnd"/>
      <w:r w:rsidRPr="001D555C">
        <w:t xml:space="preserve"> Hourly Burden for </w:t>
      </w:r>
      <w:r>
        <w:t>Reading and Mathematics Cognitive Items Tryouts</w:t>
      </w:r>
    </w:p>
    <w:tbl>
      <w:tblPr>
        <w:tblpPr w:leftFromText="187" w:rightFromText="187" w:vertAnchor="text" w:horzAnchor="margin" w:tblpXSpec="center" w:tblpY="1"/>
        <w:tblOverlap w:val="never"/>
        <w:tblW w:w="5000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88"/>
        <w:gridCol w:w="1144"/>
        <w:gridCol w:w="1288"/>
        <w:gridCol w:w="1003"/>
        <w:gridCol w:w="1144"/>
        <w:gridCol w:w="1273"/>
        <w:gridCol w:w="1018"/>
      </w:tblGrid>
      <w:tr w:rsidR="00FB6905" w:rsidRPr="00B36CB5" w14:paraId="0C610869" w14:textId="77777777" w:rsidTr="00FB6905">
        <w:trPr>
          <w:cantSplit/>
          <w:trHeight w:val="195"/>
        </w:trPr>
        <w:tc>
          <w:tcPr>
            <w:tcW w:w="1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1B90947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82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02A5B4B3" w14:textId="3F179186" w:rsidR="00FB6905" w:rsidRPr="00B36CB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7F7F7F" w:themeColor="text1" w:themeTint="80"/>
              </w:rPr>
              <w:t>Previous</w:t>
            </w:r>
            <w:r w:rsidRPr="00FB6905">
              <w:rPr>
                <w:b/>
                <w:bCs/>
                <w:color w:val="7F7F7F" w:themeColor="text1" w:themeTint="80"/>
              </w:rPr>
              <w:t xml:space="preserve"> Estimates</w:t>
            </w:r>
            <w:r>
              <w:rPr>
                <w:b/>
                <w:bCs/>
                <w:color w:val="7F7F7F" w:themeColor="text1" w:themeTint="80"/>
              </w:rPr>
              <w:t xml:space="preserve"> (v.155)</w:t>
            </w:r>
          </w:p>
        </w:tc>
        <w:tc>
          <w:tcPr>
            <w:tcW w:w="1582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2A11EA94" w14:textId="07085898" w:rsidR="00FB6905" w:rsidRPr="00B36CB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Revised Estimates</w:t>
            </w:r>
            <w:r>
              <w:rPr>
                <w:b/>
                <w:bCs/>
                <w:color w:val="000000"/>
              </w:rPr>
              <w:t xml:space="preserve"> (v.179)</w:t>
            </w:r>
          </w:p>
        </w:tc>
      </w:tr>
      <w:tr w:rsidR="00FB6905" w:rsidRPr="00B36CB5" w14:paraId="6D1DC35E" w14:textId="77777777" w:rsidTr="00FB6905">
        <w:trPr>
          <w:cantSplit/>
          <w:trHeight w:val="506"/>
        </w:trPr>
        <w:tc>
          <w:tcPr>
            <w:tcW w:w="18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C6A0F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Respondent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D60A0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Hours per respondent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7CD2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Number of respondents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14716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Total hours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D0EA6C" w14:textId="77777777" w:rsidR="00FB6905" w:rsidRPr="00B36CB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Hours per respondent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BE2824" w14:textId="77777777" w:rsidR="00FB6905" w:rsidRPr="00B36CB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16F765" w14:textId="77777777" w:rsidR="00FB6905" w:rsidRPr="00B36CB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hours</w:t>
            </w:r>
          </w:p>
        </w:tc>
      </w:tr>
      <w:tr w:rsidR="00FB6905" w:rsidRPr="00B36CB5" w14:paraId="18966962" w14:textId="77777777" w:rsidTr="00FB6905">
        <w:trPr>
          <w:cantSplit/>
          <w:trHeight w:val="231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14:paraId="29DCD9A5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Student Recruitment via Teachers and Staff </w:t>
            </w:r>
          </w:p>
        </w:tc>
      </w:tr>
      <w:tr w:rsidR="00FB6905" w:rsidRPr="00B36CB5" w14:paraId="357A9897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5914B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contact with staff: e-mail or phone, flyer distribution, and planning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3C908" w14:textId="4792EC50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0.33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340921" w14:textId="62EF29CF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F0CEF" w14:textId="5837CAD9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AFED6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0.33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3C503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54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9E533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18</w:t>
            </w:r>
          </w:p>
        </w:tc>
      </w:tr>
      <w:tr w:rsidR="00FB6905" w:rsidRPr="00B36CB5" w14:paraId="7F877BFF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B3CA223" w14:textId="77777777" w:rsidR="00FB6905" w:rsidRPr="00B36CB5" w:rsidRDefault="00FB6905" w:rsidP="00FB6905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024E4EB" w14:textId="63037B72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26EDACC" w14:textId="7BC9EBF8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1CC8C44" w14:textId="090BA98C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F2DE37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6E7C5978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31AC3">
              <w:rPr>
                <w:rFonts w:eastAsia="Times New Roman" w:cs="Calibri"/>
                <w:b/>
                <w:bCs/>
                <w:color w:val="000000"/>
              </w:rPr>
              <w:t>54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3381397F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731AC3">
              <w:rPr>
                <w:rFonts w:eastAsia="Times New Roman" w:cs="Calibri"/>
                <w:b/>
                <w:bCs/>
                <w:color w:val="000000"/>
              </w:rPr>
              <w:t>18</w:t>
            </w:r>
          </w:p>
        </w:tc>
      </w:tr>
      <w:tr w:rsidR="00FB6905" w:rsidRPr="00B36CB5" w14:paraId="0541C087" w14:textId="77777777" w:rsidTr="00FB6905">
        <w:trPr>
          <w:cantSplit/>
          <w:trHeight w:val="258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14:paraId="0BACF50E" w14:textId="77777777" w:rsidR="00FB6905" w:rsidRPr="00731AC3" w:rsidRDefault="00FB6905" w:rsidP="00FB6905">
            <w:pPr>
              <w:widowControl w:val="0"/>
              <w:spacing w:after="0" w:line="240" w:lineRule="auto"/>
              <w:rPr>
                <w:rFonts w:cs="Calibri"/>
                <w:color w:val="000000"/>
                <w:highlight w:val="yellow"/>
              </w:rPr>
            </w:pPr>
            <w:r w:rsidRPr="00731AC3">
              <w:rPr>
                <w:rFonts w:cs="Calibri"/>
                <w:color w:val="000000"/>
              </w:rPr>
              <w:t>Parent or Legal Guardian, and Student (18 or older)</w:t>
            </w:r>
          </w:p>
        </w:tc>
      </w:tr>
      <w:tr w:rsidR="00FB6905" w:rsidRPr="00B36CB5" w14:paraId="19CA5B2B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83B57D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Initial flyer review or phone screener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649F6" w14:textId="645F9B52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0.08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E03C22" w14:textId="3C81BEEA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1,068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6FAF0E" w14:textId="277DCF19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86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B899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A8070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1,068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1DF199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86</w:t>
            </w:r>
          </w:p>
        </w:tc>
      </w:tr>
      <w:tr w:rsidR="00FB6905" w:rsidRPr="00B36CB5" w14:paraId="4E9C0C6F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83945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Consent form completion and return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59CBD4" w14:textId="38C42C8A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0.13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ED73F6" w14:textId="2B0697F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534*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67D15" w14:textId="31D5294A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96ADE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0.13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59122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534*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D6798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70</w:t>
            </w:r>
          </w:p>
        </w:tc>
      </w:tr>
      <w:tr w:rsidR="00FB6905" w:rsidRPr="00B36CB5" w14:paraId="04627EDA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95CC79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Confirmation to via email, letter</w:t>
            </w:r>
            <w:r>
              <w:rPr>
                <w:color w:val="000000"/>
              </w:rPr>
              <w:t>,</w:t>
            </w:r>
            <w:r w:rsidRPr="00B36CB5">
              <w:rPr>
                <w:color w:val="000000"/>
              </w:rPr>
              <w:t xml:space="preserve"> or phone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2291B" w14:textId="160058AF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0.05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7FC0E7" w14:textId="7232EC23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400*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864CA" w14:textId="7AA0CD89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F716D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0.05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F267C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400*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42C40" w14:textId="77777777" w:rsidR="00FB6905" w:rsidRPr="00731AC3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1AC3">
              <w:rPr>
                <w:rFonts w:eastAsia="Times New Roman" w:cs="Calibri"/>
                <w:color w:val="000000"/>
              </w:rPr>
              <w:t>20</w:t>
            </w:r>
          </w:p>
        </w:tc>
      </w:tr>
      <w:tr w:rsidR="00FB6905" w:rsidRPr="00B36CB5" w14:paraId="7FFC85F9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1A91E60" w14:textId="77777777" w:rsidR="00FB6905" w:rsidRPr="00B36CB5" w:rsidRDefault="00FB6905" w:rsidP="00FB6905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Sub-Total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FFF3705" w14:textId="5F46ED31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5CEE951B" w14:textId="73C874F0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1,068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7DB01ED" w14:textId="33BEAFAE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176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37E5C820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53B441A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1,068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4DB05011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176</w:t>
            </w:r>
          </w:p>
        </w:tc>
      </w:tr>
      <w:tr w:rsidR="00FB6905" w:rsidRPr="00B36CB5" w14:paraId="33285008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15AC8D95" w14:textId="77777777" w:rsidR="00FB6905" w:rsidRPr="00B36CB5" w:rsidRDefault="00FB6905" w:rsidP="00FB6905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Recruitment Totals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17C044CE" w14:textId="37DE094F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461C44BD" w14:textId="1E9AFC2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1,122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4585DF73" w14:textId="29F21E99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rFonts w:eastAsia="Times New Roman" w:cs="Calibri"/>
                <w:b/>
                <w:bCs/>
                <w:color w:val="7F7F7F" w:themeColor="text1" w:themeTint="80"/>
              </w:rPr>
              <w:t>194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3BDA21FC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3A5686E8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1,122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24823B43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194</w:t>
            </w:r>
          </w:p>
        </w:tc>
      </w:tr>
      <w:tr w:rsidR="00FB6905" w:rsidRPr="00B36CB5" w14:paraId="23AB7296" w14:textId="77777777" w:rsidTr="00FB6905">
        <w:trPr>
          <w:cantSplit/>
          <w:trHeight w:val="258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hideMark/>
          </w:tcPr>
          <w:p w14:paraId="2C9322D1" w14:textId="77777777" w:rsidR="00FB6905" w:rsidRPr="00DD67F1" w:rsidRDefault="00FB6905" w:rsidP="00FB6905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 w:rsidRPr="00DD67F1">
              <w:rPr>
                <w:rFonts w:cs="Calibri"/>
                <w:color w:val="000000"/>
              </w:rPr>
              <w:t>Participation (Tryouts)</w:t>
            </w:r>
          </w:p>
        </w:tc>
      </w:tr>
      <w:tr w:rsidR="00FB6905" w:rsidRPr="00B36CB5" w14:paraId="76057871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7A2FD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>Grade 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1463C1" w14:textId="6C5E7F15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3C486" w14:textId="6D32AAF1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70141" w14:textId="3D8252BD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7D36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630D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CB62B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</w:tr>
      <w:tr w:rsidR="00FB6905" w:rsidRPr="00B36CB5" w14:paraId="7B2B9C46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EA8BC0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8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0129A" w14:textId="420CA59E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66D38" w14:textId="2EB67E42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28DDED" w14:textId="3AAF52E9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rFonts w:eastAsia="Times New Roman" w:cs="Calibri"/>
                <w:color w:val="7F7F7F" w:themeColor="text1" w:themeTint="80"/>
              </w:rPr>
              <w:t>100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6AC1B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56DEF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759C5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100</w:t>
            </w:r>
          </w:p>
        </w:tc>
      </w:tr>
      <w:tr w:rsidR="00FB6905" w:rsidRPr="00B36CB5" w14:paraId="7010CEDF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73518" w14:textId="77777777" w:rsidR="00FB6905" w:rsidRPr="00B36CB5" w:rsidRDefault="00FB6905" w:rsidP="00FB6905">
            <w:pPr>
              <w:widowControl w:val="0"/>
              <w:spacing w:after="0" w:line="240" w:lineRule="auto"/>
              <w:rPr>
                <w:color w:val="000000"/>
              </w:rPr>
            </w:pPr>
            <w:r w:rsidRPr="00B36CB5">
              <w:rPr>
                <w:color w:val="000000"/>
              </w:rPr>
              <w:t xml:space="preserve">Grade 12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7"/>
            <w:noWrap/>
            <w:hideMark/>
          </w:tcPr>
          <w:p w14:paraId="3C5CC9BD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color w:val="7F7F7F" w:themeColor="text1" w:themeTint="8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42057" w14:textId="44D13090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color w:val="7F7F7F" w:themeColor="text1" w:themeTint="80"/>
              </w:rPr>
              <w:t>2</w:t>
            </w:r>
            <w:r w:rsidRPr="00FB6905">
              <w:rPr>
                <w:color w:val="7F7F7F" w:themeColor="text1" w:themeTint="80"/>
              </w:rPr>
              <w:t>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7"/>
            <w:noWrap/>
            <w:hideMark/>
          </w:tcPr>
          <w:p w14:paraId="6F498AC9" w14:textId="5AF65715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FB6905">
              <w:rPr>
                <w:color w:val="7F7F7F" w:themeColor="text1" w:themeTint="80"/>
              </w:rPr>
              <w:t>2</w:t>
            </w:r>
            <w:r w:rsidRPr="00FB6905">
              <w:rPr>
                <w:color w:val="7F7F7F" w:themeColor="text1" w:themeTint="80"/>
              </w:rPr>
              <w:t>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35E316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9A74AA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D67F1">
              <w:rPr>
                <w:rFonts w:eastAsia="Times New Roman" w:cs="Calibri"/>
                <w:color w:val="000000"/>
              </w:rPr>
              <w:t>200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37A90C5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FB6905" w:rsidRPr="00B36CB5" w14:paraId="0B662820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4FDD4423" w14:textId="77777777" w:rsidR="00FB6905" w:rsidRPr="00B36CB5" w:rsidRDefault="00FB6905" w:rsidP="00FB6905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Interview Totals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768BC79B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6B757DCA" w14:textId="5F8B10B8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7"/>
            <w:noWrap/>
            <w:hideMark/>
          </w:tcPr>
          <w:p w14:paraId="1567B196" w14:textId="772CF82B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4</w:t>
            </w:r>
            <w:r w:rsidRPr="00FB6905">
              <w:rPr>
                <w:b/>
                <w:bCs/>
                <w:color w:val="7F7F7F" w:themeColor="text1" w:themeTint="80"/>
              </w:rPr>
              <w:t>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46147D11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B0ECA26" w14:textId="77777777" w:rsidR="00FB6905" w:rsidRPr="00DF0381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F0381">
              <w:rPr>
                <w:b/>
                <w:bCs/>
                <w:color w:val="000000"/>
              </w:rPr>
              <w:t>400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6DC689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</w:t>
            </w:r>
            <w:r w:rsidRPr="00DD67F1">
              <w:rPr>
                <w:rFonts w:eastAsia="Times New Roman" w:cs="Calibri"/>
                <w:b/>
                <w:bCs/>
                <w:color w:val="000000"/>
              </w:rPr>
              <w:t>00</w:t>
            </w:r>
          </w:p>
        </w:tc>
      </w:tr>
      <w:tr w:rsidR="00FB6905" w:rsidRPr="00B36CB5" w14:paraId="568D6614" w14:textId="77777777" w:rsidTr="00FB6905">
        <w:trPr>
          <w:cantSplit/>
          <w:trHeight w:val="258"/>
        </w:trPr>
        <w:tc>
          <w:tcPr>
            <w:tcW w:w="1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691E097F" w14:textId="77777777" w:rsidR="00FB6905" w:rsidRPr="00B36CB5" w:rsidRDefault="00FB6905" w:rsidP="00FB6905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B36CB5">
              <w:rPr>
                <w:b/>
                <w:bCs/>
                <w:color w:val="000000"/>
              </w:rPr>
              <w:t>Total Burden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405F3DFB" w14:textId="77777777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hideMark/>
          </w:tcPr>
          <w:p w14:paraId="20D98ECB" w14:textId="1C308575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1,522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B7"/>
            <w:noWrap/>
            <w:hideMark/>
          </w:tcPr>
          <w:p w14:paraId="5547B598" w14:textId="00000E16" w:rsidR="00FB6905" w:rsidRPr="00FB6905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7F7F7F" w:themeColor="text1" w:themeTint="80"/>
              </w:rPr>
            </w:pPr>
            <w:r w:rsidRPr="00FB6905">
              <w:rPr>
                <w:b/>
                <w:bCs/>
                <w:color w:val="7F7F7F" w:themeColor="text1" w:themeTint="80"/>
              </w:rPr>
              <w:t>59</w:t>
            </w:r>
            <w:r w:rsidRPr="00FB6905">
              <w:rPr>
                <w:b/>
                <w:bCs/>
                <w:color w:val="7F7F7F" w:themeColor="text1" w:themeTint="8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</w:tcPr>
          <w:p w14:paraId="3B0E7CBC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D67F1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5D3FD15" w14:textId="77777777" w:rsidR="00FB6905" w:rsidRPr="00DF0381" w:rsidRDefault="00FB6905" w:rsidP="00FB690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DF0381">
              <w:rPr>
                <w:b/>
                <w:bCs/>
                <w:color w:val="000000"/>
              </w:rPr>
              <w:t>1,522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0A0DEBB" w14:textId="77777777" w:rsidR="00FB6905" w:rsidRPr="00DD67F1" w:rsidRDefault="00FB6905" w:rsidP="00FB6905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6</w:t>
            </w:r>
            <w:r w:rsidRPr="00DD67F1">
              <w:rPr>
                <w:rFonts w:eastAsia="Times New Roman" w:cs="Calibri"/>
                <w:b/>
                <w:bCs/>
                <w:color w:val="000000"/>
              </w:rPr>
              <w:t>94</w:t>
            </w:r>
          </w:p>
        </w:tc>
      </w:tr>
    </w:tbl>
    <w:p w14:paraId="131C9BDB" w14:textId="77777777" w:rsidR="00913D71" w:rsidRPr="00F060B9" w:rsidRDefault="00913D71" w:rsidP="00FB6905">
      <w:pPr>
        <w:widowControl w:val="0"/>
        <w:spacing w:after="0"/>
        <w:rPr>
          <w:sz w:val="20"/>
          <w:szCs w:val="20"/>
        </w:rPr>
      </w:pPr>
      <w:r w:rsidRPr="00F060B9">
        <w:rPr>
          <w:sz w:val="20"/>
          <w:szCs w:val="20"/>
        </w:rPr>
        <w:t>Note: All totals have been rounded. In addition, some totals may differ slightly from sum of subtotals, due to rounding.</w:t>
      </w:r>
    </w:p>
    <w:p w14:paraId="131C9C67" w14:textId="719BF6F7" w:rsidR="00AF0847" w:rsidRPr="00731AC3" w:rsidRDefault="00913D71" w:rsidP="00FB6905">
      <w:pPr>
        <w:widowControl w:val="0"/>
        <w:rPr>
          <w:sz w:val="20"/>
          <w:szCs w:val="20"/>
        </w:rPr>
      </w:pPr>
      <w:r w:rsidRPr="00F060B9">
        <w:rPr>
          <w:sz w:val="20"/>
          <w:szCs w:val="20"/>
        </w:rPr>
        <w:t xml:space="preserve">* Subset of initial contact group (total number of responses = </w:t>
      </w:r>
      <w:r w:rsidR="00DF0381">
        <w:rPr>
          <w:sz w:val="20"/>
          <w:szCs w:val="20"/>
        </w:rPr>
        <w:t>2,456</w:t>
      </w:r>
      <w:r w:rsidRPr="00F060B9">
        <w:rPr>
          <w:sz w:val="20"/>
          <w:szCs w:val="20"/>
        </w:rPr>
        <w:t>)</w:t>
      </w:r>
    </w:p>
    <w:sectPr w:rsidR="00AF0847" w:rsidRPr="00731AC3" w:rsidSect="00F842C9">
      <w:pgSz w:w="12240" w:h="15840" w:code="1"/>
      <w:pgMar w:top="720" w:right="720" w:bottom="36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9690D" w14:textId="77777777" w:rsidR="00ED6C4F" w:rsidRDefault="00ED6C4F" w:rsidP="00FB6905">
      <w:pPr>
        <w:spacing w:after="0" w:line="240" w:lineRule="auto"/>
      </w:pPr>
      <w:r>
        <w:separator/>
      </w:r>
    </w:p>
  </w:endnote>
  <w:endnote w:type="continuationSeparator" w:id="0">
    <w:p w14:paraId="7491D91E" w14:textId="77777777" w:rsidR="00ED6C4F" w:rsidRDefault="00ED6C4F" w:rsidP="00FB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183C7" w14:textId="77777777" w:rsidR="00ED6C4F" w:rsidRDefault="00ED6C4F" w:rsidP="00FB6905">
      <w:pPr>
        <w:spacing w:after="0" w:line="240" w:lineRule="auto"/>
      </w:pPr>
      <w:r>
        <w:separator/>
      </w:r>
    </w:p>
  </w:footnote>
  <w:footnote w:type="continuationSeparator" w:id="0">
    <w:p w14:paraId="6534B83A" w14:textId="77777777" w:rsidR="00ED6C4F" w:rsidRDefault="00ED6C4F" w:rsidP="00FB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060"/>
    <w:multiLevelType w:val="hybridMultilevel"/>
    <w:tmpl w:val="AE2C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391"/>
    <w:multiLevelType w:val="hybridMultilevel"/>
    <w:tmpl w:val="481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B4"/>
    <w:rsid w:val="000101DC"/>
    <w:rsid w:val="000336BE"/>
    <w:rsid w:val="000B1F4A"/>
    <w:rsid w:val="000B4F67"/>
    <w:rsid w:val="000B554E"/>
    <w:rsid w:val="000D279D"/>
    <w:rsid w:val="001844C4"/>
    <w:rsid w:val="001D1B0B"/>
    <w:rsid w:val="001F2C16"/>
    <w:rsid w:val="00240743"/>
    <w:rsid w:val="002502AE"/>
    <w:rsid w:val="0028119E"/>
    <w:rsid w:val="00290EBC"/>
    <w:rsid w:val="002D5764"/>
    <w:rsid w:val="00302639"/>
    <w:rsid w:val="00323566"/>
    <w:rsid w:val="00382716"/>
    <w:rsid w:val="00385263"/>
    <w:rsid w:val="00385FDC"/>
    <w:rsid w:val="003B5A24"/>
    <w:rsid w:val="003E49AE"/>
    <w:rsid w:val="00400758"/>
    <w:rsid w:val="004107B6"/>
    <w:rsid w:val="0044789E"/>
    <w:rsid w:val="004519D9"/>
    <w:rsid w:val="00454C24"/>
    <w:rsid w:val="004818A6"/>
    <w:rsid w:val="004A55EF"/>
    <w:rsid w:val="004B731B"/>
    <w:rsid w:val="004C0B22"/>
    <w:rsid w:val="004F21FB"/>
    <w:rsid w:val="00525477"/>
    <w:rsid w:val="005307B6"/>
    <w:rsid w:val="00541966"/>
    <w:rsid w:val="00551144"/>
    <w:rsid w:val="0056144E"/>
    <w:rsid w:val="0057174A"/>
    <w:rsid w:val="005963C9"/>
    <w:rsid w:val="005A576B"/>
    <w:rsid w:val="005C75B7"/>
    <w:rsid w:val="005D3D2E"/>
    <w:rsid w:val="006A66B3"/>
    <w:rsid w:val="006E0C3C"/>
    <w:rsid w:val="00731AC3"/>
    <w:rsid w:val="007C09FB"/>
    <w:rsid w:val="00801409"/>
    <w:rsid w:val="008D1C6B"/>
    <w:rsid w:val="008F5596"/>
    <w:rsid w:val="00913D71"/>
    <w:rsid w:val="00935321"/>
    <w:rsid w:val="00935D20"/>
    <w:rsid w:val="00955303"/>
    <w:rsid w:val="009659AE"/>
    <w:rsid w:val="00981B25"/>
    <w:rsid w:val="009E26B2"/>
    <w:rsid w:val="00A00BA2"/>
    <w:rsid w:val="00A066D6"/>
    <w:rsid w:val="00A403CC"/>
    <w:rsid w:val="00AD2C89"/>
    <w:rsid w:val="00AF0847"/>
    <w:rsid w:val="00B11855"/>
    <w:rsid w:val="00B37724"/>
    <w:rsid w:val="00B4231F"/>
    <w:rsid w:val="00C10D5A"/>
    <w:rsid w:val="00C61357"/>
    <w:rsid w:val="00D12586"/>
    <w:rsid w:val="00D5606F"/>
    <w:rsid w:val="00DD67F1"/>
    <w:rsid w:val="00DF0381"/>
    <w:rsid w:val="00E17019"/>
    <w:rsid w:val="00E270CF"/>
    <w:rsid w:val="00E308EC"/>
    <w:rsid w:val="00E63F58"/>
    <w:rsid w:val="00E95562"/>
    <w:rsid w:val="00EC059F"/>
    <w:rsid w:val="00ED6C4F"/>
    <w:rsid w:val="00F27443"/>
    <w:rsid w:val="00F361B4"/>
    <w:rsid w:val="00F55D64"/>
    <w:rsid w:val="00F842C9"/>
    <w:rsid w:val="00F9169B"/>
    <w:rsid w:val="00FB6905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0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C169ED2E6948AFA434DE189EC15F" ma:contentTypeVersion="1" ma:contentTypeDescription="Create a new document." ma:contentTypeScope="" ma:versionID="176c58c0cabd322c99bc650e183a5dc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a702e01ead172d0f8eb919cca63908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A922E70-057F-49EA-93A6-5A4D16EE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2CA91-16D3-4F8F-9FA3-E6B05C85B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2ABD7-FDEF-4F20-9331-3E209ED2F87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James M</dc:creator>
  <cp:keywords/>
  <dc:description/>
  <cp:lastModifiedBy>Kubzdela, Kashka</cp:lastModifiedBy>
  <cp:revision>8</cp:revision>
  <cp:lastPrinted>2015-01-22T14:02:00Z</cp:lastPrinted>
  <dcterms:created xsi:type="dcterms:W3CDTF">2016-10-27T22:24:00Z</dcterms:created>
  <dcterms:modified xsi:type="dcterms:W3CDTF">2016-11-12T16:43:00Z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0x0101000166C169ED2E6948AFA434DE189EC15F</vt:lpwstr>
  </property>
</Properties>
</file>