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FBC3B" w14:textId="77777777" w:rsidR="00A40C31" w:rsidRPr="000D1B1B" w:rsidRDefault="00A40C31" w:rsidP="00A40C31">
      <w:pPr>
        <w:pStyle w:val="C1-CtrBoldHd"/>
        <w:spacing w:after="0" w:line="240" w:lineRule="auto"/>
        <w:rPr>
          <w:rFonts w:ascii="Times New Roman" w:hAnsi="Times New Roman"/>
          <w:color w:val="auto"/>
          <w:sz w:val="24"/>
          <w:szCs w:val="24"/>
        </w:rPr>
      </w:pPr>
      <w:bookmarkStart w:id="0" w:name="_Toc177901841"/>
      <w:r>
        <w:rPr>
          <w:rFonts w:ascii="Times New Roman" w:hAnsi="Times New Roman"/>
          <w:color w:val="auto"/>
          <w:sz w:val="24"/>
          <w:szCs w:val="24"/>
        </w:rPr>
        <w:t>SUPPORTING STATEMENT B</w:t>
      </w:r>
    </w:p>
    <w:p w14:paraId="6AA4F674" w14:textId="77777777" w:rsidR="00A40C31" w:rsidRPr="000D1B1B" w:rsidRDefault="00A40C31" w:rsidP="00A40C31">
      <w:pPr>
        <w:pStyle w:val="C1-CtrBoldHd"/>
        <w:spacing w:after="0" w:line="240" w:lineRule="auto"/>
        <w:rPr>
          <w:rFonts w:ascii="Times New Roman" w:hAnsi="Times New Roman"/>
          <w:color w:val="auto"/>
          <w:sz w:val="24"/>
          <w:szCs w:val="24"/>
        </w:rPr>
      </w:pPr>
    </w:p>
    <w:p w14:paraId="558FA3DF" w14:textId="0E1B2D79" w:rsidR="00A40C31" w:rsidRPr="000D1B1B" w:rsidRDefault="00A40C31" w:rsidP="00A40C31">
      <w:pPr>
        <w:jc w:val="center"/>
        <w:rPr>
          <w:rFonts w:ascii="Times New Roman" w:hAnsi="Times New Roman"/>
          <w:b/>
          <w:bCs/>
          <w:szCs w:val="24"/>
        </w:rPr>
      </w:pPr>
      <w:r w:rsidRPr="007112B7">
        <w:rPr>
          <w:rFonts w:ascii="Times New Roman" w:hAnsi="Times New Roman"/>
          <w:b/>
          <w:bCs/>
          <w:szCs w:val="24"/>
        </w:rPr>
        <w:t>Independent Evaluation of the Systematic Alien Verification for Entitlements (SAVE) Program</w:t>
      </w:r>
      <w:r>
        <w:rPr>
          <w:rFonts w:ascii="Times New Roman" w:hAnsi="Times New Roman"/>
          <w:b/>
          <w:bCs/>
          <w:szCs w:val="24"/>
        </w:rPr>
        <w:t xml:space="preserve"> (OMB Control No.</w:t>
      </w:r>
      <w:r w:rsidRPr="000D1B1B">
        <w:rPr>
          <w:rFonts w:ascii="Times New Roman" w:hAnsi="Times New Roman"/>
          <w:b/>
          <w:bCs/>
          <w:szCs w:val="24"/>
        </w:rPr>
        <w:t xml:space="preserve"> 1615-</w:t>
      </w:r>
      <w:r w:rsidR="00AB289B">
        <w:rPr>
          <w:rFonts w:ascii="Times New Roman" w:hAnsi="Times New Roman"/>
          <w:b/>
          <w:bCs/>
          <w:szCs w:val="24"/>
        </w:rPr>
        <w:t>NEW</w:t>
      </w:r>
      <w:bookmarkStart w:id="1" w:name="_GoBack"/>
      <w:bookmarkEnd w:id="1"/>
      <w:r>
        <w:rPr>
          <w:rFonts w:ascii="Times New Roman" w:hAnsi="Times New Roman"/>
          <w:b/>
          <w:bCs/>
          <w:szCs w:val="24"/>
        </w:rPr>
        <w:t>)</w:t>
      </w:r>
    </w:p>
    <w:p w14:paraId="028E72CA" w14:textId="77777777" w:rsidR="001C7C42" w:rsidRPr="001C7C42" w:rsidRDefault="001C7C42" w:rsidP="003868AC">
      <w:pPr>
        <w:pStyle w:val="C1-CtrBoldHd"/>
        <w:spacing w:after="0" w:line="240" w:lineRule="auto"/>
        <w:rPr>
          <w:rFonts w:ascii="Times New Roman" w:hAnsi="Times New Roman"/>
          <w:color w:val="auto"/>
          <w:sz w:val="24"/>
          <w:szCs w:val="24"/>
        </w:rPr>
      </w:pPr>
    </w:p>
    <w:p w14:paraId="2DD65B84" w14:textId="77777777" w:rsidR="000C77D8" w:rsidRPr="001C7C42" w:rsidRDefault="000C77D8" w:rsidP="003868AC">
      <w:pPr>
        <w:pStyle w:val="C1-CtrBoldHd"/>
        <w:spacing w:after="0" w:line="240" w:lineRule="auto"/>
        <w:jc w:val="left"/>
        <w:rPr>
          <w:rFonts w:ascii="Times New Roman" w:hAnsi="Times New Roman"/>
          <w:color w:val="auto"/>
          <w:sz w:val="24"/>
          <w:szCs w:val="24"/>
        </w:rPr>
      </w:pPr>
    </w:p>
    <w:p w14:paraId="1381B046" w14:textId="77777777" w:rsidR="007649A9" w:rsidRPr="001C7C42" w:rsidRDefault="007649A9" w:rsidP="003868AC">
      <w:pPr>
        <w:pStyle w:val="C1-CtrBoldHd"/>
        <w:spacing w:after="0" w:line="240" w:lineRule="auto"/>
        <w:jc w:val="left"/>
        <w:rPr>
          <w:rFonts w:ascii="Times New Roman" w:hAnsi="Times New Roman"/>
          <w:color w:val="auto"/>
          <w:sz w:val="24"/>
          <w:szCs w:val="24"/>
        </w:rPr>
      </w:pPr>
      <w:r w:rsidRPr="001C7C42">
        <w:rPr>
          <w:rFonts w:ascii="Times New Roman" w:hAnsi="Times New Roman"/>
          <w:color w:val="auto"/>
          <w:sz w:val="24"/>
          <w:szCs w:val="24"/>
        </w:rPr>
        <w:t>B.</w:t>
      </w:r>
      <w:r w:rsidR="001C7C42">
        <w:rPr>
          <w:rFonts w:ascii="Times New Roman" w:hAnsi="Times New Roman"/>
          <w:color w:val="auto"/>
          <w:sz w:val="24"/>
          <w:szCs w:val="24"/>
        </w:rPr>
        <w:t xml:space="preserve">  </w:t>
      </w:r>
      <w:r w:rsidRPr="001C7C42">
        <w:rPr>
          <w:rFonts w:ascii="Times New Roman" w:hAnsi="Times New Roman"/>
          <w:color w:val="auto"/>
          <w:sz w:val="24"/>
          <w:szCs w:val="24"/>
        </w:rPr>
        <w:t>Collection of Information Employing Statistical Methods</w:t>
      </w:r>
    </w:p>
    <w:p w14:paraId="71542553" w14:textId="77777777" w:rsidR="003868AC" w:rsidRPr="001C7C42" w:rsidRDefault="003868AC" w:rsidP="003868AC">
      <w:pPr>
        <w:pStyle w:val="Heading1"/>
        <w:spacing w:line="240" w:lineRule="auto"/>
        <w:rPr>
          <w:rFonts w:ascii="Times New Roman" w:hAnsi="Times New Roman" w:cs="Times New Roman"/>
          <w:sz w:val="24"/>
          <w:szCs w:val="24"/>
        </w:rPr>
      </w:pPr>
      <w:r w:rsidRPr="001C7C42">
        <w:rPr>
          <w:rFonts w:ascii="Times New Roman" w:hAnsi="Times New Roman" w:cs="Times New Roman"/>
          <w:sz w:val="24"/>
          <w:szCs w:val="24"/>
        </w:rPr>
        <w:t>Introduction</w:t>
      </w:r>
    </w:p>
    <w:p w14:paraId="4428CE53" w14:textId="77777777" w:rsidR="0049229A" w:rsidRPr="001C7C42" w:rsidRDefault="0049229A" w:rsidP="0049229A">
      <w:pPr>
        <w:rPr>
          <w:rFonts w:ascii="Times New Roman" w:hAnsi="Times New Roman"/>
          <w:szCs w:val="24"/>
        </w:rPr>
      </w:pPr>
    </w:p>
    <w:p w14:paraId="6C8012A7" w14:textId="77777777" w:rsidR="00816624" w:rsidRPr="009969E1" w:rsidRDefault="003868AC" w:rsidP="0049229A">
      <w:pPr>
        <w:pStyle w:val="L1-FlLSp12"/>
        <w:spacing w:line="240" w:lineRule="auto"/>
        <w:rPr>
          <w:rFonts w:ascii="Times New Roman" w:hAnsi="Times New Roman"/>
          <w:szCs w:val="24"/>
        </w:rPr>
      </w:pPr>
      <w:r w:rsidRPr="009969E1">
        <w:rPr>
          <w:rFonts w:ascii="Times New Roman" w:hAnsi="Times New Roman"/>
          <w:szCs w:val="24"/>
        </w:rPr>
        <w:t xml:space="preserve">We are proposing to use statistical methods for </w:t>
      </w:r>
      <w:r w:rsidR="00932B27" w:rsidRPr="009969E1">
        <w:rPr>
          <w:rFonts w:ascii="Times New Roman" w:hAnsi="Times New Roman"/>
          <w:szCs w:val="24"/>
        </w:rPr>
        <w:t>the evaluation of Systematic Alien Verification for Entitlements (SAVE) program</w:t>
      </w:r>
      <w:r w:rsidRPr="009969E1">
        <w:rPr>
          <w:rFonts w:ascii="Times New Roman" w:hAnsi="Times New Roman"/>
          <w:szCs w:val="24"/>
        </w:rPr>
        <w:t>, as described in Sections B.1-B.3.</w:t>
      </w:r>
      <w:r w:rsidR="00FE7449" w:rsidRPr="009969E1">
        <w:rPr>
          <w:rFonts w:ascii="Times New Roman" w:hAnsi="Times New Roman"/>
          <w:szCs w:val="24"/>
        </w:rPr>
        <w:t xml:space="preserve"> Statistical methods will be used in two key components of the evaluation: </w:t>
      </w:r>
    </w:p>
    <w:p w14:paraId="08587BF8" w14:textId="77777777" w:rsidR="00816624" w:rsidRPr="009969E1" w:rsidRDefault="00816624" w:rsidP="00816624">
      <w:pPr>
        <w:pStyle w:val="L1-FlLSp12"/>
        <w:numPr>
          <w:ilvl w:val="0"/>
          <w:numId w:val="26"/>
        </w:numPr>
        <w:spacing w:line="240" w:lineRule="auto"/>
        <w:rPr>
          <w:rFonts w:ascii="Times New Roman" w:hAnsi="Times New Roman"/>
          <w:szCs w:val="24"/>
        </w:rPr>
      </w:pPr>
      <w:r w:rsidRPr="009969E1">
        <w:rPr>
          <w:rFonts w:ascii="Times New Roman" w:hAnsi="Times New Roman"/>
          <w:szCs w:val="24"/>
        </w:rPr>
        <w:t>C</w:t>
      </w:r>
      <w:r w:rsidR="00FE7449" w:rsidRPr="009969E1">
        <w:rPr>
          <w:rFonts w:ascii="Times New Roman" w:hAnsi="Times New Roman"/>
          <w:szCs w:val="24"/>
        </w:rPr>
        <w:t>onducting the Web-</w:t>
      </w:r>
      <w:r w:rsidR="003C2F76" w:rsidRPr="009969E1">
        <w:rPr>
          <w:rFonts w:ascii="Times New Roman" w:hAnsi="Times New Roman"/>
          <w:szCs w:val="24"/>
        </w:rPr>
        <w:t>b</w:t>
      </w:r>
      <w:r w:rsidR="00FE7449" w:rsidRPr="009969E1">
        <w:rPr>
          <w:rFonts w:ascii="Times New Roman" w:hAnsi="Times New Roman"/>
          <w:szCs w:val="24"/>
        </w:rPr>
        <w:t xml:space="preserve">ased SAVE </w:t>
      </w:r>
      <w:r w:rsidR="003C2F76" w:rsidRPr="009969E1">
        <w:rPr>
          <w:rFonts w:ascii="Times New Roman" w:hAnsi="Times New Roman"/>
          <w:szCs w:val="24"/>
        </w:rPr>
        <w:t>u</w:t>
      </w:r>
      <w:r w:rsidR="00FE7449" w:rsidRPr="009969E1">
        <w:rPr>
          <w:rFonts w:ascii="Times New Roman" w:hAnsi="Times New Roman"/>
          <w:szCs w:val="24"/>
        </w:rPr>
        <w:t xml:space="preserve">ser </w:t>
      </w:r>
      <w:r w:rsidR="003C2F76" w:rsidRPr="009969E1">
        <w:rPr>
          <w:rFonts w:ascii="Times New Roman" w:hAnsi="Times New Roman"/>
          <w:szCs w:val="24"/>
        </w:rPr>
        <w:t>a</w:t>
      </w:r>
      <w:r w:rsidR="00FE7449" w:rsidRPr="009969E1">
        <w:rPr>
          <w:rFonts w:ascii="Times New Roman" w:hAnsi="Times New Roman"/>
          <w:szCs w:val="24"/>
        </w:rPr>
        <w:t xml:space="preserve">gency </w:t>
      </w:r>
      <w:r w:rsidR="003C2F76" w:rsidRPr="009969E1">
        <w:rPr>
          <w:rFonts w:ascii="Times New Roman" w:hAnsi="Times New Roman"/>
          <w:szCs w:val="24"/>
        </w:rPr>
        <w:t>s</w:t>
      </w:r>
      <w:r w:rsidR="00FE7449" w:rsidRPr="009969E1">
        <w:rPr>
          <w:rFonts w:ascii="Times New Roman" w:hAnsi="Times New Roman"/>
          <w:szCs w:val="24"/>
        </w:rPr>
        <w:t>urvey</w:t>
      </w:r>
      <w:r w:rsidR="007E48FC" w:rsidRPr="009969E1">
        <w:rPr>
          <w:rFonts w:ascii="Times New Roman" w:hAnsi="Times New Roman"/>
          <w:szCs w:val="24"/>
        </w:rPr>
        <w:t xml:space="preserve"> (Web-</w:t>
      </w:r>
      <w:r w:rsidR="003C2F76" w:rsidRPr="009969E1">
        <w:rPr>
          <w:rFonts w:ascii="Times New Roman" w:hAnsi="Times New Roman"/>
          <w:szCs w:val="24"/>
        </w:rPr>
        <w:t>b</w:t>
      </w:r>
      <w:r w:rsidR="007E48FC" w:rsidRPr="009969E1">
        <w:rPr>
          <w:rFonts w:ascii="Times New Roman" w:hAnsi="Times New Roman"/>
          <w:szCs w:val="24"/>
        </w:rPr>
        <w:t xml:space="preserve">ased </w:t>
      </w:r>
      <w:r w:rsidR="003C2F76" w:rsidRPr="009969E1">
        <w:rPr>
          <w:rFonts w:ascii="Times New Roman" w:hAnsi="Times New Roman"/>
          <w:szCs w:val="24"/>
        </w:rPr>
        <w:t>s</w:t>
      </w:r>
      <w:r w:rsidR="007E48FC" w:rsidRPr="009969E1">
        <w:rPr>
          <w:rFonts w:ascii="Times New Roman" w:hAnsi="Times New Roman"/>
          <w:szCs w:val="24"/>
        </w:rPr>
        <w:t xml:space="preserve">urvey) </w:t>
      </w:r>
    </w:p>
    <w:p w14:paraId="459890C4" w14:textId="77777777" w:rsidR="003868AC" w:rsidRPr="009969E1" w:rsidRDefault="00816624" w:rsidP="00816624">
      <w:pPr>
        <w:pStyle w:val="L1-FlLSp12"/>
        <w:numPr>
          <w:ilvl w:val="0"/>
          <w:numId w:val="26"/>
        </w:numPr>
        <w:spacing w:line="240" w:lineRule="auto"/>
        <w:rPr>
          <w:rFonts w:ascii="Times New Roman" w:hAnsi="Times New Roman"/>
          <w:szCs w:val="24"/>
        </w:rPr>
      </w:pPr>
      <w:r w:rsidRPr="009969E1">
        <w:rPr>
          <w:rFonts w:ascii="Times New Roman" w:hAnsi="Times New Roman"/>
          <w:szCs w:val="24"/>
        </w:rPr>
        <w:t>D</w:t>
      </w:r>
      <w:r w:rsidR="00FE7449" w:rsidRPr="009969E1">
        <w:rPr>
          <w:rFonts w:ascii="Times New Roman" w:hAnsi="Times New Roman"/>
          <w:szCs w:val="24"/>
        </w:rPr>
        <w:t xml:space="preserve">evelopment of a sampling design </w:t>
      </w:r>
      <w:r w:rsidRPr="009969E1">
        <w:rPr>
          <w:rFonts w:ascii="Times New Roman" w:hAnsi="Times New Roman"/>
          <w:szCs w:val="24"/>
        </w:rPr>
        <w:t xml:space="preserve">for conducting user agency site visits </w:t>
      </w:r>
      <w:r w:rsidR="00FE7449" w:rsidRPr="009969E1">
        <w:rPr>
          <w:rFonts w:ascii="Times New Roman" w:hAnsi="Times New Roman"/>
          <w:szCs w:val="24"/>
        </w:rPr>
        <w:t xml:space="preserve">  </w:t>
      </w:r>
      <w:r w:rsidR="003868AC" w:rsidRPr="009969E1">
        <w:rPr>
          <w:rFonts w:ascii="Times New Roman" w:hAnsi="Times New Roman"/>
          <w:szCs w:val="24"/>
        </w:rPr>
        <w:t xml:space="preserve"> </w:t>
      </w:r>
    </w:p>
    <w:p w14:paraId="08F68779" w14:textId="77777777" w:rsidR="007649A9" w:rsidRPr="001C7C42" w:rsidRDefault="007649A9" w:rsidP="00E9712B">
      <w:pPr>
        <w:pStyle w:val="L1-FlLSp12"/>
        <w:rPr>
          <w:rFonts w:ascii="Times New Roman" w:hAnsi="Times New Roman"/>
          <w:szCs w:val="24"/>
        </w:rPr>
      </w:pPr>
    </w:p>
    <w:p w14:paraId="74B7DF62" w14:textId="77777777" w:rsidR="003868AC" w:rsidRPr="001C7C42" w:rsidRDefault="003868AC" w:rsidP="00E9712B">
      <w:pPr>
        <w:pStyle w:val="Heading2"/>
        <w:numPr>
          <w:ilvl w:val="0"/>
          <w:numId w:val="9"/>
        </w:numPr>
        <w:spacing w:after="0" w:line="240" w:lineRule="atLeast"/>
        <w:rPr>
          <w:rFonts w:ascii="Times New Roman" w:hAnsi="Times New Roman"/>
          <w:color w:val="auto"/>
          <w:sz w:val="24"/>
          <w:szCs w:val="24"/>
        </w:rPr>
      </w:pPr>
      <w:r w:rsidRPr="001C7C42">
        <w:rPr>
          <w:rFonts w:ascii="Times New Roman" w:hAnsi="Times New Roman"/>
          <w:color w:val="auto"/>
          <w:sz w:val="24"/>
          <w:szCs w:val="24"/>
        </w:rPr>
        <w:t xml:space="preserve">Respondent Universe </w:t>
      </w:r>
    </w:p>
    <w:p w14:paraId="4D0195CE" w14:textId="77777777" w:rsidR="0049229A" w:rsidRPr="001C7C42" w:rsidRDefault="0049229A" w:rsidP="00E9712B">
      <w:pPr>
        <w:pStyle w:val="L1-FlLSp12"/>
        <w:spacing w:line="240" w:lineRule="atLeast"/>
        <w:rPr>
          <w:rFonts w:ascii="Times New Roman" w:hAnsi="Times New Roman"/>
          <w:szCs w:val="24"/>
        </w:rPr>
      </w:pPr>
    </w:p>
    <w:p w14:paraId="50DCEC8E" w14:textId="77777777" w:rsidR="007E48FC" w:rsidRPr="009969E1" w:rsidRDefault="003868AC" w:rsidP="003868AC">
      <w:pPr>
        <w:pStyle w:val="L1-FlLSp12"/>
        <w:spacing w:line="240" w:lineRule="auto"/>
        <w:rPr>
          <w:rFonts w:ascii="Times New Roman" w:hAnsi="Times New Roman"/>
          <w:szCs w:val="24"/>
        </w:rPr>
      </w:pPr>
      <w:r w:rsidRPr="009969E1">
        <w:rPr>
          <w:rFonts w:ascii="Times New Roman" w:hAnsi="Times New Roman"/>
          <w:szCs w:val="24"/>
        </w:rPr>
        <w:t xml:space="preserve">The </w:t>
      </w:r>
      <w:r w:rsidR="00816624" w:rsidRPr="009969E1">
        <w:rPr>
          <w:rFonts w:ascii="Times New Roman" w:hAnsi="Times New Roman"/>
          <w:szCs w:val="24"/>
        </w:rPr>
        <w:t xml:space="preserve">SAVE program currently consists of 1,136 user agencies. Of this total, 550 user agencies are considered “active agencies”, defined as agencies that </w:t>
      </w:r>
      <w:r w:rsidR="008E3D26" w:rsidRPr="009969E1">
        <w:rPr>
          <w:rFonts w:ascii="Times New Roman" w:hAnsi="Times New Roman"/>
          <w:szCs w:val="24"/>
        </w:rPr>
        <w:t>processed</w:t>
      </w:r>
      <w:r w:rsidR="00816624" w:rsidRPr="009969E1">
        <w:rPr>
          <w:rFonts w:ascii="Times New Roman" w:hAnsi="Times New Roman"/>
          <w:szCs w:val="24"/>
        </w:rPr>
        <w:t xml:space="preserve"> at least one application </w:t>
      </w:r>
      <w:r w:rsidR="008E3D26" w:rsidRPr="009969E1">
        <w:rPr>
          <w:rFonts w:ascii="Times New Roman" w:hAnsi="Times New Roman"/>
          <w:szCs w:val="24"/>
        </w:rPr>
        <w:t>in Calendar Year 2015</w:t>
      </w:r>
      <w:r w:rsidR="00816624" w:rsidRPr="009969E1">
        <w:rPr>
          <w:rFonts w:ascii="Times New Roman" w:hAnsi="Times New Roman"/>
          <w:szCs w:val="24"/>
        </w:rPr>
        <w:t>.</w:t>
      </w:r>
      <w:r w:rsidR="008E3D26" w:rsidRPr="009969E1">
        <w:rPr>
          <w:rFonts w:ascii="Times New Roman" w:hAnsi="Times New Roman"/>
          <w:szCs w:val="24"/>
        </w:rPr>
        <w:t xml:space="preserve"> Accordingly, the respondent universe for the evaluation of the SAVE program will consist of the 550 active user agencies. </w:t>
      </w:r>
    </w:p>
    <w:p w14:paraId="466BF2EE" w14:textId="77777777" w:rsidR="007E48FC" w:rsidRPr="009969E1" w:rsidRDefault="007E48FC" w:rsidP="003868AC">
      <w:pPr>
        <w:pStyle w:val="L1-FlLSp12"/>
        <w:spacing w:line="240" w:lineRule="auto"/>
        <w:rPr>
          <w:rFonts w:ascii="Times New Roman" w:hAnsi="Times New Roman"/>
          <w:szCs w:val="24"/>
        </w:rPr>
      </w:pPr>
    </w:p>
    <w:p w14:paraId="36536B27" w14:textId="77777777" w:rsidR="00387D01" w:rsidRPr="009969E1" w:rsidRDefault="007E48FC" w:rsidP="007C08EC">
      <w:pPr>
        <w:autoSpaceDE w:val="0"/>
        <w:autoSpaceDN w:val="0"/>
        <w:adjustRightInd w:val="0"/>
        <w:spacing w:line="240" w:lineRule="auto"/>
        <w:rPr>
          <w:rFonts w:ascii="Times New Roman" w:hAnsi="Times New Roman"/>
          <w:szCs w:val="24"/>
        </w:rPr>
      </w:pPr>
      <w:r w:rsidRPr="009969E1">
        <w:rPr>
          <w:rFonts w:ascii="Times New Roman" w:hAnsi="Times New Roman"/>
          <w:szCs w:val="24"/>
        </w:rPr>
        <w:t>The Web-</w:t>
      </w:r>
      <w:r w:rsidR="003C2F76" w:rsidRPr="009969E1">
        <w:rPr>
          <w:rFonts w:ascii="Times New Roman" w:hAnsi="Times New Roman"/>
          <w:szCs w:val="24"/>
        </w:rPr>
        <w:t>b</w:t>
      </w:r>
      <w:r w:rsidRPr="009969E1">
        <w:rPr>
          <w:rFonts w:ascii="Times New Roman" w:hAnsi="Times New Roman"/>
          <w:szCs w:val="24"/>
        </w:rPr>
        <w:t xml:space="preserve">ased </w:t>
      </w:r>
      <w:r w:rsidR="003C2F76" w:rsidRPr="009969E1">
        <w:rPr>
          <w:rFonts w:ascii="Times New Roman" w:hAnsi="Times New Roman"/>
          <w:szCs w:val="24"/>
        </w:rPr>
        <w:t>s</w:t>
      </w:r>
      <w:r w:rsidRPr="009969E1">
        <w:rPr>
          <w:rFonts w:ascii="Times New Roman" w:hAnsi="Times New Roman"/>
          <w:szCs w:val="24"/>
        </w:rPr>
        <w:t xml:space="preserve">urvey will </w:t>
      </w:r>
      <w:r w:rsidR="001E5654" w:rsidRPr="009969E1">
        <w:rPr>
          <w:rFonts w:ascii="Times New Roman" w:hAnsi="Times New Roman"/>
          <w:szCs w:val="24"/>
        </w:rPr>
        <w:t xml:space="preserve">be distributed to all 550 active user agencies. </w:t>
      </w:r>
      <w:r w:rsidR="009C205C">
        <w:rPr>
          <w:rFonts w:ascii="Times New Roman" w:hAnsi="Times New Roman"/>
          <w:szCs w:val="24"/>
        </w:rPr>
        <w:t xml:space="preserve">No sampling methods </w:t>
      </w:r>
      <w:r w:rsidR="008F66ED" w:rsidRPr="009969E1">
        <w:rPr>
          <w:rFonts w:ascii="Times New Roman" w:hAnsi="Times New Roman"/>
          <w:szCs w:val="24"/>
        </w:rPr>
        <w:t>will be used in the administration of the Web-</w:t>
      </w:r>
      <w:r w:rsidR="003C2F76" w:rsidRPr="009969E1">
        <w:rPr>
          <w:rFonts w:ascii="Times New Roman" w:hAnsi="Times New Roman"/>
          <w:szCs w:val="24"/>
        </w:rPr>
        <w:t>b</w:t>
      </w:r>
      <w:r w:rsidR="008F66ED" w:rsidRPr="009969E1">
        <w:rPr>
          <w:rFonts w:ascii="Times New Roman" w:hAnsi="Times New Roman"/>
          <w:szCs w:val="24"/>
        </w:rPr>
        <w:t xml:space="preserve">ased </w:t>
      </w:r>
      <w:r w:rsidR="003C2F76" w:rsidRPr="009969E1">
        <w:rPr>
          <w:rFonts w:ascii="Times New Roman" w:hAnsi="Times New Roman"/>
          <w:szCs w:val="24"/>
        </w:rPr>
        <w:t>s</w:t>
      </w:r>
      <w:r w:rsidR="008F66ED" w:rsidRPr="009969E1">
        <w:rPr>
          <w:rFonts w:ascii="Times New Roman" w:hAnsi="Times New Roman"/>
          <w:szCs w:val="24"/>
        </w:rPr>
        <w:t>urvey, as the survey will be distributed to all 550 agencies that comprise the respondent universe of active agencies.</w:t>
      </w:r>
      <w:r w:rsidR="00387D01" w:rsidRPr="009969E1">
        <w:rPr>
          <w:rFonts w:ascii="Times New Roman" w:hAnsi="Times New Roman"/>
          <w:szCs w:val="24"/>
        </w:rPr>
        <w:t xml:space="preserve"> </w:t>
      </w:r>
      <w:r w:rsidR="008E5397" w:rsidRPr="009969E1">
        <w:rPr>
          <w:rFonts w:ascii="Times New Roman" w:hAnsi="Times New Roman"/>
          <w:szCs w:val="24"/>
        </w:rPr>
        <w:t xml:space="preserve">The Statement of Work (SOW) for the SAVE evaluation articulates a response rate of 80% </w:t>
      </w:r>
      <w:r w:rsidR="00C22386" w:rsidRPr="009969E1">
        <w:rPr>
          <w:rFonts w:ascii="Times New Roman" w:hAnsi="Times New Roman"/>
          <w:szCs w:val="24"/>
        </w:rPr>
        <w:t xml:space="preserve">among the active user agencies. </w:t>
      </w:r>
    </w:p>
    <w:p w14:paraId="39429714" w14:textId="77777777" w:rsidR="00387D01" w:rsidRPr="009969E1" w:rsidRDefault="00387D01" w:rsidP="007C08EC">
      <w:pPr>
        <w:autoSpaceDE w:val="0"/>
        <w:autoSpaceDN w:val="0"/>
        <w:adjustRightInd w:val="0"/>
        <w:spacing w:line="240" w:lineRule="auto"/>
        <w:rPr>
          <w:rFonts w:ascii="Times New Roman" w:hAnsi="Times New Roman"/>
          <w:szCs w:val="24"/>
        </w:rPr>
      </w:pPr>
    </w:p>
    <w:p w14:paraId="4AAAA0EC" w14:textId="77777777" w:rsidR="007C08EC" w:rsidRPr="009969E1" w:rsidRDefault="008F66ED" w:rsidP="007C08EC">
      <w:pPr>
        <w:autoSpaceDE w:val="0"/>
        <w:autoSpaceDN w:val="0"/>
        <w:adjustRightInd w:val="0"/>
        <w:spacing w:line="240" w:lineRule="auto"/>
        <w:rPr>
          <w:rFonts w:ascii="Times New Roman" w:hAnsi="Times New Roman"/>
          <w:szCs w:val="24"/>
        </w:rPr>
      </w:pPr>
      <w:r w:rsidRPr="009969E1">
        <w:rPr>
          <w:rFonts w:ascii="Times New Roman" w:hAnsi="Times New Roman"/>
          <w:szCs w:val="24"/>
        </w:rPr>
        <w:t xml:space="preserve">In </w:t>
      </w:r>
      <w:r w:rsidR="00C22386" w:rsidRPr="009969E1">
        <w:rPr>
          <w:rFonts w:ascii="Times New Roman" w:hAnsi="Times New Roman"/>
          <w:szCs w:val="24"/>
        </w:rPr>
        <w:t xml:space="preserve">the </w:t>
      </w:r>
      <w:r w:rsidR="00F45F0E" w:rsidRPr="009969E1">
        <w:rPr>
          <w:rFonts w:ascii="Times New Roman" w:hAnsi="Times New Roman"/>
          <w:szCs w:val="24"/>
        </w:rPr>
        <w:t xml:space="preserve">SOW </w:t>
      </w:r>
      <w:r w:rsidRPr="009969E1">
        <w:rPr>
          <w:rFonts w:ascii="Times New Roman" w:hAnsi="Times New Roman"/>
          <w:szCs w:val="24"/>
        </w:rPr>
        <w:t xml:space="preserve">for the </w:t>
      </w:r>
      <w:r w:rsidR="008E5397" w:rsidRPr="009969E1">
        <w:rPr>
          <w:rFonts w:ascii="Times New Roman" w:hAnsi="Times New Roman"/>
          <w:szCs w:val="24"/>
        </w:rPr>
        <w:t>e</w:t>
      </w:r>
      <w:r w:rsidRPr="009969E1">
        <w:rPr>
          <w:rFonts w:ascii="Times New Roman" w:hAnsi="Times New Roman"/>
          <w:szCs w:val="24"/>
        </w:rPr>
        <w:t>valuation, USCIS stated a requirement that the sample size for the site visits of active user agencies be comprised of a purposive sample of 25 to</w:t>
      </w:r>
      <w:r w:rsidR="007C08EC" w:rsidRPr="009969E1">
        <w:rPr>
          <w:rFonts w:ascii="Times New Roman" w:hAnsi="Times New Roman"/>
          <w:szCs w:val="24"/>
        </w:rPr>
        <w:t xml:space="preserve"> </w:t>
      </w:r>
      <w:r w:rsidRPr="009969E1">
        <w:rPr>
          <w:rFonts w:ascii="Times New Roman" w:hAnsi="Times New Roman"/>
          <w:szCs w:val="24"/>
        </w:rPr>
        <w:t>50 SAVE user agencies, bala</w:t>
      </w:r>
      <w:r w:rsidR="007232BA" w:rsidRPr="009969E1">
        <w:rPr>
          <w:rFonts w:ascii="Times New Roman" w:hAnsi="Times New Roman"/>
          <w:szCs w:val="24"/>
        </w:rPr>
        <w:t>nced among the following volume</w:t>
      </w:r>
      <w:r w:rsidR="00844804" w:rsidRPr="009969E1">
        <w:rPr>
          <w:rFonts w:ascii="Times New Roman" w:hAnsi="Times New Roman"/>
          <w:szCs w:val="24"/>
        </w:rPr>
        <w:t xml:space="preserve"> of </w:t>
      </w:r>
      <w:r w:rsidRPr="009969E1">
        <w:rPr>
          <w:rFonts w:ascii="Times New Roman" w:hAnsi="Times New Roman"/>
          <w:szCs w:val="24"/>
        </w:rPr>
        <w:t>use categories:</w:t>
      </w:r>
      <w:r w:rsidR="007C08EC" w:rsidRPr="009969E1">
        <w:rPr>
          <w:rFonts w:ascii="Times New Roman" w:hAnsi="Times New Roman"/>
          <w:szCs w:val="24"/>
        </w:rPr>
        <w:t xml:space="preserve"> </w:t>
      </w:r>
      <w:r w:rsidR="00387D01" w:rsidRPr="009969E1">
        <w:rPr>
          <w:rFonts w:ascii="Times New Roman" w:hAnsi="Times New Roman"/>
          <w:szCs w:val="24"/>
        </w:rPr>
        <w:t>f</w:t>
      </w:r>
      <w:r w:rsidR="007C08EC" w:rsidRPr="009969E1">
        <w:rPr>
          <w:rFonts w:ascii="Times New Roman" w:hAnsi="Times New Roman"/>
          <w:szCs w:val="24"/>
        </w:rPr>
        <w:t xml:space="preserve">ewer than 100 applications per </w:t>
      </w:r>
      <w:r w:rsidRPr="009969E1">
        <w:rPr>
          <w:rFonts w:ascii="Times New Roman" w:hAnsi="Times New Roman"/>
          <w:szCs w:val="24"/>
        </w:rPr>
        <w:t>year;</w:t>
      </w:r>
      <w:r w:rsidR="007C08EC" w:rsidRPr="009969E1">
        <w:rPr>
          <w:rFonts w:ascii="Times New Roman" w:hAnsi="Times New Roman"/>
          <w:szCs w:val="24"/>
        </w:rPr>
        <w:t xml:space="preserve"> 100 to 1,000 applications per year; and, greater than 1,000 applications per year. I</w:t>
      </w:r>
      <w:r w:rsidRPr="009969E1">
        <w:rPr>
          <w:rFonts w:ascii="Times New Roman" w:hAnsi="Times New Roman"/>
          <w:szCs w:val="24"/>
        </w:rPr>
        <w:t xml:space="preserve">n addition to </w:t>
      </w:r>
      <w:r w:rsidR="00844804" w:rsidRPr="009969E1">
        <w:rPr>
          <w:rFonts w:ascii="Times New Roman" w:hAnsi="Times New Roman"/>
          <w:szCs w:val="24"/>
        </w:rPr>
        <w:t xml:space="preserve">volume of </w:t>
      </w:r>
      <w:r w:rsidRPr="009969E1">
        <w:rPr>
          <w:rFonts w:ascii="Times New Roman" w:hAnsi="Times New Roman"/>
          <w:szCs w:val="24"/>
        </w:rPr>
        <w:t xml:space="preserve">use, </w:t>
      </w:r>
      <w:r w:rsidR="007C08EC" w:rsidRPr="009969E1">
        <w:rPr>
          <w:rFonts w:ascii="Times New Roman" w:hAnsi="Times New Roman"/>
          <w:szCs w:val="24"/>
        </w:rPr>
        <w:t xml:space="preserve">USCIS requested that </w:t>
      </w:r>
      <w:r w:rsidRPr="009969E1">
        <w:rPr>
          <w:rFonts w:ascii="Times New Roman" w:hAnsi="Times New Roman"/>
          <w:szCs w:val="24"/>
        </w:rPr>
        <w:t xml:space="preserve">the </w:t>
      </w:r>
      <w:r w:rsidR="007C08EC" w:rsidRPr="009969E1">
        <w:rPr>
          <w:rFonts w:ascii="Times New Roman" w:hAnsi="Times New Roman"/>
          <w:szCs w:val="24"/>
        </w:rPr>
        <w:t xml:space="preserve">user </w:t>
      </w:r>
      <w:r w:rsidRPr="009969E1">
        <w:rPr>
          <w:rFonts w:ascii="Times New Roman" w:hAnsi="Times New Roman"/>
          <w:szCs w:val="24"/>
        </w:rPr>
        <w:t xml:space="preserve">agencies selected for site visits </w:t>
      </w:r>
      <w:r w:rsidR="007C08EC" w:rsidRPr="009969E1">
        <w:rPr>
          <w:rFonts w:ascii="Times New Roman" w:hAnsi="Times New Roman"/>
          <w:szCs w:val="24"/>
        </w:rPr>
        <w:t xml:space="preserve">vary by geographic region, the </w:t>
      </w:r>
      <w:r w:rsidRPr="009969E1">
        <w:rPr>
          <w:rFonts w:ascii="Times New Roman" w:hAnsi="Times New Roman"/>
          <w:szCs w:val="24"/>
        </w:rPr>
        <w:t>type of technology used to access SAVE (</w:t>
      </w:r>
      <w:r w:rsidR="007664EF">
        <w:rPr>
          <w:rFonts w:ascii="Times New Roman" w:hAnsi="Times New Roman"/>
          <w:szCs w:val="24"/>
        </w:rPr>
        <w:t>web access</w:t>
      </w:r>
      <w:r w:rsidR="00E508C0">
        <w:rPr>
          <w:rFonts w:ascii="Times New Roman" w:hAnsi="Times New Roman"/>
          <w:szCs w:val="24"/>
        </w:rPr>
        <w:t xml:space="preserve"> </w:t>
      </w:r>
      <w:r w:rsidR="007664EF">
        <w:rPr>
          <w:rFonts w:ascii="Times New Roman" w:hAnsi="Times New Roman"/>
          <w:szCs w:val="24"/>
        </w:rPr>
        <w:t>or web services access</w:t>
      </w:r>
      <w:r w:rsidRPr="009969E1">
        <w:rPr>
          <w:rFonts w:ascii="Times New Roman" w:hAnsi="Times New Roman"/>
          <w:szCs w:val="24"/>
        </w:rPr>
        <w:t>)</w:t>
      </w:r>
      <w:r w:rsidR="007C08EC" w:rsidRPr="009969E1">
        <w:rPr>
          <w:rFonts w:ascii="Times New Roman" w:hAnsi="Times New Roman"/>
          <w:szCs w:val="24"/>
        </w:rPr>
        <w:t xml:space="preserve">, </w:t>
      </w:r>
      <w:r w:rsidRPr="009969E1">
        <w:rPr>
          <w:rFonts w:ascii="Times New Roman" w:hAnsi="Times New Roman"/>
          <w:szCs w:val="24"/>
        </w:rPr>
        <w:t>and the type of benefit they provide</w:t>
      </w:r>
      <w:r w:rsidR="007C08EC" w:rsidRPr="009969E1">
        <w:rPr>
          <w:rFonts w:ascii="Times New Roman" w:hAnsi="Times New Roman"/>
          <w:szCs w:val="24"/>
        </w:rPr>
        <w:t>.</w:t>
      </w:r>
      <w:r w:rsidR="00F45F0E" w:rsidRPr="009969E1">
        <w:rPr>
          <w:rFonts w:ascii="Times New Roman" w:hAnsi="Times New Roman"/>
          <w:szCs w:val="24"/>
        </w:rPr>
        <w:t xml:space="preserve"> In accordance with these requirements, </w:t>
      </w:r>
      <w:r w:rsidR="00562DB1">
        <w:rPr>
          <w:rFonts w:ascii="Times New Roman" w:hAnsi="Times New Roman"/>
          <w:szCs w:val="24"/>
        </w:rPr>
        <w:t>the evaluation contractor</w:t>
      </w:r>
      <w:r w:rsidR="00562DB1" w:rsidRPr="009969E1">
        <w:rPr>
          <w:rFonts w:ascii="Times New Roman" w:hAnsi="Times New Roman"/>
          <w:szCs w:val="24"/>
        </w:rPr>
        <w:t xml:space="preserve"> </w:t>
      </w:r>
      <w:r w:rsidR="00F45F0E" w:rsidRPr="009969E1">
        <w:rPr>
          <w:rFonts w:ascii="Times New Roman" w:hAnsi="Times New Roman"/>
          <w:szCs w:val="24"/>
        </w:rPr>
        <w:t xml:space="preserve">has utilized a stratified, purposive sample </w:t>
      </w:r>
      <w:r w:rsidR="00E508C0">
        <w:rPr>
          <w:rFonts w:ascii="Times New Roman" w:hAnsi="Times New Roman"/>
          <w:szCs w:val="24"/>
        </w:rPr>
        <w:t>of 40 user agencies that</w:t>
      </w:r>
      <w:r w:rsidR="00F45F0E" w:rsidRPr="009969E1">
        <w:rPr>
          <w:rFonts w:ascii="Times New Roman" w:hAnsi="Times New Roman"/>
          <w:szCs w:val="24"/>
        </w:rPr>
        <w:t xml:space="preserve"> aligns with the </w:t>
      </w:r>
      <w:r w:rsidR="007232BA" w:rsidRPr="009969E1">
        <w:rPr>
          <w:rFonts w:ascii="Times New Roman" w:hAnsi="Times New Roman"/>
          <w:szCs w:val="24"/>
        </w:rPr>
        <w:t>SOW’s</w:t>
      </w:r>
      <w:r w:rsidR="00F45F0E" w:rsidRPr="009969E1">
        <w:rPr>
          <w:rFonts w:ascii="Times New Roman" w:hAnsi="Times New Roman"/>
          <w:szCs w:val="24"/>
        </w:rPr>
        <w:t xml:space="preserve"> recommendation that the sample size be between </w:t>
      </w:r>
      <w:r w:rsidR="00C95BBE" w:rsidRPr="009969E1">
        <w:rPr>
          <w:rFonts w:ascii="Times New Roman" w:hAnsi="Times New Roman"/>
          <w:szCs w:val="24"/>
        </w:rPr>
        <w:t>25</w:t>
      </w:r>
      <w:r w:rsidR="00F45F0E" w:rsidRPr="009969E1">
        <w:rPr>
          <w:rFonts w:ascii="Times New Roman" w:hAnsi="Times New Roman"/>
          <w:szCs w:val="24"/>
        </w:rPr>
        <w:t xml:space="preserve"> and 50 agencies, while also capturing the major variations within the population and allowing for rigorous qualitative research. This non-</w:t>
      </w:r>
      <w:proofErr w:type="gramStart"/>
      <w:r w:rsidR="00F45F0E" w:rsidRPr="009969E1">
        <w:rPr>
          <w:rFonts w:ascii="Times New Roman" w:hAnsi="Times New Roman"/>
          <w:szCs w:val="24"/>
        </w:rPr>
        <w:t>probability-based</w:t>
      </w:r>
      <w:proofErr w:type="gramEnd"/>
      <w:r w:rsidR="00F45F0E" w:rsidRPr="009969E1">
        <w:rPr>
          <w:rFonts w:ascii="Times New Roman" w:hAnsi="Times New Roman"/>
          <w:szCs w:val="24"/>
        </w:rPr>
        <w:t xml:space="preserve"> </w:t>
      </w:r>
      <w:r w:rsidR="00387D01" w:rsidRPr="009969E1">
        <w:rPr>
          <w:rFonts w:ascii="Times New Roman" w:hAnsi="Times New Roman"/>
          <w:szCs w:val="24"/>
        </w:rPr>
        <w:t xml:space="preserve">purposive </w:t>
      </w:r>
      <w:r w:rsidR="00F45F0E" w:rsidRPr="009969E1">
        <w:rPr>
          <w:rFonts w:ascii="Times New Roman" w:hAnsi="Times New Roman"/>
          <w:szCs w:val="24"/>
        </w:rPr>
        <w:t xml:space="preserve">sample </w:t>
      </w:r>
      <w:r w:rsidR="00387D01" w:rsidRPr="009969E1">
        <w:rPr>
          <w:rFonts w:ascii="Times New Roman" w:hAnsi="Times New Roman"/>
          <w:szCs w:val="24"/>
        </w:rPr>
        <w:t xml:space="preserve">will utilize stratification methods to help capture the diversity among user agencies. </w:t>
      </w:r>
      <w:r w:rsidR="00C95BBE" w:rsidRPr="009969E1">
        <w:rPr>
          <w:rFonts w:ascii="Times New Roman" w:hAnsi="Times New Roman"/>
          <w:szCs w:val="24"/>
        </w:rPr>
        <w:t xml:space="preserve">The 40 SAVE user agencies represented within the sample will be visited by </w:t>
      </w:r>
      <w:r w:rsidR="00562DB1">
        <w:rPr>
          <w:rFonts w:ascii="Times New Roman" w:hAnsi="Times New Roman"/>
          <w:szCs w:val="24"/>
        </w:rPr>
        <w:t>the evaluation contractor</w:t>
      </w:r>
      <w:r w:rsidR="009A2890">
        <w:rPr>
          <w:rFonts w:ascii="Times New Roman" w:hAnsi="Times New Roman"/>
          <w:szCs w:val="24"/>
        </w:rPr>
        <w:t>. The one-day s</w:t>
      </w:r>
      <w:r w:rsidR="00C95BBE" w:rsidRPr="009969E1">
        <w:rPr>
          <w:rFonts w:ascii="Times New Roman" w:hAnsi="Times New Roman"/>
          <w:szCs w:val="24"/>
        </w:rPr>
        <w:t>ite visits focus on obtaining an improved understanding of the implementation and the use of SAVE within user agencies.</w:t>
      </w:r>
      <w:r w:rsidR="00267995">
        <w:rPr>
          <w:rFonts w:ascii="Times New Roman" w:hAnsi="Times New Roman"/>
          <w:szCs w:val="24"/>
        </w:rPr>
        <w:t xml:space="preserve"> </w:t>
      </w:r>
      <w:r w:rsidR="007B0779">
        <w:rPr>
          <w:rFonts w:ascii="Times New Roman" w:hAnsi="Times New Roman"/>
          <w:szCs w:val="24"/>
        </w:rPr>
        <w:t>Along with the Web-based survey, t</w:t>
      </w:r>
      <w:r w:rsidR="00267995">
        <w:rPr>
          <w:rFonts w:ascii="Times New Roman" w:hAnsi="Times New Roman"/>
          <w:szCs w:val="24"/>
        </w:rPr>
        <w:t xml:space="preserve">hese </w:t>
      </w:r>
      <w:r w:rsidR="007B0779">
        <w:rPr>
          <w:rFonts w:ascii="Times New Roman" w:hAnsi="Times New Roman"/>
          <w:szCs w:val="24"/>
        </w:rPr>
        <w:t xml:space="preserve">one-day </w:t>
      </w:r>
      <w:r w:rsidR="00267995">
        <w:rPr>
          <w:rFonts w:ascii="Times New Roman" w:hAnsi="Times New Roman"/>
          <w:szCs w:val="24"/>
        </w:rPr>
        <w:t xml:space="preserve">site visits will comprise the </w:t>
      </w:r>
      <w:r w:rsidR="007B0779">
        <w:rPr>
          <w:rFonts w:ascii="Times New Roman" w:hAnsi="Times New Roman"/>
          <w:szCs w:val="24"/>
        </w:rPr>
        <w:t>majority of data collection</w:t>
      </w:r>
      <w:r w:rsidR="004C469F">
        <w:rPr>
          <w:rFonts w:ascii="Times New Roman" w:hAnsi="Times New Roman"/>
          <w:szCs w:val="24"/>
        </w:rPr>
        <w:t>.</w:t>
      </w:r>
    </w:p>
    <w:p w14:paraId="0EEC6297" w14:textId="77777777" w:rsidR="0061301E" w:rsidRPr="001C7C42" w:rsidRDefault="0061301E">
      <w:pPr>
        <w:spacing w:line="240" w:lineRule="auto"/>
        <w:rPr>
          <w:rFonts w:ascii="Times New Roman" w:hAnsi="Times New Roman"/>
          <w:b/>
          <w:szCs w:val="24"/>
        </w:rPr>
      </w:pPr>
    </w:p>
    <w:p w14:paraId="1D8F0111" w14:textId="77777777" w:rsidR="003868AC" w:rsidRPr="001C7C42" w:rsidRDefault="00A56893" w:rsidP="00094289">
      <w:pPr>
        <w:pStyle w:val="Heading2"/>
        <w:spacing w:after="0" w:line="240" w:lineRule="auto"/>
        <w:rPr>
          <w:rFonts w:ascii="Times New Roman" w:hAnsi="Times New Roman"/>
          <w:color w:val="auto"/>
          <w:sz w:val="24"/>
          <w:szCs w:val="24"/>
        </w:rPr>
      </w:pPr>
      <w:r w:rsidRPr="001C7C42">
        <w:rPr>
          <w:rFonts w:ascii="Times New Roman" w:hAnsi="Times New Roman"/>
          <w:color w:val="auto"/>
          <w:sz w:val="24"/>
          <w:szCs w:val="24"/>
        </w:rPr>
        <w:lastRenderedPageBreak/>
        <w:t xml:space="preserve">1.1   </w:t>
      </w:r>
      <w:r w:rsidR="003868AC" w:rsidRPr="001C7C42">
        <w:rPr>
          <w:rFonts w:ascii="Times New Roman" w:hAnsi="Times New Roman"/>
          <w:color w:val="auto"/>
          <w:sz w:val="24"/>
          <w:szCs w:val="24"/>
        </w:rPr>
        <w:t>Sampling Frame</w:t>
      </w:r>
    </w:p>
    <w:p w14:paraId="1228A439" w14:textId="77777777" w:rsidR="0049229A" w:rsidRPr="001C7C42" w:rsidRDefault="0049229A" w:rsidP="0049229A">
      <w:pPr>
        <w:pStyle w:val="L1-FlLSp12"/>
        <w:rPr>
          <w:rFonts w:ascii="Times New Roman" w:hAnsi="Times New Roman"/>
          <w:szCs w:val="24"/>
        </w:rPr>
      </w:pPr>
    </w:p>
    <w:p w14:paraId="3C30D747" w14:textId="77777777" w:rsidR="00A4618D" w:rsidRDefault="00A4618D" w:rsidP="007B77E8">
      <w:pPr>
        <w:pStyle w:val="L1-FlLSp12"/>
        <w:spacing w:line="240" w:lineRule="auto"/>
        <w:rPr>
          <w:rFonts w:ascii="Times New Roman" w:hAnsi="Times New Roman"/>
          <w:szCs w:val="24"/>
        </w:rPr>
      </w:pPr>
      <w:r>
        <w:rPr>
          <w:rFonts w:ascii="Times New Roman" w:hAnsi="Times New Roman"/>
          <w:szCs w:val="24"/>
        </w:rPr>
        <w:t>A sampling frame for the Web s</w:t>
      </w:r>
      <w:r w:rsidR="00CC2BBC">
        <w:rPr>
          <w:rFonts w:ascii="Times New Roman" w:hAnsi="Times New Roman"/>
          <w:szCs w:val="24"/>
        </w:rPr>
        <w:t xml:space="preserve">urvey will not be utilized, as the survey will be distributed to all 550 active user agencies. </w:t>
      </w:r>
    </w:p>
    <w:p w14:paraId="38BF9DF4" w14:textId="77777777" w:rsidR="00A4618D" w:rsidRDefault="00A4618D" w:rsidP="00E9712B">
      <w:pPr>
        <w:pStyle w:val="L1-FlLSp12"/>
        <w:spacing w:line="240" w:lineRule="atLeast"/>
        <w:rPr>
          <w:rFonts w:ascii="Times New Roman" w:hAnsi="Times New Roman"/>
          <w:szCs w:val="24"/>
        </w:rPr>
      </w:pPr>
    </w:p>
    <w:p w14:paraId="2A1B6758" w14:textId="2431932F" w:rsidR="007B77E8" w:rsidRPr="007B77E8" w:rsidRDefault="00D327E3" w:rsidP="00D947C5">
      <w:pPr>
        <w:pStyle w:val="L1-FlLSp12"/>
        <w:spacing w:line="240" w:lineRule="auto"/>
        <w:rPr>
          <w:rFonts w:ascii="Times New Roman" w:hAnsi="Times New Roman"/>
          <w:szCs w:val="24"/>
        </w:rPr>
      </w:pPr>
      <w:r>
        <w:rPr>
          <w:rFonts w:ascii="Times New Roman" w:hAnsi="Times New Roman"/>
          <w:szCs w:val="24"/>
        </w:rPr>
        <w:t xml:space="preserve">The sampling frame for the site visits will consist of all 550 active user agencies. </w:t>
      </w:r>
      <w:r w:rsidR="00C1377C">
        <w:rPr>
          <w:rFonts w:ascii="Times New Roman" w:hAnsi="Times New Roman"/>
          <w:szCs w:val="24"/>
        </w:rPr>
        <w:t xml:space="preserve">The SAVE program provided </w:t>
      </w:r>
      <w:r w:rsidR="007B77E8" w:rsidRPr="007B77E8">
        <w:rPr>
          <w:rFonts w:ascii="Times New Roman" w:hAnsi="Times New Roman"/>
          <w:szCs w:val="24"/>
        </w:rPr>
        <w:t xml:space="preserve">a full list of the 550 active SAVE user agencies </w:t>
      </w:r>
      <w:r w:rsidR="00C1377C">
        <w:rPr>
          <w:rFonts w:ascii="Times New Roman" w:hAnsi="Times New Roman"/>
          <w:szCs w:val="24"/>
        </w:rPr>
        <w:t xml:space="preserve">along with an array </w:t>
      </w:r>
      <w:r w:rsidR="007B77E8" w:rsidRPr="007B77E8">
        <w:rPr>
          <w:rFonts w:ascii="Times New Roman" w:hAnsi="Times New Roman"/>
          <w:szCs w:val="24"/>
        </w:rPr>
        <w:t xml:space="preserve">of </w:t>
      </w:r>
      <w:r w:rsidR="00556852">
        <w:rPr>
          <w:rFonts w:ascii="Times New Roman" w:hAnsi="Times New Roman"/>
          <w:szCs w:val="24"/>
        </w:rPr>
        <w:t>nine</w:t>
      </w:r>
      <w:r w:rsidR="00556852" w:rsidRPr="007B77E8">
        <w:rPr>
          <w:rFonts w:ascii="Times New Roman" w:hAnsi="Times New Roman"/>
          <w:szCs w:val="24"/>
        </w:rPr>
        <w:t xml:space="preserve"> </w:t>
      </w:r>
      <w:r w:rsidR="007B77E8" w:rsidRPr="007B77E8">
        <w:rPr>
          <w:rFonts w:ascii="Times New Roman" w:hAnsi="Times New Roman"/>
          <w:szCs w:val="24"/>
        </w:rPr>
        <w:t>variables for each user agency in the list. These variables provide</w:t>
      </w:r>
      <w:r w:rsidR="00C1377C">
        <w:rPr>
          <w:rFonts w:ascii="Times New Roman" w:hAnsi="Times New Roman"/>
          <w:szCs w:val="24"/>
        </w:rPr>
        <w:t>d</w:t>
      </w:r>
      <w:r w:rsidR="007B77E8" w:rsidRPr="007B77E8">
        <w:rPr>
          <w:rFonts w:ascii="Times New Roman" w:hAnsi="Times New Roman"/>
          <w:szCs w:val="24"/>
        </w:rPr>
        <w:t xml:space="preserve"> </w:t>
      </w:r>
      <w:r w:rsidR="00A4618D">
        <w:rPr>
          <w:rFonts w:ascii="Times New Roman" w:hAnsi="Times New Roman"/>
          <w:szCs w:val="24"/>
        </w:rPr>
        <w:t>the evaluation contractor</w:t>
      </w:r>
      <w:r w:rsidR="007B77E8" w:rsidRPr="007B77E8">
        <w:rPr>
          <w:rFonts w:ascii="Times New Roman" w:hAnsi="Times New Roman"/>
          <w:szCs w:val="24"/>
        </w:rPr>
        <w:t xml:space="preserve"> with the requisite information needed to construct the sampling strata as well as other pertinent, secondary variables that would be considered in the construction of the sample. </w:t>
      </w:r>
      <w:r w:rsidR="00416AB3">
        <w:rPr>
          <w:rFonts w:ascii="Times New Roman" w:hAnsi="Times New Roman"/>
          <w:szCs w:val="24"/>
        </w:rPr>
        <w:t>V</w:t>
      </w:r>
      <w:r w:rsidR="007B77E8" w:rsidRPr="007B77E8">
        <w:rPr>
          <w:rFonts w:ascii="Times New Roman" w:hAnsi="Times New Roman"/>
          <w:szCs w:val="24"/>
        </w:rPr>
        <w:t>ariables include</w:t>
      </w:r>
      <w:r w:rsidR="00C1377C">
        <w:rPr>
          <w:rFonts w:ascii="Times New Roman" w:hAnsi="Times New Roman"/>
          <w:szCs w:val="24"/>
        </w:rPr>
        <w:t>d</w:t>
      </w:r>
      <w:r w:rsidR="00416AB3">
        <w:rPr>
          <w:rFonts w:ascii="Times New Roman" w:hAnsi="Times New Roman"/>
          <w:szCs w:val="24"/>
        </w:rPr>
        <w:t xml:space="preserve"> were</w:t>
      </w:r>
      <w:r w:rsidR="007B77E8" w:rsidRPr="007B77E8">
        <w:rPr>
          <w:rFonts w:ascii="Times New Roman" w:hAnsi="Times New Roman"/>
          <w:szCs w:val="24"/>
        </w:rPr>
        <w:t xml:space="preserve">:     </w:t>
      </w:r>
    </w:p>
    <w:p w14:paraId="78585C4E"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User Agency Name (used to identify agencies by their formal name)</w:t>
      </w:r>
    </w:p>
    <w:p w14:paraId="70DA0528"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 xml:space="preserve">User Agency ID (serves as a unique identifier) </w:t>
      </w:r>
    </w:p>
    <w:p w14:paraId="7704D43A"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HLQ Group Name (used to identify agencies by type)</w:t>
      </w:r>
    </w:p>
    <w:p w14:paraId="0F4EA94A" w14:textId="77777777" w:rsidR="007B77E8" w:rsidRPr="007B77E8" w:rsidRDefault="00844804" w:rsidP="003C2755">
      <w:pPr>
        <w:pStyle w:val="L1-FlLSp12"/>
        <w:numPr>
          <w:ilvl w:val="0"/>
          <w:numId w:val="27"/>
        </w:numPr>
        <w:spacing w:before="120" w:line="240" w:lineRule="auto"/>
        <w:rPr>
          <w:rFonts w:ascii="Times New Roman" w:hAnsi="Times New Roman"/>
          <w:szCs w:val="24"/>
        </w:rPr>
      </w:pPr>
      <w:r>
        <w:rPr>
          <w:rFonts w:ascii="Times New Roman" w:hAnsi="Times New Roman"/>
          <w:szCs w:val="24"/>
        </w:rPr>
        <w:t xml:space="preserve">User Agency’s Annual Volume of </w:t>
      </w:r>
      <w:r w:rsidR="007B77E8" w:rsidRPr="007B77E8">
        <w:rPr>
          <w:rFonts w:ascii="Times New Roman" w:hAnsi="Times New Roman"/>
          <w:szCs w:val="24"/>
        </w:rPr>
        <w:t>Use (i.e., number of initial verifications) in CY2015 (</w:t>
      </w:r>
      <w:r w:rsidR="007B77E8" w:rsidRPr="007B77E8">
        <w:rPr>
          <w:rFonts w:ascii="Times New Roman" w:hAnsi="Times New Roman"/>
          <w:i/>
          <w:szCs w:val="24"/>
        </w:rPr>
        <w:t>Requested Categories:</w:t>
      </w:r>
      <w:r w:rsidR="007B77E8" w:rsidRPr="007B77E8">
        <w:rPr>
          <w:rFonts w:ascii="Times New Roman" w:hAnsi="Times New Roman"/>
          <w:szCs w:val="24"/>
        </w:rPr>
        <w:t xml:space="preserve"> Fewer than 100 Cases, 100-1,000 Cases, Greater than 1,000 Cases)</w:t>
      </w:r>
    </w:p>
    <w:p w14:paraId="57C124DE"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User Agency Type (</w:t>
      </w:r>
      <w:r w:rsidRPr="007B77E8">
        <w:rPr>
          <w:rFonts w:ascii="Times New Roman" w:hAnsi="Times New Roman"/>
          <w:i/>
          <w:szCs w:val="24"/>
        </w:rPr>
        <w:t>Requested Categories:</w:t>
      </w:r>
      <w:r w:rsidRPr="007B77E8">
        <w:rPr>
          <w:rFonts w:ascii="Times New Roman" w:hAnsi="Times New Roman"/>
          <w:szCs w:val="24"/>
        </w:rPr>
        <w:t xml:space="preserve"> Local Government, State Government, DMV, Federal Government)</w:t>
      </w:r>
    </w:p>
    <w:p w14:paraId="27B04033"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User Agency’s State Code and Geographic Region (</w:t>
      </w:r>
      <w:r w:rsidRPr="007B77E8">
        <w:rPr>
          <w:rFonts w:ascii="Times New Roman" w:hAnsi="Times New Roman"/>
          <w:i/>
          <w:szCs w:val="24"/>
        </w:rPr>
        <w:t>Requested Categories:</w:t>
      </w:r>
      <w:r w:rsidRPr="007B77E8">
        <w:rPr>
          <w:rFonts w:ascii="Times New Roman" w:hAnsi="Times New Roman"/>
          <w:szCs w:val="24"/>
        </w:rPr>
        <w:t xml:space="preserve"> Midwest, Northeast, South, West)</w:t>
      </w:r>
    </w:p>
    <w:p w14:paraId="2F9BBF6B"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User Agency’s Benefit Category (</w:t>
      </w:r>
      <w:r w:rsidRPr="007B77E8">
        <w:rPr>
          <w:rFonts w:ascii="Times New Roman" w:hAnsi="Times New Roman"/>
          <w:i/>
          <w:szCs w:val="24"/>
        </w:rPr>
        <w:t>Requested Categories:</w:t>
      </w:r>
      <w:r w:rsidRPr="007B77E8">
        <w:rPr>
          <w:rFonts w:ascii="Times New Roman" w:hAnsi="Times New Roman"/>
          <w:szCs w:val="24"/>
        </w:rPr>
        <w:t xml:space="preserve"> Multiple Benefits, Professional/Commercial Licenses, Health &amp; Social Services, Labor, Education, Driver’s License, Badging Agencies/Background Investigation, Miscellaneous, Voter Registration, Tax Exemption, Housing)</w:t>
      </w:r>
    </w:p>
    <w:p w14:paraId="050B2C03"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User Agency’s Method of Accessing SAVE (</w:t>
      </w:r>
      <w:r w:rsidRPr="007B77E8">
        <w:rPr>
          <w:rFonts w:ascii="Times New Roman" w:hAnsi="Times New Roman"/>
          <w:i/>
          <w:szCs w:val="24"/>
        </w:rPr>
        <w:t>Requested Categories:</w:t>
      </w:r>
      <w:r w:rsidRPr="007B77E8">
        <w:rPr>
          <w:rFonts w:ascii="Times New Roman" w:hAnsi="Times New Roman"/>
          <w:szCs w:val="24"/>
        </w:rPr>
        <w:t xml:space="preserve"> Web Access</w:t>
      </w:r>
      <w:r w:rsidR="00E508C0">
        <w:rPr>
          <w:rFonts w:ascii="Times New Roman" w:hAnsi="Times New Roman"/>
          <w:szCs w:val="24"/>
        </w:rPr>
        <w:t xml:space="preserve">, </w:t>
      </w:r>
      <w:r w:rsidRPr="007B77E8">
        <w:rPr>
          <w:rFonts w:ascii="Times New Roman" w:hAnsi="Times New Roman"/>
          <w:szCs w:val="24"/>
        </w:rPr>
        <w:t>Web Service Access)</w:t>
      </w:r>
    </w:p>
    <w:p w14:paraId="18A43527" w14:textId="77777777" w:rsidR="007B77E8" w:rsidRPr="007B77E8" w:rsidRDefault="007B77E8" w:rsidP="003C2755">
      <w:pPr>
        <w:pStyle w:val="L1-FlLSp12"/>
        <w:numPr>
          <w:ilvl w:val="0"/>
          <w:numId w:val="27"/>
        </w:numPr>
        <w:spacing w:before="120" w:line="240" w:lineRule="auto"/>
        <w:rPr>
          <w:rFonts w:ascii="Times New Roman" w:hAnsi="Times New Roman"/>
          <w:szCs w:val="24"/>
        </w:rPr>
      </w:pPr>
      <w:r w:rsidRPr="007B77E8">
        <w:rPr>
          <w:rFonts w:ascii="Times New Roman" w:hAnsi="Times New Roman"/>
          <w:szCs w:val="24"/>
        </w:rPr>
        <w:t>Number of Years that the User Agency has Participated in SAVE</w:t>
      </w:r>
    </w:p>
    <w:p w14:paraId="07D3E2CC" w14:textId="77777777" w:rsidR="00091642" w:rsidRPr="001C7C42" w:rsidRDefault="00091642" w:rsidP="00E9712B">
      <w:pPr>
        <w:spacing w:line="360" w:lineRule="atLeast"/>
        <w:rPr>
          <w:rFonts w:ascii="Times New Roman" w:hAnsi="Times New Roman"/>
          <w:szCs w:val="24"/>
        </w:rPr>
      </w:pPr>
    </w:p>
    <w:p w14:paraId="66B06175" w14:textId="77777777" w:rsidR="003868AC" w:rsidRPr="001C7C42" w:rsidRDefault="002555C9" w:rsidP="00091642">
      <w:pPr>
        <w:pStyle w:val="Heading2"/>
        <w:spacing w:after="0" w:line="240" w:lineRule="auto"/>
        <w:rPr>
          <w:rFonts w:ascii="Times New Roman" w:hAnsi="Times New Roman"/>
          <w:color w:val="auto"/>
          <w:sz w:val="24"/>
          <w:szCs w:val="24"/>
        </w:rPr>
      </w:pPr>
      <w:r w:rsidRPr="001C7C42">
        <w:rPr>
          <w:rFonts w:ascii="Times New Roman" w:hAnsi="Times New Roman"/>
          <w:color w:val="auto"/>
          <w:sz w:val="24"/>
          <w:szCs w:val="24"/>
        </w:rPr>
        <w:t xml:space="preserve">1.2   </w:t>
      </w:r>
      <w:r w:rsidR="003868AC" w:rsidRPr="001C7C42">
        <w:rPr>
          <w:rFonts w:ascii="Times New Roman" w:hAnsi="Times New Roman"/>
          <w:color w:val="auto"/>
          <w:sz w:val="24"/>
          <w:szCs w:val="24"/>
        </w:rPr>
        <w:t>Sample Design and Sample Size</w:t>
      </w:r>
    </w:p>
    <w:p w14:paraId="1797ABEF" w14:textId="77777777" w:rsidR="00094289" w:rsidRPr="001C7C42" w:rsidRDefault="00094289" w:rsidP="00E9712B">
      <w:pPr>
        <w:pStyle w:val="L1-FlLSp12"/>
        <w:spacing w:line="240" w:lineRule="atLeast"/>
        <w:rPr>
          <w:rFonts w:ascii="Times New Roman" w:hAnsi="Times New Roman"/>
          <w:szCs w:val="24"/>
        </w:rPr>
      </w:pPr>
    </w:p>
    <w:p w14:paraId="30ABAEEA" w14:textId="77777777" w:rsidR="001F30D7" w:rsidRDefault="00D947C5" w:rsidP="00091642">
      <w:pPr>
        <w:pStyle w:val="L1-FlLSp12"/>
        <w:spacing w:line="240" w:lineRule="auto"/>
        <w:rPr>
          <w:rFonts w:ascii="Times New Roman" w:hAnsi="Times New Roman"/>
          <w:szCs w:val="24"/>
        </w:rPr>
      </w:pPr>
      <w:r>
        <w:rPr>
          <w:rFonts w:ascii="Times New Roman" w:hAnsi="Times New Roman"/>
          <w:szCs w:val="24"/>
        </w:rPr>
        <w:t>The Web s</w:t>
      </w:r>
      <w:r w:rsidR="00ED0174">
        <w:rPr>
          <w:rFonts w:ascii="Times New Roman" w:hAnsi="Times New Roman"/>
          <w:szCs w:val="24"/>
        </w:rPr>
        <w:t>urvey will be distributed to</w:t>
      </w:r>
      <w:r w:rsidR="00C95BBE">
        <w:rPr>
          <w:rFonts w:ascii="Times New Roman" w:hAnsi="Times New Roman"/>
          <w:szCs w:val="24"/>
        </w:rPr>
        <w:t xml:space="preserve"> the universe of active user agencies and will not require the use of a sample. </w:t>
      </w:r>
      <w:r w:rsidR="00ED0174">
        <w:rPr>
          <w:rFonts w:ascii="Times New Roman" w:hAnsi="Times New Roman"/>
          <w:szCs w:val="24"/>
        </w:rPr>
        <w:t xml:space="preserve"> </w:t>
      </w:r>
    </w:p>
    <w:p w14:paraId="45621E99" w14:textId="77777777" w:rsidR="00C95BBE" w:rsidRDefault="00C95BBE" w:rsidP="00091642">
      <w:pPr>
        <w:pStyle w:val="L1-FlLSp12"/>
        <w:spacing w:line="240" w:lineRule="auto"/>
        <w:rPr>
          <w:rFonts w:ascii="Times New Roman" w:hAnsi="Times New Roman"/>
          <w:szCs w:val="24"/>
        </w:rPr>
      </w:pPr>
    </w:p>
    <w:p w14:paraId="603CBA62" w14:textId="4AB22342" w:rsidR="00CC2F3C" w:rsidRDefault="00C95BBE" w:rsidP="00CC2F3C">
      <w:pPr>
        <w:pStyle w:val="L1-FlLSp12"/>
        <w:spacing w:line="240" w:lineRule="auto"/>
        <w:rPr>
          <w:rFonts w:ascii="Times New Roman" w:hAnsi="Times New Roman"/>
          <w:szCs w:val="24"/>
        </w:rPr>
      </w:pPr>
      <w:r>
        <w:rPr>
          <w:rFonts w:ascii="Times New Roman" w:hAnsi="Times New Roman"/>
          <w:szCs w:val="24"/>
        </w:rPr>
        <w:t>The sample for the site visits consist</w:t>
      </w:r>
      <w:r w:rsidR="00C1377C">
        <w:rPr>
          <w:rFonts w:ascii="Times New Roman" w:hAnsi="Times New Roman"/>
          <w:szCs w:val="24"/>
        </w:rPr>
        <w:t>s</w:t>
      </w:r>
      <w:r>
        <w:rPr>
          <w:rFonts w:ascii="Times New Roman" w:hAnsi="Times New Roman"/>
          <w:szCs w:val="24"/>
        </w:rPr>
        <w:t xml:space="preserve"> of a </w:t>
      </w:r>
      <w:r w:rsidRPr="00C95BBE">
        <w:rPr>
          <w:rFonts w:ascii="Times New Roman" w:hAnsi="Times New Roman"/>
          <w:szCs w:val="24"/>
        </w:rPr>
        <w:t>purposive stratified sampling design</w:t>
      </w:r>
      <w:r w:rsidR="00C1377C">
        <w:rPr>
          <w:rFonts w:ascii="Times New Roman" w:hAnsi="Times New Roman"/>
          <w:szCs w:val="24"/>
        </w:rPr>
        <w:t>ed</w:t>
      </w:r>
      <w:r w:rsidRPr="00C95BBE">
        <w:rPr>
          <w:rFonts w:ascii="Times New Roman" w:hAnsi="Times New Roman"/>
          <w:szCs w:val="24"/>
        </w:rPr>
        <w:t xml:space="preserve"> to sample 40 SAVE user agencies that are representative of the</w:t>
      </w:r>
      <w:r>
        <w:rPr>
          <w:rFonts w:ascii="Times New Roman" w:hAnsi="Times New Roman"/>
          <w:szCs w:val="24"/>
        </w:rPr>
        <w:t xml:space="preserve"> </w:t>
      </w:r>
      <w:r w:rsidR="007664EF">
        <w:rPr>
          <w:rFonts w:ascii="Times New Roman" w:hAnsi="Times New Roman"/>
          <w:szCs w:val="24"/>
        </w:rPr>
        <w:t xml:space="preserve">550 </w:t>
      </w:r>
      <w:r>
        <w:rPr>
          <w:rFonts w:ascii="Times New Roman" w:hAnsi="Times New Roman"/>
          <w:szCs w:val="24"/>
        </w:rPr>
        <w:t xml:space="preserve">active SAVE user agencies. </w:t>
      </w:r>
      <w:r w:rsidRPr="00C95BBE">
        <w:rPr>
          <w:rFonts w:ascii="Times New Roman" w:hAnsi="Times New Roman"/>
          <w:szCs w:val="24"/>
        </w:rPr>
        <w:t xml:space="preserve">The sampling </w:t>
      </w:r>
      <w:r>
        <w:rPr>
          <w:rFonts w:ascii="Times New Roman" w:hAnsi="Times New Roman"/>
          <w:szCs w:val="24"/>
        </w:rPr>
        <w:t xml:space="preserve">design </w:t>
      </w:r>
      <w:r w:rsidR="00562DB1">
        <w:rPr>
          <w:rFonts w:ascii="Times New Roman" w:hAnsi="Times New Roman"/>
          <w:szCs w:val="24"/>
        </w:rPr>
        <w:t xml:space="preserve">aligns with USCIS’ </w:t>
      </w:r>
      <w:r w:rsidR="00E508C0">
        <w:rPr>
          <w:rFonts w:ascii="Times New Roman" w:hAnsi="Times New Roman"/>
          <w:szCs w:val="24"/>
        </w:rPr>
        <w:t xml:space="preserve">SOW </w:t>
      </w:r>
      <w:r w:rsidR="00CC2F3C">
        <w:rPr>
          <w:rFonts w:ascii="Times New Roman" w:hAnsi="Times New Roman"/>
          <w:szCs w:val="24"/>
        </w:rPr>
        <w:t xml:space="preserve">and SAVE program needs </w:t>
      </w:r>
      <w:r w:rsidR="00E508C0">
        <w:rPr>
          <w:rFonts w:ascii="Times New Roman" w:hAnsi="Times New Roman"/>
          <w:szCs w:val="24"/>
        </w:rPr>
        <w:t>for the evaluation that</w:t>
      </w:r>
      <w:r w:rsidR="00562DB1" w:rsidRPr="009969E1">
        <w:rPr>
          <w:rFonts w:ascii="Times New Roman" w:hAnsi="Times New Roman"/>
          <w:szCs w:val="24"/>
        </w:rPr>
        <w:t xml:space="preserve"> </w:t>
      </w:r>
      <w:r w:rsidR="00CC2F3C">
        <w:rPr>
          <w:rFonts w:ascii="Times New Roman" w:hAnsi="Times New Roman"/>
          <w:szCs w:val="24"/>
        </w:rPr>
        <w:t xml:space="preserve">require </w:t>
      </w:r>
      <w:r w:rsidR="00562DB1" w:rsidRPr="009969E1">
        <w:rPr>
          <w:rFonts w:ascii="Times New Roman" w:hAnsi="Times New Roman"/>
          <w:szCs w:val="24"/>
        </w:rPr>
        <w:t xml:space="preserve">that the sample for the site visits of active user agencies </w:t>
      </w:r>
      <w:r w:rsidR="00CB7D97">
        <w:rPr>
          <w:rFonts w:ascii="Times New Roman" w:hAnsi="Times New Roman"/>
          <w:szCs w:val="24"/>
        </w:rPr>
        <w:t xml:space="preserve">ultimately </w:t>
      </w:r>
      <w:r w:rsidR="00562DB1" w:rsidRPr="009969E1">
        <w:rPr>
          <w:rFonts w:ascii="Times New Roman" w:hAnsi="Times New Roman"/>
          <w:szCs w:val="24"/>
        </w:rPr>
        <w:t xml:space="preserve">be comprised of </w:t>
      </w:r>
      <w:r w:rsidR="00CC2F3C">
        <w:rPr>
          <w:rFonts w:ascii="Times New Roman" w:hAnsi="Times New Roman"/>
          <w:szCs w:val="24"/>
        </w:rPr>
        <w:t xml:space="preserve"> five </w:t>
      </w:r>
      <w:r w:rsidR="000D50D5">
        <w:rPr>
          <w:rFonts w:ascii="Times New Roman" w:hAnsi="Times New Roman"/>
          <w:szCs w:val="24"/>
        </w:rPr>
        <w:t xml:space="preserve">strata </w:t>
      </w:r>
      <w:r w:rsidR="00CC2F3C">
        <w:rPr>
          <w:rFonts w:ascii="Times New Roman" w:hAnsi="Times New Roman"/>
          <w:szCs w:val="24"/>
        </w:rPr>
        <w:t>for stratifying within the sample: Agency’s Annual Volume of Use</w:t>
      </w:r>
      <w:r w:rsidR="00CC2F3C" w:rsidRPr="00C95BBE">
        <w:rPr>
          <w:rFonts w:ascii="Times New Roman" w:hAnsi="Times New Roman"/>
          <w:szCs w:val="24"/>
        </w:rPr>
        <w:t>, Agency Type, Geographic Region, Benefit Category, and Agency’s Method for Accessing SAVE.</w:t>
      </w:r>
      <w:r w:rsidR="00CC2F3C">
        <w:rPr>
          <w:rFonts w:ascii="Times New Roman" w:hAnsi="Times New Roman"/>
          <w:szCs w:val="24"/>
        </w:rPr>
        <w:t xml:space="preserve"> </w:t>
      </w:r>
    </w:p>
    <w:p w14:paraId="14C72389" w14:textId="77777777" w:rsidR="00BE2E1C" w:rsidRDefault="00BE2E1C" w:rsidP="00091642">
      <w:pPr>
        <w:pStyle w:val="L1-FlLSp12"/>
        <w:spacing w:line="240" w:lineRule="auto"/>
        <w:rPr>
          <w:rFonts w:ascii="Times New Roman" w:hAnsi="Times New Roman"/>
          <w:szCs w:val="24"/>
        </w:rPr>
      </w:pPr>
    </w:p>
    <w:p w14:paraId="19D5E2B5" w14:textId="2260D178" w:rsidR="003868AC" w:rsidRPr="001C7C42" w:rsidRDefault="00C95BBE" w:rsidP="00091642">
      <w:pPr>
        <w:pStyle w:val="L1-FlLSp12"/>
        <w:spacing w:line="240" w:lineRule="auto"/>
        <w:rPr>
          <w:rFonts w:ascii="Times New Roman" w:hAnsi="Times New Roman"/>
          <w:szCs w:val="24"/>
        </w:rPr>
      </w:pPr>
      <w:r w:rsidRPr="00C95BBE">
        <w:rPr>
          <w:rFonts w:ascii="Times New Roman" w:hAnsi="Times New Roman"/>
          <w:szCs w:val="24"/>
        </w:rPr>
        <w:lastRenderedPageBreak/>
        <w:t>Exhibit 1 provides an overview of the number and percentage of SAVE user agencies that comprise each stratum</w:t>
      </w:r>
      <w:r w:rsidR="00416AB3">
        <w:rPr>
          <w:rFonts w:ascii="Times New Roman" w:hAnsi="Times New Roman"/>
          <w:szCs w:val="24"/>
        </w:rPr>
        <w:t xml:space="preserve"> in the</w:t>
      </w:r>
      <w:r w:rsidR="00282AF0">
        <w:rPr>
          <w:rFonts w:ascii="Times New Roman" w:hAnsi="Times New Roman"/>
          <w:szCs w:val="24"/>
        </w:rPr>
        <w:t xml:space="preserve"> sample frame and </w:t>
      </w:r>
      <w:r w:rsidR="00416AB3">
        <w:rPr>
          <w:rFonts w:ascii="Times New Roman" w:hAnsi="Times New Roman"/>
          <w:szCs w:val="24"/>
        </w:rPr>
        <w:t>stratified sample</w:t>
      </w:r>
      <w:r w:rsidRPr="00C95BBE">
        <w:rPr>
          <w:rFonts w:ascii="Times New Roman" w:hAnsi="Times New Roman"/>
          <w:szCs w:val="24"/>
        </w:rPr>
        <w:t xml:space="preserve">. The second column provides the percentage of all user agencies within each stratum based on the analysis of the </w:t>
      </w:r>
      <w:r w:rsidR="00282AF0">
        <w:rPr>
          <w:rFonts w:ascii="Times New Roman" w:hAnsi="Times New Roman"/>
          <w:szCs w:val="24"/>
        </w:rPr>
        <w:t xml:space="preserve">sample frame listing all </w:t>
      </w:r>
      <w:r w:rsidRPr="00C95BBE">
        <w:rPr>
          <w:rFonts w:ascii="Times New Roman" w:hAnsi="Times New Roman"/>
          <w:szCs w:val="24"/>
        </w:rPr>
        <w:t xml:space="preserve">active SAVE </w:t>
      </w:r>
      <w:r w:rsidR="00D947C5">
        <w:rPr>
          <w:rFonts w:ascii="Times New Roman" w:hAnsi="Times New Roman"/>
          <w:szCs w:val="24"/>
        </w:rPr>
        <w:t>user agencies provided by USCIS</w:t>
      </w:r>
      <w:r w:rsidRPr="00C95BBE">
        <w:rPr>
          <w:rFonts w:ascii="Times New Roman" w:hAnsi="Times New Roman"/>
          <w:szCs w:val="24"/>
        </w:rPr>
        <w:t xml:space="preserve">. The third column provides the </w:t>
      </w:r>
      <w:r w:rsidR="00282AF0">
        <w:rPr>
          <w:rFonts w:ascii="Times New Roman" w:hAnsi="Times New Roman"/>
          <w:szCs w:val="24"/>
        </w:rPr>
        <w:t xml:space="preserve">number and percentage of active SAVE user agencies represented within each stratum based on the final sample of </w:t>
      </w:r>
      <w:r w:rsidRPr="00C95BBE">
        <w:rPr>
          <w:rFonts w:ascii="Times New Roman" w:hAnsi="Times New Roman"/>
          <w:szCs w:val="24"/>
        </w:rPr>
        <w:t>40 user agencies</w:t>
      </w:r>
    </w:p>
    <w:p w14:paraId="3D6708CE" w14:textId="77777777" w:rsidR="00AA67E5" w:rsidRDefault="00AA67E5" w:rsidP="00C228D3">
      <w:pPr>
        <w:pStyle w:val="N1-1stBullet"/>
        <w:numPr>
          <w:ilvl w:val="0"/>
          <w:numId w:val="0"/>
        </w:numPr>
        <w:spacing w:after="0" w:line="240" w:lineRule="auto"/>
        <w:rPr>
          <w:rFonts w:ascii="Times New Roman" w:hAnsi="Times New Roman"/>
          <w:b/>
          <w:szCs w:val="24"/>
        </w:rPr>
      </w:pPr>
    </w:p>
    <w:p w14:paraId="7BDA405E" w14:textId="47CBEB43" w:rsidR="00C95BBE" w:rsidRPr="00C95BBE" w:rsidRDefault="00C95BBE" w:rsidP="00C95BBE">
      <w:pPr>
        <w:autoSpaceDE w:val="0"/>
        <w:autoSpaceDN w:val="0"/>
        <w:adjustRightInd w:val="0"/>
        <w:rPr>
          <w:rFonts w:ascii="Times New Roman" w:hAnsi="Times New Roman"/>
          <w:szCs w:val="24"/>
        </w:rPr>
      </w:pPr>
      <w:r w:rsidRPr="00C95BBE">
        <w:rPr>
          <w:rFonts w:ascii="Times New Roman" w:hAnsi="Times New Roman"/>
          <w:szCs w:val="24"/>
        </w:rPr>
        <w:t>The purposive sample was developed using an iterative, multi-step process that consisted of randomly selecting user agencies to reflect, as closely as possible, the figures provided in Exhibit 1’s ‘</w:t>
      </w:r>
      <w:r w:rsidR="00282AF0">
        <w:rPr>
          <w:rFonts w:ascii="Times New Roman" w:hAnsi="Times New Roman"/>
          <w:szCs w:val="24"/>
        </w:rPr>
        <w:t xml:space="preserve">Percentage of User Agencies </w:t>
      </w:r>
      <w:r w:rsidRPr="00C95BBE">
        <w:rPr>
          <w:rFonts w:ascii="Times New Roman" w:hAnsi="Times New Roman"/>
          <w:szCs w:val="24"/>
        </w:rPr>
        <w:t xml:space="preserve">within </w:t>
      </w:r>
      <w:r w:rsidR="00282AF0">
        <w:rPr>
          <w:rFonts w:ascii="Times New Roman" w:hAnsi="Times New Roman"/>
          <w:szCs w:val="24"/>
        </w:rPr>
        <w:t xml:space="preserve">the </w:t>
      </w:r>
      <w:r w:rsidRPr="00C95BBE">
        <w:rPr>
          <w:rFonts w:ascii="Times New Roman" w:hAnsi="Times New Roman"/>
          <w:szCs w:val="24"/>
        </w:rPr>
        <w:t>Sample</w:t>
      </w:r>
      <w:r w:rsidR="00282AF0">
        <w:rPr>
          <w:rFonts w:ascii="Times New Roman" w:hAnsi="Times New Roman"/>
          <w:szCs w:val="24"/>
        </w:rPr>
        <w:t xml:space="preserve"> </w:t>
      </w:r>
      <w:r w:rsidR="00607D61">
        <w:rPr>
          <w:rFonts w:ascii="Times New Roman" w:hAnsi="Times New Roman"/>
          <w:szCs w:val="24"/>
        </w:rPr>
        <w:t>Frame</w:t>
      </w:r>
      <w:r w:rsidR="00E9712B">
        <w:rPr>
          <w:rFonts w:ascii="Times New Roman" w:hAnsi="Times New Roman"/>
          <w:szCs w:val="24"/>
        </w:rPr>
        <w:t>’</w:t>
      </w:r>
      <w:r w:rsidR="00BE2E1C">
        <w:rPr>
          <w:rFonts w:ascii="Times New Roman" w:hAnsi="Times New Roman"/>
          <w:szCs w:val="24"/>
        </w:rPr>
        <w:t xml:space="preserve"> </w:t>
      </w:r>
      <w:r w:rsidRPr="00C95BBE">
        <w:rPr>
          <w:rFonts w:ascii="Times New Roman" w:hAnsi="Times New Roman"/>
          <w:szCs w:val="24"/>
        </w:rPr>
        <w:t>column. In the first step, a random sample of 40 user agencies stratified by the ‘Benefit Category’ stratum was drawn from the sampling frame of active user agencies.</w:t>
      </w:r>
    </w:p>
    <w:p w14:paraId="7EE450A7" w14:textId="77777777" w:rsidR="00C95BBE" w:rsidRPr="00C95BBE" w:rsidRDefault="00C95BBE" w:rsidP="00C95BBE">
      <w:pPr>
        <w:rPr>
          <w:rFonts w:ascii="Times New Roman" w:hAnsi="Times New Roman"/>
          <w:szCs w:val="24"/>
        </w:rPr>
      </w:pPr>
    </w:p>
    <w:p w14:paraId="7D1E3BCA" w14:textId="1EC3BB25" w:rsidR="00C95BBE" w:rsidRPr="00C95BBE" w:rsidRDefault="00C95BBE" w:rsidP="0069727A">
      <w:pPr>
        <w:autoSpaceDE w:val="0"/>
        <w:autoSpaceDN w:val="0"/>
        <w:adjustRightInd w:val="0"/>
        <w:rPr>
          <w:rFonts w:ascii="Times New Roman" w:hAnsi="Times New Roman"/>
          <w:szCs w:val="24"/>
        </w:rPr>
      </w:pPr>
      <w:r w:rsidRPr="00C95BBE">
        <w:rPr>
          <w:rFonts w:ascii="Times New Roman" w:hAnsi="Times New Roman"/>
          <w:szCs w:val="24"/>
        </w:rPr>
        <w:t xml:space="preserve">In the </w:t>
      </w:r>
      <w:r w:rsidR="00D10F0F">
        <w:rPr>
          <w:rFonts w:ascii="Times New Roman" w:hAnsi="Times New Roman"/>
          <w:szCs w:val="24"/>
        </w:rPr>
        <w:t>second</w:t>
      </w:r>
      <w:r w:rsidRPr="00C95BBE">
        <w:rPr>
          <w:rFonts w:ascii="Times New Roman" w:hAnsi="Times New Roman"/>
          <w:szCs w:val="24"/>
        </w:rPr>
        <w:t xml:space="preserve"> step, a detailed review of the sample was conducted to ascertain the degree that the sample reflected the population of active user agencies along each of the five strata. This review allowed </w:t>
      </w:r>
      <w:r w:rsidR="00D10F0F">
        <w:rPr>
          <w:rFonts w:ascii="Times New Roman" w:hAnsi="Times New Roman"/>
          <w:szCs w:val="24"/>
        </w:rPr>
        <w:t>the evaluation contractor</w:t>
      </w:r>
      <w:r w:rsidRPr="00C95BBE">
        <w:rPr>
          <w:rFonts w:ascii="Times New Roman" w:hAnsi="Times New Roman"/>
          <w:szCs w:val="24"/>
        </w:rPr>
        <w:t xml:space="preserve"> to ascertain whether various types of agencies were under- or over-represented within the sample. In the </w:t>
      </w:r>
      <w:r w:rsidR="00D10F0F">
        <w:rPr>
          <w:rFonts w:ascii="Times New Roman" w:hAnsi="Times New Roman"/>
          <w:szCs w:val="24"/>
        </w:rPr>
        <w:t>final</w:t>
      </w:r>
      <w:r w:rsidRPr="00C95BBE">
        <w:rPr>
          <w:rFonts w:ascii="Times New Roman" w:hAnsi="Times New Roman"/>
          <w:szCs w:val="24"/>
        </w:rPr>
        <w:t xml:space="preserve"> step, smaller stratified random samples </w:t>
      </w:r>
      <w:r w:rsidR="00D10F0F">
        <w:rPr>
          <w:rFonts w:ascii="Times New Roman" w:hAnsi="Times New Roman"/>
          <w:szCs w:val="24"/>
        </w:rPr>
        <w:t xml:space="preserve">were </w:t>
      </w:r>
      <w:r w:rsidR="00D10F0F" w:rsidRPr="00C95BBE">
        <w:rPr>
          <w:rFonts w:ascii="Times New Roman" w:hAnsi="Times New Roman"/>
          <w:szCs w:val="24"/>
        </w:rPr>
        <w:t xml:space="preserve">conducted </w:t>
      </w:r>
      <w:r w:rsidRPr="00C95BBE">
        <w:rPr>
          <w:rFonts w:ascii="Times New Roman" w:hAnsi="Times New Roman"/>
          <w:szCs w:val="24"/>
        </w:rPr>
        <w:t xml:space="preserve">to replace user agencies that were over-sampled among multiple strata. This process was repeated until </w:t>
      </w:r>
      <w:r w:rsidR="00D10F0F">
        <w:rPr>
          <w:rFonts w:ascii="Times New Roman" w:hAnsi="Times New Roman"/>
          <w:szCs w:val="24"/>
        </w:rPr>
        <w:t>the evaluation contractor</w:t>
      </w:r>
      <w:r w:rsidRPr="00C95BBE">
        <w:rPr>
          <w:rFonts w:ascii="Times New Roman" w:hAnsi="Times New Roman"/>
          <w:szCs w:val="24"/>
        </w:rPr>
        <w:t xml:space="preserve"> identified a purposive stratified sample that was largely reflective of the five strata. </w:t>
      </w:r>
      <w:r w:rsidR="0069727A">
        <w:rPr>
          <w:rFonts w:ascii="Times New Roman" w:hAnsi="Times New Roman"/>
          <w:szCs w:val="24"/>
        </w:rPr>
        <w:t xml:space="preserve">The </w:t>
      </w:r>
      <w:r w:rsidR="0069727A" w:rsidRPr="00C95BBE">
        <w:rPr>
          <w:rFonts w:ascii="Times New Roman" w:hAnsi="Times New Roman"/>
          <w:szCs w:val="24"/>
        </w:rPr>
        <w:t xml:space="preserve">figures </w:t>
      </w:r>
      <w:r w:rsidR="0069727A">
        <w:rPr>
          <w:rFonts w:ascii="Times New Roman" w:hAnsi="Times New Roman"/>
          <w:szCs w:val="24"/>
        </w:rPr>
        <w:t>presented</w:t>
      </w:r>
      <w:r w:rsidR="0069727A" w:rsidRPr="00C95BBE">
        <w:rPr>
          <w:rFonts w:ascii="Times New Roman" w:hAnsi="Times New Roman"/>
          <w:szCs w:val="24"/>
        </w:rPr>
        <w:t xml:space="preserve"> in Exhibit 1’s ‘</w:t>
      </w:r>
      <w:r w:rsidR="0069727A">
        <w:rPr>
          <w:rFonts w:ascii="Times New Roman" w:hAnsi="Times New Roman"/>
          <w:szCs w:val="24"/>
        </w:rPr>
        <w:t xml:space="preserve">Number and Percentage of User Agencies </w:t>
      </w:r>
      <w:r w:rsidR="0069727A" w:rsidRPr="00C95BBE">
        <w:rPr>
          <w:rFonts w:ascii="Times New Roman" w:hAnsi="Times New Roman"/>
          <w:szCs w:val="24"/>
        </w:rPr>
        <w:t xml:space="preserve">within </w:t>
      </w:r>
      <w:r w:rsidR="0069727A">
        <w:rPr>
          <w:rFonts w:ascii="Times New Roman" w:hAnsi="Times New Roman"/>
          <w:szCs w:val="24"/>
        </w:rPr>
        <w:t>the Purposive Stratified Sample</w:t>
      </w:r>
      <w:r w:rsidR="0069727A" w:rsidRPr="00C95BBE">
        <w:rPr>
          <w:rFonts w:ascii="Times New Roman" w:hAnsi="Times New Roman"/>
          <w:szCs w:val="24"/>
        </w:rPr>
        <w:t>’ column</w:t>
      </w:r>
      <w:r w:rsidR="00BE2E1C">
        <w:rPr>
          <w:rFonts w:ascii="Times New Roman" w:hAnsi="Times New Roman"/>
          <w:szCs w:val="24"/>
        </w:rPr>
        <w:t xml:space="preserve"> depict the final sample counts and percentage of agencies within each stratum.</w:t>
      </w:r>
      <w:r w:rsidR="0069727A" w:rsidRPr="00C95BBE" w:rsidDel="0069727A">
        <w:rPr>
          <w:rFonts w:ascii="Times New Roman" w:hAnsi="Times New Roman"/>
          <w:szCs w:val="24"/>
        </w:rPr>
        <w:t xml:space="preserve"> </w:t>
      </w:r>
    </w:p>
    <w:p w14:paraId="0BE8B5B6" w14:textId="77777777" w:rsidR="00BE2E1C" w:rsidRDefault="00BE2E1C" w:rsidP="00A42F91">
      <w:pPr>
        <w:autoSpaceDE w:val="0"/>
        <w:autoSpaceDN w:val="0"/>
        <w:adjustRightInd w:val="0"/>
        <w:rPr>
          <w:rFonts w:ascii="Times New Roman" w:hAnsi="Times New Roman"/>
          <w:szCs w:val="24"/>
        </w:rPr>
      </w:pPr>
    </w:p>
    <w:p w14:paraId="798FCE5F" w14:textId="77777777" w:rsidR="00BE2E1C" w:rsidRDefault="00A42F91" w:rsidP="00A42F91">
      <w:pPr>
        <w:autoSpaceDE w:val="0"/>
        <w:autoSpaceDN w:val="0"/>
        <w:adjustRightInd w:val="0"/>
        <w:rPr>
          <w:rFonts w:ascii="Times New Roman" w:hAnsi="Times New Roman"/>
          <w:szCs w:val="24"/>
        </w:rPr>
      </w:pPr>
      <w:r w:rsidRPr="00520CAA">
        <w:rPr>
          <w:rFonts w:ascii="Times New Roman" w:hAnsi="Times New Roman"/>
          <w:szCs w:val="24"/>
        </w:rPr>
        <w:t xml:space="preserve">The </w:t>
      </w:r>
      <w:r w:rsidR="009E482E">
        <w:rPr>
          <w:rFonts w:ascii="Times New Roman" w:hAnsi="Times New Roman"/>
          <w:szCs w:val="24"/>
        </w:rPr>
        <w:t>final purposive</w:t>
      </w:r>
      <w:r w:rsidRPr="00520CAA">
        <w:rPr>
          <w:rFonts w:ascii="Times New Roman" w:hAnsi="Times New Roman"/>
          <w:szCs w:val="24"/>
        </w:rPr>
        <w:t xml:space="preserve"> sample captures the diversity among user agencies across the five sampling strata though with </w:t>
      </w:r>
      <w:r w:rsidR="00B94DF5">
        <w:rPr>
          <w:rFonts w:ascii="Times New Roman" w:hAnsi="Times New Roman"/>
          <w:szCs w:val="24"/>
        </w:rPr>
        <w:t>a few</w:t>
      </w:r>
      <w:r w:rsidRPr="00520CAA">
        <w:rPr>
          <w:rFonts w:ascii="Times New Roman" w:hAnsi="Times New Roman"/>
          <w:szCs w:val="24"/>
        </w:rPr>
        <w:t xml:space="preserve"> notable differences. </w:t>
      </w:r>
      <w:proofErr w:type="gramStart"/>
      <w:r w:rsidRPr="00520CAA">
        <w:rPr>
          <w:rFonts w:ascii="Times New Roman" w:hAnsi="Times New Roman"/>
          <w:szCs w:val="24"/>
        </w:rPr>
        <w:t>Across the agency type stratum, the sample under-samples the number of local government agencies while providing greater representation of DMVs and federal and state governm</w:t>
      </w:r>
      <w:r>
        <w:rPr>
          <w:rFonts w:ascii="Times New Roman" w:hAnsi="Times New Roman"/>
          <w:szCs w:val="24"/>
        </w:rPr>
        <w:t>ent agencies.</w:t>
      </w:r>
      <w:proofErr w:type="gramEnd"/>
      <w:r>
        <w:rPr>
          <w:rFonts w:ascii="Times New Roman" w:hAnsi="Times New Roman"/>
          <w:szCs w:val="24"/>
        </w:rPr>
        <w:t xml:space="preserve"> Within the volume of </w:t>
      </w:r>
      <w:r w:rsidRPr="00520CAA">
        <w:rPr>
          <w:rFonts w:ascii="Times New Roman" w:hAnsi="Times New Roman"/>
          <w:szCs w:val="24"/>
        </w:rPr>
        <w:t>use stratum, agencies with greater than a 1,000 cases are over-sampled in contrast to agencies with fewer than 100, and 100-1,000 cases. Agencies in the Southeast region are under</w:t>
      </w:r>
      <w:r w:rsidR="00836D9E">
        <w:rPr>
          <w:rFonts w:ascii="Times New Roman" w:hAnsi="Times New Roman"/>
          <w:szCs w:val="24"/>
        </w:rPr>
        <w:t>-</w:t>
      </w:r>
      <w:r w:rsidRPr="00520CAA">
        <w:rPr>
          <w:rFonts w:ascii="Times New Roman" w:hAnsi="Times New Roman"/>
          <w:szCs w:val="24"/>
        </w:rPr>
        <w:t>sampled while agencies in the Central, West, and Northeast regions are slightly oversampled.</w:t>
      </w:r>
    </w:p>
    <w:p w14:paraId="1CED08C0" w14:textId="77777777" w:rsidR="00BE2E1C" w:rsidRDefault="00BE2E1C" w:rsidP="00A42F91">
      <w:pPr>
        <w:autoSpaceDE w:val="0"/>
        <w:autoSpaceDN w:val="0"/>
        <w:adjustRightInd w:val="0"/>
        <w:rPr>
          <w:rFonts w:ascii="Times New Roman" w:hAnsi="Times New Roman"/>
          <w:szCs w:val="24"/>
        </w:rPr>
      </w:pPr>
    </w:p>
    <w:p w14:paraId="4C757981" w14:textId="55EF4837" w:rsidR="00C20971" w:rsidRDefault="00A42F91" w:rsidP="00A42F91">
      <w:pPr>
        <w:autoSpaceDE w:val="0"/>
        <w:autoSpaceDN w:val="0"/>
        <w:adjustRightInd w:val="0"/>
        <w:rPr>
          <w:rFonts w:ascii="Times New Roman" w:hAnsi="Times New Roman"/>
          <w:szCs w:val="24"/>
        </w:rPr>
      </w:pPr>
      <w:r w:rsidRPr="00520CAA">
        <w:rPr>
          <w:rFonts w:ascii="Times New Roman" w:hAnsi="Times New Roman"/>
          <w:szCs w:val="24"/>
        </w:rPr>
        <w:t>Across the benefit category stratum, the sample effectively captures the diversity of the types of benefits provided by user agencies. Agencies providing driver’s licenses and labor benefits are slightly oversampled while user agencies providing multiple benefits and labor benefits are slightly under</w:t>
      </w:r>
      <w:r w:rsidR="00836D9E">
        <w:rPr>
          <w:rFonts w:ascii="Times New Roman" w:hAnsi="Times New Roman"/>
          <w:szCs w:val="24"/>
        </w:rPr>
        <w:t>-</w:t>
      </w:r>
      <w:r w:rsidRPr="00520CAA">
        <w:rPr>
          <w:rFonts w:ascii="Times New Roman" w:hAnsi="Times New Roman"/>
          <w:szCs w:val="24"/>
        </w:rPr>
        <w:t xml:space="preserve">sampled. Finally, the sample oversamples the number of user agencies that utilize web service access methods while under-sampling the number of agencies that use web access methods. Despite these notable </w:t>
      </w:r>
      <w:r w:rsidR="00B94DF5">
        <w:rPr>
          <w:rFonts w:ascii="Times New Roman" w:hAnsi="Times New Roman"/>
          <w:szCs w:val="24"/>
        </w:rPr>
        <w:t>differences</w:t>
      </w:r>
      <w:r w:rsidRPr="00520CAA">
        <w:rPr>
          <w:rFonts w:ascii="Times New Roman" w:hAnsi="Times New Roman"/>
          <w:szCs w:val="24"/>
        </w:rPr>
        <w:t xml:space="preserve">, the </w:t>
      </w:r>
      <w:r>
        <w:rPr>
          <w:rFonts w:ascii="Times New Roman" w:hAnsi="Times New Roman"/>
          <w:szCs w:val="24"/>
        </w:rPr>
        <w:t xml:space="preserve">sample aligns with the </w:t>
      </w:r>
      <w:r>
        <w:rPr>
          <w:rFonts w:ascii="Times New Roman" w:hAnsi="Times New Roman"/>
          <w:sz w:val="22"/>
          <w:szCs w:val="22"/>
        </w:rPr>
        <w:t>SOW’s</w:t>
      </w:r>
      <w:r w:rsidRPr="00520CAA">
        <w:rPr>
          <w:rFonts w:ascii="Times New Roman" w:hAnsi="Times New Roman"/>
          <w:szCs w:val="24"/>
        </w:rPr>
        <w:t xml:space="preserve"> recommendation</w:t>
      </w:r>
      <w:r w:rsidR="00BC124E">
        <w:rPr>
          <w:rFonts w:ascii="Times New Roman" w:hAnsi="Times New Roman"/>
          <w:szCs w:val="24"/>
        </w:rPr>
        <w:t>s</w:t>
      </w:r>
      <w:r w:rsidRPr="00520CAA">
        <w:rPr>
          <w:rFonts w:ascii="Times New Roman" w:hAnsi="Times New Roman"/>
          <w:szCs w:val="24"/>
        </w:rPr>
        <w:t xml:space="preserve"> that the</w:t>
      </w:r>
      <w:r>
        <w:rPr>
          <w:rFonts w:ascii="Times New Roman" w:hAnsi="Times New Roman"/>
          <w:szCs w:val="24"/>
        </w:rPr>
        <w:t xml:space="preserve"> evaluation contractor construct a purposive stratified sample, consisting of</w:t>
      </w:r>
      <w:r w:rsidRPr="00520CAA">
        <w:rPr>
          <w:rFonts w:ascii="Times New Roman" w:hAnsi="Times New Roman"/>
          <w:szCs w:val="24"/>
        </w:rPr>
        <w:t xml:space="preserve"> 30 </w:t>
      </w:r>
      <w:r>
        <w:rPr>
          <w:rFonts w:ascii="Times New Roman" w:hAnsi="Times New Roman"/>
          <w:szCs w:val="24"/>
        </w:rPr>
        <w:t>to</w:t>
      </w:r>
      <w:r w:rsidRPr="00520CAA">
        <w:rPr>
          <w:rFonts w:ascii="Times New Roman" w:hAnsi="Times New Roman"/>
          <w:szCs w:val="24"/>
        </w:rPr>
        <w:t xml:space="preserve"> 50 </w:t>
      </w:r>
      <w:r>
        <w:rPr>
          <w:rFonts w:ascii="Times New Roman" w:hAnsi="Times New Roman"/>
          <w:szCs w:val="24"/>
        </w:rPr>
        <w:t xml:space="preserve">user </w:t>
      </w:r>
      <w:r w:rsidRPr="00520CAA">
        <w:rPr>
          <w:rFonts w:ascii="Times New Roman" w:hAnsi="Times New Roman"/>
          <w:szCs w:val="24"/>
        </w:rPr>
        <w:t xml:space="preserve">agencies, </w:t>
      </w:r>
      <w:r>
        <w:rPr>
          <w:rFonts w:ascii="Times New Roman" w:hAnsi="Times New Roman"/>
          <w:szCs w:val="24"/>
        </w:rPr>
        <w:t>while also capturing</w:t>
      </w:r>
      <w:r w:rsidRPr="00520CAA">
        <w:rPr>
          <w:rFonts w:ascii="Times New Roman" w:hAnsi="Times New Roman"/>
          <w:szCs w:val="24"/>
        </w:rPr>
        <w:t xml:space="preserve"> major variations within the population and allowing for rigorous qualitative research.</w:t>
      </w:r>
    </w:p>
    <w:p w14:paraId="51C315D7" w14:textId="77777777" w:rsidR="009C193E" w:rsidRDefault="009C193E" w:rsidP="00A42F91">
      <w:pPr>
        <w:autoSpaceDE w:val="0"/>
        <w:autoSpaceDN w:val="0"/>
        <w:adjustRightInd w:val="0"/>
        <w:rPr>
          <w:rFonts w:ascii="Times New Roman" w:hAnsi="Times New Roman"/>
          <w:szCs w:val="24"/>
        </w:rPr>
      </w:pPr>
    </w:p>
    <w:p w14:paraId="4429B9FD" w14:textId="77777777" w:rsidR="00BE2E1C" w:rsidRDefault="00BE2E1C">
      <w:pPr>
        <w:spacing w:line="240" w:lineRule="auto"/>
        <w:rPr>
          <w:rFonts w:ascii="Times New Roman" w:hAnsi="Times New Roman"/>
          <w:b/>
          <w:szCs w:val="24"/>
        </w:rPr>
      </w:pPr>
      <w:r>
        <w:rPr>
          <w:rFonts w:ascii="Times New Roman" w:hAnsi="Times New Roman"/>
          <w:b/>
          <w:szCs w:val="24"/>
        </w:rPr>
        <w:br w:type="page"/>
      </w:r>
    </w:p>
    <w:p w14:paraId="0FD0F36F" w14:textId="77777777" w:rsidR="00BC124E" w:rsidRDefault="00BC124E" w:rsidP="004509B7">
      <w:pPr>
        <w:spacing w:after="200" w:line="240" w:lineRule="auto"/>
        <w:jc w:val="center"/>
        <w:rPr>
          <w:rFonts w:ascii="Times New Roman" w:hAnsi="Times New Roman"/>
          <w:b/>
          <w:szCs w:val="24"/>
        </w:rPr>
      </w:pPr>
    </w:p>
    <w:p w14:paraId="5E17989A" w14:textId="77777777" w:rsidR="009C193E" w:rsidRPr="00D947C5" w:rsidRDefault="009C193E" w:rsidP="004509B7">
      <w:pPr>
        <w:spacing w:after="200" w:line="240" w:lineRule="auto"/>
        <w:jc w:val="center"/>
        <w:rPr>
          <w:rFonts w:ascii="Times New Roman" w:hAnsi="Times New Roman"/>
          <w:b/>
          <w:szCs w:val="24"/>
        </w:rPr>
      </w:pPr>
      <w:proofErr w:type="gramStart"/>
      <w:r w:rsidRPr="00D947C5">
        <w:rPr>
          <w:rFonts w:ascii="Times New Roman" w:hAnsi="Times New Roman"/>
          <w:b/>
          <w:szCs w:val="24"/>
        </w:rPr>
        <w:t>Exhibit 1.</w:t>
      </w:r>
      <w:proofErr w:type="gramEnd"/>
      <w:r w:rsidRPr="00D947C5">
        <w:rPr>
          <w:rFonts w:ascii="Times New Roman" w:hAnsi="Times New Roman"/>
          <w:b/>
          <w:szCs w:val="24"/>
        </w:rPr>
        <w:t xml:space="preserve"> </w:t>
      </w:r>
      <w:r w:rsidRPr="00750C3D">
        <w:rPr>
          <w:rFonts w:ascii="Times New Roman" w:hAnsi="Times New Roman"/>
          <w:b/>
          <w:bCs/>
          <w:color w:val="000000"/>
          <w:szCs w:val="24"/>
        </w:rPr>
        <w:t>Overview of the Stratified Purposive Sample of SAVE User Agencies</w:t>
      </w:r>
      <w:r>
        <w:rPr>
          <w:rFonts w:ascii="Times New Roman" w:hAnsi="Times New Roman"/>
          <w:b/>
          <w:bCs/>
          <w:color w:val="000000"/>
          <w:szCs w:val="24"/>
        </w:rPr>
        <w:t xml:space="preserve"> by Stratum</w:t>
      </w:r>
    </w:p>
    <w:tbl>
      <w:tblPr>
        <w:tblW w:w="9270" w:type="dxa"/>
        <w:jc w:val="center"/>
        <w:tblLook w:val="04A0" w:firstRow="1" w:lastRow="0" w:firstColumn="1" w:lastColumn="0" w:noHBand="0" w:noVBand="1"/>
      </w:tblPr>
      <w:tblGrid>
        <w:gridCol w:w="4225"/>
        <w:gridCol w:w="1895"/>
        <w:gridCol w:w="175"/>
        <w:gridCol w:w="2975"/>
      </w:tblGrid>
      <w:tr w:rsidR="00CA53A5" w:rsidRPr="00BC124E" w14:paraId="36A2B066" w14:textId="77777777" w:rsidTr="00E9712B">
        <w:trPr>
          <w:trHeight w:val="863"/>
          <w:jc w:val="center"/>
        </w:trPr>
        <w:tc>
          <w:tcPr>
            <w:tcW w:w="4225" w:type="dxa"/>
            <w:tcBorders>
              <w:top w:val="single" w:sz="4" w:space="0" w:color="auto"/>
              <w:left w:val="single" w:sz="4" w:space="0" w:color="auto"/>
              <w:bottom w:val="nil"/>
              <w:right w:val="nil"/>
            </w:tcBorders>
            <w:shd w:val="clear" w:color="auto" w:fill="808080" w:themeFill="background1" w:themeFillShade="80"/>
            <w:vAlign w:val="bottom"/>
            <w:hideMark/>
          </w:tcPr>
          <w:p w14:paraId="4A463D63" w14:textId="77777777" w:rsidR="00CA53A5" w:rsidRPr="00607D61" w:rsidRDefault="00CA53A5" w:rsidP="009C193E">
            <w:pPr>
              <w:jc w:val="center"/>
              <w:rPr>
                <w:rFonts w:ascii="Times New Roman" w:hAnsi="Times New Roman"/>
                <w:b/>
                <w:bCs/>
                <w:sz w:val="22"/>
                <w:szCs w:val="22"/>
              </w:rPr>
            </w:pPr>
            <w:r w:rsidRPr="00607D61">
              <w:rPr>
                <w:rFonts w:ascii="Times New Roman" w:hAnsi="Times New Roman"/>
                <w:b/>
                <w:bCs/>
                <w:sz w:val="22"/>
                <w:szCs w:val="22"/>
              </w:rPr>
              <w:t>Variables</w:t>
            </w:r>
          </w:p>
        </w:tc>
        <w:tc>
          <w:tcPr>
            <w:tcW w:w="2070" w:type="dxa"/>
            <w:gridSpan w:val="2"/>
            <w:tcBorders>
              <w:top w:val="single" w:sz="4" w:space="0" w:color="auto"/>
              <w:left w:val="nil"/>
              <w:bottom w:val="nil"/>
              <w:right w:val="nil"/>
            </w:tcBorders>
            <w:shd w:val="clear" w:color="auto" w:fill="808080" w:themeFill="background1" w:themeFillShade="80"/>
            <w:vAlign w:val="bottom"/>
            <w:hideMark/>
          </w:tcPr>
          <w:p w14:paraId="03ADD8F5" w14:textId="57B254A6" w:rsidR="00CA53A5" w:rsidRPr="00607D61" w:rsidRDefault="004509B7" w:rsidP="00607D61">
            <w:pPr>
              <w:jc w:val="center"/>
              <w:rPr>
                <w:rFonts w:ascii="Times New Roman" w:hAnsi="Times New Roman"/>
                <w:b/>
                <w:bCs/>
                <w:sz w:val="22"/>
                <w:szCs w:val="22"/>
              </w:rPr>
            </w:pPr>
            <w:r w:rsidRPr="00607D61">
              <w:rPr>
                <w:rFonts w:ascii="Times New Roman" w:hAnsi="Times New Roman"/>
                <w:b/>
                <w:bCs/>
                <w:sz w:val="22"/>
                <w:szCs w:val="22"/>
              </w:rPr>
              <w:t xml:space="preserve">Percent </w:t>
            </w:r>
            <w:r w:rsidR="00CA53A5" w:rsidRPr="00607D61">
              <w:rPr>
                <w:rFonts w:ascii="Times New Roman" w:hAnsi="Times New Roman"/>
                <w:b/>
                <w:bCs/>
                <w:sz w:val="22"/>
                <w:szCs w:val="22"/>
              </w:rPr>
              <w:t>of Agencies</w:t>
            </w:r>
            <w:r w:rsidRPr="00607D61">
              <w:rPr>
                <w:rFonts w:ascii="Times New Roman" w:hAnsi="Times New Roman"/>
                <w:b/>
                <w:bCs/>
                <w:sz w:val="22"/>
                <w:szCs w:val="22"/>
              </w:rPr>
              <w:t xml:space="preserve"> within the Sample </w:t>
            </w:r>
            <w:r w:rsidR="00607D61">
              <w:rPr>
                <w:rFonts w:ascii="Times New Roman" w:hAnsi="Times New Roman"/>
                <w:b/>
                <w:bCs/>
                <w:sz w:val="22"/>
                <w:szCs w:val="22"/>
              </w:rPr>
              <w:t>Frame</w:t>
            </w:r>
          </w:p>
        </w:tc>
        <w:tc>
          <w:tcPr>
            <w:tcW w:w="2975" w:type="dxa"/>
            <w:tcBorders>
              <w:top w:val="single" w:sz="4" w:space="0" w:color="auto"/>
              <w:left w:val="nil"/>
              <w:bottom w:val="nil"/>
              <w:right w:val="single" w:sz="4" w:space="0" w:color="auto"/>
            </w:tcBorders>
            <w:shd w:val="clear" w:color="auto" w:fill="808080" w:themeFill="background1" w:themeFillShade="80"/>
            <w:vAlign w:val="bottom"/>
            <w:hideMark/>
          </w:tcPr>
          <w:p w14:paraId="3F68E840" w14:textId="6F664901" w:rsidR="00CA53A5" w:rsidRPr="00E9712B" w:rsidRDefault="004509B7" w:rsidP="004509B7">
            <w:pPr>
              <w:jc w:val="center"/>
              <w:rPr>
                <w:rFonts w:ascii="Times New Roman" w:hAnsi="Times New Roman"/>
                <w:b/>
                <w:bCs/>
                <w:sz w:val="22"/>
                <w:szCs w:val="22"/>
              </w:rPr>
            </w:pPr>
            <w:r w:rsidRPr="00E9712B">
              <w:rPr>
                <w:rFonts w:ascii="Times New Roman" w:hAnsi="Times New Roman"/>
                <w:b/>
                <w:bCs/>
                <w:sz w:val="22"/>
                <w:szCs w:val="22"/>
              </w:rPr>
              <w:t>Number and Percent</w:t>
            </w:r>
            <w:r w:rsidR="00607D61">
              <w:rPr>
                <w:rFonts w:ascii="Times New Roman" w:hAnsi="Times New Roman"/>
                <w:b/>
                <w:bCs/>
                <w:sz w:val="22"/>
                <w:szCs w:val="22"/>
              </w:rPr>
              <w:t xml:space="preserve">age </w:t>
            </w:r>
            <w:r w:rsidRPr="00E9712B">
              <w:rPr>
                <w:rFonts w:ascii="Times New Roman" w:hAnsi="Times New Roman"/>
                <w:b/>
                <w:bCs/>
                <w:sz w:val="22"/>
                <w:szCs w:val="22"/>
              </w:rPr>
              <w:t xml:space="preserve">of Agencies within the </w:t>
            </w:r>
            <w:r w:rsidR="00CA53A5" w:rsidRPr="00E9712B">
              <w:rPr>
                <w:rFonts w:ascii="Times New Roman" w:hAnsi="Times New Roman"/>
                <w:b/>
                <w:bCs/>
                <w:sz w:val="22"/>
                <w:szCs w:val="22"/>
              </w:rPr>
              <w:t>Purposive Stratified Sample</w:t>
            </w:r>
          </w:p>
        </w:tc>
      </w:tr>
      <w:tr w:rsidR="004509B7" w:rsidRPr="00BC124E" w14:paraId="717EDF9D" w14:textId="77777777" w:rsidTr="00E9712B">
        <w:trPr>
          <w:trHeight w:val="332"/>
          <w:jc w:val="center"/>
        </w:trPr>
        <w:tc>
          <w:tcPr>
            <w:tcW w:w="9270" w:type="dxa"/>
            <w:gridSpan w:val="4"/>
            <w:tcBorders>
              <w:top w:val="single" w:sz="4" w:space="0" w:color="auto"/>
              <w:left w:val="single" w:sz="4" w:space="0" w:color="auto"/>
              <w:bottom w:val="nil"/>
              <w:right w:val="single" w:sz="4" w:space="0" w:color="auto"/>
            </w:tcBorders>
            <w:shd w:val="clear" w:color="auto" w:fill="BFBFBF" w:themeFill="background1" w:themeFillShade="BF"/>
            <w:vAlign w:val="bottom"/>
          </w:tcPr>
          <w:p w14:paraId="1A560808" w14:textId="77777777" w:rsidR="004509B7" w:rsidRPr="00E9712B" w:rsidRDefault="004509B7" w:rsidP="009C193E">
            <w:pPr>
              <w:jc w:val="center"/>
              <w:rPr>
                <w:rFonts w:ascii="Times New Roman" w:hAnsi="Times New Roman"/>
                <w:b/>
                <w:bCs/>
                <w:sz w:val="22"/>
                <w:szCs w:val="22"/>
              </w:rPr>
            </w:pPr>
            <w:r w:rsidRPr="00607D61">
              <w:rPr>
                <w:rFonts w:ascii="Times New Roman" w:hAnsi="Times New Roman"/>
                <w:b/>
                <w:bCs/>
                <w:sz w:val="22"/>
                <w:szCs w:val="22"/>
              </w:rPr>
              <w:t>Agency Type Stratum</w:t>
            </w:r>
          </w:p>
        </w:tc>
      </w:tr>
      <w:tr w:rsidR="00CA53A5" w:rsidRPr="00BC124E" w14:paraId="6FA5B992" w14:textId="77777777" w:rsidTr="00E9712B">
        <w:trPr>
          <w:trHeight w:val="300"/>
          <w:jc w:val="center"/>
        </w:trPr>
        <w:tc>
          <w:tcPr>
            <w:tcW w:w="4225" w:type="dxa"/>
            <w:tcBorders>
              <w:top w:val="nil"/>
              <w:left w:val="single" w:sz="4" w:space="0" w:color="auto"/>
              <w:bottom w:val="nil"/>
              <w:right w:val="nil"/>
            </w:tcBorders>
            <w:shd w:val="clear" w:color="000000" w:fill="FFFFFF"/>
            <w:noWrap/>
            <w:vAlign w:val="bottom"/>
            <w:hideMark/>
          </w:tcPr>
          <w:p w14:paraId="2B557988"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Local Government</w:t>
            </w:r>
          </w:p>
        </w:tc>
        <w:tc>
          <w:tcPr>
            <w:tcW w:w="1895" w:type="dxa"/>
            <w:tcBorders>
              <w:top w:val="nil"/>
              <w:left w:val="nil"/>
              <w:bottom w:val="nil"/>
              <w:right w:val="nil"/>
            </w:tcBorders>
            <w:shd w:val="clear" w:color="000000" w:fill="FFFFFF"/>
            <w:vAlign w:val="bottom"/>
            <w:hideMark/>
          </w:tcPr>
          <w:p w14:paraId="092414AD"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39.3%</w:t>
            </w:r>
          </w:p>
        </w:tc>
        <w:tc>
          <w:tcPr>
            <w:tcW w:w="3150" w:type="dxa"/>
            <w:gridSpan w:val="2"/>
            <w:tcBorders>
              <w:top w:val="nil"/>
              <w:left w:val="nil"/>
              <w:bottom w:val="nil"/>
              <w:right w:val="single" w:sz="4" w:space="0" w:color="auto"/>
            </w:tcBorders>
            <w:shd w:val="clear" w:color="000000" w:fill="FFFFFF"/>
            <w:vAlign w:val="bottom"/>
            <w:hideMark/>
          </w:tcPr>
          <w:p w14:paraId="4839E226" w14:textId="77777777" w:rsidR="00CA53A5" w:rsidRPr="00607D61" w:rsidRDefault="004509B7" w:rsidP="009E0E67">
            <w:pPr>
              <w:jc w:val="center"/>
              <w:rPr>
                <w:rFonts w:ascii="Times New Roman" w:hAnsi="Times New Roman"/>
                <w:color w:val="000000"/>
                <w:sz w:val="22"/>
                <w:szCs w:val="22"/>
              </w:rPr>
            </w:pPr>
            <w:r w:rsidRPr="00607D61">
              <w:rPr>
                <w:rFonts w:ascii="Times New Roman" w:hAnsi="Times New Roman"/>
                <w:color w:val="000000"/>
                <w:sz w:val="22"/>
                <w:szCs w:val="22"/>
              </w:rPr>
              <w:t>9 (22.5%)</w:t>
            </w:r>
          </w:p>
        </w:tc>
      </w:tr>
      <w:tr w:rsidR="00CA53A5" w:rsidRPr="00BC124E" w14:paraId="4E75B58F" w14:textId="77777777" w:rsidTr="00E9712B">
        <w:trPr>
          <w:trHeight w:val="300"/>
          <w:jc w:val="center"/>
        </w:trPr>
        <w:tc>
          <w:tcPr>
            <w:tcW w:w="4225" w:type="dxa"/>
            <w:tcBorders>
              <w:top w:val="nil"/>
              <w:left w:val="single" w:sz="4" w:space="0" w:color="auto"/>
              <w:bottom w:val="nil"/>
              <w:right w:val="nil"/>
            </w:tcBorders>
            <w:shd w:val="clear" w:color="000000" w:fill="FFFFFF"/>
            <w:noWrap/>
            <w:vAlign w:val="bottom"/>
            <w:hideMark/>
          </w:tcPr>
          <w:p w14:paraId="43CD1A36"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State Government</w:t>
            </w:r>
          </w:p>
        </w:tc>
        <w:tc>
          <w:tcPr>
            <w:tcW w:w="1895" w:type="dxa"/>
            <w:tcBorders>
              <w:top w:val="nil"/>
              <w:left w:val="nil"/>
              <w:bottom w:val="nil"/>
              <w:right w:val="nil"/>
            </w:tcBorders>
            <w:shd w:val="clear" w:color="000000" w:fill="FFFFFF"/>
            <w:vAlign w:val="bottom"/>
            <w:hideMark/>
          </w:tcPr>
          <w:p w14:paraId="2E737358"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47.3%</w:t>
            </w:r>
          </w:p>
        </w:tc>
        <w:tc>
          <w:tcPr>
            <w:tcW w:w="3150" w:type="dxa"/>
            <w:gridSpan w:val="2"/>
            <w:tcBorders>
              <w:top w:val="nil"/>
              <w:left w:val="nil"/>
              <w:bottom w:val="nil"/>
              <w:right w:val="single" w:sz="4" w:space="0" w:color="auto"/>
            </w:tcBorders>
            <w:shd w:val="clear" w:color="000000" w:fill="FFFFFF"/>
            <w:vAlign w:val="bottom"/>
            <w:hideMark/>
          </w:tcPr>
          <w:p w14:paraId="1E1CB5C3" w14:textId="77777777" w:rsidR="00CA53A5" w:rsidRPr="00607D61" w:rsidRDefault="004509B7" w:rsidP="009E0E67">
            <w:pPr>
              <w:jc w:val="center"/>
              <w:rPr>
                <w:rFonts w:ascii="Times New Roman" w:hAnsi="Times New Roman"/>
                <w:color w:val="000000"/>
                <w:sz w:val="22"/>
                <w:szCs w:val="22"/>
              </w:rPr>
            </w:pPr>
            <w:r w:rsidRPr="00607D61">
              <w:rPr>
                <w:rFonts w:ascii="Times New Roman" w:hAnsi="Times New Roman"/>
                <w:color w:val="000000"/>
                <w:sz w:val="22"/>
                <w:szCs w:val="22"/>
              </w:rPr>
              <w:t>21 (52.5%)</w:t>
            </w:r>
          </w:p>
        </w:tc>
      </w:tr>
      <w:tr w:rsidR="00CA53A5" w:rsidRPr="00BC124E" w14:paraId="4ADEEF6A" w14:textId="77777777" w:rsidTr="00E9712B">
        <w:trPr>
          <w:trHeight w:val="300"/>
          <w:jc w:val="center"/>
        </w:trPr>
        <w:tc>
          <w:tcPr>
            <w:tcW w:w="4225" w:type="dxa"/>
            <w:tcBorders>
              <w:top w:val="nil"/>
              <w:left w:val="single" w:sz="4" w:space="0" w:color="auto"/>
              <w:bottom w:val="nil"/>
              <w:right w:val="nil"/>
            </w:tcBorders>
            <w:shd w:val="clear" w:color="000000" w:fill="FFFFFF"/>
            <w:noWrap/>
            <w:vAlign w:val="bottom"/>
            <w:hideMark/>
          </w:tcPr>
          <w:p w14:paraId="14C2FFE0"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DMV</w:t>
            </w:r>
          </w:p>
        </w:tc>
        <w:tc>
          <w:tcPr>
            <w:tcW w:w="1895" w:type="dxa"/>
            <w:tcBorders>
              <w:top w:val="nil"/>
              <w:left w:val="nil"/>
              <w:bottom w:val="nil"/>
              <w:right w:val="nil"/>
            </w:tcBorders>
            <w:shd w:val="clear" w:color="000000" w:fill="FFFFFF"/>
            <w:vAlign w:val="bottom"/>
            <w:hideMark/>
          </w:tcPr>
          <w:p w14:paraId="17DEEE72"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8.6%</w:t>
            </w:r>
          </w:p>
        </w:tc>
        <w:tc>
          <w:tcPr>
            <w:tcW w:w="3150" w:type="dxa"/>
            <w:gridSpan w:val="2"/>
            <w:tcBorders>
              <w:top w:val="nil"/>
              <w:left w:val="nil"/>
              <w:bottom w:val="nil"/>
              <w:right w:val="single" w:sz="4" w:space="0" w:color="auto"/>
            </w:tcBorders>
            <w:shd w:val="clear" w:color="000000" w:fill="FFFFFF"/>
            <w:vAlign w:val="bottom"/>
            <w:hideMark/>
          </w:tcPr>
          <w:p w14:paraId="5E6E5C7C" w14:textId="420BB05C" w:rsidR="00CA53A5" w:rsidRPr="00607D61" w:rsidRDefault="004509B7" w:rsidP="009E0E67">
            <w:pPr>
              <w:jc w:val="center"/>
              <w:rPr>
                <w:rFonts w:ascii="Times New Roman" w:hAnsi="Times New Roman"/>
                <w:color w:val="000000"/>
                <w:sz w:val="22"/>
                <w:szCs w:val="22"/>
              </w:rPr>
            </w:pPr>
            <w:r w:rsidRPr="00607D61">
              <w:rPr>
                <w:rFonts w:ascii="Times New Roman" w:hAnsi="Times New Roman"/>
                <w:color w:val="000000"/>
                <w:sz w:val="22"/>
                <w:szCs w:val="22"/>
              </w:rPr>
              <w:t>6 (15.0%</w:t>
            </w:r>
            <w:r w:rsidR="00607D61">
              <w:rPr>
                <w:rFonts w:ascii="Times New Roman" w:hAnsi="Times New Roman"/>
                <w:color w:val="000000"/>
                <w:sz w:val="22"/>
                <w:szCs w:val="22"/>
              </w:rPr>
              <w:t>)</w:t>
            </w:r>
          </w:p>
        </w:tc>
      </w:tr>
      <w:tr w:rsidR="00CA53A5" w:rsidRPr="00BC124E" w14:paraId="185CDA48" w14:textId="77777777" w:rsidTr="00E9712B">
        <w:trPr>
          <w:trHeight w:val="300"/>
          <w:jc w:val="center"/>
        </w:trPr>
        <w:tc>
          <w:tcPr>
            <w:tcW w:w="4225" w:type="dxa"/>
            <w:tcBorders>
              <w:top w:val="nil"/>
              <w:left w:val="single" w:sz="4" w:space="0" w:color="auto"/>
              <w:bottom w:val="nil"/>
              <w:right w:val="nil"/>
            </w:tcBorders>
            <w:shd w:val="clear" w:color="000000" w:fill="FFFFFF"/>
            <w:noWrap/>
            <w:vAlign w:val="bottom"/>
            <w:hideMark/>
          </w:tcPr>
          <w:p w14:paraId="6593A4B3"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Federal Government</w:t>
            </w:r>
          </w:p>
        </w:tc>
        <w:tc>
          <w:tcPr>
            <w:tcW w:w="1895" w:type="dxa"/>
            <w:tcBorders>
              <w:top w:val="nil"/>
              <w:left w:val="nil"/>
              <w:bottom w:val="nil"/>
              <w:right w:val="nil"/>
            </w:tcBorders>
            <w:shd w:val="clear" w:color="000000" w:fill="FFFFFF"/>
            <w:vAlign w:val="bottom"/>
            <w:hideMark/>
          </w:tcPr>
          <w:p w14:paraId="6C225625"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4.8%</w:t>
            </w:r>
          </w:p>
        </w:tc>
        <w:tc>
          <w:tcPr>
            <w:tcW w:w="3150" w:type="dxa"/>
            <w:gridSpan w:val="2"/>
            <w:tcBorders>
              <w:top w:val="nil"/>
              <w:left w:val="nil"/>
              <w:bottom w:val="nil"/>
              <w:right w:val="single" w:sz="4" w:space="0" w:color="auto"/>
            </w:tcBorders>
            <w:shd w:val="clear" w:color="000000" w:fill="FFFFFF"/>
            <w:vAlign w:val="bottom"/>
            <w:hideMark/>
          </w:tcPr>
          <w:p w14:paraId="7C4FB197" w14:textId="77777777" w:rsidR="00CA53A5" w:rsidRPr="00607D61" w:rsidRDefault="004509B7" w:rsidP="009E0E67">
            <w:pPr>
              <w:jc w:val="center"/>
              <w:rPr>
                <w:rFonts w:ascii="Times New Roman" w:hAnsi="Times New Roman"/>
                <w:color w:val="000000"/>
                <w:sz w:val="22"/>
                <w:szCs w:val="22"/>
              </w:rPr>
            </w:pPr>
            <w:r w:rsidRPr="00607D61">
              <w:rPr>
                <w:rFonts w:ascii="Times New Roman" w:hAnsi="Times New Roman"/>
                <w:color w:val="000000"/>
                <w:sz w:val="22"/>
                <w:szCs w:val="22"/>
              </w:rPr>
              <w:t>4 (10.0%)</w:t>
            </w:r>
          </w:p>
        </w:tc>
      </w:tr>
      <w:tr w:rsidR="004509B7" w:rsidRPr="00BC124E" w14:paraId="42233663" w14:textId="77777777" w:rsidTr="00E9712B">
        <w:trPr>
          <w:trHeight w:val="331"/>
          <w:jc w:val="center"/>
        </w:trPr>
        <w:tc>
          <w:tcPr>
            <w:tcW w:w="9270" w:type="dxa"/>
            <w:gridSpan w:val="4"/>
            <w:tcBorders>
              <w:top w:val="nil"/>
              <w:left w:val="single" w:sz="4" w:space="0" w:color="auto"/>
              <w:bottom w:val="nil"/>
              <w:right w:val="single" w:sz="4" w:space="0" w:color="auto"/>
            </w:tcBorders>
            <w:shd w:val="clear" w:color="auto" w:fill="BFBFBF" w:themeFill="background1" w:themeFillShade="BF"/>
            <w:noWrap/>
            <w:vAlign w:val="bottom"/>
          </w:tcPr>
          <w:p w14:paraId="3D2EA957" w14:textId="77777777" w:rsidR="004509B7" w:rsidRPr="00607D61" w:rsidRDefault="004509B7" w:rsidP="009C193E">
            <w:pPr>
              <w:jc w:val="center"/>
              <w:rPr>
                <w:rFonts w:ascii="Times New Roman" w:hAnsi="Times New Roman"/>
                <w:color w:val="000000"/>
                <w:sz w:val="22"/>
                <w:szCs w:val="22"/>
              </w:rPr>
            </w:pPr>
            <w:r w:rsidRPr="00607D61">
              <w:rPr>
                <w:rFonts w:ascii="Times New Roman" w:hAnsi="Times New Roman"/>
                <w:b/>
                <w:color w:val="000000"/>
                <w:sz w:val="22"/>
                <w:szCs w:val="22"/>
              </w:rPr>
              <w:t>Agency’s Annual Volume of Use Stratum</w:t>
            </w:r>
          </w:p>
        </w:tc>
      </w:tr>
      <w:tr w:rsidR="00CA53A5" w:rsidRPr="00BC124E" w14:paraId="0B1D91D8" w14:textId="77777777" w:rsidTr="00E9712B">
        <w:trPr>
          <w:trHeight w:val="302"/>
          <w:jc w:val="center"/>
        </w:trPr>
        <w:tc>
          <w:tcPr>
            <w:tcW w:w="4225" w:type="dxa"/>
            <w:tcBorders>
              <w:top w:val="nil"/>
              <w:left w:val="single" w:sz="4" w:space="0" w:color="auto"/>
              <w:bottom w:val="nil"/>
              <w:right w:val="nil"/>
            </w:tcBorders>
            <w:shd w:val="clear" w:color="000000" w:fill="FFFFFF"/>
            <w:noWrap/>
            <w:hideMark/>
          </w:tcPr>
          <w:p w14:paraId="5BEA4E41"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Greater than 1,000</w:t>
            </w:r>
          </w:p>
        </w:tc>
        <w:tc>
          <w:tcPr>
            <w:tcW w:w="1895" w:type="dxa"/>
            <w:tcBorders>
              <w:top w:val="nil"/>
              <w:left w:val="nil"/>
              <w:bottom w:val="nil"/>
              <w:right w:val="nil"/>
            </w:tcBorders>
            <w:shd w:val="clear" w:color="000000" w:fill="FFFFFF"/>
            <w:vAlign w:val="bottom"/>
            <w:hideMark/>
          </w:tcPr>
          <w:p w14:paraId="46C8E8BB"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30.5%</w:t>
            </w:r>
          </w:p>
        </w:tc>
        <w:tc>
          <w:tcPr>
            <w:tcW w:w="3150" w:type="dxa"/>
            <w:gridSpan w:val="2"/>
            <w:tcBorders>
              <w:top w:val="nil"/>
              <w:left w:val="nil"/>
              <w:bottom w:val="nil"/>
              <w:right w:val="single" w:sz="4" w:space="0" w:color="auto"/>
            </w:tcBorders>
            <w:shd w:val="clear" w:color="000000" w:fill="FFFFFF"/>
            <w:noWrap/>
            <w:hideMark/>
          </w:tcPr>
          <w:p w14:paraId="249534F6"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30 (50.0%)</w:t>
            </w:r>
          </w:p>
        </w:tc>
      </w:tr>
      <w:tr w:rsidR="00CA53A5" w:rsidRPr="00BC124E" w14:paraId="59892ED7" w14:textId="77777777" w:rsidTr="00E9712B">
        <w:trPr>
          <w:trHeight w:val="302"/>
          <w:jc w:val="center"/>
        </w:trPr>
        <w:tc>
          <w:tcPr>
            <w:tcW w:w="4225" w:type="dxa"/>
            <w:tcBorders>
              <w:top w:val="nil"/>
              <w:left w:val="single" w:sz="4" w:space="0" w:color="auto"/>
              <w:bottom w:val="nil"/>
              <w:right w:val="nil"/>
            </w:tcBorders>
            <w:shd w:val="clear" w:color="000000" w:fill="FFFFFF"/>
            <w:noWrap/>
            <w:hideMark/>
          </w:tcPr>
          <w:p w14:paraId="0870C218"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100-1,000 cases</w:t>
            </w:r>
          </w:p>
        </w:tc>
        <w:tc>
          <w:tcPr>
            <w:tcW w:w="1895" w:type="dxa"/>
            <w:tcBorders>
              <w:top w:val="nil"/>
              <w:left w:val="nil"/>
              <w:bottom w:val="nil"/>
              <w:right w:val="nil"/>
            </w:tcBorders>
            <w:shd w:val="clear" w:color="000000" w:fill="FFFFFF"/>
            <w:vAlign w:val="bottom"/>
            <w:hideMark/>
          </w:tcPr>
          <w:p w14:paraId="68D2D627"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18.5%</w:t>
            </w:r>
          </w:p>
        </w:tc>
        <w:tc>
          <w:tcPr>
            <w:tcW w:w="3150" w:type="dxa"/>
            <w:gridSpan w:val="2"/>
            <w:tcBorders>
              <w:top w:val="nil"/>
              <w:left w:val="nil"/>
              <w:bottom w:val="nil"/>
              <w:right w:val="single" w:sz="4" w:space="0" w:color="auto"/>
            </w:tcBorders>
            <w:shd w:val="clear" w:color="000000" w:fill="FFFFFF"/>
            <w:noWrap/>
            <w:hideMark/>
          </w:tcPr>
          <w:p w14:paraId="7B6E8249"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7 (17.55%</w:t>
            </w:r>
          </w:p>
        </w:tc>
      </w:tr>
      <w:tr w:rsidR="00CA53A5" w:rsidRPr="00BC124E" w14:paraId="684D442C" w14:textId="77777777" w:rsidTr="00E9712B">
        <w:trPr>
          <w:trHeight w:val="302"/>
          <w:jc w:val="center"/>
        </w:trPr>
        <w:tc>
          <w:tcPr>
            <w:tcW w:w="4225" w:type="dxa"/>
            <w:tcBorders>
              <w:top w:val="nil"/>
              <w:left w:val="single" w:sz="4" w:space="0" w:color="auto"/>
              <w:bottom w:val="nil"/>
              <w:right w:val="nil"/>
            </w:tcBorders>
            <w:shd w:val="clear" w:color="000000" w:fill="FFFFFF"/>
            <w:noWrap/>
            <w:hideMark/>
          </w:tcPr>
          <w:p w14:paraId="7ED6E5EA"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Fewer than 100 cases</w:t>
            </w:r>
          </w:p>
        </w:tc>
        <w:tc>
          <w:tcPr>
            <w:tcW w:w="1895" w:type="dxa"/>
            <w:tcBorders>
              <w:top w:val="nil"/>
              <w:left w:val="nil"/>
              <w:bottom w:val="nil"/>
              <w:right w:val="nil"/>
            </w:tcBorders>
            <w:shd w:val="clear" w:color="000000" w:fill="FFFFFF"/>
            <w:vAlign w:val="bottom"/>
            <w:hideMark/>
          </w:tcPr>
          <w:p w14:paraId="153F2CDC"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51.0%</w:t>
            </w:r>
          </w:p>
        </w:tc>
        <w:tc>
          <w:tcPr>
            <w:tcW w:w="3150" w:type="dxa"/>
            <w:gridSpan w:val="2"/>
            <w:tcBorders>
              <w:top w:val="nil"/>
              <w:left w:val="nil"/>
              <w:bottom w:val="nil"/>
              <w:right w:val="single" w:sz="4" w:space="0" w:color="auto"/>
            </w:tcBorders>
            <w:shd w:val="clear" w:color="000000" w:fill="FFFFFF"/>
            <w:noWrap/>
            <w:hideMark/>
          </w:tcPr>
          <w:p w14:paraId="33A8A84C"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13 (32.5%)</w:t>
            </w:r>
          </w:p>
        </w:tc>
      </w:tr>
      <w:tr w:rsidR="004509B7" w:rsidRPr="00BC124E" w14:paraId="03E5F308" w14:textId="77777777" w:rsidTr="00E9712B">
        <w:trPr>
          <w:trHeight w:val="331"/>
          <w:jc w:val="center"/>
        </w:trPr>
        <w:tc>
          <w:tcPr>
            <w:tcW w:w="9270" w:type="dxa"/>
            <w:gridSpan w:val="4"/>
            <w:tcBorders>
              <w:top w:val="nil"/>
              <w:left w:val="single" w:sz="4" w:space="0" w:color="auto"/>
              <w:bottom w:val="nil"/>
              <w:right w:val="single" w:sz="4" w:space="0" w:color="auto"/>
            </w:tcBorders>
            <w:shd w:val="clear" w:color="auto" w:fill="BFBFBF" w:themeFill="background1" w:themeFillShade="BF"/>
            <w:noWrap/>
          </w:tcPr>
          <w:p w14:paraId="773D40A5" w14:textId="77777777" w:rsidR="004509B7" w:rsidRPr="00607D61" w:rsidRDefault="004509B7" w:rsidP="009C193E">
            <w:pPr>
              <w:jc w:val="center"/>
              <w:rPr>
                <w:rFonts w:ascii="Times New Roman" w:hAnsi="Times New Roman"/>
                <w:color w:val="000000"/>
                <w:sz w:val="22"/>
                <w:szCs w:val="22"/>
              </w:rPr>
            </w:pPr>
            <w:r w:rsidRPr="00607D61">
              <w:rPr>
                <w:rFonts w:ascii="Times New Roman" w:hAnsi="Times New Roman"/>
                <w:b/>
                <w:color w:val="000000"/>
                <w:sz w:val="22"/>
                <w:szCs w:val="22"/>
              </w:rPr>
              <w:t>Geographic Region Stratum</w:t>
            </w:r>
          </w:p>
        </w:tc>
      </w:tr>
      <w:tr w:rsidR="00CA53A5" w:rsidRPr="00BC124E" w14:paraId="302A7DDA"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27A91B67"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Southeast</w:t>
            </w:r>
          </w:p>
        </w:tc>
        <w:tc>
          <w:tcPr>
            <w:tcW w:w="1895" w:type="dxa"/>
            <w:tcBorders>
              <w:top w:val="nil"/>
              <w:left w:val="nil"/>
              <w:bottom w:val="nil"/>
              <w:right w:val="nil"/>
            </w:tcBorders>
            <w:shd w:val="clear" w:color="000000" w:fill="FFFFFF"/>
            <w:vAlign w:val="bottom"/>
            <w:hideMark/>
          </w:tcPr>
          <w:p w14:paraId="1D8CF950"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51.7%</w:t>
            </w:r>
          </w:p>
        </w:tc>
        <w:tc>
          <w:tcPr>
            <w:tcW w:w="3150" w:type="dxa"/>
            <w:gridSpan w:val="2"/>
            <w:tcBorders>
              <w:top w:val="nil"/>
              <w:left w:val="nil"/>
              <w:bottom w:val="nil"/>
              <w:right w:val="single" w:sz="4" w:space="0" w:color="auto"/>
            </w:tcBorders>
            <w:shd w:val="clear" w:color="000000" w:fill="FFFFFF"/>
            <w:noWrap/>
            <w:hideMark/>
          </w:tcPr>
          <w:p w14:paraId="4445430F"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8 (20.0%)</w:t>
            </w:r>
          </w:p>
        </w:tc>
      </w:tr>
      <w:tr w:rsidR="00CA53A5" w:rsidRPr="00BC124E" w14:paraId="542006E6" w14:textId="77777777" w:rsidTr="00E9712B">
        <w:trPr>
          <w:trHeight w:val="302"/>
          <w:jc w:val="center"/>
        </w:trPr>
        <w:tc>
          <w:tcPr>
            <w:tcW w:w="4225" w:type="dxa"/>
            <w:tcBorders>
              <w:top w:val="nil"/>
              <w:left w:val="single" w:sz="4" w:space="0" w:color="auto"/>
              <w:bottom w:val="nil"/>
              <w:right w:val="nil"/>
            </w:tcBorders>
            <w:shd w:val="clear" w:color="000000" w:fill="FFFFFF"/>
            <w:noWrap/>
            <w:vAlign w:val="bottom"/>
            <w:hideMark/>
          </w:tcPr>
          <w:p w14:paraId="692AE125"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West</w:t>
            </w:r>
          </w:p>
        </w:tc>
        <w:tc>
          <w:tcPr>
            <w:tcW w:w="1895" w:type="dxa"/>
            <w:tcBorders>
              <w:top w:val="nil"/>
              <w:left w:val="nil"/>
              <w:bottom w:val="nil"/>
              <w:right w:val="nil"/>
            </w:tcBorders>
            <w:shd w:val="clear" w:color="000000" w:fill="FFFFFF"/>
            <w:vAlign w:val="bottom"/>
            <w:hideMark/>
          </w:tcPr>
          <w:p w14:paraId="2D0C3730"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6.6%</w:t>
            </w:r>
          </w:p>
        </w:tc>
        <w:tc>
          <w:tcPr>
            <w:tcW w:w="3150" w:type="dxa"/>
            <w:gridSpan w:val="2"/>
            <w:tcBorders>
              <w:top w:val="nil"/>
              <w:left w:val="nil"/>
              <w:bottom w:val="nil"/>
              <w:right w:val="single" w:sz="4" w:space="0" w:color="auto"/>
            </w:tcBorders>
            <w:shd w:val="clear" w:color="000000" w:fill="FFFFFF"/>
            <w:noWrap/>
            <w:hideMark/>
          </w:tcPr>
          <w:p w14:paraId="48ADF1BF" w14:textId="77777777" w:rsidR="00CA53A5" w:rsidRPr="00607D61" w:rsidRDefault="004509B7" w:rsidP="004509B7">
            <w:pPr>
              <w:jc w:val="center"/>
              <w:rPr>
                <w:rFonts w:ascii="Times New Roman" w:hAnsi="Times New Roman"/>
                <w:color w:val="000000"/>
                <w:sz w:val="22"/>
                <w:szCs w:val="22"/>
              </w:rPr>
            </w:pPr>
            <w:r w:rsidRPr="00607D61">
              <w:rPr>
                <w:rFonts w:ascii="Times New Roman" w:hAnsi="Times New Roman"/>
                <w:color w:val="000000"/>
                <w:sz w:val="22"/>
                <w:szCs w:val="22"/>
              </w:rPr>
              <w:t>6 (15.0%)</w:t>
            </w:r>
          </w:p>
        </w:tc>
      </w:tr>
      <w:tr w:rsidR="00CA53A5" w:rsidRPr="00BC124E" w14:paraId="40E80C1D" w14:textId="77777777" w:rsidTr="00E9712B">
        <w:trPr>
          <w:trHeight w:val="302"/>
          <w:jc w:val="center"/>
        </w:trPr>
        <w:tc>
          <w:tcPr>
            <w:tcW w:w="4225" w:type="dxa"/>
            <w:tcBorders>
              <w:top w:val="nil"/>
              <w:left w:val="single" w:sz="4" w:space="0" w:color="auto"/>
              <w:bottom w:val="nil"/>
              <w:right w:val="nil"/>
            </w:tcBorders>
            <w:shd w:val="clear" w:color="000000" w:fill="FFFFFF"/>
            <w:noWrap/>
            <w:vAlign w:val="bottom"/>
            <w:hideMark/>
          </w:tcPr>
          <w:p w14:paraId="6BB58F93"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Central</w:t>
            </w:r>
          </w:p>
        </w:tc>
        <w:tc>
          <w:tcPr>
            <w:tcW w:w="1895" w:type="dxa"/>
            <w:tcBorders>
              <w:top w:val="nil"/>
              <w:left w:val="nil"/>
              <w:bottom w:val="nil"/>
              <w:right w:val="nil"/>
            </w:tcBorders>
            <w:shd w:val="clear" w:color="000000" w:fill="FFFFFF"/>
            <w:vAlign w:val="bottom"/>
            <w:hideMark/>
          </w:tcPr>
          <w:p w14:paraId="2F51FB6E"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28.8%</w:t>
            </w:r>
          </w:p>
        </w:tc>
        <w:tc>
          <w:tcPr>
            <w:tcW w:w="3150" w:type="dxa"/>
            <w:gridSpan w:val="2"/>
            <w:tcBorders>
              <w:top w:val="nil"/>
              <w:left w:val="nil"/>
              <w:bottom w:val="nil"/>
              <w:right w:val="single" w:sz="4" w:space="0" w:color="auto"/>
            </w:tcBorders>
            <w:shd w:val="clear" w:color="000000" w:fill="FFFFFF"/>
            <w:noWrap/>
            <w:hideMark/>
          </w:tcPr>
          <w:p w14:paraId="77277CB4"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16 (40.0%)</w:t>
            </w:r>
          </w:p>
        </w:tc>
      </w:tr>
      <w:tr w:rsidR="00CA53A5" w:rsidRPr="00BC124E" w14:paraId="7E42D94C" w14:textId="77777777" w:rsidTr="00E9712B">
        <w:trPr>
          <w:trHeight w:val="302"/>
          <w:jc w:val="center"/>
        </w:trPr>
        <w:tc>
          <w:tcPr>
            <w:tcW w:w="4225" w:type="dxa"/>
            <w:tcBorders>
              <w:top w:val="nil"/>
              <w:left w:val="single" w:sz="4" w:space="0" w:color="auto"/>
              <w:bottom w:val="nil"/>
              <w:right w:val="nil"/>
            </w:tcBorders>
            <w:shd w:val="clear" w:color="000000" w:fill="FFFFFF"/>
            <w:noWrap/>
            <w:vAlign w:val="bottom"/>
            <w:hideMark/>
          </w:tcPr>
          <w:p w14:paraId="21257ECB"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Northeast</w:t>
            </w:r>
          </w:p>
        </w:tc>
        <w:tc>
          <w:tcPr>
            <w:tcW w:w="1895" w:type="dxa"/>
            <w:tcBorders>
              <w:top w:val="nil"/>
              <w:left w:val="nil"/>
              <w:bottom w:val="nil"/>
              <w:right w:val="nil"/>
            </w:tcBorders>
            <w:shd w:val="clear" w:color="000000" w:fill="FFFFFF"/>
            <w:vAlign w:val="bottom"/>
            <w:hideMark/>
          </w:tcPr>
          <w:p w14:paraId="367DE573"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12.8%</w:t>
            </w:r>
          </w:p>
        </w:tc>
        <w:tc>
          <w:tcPr>
            <w:tcW w:w="3150" w:type="dxa"/>
            <w:gridSpan w:val="2"/>
            <w:tcBorders>
              <w:top w:val="nil"/>
              <w:left w:val="nil"/>
              <w:bottom w:val="nil"/>
              <w:right w:val="single" w:sz="4" w:space="0" w:color="auto"/>
            </w:tcBorders>
            <w:shd w:val="clear" w:color="000000" w:fill="FFFFFF"/>
            <w:noWrap/>
            <w:hideMark/>
          </w:tcPr>
          <w:p w14:paraId="16D82CFE"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10 (25.0%)</w:t>
            </w:r>
          </w:p>
        </w:tc>
      </w:tr>
      <w:tr w:rsidR="004509B7" w:rsidRPr="00BC124E" w14:paraId="73D8E769" w14:textId="77777777" w:rsidTr="00E9712B">
        <w:trPr>
          <w:trHeight w:val="331"/>
          <w:jc w:val="center"/>
        </w:trPr>
        <w:tc>
          <w:tcPr>
            <w:tcW w:w="9270" w:type="dxa"/>
            <w:gridSpan w:val="4"/>
            <w:tcBorders>
              <w:top w:val="nil"/>
              <w:left w:val="single" w:sz="4" w:space="0" w:color="auto"/>
              <w:bottom w:val="nil"/>
              <w:right w:val="single" w:sz="4" w:space="0" w:color="auto"/>
            </w:tcBorders>
            <w:shd w:val="clear" w:color="auto" w:fill="BFBFBF" w:themeFill="background1" w:themeFillShade="BF"/>
            <w:noWrap/>
            <w:vAlign w:val="bottom"/>
          </w:tcPr>
          <w:p w14:paraId="65972E52" w14:textId="77777777" w:rsidR="004509B7" w:rsidRPr="00607D61" w:rsidRDefault="004509B7" w:rsidP="009C193E">
            <w:pPr>
              <w:jc w:val="center"/>
              <w:rPr>
                <w:rFonts w:ascii="Times New Roman" w:hAnsi="Times New Roman"/>
                <w:color w:val="000000"/>
                <w:sz w:val="22"/>
                <w:szCs w:val="22"/>
              </w:rPr>
            </w:pPr>
            <w:r w:rsidRPr="00607D61">
              <w:rPr>
                <w:rFonts w:ascii="Times New Roman" w:hAnsi="Times New Roman"/>
                <w:b/>
                <w:color w:val="000000"/>
                <w:sz w:val="22"/>
                <w:szCs w:val="22"/>
              </w:rPr>
              <w:t>Benefit Category Stratum</w:t>
            </w:r>
          </w:p>
        </w:tc>
      </w:tr>
      <w:tr w:rsidR="00CA53A5" w:rsidRPr="00BC124E" w14:paraId="30B561D1"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6332AF5D"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Multiple Benefits</w:t>
            </w:r>
          </w:p>
        </w:tc>
        <w:tc>
          <w:tcPr>
            <w:tcW w:w="1895" w:type="dxa"/>
            <w:tcBorders>
              <w:top w:val="nil"/>
              <w:left w:val="nil"/>
              <w:bottom w:val="nil"/>
              <w:right w:val="nil"/>
            </w:tcBorders>
            <w:shd w:val="clear" w:color="000000" w:fill="FFFFFF"/>
            <w:vAlign w:val="bottom"/>
            <w:hideMark/>
          </w:tcPr>
          <w:p w14:paraId="2A7E6551"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43.5%</w:t>
            </w:r>
          </w:p>
        </w:tc>
        <w:tc>
          <w:tcPr>
            <w:tcW w:w="3150" w:type="dxa"/>
            <w:gridSpan w:val="2"/>
            <w:tcBorders>
              <w:top w:val="nil"/>
              <w:left w:val="nil"/>
              <w:bottom w:val="nil"/>
              <w:right w:val="single" w:sz="4" w:space="0" w:color="auto"/>
            </w:tcBorders>
            <w:shd w:val="clear" w:color="000000" w:fill="FFFFFF"/>
            <w:vAlign w:val="bottom"/>
            <w:hideMark/>
          </w:tcPr>
          <w:p w14:paraId="4E01A8CB"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14 (35.0%)</w:t>
            </w:r>
          </w:p>
        </w:tc>
      </w:tr>
      <w:tr w:rsidR="00CA53A5" w:rsidRPr="00BC124E" w14:paraId="61F325C9"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3976623F"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Professional/Commercial License</w:t>
            </w:r>
          </w:p>
        </w:tc>
        <w:tc>
          <w:tcPr>
            <w:tcW w:w="1895" w:type="dxa"/>
            <w:tcBorders>
              <w:top w:val="nil"/>
              <w:left w:val="nil"/>
              <w:bottom w:val="nil"/>
              <w:right w:val="nil"/>
            </w:tcBorders>
            <w:shd w:val="clear" w:color="000000" w:fill="FFFFFF"/>
            <w:vAlign w:val="bottom"/>
            <w:hideMark/>
          </w:tcPr>
          <w:p w14:paraId="0DA3E421"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19.6%</w:t>
            </w:r>
          </w:p>
        </w:tc>
        <w:tc>
          <w:tcPr>
            <w:tcW w:w="3150" w:type="dxa"/>
            <w:gridSpan w:val="2"/>
            <w:tcBorders>
              <w:top w:val="nil"/>
              <w:left w:val="nil"/>
              <w:bottom w:val="nil"/>
              <w:right w:val="single" w:sz="4" w:space="0" w:color="auto"/>
            </w:tcBorders>
            <w:shd w:val="clear" w:color="000000" w:fill="FFFFFF"/>
            <w:vAlign w:val="bottom"/>
            <w:hideMark/>
          </w:tcPr>
          <w:p w14:paraId="63738646"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7</w:t>
            </w:r>
            <w:r w:rsidR="004509B7" w:rsidRPr="00607D61">
              <w:rPr>
                <w:rFonts w:ascii="Times New Roman" w:hAnsi="Times New Roman"/>
                <w:color w:val="000000"/>
                <w:sz w:val="22"/>
                <w:szCs w:val="22"/>
              </w:rPr>
              <w:t xml:space="preserve"> (17.5%)</w:t>
            </w:r>
          </w:p>
        </w:tc>
      </w:tr>
      <w:tr w:rsidR="00CA53A5" w:rsidRPr="00BC124E" w14:paraId="5EA77D2C"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47FD819C"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Health &amp; Social Services</w:t>
            </w:r>
          </w:p>
        </w:tc>
        <w:tc>
          <w:tcPr>
            <w:tcW w:w="1895" w:type="dxa"/>
            <w:tcBorders>
              <w:top w:val="nil"/>
              <w:left w:val="nil"/>
              <w:bottom w:val="nil"/>
              <w:right w:val="nil"/>
            </w:tcBorders>
            <w:shd w:val="clear" w:color="000000" w:fill="FFFFFF"/>
            <w:vAlign w:val="bottom"/>
            <w:hideMark/>
          </w:tcPr>
          <w:p w14:paraId="63622598"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6.2%</w:t>
            </w:r>
          </w:p>
        </w:tc>
        <w:tc>
          <w:tcPr>
            <w:tcW w:w="3150" w:type="dxa"/>
            <w:gridSpan w:val="2"/>
            <w:tcBorders>
              <w:top w:val="nil"/>
              <w:left w:val="nil"/>
              <w:bottom w:val="nil"/>
              <w:right w:val="single" w:sz="4" w:space="0" w:color="auto"/>
            </w:tcBorders>
            <w:shd w:val="clear" w:color="000000" w:fill="FFFFFF"/>
            <w:vAlign w:val="bottom"/>
            <w:hideMark/>
          </w:tcPr>
          <w:p w14:paraId="474935F3"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3</w:t>
            </w:r>
            <w:r w:rsidR="004509B7" w:rsidRPr="00607D61">
              <w:rPr>
                <w:rFonts w:ascii="Times New Roman" w:hAnsi="Times New Roman"/>
                <w:color w:val="000000"/>
                <w:sz w:val="22"/>
                <w:szCs w:val="22"/>
              </w:rPr>
              <w:t xml:space="preserve"> 7.5%)</w:t>
            </w:r>
          </w:p>
        </w:tc>
      </w:tr>
      <w:tr w:rsidR="00CA53A5" w:rsidRPr="00BC124E" w14:paraId="11CDE114"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5A79EF47"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Labor</w:t>
            </w:r>
          </w:p>
        </w:tc>
        <w:tc>
          <w:tcPr>
            <w:tcW w:w="1895" w:type="dxa"/>
            <w:tcBorders>
              <w:top w:val="nil"/>
              <w:left w:val="nil"/>
              <w:bottom w:val="nil"/>
              <w:right w:val="nil"/>
            </w:tcBorders>
            <w:shd w:val="clear" w:color="000000" w:fill="FFFFFF"/>
            <w:vAlign w:val="bottom"/>
            <w:hideMark/>
          </w:tcPr>
          <w:p w14:paraId="12DD5F05"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9.4%</w:t>
            </w:r>
          </w:p>
        </w:tc>
        <w:tc>
          <w:tcPr>
            <w:tcW w:w="3150" w:type="dxa"/>
            <w:gridSpan w:val="2"/>
            <w:tcBorders>
              <w:top w:val="nil"/>
              <w:left w:val="nil"/>
              <w:bottom w:val="nil"/>
              <w:right w:val="single" w:sz="4" w:space="0" w:color="auto"/>
            </w:tcBorders>
            <w:shd w:val="clear" w:color="000000" w:fill="FFFFFF"/>
            <w:vAlign w:val="bottom"/>
            <w:hideMark/>
          </w:tcPr>
          <w:p w14:paraId="51930FB1"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2 (5.0%)</w:t>
            </w:r>
          </w:p>
        </w:tc>
      </w:tr>
      <w:tr w:rsidR="00CA53A5" w:rsidRPr="00BC124E" w14:paraId="20ADA5B9"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224085B3"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Education</w:t>
            </w:r>
          </w:p>
        </w:tc>
        <w:tc>
          <w:tcPr>
            <w:tcW w:w="1895" w:type="dxa"/>
            <w:tcBorders>
              <w:top w:val="nil"/>
              <w:left w:val="nil"/>
              <w:bottom w:val="nil"/>
              <w:right w:val="nil"/>
            </w:tcBorders>
            <w:shd w:val="clear" w:color="000000" w:fill="FFFFFF"/>
            <w:vAlign w:val="bottom"/>
            <w:hideMark/>
          </w:tcPr>
          <w:p w14:paraId="2055D7CE"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4.8%</w:t>
            </w:r>
          </w:p>
        </w:tc>
        <w:tc>
          <w:tcPr>
            <w:tcW w:w="3150" w:type="dxa"/>
            <w:gridSpan w:val="2"/>
            <w:tcBorders>
              <w:top w:val="nil"/>
              <w:left w:val="nil"/>
              <w:bottom w:val="nil"/>
              <w:right w:val="single" w:sz="4" w:space="0" w:color="auto"/>
            </w:tcBorders>
            <w:shd w:val="clear" w:color="000000" w:fill="FFFFFF"/>
            <w:vAlign w:val="bottom"/>
            <w:hideMark/>
          </w:tcPr>
          <w:p w14:paraId="1844C105"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3 (7.5%)</w:t>
            </w:r>
          </w:p>
        </w:tc>
      </w:tr>
      <w:tr w:rsidR="00CA53A5" w:rsidRPr="00BC124E" w14:paraId="41A5E49C"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40BB79EE"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Driver's License</w:t>
            </w:r>
          </w:p>
        </w:tc>
        <w:tc>
          <w:tcPr>
            <w:tcW w:w="1895" w:type="dxa"/>
            <w:tcBorders>
              <w:top w:val="nil"/>
              <w:left w:val="nil"/>
              <w:bottom w:val="nil"/>
              <w:right w:val="nil"/>
            </w:tcBorders>
            <w:shd w:val="clear" w:color="000000" w:fill="FFFFFF"/>
            <w:vAlign w:val="bottom"/>
            <w:hideMark/>
          </w:tcPr>
          <w:p w14:paraId="7341837D"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7.9%</w:t>
            </w:r>
          </w:p>
        </w:tc>
        <w:tc>
          <w:tcPr>
            <w:tcW w:w="3150" w:type="dxa"/>
            <w:gridSpan w:val="2"/>
            <w:tcBorders>
              <w:top w:val="nil"/>
              <w:left w:val="nil"/>
              <w:bottom w:val="nil"/>
              <w:right w:val="single" w:sz="4" w:space="0" w:color="auto"/>
            </w:tcBorders>
            <w:shd w:val="clear" w:color="000000" w:fill="FFFFFF"/>
            <w:vAlign w:val="bottom"/>
            <w:hideMark/>
          </w:tcPr>
          <w:p w14:paraId="335E3F0F"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5 (12.5%)</w:t>
            </w:r>
          </w:p>
        </w:tc>
      </w:tr>
      <w:tr w:rsidR="00CA53A5" w:rsidRPr="00BC124E" w14:paraId="710F3482"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14401D6D"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Badging Agencies/Background Investigation</w:t>
            </w:r>
          </w:p>
        </w:tc>
        <w:tc>
          <w:tcPr>
            <w:tcW w:w="1895" w:type="dxa"/>
            <w:tcBorders>
              <w:top w:val="nil"/>
              <w:left w:val="nil"/>
              <w:bottom w:val="nil"/>
              <w:right w:val="nil"/>
            </w:tcBorders>
            <w:shd w:val="clear" w:color="000000" w:fill="FFFFFF"/>
            <w:vAlign w:val="bottom"/>
            <w:hideMark/>
          </w:tcPr>
          <w:p w14:paraId="7AB58F86"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5.0%</w:t>
            </w:r>
          </w:p>
        </w:tc>
        <w:tc>
          <w:tcPr>
            <w:tcW w:w="3150" w:type="dxa"/>
            <w:gridSpan w:val="2"/>
            <w:tcBorders>
              <w:top w:val="nil"/>
              <w:left w:val="nil"/>
              <w:bottom w:val="nil"/>
              <w:right w:val="single" w:sz="4" w:space="0" w:color="auto"/>
            </w:tcBorders>
            <w:shd w:val="clear" w:color="000000" w:fill="FFFFFF"/>
            <w:vAlign w:val="bottom"/>
            <w:hideMark/>
          </w:tcPr>
          <w:p w14:paraId="224FF8F9"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2</w:t>
            </w:r>
            <w:r w:rsidR="004509B7" w:rsidRPr="00607D61">
              <w:rPr>
                <w:rFonts w:ascii="Times New Roman" w:hAnsi="Times New Roman"/>
                <w:color w:val="000000"/>
                <w:sz w:val="22"/>
                <w:szCs w:val="22"/>
              </w:rPr>
              <w:t xml:space="preserve"> (5.0%)</w:t>
            </w:r>
          </w:p>
        </w:tc>
      </w:tr>
      <w:tr w:rsidR="00CA53A5" w:rsidRPr="00BC124E" w14:paraId="39EAEA81"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6F5E4713"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Miscellaneous</w:t>
            </w:r>
          </w:p>
        </w:tc>
        <w:tc>
          <w:tcPr>
            <w:tcW w:w="1895" w:type="dxa"/>
            <w:tcBorders>
              <w:top w:val="nil"/>
              <w:left w:val="nil"/>
              <w:bottom w:val="nil"/>
              <w:right w:val="nil"/>
            </w:tcBorders>
            <w:shd w:val="clear" w:color="000000" w:fill="FFFFFF"/>
            <w:vAlign w:val="bottom"/>
            <w:hideMark/>
          </w:tcPr>
          <w:p w14:paraId="0ED99AD1"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1.3%</w:t>
            </w:r>
          </w:p>
        </w:tc>
        <w:tc>
          <w:tcPr>
            <w:tcW w:w="3150" w:type="dxa"/>
            <w:gridSpan w:val="2"/>
            <w:tcBorders>
              <w:top w:val="nil"/>
              <w:left w:val="nil"/>
              <w:bottom w:val="nil"/>
              <w:right w:val="single" w:sz="4" w:space="0" w:color="auto"/>
            </w:tcBorders>
            <w:shd w:val="clear" w:color="000000" w:fill="FFFFFF"/>
            <w:vAlign w:val="bottom"/>
            <w:hideMark/>
          </w:tcPr>
          <w:p w14:paraId="4D150197"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w:t>
            </w:r>
            <w:r w:rsidR="004509B7" w:rsidRPr="00607D61">
              <w:rPr>
                <w:rFonts w:ascii="Times New Roman" w:hAnsi="Times New Roman"/>
                <w:color w:val="000000"/>
                <w:sz w:val="22"/>
                <w:szCs w:val="22"/>
              </w:rPr>
              <w:t xml:space="preserve"> (2.5%)</w:t>
            </w:r>
          </w:p>
        </w:tc>
      </w:tr>
      <w:tr w:rsidR="00CA53A5" w:rsidRPr="00BC124E" w14:paraId="64CA2EA2"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043318E1"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Voter Registration</w:t>
            </w:r>
          </w:p>
        </w:tc>
        <w:tc>
          <w:tcPr>
            <w:tcW w:w="1895" w:type="dxa"/>
            <w:tcBorders>
              <w:top w:val="nil"/>
              <w:left w:val="nil"/>
              <w:bottom w:val="nil"/>
              <w:right w:val="nil"/>
            </w:tcBorders>
            <w:shd w:val="clear" w:color="000000" w:fill="FFFFFF"/>
            <w:vAlign w:val="bottom"/>
            <w:hideMark/>
          </w:tcPr>
          <w:p w14:paraId="374E2430"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0.6%</w:t>
            </w:r>
          </w:p>
        </w:tc>
        <w:tc>
          <w:tcPr>
            <w:tcW w:w="3150" w:type="dxa"/>
            <w:gridSpan w:val="2"/>
            <w:tcBorders>
              <w:top w:val="nil"/>
              <w:left w:val="nil"/>
              <w:bottom w:val="nil"/>
              <w:right w:val="single" w:sz="4" w:space="0" w:color="auto"/>
            </w:tcBorders>
            <w:shd w:val="clear" w:color="000000" w:fill="FFFFFF"/>
            <w:vAlign w:val="bottom"/>
            <w:hideMark/>
          </w:tcPr>
          <w:p w14:paraId="4BCF24F8"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w:t>
            </w:r>
            <w:r w:rsidR="004509B7" w:rsidRPr="00607D61">
              <w:rPr>
                <w:rFonts w:ascii="Times New Roman" w:hAnsi="Times New Roman"/>
                <w:color w:val="000000"/>
                <w:sz w:val="22"/>
                <w:szCs w:val="22"/>
              </w:rPr>
              <w:t xml:space="preserve"> (2.5%)</w:t>
            </w:r>
          </w:p>
        </w:tc>
      </w:tr>
      <w:tr w:rsidR="00CA53A5" w:rsidRPr="00BC124E" w14:paraId="6EB1EA9F"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3B6BF650"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Tax Exemption</w:t>
            </w:r>
          </w:p>
        </w:tc>
        <w:tc>
          <w:tcPr>
            <w:tcW w:w="1895" w:type="dxa"/>
            <w:tcBorders>
              <w:top w:val="nil"/>
              <w:left w:val="nil"/>
              <w:bottom w:val="nil"/>
              <w:right w:val="nil"/>
            </w:tcBorders>
            <w:shd w:val="clear" w:color="000000" w:fill="FFFFFF"/>
            <w:vAlign w:val="bottom"/>
            <w:hideMark/>
          </w:tcPr>
          <w:p w14:paraId="37D51F66"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1.3%</w:t>
            </w:r>
          </w:p>
        </w:tc>
        <w:tc>
          <w:tcPr>
            <w:tcW w:w="3150" w:type="dxa"/>
            <w:gridSpan w:val="2"/>
            <w:tcBorders>
              <w:top w:val="nil"/>
              <w:left w:val="nil"/>
              <w:bottom w:val="nil"/>
              <w:right w:val="single" w:sz="4" w:space="0" w:color="auto"/>
            </w:tcBorders>
            <w:shd w:val="clear" w:color="000000" w:fill="FFFFFF"/>
            <w:vAlign w:val="bottom"/>
            <w:hideMark/>
          </w:tcPr>
          <w:p w14:paraId="062258B6"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w:t>
            </w:r>
            <w:r w:rsidR="004509B7" w:rsidRPr="00607D61">
              <w:rPr>
                <w:rFonts w:ascii="Times New Roman" w:hAnsi="Times New Roman"/>
                <w:color w:val="000000"/>
                <w:sz w:val="22"/>
                <w:szCs w:val="22"/>
              </w:rPr>
              <w:t xml:space="preserve"> (2.5%)</w:t>
            </w:r>
          </w:p>
        </w:tc>
      </w:tr>
      <w:tr w:rsidR="00CA53A5" w:rsidRPr="00BC124E" w14:paraId="5CA6E05D" w14:textId="77777777" w:rsidTr="00E9712B">
        <w:trPr>
          <w:trHeight w:val="302"/>
          <w:jc w:val="center"/>
        </w:trPr>
        <w:tc>
          <w:tcPr>
            <w:tcW w:w="4225" w:type="dxa"/>
            <w:tcBorders>
              <w:top w:val="nil"/>
              <w:left w:val="single" w:sz="4" w:space="0" w:color="auto"/>
              <w:bottom w:val="nil"/>
              <w:right w:val="nil"/>
            </w:tcBorders>
            <w:shd w:val="clear" w:color="000000" w:fill="FFFFFF"/>
            <w:vAlign w:val="bottom"/>
            <w:hideMark/>
          </w:tcPr>
          <w:p w14:paraId="3A82D1EB"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Housing</w:t>
            </w:r>
          </w:p>
        </w:tc>
        <w:tc>
          <w:tcPr>
            <w:tcW w:w="1895" w:type="dxa"/>
            <w:tcBorders>
              <w:top w:val="nil"/>
              <w:left w:val="nil"/>
              <w:bottom w:val="nil"/>
              <w:right w:val="nil"/>
            </w:tcBorders>
            <w:shd w:val="clear" w:color="000000" w:fill="FFFFFF"/>
            <w:vAlign w:val="bottom"/>
            <w:hideMark/>
          </w:tcPr>
          <w:p w14:paraId="47BBFD76"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0.6%</w:t>
            </w:r>
          </w:p>
        </w:tc>
        <w:tc>
          <w:tcPr>
            <w:tcW w:w="3150" w:type="dxa"/>
            <w:gridSpan w:val="2"/>
            <w:tcBorders>
              <w:top w:val="nil"/>
              <w:left w:val="nil"/>
              <w:bottom w:val="nil"/>
              <w:right w:val="single" w:sz="4" w:space="0" w:color="auto"/>
            </w:tcBorders>
            <w:shd w:val="clear" w:color="000000" w:fill="FFFFFF"/>
            <w:vAlign w:val="bottom"/>
            <w:hideMark/>
          </w:tcPr>
          <w:p w14:paraId="11F77096"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1</w:t>
            </w:r>
            <w:r w:rsidR="004509B7" w:rsidRPr="00607D61">
              <w:rPr>
                <w:rFonts w:ascii="Times New Roman" w:hAnsi="Times New Roman"/>
                <w:color w:val="000000"/>
                <w:sz w:val="22"/>
                <w:szCs w:val="22"/>
              </w:rPr>
              <w:t xml:space="preserve"> (2.5%)</w:t>
            </w:r>
          </w:p>
        </w:tc>
      </w:tr>
      <w:tr w:rsidR="004509B7" w:rsidRPr="00BC124E" w14:paraId="038E2919" w14:textId="77777777" w:rsidTr="00E9712B">
        <w:trPr>
          <w:trHeight w:val="331"/>
          <w:jc w:val="center"/>
        </w:trPr>
        <w:tc>
          <w:tcPr>
            <w:tcW w:w="9270" w:type="dxa"/>
            <w:gridSpan w:val="4"/>
            <w:tcBorders>
              <w:top w:val="nil"/>
              <w:left w:val="single" w:sz="4" w:space="0" w:color="auto"/>
              <w:bottom w:val="nil"/>
              <w:right w:val="single" w:sz="4" w:space="0" w:color="auto"/>
            </w:tcBorders>
            <w:shd w:val="clear" w:color="auto" w:fill="BFBFBF" w:themeFill="background1" w:themeFillShade="BF"/>
            <w:vAlign w:val="bottom"/>
          </w:tcPr>
          <w:p w14:paraId="08FA40A1" w14:textId="77777777" w:rsidR="004509B7" w:rsidRPr="00607D61" w:rsidRDefault="004509B7" w:rsidP="009C193E">
            <w:pPr>
              <w:jc w:val="center"/>
              <w:rPr>
                <w:rFonts w:ascii="Times New Roman" w:hAnsi="Times New Roman"/>
                <w:color w:val="000000"/>
                <w:sz w:val="22"/>
                <w:szCs w:val="22"/>
              </w:rPr>
            </w:pPr>
            <w:r w:rsidRPr="00607D61">
              <w:rPr>
                <w:rFonts w:ascii="Times New Roman" w:hAnsi="Times New Roman"/>
                <w:b/>
                <w:color w:val="000000"/>
                <w:sz w:val="22"/>
                <w:szCs w:val="22"/>
              </w:rPr>
              <w:t>Agency’s Method for Accessing SAVE Evaluation</w:t>
            </w:r>
          </w:p>
        </w:tc>
      </w:tr>
      <w:tr w:rsidR="00CA53A5" w:rsidRPr="00BC124E" w14:paraId="20EB1A48" w14:textId="77777777" w:rsidTr="00E9712B">
        <w:trPr>
          <w:trHeight w:val="300"/>
          <w:jc w:val="center"/>
        </w:trPr>
        <w:tc>
          <w:tcPr>
            <w:tcW w:w="4225" w:type="dxa"/>
            <w:tcBorders>
              <w:top w:val="nil"/>
              <w:left w:val="single" w:sz="4" w:space="0" w:color="auto"/>
              <w:bottom w:val="nil"/>
              <w:right w:val="nil"/>
            </w:tcBorders>
            <w:shd w:val="clear" w:color="000000" w:fill="FFFFFF"/>
            <w:noWrap/>
            <w:vAlign w:val="bottom"/>
            <w:hideMark/>
          </w:tcPr>
          <w:p w14:paraId="7FCB57EE"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Web Access</w:t>
            </w:r>
          </w:p>
        </w:tc>
        <w:tc>
          <w:tcPr>
            <w:tcW w:w="1895" w:type="dxa"/>
            <w:tcBorders>
              <w:top w:val="nil"/>
              <w:left w:val="nil"/>
              <w:bottom w:val="nil"/>
              <w:right w:val="nil"/>
            </w:tcBorders>
            <w:shd w:val="clear" w:color="000000" w:fill="FFFFFF"/>
            <w:vAlign w:val="bottom"/>
            <w:hideMark/>
          </w:tcPr>
          <w:p w14:paraId="36F939FA"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90.5%</w:t>
            </w:r>
          </w:p>
        </w:tc>
        <w:tc>
          <w:tcPr>
            <w:tcW w:w="3150" w:type="dxa"/>
            <w:gridSpan w:val="2"/>
            <w:tcBorders>
              <w:top w:val="nil"/>
              <w:left w:val="nil"/>
              <w:bottom w:val="nil"/>
              <w:right w:val="single" w:sz="4" w:space="0" w:color="auto"/>
            </w:tcBorders>
            <w:shd w:val="clear" w:color="000000" w:fill="FFFFFF"/>
            <w:vAlign w:val="bottom"/>
            <w:hideMark/>
          </w:tcPr>
          <w:p w14:paraId="1231F0AF"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3</w:t>
            </w:r>
            <w:r w:rsidR="004509B7" w:rsidRPr="00607D61">
              <w:rPr>
                <w:rFonts w:ascii="Times New Roman" w:hAnsi="Times New Roman"/>
                <w:color w:val="000000"/>
                <w:sz w:val="22"/>
                <w:szCs w:val="22"/>
              </w:rPr>
              <w:t>2 (80.0%)</w:t>
            </w:r>
          </w:p>
        </w:tc>
      </w:tr>
      <w:tr w:rsidR="00CA53A5" w:rsidRPr="00BC124E" w14:paraId="03D820AA" w14:textId="77777777" w:rsidTr="00E9712B">
        <w:trPr>
          <w:trHeight w:val="300"/>
          <w:jc w:val="center"/>
        </w:trPr>
        <w:tc>
          <w:tcPr>
            <w:tcW w:w="4225" w:type="dxa"/>
            <w:tcBorders>
              <w:top w:val="nil"/>
              <w:left w:val="single" w:sz="4" w:space="0" w:color="auto"/>
              <w:bottom w:val="single" w:sz="4" w:space="0" w:color="auto"/>
              <w:right w:val="nil"/>
            </w:tcBorders>
            <w:shd w:val="clear" w:color="000000" w:fill="FFFFFF"/>
            <w:noWrap/>
            <w:vAlign w:val="bottom"/>
            <w:hideMark/>
          </w:tcPr>
          <w:p w14:paraId="765BF22D" w14:textId="77777777" w:rsidR="00CA53A5" w:rsidRPr="00607D61" w:rsidRDefault="00CA53A5" w:rsidP="009C193E">
            <w:pPr>
              <w:rPr>
                <w:rFonts w:ascii="Times New Roman" w:hAnsi="Times New Roman"/>
                <w:color w:val="000000"/>
                <w:sz w:val="22"/>
                <w:szCs w:val="22"/>
              </w:rPr>
            </w:pPr>
            <w:r w:rsidRPr="00607D61">
              <w:rPr>
                <w:rFonts w:ascii="Times New Roman" w:hAnsi="Times New Roman"/>
                <w:color w:val="000000"/>
                <w:sz w:val="22"/>
                <w:szCs w:val="22"/>
              </w:rPr>
              <w:t>Web Service Access</w:t>
            </w:r>
          </w:p>
        </w:tc>
        <w:tc>
          <w:tcPr>
            <w:tcW w:w="1895" w:type="dxa"/>
            <w:tcBorders>
              <w:top w:val="nil"/>
              <w:left w:val="nil"/>
              <w:bottom w:val="single" w:sz="4" w:space="0" w:color="auto"/>
              <w:right w:val="nil"/>
            </w:tcBorders>
            <w:shd w:val="clear" w:color="000000" w:fill="FFFFFF"/>
            <w:vAlign w:val="bottom"/>
            <w:hideMark/>
          </w:tcPr>
          <w:p w14:paraId="4066A720" w14:textId="77777777" w:rsidR="00CA53A5" w:rsidRPr="00607D61" w:rsidRDefault="00CA53A5" w:rsidP="009C193E">
            <w:pPr>
              <w:jc w:val="center"/>
              <w:rPr>
                <w:rFonts w:ascii="Times New Roman" w:hAnsi="Times New Roman"/>
                <w:color w:val="000000"/>
                <w:sz w:val="22"/>
                <w:szCs w:val="22"/>
              </w:rPr>
            </w:pPr>
            <w:r w:rsidRPr="00607D61">
              <w:rPr>
                <w:rFonts w:ascii="Times New Roman" w:hAnsi="Times New Roman"/>
                <w:color w:val="000000"/>
                <w:sz w:val="22"/>
                <w:szCs w:val="22"/>
              </w:rPr>
              <w:t>9.5%</w:t>
            </w:r>
          </w:p>
        </w:tc>
        <w:tc>
          <w:tcPr>
            <w:tcW w:w="3150" w:type="dxa"/>
            <w:gridSpan w:val="2"/>
            <w:tcBorders>
              <w:top w:val="nil"/>
              <w:left w:val="nil"/>
              <w:bottom w:val="single" w:sz="4" w:space="0" w:color="auto"/>
              <w:right w:val="single" w:sz="4" w:space="0" w:color="auto"/>
            </w:tcBorders>
            <w:shd w:val="clear" w:color="000000" w:fill="FFFFFF"/>
            <w:vAlign w:val="bottom"/>
            <w:hideMark/>
          </w:tcPr>
          <w:p w14:paraId="3D265D5A" w14:textId="77777777" w:rsidR="00CA53A5" w:rsidRPr="00607D61" w:rsidRDefault="004509B7" w:rsidP="009C193E">
            <w:pPr>
              <w:jc w:val="center"/>
              <w:rPr>
                <w:rFonts w:ascii="Times New Roman" w:hAnsi="Times New Roman"/>
                <w:color w:val="000000"/>
                <w:sz w:val="22"/>
                <w:szCs w:val="22"/>
              </w:rPr>
            </w:pPr>
            <w:r w:rsidRPr="00607D61">
              <w:rPr>
                <w:rFonts w:ascii="Times New Roman" w:hAnsi="Times New Roman"/>
                <w:color w:val="000000"/>
                <w:sz w:val="22"/>
                <w:szCs w:val="22"/>
              </w:rPr>
              <w:t>8 (20.0%)</w:t>
            </w:r>
          </w:p>
        </w:tc>
      </w:tr>
    </w:tbl>
    <w:p w14:paraId="1569BA81" w14:textId="77777777" w:rsidR="009C193E" w:rsidRDefault="009C193E" w:rsidP="00A42F91">
      <w:pPr>
        <w:autoSpaceDE w:val="0"/>
        <w:autoSpaceDN w:val="0"/>
        <w:adjustRightInd w:val="0"/>
        <w:rPr>
          <w:rFonts w:ascii="Times New Roman" w:hAnsi="Times New Roman"/>
          <w:szCs w:val="24"/>
        </w:rPr>
      </w:pPr>
    </w:p>
    <w:p w14:paraId="1424A8CE" w14:textId="77777777" w:rsidR="009C193E" w:rsidRDefault="009C193E" w:rsidP="00A42F91">
      <w:pPr>
        <w:autoSpaceDE w:val="0"/>
        <w:autoSpaceDN w:val="0"/>
        <w:adjustRightInd w:val="0"/>
        <w:rPr>
          <w:rFonts w:ascii="Times New Roman" w:hAnsi="Times New Roman"/>
          <w:szCs w:val="24"/>
        </w:rPr>
        <w:sectPr w:rsidR="009C193E" w:rsidSect="009841ED">
          <w:footerReference w:type="default" r:id="rId9"/>
          <w:pgSz w:w="12240" w:h="15840"/>
          <w:pgMar w:top="1440" w:right="1440" w:bottom="1440" w:left="1440" w:header="720" w:footer="720" w:gutter="0"/>
          <w:cols w:space="720"/>
          <w:docGrid w:linePitch="360"/>
        </w:sectPr>
      </w:pPr>
    </w:p>
    <w:p w14:paraId="5D6C9451" w14:textId="77777777" w:rsidR="00A42F91" w:rsidRPr="001C7C42" w:rsidRDefault="00A42F91" w:rsidP="00A42F91">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sz w:val="24"/>
          <w:szCs w:val="24"/>
        </w:rPr>
        <w:lastRenderedPageBreak/>
        <w:t xml:space="preserve">  </w:t>
      </w:r>
      <w:bookmarkStart w:id="2" w:name="_Toc177901842"/>
      <w:r w:rsidRPr="001C7C42">
        <w:rPr>
          <w:rFonts w:ascii="Times New Roman" w:hAnsi="Times New Roman"/>
          <w:color w:val="auto"/>
          <w:sz w:val="24"/>
          <w:szCs w:val="24"/>
        </w:rPr>
        <w:t>Procedures for the Collection of Information</w:t>
      </w:r>
      <w:bookmarkEnd w:id="2"/>
    </w:p>
    <w:p w14:paraId="2982CB15" w14:textId="77777777" w:rsidR="00A42F91" w:rsidRDefault="00A42F91" w:rsidP="00AE2B1B">
      <w:pPr>
        <w:pStyle w:val="N1-1stBullet"/>
        <w:numPr>
          <w:ilvl w:val="0"/>
          <w:numId w:val="0"/>
        </w:numPr>
        <w:spacing w:after="0" w:line="240" w:lineRule="auto"/>
        <w:rPr>
          <w:rFonts w:ascii="Times New Roman" w:hAnsi="Times New Roman"/>
          <w:szCs w:val="24"/>
        </w:rPr>
      </w:pPr>
    </w:p>
    <w:p w14:paraId="19B5AE70" w14:textId="77777777" w:rsidR="00A42F91" w:rsidRPr="00924EA7" w:rsidRDefault="00A42F91" w:rsidP="00A42F91">
      <w:pPr>
        <w:pStyle w:val="L1-FlLSp12"/>
        <w:rPr>
          <w:rFonts w:ascii="Times New Roman" w:hAnsi="Times New Roman"/>
          <w:b/>
          <w:i/>
          <w:szCs w:val="24"/>
        </w:rPr>
      </w:pPr>
      <w:r w:rsidRPr="00924EA7">
        <w:rPr>
          <w:rFonts w:ascii="Times New Roman" w:hAnsi="Times New Roman"/>
          <w:b/>
          <w:i/>
          <w:szCs w:val="24"/>
        </w:rPr>
        <w:t>Web</w:t>
      </w:r>
      <w:r>
        <w:rPr>
          <w:rFonts w:ascii="Times New Roman" w:hAnsi="Times New Roman"/>
          <w:b/>
          <w:i/>
          <w:szCs w:val="24"/>
        </w:rPr>
        <w:t xml:space="preserve">-based </w:t>
      </w:r>
      <w:r w:rsidRPr="00924EA7">
        <w:rPr>
          <w:rFonts w:ascii="Times New Roman" w:hAnsi="Times New Roman"/>
          <w:b/>
          <w:i/>
          <w:szCs w:val="24"/>
        </w:rPr>
        <w:t>Survey: Collection of Information</w:t>
      </w:r>
    </w:p>
    <w:p w14:paraId="69F1AEF0" w14:textId="6A5F8764" w:rsidR="00F7360E" w:rsidRDefault="00A42F91" w:rsidP="00F7360E">
      <w:pPr>
        <w:pStyle w:val="L1-FlLSp12"/>
        <w:spacing w:line="240" w:lineRule="auto"/>
        <w:rPr>
          <w:rFonts w:ascii="Times New Roman" w:hAnsi="Times New Roman"/>
          <w:szCs w:val="24"/>
        </w:rPr>
      </w:pPr>
      <w:r>
        <w:rPr>
          <w:rFonts w:ascii="Times New Roman" w:hAnsi="Times New Roman"/>
          <w:szCs w:val="24"/>
        </w:rPr>
        <w:t xml:space="preserve">To collect the requisite data </w:t>
      </w:r>
      <w:r w:rsidR="00995251">
        <w:rPr>
          <w:rFonts w:ascii="Times New Roman" w:hAnsi="Times New Roman"/>
          <w:szCs w:val="24"/>
        </w:rPr>
        <w:t>via</w:t>
      </w:r>
      <w:r>
        <w:rPr>
          <w:rFonts w:ascii="Times New Roman" w:hAnsi="Times New Roman"/>
          <w:szCs w:val="24"/>
        </w:rPr>
        <w:t xml:space="preserve"> the Web-based survey</w:t>
      </w:r>
      <w:r w:rsidR="00995251">
        <w:rPr>
          <w:rFonts w:ascii="Times New Roman" w:hAnsi="Times New Roman"/>
          <w:szCs w:val="24"/>
        </w:rPr>
        <w:t xml:space="preserve"> (see </w:t>
      </w:r>
      <w:r w:rsidR="00D64A26">
        <w:rPr>
          <w:rFonts w:ascii="Times New Roman" w:hAnsi="Times New Roman"/>
          <w:szCs w:val="24"/>
        </w:rPr>
        <w:t>Save Evaluation Web Survey</w:t>
      </w:r>
      <w:r w:rsidR="00995251">
        <w:rPr>
          <w:rFonts w:ascii="Times New Roman" w:hAnsi="Times New Roman"/>
          <w:szCs w:val="24"/>
        </w:rPr>
        <w:t>)</w:t>
      </w:r>
      <w:r>
        <w:rPr>
          <w:rFonts w:ascii="Times New Roman" w:hAnsi="Times New Roman"/>
          <w:szCs w:val="24"/>
        </w:rPr>
        <w:t>, the evaluation contractor will implement</w:t>
      </w:r>
      <w:r w:rsidRPr="00A47EA6">
        <w:rPr>
          <w:rFonts w:ascii="Times New Roman" w:hAnsi="Times New Roman"/>
          <w:szCs w:val="24"/>
        </w:rPr>
        <w:t xml:space="preserve"> a multi</w:t>
      </w:r>
      <w:r>
        <w:rPr>
          <w:rFonts w:ascii="Times New Roman" w:hAnsi="Times New Roman"/>
          <w:szCs w:val="24"/>
        </w:rPr>
        <w:t>-step process</w:t>
      </w:r>
      <w:r w:rsidRPr="00A47EA6">
        <w:rPr>
          <w:rFonts w:ascii="Times New Roman" w:hAnsi="Times New Roman"/>
          <w:szCs w:val="24"/>
        </w:rPr>
        <w:t xml:space="preserve">. </w:t>
      </w:r>
      <w:r>
        <w:rPr>
          <w:rFonts w:ascii="Times New Roman" w:hAnsi="Times New Roman"/>
          <w:szCs w:val="24"/>
        </w:rPr>
        <w:t>Utilizing the list of active user agencies provided by USCIS, the evaluation contractor will work with USCIS</w:t>
      </w:r>
      <w:r w:rsidRPr="00A47EA6">
        <w:rPr>
          <w:rFonts w:ascii="Times New Roman" w:hAnsi="Times New Roman"/>
          <w:szCs w:val="24"/>
        </w:rPr>
        <w:t xml:space="preserve"> to acquire current contact information for all active agencies, including names, mailing addresses, email addresses, and telephone contact numbers.</w:t>
      </w:r>
      <w:r w:rsidR="008F7C5A">
        <w:rPr>
          <w:rFonts w:ascii="Times New Roman" w:hAnsi="Times New Roman"/>
          <w:szCs w:val="24"/>
        </w:rPr>
        <w:t xml:space="preserve"> </w:t>
      </w:r>
      <w:r w:rsidR="008F7C5A" w:rsidRPr="008F7C5A">
        <w:rPr>
          <w:rFonts w:ascii="Times New Roman" w:hAnsi="Times New Roman"/>
          <w:szCs w:val="24"/>
        </w:rPr>
        <w:t>In the next step, the evaluation contractor will distribute a USCIS recruitment letter by mail (see Attachment A-1 for letter to agencies selected for the Web-based Survey only, and Attachment B-1 for letter to agencies selected for the Web-based Survey and Site Visit Protocols Questionnaire), and by email with the USCIS letter attached (see Attachment A-2 for email to agencies selected for the Web-based Survey only, and B-3 for email to agencies selected for the Web-based Survey and Site Visit Protocols Questionnaire) to staff identified for each active agency prior to the official r</w:t>
      </w:r>
      <w:r w:rsidR="008F7C5A">
        <w:rPr>
          <w:rFonts w:ascii="Times New Roman" w:hAnsi="Times New Roman"/>
          <w:szCs w:val="24"/>
        </w:rPr>
        <w:t xml:space="preserve">elease of the Web-based survey. </w:t>
      </w:r>
      <w:r w:rsidRPr="00A47EA6">
        <w:rPr>
          <w:rFonts w:ascii="Times New Roman" w:hAnsi="Times New Roman"/>
          <w:szCs w:val="24"/>
        </w:rPr>
        <w:t xml:space="preserve">The </w:t>
      </w:r>
      <w:r w:rsidR="00350C86">
        <w:rPr>
          <w:rFonts w:ascii="Times New Roman" w:hAnsi="Times New Roman"/>
          <w:szCs w:val="24"/>
        </w:rPr>
        <w:t>letter</w:t>
      </w:r>
      <w:r w:rsidR="008F7C5A">
        <w:rPr>
          <w:rFonts w:ascii="Times New Roman" w:hAnsi="Times New Roman"/>
          <w:szCs w:val="24"/>
        </w:rPr>
        <w:t>s</w:t>
      </w:r>
      <w:r w:rsidRPr="00A47EA6">
        <w:rPr>
          <w:rFonts w:ascii="Times New Roman" w:hAnsi="Times New Roman"/>
          <w:szCs w:val="24"/>
        </w:rPr>
        <w:t xml:space="preserve"> will describe the purpose of the survey and provide instructions on completing the survey on the Web.</w:t>
      </w:r>
      <w:r>
        <w:rPr>
          <w:rFonts w:ascii="Times New Roman" w:hAnsi="Times New Roman"/>
          <w:szCs w:val="24"/>
        </w:rPr>
        <w:t xml:space="preserve"> </w:t>
      </w:r>
      <w:r w:rsidRPr="00A47EA6">
        <w:rPr>
          <w:rFonts w:ascii="Times New Roman" w:hAnsi="Times New Roman"/>
          <w:szCs w:val="24"/>
        </w:rPr>
        <w:t>The letter</w:t>
      </w:r>
      <w:r w:rsidR="008F7C5A">
        <w:rPr>
          <w:rFonts w:ascii="Times New Roman" w:hAnsi="Times New Roman"/>
          <w:szCs w:val="24"/>
        </w:rPr>
        <w:t>s</w:t>
      </w:r>
      <w:r w:rsidRPr="00A47EA6">
        <w:rPr>
          <w:rFonts w:ascii="Times New Roman" w:hAnsi="Times New Roman"/>
          <w:szCs w:val="24"/>
        </w:rPr>
        <w:t xml:space="preserve"> </w:t>
      </w:r>
      <w:r w:rsidR="00350C86" w:rsidRPr="00924EA7">
        <w:rPr>
          <w:rFonts w:ascii="Times New Roman" w:hAnsi="Times New Roman"/>
          <w:szCs w:val="24"/>
        </w:rPr>
        <w:t>will be on USCIS’s letterhead</w:t>
      </w:r>
      <w:r w:rsidRPr="00A47EA6">
        <w:rPr>
          <w:rFonts w:ascii="Times New Roman" w:hAnsi="Times New Roman"/>
          <w:szCs w:val="24"/>
        </w:rPr>
        <w:t>, and will include a message of support and signature of an USCIS administrative official.</w:t>
      </w:r>
      <w:r>
        <w:rPr>
          <w:rFonts w:ascii="Times New Roman" w:hAnsi="Times New Roman"/>
          <w:szCs w:val="24"/>
        </w:rPr>
        <w:t xml:space="preserve"> In the next step, the evaluation contractor will release email </w:t>
      </w:r>
      <w:r w:rsidRPr="00A47EA6">
        <w:rPr>
          <w:rFonts w:ascii="Times New Roman" w:hAnsi="Times New Roman"/>
          <w:szCs w:val="24"/>
        </w:rPr>
        <w:t xml:space="preserve">notices announcing the availability of the SAVE user agency survey with access and log-in instructions unique to </w:t>
      </w:r>
      <w:r>
        <w:rPr>
          <w:rFonts w:ascii="Times New Roman" w:hAnsi="Times New Roman"/>
          <w:szCs w:val="24"/>
        </w:rPr>
        <w:t xml:space="preserve">the staff identified </w:t>
      </w:r>
      <w:r w:rsidRPr="00A47EA6">
        <w:rPr>
          <w:rFonts w:ascii="Times New Roman" w:hAnsi="Times New Roman"/>
          <w:szCs w:val="24"/>
        </w:rPr>
        <w:t xml:space="preserve">for each active </w:t>
      </w:r>
      <w:r>
        <w:rPr>
          <w:rFonts w:ascii="Times New Roman" w:hAnsi="Times New Roman"/>
          <w:szCs w:val="24"/>
        </w:rPr>
        <w:t xml:space="preserve">user </w:t>
      </w:r>
      <w:r w:rsidRPr="00A47EA6">
        <w:rPr>
          <w:rFonts w:ascii="Times New Roman" w:hAnsi="Times New Roman"/>
          <w:szCs w:val="24"/>
        </w:rPr>
        <w:t>agency</w:t>
      </w:r>
      <w:r w:rsidR="009C205C">
        <w:rPr>
          <w:rFonts w:ascii="Times New Roman" w:hAnsi="Times New Roman"/>
          <w:szCs w:val="24"/>
        </w:rPr>
        <w:t xml:space="preserve"> (see Attachment </w:t>
      </w:r>
      <w:r w:rsidR="00EE7634">
        <w:rPr>
          <w:rFonts w:ascii="Times New Roman" w:hAnsi="Times New Roman"/>
          <w:szCs w:val="24"/>
        </w:rPr>
        <w:t>A-3</w:t>
      </w:r>
      <w:r w:rsidR="009C205C">
        <w:rPr>
          <w:rFonts w:ascii="Times New Roman" w:hAnsi="Times New Roman"/>
          <w:szCs w:val="24"/>
        </w:rPr>
        <w:t>)</w:t>
      </w:r>
      <w:r w:rsidRPr="00A47EA6">
        <w:rPr>
          <w:rFonts w:ascii="Times New Roman" w:hAnsi="Times New Roman"/>
          <w:szCs w:val="24"/>
        </w:rPr>
        <w:t>.</w:t>
      </w:r>
      <w:r>
        <w:rPr>
          <w:rFonts w:ascii="Times New Roman" w:hAnsi="Times New Roman"/>
          <w:szCs w:val="24"/>
        </w:rPr>
        <w:t xml:space="preserve"> In the fourth step, the evaluation contractor will release fol</w:t>
      </w:r>
      <w:r w:rsidRPr="00A47EA6">
        <w:rPr>
          <w:rFonts w:ascii="Times New Roman" w:hAnsi="Times New Roman"/>
          <w:szCs w:val="24"/>
        </w:rPr>
        <w:t>low-up email notices to non-respondents. Three follow-up emails will be released at 7 days, 14 days, and 21 days following the official release of the SAVE user agency survey</w:t>
      </w:r>
      <w:r w:rsidR="009C205C">
        <w:rPr>
          <w:rFonts w:ascii="Times New Roman" w:hAnsi="Times New Roman"/>
          <w:szCs w:val="24"/>
        </w:rPr>
        <w:t xml:space="preserve"> (see Attachment </w:t>
      </w:r>
      <w:r w:rsidR="00EE7634">
        <w:rPr>
          <w:rFonts w:ascii="Times New Roman" w:hAnsi="Times New Roman"/>
          <w:szCs w:val="24"/>
        </w:rPr>
        <w:t>A-4</w:t>
      </w:r>
      <w:r w:rsidR="009C205C">
        <w:rPr>
          <w:rFonts w:ascii="Times New Roman" w:hAnsi="Times New Roman"/>
          <w:szCs w:val="24"/>
        </w:rPr>
        <w:t>)</w:t>
      </w:r>
      <w:r w:rsidRPr="00A47EA6">
        <w:rPr>
          <w:rFonts w:ascii="Times New Roman" w:hAnsi="Times New Roman"/>
          <w:szCs w:val="24"/>
        </w:rPr>
        <w:t>.</w:t>
      </w:r>
      <w:r>
        <w:rPr>
          <w:rFonts w:ascii="Times New Roman" w:hAnsi="Times New Roman"/>
          <w:szCs w:val="24"/>
        </w:rPr>
        <w:t xml:space="preserve"> </w:t>
      </w:r>
      <w:r w:rsidRPr="00A47EA6">
        <w:rPr>
          <w:rFonts w:ascii="Times New Roman" w:hAnsi="Times New Roman"/>
          <w:szCs w:val="24"/>
        </w:rPr>
        <w:t xml:space="preserve">After the 21-day follow-up period, telephone reminder calls </w:t>
      </w:r>
      <w:r>
        <w:rPr>
          <w:rFonts w:ascii="Times New Roman" w:hAnsi="Times New Roman"/>
          <w:szCs w:val="24"/>
        </w:rPr>
        <w:t>will be made to non-respondents</w:t>
      </w:r>
      <w:r w:rsidR="00995251">
        <w:rPr>
          <w:rFonts w:ascii="Times New Roman" w:hAnsi="Times New Roman"/>
          <w:szCs w:val="24"/>
        </w:rPr>
        <w:t>,</w:t>
      </w:r>
      <w:r>
        <w:rPr>
          <w:rFonts w:ascii="Times New Roman" w:hAnsi="Times New Roman"/>
          <w:szCs w:val="24"/>
        </w:rPr>
        <w:t xml:space="preserve"> and staff </w:t>
      </w:r>
      <w:r w:rsidRPr="00A47EA6">
        <w:rPr>
          <w:rFonts w:ascii="Times New Roman" w:hAnsi="Times New Roman"/>
          <w:szCs w:val="24"/>
        </w:rPr>
        <w:t>will be encouraged to complete the Web-based survey</w:t>
      </w:r>
      <w:r w:rsidR="009C205C">
        <w:rPr>
          <w:rFonts w:ascii="Times New Roman" w:hAnsi="Times New Roman"/>
          <w:szCs w:val="24"/>
        </w:rPr>
        <w:t xml:space="preserve"> (see Attachment </w:t>
      </w:r>
      <w:r w:rsidR="00EE7634">
        <w:rPr>
          <w:rFonts w:ascii="Times New Roman" w:hAnsi="Times New Roman"/>
          <w:szCs w:val="24"/>
        </w:rPr>
        <w:t>A-5</w:t>
      </w:r>
      <w:r w:rsidR="009C205C">
        <w:rPr>
          <w:rFonts w:ascii="Times New Roman" w:hAnsi="Times New Roman"/>
          <w:szCs w:val="24"/>
        </w:rPr>
        <w:t>)</w:t>
      </w:r>
      <w:r>
        <w:rPr>
          <w:rFonts w:ascii="Times New Roman" w:hAnsi="Times New Roman"/>
          <w:szCs w:val="24"/>
        </w:rPr>
        <w:t>.</w:t>
      </w:r>
    </w:p>
    <w:p w14:paraId="77D12C7D" w14:textId="77777777" w:rsidR="00F7360E" w:rsidRDefault="00F7360E" w:rsidP="00F7360E">
      <w:pPr>
        <w:pStyle w:val="L1-FlLSp12"/>
        <w:spacing w:line="240" w:lineRule="auto"/>
        <w:rPr>
          <w:rFonts w:ascii="Times New Roman" w:hAnsi="Times New Roman"/>
          <w:b/>
          <w:i/>
          <w:szCs w:val="24"/>
        </w:rPr>
      </w:pPr>
    </w:p>
    <w:p w14:paraId="2EA4A88E" w14:textId="65F781E1" w:rsidR="002C208B" w:rsidRPr="00924EA7" w:rsidRDefault="002C208B" w:rsidP="00F7360E">
      <w:pPr>
        <w:pStyle w:val="L1-FlLSp12"/>
        <w:spacing w:line="240" w:lineRule="auto"/>
        <w:rPr>
          <w:rFonts w:ascii="Times New Roman" w:hAnsi="Times New Roman"/>
          <w:b/>
          <w:i/>
          <w:szCs w:val="24"/>
        </w:rPr>
      </w:pPr>
      <w:r>
        <w:rPr>
          <w:rFonts w:ascii="Times New Roman" w:hAnsi="Times New Roman"/>
          <w:b/>
          <w:i/>
          <w:szCs w:val="24"/>
        </w:rPr>
        <w:t>User Agency Site Visit</w:t>
      </w:r>
      <w:r w:rsidR="008F7C5A">
        <w:rPr>
          <w:rFonts w:ascii="Times New Roman" w:hAnsi="Times New Roman"/>
          <w:b/>
          <w:i/>
          <w:szCs w:val="24"/>
        </w:rPr>
        <w:t xml:space="preserve"> Protocols Questionnaire</w:t>
      </w:r>
      <w:r w:rsidRPr="00924EA7">
        <w:rPr>
          <w:rFonts w:ascii="Times New Roman" w:hAnsi="Times New Roman"/>
          <w:b/>
          <w:i/>
          <w:szCs w:val="24"/>
        </w:rPr>
        <w:t>: Collection of Information</w:t>
      </w:r>
    </w:p>
    <w:p w14:paraId="7DE30DD9" w14:textId="6187A188" w:rsidR="002C208B" w:rsidRDefault="002C208B" w:rsidP="002C208B">
      <w:pPr>
        <w:pStyle w:val="L1-FlLSp12"/>
        <w:spacing w:line="240" w:lineRule="auto"/>
        <w:rPr>
          <w:rFonts w:ascii="Times New Roman" w:hAnsi="Times New Roman"/>
          <w:szCs w:val="24"/>
        </w:rPr>
      </w:pPr>
      <w:r w:rsidRPr="00924EA7">
        <w:rPr>
          <w:rFonts w:ascii="Times New Roman" w:hAnsi="Times New Roman"/>
          <w:szCs w:val="24"/>
        </w:rPr>
        <w:t xml:space="preserve">The </w:t>
      </w:r>
      <w:r>
        <w:rPr>
          <w:rFonts w:ascii="Times New Roman" w:hAnsi="Times New Roman"/>
          <w:szCs w:val="24"/>
        </w:rPr>
        <w:t>evaluation contractor</w:t>
      </w:r>
      <w:r w:rsidRPr="00924EA7">
        <w:rPr>
          <w:rFonts w:ascii="Times New Roman" w:hAnsi="Times New Roman"/>
          <w:szCs w:val="24"/>
        </w:rPr>
        <w:t xml:space="preserve"> team will work with USCIS’s staff to recruit the 40 agencies identified in the stratified purposive sample and prepare for site visits. </w:t>
      </w:r>
      <w:r w:rsidRPr="00E25877">
        <w:rPr>
          <w:rFonts w:ascii="Times New Roman" w:hAnsi="Times New Roman"/>
          <w:szCs w:val="24"/>
        </w:rPr>
        <w:t xml:space="preserve">The recruitment process will include initial outreach via a mailed USCIS recruitment letter (see Attachment </w:t>
      </w:r>
      <w:r w:rsidR="00EE7634">
        <w:rPr>
          <w:rFonts w:ascii="Times New Roman" w:hAnsi="Times New Roman"/>
          <w:szCs w:val="24"/>
        </w:rPr>
        <w:t>B-1</w:t>
      </w:r>
      <w:r w:rsidR="00EE268F">
        <w:rPr>
          <w:rFonts w:ascii="Times New Roman" w:hAnsi="Times New Roman"/>
          <w:szCs w:val="24"/>
        </w:rPr>
        <w:t xml:space="preserve">), and a </w:t>
      </w:r>
      <w:r w:rsidRPr="00E25877">
        <w:rPr>
          <w:rFonts w:ascii="Times New Roman" w:hAnsi="Times New Roman"/>
          <w:szCs w:val="24"/>
        </w:rPr>
        <w:t>study flyer</w:t>
      </w:r>
      <w:r w:rsidR="00EE268F">
        <w:rPr>
          <w:rFonts w:ascii="Times New Roman" w:hAnsi="Times New Roman"/>
          <w:szCs w:val="24"/>
        </w:rPr>
        <w:t xml:space="preserve">; </w:t>
      </w:r>
      <w:r w:rsidRPr="00E25877">
        <w:rPr>
          <w:rFonts w:ascii="Times New Roman" w:hAnsi="Times New Roman"/>
          <w:szCs w:val="24"/>
        </w:rPr>
        <w:t xml:space="preserve">and </w:t>
      </w:r>
      <w:r w:rsidR="00EE268F">
        <w:rPr>
          <w:rFonts w:ascii="Times New Roman" w:hAnsi="Times New Roman"/>
          <w:szCs w:val="24"/>
        </w:rPr>
        <w:t>by</w:t>
      </w:r>
      <w:r w:rsidRPr="00E25877">
        <w:rPr>
          <w:rFonts w:ascii="Times New Roman" w:hAnsi="Times New Roman"/>
          <w:szCs w:val="24"/>
        </w:rPr>
        <w:t xml:space="preserve"> email </w:t>
      </w:r>
      <w:r w:rsidR="00EE268F" w:rsidRPr="00E25877">
        <w:rPr>
          <w:rFonts w:ascii="Times New Roman" w:hAnsi="Times New Roman"/>
          <w:szCs w:val="24"/>
        </w:rPr>
        <w:t xml:space="preserve">(see Attachment </w:t>
      </w:r>
      <w:r w:rsidR="00EE268F">
        <w:rPr>
          <w:rFonts w:ascii="Times New Roman" w:hAnsi="Times New Roman"/>
          <w:szCs w:val="24"/>
        </w:rPr>
        <w:t xml:space="preserve">B-3) </w:t>
      </w:r>
      <w:r w:rsidRPr="00E25877">
        <w:rPr>
          <w:rFonts w:ascii="Times New Roman" w:hAnsi="Times New Roman"/>
          <w:szCs w:val="24"/>
        </w:rPr>
        <w:t xml:space="preserve">with the USCIS letter </w:t>
      </w:r>
      <w:r w:rsidR="00EE268F" w:rsidRPr="00E25877">
        <w:rPr>
          <w:rFonts w:ascii="Times New Roman" w:hAnsi="Times New Roman"/>
          <w:szCs w:val="24"/>
        </w:rPr>
        <w:t xml:space="preserve">(see Attachment </w:t>
      </w:r>
      <w:r w:rsidR="00EE268F">
        <w:rPr>
          <w:rFonts w:ascii="Times New Roman" w:hAnsi="Times New Roman"/>
          <w:szCs w:val="24"/>
        </w:rPr>
        <w:t xml:space="preserve">B-2) </w:t>
      </w:r>
      <w:r w:rsidR="008F7C5A">
        <w:rPr>
          <w:rFonts w:ascii="Times New Roman" w:hAnsi="Times New Roman"/>
          <w:szCs w:val="24"/>
        </w:rPr>
        <w:t xml:space="preserve">and </w:t>
      </w:r>
      <w:r w:rsidRPr="00E25877">
        <w:rPr>
          <w:rFonts w:ascii="Times New Roman" w:hAnsi="Times New Roman"/>
          <w:szCs w:val="24"/>
        </w:rPr>
        <w:t>study flyer attached. The recruitment letter will be on USCIS’s letterhead and the study flyer that specifies the</w:t>
      </w:r>
      <w:r w:rsidRPr="00924EA7">
        <w:rPr>
          <w:rFonts w:ascii="Times New Roman" w:hAnsi="Times New Roman"/>
          <w:szCs w:val="24"/>
        </w:rPr>
        <w:t xml:space="preserve"> purpose of the site visit, how the agency was selected, </w:t>
      </w:r>
      <w:r>
        <w:rPr>
          <w:rFonts w:ascii="Times New Roman" w:hAnsi="Times New Roman"/>
          <w:szCs w:val="24"/>
        </w:rPr>
        <w:t xml:space="preserve">how the data will be used, </w:t>
      </w:r>
      <w:r w:rsidRPr="00924EA7">
        <w:rPr>
          <w:rFonts w:ascii="Times New Roman" w:hAnsi="Times New Roman"/>
          <w:szCs w:val="24"/>
        </w:rPr>
        <w:t xml:space="preserve">benefits of participation, a </w:t>
      </w:r>
      <w:r>
        <w:rPr>
          <w:rFonts w:ascii="Times New Roman" w:hAnsi="Times New Roman"/>
          <w:szCs w:val="24"/>
        </w:rPr>
        <w:t>p</w:t>
      </w:r>
      <w:r w:rsidRPr="00924EA7">
        <w:rPr>
          <w:rFonts w:ascii="Times New Roman" w:hAnsi="Times New Roman"/>
          <w:szCs w:val="24"/>
        </w:rPr>
        <w:t xml:space="preserve">oint of </w:t>
      </w:r>
      <w:r>
        <w:rPr>
          <w:rFonts w:ascii="Times New Roman" w:hAnsi="Times New Roman"/>
          <w:szCs w:val="24"/>
        </w:rPr>
        <w:t>c</w:t>
      </w:r>
      <w:r w:rsidRPr="00924EA7">
        <w:rPr>
          <w:rFonts w:ascii="Times New Roman" w:hAnsi="Times New Roman"/>
          <w:szCs w:val="24"/>
        </w:rPr>
        <w:t xml:space="preserve">ontact </w:t>
      </w:r>
      <w:r>
        <w:rPr>
          <w:rFonts w:ascii="Times New Roman" w:hAnsi="Times New Roman"/>
          <w:szCs w:val="24"/>
        </w:rPr>
        <w:t xml:space="preserve">(POC) </w:t>
      </w:r>
      <w:r w:rsidRPr="00924EA7">
        <w:rPr>
          <w:rFonts w:ascii="Times New Roman" w:hAnsi="Times New Roman"/>
          <w:szCs w:val="24"/>
        </w:rPr>
        <w:t>to acquire additional information, and notif</w:t>
      </w:r>
      <w:r>
        <w:rPr>
          <w:rFonts w:ascii="Times New Roman" w:hAnsi="Times New Roman"/>
          <w:szCs w:val="24"/>
        </w:rPr>
        <w:t xml:space="preserve">ies </w:t>
      </w:r>
      <w:r w:rsidRPr="00924EA7">
        <w:rPr>
          <w:rFonts w:ascii="Times New Roman" w:hAnsi="Times New Roman"/>
          <w:szCs w:val="24"/>
        </w:rPr>
        <w:t>the site that</w:t>
      </w:r>
      <w:r>
        <w:rPr>
          <w:rFonts w:ascii="Times New Roman" w:hAnsi="Times New Roman"/>
          <w:szCs w:val="24"/>
        </w:rPr>
        <w:t xml:space="preserve"> the evaluation contractor</w:t>
      </w:r>
      <w:r w:rsidRPr="00924EA7">
        <w:rPr>
          <w:rFonts w:ascii="Times New Roman" w:hAnsi="Times New Roman"/>
          <w:szCs w:val="24"/>
        </w:rPr>
        <w:t xml:space="preserve"> </w:t>
      </w:r>
      <w:r>
        <w:rPr>
          <w:rFonts w:ascii="Times New Roman" w:hAnsi="Times New Roman"/>
          <w:szCs w:val="24"/>
        </w:rPr>
        <w:t>will provide additional communication and details.</w:t>
      </w:r>
    </w:p>
    <w:p w14:paraId="0A973BDD" w14:textId="77777777" w:rsidR="002C208B" w:rsidRDefault="002C208B" w:rsidP="009C205C">
      <w:pPr>
        <w:pStyle w:val="L1-FlLSp12"/>
        <w:spacing w:line="240" w:lineRule="auto"/>
        <w:rPr>
          <w:rFonts w:ascii="Times New Roman" w:hAnsi="Times New Roman"/>
          <w:szCs w:val="24"/>
        </w:rPr>
      </w:pPr>
    </w:p>
    <w:p w14:paraId="66E054D7" w14:textId="6C566A84" w:rsidR="002C208B" w:rsidRDefault="002C208B" w:rsidP="002C208B">
      <w:pPr>
        <w:pStyle w:val="L1-FlLSp12"/>
        <w:spacing w:line="240" w:lineRule="auto"/>
        <w:rPr>
          <w:rFonts w:ascii="Times New Roman" w:hAnsi="Times New Roman"/>
          <w:szCs w:val="24"/>
        </w:rPr>
      </w:pPr>
      <w:r>
        <w:rPr>
          <w:rFonts w:ascii="Times New Roman" w:hAnsi="Times New Roman"/>
          <w:szCs w:val="24"/>
        </w:rPr>
        <w:t xml:space="preserve">For non-responders, </w:t>
      </w:r>
      <w:r>
        <w:rPr>
          <w:rFonts w:ascii="Times New Roman" w:hAnsi="Times New Roman"/>
        </w:rPr>
        <w:t>follow-up efforts will be made via telephone calls up to three attempts 14 days, 21 days, and 28 days</w:t>
      </w:r>
      <w:r w:rsidRPr="00E75BDA">
        <w:rPr>
          <w:rFonts w:ascii="Times New Roman" w:hAnsi="Times New Roman"/>
        </w:rPr>
        <w:t xml:space="preserve"> </w:t>
      </w:r>
      <w:r>
        <w:rPr>
          <w:rFonts w:ascii="Times New Roman" w:hAnsi="Times New Roman"/>
        </w:rPr>
        <w:t xml:space="preserve">following the delivery of the recruitment letter/email (see </w:t>
      </w:r>
      <w:r w:rsidR="00EE268F">
        <w:rPr>
          <w:rFonts w:ascii="Times New Roman" w:hAnsi="Times New Roman"/>
        </w:rPr>
        <w:t>SAVE Evaluation Site Visit Protocols Questionnaire</w:t>
      </w:r>
      <w:r>
        <w:rPr>
          <w:rFonts w:ascii="Times New Roman" w:hAnsi="Times New Roman"/>
        </w:rPr>
        <w:t xml:space="preserve">). If the follow-up telephone calls are unsuccessful, the evaluation contractor will inform USCIS of the user agency. </w:t>
      </w:r>
      <w:r>
        <w:rPr>
          <w:rFonts w:ascii="Times New Roman" w:hAnsi="Times New Roman"/>
          <w:szCs w:val="24"/>
        </w:rPr>
        <w:t xml:space="preserve">Follow-up telephone calls to responders will consist of a site visit recruitment and scheduling telephone call to the agency point of contact (POC) to schedule the site visits, and a site visit prep call to determine who will be interviewed during the visit </w:t>
      </w:r>
      <w:r>
        <w:rPr>
          <w:rFonts w:ascii="Times New Roman" w:hAnsi="Times New Roman"/>
        </w:rPr>
        <w:t xml:space="preserve">(see </w:t>
      </w:r>
      <w:r w:rsidR="00023424">
        <w:rPr>
          <w:rFonts w:ascii="Times New Roman" w:hAnsi="Times New Roman"/>
        </w:rPr>
        <w:t>SAVE Evaluation Site Visit Protocols Questionnaire</w:t>
      </w:r>
      <w:r>
        <w:rPr>
          <w:rFonts w:ascii="Times New Roman" w:hAnsi="Times New Roman"/>
        </w:rPr>
        <w:t>).</w:t>
      </w:r>
      <w:r>
        <w:rPr>
          <w:rFonts w:ascii="Times New Roman" w:hAnsi="Times New Roman"/>
          <w:szCs w:val="24"/>
        </w:rPr>
        <w:t xml:space="preserve">  </w:t>
      </w:r>
    </w:p>
    <w:p w14:paraId="4723A7DA" w14:textId="77777777" w:rsidR="002C208B" w:rsidRPr="00924EA7" w:rsidRDefault="002C208B" w:rsidP="002C208B">
      <w:pPr>
        <w:pStyle w:val="L1-FlLSp12"/>
        <w:spacing w:line="240" w:lineRule="auto"/>
        <w:rPr>
          <w:rFonts w:ascii="Times New Roman" w:hAnsi="Times New Roman"/>
          <w:szCs w:val="24"/>
        </w:rPr>
      </w:pPr>
    </w:p>
    <w:p w14:paraId="3DEB37AD" w14:textId="72B69584" w:rsidR="002C208B" w:rsidRPr="00924EA7" w:rsidRDefault="002C208B" w:rsidP="002C208B">
      <w:pPr>
        <w:pStyle w:val="L1-FlLSp12"/>
        <w:spacing w:line="240" w:lineRule="auto"/>
        <w:rPr>
          <w:rFonts w:ascii="Times New Roman" w:hAnsi="Times New Roman"/>
          <w:szCs w:val="24"/>
        </w:rPr>
      </w:pPr>
      <w:r>
        <w:rPr>
          <w:rFonts w:ascii="Times New Roman" w:hAnsi="Times New Roman"/>
          <w:szCs w:val="24"/>
        </w:rPr>
        <w:t>The evaluation contractor</w:t>
      </w:r>
      <w:r w:rsidRPr="00924EA7">
        <w:rPr>
          <w:rFonts w:ascii="Times New Roman" w:hAnsi="Times New Roman"/>
          <w:szCs w:val="24"/>
        </w:rPr>
        <w:t xml:space="preserve"> will train all researchers prior to the site visits. This will ensure that the researchers share a common understanding of the purpose of the site visits, are well versed in conducting semi-structured interviews and systematically examining SAVE business processes </w:t>
      </w:r>
      <w:r w:rsidRPr="00924EA7">
        <w:rPr>
          <w:rFonts w:ascii="Times New Roman" w:hAnsi="Times New Roman"/>
          <w:szCs w:val="24"/>
        </w:rPr>
        <w:lastRenderedPageBreak/>
        <w:t xml:space="preserve">and collecting key documents, and know how to respond to issues or problems that may arise during the visits. </w:t>
      </w:r>
      <w:r>
        <w:rPr>
          <w:rFonts w:ascii="Times New Roman" w:hAnsi="Times New Roman"/>
          <w:szCs w:val="24"/>
        </w:rPr>
        <w:t>The evaluation contractor</w:t>
      </w:r>
      <w:r w:rsidRPr="00924EA7">
        <w:rPr>
          <w:rFonts w:ascii="Times New Roman" w:hAnsi="Times New Roman"/>
          <w:szCs w:val="24"/>
        </w:rPr>
        <w:t xml:space="preserve"> will also designate a team member as a point person for all site-visit teams to coordinate regular check-ins and develop solutions to unexpected issues that come up during the site visits. Importantly, </w:t>
      </w:r>
      <w:r>
        <w:rPr>
          <w:rFonts w:ascii="Times New Roman" w:hAnsi="Times New Roman"/>
          <w:szCs w:val="24"/>
        </w:rPr>
        <w:t>the evaluation contractor</w:t>
      </w:r>
      <w:r w:rsidRPr="00924EA7">
        <w:rPr>
          <w:rFonts w:ascii="Times New Roman" w:hAnsi="Times New Roman"/>
          <w:szCs w:val="24"/>
        </w:rPr>
        <w:t xml:space="preserve"> cannot pre</w:t>
      </w:r>
      <w:r>
        <w:rPr>
          <w:rFonts w:ascii="Times New Roman" w:hAnsi="Times New Roman"/>
          <w:szCs w:val="24"/>
        </w:rPr>
        <w:t xml:space="preserve">test the site </w:t>
      </w:r>
      <w:r w:rsidRPr="00924EA7">
        <w:rPr>
          <w:rFonts w:ascii="Times New Roman" w:hAnsi="Times New Roman"/>
          <w:szCs w:val="24"/>
        </w:rPr>
        <w:t>visit proto</w:t>
      </w:r>
      <w:r>
        <w:rPr>
          <w:rFonts w:ascii="Times New Roman" w:hAnsi="Times New Roman"/>
          <w:szCs w:val="24"/>
        </w:rPr>
        <w:t>cols</w:t>
      </w:r>
      <w:r w:rsidR="00D64A26">
        <w:rPr>
          <w:rFonts w:ascii="Times New Roman" w:hAnsi="Times New Roman"/>
          <w:szCs w:val="24"/>
        </w:rPr>
        <w:t xml:space="preserve"> questionnaire</w:t>
      </w:r>
      <w:r>
        <w:rPr>
          <w:rFonts w:ascii="Times New Roman" w:hAnsi="Times New Roman"/>
          <w:szCs w:val="24"/>
        </w:rPr>
        <w:t xml:space="preserve"> prior to the official data </w:t>
      </w:r>
      <w:r w:rsidRPr="00924EA7">
        <w:rPr>
          <w:rFonts w:ascii="Times New Roman" w:hAnsi="Times New Roman"/>
          <w:szCs w:val="24"/>
        </w:rPr>
        <w:t xml:space="preserve">collection period. However, the </w:t>
      </w:r>
      <w:r>
        <w:rPr>
          <w:rFonts w:ascii="Times New Roman" w:hAnsi="Times New Roman"/>
          <w:szCs w:val="24"/>
        </w:rPr>
        <w:t xml:space="preserve">contractor </w:t>
      </w:r>
      <w:r w:rsidRPr="00924EA7">
        <w:rPr>
          <w:rFonts w:ascii="Times New Roman" w:hAnsi="Times New Roman"/>
          <w:szCs w:val="24"/>
        </w:rPr>
        <w:t xml:space="preserve">team will consider the first one or two site visits to be trial runs. </w:t>
      </w:r>
      <w:r>
        <w:rPr>
          <w:rFonts w:ascii="Times New Roman" w:hAnsi="Times New Roman"/>
          <w:szCs w:val="24"/>
        </w:rPr>
        <w:t>They</w:t>
      </w:r>
      <w:r w:rsidRPr="00924EA7">
        <w:rPr>
          <w:rFonts w:ascii="Times New Roman" w:hAnsi="Times New Roman"/>
          <w:szCs w:val="24"/>
        </w:rPr>
        <w:t xml:space="preserve"> will meet after each visit to discuss and make any needed refinemen</w:t>
      </w:r>
      <w:r>
        <w:rPr>
          <w:rFonts w:ascii="Times New Roman" w:hAnsi="Times New Roman"/>
          <w:szCs w:val="24"/>
        </w:rPr>
        <w:t xml:space="preserve">ts to the site </w:t>
      </w:r>
      <w:r w:rsidRPr="00924EA7">
        <w:rPr>
          <w:rFonts w:ascii="Times New Roman" w:hAnsi="Times New Roman"/>
          <w:szCs w:val="24"/>
        </w:rPr>
        <w:t>visit protocols</w:t>
      </w:r>
      <w:r w:rsidR="00D64A26">
        <w:rPr>
          <w:rFonts w:ascii="Times New Roman" w:hAnsi="Times New Roman"/>
          <w:szCs w:val="24"/>
        </w:rPr>
        <w:t xml:space="preserve"> questionnaire</w:t>
      </w:r>
      <w:r w:rsidRPr="00924EA7">
        <w:rPr>
          <w:rFonts w:ascii="Times New Roman" w:hAnsi="Times New Roman"/>
          <w:szCs w:val="24"/>
        </w:rPr>
        <w:t>.</w:t>
      </w:r>
    </w:p>
    <w:p w14:paraId="03C3CDC1" w14:textId="77777777" w:rsidR="002C208B" w:rsidRDefault="002C208B" w:rsidP="009C205C">
      <w:pPr>
        <w:pStyle w:val="L1-FlLSp12"/>
        <w:spacing w:line="240" w:lineRule="auto"/>
        <w:rPr>
          <w:rFonts w:ascii="Times New Roman" w:hAnsi="Times New Roman"/>
          <w:szCs w:val="24"/>
        </w:rPr>
      </w:pPr>
    </w:p>
    <w:p w14:paraId="09B919CB" w14:textId="2F21A6CC" w:rsidR="002C208B" w:rsidRPr="00924EA7" w:rsidRDefault="002C208B" w:rsidP="002C208B">
      <w:pPr>
        <w:pStyle w:val="L1-FlLSp12"/>
        <w:spacing w:line="240" w:lineRule="auto"/>
        <w:rPr>
          <w:rFonts w:ascii="Times New Roman" w:hAnsi="Times New Roman"/>
          <w:szCs w:val="24"/>
        </w:rPr>
      </w:pPr>
      <w:r w:rsidRPr="00924EA7">
        <w:rPr>
          <w:rFonts w:ascii="Times New Roman" w:hAnsi="Times New Roman"/>
          <w:szCs w:val="24"/>
        </w:rPr>
        <w:t xml:space="preserve">The </w:t>
      </w:r>
      <w:r>
        <w:rPr>
          <w:rFonts w:ascii="Times New Roman" w:hAnsi="Times New Roman"/>
          <w:szCs w:val="24"/>
        </w:rPr>
        <w:t xml:space="preserve">site </w:t>
      </w:r>
      <w:r w:rsidRPr="00924EA7">
        <w:rPr>
          <w:rFonts w:ascii="Times New Roman" w:hAnsi="Times New Roman"/>
          <w:szCs w:val="24"/>
        </w:rPr>
        <w:t>visits will follow a detailed plan that identifies the business processes and interactions to be observed during the visit, the individuals to be interviewed, and a list of requisite documents to be collected during the visit</w:t>
      </w:r>
      <w:r>
        <w:rPr>
          <w:rFonts w:ascii="Times New Roman" w:hAnsi="Times New Roman"/>
          <w:szCs w:val="24"/>
        </w:rPr>
        <w:t xml:space="preserve"> </w:t>
      </w:r>
      <w:r>
        <w:rPr>
          <w:rFonts w:ascii="Times New Roman" w:hAnsi="Times New Roman"/>
        </w:rPr>
        <w:t xml:space="preserve">(see </w:t>
      </w:r>
      <w:r w:rsidR="00D64A26">
        <w:rPr>
          <w:rFonts w:ascii="Times New Roman" w:hAnsi="Times New Roman"/>
        </w:rPr>
        <w:t>SAVE Evaluation Site Visit Protocols Questionnaire</w:t>
      </w:r>
      <w:r>
        <w:rPr>
          <w:rFonts w:ascii="Times New Roman" w:hAnsi="Times New Roman"/>
        </w:rPr>
        <w:t>)</w:t>
      </w:r>
      <w:r w:rsidRPr="00924EA7">
        <w:rPr>
          <w:rFonts w:ascii="Times New Roman" w:hAnsi="Times New Roman"/>
          <w:szCs w:val="24"/>
        </w:rPr>
        <w:t xml:space="preserve">. </w:t>
      </w:r>
      <w:r>
        <w:rPr>
          <w:rFonts w:ascii="Times New Roman" w:hAnsi="Times New Roman"/>
          <w:szCs w:val="24"/>
        </w:rPr>
        <w:t>On</w:t>
      </w:r>
      <w:r w:rsidRPr="00924EA7">
        <w:rPr>
          <w:rFonts w:ascii="Times New Roman" w:hAnsi="Times New Roman"/>
          <w:szCs w:val="24"/>
        </w:rPr>
        <w:t xml:space="preserve"> arrival, the research teams will meet with agency leadership and provide a list of the documents to be collected prior to the completion of the site visit. </w:t>
      </w:r>
      <w:r>
        <w:rPr>
          <w:rFonts w:ascii="Times New Roman" w:hAnsi="Times New Roman"/>
          <w:szCs w:val="24"/>
        </w:rPr>
        <w:t xml:space="preserve">The first, </w:t>
      </w:r>
      <w:r w:rsidRPr="00924EA7">
        <w:rPr>
          <w:rFonts w:ascii="Times New Roman" w:hAnsi="Times New Roman"/>
          <w:szCs w:val="24"/>
        </w:rPr>
        <w:t xml:space="preserve">key </w:t>
      </w:r>
      <w:r>
        <w:rPr>
          <w:rFonts w:ascii="Times New Roman" w:hAnsi="Times New Roman"/>
          <w:szCs w:val="24"/>
        </w:rPr>
        <w:t>component</w:t>
      </w:r>
      <w:r w:rsidRPr="00924EA7">
        <w:rPr>
          <w:rFonts w:ascii="Times New Roman" w:hAnsi="Times New Roman"/>
          <w:szCs w:val="24"/>
        </w:rPr>
        <w:t xml:space="preserve"> of the sit</w:t>
      </w:r>
      <w:r>
        <w:rPr>
          <w:rFonts w:ascii="Times New Roman" w:hAnsi="Times New Roman"/>
          <w:szCs w:val="24"/>
        </w:rPr>
        <w:t>e visit is documenting the site</w:t>
      </w:r>
      <w:r w:rsidRPr="00924EA7">
        <w:rPr>
          <w:rFonts w:ascii="Times New Roman" w:hAnsi="Times New Roman"/>
          <w:szCs w:val="24"/>
        </w:rPr>
        <w:t xml:space="preserve">s SAVE business processes (via system demonstrations, </w:t>
      </w:r>
      <w:r>
        <w:rPr>
          <w:rFonts w:ascii="Times New Roman" w:hAnsi="Times New Roman"/>
          <w:szCs w:val="24"/>
        </w:rPr>
        <w:t>and job shadowing</w:t>
      </w:r>
      <w:r w:rsidRPr="00924EA7">
        <w:rPr>
          <w:rFonts w:ascii="Times New Roman" w:hAnsi="Times New Roman"/>
          <w:szCs w:val="24"/>
        </w:rPr>
        <w:t xml:space="preserve">). The second, key </w:t>
      </w:r>
      <w:r>
        <w:rPr>
          <w:rFonts w:ascii="Times New Roman" w:hAnsi="Times New Roman"/>
          <w:szCs w:val="24"/>
        </w:rPr>
        <w:t>component</w:t>
      </w:r>
      <w:r w:rsidRPr="00924EA7">
        <w:rPr>
          <w:rFonts w:ascii="Times New Roman" w:hAnsi="Times New Roman"/>
          <w:szCs w:val="24"/>
        </w:rPr>
        <w:t xml:space="preserve"> of the site visit is staff interviews. The teams of researchers will conduct individual, semi-structured interviews with agency employees from each of the three categories of SAVE users. This process will ensure that the diverse perspectives of the super users, supervisors, and users within the SAVE user agency are represented.</w:t>
      </w:r>
    </w:p>
    <w:p w14:paraId="1D1F2876" w14:textId="77777777" w:rsidR="002C208B" w:rsidRPr="00924EA7" w:rsidRDefault="002C208B" w:rsidP="002C208B">
      <w:pPr>
        <w:pStyle w:val="L1-FlLSp12"/>
        <w:spacing w:line="240" w:lineRule="auto"/>
        <w:rPr>
          <w:rFonts w:ascii="Times New Roman" w:hAnsi="Times New Roman"/>
          <w:szCs w:val="24"/>
        </w:rPr>
      </w:pPr>
    </w:p>
    <w:p w14:paraId="1B4A2943" w14:textId="77777777" w:rsidR="00E9712B" w:rsidRDefault="002C208B" w:rsidP="002C208B">
      <w:pPr>
        <w:pStyle w:val="L1-FlLSp12"/>
        <w:spacing w:line="240" w:lineRule="auto"/>
        <w:rPr>
          <w:rFonts w:ascii="Times New Roman" w:hAnsi="Times New Roman"/>
          <w:szCs w:val="24"/>
        </w:rPr>
      </w:pPr>
      <w:r w:rsidRPr="00924EA7">
        <w:rPr>
          <w:rFonts w:ascii="Times New Roman" w:hAnsi="Times New Roman"/>
          <w:szCs w:val="24"/>
        </w:rPr>
        <w:t xml:space="preserve">Immediately </w:t>
      </w:r>
      <w:r>
        <w:rPr>
          <w:rFonts w:ascii="Times New Roman" w:hAnsi="Times New Roman"/>
          <w:szCs w:val="24"/>
        </w:rPr>
        <w:t xml:space="preserve">following the completion of a </w:t>
      </w:r>
      <w:r w:rsidRPr="00924EA7">
        <w:rPr>
          <w:rFonts w:ascii="Times New Roman" w:hAnsi="Times New Roman"/>
          <w:szCs w:val="24"/>
        </w:rPr>
        <w:t>site visit, all researchers will assemble their observation notes, interview transcripts, and supporting documents and prepare the collected data for rigorous qualitative analysis.</w:t>
      </w:r>
    </w:p>
    <w:p w14:paraId="4F5FF4AF" w14:textId="071DBB9F" w:rsidR="002C208B" w:rsidRPr="001C7C42" w:rsidRDefault="002C208B" w:rsidP="00E9712B">
      <w:pPr>
        <w:pStyle w:val="L1-FlLSp12"/>
        <w:rPr>
          <w:rFonts w:ascii="Times New Roman" w:hAnsi="Times New Roman"/>
          <w:szCs w:val="24"/>
        </w:rPr>
      </w:pPr>
      <w:r w:rsidRPr="00924EA7">
        <w:rPr>
          <w:rFonts w:ascii="Times New Roman" w:hAnsi="Times New Roman"/>
          <w:szCs w:val="24"/>
        </w:rPr>
        <w:t xml:space="preserve"> </w:t>
      </w:r>
    </w:p>
    <w:p w14:paraId="79C398E0" w14:textId="77777777" w:rsidR="007649A9" w:rsidRPr="001C7C42" w:rsidRDefault="007649A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t>Methods to Maximize Response Rates and Deal with Issues of Non-Response</w:t>
      </w:r>
    </w:p>
    <w:p w14:paraId="5FCCCB4D" w14:textId="77777777" w:rsidR="00AA67E5" w:rsidRDefault="00AA67E5" w:rsidP="00AE2B1B">
      <w:pPr>
        <w:pStyle w:val="L1-FlLSp12"/>
        <w:spacing w:line="240" w:lineRule="auto"/>
        <w:rPr>
          <w:rFonts w:ascii="Times New Roman" w:hAnsi="Times New Roman"/>
          <w:szCs w:val="24"/>
        </w:rPr>
      </w:pPr>
    </w:p>
    <w:p w14:paraId="4EA0219D" w14:textId="77777777" w:rsidR="006831F8" w:rsidRDefault="006831F8" w:rsidP="006831F8">
      <w:pPr>
        <w:pStyle w:val="L1-FlLSp12"/>
        <w:spacing w:line="240" w:lineRule="auto"/>
        <w:rPr>
          <w:rFonts w:ascii="Times New Roman" w:hAnsi="Times New Roman"/>
          <w:szCs w:val="24"/>
        </w:rPr>
      </w:pPr>
      <w:r>
        <w:rPr>
          <w:rFonts w:ascii="Times New Roman" w:hAnsi="Times New Roman"/>
          <w:szCs w:val="24"/>
        </w:rPr>
        <w:t>To minimize nonresponse, the evaluation contractor</w:t>
      </w:r>
      <w:r w:rsidR="002069D4" w:rsidRPr="002069D4">
        <w:rPr>
          <w:rFonts w:ascii="Times New Roman" w:hAnsi="Times New Roman"/>
          <w:szCs w:val="24"/>
        </w:rPr>
        <w:t xml:space="preserve"> </w:t>
      </w:r>
      <w:r w:rsidRPr="001C7C42">
        <w:rPr>
          <w:rFonts w:ascii="Times New Roman" w:hAnsi="Times New Roman"/>
          <w:szCs w:val="24"/>
        </w:rPr>
        <w:t xml:space="preserve">will devote resources to developing and implementing approaches likely to achieve good respondent cooperation with the </w:t>
      </w:r>
      <w:r>
        <w:rPr>
          <w:rFonts w:ascii="Times New Roman" w:hAnsi="Times New Roman"/>
          <w:szCs w:val="24"/>
        </w:rPr>
        <w:t>user agencies.</w:t>
      </w:r>
    </w:p>
    <w:p w14:paraId="7036594D" w14:textId="77777777" w:rsidR="006831F8" w:rsidRPr="001C7C42" w:rsidRDefault="006831F8" w:rsidP="006831F8">
      <w:pPr>
        <w:pStyle w:val="L1-FlLSp12"/>
        <w:spacing w:line="240" w:lineRule="auto"/>
        <w:rPr>
          <w:rFonts w:ascii="Times New Roman" w:hAnsi="Times New Roman"/>
          <w:szCs w:val="24"/>
        </w:rPr>
      </w:pPr>
      <w:r w:rsidRPr="001C7C42">
        <w:rPr>
          <w:rFonts w:ascii="Times New Roman" w:hAnsi="Times New Roman"/>
          <w:szCs w:val="24"/>
        </w:rPr>
        <w:t xml:space="preserve">We expect high levels of cooperation with the evaluation among </w:t>
      </w:r>
      <w:r>
        <w:rPr>
          <w:rFonts w:ascii="Times New Roman" w:hAnsi="Times New Roman"/>
          <w:szCs w:val="24"/>
        </w:rPr>
        <w:t xml:space="preserve">user agencies </w:t>
      </w:r>
      <w:r w:rsidR="00336720">
        <w:rPr>
          <w:rFonts w:ascii="Times New Roman" w:hAnsi="Times New Roman"/>
          <w:szCs w:val="24"/>
        </w:rPr>
        <w:t xml:space="preserve">as they all have </w:t>
      </w:r>
      <w:r w:rsidRPr="001C7C42">
        <w:rPr>
          <w:rFonts w:ascii="Times New Roman" w:hAnsi="Times New Roman"/>
          <w:szCs w:val="24"/>
        </w:rPr>
        <w:t xml:space="preserve">signed </w:t>
      </w:r>
      <w:r w:rsidR="003B3F73">
        <w:rPr>
          <w:rFonts w:ascii="Times New Roman" w:hAnsi="Times New Roman"/>
          <w:szCs w:val="24"/>
        </w:rPr>
        <w:t>a Memorandum of Agreement (</w:t>
      </w:r>
      <w:r w:rsidRPr="001C7C42">
        <w:rPr>
          <w:rFonts w:ascii="Times New Roman" w:hAnsi="Times New Roman"/>
          <w:szCs w:val="24"/>
        </w:rPr>
        <w:t>MO</w:t>
      </w:r>
      <w:r>
        <w:rPr>
          <w:rFonts w:ascii="Times New Roman" w:hAnsi="Times New Roman"/>
          <w:szCs w:val="24"/>
        </w:rPr>
        <w:t>A</w:t>
      </w:r>
      <w:r w:rsidR="003B3F73">
        <w:rPr>
          <w:rFonts w:ascii="Times New Roman" w:hAnsi="Times New Roman"/>
          <w:szCs w:val="24"/>
        </w:rPr>
        <w:t>)</w:t>
      </w:r>
      <w:r w:rsidRPr="001C7C42">
        <w:rPr>
          <w:rFonts w:ascii="Times New Roman" w:hAnsi="Times New Roman"/>
          <w:szCs w:val="24"/>
        </w:rPr>
        <w:t xml:space="preserve"> with the Department of Homeland Security (DHS)</w:t>
      </w:r>
      <w:r w:rsidR="003B3F73">
        <w:rPr>
          <w:rFonts w:ascii="Times New Roman" w:hAnsi="Times New Roman"/>
          <w:szCs w:val="24"/>
        </w:rPr>
        <w:t>,</w:t>
      </w:r>
      <w:r w:rsidRPr="001C7C42">
        <w:rPr>
          <w:rFonts w:ascii="Times New Roman" w:hAnsi="Times New Roman"/>
          <w:szCs w:val="24"/>
        </w:rPr>
        <w:t xml:space="preserve"> and have agreed to respond to DHS and Social Security Administration (SSA) designees’ inquiries about </w:t>
      </w:r>
      <w:r>
        <w:rPr>
          <w:rFonts w:ascii="Times New Roman" w:hAnsi="Times New Roman"/>
          <w:szCs w:val="24"/>
        </w:rPr>
        <w:t>the SAVE program</w:t>
      </w:r>
      <w:r w:rsidRPr="001C7C42">
        <w:rPr>
          <w:rFonts w:ascii="Times New Roman" w:hAnsi="Times New Roman"/>
          <w:szCs w:val="24"/>
        </w:rPr>
        <w:t>.  Specifically, the MO</w:t>
      </w:r>
      <w:r>
        <w:rPr>
          <w:rFonts w:ascii="Times New Roman" w:hAnsi="Times New Roman"/>
          <w:szCs w:val="24"/>
        </w:rPr>
        <w:t>A</w:t>
      </w:r>
      <w:r w:rsidRPr="001C7C42">
        <w:rPr>
          <w:rFonts w:ascii="Times New Roman" w:hAnsi="Times New Roman"/>
          <w:szCs w:val="24"/>
        </w:rPr>
        <w:t xml:space="preserve"> states the </w:t>
      </w:r>
      <w:r>
        <w:rPr>
          <w:rFonts w:ascii="Times New Roman" w:hAnsi="Times New Roman"/>
          <w:szCs w:val="24"/>
        </w:rPr>
        <w:t>user agency’s</w:t>
      </w:r>
      <w:r w:rsidRPr="001C7C42">
        <w:rPr>
          <w:rFonts w:ascii="Times New Roman" w:hAnsi="Times New Roman"/>
          <w:szCs w:val="24"/>
        </w:rPr>
        <w:t xml:space="preserve"> responsibilities as follows:</w:t>
      </w:r>
    </w:p>
    <w:p w14:paraId="700CD3EF" w14:textId="77777777" w:rsidR="006831F8" w:rsidRDefault="006831F8" w:rsidP="006831F8">
      <w:pPr>
        <w:pStyle w:val="L1-FlLSp12"/>
        <w:spacing w:line="240" w:lineRule="auto"/>
        <w:rPr>
          <w:rFonts w:ascii="Times New Roman" w:hAnsi="Times New Roman"/>
          <w:szCs w:val="24"/>
        </w:rPr>
      </w:pPr>
    </w:p>
    <w:p w14:paraId="372B667F" w14:textId="77777777" w:rsidR="006831F8" w:rsidRPr="00346D77" w:rsidRDefault="006831F8" w:rsidP="006831F8">
      <w:pPr>
        <w:ind w:left="720"/>
        <w:jc w:val="both"/>
        <w:rPr>
          <w:rFonts w:ascii="Times New Roman" w:hAnsi="Times New Roman"/>
          <w:i/>
        </w:rPr>
      </w:pPr>
      <w:r w:rsidRPr="00346D77">
        <w:rPr>
          <w:rFonts w:ascii="Times New Roman" w:hAnsi="Times New Roman"/>
          <w:i/>
        </w:rPr>
        <w:t>(e) Allow SAVE Monitoring and Compliance to conduct desk audits and/or site visits to review User Agency’s compliance with this MOA and all other SAVE-related policy, procedures, guidance and law applicable to conducting verification and safeguarding, maintaining, and disclosing any data provided or received pursuant to this MOA;</w:t>
      </w:r>
    </w:p>
    <w:p w14:paraId="1707D48E" w14:textId="77777777" w:rsidR="006831F8" w:rsidRPr="00346D77" w:rsidRDefault="006831F8" w:rsidP="006831F8">
      <w:pPr>
        <w:ind w:left="720"/>
        <w:jc w:val="both"/>
        <w:rPr>
          <w:rFonts w:ascii="Times New Roman" w:hAnsi="Times New Roman"/>
          <w:b/>
          <w:i/>
        </w:rPr>
      </w:pPr>
    </w:p>
    <w:p w14:paraId="22720AD4" w14:textId="77777777" w:rsidR="006831F8" w:rsidRPr="00346D77" w:rsidRDefault="006831F8" w:rsidP="006831F8">
      <w:pPr>
        <w:ind w:left="720"/>
        <w:jc w:val="both"/>
        <w:rPr>
          <w:rFonts w:ascii="Times New Roman" w:hAnsi="Times New Roman"/>
          <w:i/>
        </w:rPr>
      </w:pPr>
      <w:r w:rsidRPr="00346D77">
        <w:rPr>
          <w:rFonts w:ascii="Times New Roman" w:hAnsi="Times New Roman"/>
          <w:i/>
        </w:rPr>
        <w:t>(f) Allow SAVE Monitoring and Compliance to perform audits of User Agency’s User Ids use and access, SAVE Training Records, SAVE financial records, SAVE biographical information, system profiles and usage patterns and other relevant data;</w:t>
      </w:r>
    </w:p>
    <w:p w14:paraId="0C16262F" w14:textId="77777777" w:rsidR="006831F8" w:rsidRPr="00346D77" w:rsidRDefault="006831F8" w:rsidP="006831F8">
      <w:pPr>
        <w:ind w:left="720"/>
        <w:jc w:val="both"/>
        <w:rPr>
          <w:rFonts w:ascii="Times New Roman" w:hAnsi="Times New Roman"/>
          <w:i/>
          <w:highlight w:val="yellow"/>
        </w:rPr>
      </w:pPr>
    </w:p>
    <w:p w14:paraId="48C39145" w14:textId="77777777" w:rsidR="006831F8" w:rsidRPr="00346D77" w:rsidRDefault="006831F8" w:rsidP="006831F8">
      <w:pPr>
        <w:ind w:left="720"/>
        <w:jc w:val="both"/>
        <w:rPr>
          <w:rFonts w:ascii="Times New Roman" w:hAnsi="Times New Roman"/>
          <w:i/>
        </w:rPr>
      </w:pPr>
      <w:r w:rsidRPr="00346D77">
        <w:rPr>
          <w:rFonts w:ascii="Times New Roman" w:hAnsi="Times New Roman"/>
          <w:i/>
        </w:rPr>
        <w:t>(g)</w:t>
      </w:r>
      <w:r w:rsidRPr="00346D77">
        <w:rPr>
          <w:rFonts w:ascii="Times New Roman" w:hAnsi="Times New Roman"/>
          <w:b/>
          <w:i/>
        </w:rPr>
        <w:t xml:space="preserve"> </w:t>
      </w:r>
      <w:r w:rsidRPr="00346D77">
        <w:rPr>
          <w:rFonts w:ascii="Times New Roman" w:hAnsi="Times New Roman"/>
          <w:i/>
        </w:rPr>
        <w:t xml:space="preserve">Allow SAVE Monitoring and Compliance to interview any and all User Agency SAVE system users and any and all contact persons or other personnel within the User Agency regarding any and all questions or problems which may arise in connection with the User Agency’s participation in SAVE;  </w:t>
      </w:r>
    </w:p>
    <w:p w14:paraId="11A8E6C0" w14:textId="77777777" w:rsidR="006831F8" w:rsidRDefault="006831F8" w:rsidP="006831F8">
      <w:pPr>
        <w:pStyle w:val="L1-FlLSp12"/>
        <w:spacing w:line="240" w:lineRule="auto"/>
        <w:rPr>
          <w:rFonts w:ascii="Times New Roman" w:hAnsi="Times New Roman"/>
          <w:szCs w:val="24"/>
        </w:rPr>
      </w:pPr>
    </w:p>
    <w:p w14:paraId="17A90FB2" w14:textId="3697A58B" w:rsidR="006831F8" w:rsidRPr="001C7C42" w:rsidRDefault="006831F8" w:rsidP="006831F8">
      <w:pPr>
        <w:pStyle w:val="L1-FlLSp12"/>
        <w:spacing w:line="240" w:lineRule="auto"/>
        <w:rPr>
          <w:rFonts w:ascii="Times New Roman" w:hAnsi="Times New Roman"/>
          <w:szCs w:val="24"/>
        </w:rPr>
      </w:pPr>
      <w:r w:rsidRPr="00924EA7">
        <w:rPr>
          <w:rFonts w:ascii="Times New Roman" w:hAnsi="Times New Roman"/>
          <w:szCs w:val="24"/>
        </w:rPr>
        <w:t xml:space="preserve">The </w:t>
      </w:r>
      <w:r w:rsidR="00336720">
        <w:rPr>
          <w:rFonts w:ascii="Times New Roman" w:hAnsi="Times New Roman"/>
          <w:szCs w:val="24"/>
        </w:rPr>
        <w:t xml:space="preserve">evaluation contractor will provide the draft site </w:t>
      </w:r>
      <w:r w:rsidRPr="00924EA7">
        <w:rPr>
          <w:rFonts w:ascii="Times New Roman" w:hAnsi="Times New Roman"/>
          <w:szCs w:val="24"/>
        </w:rPr>
        <w:t>visit protocols</w:t>
      </w:r>
      <w:r w:rsidR="00D64A26">
        <w:rPr>
          <w:rFonts w:ascii="Times New Roman" w:hAnsi="Times New Roman"/>
          <w:szCs w:val="24"/>
        </w:rPr>
        <w:t xml:space="preserve"> questionnaire</w:t>
      </w:r>
      <w:r w:rsidRPr="00924EA7">
        <w:rPr>
          <w:rFonts w:ascii="Times New Roman" w:hAnsi="Times New Roman"/>
          <w:szCs w:val="24"/>
        </w:rPr>
        <w:t xml:space="preserve"> to USCIS for review and</w:t>
      </w:r>
      <w:r w:rsidR="003B3F73">
        <w:rPr>
          <w:rFonts w:ascii="Times New Roman" w:hAnsi="Times New Roman"/>
          <w:szCs w:val="24"/>
        </w:rPr>
        <w:t xml:space="preserve"> will</w:t>
      </w:r>
      <w:r w:rsidRPr="00924EA7">
        <w:rPr>
          <w:rFonts w:ascii="Times New Roman" w:hAnsi="Times New Roman"/>
          <w:szCs w:val="24"/>
        </w:rPr>
        <w:t xml:space="preserve"> revise the protocols</w:t>
      </w:r>
      <w:r w:rsidR="00D64A26">
        <w:rPr>
          <w:rFonts w:ascii="Times New Roman" w:hAnsi="Times New Roman"/>
          <w:szCs w:val="24"/>
        </w:rPr>
        <w:t xml:space="preserve"> questionnaire</w:t>
      </w:r>
      <w:r w:rsidRPr="00924EA7">
        <w:rPr>
          <w:rFonts w:ascii="Times New Roman" w:hAnsi="Times New Roman"/>
          <w:szCs w:val="24"/>
        </w:rPr>
        <w:t xml:space="preserve"> based on USCIS’s feedback</w:t>
      </w:r>
      <w:r w:rsidR="003B3F73">
        <w:rPr>
          <w:rFonts w:ascii="Times New Roman" w:hAnsi="Times New Roman"/>
          <w:szCs w:val="24"/>
        </w:rPr>
        <w:t xml:space="preserve">.  The </w:t>
      </w:r>
      <w:r w:rsidRPr="00924EA7">
        <w:rPr>
          <w:rFonts w:ascii="Times New Roman" w:hAnsi="Times New Roman"/>
          <w:szCs w:val="24"/>
        </w:rPr>
        <w:t>interview protocols</w:t>
      </w:r>
      <w:r w:rsidR="00D64A26">
        <w:rPr>
          <w:rFonts w:ascii="Times New Roman" w:hAnsi="Times New Roman"/>
          <w:szCs w:val="24"/>
        </w:rPr>
        <w:t xml:space="preserve"> questionnaire</w:t>
      </w:r>
      <w:r w:rsidRPr="00924EA7">
        <w:rPr>
          <w:rFonts w:ascii="Times New Roman" w:hAnsi="Times New Roman"/>
          <w:szCs w:val="24"/>
        </w:rPr>
        <w:t xml:space="preserve"> </w:t>
      </w:r>
      <w:r w:rsidR="003B3F73">
        <w:rPr>
          <w:rFonts w:ascii="Times New Roman" w:hAnsi="Times New Roman"/>
          <w:szCs w:val="24"/>
        </w:rPr>
        <w:t xml:space="preserve">will be pretested </w:t>
      </w:r>
      <w:r w:rsidRPr="00924EA7">
        <w:rPr>
          <w:rFonts w:ascii="Times New Roman" w:hAnsi="Times New Roman"/>
          <w:szCs w:val="24"/>
        </w:rPr>
        <w:t>with a sample of five to nine user agencies</w:t>
      </w:r>
      <w:r w:rsidR="003B3F73">
        <w:rPr>
          <w:rFonts w:ascii="Times New Roman" w:hAnsi="Times New Roman"/>
          <w:szCs w:val="24"/>
        </w:rPr>
        <w:t xml:space="preserve">, and will be revised </w:t>
      </w:r>
      <w:r w:rsidRPr="00924EA7">
        <w:rPr>
          <w:rFonts w:ascii="Times New Roman" w:hAnsi="Times New Roman"/>
          <w:szCs w:val="24"/>
        </w:rPr>
        <w:t>based on the results of the pretest</w:t>
      </w:r>
      <w:r w:rsidR="003B3F73">
        <w:rPr>
          <w:rFonts w:ascii="Times New Roman" w:hAnsi="Times New Roman"/>
          <w:szCs w:val="24"/>
        </w:rPr>
        <w:t xml:space="preserve">.  Final versions of the </w:t>
      </w:r>
      <w:r w:rsidRPr="00924EA7">
        <w:rPr>
          <w:rFonts w:ascii="Times New Roman" w:hAnsi="Times New Roman"/>
          <w:szCs w:val="24"/>
        </w:rPr>
        <w:t xml:space="preserve">protocols </w:t>
      </w:r>
      <w:r w:rsidR="00D64A26">
        <w:rPr>
          <w:rFonts w:ascii="Times New Roman" w:hAnsi="Times New Roman"/>
          <w:szCs w:val="24"/>
        </w:rPr>
        <w:t xml:space="preserve">questionnaire </w:t>
      </w:r>
      <w:r w:rsidR="003B3F73">
        <w:rPr>
          <w:rFonts w:ascii="Times New Roman" w:hAnsi="Times New Roman"/>
          <w:szCs w:val="24"/>
        </w:rPr>
        <w:t xml:space="preserve">will be submitted </w:t>
      </w:r>
      <w:r w:rsidRPr="00924EA7">
        <w:rPr>
          <w:rFonts w:ascii="Times New Roman" w:hAnsi="Times New Roman"/>
          <w:szCs w:val="24"/>
        </w:rPr>
        <w:t xml:space="preserve">to USCIS. </w:t>
      </w:r>
    </w:p>
    <w:p w14:paraId="4BCBDF21" w14:textId="77777777" w:rsidR="006831F8" w:rsidRDefault="006831F8" w:rsidP="006831F8">
      <w:pPr>
        <w:pStyle w:val="L1-FlLSp12"/>
        <w:spacing w:line="240" w:lineRule="auto"/>
        <w:rPr>
          <w:rFonts w:ascii="Times New Roman" w:hAnsi="Times New Roman"/>
          <w:szCs w:val="24"/>
        </w:rPr>
      </w:pPr>
    </w:p>
    <w:p w14:paraId="673BC90E" w14:textId="77777777" w:rsidR="002069D4" w:rsidRDefault="00336720" w:rsidP="006831F8">
      <w:pPr>
        <w:pStyle w:val="L1-FlLSp12"/>
        <w:spacing w:line="240" w:lineRule="auto"/>
        <w:rPr>
          <w:rFonts w:ascii="Times New Roman" w:hAnsi="Times New Roman"/>
          <w:szCs w:val="24"/>
        </w:rPr>
      </w:pPr>
      <w:r>
        <w:rPr>
          <w:rFonts w:ascii="Times New Roman" w:hAnsi="Times New Roman"/>
          <w:szCs w:val="24"/>
        </w:rPr>
        <w:t>T</w:t>
      </w:r>
      <w:r w:rsidR="006831F8">
        <w:rPr>
          <w:rFonts w:ascii="Times New Roman" w:hAnsi="Times New Roman"/>
          <w:szCs w:val="24"/>
        </w:rPr>
        <w:t>he evaluation contractor</w:t>
      </w:r>
      <w:r w:rsidR="006831F8" w:rsidRPr="002069D4">
        <w:rPr>
          <w:rFonts w:ascii="Times New Roman" w:hAnsi="Times New Roman"/>
          <w:szCs w:val="24"/>
        </w:rPr>
        <w:t xml:space="preserve"> </w:t>
      </w:r>
      <w:r>
        <w:rPr>
          <w:rFonts w:ascii="Times New Roman" w:hAnsi="Times New Roman"/>
          <w:szCs w:val="24"/>
        </w:rPr>
        <w:t>will use extensive follow-up procedures to increase response rates</w:t>
      </w:r>
      <w:r w:rsidR="000A253C">
        <w:rPr>
          <w:rFonts w:ascii="Times New Roman" w:hAnsi="Times New Roman"/>
          <w:szCs w:val="24"/>
        </w:rPr>
        <w:t xml:space="preserve"> </w:t>
      </w:r>
      <w:r w:rsidR="003B3F73">
        <w:rPr>
          <w:rFonts w:ascii="Times New Roman" w:hAnsi="Times New Roman"/>
          <w:szCs w:val="24"/>
        </w:rPr>
        <w:t xml:space="preserve">for both </w:t>
      </w:r>
      <w:r w:rsidR="000A253C">
        <w:rPr>
          <w:rFonts w:ascii="Times New Roman" w:hAnsi="Times New Roman"/>
          <w:szCs w:val="24"/>
        </w:rPr>
        <w:t>the Web survey and site visits</w:t>
      </w:r>
      <w:r>
        <w:rPr>
          <w:rFonts w:ascii="Times New Roman" w:hAnsi="Times New Roman"/>
          <w:szCs w:val="24"/>
        </w:rPr>
        <w:t>. A</w:t>
      </w:r>
      <w:r w:rsidR="002069D4" w:rsidRPr="002069D4">
        <w:rPr>
          <w:rFonts w:ascii="Times New Roman" w:hAnsi="Times New Roman"/>
          <w:szCs w:val="24"/>
        </w:rPr>
        <w:t xml:space="preserve"> </w:t>
      </w:r>
      <w:r w:rsidR="00046A61">
        <w:rPr>
          <w:rFonts w:ascii="Times New Roman" w:hAnsi="Times New Roman"/>
          <w:szCs w:val="24"/>
        </w:rPr>
        <w:t>recruitment</w:t>
      </w:r>
      <w:r w:rsidR="002069D4" w:rsidRPr="002069D4">
        <w:rPr>
          <w:rFonts w:ascii="Times New Roman" w:hAnsi="Times New Roman"/>
          <w:szCs w:val="24"/>
        </w:rPr>
        <w:t xml:space="preserve"> letter </w:t>
      </w:r>
      <w:r w:rsidR="003B3F73">
        <w:rPr>
          <w:rFonts w:ascii="Times New Roman" w:hAnsi="Times New Roman"/>
          <w:szCs w:val="24"/>
        </w:rPr>
        <w:t xml:space="preserve">sent </w:t>
      </w:r>
      <w:r w:rsidR="00046A61" w:rsidRPr="00A47EA6">
        <w:rPr>
          <w:rFonts w:ascii="Times New Roman" w:hAnsi="Times New Roman"/>
          <w:szCs w:val="24"/>
        </w:rPr>
        <w:t>by mail and email</w:t>
      </w:r>
      <w:r w:rsidR="00046A61">
        <w:rPr>
          <w:rFonts w:ascii="Times New Roman" w:hAnsi="Times New Roman"/>
          <w:szCs w:val="24"/>
        </w:rPr>
        <w:t xml:space="preserve"> (letter attached) </w:t>
      </w:r>
      <w:r>
        <w:rPr>
          <w:rFonts w:ascii="Times New Roman" w:hAnsi="Times New Roman"/>
          <w:szCs w:val="24"/>
        </w:rPr>
        <w:t xml:space="preserve">will be distributed </w:t>
      </w:r>
      <w:r w:rsidR="002069D4" w:rsidRPr="002069D4">
        <w:rPr>
          <w:rFonts w:ascii="Times New Roman" w:hAnsi="Times New Roman"/>
          <w:szCs w:val="24"/>
        </w:rPr>
        <w:t xml:space="preserve">to staff identified for each active agency prior to the official release of the Web-based survey. </w:t>
      </w:r>
      <w:r>
        <w:rPr>
          <w:rFonts w:ascii="Times New Roman" w:hAnsi="Times New Roman"/>
          <w:szCs w:val="24"/>
        </w:rPr>
        <w:t xml:space="preserve">Following the email announcement of </w:t>
      </w:r>
      <w:r w:rsidRPr="002069D4">
        <w:rPr>
          <w:rFonts w:ascii="Times New Roman" w:hAnsi="Times New Roman"/>
          <w:szCs w:val="24"/>
        </w:rPr>
        <w:t>the SAVE user agency survey</w:t>
      </w:r>
      <w:r w:rsidR="002069D4" w:rsidRPr="002069D4">
        <w:rPr>
          <w:rFonts w:ascii="Times New Roman" w:hAnsi="Times New Roman"/>
          <w:szCs w:val="24"/>
        </w:rPr>
        <w:t xml:space="preserve">, </w:t>
      </w:r>
      <w:r>
        <w:rPr>
          <w:rFonts w:ascii="Times New Roman" w:hAnsi="Times New Roman"/>
          <w:szCs w:val="24"/>
        </w:rPr>
        <w:t>the evaluation contractor</w:t>
      </w:r>
      <w:r w:rsidR="002069D4" w:rsidRPr="002069D4">
        <w:rPr>
          <w:rFonts w:ascii="Times New Roman" w:hAnsi="Times New Roman"/>
          <w:szCs w:val="24"/>
        </w:rPr>
        <w:t xml:space="preserve"> will release follow-up email notices to non-respondents. Three follow-up emails will be released at 7 days, 14 days, and 21 days following the official release of the SAVE user agency </w:t>
      </w:r>
      <w:r w:rsidR="003B3F73">
        <w:rPr>
          <w:rFonts w:ascii="Times New Roman" w:hAnsi="Times New Roman"/>
          <w:szCs w:val="24"/>
        </w:rPr>
        <w:t xml:space="preserve">web </w:t>
      </w:r>
      <w:r w:rsidR="002069D4" w:rsidRPr="002069D4">
        <w:rPr>
          <w:rFonts w:ascii="Times New Roman" w:hAnsi="Times New Roman"/>
          <w:szCs w:val="24"/>
        </w:rPr>
        <w:t>survey. After the 21-day follow-up period, telephone reminder calls will be made to non-respondents</w:t>
      </w:r>
      <w:r w:rsidR="003B3F73">
        <w:rPr>
          <w:rFonts w:ascii="Times New Roman" w:hAnsi="Times New Roman"/>
          <w:szCs w:val="24"/>
        </w:rPr>
        <w:t>,</w:t>
      </w:r>
      <w:r w:rsidR="002069D4" w:rsidRPr="002069D4">
        <w:rPr>
          <w:rFonts w:ascii="Times New Roman" w:hAnsi="Times New Roman"/>
          <w:szCs w:val="24"/>
        </w:rPr>
        <w:t xml:space="preserve"> and staff will be encouraged to complete the Web-based survey. </w:t>
      </w:r>
      <w:r>
        <w:rPr>
          <w:rFonts w:ascii="Times New Roman" w:hAnsi="Times New Roman"/>
          <w:szCs w:val="24"/>
        </w:rPr>
        <w:t>In addition, the evaluation contractor will p</w:t>
      </w:r>
      <w:r w:rsidRPr="00A47EA6">
        <w:rPr>
          <w:rFonts w:ascii="Times New Roman" w:hAnsi="Times New Roman"/>
          <w:szCs w:val="24"/>
        </w:rPr>
        <w:t xml:space="preserve">rovide </w:t>
      </w:r>
      <w:r>
        <w:rPr>
          <w:rFonts w:ascii="Times New Roman" w:hAnsi="Times New Roman"/>
          <w:szCs w:val="24"/>
        </w:rPr>
        <w:t xml:space="preserve">staff with </w:t>
      </w:r>
      <w:r w:rsidRPr="00A47EA6">
        <w:rPr>
          <w:rFonts w:ascii="Times New Roman" w:hAnsi="Times New Roman"/>
          <w:szCs w:val="24"/>
        </w:rPr>
        <w:t xml:space="preserve">an option to complete the survey via phone. </w:t>
      </w:r>
    </w:p>
    <w:p w14:paraId="7B9D16A4" w14:textId="77777777" w:rsidR="002069D4" w:rsidRDefault="002069D4" w:rsidP="006831F8">
      <w:pPr>
        <w:pStyle w:val="L1-FlLSp12"/>
        <w:spacing w:line="240" w:lineRule="auto"/>
        <w:rPr>
          <w:rFonts w:ascii="Times New Roman" w:hAnsi="Times New Roman"/>
          <w:szCs w:val="24"/>
        </w:rPr>
      </w:pPr>
    </w:p>
    <w:p w14:paraId="547A9BBF" w14:textId="77777777" w:rsidR="00046A61" w:rsidRDefault="00420C45" w:rsidP="00046A61">
      <w:pPr>
        <w:pStyle w:val="L1-FlLSp12"/>
        <w:spacing w:line="240" w:lineRule="auto"/>
        <w:rPr>
          <w:rFonts w:ascii="Times New Roman" w:hAnsi="Times New Roman"/>
          <w:szCs w:val="24"/>
        </w:rPr>
      </w:pPr>
      <w:r w:rsidRPr="00924EA7">
        <w:rPr>
          <w:rFonts w:ascii="Times New Roman" w:hAnsi="Times New Roman"/>
          <w:szCs w:val="24"/>
        </w:rPr>
        <w:t>The recruitment process</w:t>
      </w:r>
      <w:r w:rsidR="000A253C">
        <w:rPr>
          <w:rFonts w:ascii="Times New Roman" w:hAnsi="Times New Roman"/>
          <w:szCs w:val="24"/>
        </w:rPr>
        <w:t xml:space="preserve"> for the site visits</w:t>
      </w:r>
      <w:r w:rsidRPr="00924EA7">
        <w:rPr>
          <w:rFonts w:ascii="Times New Roman" w:hAnsi="Times New Roman"/>
          <w:szCs w:val="24"/>
        </w:rPr>
        <w:t xml:space="preserve"> will include initial outreach from USCIS via an email and a mailed letter</w:t>
      </w:r>
      <w:r>
        <w:rPr>
          <w:rFonts w:ascii="Times New Roman" w:hAnsi="Times New Roman"/>
          <w:szCs w:val="24"/>
        </w:rPr>
        <w:t>.</w:t>
      </w:r>
      <w:r w:rsidRPr="00924EA7">
        <w:rPr>
          <w:rFonts w:ascii="Times New Roman" w:hAnsi="Times New Roman"/>
          <w:szCs w:val="24"/>
        </w:rPr>
        <w:t xml:space="preserve"> </w:t>
      </w:r>
      <w:r w:rsidR="00046A61">
        <w:rPr>
          <w:rFonts w:ascii="Times New Roman" w:hAnsi="Times New Roman"/>
          <w:szCs w:val="24"/>
        </w:rPr>
        <w:t xml:space="preserve">For non-responders, </w:t>
      </w:r>
      <w:r w:rsidR="00046A61">
        <w:rPr>
          <w:rFonts w:ascii="Times New Roman" w:hAnsi="Times New Roman"/>
        </w:rPr>
        <w:t>follow-up efforts will be made via telephone calls</w:t>
      </w:r>
      <w:r w:rsidR="00D0173A">
        <w:rPr>
          <w:rFonts w:ascii="Times New Roman" w:hAnsi="Times New Roman"/>
        </w:rPr>
        <w:t xml:space="preserve"> with </w:t>
      </w:r>
      <w:r w:rsidR="00046A61">
        <w:rPr>
          <w:rFonts w:ascii="Times New Roman" w:hAnsi="Times New Roman"/>
        </w:rPr>
        <w:t>three attempts</w:t>
      </w:r>
      <w:r w:rsidR="00D0173A">
        <w:rPr>
          <w:rFonts w:ascii="Times New Roman" w:hAnsi="Times New Roman"/>
        </w:rPr>
        <w:t xml:space="preserve"> scheduled at </w:t>
      </w:r>
      <w:r w:rsidR="00046A61">
        <w:rPr>
          <w:rFonts w:ascii="Times New Roman" w:hAnsi="Times New Roman"/>
        </w:rPr>
        <w:t>14 days, 21 days, and 28 days</w:t>
      </w:r>
      <w:r w:rsidR="00046A61" w:rsidRPr="00E75BDA">
        <w:rPr>
          <w:rFonts w:ascii="Times New Roman" w:hAnsi="Times New Roman"/>
        </w:rPr>
        <w:t xml:space="preserve"> </w:t>
      </w:r>
      <w:r w:rsidR="00046A61">
        <w:rPr>
          <w:rFonts w:ascii="Times New Roman" w:hAnsi="Times New Roman"/>
        </w:rPr>
        <w:t>following the delivery of the recruitment letter/email.</w:t>
      </w:r>
      <w:r w:rsidR="00046A61">
        <w:rPr>
          <w:rFonts w:ascii="Times New Roman" w:hAnsi="Times New Roman"/>
          <w:szCs w:val="24"/>
        </w:rPr>
        <w:t xml:space="preserve">  </w:t>
      </w:r>
    </w:p>
    <w:p w14:paraId="1E7EAE5E" w14:textId="77777777" w:rsidR="00BC4B19" w:rsidRPr="001C7C42" w:rsidRDefault="00BC4B19" w:rsidP="00E9712B">
      <w:pPr>
        <w:pStyle w:val="L1-FlLSp12"/>
        <w:rPr>
          <w:rFonts w:ascii="Times New Roman" w:hAnsi="Times New Roman"/>
          <w:szCs w:val="24"/>
        </w:rPr>
      </w:pPr>
    </w:p>
    <w:p w14:paraId="7CF3FF9F" w14:textId="77777777" w:rsidR="00F7360E" w:rsidRDefault="00F7360E" w:rsidP="00091642">
      <w:pPr>
        <w:pStyle w:val="Heading2"/>
        <w:numPr>
          <w:ilvl w:val="0"/>
          <w:numId w:val="9"/>
        </w:numPr>
        <w:spacing w:after="0" w:line="240" w:lineRule="auto"/>
        <w:rPr>
          <w:rFonts w:ascii="Times New Roman" w:hAnsi="Times New Roman"/>
          <w:color w:val="auto"/>
          <w:sz w:val="24"/>
          <w:szCs w:val="24"/>
        </w:rPr>
        <w:sectPr w:rsidR="00F7360E" w:rsidSect="00CD2830">
          <w:headerReference w:type="default" r:id="rId10"/>
          <w:footerReference w:type="even" r:id="rId11"/>
          <w:footerReference w:type="default" r:id="rId12"/>
          <w:footerReference w:type="first" r:id="rId13"/>
          <w:pgSz w:w="12240" w:h="15840"/>
          <w:pgMar w:top="1440" w:right="1440" w:bottom="1440" w:left="1440" w:header="720" w:footer="576" w:gutter="0"/>
          <w:cols w:space="720"/>
        </w:sectPr>
      </w:pPr>
    </w:p>
    <w:p w14:paraId="37A26ECC" w14:textId="77777777" w:rsidR="007649A9" w:rsidRPr="001C7C42" w:rsidRDefault="007649A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lastRenderedPageBreak/>
        <w:t>Tests of Procedures for Refining Data Collections</w:t>
      </w:r>
    </w:p>
    <w:p w14:paraId="6D8161A5" w14:textId="77777777" w:rsidR="00372392" w:rsidRPr="001C7C42" w:rsidRDefault="00372392" w:rsidP="00BF5251">
      <w:pPr>
        <w:pStyle w:val="L1-FlLSp12"/>
        <w:spacing w:line="240" w:lineRule="auto"/>
        <w:rPr>
          <w:rFonts w:ascii="Times New Roman" w:hAnsi="Times New Roman"/>
          <w:szCs w:val="24"/>
        </w:rPr>
      </w:pPr>
    </w:p>
    <w:p w14:paraId="178BF978" w14:textId="77777777" w:rsidR="000F73BD" w:rsidRDefault="000F73BD" w:rsidP="003868AC">
      <w:pPr>
        <w:pStyle w:val="L1-FlLSp12"/>
        <w:spacing w:line="240" w:lineRule="auto"/>
        <w:rPr>
          <w:rFonts w:ascii="Times New Roman" w:hAnsi="Times New Roman"/>
          <w:szCs w:val="24"/>
        </w:rPr>
      </w:pPr>
      <w:r w:rsidRPr="0074321C">
        <w:rPr>
          <w:rFonts w:ascii="Times New Roman" w:hAnsi="Times New Roman"/>
          <w:szCs w:val="24"/>
        </w:rPr>
        <w:t xml:space="preserve">The evaluation plan has been informed by a series of interviews and meetings with USCIS and the SAVE program’s staff. In coordination with RED and the SAVE program’s staff, the evaluation contractor will develop a draft Web survey that will be pretested on a selected group of nine SAVE users. Findings from this pretest will be used to guide the refinement and finalization of the survey. RED and SAVE staff will be involved throughout the entire development process, including question development, review and approval of pretest processes, development of interview protocols, review of analytic results, and recommendations for survey revisions. </w:t>
      </w:r>
      <w:proofErr w:type="gramStart"/>
      <w:r w:rsidRPr="0074321C">
        <w:rPr>
          <w:rFonts w:ascii="Times New Roman" w:hAnsi="Times New Roman"/>
          <w:szCs w:val="24"/>
        </w:rPr>
        <w:t>Further, as the survey is programmed for Web administration, RED and SAVE staff will provide formal input regarding the Web interface and the survey’s look and feel.</w:t>
      </w:r>
      <w:proofErr w:type="gramEnd"/>
      <w:r w:rsidRPr="0074321C">
        <w:rPr>
          <w:rFonts w:ascii="Times New Roman" w:hAnsi="Times New Roman"/>
          <w:szCs w:val="24"/>
        </w:rPr>
        <w:t xml:space="preserve"> The final survey will be submitted to USCIS for approval. USCIS will submit the final survey to OMB.</w:t>
      </w:r>
    </w:p>
    <w:p w14:paraId="6FEE3440" w14:textId="77777777" w:rsidR="00BC4B19" w:rsidRDefault="00BC4B19">
      <w:pPr>
        <w:spacing w:line="240" w:lineRule="auto"/>
        <w:rPr>
          <w:rFonts w:ascii="Times New Roman" w:hAnsi="Times New Roman"/>
          <w:b/>
          <w:szCs w:val="24"/>
        </w:rPr>
      </w:pPr>
    </w:p>
    <w:p w14:paraId="20577C47" w14:textId="77777777" w:rsidR="007649A9" w:rsidRPr="001C7C42" w:rsidRDefault="007649A9" w:rsidP="00091642">
      <w:pPr>
        <w:pStyle w:val="Heading2"/>
        <w:numPr>
          <w:ilvl w:val="0"/>
          <w:numId w:val="9"/>
        </w:numPr>
        <w:spacing w:after="0" w:line="240" w:lineRule="auto"/>
        <w:rPr>
          <w:rFonts w:ascii="Times New Roman" w:hAnsi="Times New Roman"/>
          <w:color w:val="auto"/>
          <w:sz w:val="24"/>
          <w:szCs w:val="24"/>
        </w:rPr>
      </w:pPr>
      <w:r w:rsidRPr="001C7C42">
        <w:rPr>
          <w:rFonts w:ascii="Times New Roman" w:hAnsi="Times New Roman"/>
          <w:color w:val="auto"/>
          <w:sz w:val="24"/>
          <w:szCs w:val="24"/>
        </w:rPr>
        <w:t>Individuals Consulted on Statistical Aspects and Individuals Collecting and/or Analyzing Data</w:t>
      </w:r>
    </w:p>
    <w:p w14:paraId="5747818A" w14:textId="77777777" w:rsidR="007649A9" w:rsidRPr="001C7C42" w:rsidRDefault="007649A9" w:rsidP="00A21BEF">
      <w:pPr>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20"/>
        <w:rPr>
          <w:rFonts w:ascii="Times New Roman" w:hAnsi="Times New Roman"/>
          <w:szCs w:val="24"/>
        </w:rPr>
      </w:pPr>
    </w:p>
    <w:bookmarkEnd w:id="0"/>
    <w:p w14:paraId="6D416B7D" w14:textId="77777777" w:rsidR="00094289" w:rsidRDefault="00094289" w:rsidP="00091642">
      <w:pPr>
        <w:pStyle w:val="L1-FlLSp12"/>
        <w:spacing w:line="240" w:lineRule="auto"/>
        <w:rPr>
          <w:rFonts w:ascii="Times New Roman" w:hAnsi="Times New Roman"/>
          <w:szCs w:val="24"/>
        </w:rPr>
      </w:pPr>
      <w:r w:rsidRPr="001C7C42">
        <w:rPr>
          <w:rFonts w:ascii="Times New Roman" w:hAnsi="Times New Roman"/>
          <w:szCs w:val="24"/>
        </w:rPr>
        <w:t xml:space="preserve">The following statisticians were consulted on the statistical aspects of the design and analysis of the current study: </w:t>
      </w:r>
    </w:p>
    <w:p w14:paraId="01C58AE2" w14:textId="77777777" w:rsidR="00022796" w:rsidRPr="001C7C42" w:rsidRDefault="00022796" w:rsidP="00091642">
      <w:pPr>
        <w:pStyle w:val="L1-FlLSp12"/>
        <w:spacing w:line="240" w:lineRule="auto"/>
        <w:rPr>
          <w:rFonts w:ascii="Times New Roman" w:hAnsi="Times New Roman"/>
          <w:szCs w:val="24"/>
        </w:rPr>
      </w:pPr>
    </w:p>
    <w:p w14:paraId="126DA5F2" w14:textId="77777777" w:rsidR="007F4E13" w:rsidRPr="001C7C42" w:rsidRDefault="007F4E13" w:rsidP="00F7360E">
      <w:pPr>
        <w:spacing w:line="180" w:lineRule="atLeast"/>
        <w:rPr>
          <w:rFonts w:ascii="Times New Roman" w:hAnsi="Times New Roman"/>
          <w:szCs w:val="24"/>
        </w:rPr>
      </w:pPr>
      <w:r>
        <w:rPr>
          <w:rFonts w:ascii="Times New Roman" w:hAnsi="Times New Roman"/>
          <w:szCs w:val="24"/>
        </w:rPr>
        <w:t xml:space="preserve">Dallas J. Elgin, Ph.D. </w:t>
      </w:r>
    </w:p>
    <w:p w14:paraId="1383DDFB" w14:textId="77777777" w:rsidR="009441A4" w:rsidRDefault="007F4E13" w:rsidP="00F7360E">
      <w:pPr>
        <w:pStyle w:val="L1-FlLSp12"/>
        <w:spacing w:line="180" w:lineRule="atLeast"/>
        <w:rPr>
          <w:rFonts w:ascii="Times New Roman" w:hAnsi="Times New Roman"/>
          <w:szCs w:val="24"/>
        </w:rPr>
      </w:pPr>
      <w:r>
        <w:rPr>
          <w:rFonts w:ascii="Times New Roman" w:hAnsi="Times New Roman"/>
          <w:szCs w:val="24"/>
        </w:rPr>
        <w:t>Research Associate</w:t>
      </w:r>
    </w:p>
    <w:p w14:paraId="44E79EFB" w14:textId="77777777" w:rsidR="007F4E13" w:rsidRDefault="007F4E13" w:rsidP="00F7360E">
      <w:pPr>
        <w:pStyle w:val="L1-FlLSp12"/>
        <w:spacing w:line="180" w:lineRule="atLeast"/>
        <w:rPr>
          <w:rFonts w:ascii="Times New Roman" w:hAnsi="Times New Roman"/>
          <w:szCs w:val="24"/>
        </w:rPr>
      </w:pPr>
      <w:r>
        <w:rPr>
          <w:rFonts w:ascii="Times New Roman" w:hAnsi="Times New Roman"/>
          <w:szCs w:val="24"/>
        </w:rPr>
        <w:t>IMPAQ International</w:t>
      </w:r>
    </w:p>
    <w:p w14:paraId="04CAD0E3" w14:textId="77777777" w:rsidR="007F4E13" w:rsidRDefault="007F4E13" w:rsidP="00F7360E">
      <w:pPr>
        <w:pStyle w:val="L1-FlLSp12"/>
        <w:spacing w:line="180" w:lineRule="atLeast"/>
        <w:rPr>
          <w:rFonts w:ascii="Times New Roman" w:hAnsi="Times New Roman"/>
          <w:szCs w:val="24"/>
        </w:rPr>
      </w:pPr>
      <w:r>
        <w:rPr>
          <w:rFonts w:ascii="Times New Roman" w:hAnsi="Times New Roman"/>
          <w:szCs w:val="24"/>
        </w:rPr>
        <w:t>202-774-1996</w:t>
      </w:r>
    </w:p>
    <w:p w14:paraId="73BC55CD" w14:textId="77777777" w:rsidR="007F4E13" w:rsidRPr="001C7C42" w:rsidRDefault="007F4E13" w:rsidP="00F7360E">
      <w:pPr>
        <w:pStyle w:val="L1-FlLSp12"/>
        <w:spacing w:line="180" w:lineRule="atLeast"/>
        <w:rPr>
          <w:rFonts w:ascii="Times New Roman" w:hAnsi="Times New Roman"/>
          <w:szCs w:val="24"/>
        </w:rPr>
      </w:pPr>
    </w:p>
    <w:p w14:paraId="1B34824D" w14:textId="77777777" w:rsidR="00094289" w:rsidRPr="001C7C42" w:rsidRDefault="00094289" w:rsidP="00F7360E">
      <w:pPr>
        <w:spacing w:line="180" w:lineRule="atLeast"/>
        <w:rPr>
          <w:rFonts w:ascii="Times New Roman" w:hAnsi="Times New Roman"/>
          <w:szCs w:val="24"/>
        </w:rPr>
      </w:pPr>
      <w:r w:rsidRPr="001C7C42">
        <w:rPr>
          <w:rFonts w:ascii="Times New Roman" w:hAnsi="Times New Roman"/>
          <w:szCs w:val="24"/>
        </w:rPr>
        <w:t>The following individuals will collect and/or analyze data for the current study:</w:t>
      </w:r>
    </w:p>
    <w:p w14:paraId="48777BF2" w14:textId="77777777" w:rsidR="007F4E13" w:rsidRDefault="007F4E13" w:rsidP="00F7360E">
      <w:pPr>
        <w:spacing w:line="180" w:lineRule="atLeast"/>
        <w:rPr>
          <w:rFonts w:ascii="Times New Roman" w:hAnsi="Times New Roman"/>
          <w:szCs w:val="24"/>
        </w:rPr>
      </w:pPr>
      <w:r>
        <w:rPr>
          <w:rFonts w:ascii="Times New Roman" w:hAnsi="Times New Roman"/>
          <w:szCs w:val="24"/>
        </w:rPr>
        <w:t>Rocco Russo, Ph.D.</w:t>
      </w:r>
    </w:p>
    <w:p w14:paraId="2ADAC0B1" w14:textId="77777777" w:rsidR="007F4E13" w:rsidRDefault="007F4E13" w:rsidP="00F7360E">
      <w:pPr>
        <w:spacing w:line="180" w:lineRule="atLeast"/>
        <w:rPr>
          <w:rFonts w:ascii="Times New Roman" w:hAnsi="Times New Roman"/>
          <w:szCs w:val="24"/>
        </w:rPr>
      </w:pPr>
      <w:r>
        <w:rPr>
          <w:rFonts w:ascii="Times New Roman" w:hAnsi="Times New Roman"/>
          <w:szCs w:val="24"/>
        </w:rPr>
        <w:t>Managing Director</w:t>
      </w:r>
    </w:p>
    <w:p w14:paraId="251F0E9C" w14:textId="77777777" w:rsidR="007F4E13" w:rsidRDefault="007F4E13" w:rsidP="00F7360E">
      <w:pPr>
        <w:spacing w:line="180" w:lineRule="atLeast"/>
        <w:rPr>
          <w:rFonts w:ascii="Times New Roman" w:hAnsi="Times New Roman"/>
          <w:szCs w:val="24"/>
        </w:rPr>
      </w:pPr>
      <w:r>
        <w:rPr>
          <w:rFonts w:ascii="Times New Roman" w:hAnsi="Times New Roman"/>
          <w:szCs w:val="24"/>
        </w:rPr>
        <w:t>IMPAQ International</w:t>
      </w:r>
    </w:p>
    <w:p w14:paraId="33803503" w14:textId="77777777" w:rsidR="007F4E13" w:rsidRDefault="007F4E13" w:rsidP="00F7360E">
      <w:pPr>
        <w:spacing w:line="180" w:lineRule="atLeast"/>
        <w:rPr>
          <w:rFonts w:ascii="Times New Roman" w:hAnsi="Times New Roman"/>
          <w:szCs w:val="24"/>
        </w:rPr>
      </w:pPr>
      <w:r>
        <w:rPr>
          <w:rFonts w:ascii="Times New Roman" w:hAnsi="Times New Roman"/>
          <w:szCs w:val="24"/>
        </w:rPr>
        <w:t>202-774-1994</w:t>
      </w:r>
    </w:p>
    <w:p w14:paraId="587E92B9" w14:textId="77777777" w:rsidR="007F4E13" w:rsidRDefault="007F4E13" w:rsidP="00F7360E">
      <w:pPr>
        <w:spacing w:line="180" w:lineRule="atLeast"/>
        <w:rPr>
          <w:rFonts w:ascii="Times New Roman" w:hAnsi="Times New Roman"/>
          <w:szCs w:val="24"/>
        </w:rPr>
      </w:pPr>
    </w:p>
    <w:p w14:paraId="0ACFACDC" w14:textId="77777777" w:rsidR="007F4E13" w:rsidRDefault="007F4E13" w:rsidP="00F7360E">
      <w:pPr>
        <w:spacing w:line="180" w:lineRule="atLeast"/>
        <w:rPr>
          <w:rFonts w:ascii="Times New Roman" w:hAnsi="Times New Roman"/>
          <w:szCs w:val="24"/>
        </w:rPr>
      </w:pPr>
      <w:r>
        <w:rPr>
          <w:rFonts w:ascii="Times New Roman" w:hAnsi="Times New Roman"/>
          <w:szCs w:val="24"/>
        </w:rPr>
        <w:t>Susan Berkowitz, Ph.D.</w:t>
      </w:r>
    </w:p>
    <w:p w14:paraId="5C272BBE" w14:textId="77777777" w:rsidR="007F4E13" w:rsidRDefault="007F4E13" w:rsidP="00F7360E">
      <w:pPr>
        <w:spacing w:line="180" w:lineRule="atLeast"/>
        <w:rPr>
          <w:rFonts w:ascii="Times New Roman" w:hAnsi="Times New Roman"/>
          <w:szCs w:val="24"/>
        </w:rPr>
      </w:pPr>
      <w:r>
        <w:rPr>
          <w:rFonts w:ascii="Times New Roman" w:hAnsi="Times New Roman"/>
          <w:szCs w:val="24"/>
        </w:rPr>
        <w:t>Director of Qualitative Research, Principal Research Associate</w:t>
      </w:r>
    </w:p>
    <w:p w14:paraId="65C5FE39" w14:textId="77777777" w:rsidR="007F4E13" w:rsidRDefault="007F4E13" w:rsidP="00F7360E">
      <w:pPr>
        <w:spacing w:line="180" w:lineRule="atLeast"/>
        <w:rPr>
          <w:rFonts w:ascii="Times New Roman" w:hAnsi="Times New Roman"/>
          <w:szCs w:val="24"/>
        </w:rPr>
      </w:pPr>
      <w:r>
        <w:rPr>
          <w:rFonts w:ascii="Times New Roman" w:hAnsi="Times New Roman"/>
          <w:szCs w:val="24"/>
        </w:rPr>
        <w:t>IMPAQ International</w:t>
      </w:r>
    </w:p>
    <w:p w14:paraId="77B6C79D" w14:textId="77777777" w:rsidR="007F4E13" w:rsidRDefault="007F4E13" w:rsidP="00F7360E">
      <w:pPr>
        <w:spacing w:line="180" w:lineRule="atLeast"/>
        <w:rPr>
          <w:rFonts w:ascii="Times New Roman" w:hAnsi="Times New Roman"/>
          <w:szCs w:val="24"/>
        </w:rPr>
      </w:pPr>
      <w:r>
        <w:rPr>
          <w:rFonts w:ascii="Times New Roman" w:hAnsi="Times New Roman"/>
          <w:szCs w:val="24"/>
        </w:rPr>
        <w:t>202-774-1943</w:t>
      </w:r>
    </w:p>
    <w:p w14:paraId="3A14DC5A" w14:textId="77777777" w:rsidR="007F4E13" w:rsidRDefault="007F4E13" w:rsidP="00F7360E">
      <w:pPr>
        <w:spacing w:line="180" w:lineRule="atLeast"/>
        <w:rPr>
          <w:rFonts w:ascii="Times New Roman" w:hAnsi="Times New Roman"/>
          <w:szCs w:val="24"/>
        </w:rPr>
      </w:pPr>
    </w:p>
    <w:p w14:paraId="4D564E86" w14:textId="77777777" w:rsidR="007F4E13" w:rsidRPr="001C7C42" w:rsidRDefault="007F4E13" w:rsidP="00F7360E">
      <w:pPr>
        <w:spacing w:line="180" w:lineRule="atLeast"/>
        <w:rPr>
          <w:rFonts w:ascii="Times New Roman" w:hAnsi="Times New Roman"/>
          <w:szCs w:val="24"/>
        </w:rPr>
      </w:pPr>
      <w:r>
        <w:rPr>
          <w:rFonts w:ascii="Times New Roman" w:hAnsi="Times New Roman"/>
          <w:szCs w:val="24"/>
        </w:rPr>
        <w:t xml:space="preserve">Dallas J. Elgin, Ph.D. </w:t>
      </w:r>
    </w:p>
    <w:p w14:paraId="030F3EC1" w14:textId="77777777" w:rsidR="007F4E13" w:rsidRDefault="007F4E13" w:rsidP="00F7360E">
      <w:pPr>
        <w:pStyle w:val="L1-FlLSp12"/>
        <w:spacing w:line="180" w:lineRule="atLeast"/>
        <w:rPr>
          <w:rFonts w:ascii="Times New Roman" w:hAnsi="Times New Roman"/>
          <w:szCs w:val="24"/>
        </w:rPr>
      </w:pPr>
      <w:r>
        <w:rPr>
          <w:rFonts w:ascii="Times New Roman" w:hAnsi="Times New Roman"/>
          <w:szCs w:val="24"/>
        </w:rPr>
        <w:t>Research Associate</w:t>
      </w:r>
    </w:p>
    <w:p w14:paraId="7AE71DF1" w14:textId="77777777" w:rsidR="007F4E13" w:rsidRDefault="007F4E13" w:rsidP="00F7360E">
      <w:pPr>
        <w:pStyle w:val="L1-FlLSp12"/>
        <w:spacing w:line="180" w:lineRule="atLeast"/>
        <w:rPr>
          <w:rFonts w:ascii="Times New Roman" w:hAnsi="Times New Roman"/>
          <w:szCs w:val="24"/>
        </w:rPr>
      </w:pPr>
      <w:r>
        <w:rPr>
          <w:rFonts w:ascii="Times New Roman" w:hAnsi="Times New Roman"/>
          <w:szCs w:val="24"/>
        </w:rPr>
        <w:t>IMPAQ International</w:t>
      </w:r>
    </w:p>
    <w:p w14:paraId="0F74B0B9" w14:textId="77777777" w:rsidR="007F4E13" w:rsidRDefault="007F4E13" w:rsidP="00F7360E">
      <w:pPr>
        <w:pStyle w:val="L1-FlLSp12"/>
        <w:spacing w:line="180" w:lineRule="atLeast"/>
        <w:rPr>
          <w:rFonts w:ascii="Times New Roman" w:hAnsi="Times New Roman"/>
          <w:szCs w:val="24"/>
        </w:rPr>
      </w:pPr>
      <w:r>
        <w:rPr>
          <w:rFonts w:ascii="Times New Roman" w:hAnsi="Times New Roman"/>
          <w:szCs w:val="24"/>
        </w:rPr>
        <w:t>202-774-1996</w:t>
      </w:r>
    </w:p>
    <w:p w14:paraId="0AAC71AB" w14:textId="77777777" w:rsidR="00385D1F" w:rsidRDefault="00385D1F" w:rsidP="00F7360E">
      <w:pPr>
        <w:spacing w:line="180" w:lineRule="atLeast"/>
        <w:rPr>
          <w:rFonts w:ascii="Times New Roman" w:hAnsi="Times New Roman"/>
          <w:szCs w:val="24"/>
        </w:rPr>
      </w:pPr>
    </w:p>
    <w:p w14:paraId="1491530A" w14:textId="77777777" w:rsidR="00AE405C" w:rsidRDefault="00AE405C" w:rsidP="00F7360E">
      <w:pPr>
        <w:spacing w:line="180" w:lineRule="atLeast"/>
        <w:rPr>
          <w:rFonts w:ascii="Times New Roman" w:hAnsi="Times New Roman"/>
          <w:szCs w:val="24"/>
        </w:rPr>
      </w:pPr>
      <w:r>
        <w:rPr>
          <w:rFonts w:ascii="Times New Roman" w:hAnsi="Times New Roman"/>
          <w:szCs w:val="24"/>
        </w:rPr>
        <w:t>Jessica Smith, MPP</w:t>
      </w:r>
    </w:p>
    <w:p w14:paraId="262B56AA" w14:textId="77777777" w:rsidR="00AE405C" w:rsidRDefault="00AE405C" w:rsidP="00F7360E">
      <w:pPr>
        <w:spacing w:line="180" w:lineRule="atLeast"/>
        <w:rPr>
          <w:rFonts w:ascii="Times New Roman" w:hAnsi="Times New Roman"/>
          <w:szCs w:val="24"/>
        </w:rPr>
      </w:pPr>
      <w:r>
        <w:rPr>
          <w:rFonts w:ascii="Times New Roman" w:hAnsi="Times New Roman"/>
          <w:szCs w:val="24"/>
        </w:rPr>
        <w:t>Senior Research Analyst</w:t>
      </w:r>
    </w:p>
    <w:p w14:paraId="67A87BCA" w14:textId="77777777" w:rsidR="00AE405C" w:rsidRDefault="00AE405C" w:rsidP="00F7360E">
      <w:pPr>
        <w:spacing w:line="180" w:lineRule="atLeast"/>
        <w:rPr>
          <w:rFonts w:ascii="Times New Roman" w:hAnsi="Times New Roman"/>
          <w:szCs w:val="24"/>
        </w:rPr>
      </w:pPr>
      <w:r>
        <w:rPr>
          <w:rFonts w:ascii="Times New Roman" w:hAnsi="Times New Roman"/>
          <w:szCs w:val="24"/>
        </w:rPr>
        <w:t>IMPAQ International</w:t>
      </w:r>
    </w:p>
    <w:p w14:paraId="45A1F1E3" w14:textId="77777777" w:rsidR="00AE405C" w:rsidRDefault="00AE405C" w:rsidP="00F7360E">
      <w:pPr>
        <w:spacing w:line="180" w:lineRule="atLeast"/>
        <w:rPr>
          <w:rFonts w:ascii="Times New Roman" w:hAnsi="Times New Roman"/>
          <w:szCs w:val="24"/>
        </w:rPr>
      </w:pPr>
      <w:r>
        <w:rPr>
          <w:rFonts w:ascii="Times New Roman" w:hAnsi="Times New Roman"/>
          <w:szCs w:val="24"/>
        </w:rPr>
        <w:t>202-774-1988</w:t>
      </w:r>
    </w:p>
    <w:p w14:paraId="70C974D1" w14:textId="77777777" w:rsidR="00AE405C" w:rsidRDefault="00AE405C" w:rsidP="00F7360E">
      <w:pPr>
        <w:spacing w:line="180" w:lineRule="atLeast"/>
        <w:rPr>
          <w:rFonts w:ascii="Times New Roman" w:hAnsi="Times New Roman"/>
          <w:szCs w:val="24"/>
        </w:rPr>
      </w:pPr>
    </w:p>
    <w:p w14:paraId="7B937095" w14:textId="77777777" w:rsidR="00AE405C" w:rsidRDefault="00AE405C" w:rsidP="00F7360E">
      <w:pPr>
        <w:spacing w:line="180" w:lineRule="atLeast"/>
        <w:rPr>
          <w:rFonts w:ascii="Times New Roman" w:hAnsi="Times New Roman"/>
          <w:szCs w:val="24"/>
        </w:rPr>
      </w:pPr>
      <w:r>
        <w:rPr>
          <w:rFonts w:ascii="Times New Roman" w:hAnsi="Times New Roman"/>
          <w:szCs w:val="24"/>
        </w:rPr>
        <w:t xml:space="preserve">Anna </w:t>
      </w:r>
      <w:proofErr w:type="spellStart"/>
      <w:r>
        <w:rPr>
          <w:rFonts w:ascii="Times New Roman" w:hAnsi="Times New Roman"/>
          <w:szCs w:val="24"/>
        </w:rPr>
        <w:t>Yego</w:t>
      </w:r>
      <w:proofErr w:type="spellEnd"/>
      <w:r>
        <w:rPr>
          <w:rFonts w:ascii="Times New Roman" w:hAnsi="Times New Roman"/>
          <w:szCs w:val="24"/>
        </w:rPr>
        <w:t>, MA</w:t>
      </w:r>
    </w:p>
    <w:p w14:paraId="6252EB4E" w14:textId="77777777" w:rsidR="00AE405C" w:rsidRDefault="00AE405C" w:rsidP="00F7360E">
      <w:pPr>
        <w:spacing w:line="180" w:lineRule="atLeast"/>
        <w:rPr>
          <w:rFonts w:ascii="Times New Roman" w:hAnsi="Times New Roman"/>
          <w:szCs w:val="24"/>
        </w:rPr>
      </w:pPr>
      <w:r>
        <w:rPr>
          <w:rFonts w:ascii="Times New Roman" w:hAnsi="Times New Roman"/>
          <w:szCs w:val="24"/>
        </w:rPr>
        <w:t>Senior Research Analyst</w:t>
      </w:r>
    </w:p>
    <w:p w14:paraId="2219EDD3" w14:textId="77777777" w:rsidR="00AE405C" w:rsidRDefault="00AE405C" w:rsidP="00F7360E">
      <w:pPr>
        <w:spacing w:line="180" w:lineRule="atLeast"/>
        <w:rPr>
          <w:rFonts w:ascii="Times New Roman" w:hAnsi="Times New Roman"/>
          <w:szCs w:val="24"/>
        </w:rPr>
      </w:pPr>
      <w:r>
        <w:rPr>
          <w:rFonts w:ascii="Times New Roman" w:hAnsi="Times New Roman"/>
          <w:szCs w:val="24"/>
        </w:rPr>
        <w:t>IMPAQ International</w:t>
      </w:r>
    </w:p>
    <w:p w14:paraId="57C56D00" w14:textId="77777777" w:rsidR="00AE405C" w:rsidRPr="001C7C42" w:rsidRDefault="00AE405C" w:rsidP="00F7360E">
      <w:pPr>
        <w:spacing w:line="180" w:lineRule="atLeast"/>
        <w:rPr>
          <w:rFonts w:ascii="Times New Roman" w:hAnsi="Times New Roman"/>
          <w:szCs w:val="24"/>
        </w:rPr>
      </w:pPr>
      <w:r>
        <w:rPr>
          <w:rFonts w:ascii="Times New Roman" w:hAnsi="Times New Roman"/>
          <w:szCs w:val="24"/>
        </w:rPr>
        <w:t>443-259-5173</w:t>
      </w:r>
    </w:p>
    <w:sectPr w:rsidR="00AE405C" w:rsidRPr="001C7C42" w:rsidSect="00F7360E">
      <w:type w:val="continuous"/>
      <w:pgSz w:w="12240" w:h="15840"/>
      <w:pgMar w:top="1152" w:right="1152" w:bottom="1152"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1DE22" w14:textId="77777777" w:rsidR="001C3060" w:rsidRDefault="001C3060">
      <w:r>
        <w:separator/>
      </w:r>
    </w:p>
  </w:endnote>
  <w:endnote w:type="continuationSeparator" w:id="0">
    <w:p w14:paraId="2F4AA3FD" w14:textId="77777777" w:rsidR="001C3060" w:rsidRDefault="001C3060">
      <w:r>
        <w:continuationSeparator/>
      </w:r>
    </w:p>
  </w:endnote>
  <w:endnote w:type="continuationNotice" w:id="1">
    <w:p w14:paraId="5EB406F7" w14:textId="77777777" w:rsidR="001C3060" w:rsidRDefault="001C30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149629"/>
      <w:docPartObj>
        <w:docPartGallery w:val="Page Numbers (Bottom of Page)"/>
        <w:docPartUnique/>
      </w:docPartObj>
    </w:sdtPr>
    <w:sdtEndPr>
      <w:rPr>
        <w:noProof/>
      </w:rPr>
    </w:sdtEndPr>
    <w:sdtContent>
      <w:p w14:paraId="04A9AD05" w14:textId="77777777" w:rsidR="009C193E" w:rsidRDefault="009C193E">
        <w:pPr>
          <w:pStyle w:val="Footer"/>
          <w:jc w:val="right"/>
        </w:pPr>
        <w:r>
          <w:fldChar w:fldCharType="begin"/>
        </w:r>
        <w:r>
          <w:instrText xml:space="preserve"> PAGE   \* MERGEFORMAT </w:instrText>
        </w:r>
        <w:r>
          <w:fldChar w:fldCharType="separate"/>
        </w:r>
        <w:r w:rsidR="00AB289B">
          <w:rPr>
            <w:noProof/>
          </w:rPr>
          <w:t>1</w:t>
        </w:r>
        <w:r>
          <w:rPr>
            <w:noProof/>
          </w:rPr>
          <w:fldChar w:fldCharType="end"/>
        </w:r>
      </w:p>
    </w:sdtContent>
  </w:sdt>
  <w:p w14:paraId="7C5F5881" w14:textId="77777777" w:rsidR="009C193E" w:rsidRDefault="009C1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1994" w14:textId="77777777" w:rsidR="009C193E" w:rsidRDefault="009C19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6B11303" w14:textId="77777777" w:rsidR="009C193E" w:rsidRDefault="009C1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287881"/>
      <w:docPartObj>
        <w:docPartGallery w:val="Page Numbers (Bottom of Page)"/>
        <w:docPartUnique/>
      </w:docPartObj>
    </w:sdtPr>
    <w:sdtEndPr>
      <w:rPr>
        <w:noProof/>
      </w:rPr>
    </w:sdtEndPr>
    <w:sdtContent>
      <w:p w14:paraId="04727FB9" w14:textId="77777777" w:rsidR="009C193E" w:rsidRDefault="009C193E">
        <w:pPr>
          <w:pStyle w:val="Footer"/>
          <w:jc w:val="right"/>
        </w:pPr>
        <w:r>
          <w:fldChar w:fldCharType="begin"/>
        </w:r>
        <w:r>
          <w:instrText xml:space="preserve"> PAGE   \* MERGEFORMAT </w:instrText>
        </w:r>
        <w:r>
          <w:fldChar w:fldCharType="separate"/>
        </w:r>
        <w:r w:rsidR="00820127">
          <w:rPr>
            <w:noProof/>
          </w:rPr>
          <w:t>8</w:t>
        </w:r>
        <w:r>
          <w:rPr>
            <w:noProof/>
          </w:rPr>
          <w:fldChar w:fldCharType="end"/>
        </w:r>
      </w:p>
    </w:sdtContent>
  </w:sdt>
  <w:p w14:paraId="379A886B" w14:textId="77777777" w:rsidR="009C193E" w:rsidRDefault="009C193E" w:rsidP="00A21BEF">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88D2A" w14:textId="77777777" w:rsidR="009C193E" w:rsidRDefault="009C193E">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E5119" w14:textId="77777777" w:rsidR="001C3060" w:rsidRDefault="001C3060">
      <w:r>
        <w:separator/>
      </w:r>
    </w:p>
  </w:footnote>
  <w:footnote w:type="continuationSeparator" w:id="0">
    <w:p w14:paraId="05465B92" w14:textId="77777777" w:rsidR="001C3060" w:rsidRDefault="001C3060">
      <w:r>
        <w:continuationSeparator/>
      </w:r>
    </w:p>
  </w:footnote>
  <w:footnote w:type="continuationNotice" w:id="1">
    <w:p w14:paraId="1079EEA2" w14:textId="77777777" w:rsidR="001C3060" w:rsidRDefault="001C306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DE26" w14:textId="77777777" w:rsidR="009C193E" w:rsidRDefault="009C193E">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063"/>
    <w:multiLevelType w:val="hybridMultilevel"/>
    <w:tmpl w:val="67D834F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D651B48"/>
    <w:multiLevelType w:val="hybridMultilevel"/>
    <w:tmpl w:val="7C64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279E6"/>
    <w:multiLevelType w:val="hybridMultilevel"/>
    <w:tmpl w:val="8BA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810AD8AA"/>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7DCC861A">
      <w:start w:val="1"/>
      <w:numFmt w:val="bullet"/>
      <w:lvlText w:val="o"/>
      <w:lvlJc w:val="left"/>
      <w:pPr>
        <w:tabs>
          <w:tab w:val="num" w:pos="3744"/>
        </w:tabs>
        <w:ind w:left="3744" w:hanging="360"/>
      </w:pPr>
      <w:rPr>
        <w:rFonts w:ascii="Courier New" w:hAnsi="Courier New"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4">
    <w:nsid w:val="0F3466CD"/>
    <w:multiLevelType w:val="hybridMultilevel"/>
    <w:tmpl w:val="38CC5A5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1453475"/>
    <w:multiLevelType w:val="hybridMultilevel"/>
    <w:tmpl w:val="645A29EC"/>
    <w:lvl w:ilvl="0" w:tplc="0409000F">
      <w:start w:val="1"/>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C5642"/>
    <w:multiLevelType w:val="hybridMultilevel"/>
    <w:tmpl w:val="29B8E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C92A2C"/>
    <w:multiLevelType w:val="hybridMultilevel"/>
    <w:tmpl w:val="44643C7A"/>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07843D9"/>
    <w:multiLevelType w:val="hybridMultilevel"/>
    <w:tmpl w:val="1BA6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D567A"/>
    <w:multiLevelType w:val="hybridMultilevel"/>
    <w:tmpl w:val="86C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B037C"/>
    <w:multiLevelType w:val="hybridMultilevel"/>
    <w:tmpl w:val="D65AB8A6"/>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2BEF385D"/>
    <w:multiLevelType w:val="hybridMultilevel"/>
    <w:tmpl w:val="2ACE86AE"/>
    <w:lvl w:ilvl="0" w:tplc="6DE09450">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3">
    <w:nsid w:val="37591363"/>
    <w:multiLevelType w:val="hybridMultilevel"/>
    <w:tmpl w:val="DB4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A4F74"/>
    <w:multiLevelType w:val="hybridMultilevel"/>
    <w:tmpl w:val="9D4E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A2579"/>
    <w:multiLevelType w:val="hybridMultilevel"/>
    <w:tmpl w:val="53648F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B625970"/>
    <w:multiLevelType w:val="hybridMultilevel"/>
    <w:tmpl w:val="C8306E8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4F204C5A"/>
    <w:multiLevelType w:val="hybridMultilevel"/>
    <w:tmpl w:val="CFBC0998"/>
    <w:lvl w:ilvl="0" w:tplc="B0F67F88">
      <w:start w:val="2"/>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0F20AC"/>
    <w:multiLevelType w:val="hybridMultilevel"/>
    <w:tmpl w:val="39062440"/>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54FB6DBB"/>
    <w:multiLevelType w:val="hybridMultilevel"/>
    <w:tmpl w:val="EC6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549EA"/>
    <w:multiLevelType w:val="hybridMultilevel"/>
    <w:tmpl w:val="F4FAA8F4"/>
    <w:lvl w:ilvl="0" w:tplc="05D8A7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1457F"/>
    <w:multiLevelType w:val="hybridMultilevel"/>
    <w:tmpl w:val="9F1EBB6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65744CCB"/>
    <w:multiLevelType w:val="hybridMultilevel"/>
    <w:tmpl w:val="B352E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016F70"/>
    <w:multiLevelType w:val="hybridMultilevel"/>
    <w:tmpl w:val="B42EC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B70E9C"/>
    <w:multiLevelType w:val="hybridMultilevel"/>
    <w:tmpl w:val="5D7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CE791E"/>
    <w:multiLevelType w:val="hybridMultilevel"/>
    <w:tmpl w:val="983E241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num>
  <w:num w:numId="3">
    <w:abstractNumId w:val="23"/>
  </w:num>
  <w:num w:numId="4">
    <w:abstractNumId w:val="15"/>
  </w:num>
  <w:num w:numId="5">
    <w:abstractNumId w:val="5"/>
  </w:num>
  <w:num w:numId="6">
    <w:abstractNumId w:val="17"/>
  </w:num>
  <w:num w:numId="7">
    <w:abstractNumId w:val="11"/>
  </w:num>
  <w:num w:numId="8">
    <w:abstractNumId w:val="12"/>
  </w:num>
  <w:num w:numId="9">
    <w:abstractNumId w:val="6"/>
  </w:num>
  <w:num w:numId="10">
    <w:abstractNumId w:val="10"/>
  </w:num>
  <w:num w:numId="11">
    <w:abstractNumId w:val="7"/>
  </w:num>
  <w:num w:numId="12">
    <w:abstractNumId w:val="18"/>
  </w:num>
  <w:num w:numId="13">
    <w:abstractNumId w:val="21"/>
  </w:num>
  <w:num w:numId="14">
    <w:abstractNumId w:val="4"/>
  </w:num>
  <w:num w:numId="15">
    <w:abstractNumId w:val="16"/>
  </w:num>
  <w:num w:numId="16">
    <w:abstractNumId w:val="25"/>
  </w:num>
  <w:num w:numId="17">
    <w:abstractNumId w:val="3"/>
  </w:num>
  <w:num w:numId="18">
    <w:abstractNumId w:val="14"/>
  </w:num>
  <w:num w:numId="19">
    <w:abstractNumId w:val="2"/>
  </w:num>
  <w:num w:numId="20">
    <w:abstractNumId w:val="19"/>
  </w:num>
  <w:num w:numId="21">
    <w:abstractNumId w:val="8"/>
  </w:num>
  <w:num w:numId="22">
    <w:abstractNumId w:val="9"/>
  </w:num>
  <w:num w:numId="23">
    <w:abstractNumId w:val="1"/>
  </w:num>
  <w:num w:numId="24">
    <w:abstractNumId w:val="13"/>
  </w:num>
  <w:num w:numId="25">
    <w:abstractNumId w:val="24"/>
  </w:num>
  <w:num w:numId="26">
    <w:abstractNumId w:val="22"/>
  </w:num>
  <w:num w:numId="27">
    <w:abstractNumId w:val="20"/>
  </w:num>
  <w:num w:numId="28">
    <w:abstractNumId w:val="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A9"/>
    <w:rsid w:val="000122A5"/>
    <w:rsid w:val="00022796"/>
    <w:rsid w:val="00023424"/>
    <w:rsid w:val="00024127"/>
    <w:rsid w:val="000261A5"/>
    <w:rsid w:val="00033A44"/>
    <w:rsid w:val="000424CB"/>
    <w:rsid w:val="00046A61"/>
    <w:rsid w:val="00047F7B"/>
    <w:rsid w:val="000512D4"/>
    <w:rsid w:val="000673B2"/>
    <w:rsid w:val="00072299"/>
    <w:rsid w:val="00084010"/>
    <w:rsid w:val="00091642"/>
    <w:rsid w:val="00094289"/>
    <w:rsid w:val="0009494C"/>
    <w:rsid w:val="000A2277"/>
    <w:rsid w:val="000A253C"/>
    <w:rsid w:val="000B5687"/>
    <w:rsid w:val="000C50D7"/>
    <w:rsid w:val="000C77D8"/>
    <w:rsid w:val="000D50D5"/>
    <w:rsid w:val="000E59B6"/>
    <w:rsid w:val="000F2CCC"/>
    <w:rsid w:val="000F7065"/>
    <w:rsid w:val="000F73BD"/>
    <w:rsid w:val="001039AA"/>
    <w:rsid w:val="0012025D"/>
    <w:rsid w:val="00123CCE"/>
    <w:rsid w:val="0013445F"/>
    <w:rsid w:val="00136E27"/>
    <w:rsid w:val="00162D0A"/>
    <w:rsid w:val="00171CA9"/>
    <w:rsid w:val="00174C89"/>
    <w:rsid w:val="00180397"/>
    <w:rsid w:val="00186152"/>
    <w:rsid w:val="001A27B9"/>
    <w:rsid w:val="001A52D2"/>
    <w:rsid w:val="001C0389"/>
    <w:rsid w:val="001C3060"/>
    <w:rsid w:val="001C4A4E"/>
    <w:rsid w:val="001C7C42"/>
    <w:rsid w:val="001D1E2E"/>
    <w:rsid w:val="001D6490"/>
    <w:rsid w:val="001D6B43"/>
    <w:rsid w:val="001E0050"/>
    <w:rsid w:val="001E2908"/>
    <w:rsid w:val="001E5654"/>
    <w:rsid w:val="001F30D7"/>
    <w:rsid w:val="00202D98"/>
    <w:rsid w:val="002069D4"/>
    <w:rsid w:val="00213FF5"/>
    <w:rsid w:val="00225130"/>
    <w:rsid w:val="002279EC"/>
    <w:rsid w:val="00230643"/>
    <w:rsid w:val="00231C50"/>
    <w:rsid w:val="002555C9"/>
    <w:rsid w:val="00261FA3"/>
    <w:rsid w:val="00267995"/>
    <w:rsid w:val="002756F7"/>
    <w:rsid w:val="00275CB7"/>
    <w:rsid w:val="00282AF0"/>
    <w:rsid w:val="0028694E"/>
    <w:rsid w:val="00290430"/>
    <w:rsid w:val="002A55BA"/>
    <w:rsid w:val="002B2900"/>
    <w:rsid w:val="002B551C"/>
    <w:rsid w:val="002C208B"/>
    <w:rsid w:val="002E4173"/>
    <w:rsid w:val="003030DC"/>
    <w:rsid w:val="003111E2"/>
    <w:rsid w:val="00336720"/>
    <w:rsid w:val="00346D77"/>
    <w:rsid w:val="00350C86"/>
    <w:rsid w:val="00355C32"/>
    <w:rsid w:val="00365A9D"/>
    <w:rsid w:val="00372392"/>
    <w:rsid w:val="00380ED6"/>
    <w:rsid w:val="00385D1F"/>
    <w:rsid w:val="003868AC"/>
    <w:rsid w:val="00386CF1"/>
    <w:rsid w:val="00387D01"/>
    <w:rsid w:val="003A18A6"/>
    <w:rsid w:val="003B0177"/>
    <w:rsid w:val="003B2747"/>
    <w:rsid w:val="003B2F86"/>
    <w:rsid w:val="003B3F73"/>
    <w:rsid w:val="003B544E"/>
    <w:rsid w:val="003B60AD"/>
    <w:rsid w:val="003C0948"/>
    <w:rsid w:val="003C2755"/>
    <w:rsid w:val="003C2F76"/>
    <w:rsid w:val="003E720D"/>
    <w:rsid w:val="00403C5B"/>
    <w:rsid w:val="00405CCA"/>
    <w:rsid w:val="004146F6"/>
    <w:rsid w:val="00416AB3"/>
    <w:rsid w:val="00420C45"/>
    <w:rsid w:val="00421515"/>
    <w:rsid w:val="0044600F"/>
    <w:rsid w:val="004509B7"/>
    <w:rsid w:val="00453F5D"/>
    <w:rsid w:val="00454161"/>
    <w:rsid w:val="00456C60"/>
    <w:rsid w:val="0049229A"/>
    <w:rsid w:val="004A22C0"/>
    <w:rsid w:val="004B4D49"/>
    <w:rsid w:val="004C1A29"/>
    <w:rsid w:val="004C469F"/>
    <w:rsid w:val="004D692C"/>
    <w:rsid w:val="004E19C2"/>
    <w:rsid w:val="004E53B1"/>
    <w:rsid w:val="00520CAA"/>
    <w:rsid w:val="00525ABC"/>
    <w:rsid w:val="00556852"/>
    <w:rsid w:val="00562DB1"/>
    <w:rsid w:val="00570076"/>
    <w:rsid w:val="00584117"/>
    <w:rsid w:val="005A2515"/>
    <w:rsid w:val="005C7C2C"/>
    <w:rsid w:val="005D145E"/>
    <w:rsid w:val="005D5969"/>
    <w:rsid w:val="005E4B04"/>
    <w:rsid w:val="005E6933"/>
    <w:rsid w:val="005F10C4"/>
    <w:rsid w:val="005F6858"/>
    <w:rsid w:val="00602020"/>
    <w:rsid w:val="00607D61"/>
    <w:rsid w:val="00610583"/>
    <w:rsid w:val="0061301E"/>
    <w:rsid w:val="00644478"/>
    <w:rsid w:val="0064520A"/>
    <w:rsid w:val="00652D69"/>
    <w:rsid w:val="00653A3D"/>
    <w:rsid w:val="006621EB"/>
    <w:rsid w:val="00665569"/>
    <w:rsid w:val="006679F2"/>
    <w:rsid w:val="006744A4"/>
    <w:rsid w:val="006759F0"/>
    <w:rsid w:val="006831F8"/>
    <w:rsid w:val="00684021"/>
    <w:rsid w:val="00696ACE"/>
    <w:rsid w:val="0069727A"/>
    <w:rsid w:val="006A5C2E"/>
    <w:rsid w:val="006B7489"/>
    <w:rsid w:val="006D2F8B"/>
    <w:rsid w:val="006E07CE"/>
    <w:rsid w:val="006E0EAC"/>
    <w:rsid w:val="006E1810"/>
    <w:rsid w:val="006E5473"/>
    <w:rsid w:val="006F638E"/>
    <w:rsid w:val="00702520"/>
    <w:rsid w:val="00713D19"/>
    <w:rsid w:val="007232BA"/>
    <w:rsid w:val="00740E54"/>
    <w:rsid w:val="00745C7F"/>
    <w:rsid w:val="00750C3D"/>
    <w:rsid w:val="007649A9"/>
    <w:rsid w:val="007664EF"/>
    <w:rsid w:val="007805A7"/>
    <w:rsid w:val="00786D23"/>
    <w:rsid w:val="007902D9"/>
    <w:rsid w:val="007A75F0"/>
    <w:rsid w:val="007B0779"/>
    <w:rsid w:val="007B19CF"/>
    <w:rsid w:val="007B77E8"/>
    <w:rsid w:val="007B7A1B"/>
    <w:rsid w:val="007C08EC"/>
    <w:rsid w:val="007D0E75"/>
    <w:rsid w:val="007E48FC"/>
    <w:rsid w:val="007E5F0A"/>
    <w:rsid w:val="007F4E13"/>
    <w:rsid w:val="007F512D"/>
    <w:rsid w:val="00800222"/>
    <w:rsid w:val="00804E47"/>
    <w:rsid w:val="00816624"/>
    <w:rsid w:val="00817372"/>
    <w:rsid w:val="00820127"/>
    <w:rsid w:val="00836D9E"/>
    <w:rsid w:val="00837A81"/>
    <w:rsid w:val="00841C30"/>
    <w:rsid w:val="00844804"/>
    <w:rsid w:val="00847A48"/>
    <w:rsid w:val="0085242D"/>
    <w:rsid w:val="0086131D"/>
    <w:rsid w:val="008709AD"/>
    <w:rsid w:val="00891726"/>
    <w:rsid w:val="008978E1"/>
    <w:rsid w:val="008E3D26"/>
    <w:rsid w:val="008E5397"/>
    <w:rsid w:val="008F66ED"/>
    <w:rsid w:val="008F7C5A"/>
    <w:rsid w:val="00900D84"/>
    <w:rsid w:val="00905230"/>
    <w:rsid w:val="00924EA7"/>
    <w:rsid w:val="0092671F"/>
    <w:rsid w:val="00930400"/>
    <w:rsid w:val="00932B27"/>
    <w:rsid w:val="00933DFA"/>
    <w:rsid w:val="009441A4"/>
    <w:rsid w:val="0094488D"/>
    <w:rsid w:val="00945070"/>
    <w:rsid w:val="009520B5"/>
    <w:rsid w:val="00964AEA"/>
    <w:rsid w:val="009711E3"/>
    <w:rsid w:val="009836AF"/>
    <w:rsid w:val="009841ED"/>
    <w:rsid w:val="00995251"/>
    <w:rsid w:val="009969E1"/>
    <w:rsid w:val="009A1BFB"/>
    <w:rsid w:val="009A2890"/>
    <w:rsid w:val="009A52A6"/>
    <w:rsid w:val="009B0F4A"/>
    <w:rsid w:val="009C00DB"/>
    <w:rsid w:val="009C0AC0"/>
    <w:rsid w:val="009C193E"/>
    <w:rsid w:val="009C205C"/>
    <w:rsid w:val="009C28C7"/>
    <w:rsid w:val="009D3B30"/>
    <w:rsid w:val="009D4C9A"/>
    <w:rsid w:val="009E0E67"/>
    <w:rsid w:val="009E482E"/>
    <w:rsid w:val="00A0694C"/>
    <w:rsid w:val="00A21BEF"/>
    <w:rsid w:val="00A3219F"/>
    <w:rsid w:val="00A40C31"/>
    <w:rsid w:val="00A42F91"/>
    <w:rsid w:val="00A4618D"/>
    <w:rsid w:val="00A47EA6"/>
    <w:rsid w:val="00A51C83"/>
    <w:rsid w:val="00A56893"/>
    <w:rsid w:val="00A57513"/>
    <w:rsid w:val="00A64777"/>
    <w:rsid w:val="00A64BE4"/>
    <w:rsid w:val="00A64EFA"/>
    <w:rsid w:val="00A64F86"/>
    <w:rsid w:val="00A75055"/>
    <w:rsid w:val="00A77DBE"/>
    <w:rsid w:val="00A90D8F"/>
    <w:rsid w:val="00A95F38"/>
    <w:rsid w:val="00A966FF"/>
    <w:rsid w:val="00AA67E5"/>
    <w:rsid w:val="00AB289B"/>
    <w:rsid w:val="00AC1DC6"/>
    <w:rsid w:val="00AE2B1B"/>
    <w:rsid w:val="00AE405C"/>
    <w:rsid w:val="00AF2CC7"/>
    <w:rsid w:val="00B01BD2"/>
    <w:rsid w:val="00B10663"/>
    <w:rsid w:val="00B12E11"/>
    <w:rsid w:val="00B1489A"/>
    <w:rsid w:val="00B17632"/>
    <w:rsid w:val="00B2276F"/>
    <w:rsid w:val="00B45847"/>
    <w:rsid w:val="00B6027C"/>
    <w:rsid w:val="00B63B6C"/>
    <w:rsid w:val="00B75D50"/>
    <w:rsid w:val="00B811A2"/>
    <w:rsid w:val="00B90707"/>
    <w:rsid w:val="00B94DF5"/>
    <w:rsid w:val="00BC0097"/>
    <w:rsid w:val="00BC124E"/>
    <w:rsid w:val="00BC4B19"/>
    <w:rsid w:val="00BC7AC5"/>
    <w:rsid w:val="00BC7F8B"/>
    <w:rsid w:val="00BE2E1C"/>
    <w:rsid w:val="00BE4998"/>
    <w:rsid w:val="00BF5251"/>
    <w:rsid w:val="00C01A4B"/>
    <w:rsid w:val="00C1377C"/>
    <w:rsid w:val="00C17B38"/>
    <w:rsid w:val="00C20971"/>
    <w:rsid w:val="00C21519"/>
    <w:rsid w:val="00C22386"/>
    <w:rsid w:val="00C228D3"/>
    <w:rsid w:val="00C23AFE"/>
    <w:rsid w:val="00C33D5B"/>
    <w:rsid w:val="00C43718"/>
    <w:rsid w:val="00C50F07"/>
    <w:rsid w:val="00C76D1E"/>
    <w:rsid w:val="00C83CC9"/>
    <w:rsid w:val="00C95BBE"/>
    <w:rsid w:val="00CA36D2"/>
    <w:rsid w:val="00CA53A5"/>
    <w:rsid w:val="00CA6815"/>
    <w:rsid w:val="00CB5F47"/>
    <w:rsid w:val="00CB7D97"/>
    <w:rsid w:val="00CC2BBC"/>
    <w:rsid w:val="00CC2F3C"/>
    <w:rsid w:val="00CC321D"/>
    <w:rsid w:val="00CD2429"/>
    <w:rsid w:val="00CD2830"/>
    <w:rsid w:val="00CE6DE2"/>
    <w:rsid w:val="00CF485B"/>
    <w:rsid w:val="00D0173A"/>
    <w:rsid w:val="00D03CA7"/>
    <w:rsid w:val="00D10F0F"/>
    <w:rsid w:val="00D1475B"/>
    <w:rsid w:val="00D171B5"/>
    <w:rsid w:val="00D26C8B"/>
    <w:rsid w:val="00D32566"/>
    <w:rsid w:val="00D327E3"/>
    <w:rsid w:val="00D416AD"/>
    <w:rsid w:val="00D47845"/>
    <w:rsid w:val="00D64A26"/>
    <w:rsid w:val="00D85D64"/>
    <w:rsid w:val="00D947C5"/>
    <w:rsid w:val="00D95929"/>
    <w:rsid w:val="00DA3F47"/>
    <w:rsid w:val="00DB5C2D"/>
    <w:rsid w:val="00DD7FEA"/>
    <w:rsid w:val="00DF2F01"/>
    <w:rsid w:val="00DF4BC3"/>
    <w:rsid w:val="00E25877"/>
    <w:rsid w:val="00E260CB"/>
    <w:rsid w:val="00E33D99"/>
    <w:rsid w:val="00E36B66"/>
    <w:rsid w:val="00E415CF"/>
    <w:rsid w:val="00E508C0"/>
    <w:rsid w:val="00E5119E"/>
    <w:rsid w:val="00E62DF3"/>
    <w:rsid w:val="00E66B29"/>
    <w:rsid w:val="00E7060C"/>
    <w:rsid w:val="00E71514"/>
    <w:rsid w:val="00E73C39"/>
    <w:rsid w:val="00E75BDA"/>
    <w:rsid w:val="00E76FCF"/>
    <w:rsid w:val="00E94246"/>
    <w:rsid w:val="00E9712B"/>
    <w:rsid w:val="00EA06CD"/>
    <w:rsid w:val="00EA3674"/>
    <w:rsid w:val="00EB0575"/>
    <w:rsid w:val="00EB7482"/>
    <w:rsid w:val="00EC14F3"/>
    <w:rsid w:val="00ED0174"/>
    <w:rsid w:val="00EE0A9C"/>
    <w:rsid w:val="00EE268F"/>
    <w:rsid w:val="00EE41FF"/>
    <w:rsid w:val="00EE7634"/>
    <w:rsid w:val="00EE78D6"/>
    <w:rsid w:val="00EF0F84"/>
    <w:rsid w:val="00EF3B0B"/>
    <w:rsid w:val="00F13370"/>
    <w:rsid w:val="00F14164"/>
    <w:rsid w:val="00F41ABA"/>
    <w:rsid w:val="00F45F0E"/>
    <w:rsid w:val="00F54672"/>
    <w:rsid w:val="00F568D6"/>
    <w:rsid w:val="00F7360E"/>
    <w:rsid w:val="00F75FEC"/>
    <w:rsid w:val="00F86795"/>
    <w:rsid w:val="00F86FA0"/>
    <w:rsid w:val="00F90A6D"/>
    <w:rsid w:val="00FB0466"/>
    <w:rsid w:val="00FE5802"/>
    <w:rsid w:val="00FE7449"/>
    <w:rsid w:val="00FF34B6"/>
    <w:rsid w:val="00FF3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D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link w:val="FooterChar"/>
    <w:uiPriority w:val="99"/>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semiHidden/>
    <w:rsid w:val="007649A9"/>
    <w:rPr>
      <w:dstrike w:val="0"/>
      <w:sz w:val="16"/>
      <w:vertAlign w:val="superscript"/>
    </w:rPr>
  </w:style>
  <w:style w:type="table" w:styleId="TableGrid">
    <w:name w:val="Table Grid"/>
    <w:basedOn w:val="TableNormal"/>
    <w:uiPriority w:val="59"/>
    <w:rsid w:val="007649A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basedOn w:val="Normal"/>
    <w:uiPriority w:val="34"/>
    <w:qFormat/>
    <w:rsid w:val="00A64777"/>
    <w:pPr>
      <w:spacing w:after="200" w:line="276" w:lineRule="auto"/>
      <w:ind w:left="720"/>
      <w:contextualSpacing/>
    </w:pPr>
    <w:rPr>
      <w:rFonts w:eastAsiaTheme="minorEastAsia" w:cstheme="minorBidi"/>
      <w:szCs w:val="22"/>
      <w:lang w:eastAsia="ko-KR"/>
    </w:rPr>
  </w:style>
  <w:style w:type="paragraph" w:styleId="Revision">
    <w:name w:val="Revision"/>
    <w:hidden/>
    <w:uiPriority w:val="99"/>
    <w:semiHidden/>
    <w:rsid w:val="00072299"/>
    <w:rPr>
      <w:rFonts w:ascii="Garamond" w:hAnsi="Garamond"/>
      <w:sz w:val="24"/>
    </w:rPr>
  </w:style>
  <w:style w:type="character" w:customStyle="1" w:styleId="FooterChar">
    <w:name w:val="Footer Char"/>
    <w:basedOn w:val="DefaultParagraphFont"/>
    <w:link w:val="Footer"/>
    <w:uiPriority w:val="99"/>
    <w:rsid w:val="00EC14F3"/>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link w:val="FooterChar"/>
    <w:uiPriority w:val="99"/>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semiHidden/>
    <w:rsid w:val="007649A9"/>
    <w:rPr>
      <w:dstrike w:val="0"/>
      <w:sz w:val="16"/>
      <w:vertAlign w:val="superscript"/>
    </w:rPr>
  </w:style>
  <w:style w:type="table" w:styleId="TableGrid">
    <w:name w:val="Table Grid"/>
    <w:basedOn w:val="TableNormal"/>
    <w:uiPriority w:val="59"/>
    <w:rsid w:val="007649A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basedOn w:val="Normal"/>
    <w:uiPriority w:val="34"/>
    <w:qFormat/>
    <w:rsid w:val="00A64777"/>
    <w:pPr>
      <w:spacing w:after="200" w:line="276" w:lineRule="auto"/>
      <w:ind w:left="720"/>
      <w:contextualSpacing/>
    </w:pPr>
    <w:rPr>
      <w:rFonts w:eastAsiaTheme="minorEastAsia" w:cstheme="minorBidi"/>
      <w:szCs w:val="22"/>
      <w:lang w:eastAsia="ko-KR"/>
    </w:rPr>
  </w:style>
  <w:style w:type="paragraph" w:styleId="Revision">
    <w:name w:val="Revision"/>
    <w:hidden/>
    <w:uiPriority w:val="99"/>
    <w:semiHidden/>
    <w:rsid w:val="00072299"/>
    <w:rPr>
      <w:rFonts w:ascii="Garamond" w:hAnsi="Garamond"/>
      <w:sz w:val="24"/>
    </w:rPr>
  </w:style>
  <w:style w:type="character" w:customStyle="1" w:styleId="FooterChar">
    <w:name w:val="Footer Char"/>
    <w:basedOn w:val="DefaultParagraphFont"/>
    <w:link w:val="Footer"/>
    <w:uiPriority w:val="99"/>
    <w:rsid w:val="00EC14F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5020">
      <w:bodyDiv w:val="1"/>
      <w:marLeft w:val="0"/>
      <w:marRight w:val="0"/>
      <w:marTop w:val="0"/>
      <w:marBottom w:val="0"/>
      <w:divBdr>
        <w:top w:val="none" w:sz="0" w:space="0" w:color="auto"/>
        <w:left w:val="none" w:sz="0" w:space="0" w:color="auto"/>
        <w:bottom w:val="none" w:sz="0" w:space="0" w:color="auto"/>
        <w:right w:val="none" w:sz="0" w:space="0" w:color="auto"/>
      </w:divBdr>
    </w:div>
    <w:div w:id="1221329702">
      <w:bodyDiv w:val="1"/>
      <w:marLeft w:val="0"/>
      <w:marRight w:val="0"/>
      <w:marTop w:val="0"/>
      <w:marBottom w:val="0"/>
      <w:divBdr>
        <w:top w:val="none" w:sz="0" w:space="0" w:color="auto"/>
        <w:left w:val="none" w:sz="0" w:space="0" w:color="auto"/>
        <w:bottom w:val="none" w:sz="0" w:space="0" w:color="auto"/>
        <w:right w:val="none" w:sz="0" w:space="0" w:color="auto"/>
      </w:divBdr>
    </w:div>
    <w:div w:id="1998344677">
      <w:bodyDiv w:val="1"/>
      <w:marLeft w:val="0"/>
      <w:marRight w:val="0"/>
      <w:marTop w:val="0"/>
      <w:marBottom w:val="0"/>
      <w:divBdr>
        <w:top w:val="none" w:sz="0" w:space="0" w:color="auto"/>
        <w:left w:val="none" w:sz="0" w:space="0" w:color="auto"/>
        <w:bottom w:val="none" w:sz="0" w:space="0" w:color="auto"/>
        <w:right w:val="none" w:sz="0" w:space="0" w:color="auto"/>
      </w:divBdr>
    </w:div>
    <w:div w:id="20612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93A1-EB35-4AC2-AA2F-94522639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3008</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SUPPLEMENTAL SUPPORTING STATEMENT B</vt:lpstr>
    </vt:vector>
  </TitlesOfParts>
  <Company>USCIS</Company>
  <LinksUpToDate>false</LinksUpToDate>
  <CharactersWithSpaces>19877</CharactersWithSpaces>
  <SharedDoc>false</SharedDoc>
  <HLinks>
    <vt:vector size="36" baseType="variant">
      <vt:variant>
        <vt:i4>6094959</vt:i4>
      </vt:variant>
      <vt:variant>
        <vt:i4>12</vt:i4>
      </vt:variant>
      <vt:variant>
        <vt:i4>0</vt:i4>
      </vt:variant>
      <vt:variant>
        <vt:i4>5</vt:i4>
      </vt:variant>
      <vt:variant>
        <vt:lpwstr>mailto:deniseglover@westat.com</vt:lpwstr>
      </vt:variant>
      <vt:variant>
        <vt:lpwstr/>
      </vt:variant>
      <vt:variant>
        <vt:i4>5898336</vt:i4>
      </vt:variant>
      <vt:variant>
        <vt:i4>9</vt:i4>
      </vt:variant>
      <vt:variant>
        <vt:i4>0</vt:i4>
      </vt:variant>
      <vt:variant>
        <vt:i4>5</vt:i4>
      </vt:variant>
      <vt:variant>
        <vt:lpwstr>mailto:basmatparsad@westat.com</vt:lpwstr>
      </vt:variant>
      <vt:variant>
        <vt:lpwstr/>
      </vt:variant>
      <vt:variant>
        <vt:i4>3801116</vt:i4>
      </vt:variant>
      <vt:variant>
        <vt:i4>6</vt:i4>
      </vt:variant>
      <vt:variant>
        <vt:i4>0</vt:i4>
      </vt:variant>
      <vt:variant>
        <vt:i4>5</vt:i4>
      </vt:variant>
      <vt:variant>
        <vt:lpwstr>mailto:huseyingoksel@westat.com</vt:lpwstr>
      </vt:variant>
      <vt:variant>
        <vt:lpwstr/>
      </vt:variant>
      <vt:variant>
        <vt:i4>2752542</vt:i4>
      </vt:variant>
      <vt:variant>
        <vt:i4>3</vt:i4>
      </vt:variant>
      <vt:variant>
        <vt:i4>0</vt:i4>
      </vt:variant>
      <vt:variant>
        <vt:i4>5</vt:i4>
      </vt:variant>
      <vt:variant>
        <vt:lpwstr>mailto:carolynshettle@westat.com</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SUPPORTING STATEMENT B</dc:title>
  <dc:creator>S. Tarragon</dc:creator>
  <cp:lastModifiedBy>Hagigal, Evadne J</cp:lastModifiedBy>
  <cp:revision>2</cp:revision>
  <cp:lastPrinted>2014-12-17T14:19:00Z</cp:lastPrinted>
  <dcterms:created xsi:type="dcterms:W3CDTF">2017-02-08T20:22:00Z</dcterms:created>
  <dcterms:modified xsi:type="dcterms:W3CDTF">2017-02-08T20:22:00Z</dcterms:modified>
</cp:coreProperties>
</file>