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528B">
      <w:pPr>
        <w:widowControl/>
        <w:rPr>
          <w:rFonts w:ascii="Courier New" w:hAnsi="Courier New" w:cs="Courier New"/>
        </w:rPr>
      </w:pPr>
      <w:bookmarkStart w:id="0" w:name="_GoBack"/>
      <w:bookmarkEnd w:id="0"/>
    </w:p>
    <w:p w:rsidR="00000000" w:rsidRDefault="00D9528B">
      <w:pPr>
        <w:widowControl/>
        <w:suppressAutoHyphens/>
        <w:rPr>
          <w:rFonts w:ascii="Times New Roman" w:hAnsi="Times New Roman" w:cs="Times New Roman"/>
        </w:rPr>
      </w:pPr>
      <w:r>
        <w:rPr>
          <w:rFonts w:ascii="Times New Roman" w:hAnsi="Times New Roman" w:cs="Times New Roman"/>
          <w:noProof/>
        </w:rPr>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p>
    <w:p w:rsidR="00000000" w:rsidRDefault="00D9528B">
      <w:pPr>
        <w:widowControl/>
        <w:ind w:left="1200" w:right="1200"/>
        <w:jc w:val="center"/>
        <w:rPr>
          <w:rFonts w:ascii="Times New Roman" w:hAnsi="Times New Roman" w:cs="Times New Roman"/>
        </w:rPr>
      </w:pPr>
      <w:r>
        <w:rPr>
          <w:rFonts w:ascii="Times New Roman" w:hAnsi="Times New Roman" w:cs="Times New Roman"/>
        </w:rPr>
        <w:t>Revenue Procedure 2004-29</w:t>
      </w:r>
    </w:p>
    <w:p w:rsidR="00000000" w:rsidRDefault="00D9528B">
      <w:pPr>
        <w:widowControl/>
        <w:rPr>
          <w:rFonts w:ascii="Times New Roman" w:hAnsi="Times New Roman" w:cs="Times New Roman"/>
        </w:rPr>
      </w:pPr>
    </w:p>
    <w:p w:rsidR="00000000" w:rsidRDefault="00D9528B">
      <w:pPr>
        <w:widowControl/>
        <w:ind w:left="1200" w:right="1200"/>
        <w:jc w:val="center"/>
        <w:rPr>
          <w:rFonts w:ascii="Times New Roman" w:hAnsi="Times New Roman" w:cs="Times New Roman"/>
        </w:rPr>
      </w:pPr>
      <w:r>
        <w:rPr>
          <w:rFonts w:ascii="Times New Roman" w:hAnsi="Times New Roman" w:cs="Times New Roman"/>
          <w:i/>
          <w:iCs/>
        </w:rPr>
        <w:t>Rev. Proc. 2004-29;</w:t>
      </w:r>
      <w:r>
        <w:rPr>
          <w:rFonts w:ascii="Times New Roman" w:hAnsi="Times New Roman" w:cs="Times New Roman"/>
        </w:rPr>
        <w:t xml:space="preserve"> </w:t>
      </w:r>
      <w:r>
        <w:rPr>
          <w:rFonts w:ascii="Times New Roman" w:hAnsi="Times New Roman" w:cs="Times New Roman"/>
          <w:i/>
          <w:iCs/>
        </w:rPr>
        <w:t>2004-1 C.B. 918;</w:t>
      </w:r>
      <w:r>
        <w:rPr>
          <w:rFonts w:ascii="Times New Roman" w:hAnsi="Times New Roman" w:cs="Times New Roman"/>
        </w:rPr>
        <w:t xml:space="preserve"> </w:t>
      </w:r>
      <w:r>
        <w:rPr>
          <w:rFonts w:ascii="Times New Roman" w:hAnsi="Times New Roman" w:cs="Times New Roman"/>
          <w:i/>
          <w:iCs/>
        </w:rPr>
        <w:t>2004 IRB LEXIS 193;</w:t>
      </w:r>
      <w:r>
        <w:rPr>
          <w:rFonts w:ascii="Times New Roman" w:hAnsi="Times New Roman" w:cs="Times New Roman"/>
        </w:rPr>
        <w:t xml:space="preserve"> </w:t>
      </w:r>
      <w:r>
        <w:rPr>
          <w:rFonts w:ascii="Times New Roman" w:hAnsi="Times New Roman" w:cs="Times New Roman"/>
          <w:i/>
          <w:iCs/>
        </w:rPr>
        <w:t>2004-20 I.R.B. 918</w:t>
      </w:r>
      <w:r>
        <w:rPr>
          <w:rFonts w:ascii="Times New Roman" w:hAnsi="Times New Roman" w:cs="Times New Roman"/>
        </w:rPr>
        <w:t xml:space="preserve"> </w:t>
      </w:r>
    </w:p>
    <w:p w:rsidR="00000000" w:rsidRDefault="00D9528B">
      <w:pPr>
        <w:widowControl/>
        <w:rPr>
          <w:rFonts w:ascii="Times New Roman" w:hAnsi="Times New Roman" w:cs="Times New Roman"/>
        </w:rPr>
      </w:pPr>
    </w:p>
    <w:p w:rsidR="00000000" w:rsidRDefault="00D9528B">
      <w:pPr>
        <w:widowControl/>
        <w:ind w:left="1200" w:right="1200"/>
        <w:jc w:val="center"/>
        <w:rPr>
          <w:rFonts w:ascii="Times New Roman" w:hAnsi="Times New Roman" w:cs="Times New Roman"/>
        </w:rPr>
      </w:pPr>
      <w:r>
        <w:rPr>
          <w:rFonts w:ascii="Times New Roman" w:hAnsi="Times New Roman" w:cs="Times New Roman"/>
        </w:rPr>
        <w:t>May 17, 2004</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  [*1]  </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b/>
          <w:bCs/>
        </w:rPr>
        <w:t xml:space="preserve">APPLICABLE SECTIONS: </w:t>
      </w:r>
    </w:p>
    <w:p w:rsidR="00000000" w:rsidRDefault="00D9528B">
      <w:pPr>
        <w:widowControl/>
        <w:spacing w:before="120"/>
        <w:ind w:firstLine="360"/>
        <w:rPr>
          <w:rFonts w:ascii="Times New Roman" w:hAnsi="Times New Roman" w:cs="Times New Roman"/>
        </w:rPr>
      </w:pPr>
      <w:r>
        <w:rPr>
          <w:rFonts w:ascii="Times New Roman" w:hAnsi="Times New Roman" w:cs="Times New Roman"/>
          <w:i/>
          <w:iCs/>
        </w:rPr>
        <w:t>26 CFR 601.105</w:t>
      </w:r>
      <w:r>
        <w:rPr>
          <w:rFonts w:ascii="Times New Roman" w:hAnsi="Times New Roman" w:cs="Times New Roman"/>
        </w:rPr>
        <w:t>: Examination of returns and claims for refund, credi</w:t>
      </w:r>
      <w:r>
        <w:rPr>
          <w:rFonts w:ascii="Times New Roman" w:hAnsi="Times New Roman" w:cs="Times New Roman"/>
        </w:rPr>
        <w:t xml:space="preserve">t or abatement; determination of correct tax liability. (Also Part I, </w:t>
      </w:r>
      <w:r>
        <w:rPr>
          <w:rFonts w:ascii="Times New Roman" w:hAnsi="Times New Roman" w:cs="Times New Roman"/>
          <w:i/>
          <w:iCs/>
        </w:rPr>
        <w:t>§§ 132</w:t>
      </w:r>
      <w:r>
        <w:rPr>
          <w:rFonts w:ascii="Times New Roman" w:hAnsi="Times New Roman" w:cs="Times New Roman"/>
        </w:rPr>
        <w:t xml:space="preserve">, </w:t>
      </w:r>
      <w:r>
        <w:rPr>
          <w:rFonts w:ascii="Times New Roman" w:hAnsi="Times New Roman" w:cs="Times New Roman"/>
          <w:i/>
          <w:iCs/>
        </w:rPr>
        <w:t>162</w:t>
      </w:r>
      <w:r>
        <w:rPr>
          <w:rFonts w:ascii="Times New Roman" w:hAnsi="Times New Roman" w:cs="Times New Roman"/>
        </w:rPr>
        <w:t xml:space="preserve">, </w:t>
      </w:r>
      <w:r>
        <w:rPr>
          <w:rFonts w:ascii="Times New Roman" w:hAnsi="Times New Roman" w:cs="Times New Roman"/>
          <w:i/>
          <w:iCs/>
        </w:rPr>
        <w:t>274</w:t>
      </w:r>
      <w:r>
        <w:rPr>
          <w:rFonts w:ascii="Times New Roman" w:hAnsi="Times New Roman" w:cs="Times New Roman"/>
        </w:rPr>
        <w:t xml:space="preserve">; </w:t>
      </w:r>
      <w:r>
        <w:rPr>
          <w:rFonts w:ascii="Times New Roman" w:hAnsi="Times New Roman" w:cs="Times New Roman"/>
          <w:i/>
          <w:iCs/>
        </w:rPr>
        <w:t>1.132-6</w:t>
      </w:r>
      <w:r>
        <w:rPr>
          <w:rFonts w:ascii="Times New Roman" w:hAnsi="Times New Roman" w:cs="Times New Roman"/>
        </w:rPr>
        <w:t>.)</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b/>
          <w:bCs/>
        </w:rPr>
        <w:t xml:space="preserve">TEXT: </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SECTION 1. PURPOSE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This revenue procedure provides the statistical sampling methodology that a taxpayer may use in establishing the amount of substantiated meal and entertainment expenses excepted from the 50% deduction disallowance of </w:t>
      </w:r>
      <w:r>
        <w:rPr>
          <w:rFonts w:ascii="Times New Roman" w:hAnsi="Times New Roman" w:cs="Times New Roman"/>
          <w:i/>
          <w:iCs/>
        </w:rPr>
        <w:t>§ 274 (n) (1) of the Internal Revenue C</w:t>
      </w:r>
      <w:r>
        <w:rPr>
          <w:rFonts w:ascii="Times New Roman" w:hAnsi="Times New Roman" w:cs="Times New Roman"/>
          <w:i/>
          <w:iCs/>
        </w:rPr>
        <w:t>ode</w:t>
      </w:r>
      <w:r>
        <w:rPr>
          <w:rFonts w:ascii="Times New Roman" w:hAnsi="Times New Roman" w:cs="Times New Roman"/>
        </w:rPr>
        <w:t xml:space="preserve"> by reason of </w:t>
      </w:r>
      <w:r>
        <w:rPr>
          <w:rFonts w:ascii="Times New Roman" w:hAnsi="Times New Roman" w:cs="Times New Roman"/>
          <w:i/>
          <w:iCs/>
        </w:rPr>
        <w:t>§ 274 (n) (2)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t>
      </w:r>
      <w:r>
        <w:rPr>
          <w:rFonts w:ascii="Times New Roman" w:hAnsi="Times New Roman" w:cs="Times New Roman"/>
          <w:i/>
          <w:iCs/>
        </w:rPr>
        <w:t>(C)</w:t>
      </w:r>
      <w:r>
        <w:rPr>
          <w:rFonts w:ascii="Times New Roman" w:hAnsi="Times New Roman" w:cs="Times New Roman"/>
        </w:rPr>
        <w:t xml:space="preserve">, </w:t>
      </w:r>
      <w:r>
        <w:rPr>
          <w:rFonts w:ascii="Times New Roman" w:hAnsi="Times New Roman" w:cs="Times New Roman"/>
          <w:i/>
          <w:iCs/>
        </w:rPr>
        <w:t>(D)</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SECTION 2. BACKGROUND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Section 162 (a)</w:t>
      </w:r>
      <w:r>
        <w:rPr>
          <w:rFonts w:ascii="Times New Roman" w:hAnsi="Times New Roman" w:cs="Times New Roman"/>
        </w:rPr>
        <w:t xml:space="preserve"> allows a deduction for all ordinary and necessary expenses paid or incurred during the taxable year in carrying on any trade or business, including certa</w:t>
      </w:r>
      <w:r>
        <w:rPr>
          <w:rFonts w:ascii="Times New Roman" w:hAnsi="Times New Roman" w:cs="Times New Roman"/>
        </w:rPr>
        <w:t>in expenses for meals and entertainment.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Section 274 (d)</w:t>
      </w:r>
      <w:r>
        <w:rPr>
          <w:rFonts w:ascii="Times New Roman" w:hAnsi="Times New Roman" w:cs="Times New Roman"/>
        </w:rPr>
        <w:t xml:space="preserve"> disallows a </w:t>
      </w:r>
      <w:r>
        <w:rPr>
          <w:rFonts w:ascii="Times New Roman" w:hAnsi="Times New Roman" w:cs="Times New Roman"/>
          <w:i/>
          <w:iCs/>
        </w:rPr>
        <w:t>§ 162</w:t>
      </w:r>
      <w:r>
        <w:rPr>
          <w:rFonts w:ascii="Times New Roman" w:hAnsi="Times New Roman" w:cs="Times New Roman"/>
        </w:rPr>
        <w:t xml:space="preserve"> deduction for any expense for travel (including meals and lodging while away from home), entertainment, gifts, or listed property unless the taxpayer substantiates the elements of the expense by adequate records or by sufficient evidence. See § 1.274-5T o</w:t>
      </w:r>
      <w:r>
        <w:rPr>
          <w:rFonts w:ascii="Times New Roman" w:hAnsi="Times New Roman" w:cs="Times New Roman"/>
        </w:rPr>
        <w:t>f the Income Tax Regulations.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Section 274 (n) (1)</w:t>
      </w:r>
      <w:r>
        <w:rPr>
          <w:rFonts w:ascii="Times New Roman" w:hAnsi="Times New Roman" w:cs="Times New Roman"/>
        </w:rPr>
        <w:t xml:space="preserve"> provides that the amount allowable as a deduction for any expense for food or beverages, or any item with respect to an activity that   [*2]  is of a type generally considered to constitute entertainmen</w:t>
      </w:r>
      <w:r>
        <w:rPr>
          <w:rFonts w:ascii="Times New Roman" w:hAnsi="Times New Roman" w:cs="Times New Roman"/>
        </w:rPr>
        <w:t>t, amus</w:t>
      </w:r>
      <w:r>
        <w:rPr>
          <w:rFonts w:ascii="Times New Roman" w:hAnsi="Times New Roman" w:cs="Times New Roman"/>
        </w:rPr>
        <w:t>e</w:t>
      </w:r>
      <w:r>
        <w:rPr>
          <w:rFonts w:ascii="Times New Roman" w:hAnsi="Times New Roman" w:cs="Times New Roman"/>
        </w:rPr>
        <w:t>ment, or recreation, or with respect to a facility used in connection with these activities, may not exceed 50% of the amount of the expense.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Section 274 (n) (2) (A)</w:t>
      </w:r>
      <w:r>
        <w:rPr>
          <w:rFonts w:ascii="Times New Roman" w:hAnsi="Times New Roman" w:cs="Times New Roman"/>
        </w:rPr>
        <w:t xml:space="preserve"> provides that the 50% deduction disallowance of </w:t>
      </w:r>
      <w:r>
        <w:rPr>
          <w:rFonts w:ascii="Times New Roman" w:hAnsi="Times New Roman" w:cs="Times New Roman"/>
          <w:i/>
          <w:iCs/>
        </w:rPr>
        <w:t>§ 274 (n) (1)</w:t>
      </w:r>
      <w:r>
        <w:rPr>
          <w:rFonts w:ascii="Times New Roman" w:hAnsi="Times New Roman" w:cs="Times New Roman"/>
        </w:rPr>
        <w:t xml:space="preserve"> does not apply t</w:t>
      </w:r>
      <w:r>
        <w:rPr>
          <w:rFonts w:ascii="Times New Roman" w:hAnsi="Times New Roman" w:cs="Times New Roman"/>
        </w:rPr>
        <w:t>o expen</w:t>
      </w:r>
      <w:r>
        <w:rPr>
          <w:rFonts w:ascii="Times New Roman" w:hAnsi="Times New Roman" w:cs="Times New Roman"/>
        </w:rPr>
        <w:t>s</w:t>
      </w:r>
      <w:r>
        <w:rPr>
          <w:rFonts w:ascii="Times New Roman" w:hAnsi="Times New Roman" w:cs="Times New Roman"/>
        </w:rPr>
        <w:t xml:space="preserve">es described in </w:t>
      </w:r>
      <w:r>
        <w:rPr>
          <w:rFonts w:ascii="Times New Roman" w:hAnsi="Times New Roman" w:cs="Times New Roman"/>
          <w:i/>
          <w:iCs/>
        </w:rPr>
        <w:t>§ 274 (e) (2)</w:t>
      </w:r>
      <w:r>
        <w:rPr>
          <w:rFonts w:ascii="Times New Roman" w:hAnsi="Times New Roman" w:cs="Times New Roman"/>
        </w:rPr>
        <w:t xml:space="preserve"> (expenses treated on the taxpayer's return as compensation to an employee under chapter 1 and as wages to the employee for purposes of chapter 24), </w:t>
      </w:r>
      <w:r>
        <w:rPr>
          <w:rFonts w:ascii="Times New Roman" w:hAnsi="Times New Roman" w:cs="Times New Roman"/>
          <w:i/>
          <w:iCs/>
        </w:rPr>
        <w:t>(e) (3)</w:t>
      </w:r>
      <w:r>
        <w:rPr>
          <w:rFonts w:ascii="Times New Roman" w:hAnsi="Times New Roman" w:cs="Times New Roman"/>
        </w:rPr>
        <w:t xml:space="preserve"> (expenses paid or incurred under a reimbursement or similar ar</w:t>
      </w:r>
      <w:r>
        <w:rPr>
          <w:rFonts w:ascii="Times New Roman" w:hAnsi="Times New Roman" w:cs="Times New Roman"/>
        </w:rPr>
        <w:t xml:space="preserve">rangement in connection with the performance of services). </w:t>
      </w:r>
      <w:r>
        <w:rPr>
          <w:rFonts w:ascii="Times New Roman" w:hAnsi="Times New Roman" w:cs="Times New Roman"/>
          <w:i/>
          <w:iCs/>
        </w:rPr>
        <w:t>(e) (4)</w:t>
      </w:r>
      <w:r>
        <w:rPr>
          <w:rFonts w:ascii="Times New Roman" w:hAnsi="Times New Roman" w:cs="Times New Roman"/>
        </w:rPr>
        <w:t xml:space="preserve"> (recreational and similar expenses for e</w:t>
      </w:r>
      <w:r>
        <w:rPr>
          <w:rFonts w:ascii="Times New Roman" w:hAnsi="Times New Roman" w:cs="Times New Roman"/>
        </w:rPr>
        <w:t>m</w:t>
      </w:r>
      <w:r>
        <w:rPr>
          <w:rFonts w:ascii="Times New Roman" w:hAnsi="Times New Roman" w:cs="Times New Roman"/>
        </w:rPr>
        <w:t xml:space="preserve">ployees), </w:t>
      </w:r>
      <w:r>
        <w:rPr>
          <w:rFonts w:ascii="Times New Roman" w:hAnsi="Times New Roman" w:cs="Times New Roman"/>
          <w:i/>
          <w:iCs/>
        </w:rPr>
        <w:t>(e) (7)</w:t>
      </w:r>
      <w:r>
        <w:rPr>
          <w:rFonts w:ascii="Times New Roman" w:hAnsi="Times New Roman" w:cs="Times New Roman"/>
        </w:rPr>
        <w:t xml:space="preserve"> (expenses relating to items available to the public),</w:t>
      </w:r>
      <w:r>
        <w:rPr>
          <w:rFonts w:ascii="Times New Roman" w:hAnsi="Times New Roman" w:cs="Times New Roman"/>
          <w:i/>
          <w:iCs/>
        </w:rPr>
        <w:t xml:space="preserve"> (e) (8)</w:t>
      </w:r>
      <w:r>
        <w:rPr>
          <w:rFonts w:ascii="Times New Roman" w:hAnsi="Times New Roman" w:cs="Times New Roman"/>
        </w:rPr>
        <w:t xml:space="preserve"> (expenses relating to entertainment sold to customers), or </w:t>
      </w:r>
      <w:r>
        <w:rPr>
          <w:rFonts w:ascii="Times New Roman" w:hAnsi="Times New Roman" w:cs="Times New Roman"/>
          <w:i/>
          <w:iCs/>
        </w:rPr>
        <w:t>(e) (9)</w:t>
      </w:r>
      <w:r>
        <w:rPr>
          <w:rFonts w:ascii="Times New Roman" w:hAnsi="Times New Roman" w:cs="Times New Roman"/>
        </w:rPr>
        <w:t xml:space="preserve"> (</w:t>
      </w:r>
      <w:r>
        <w:rPr>
          <w:rFonts w:ascii="Times New Roman" w:hAnsi="Times New Roman" w:cs="Times New Roman"/>
        </w:rPr>
        <w:t>expenses includible in income of persons who are not employees).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.05 </w:t>
      </w:r>
      <w:r>
        <w:rPr>
          <w:rFonts w:ascii="Times New Roman" w:hAnsi="Times New Roman" w:cs="Times New Roman"/>
          <w:i/>
          <w:iCs/>
        </w:rPr>
        <w:t>Section 274 (n) (2) (B)</w:t>
      </w:r>
      <w:r>
        <w:rPr>
          <w:rFonts w:ascii="Times New Roman" w:hAnsi="Times New Roman" w:cs="Times New Roman"/>
        </w:rPr>
        <w:t xml:space="preserve"> provides that the 50% deduction disallowance of </w:t>
      </w:r>
      <w:r>
        <w:rPr>
          <w:rFonts w:ascii="Times New Roman" w:hAnsi="Times New Roman" w:cs="Times New Roman"/>
          <w:i/>
          <w:iCs/>
        </w:rPr>
        <w:t>§ 274 (n) (1)</w:t>
      </w:r>
      <w:r>
        <w:rPr>
          <w:rFonts w:ascii="Times New Roman" w:hAnsi="Times New Roman" w:cs="Times New Roman"/>
        </w:rPr>
        <w:t xml:space="preserve"> does not apply to an e</w:t>
      </w:r>
      <w:r>
        <w:rPr>
          <w:rFonts w:ascii="Times New Roman" w:hAnsi="Times New Roman" w:cs="Times New Roman"/>
        </w:rPr>
        <w:t>x</w:t>
      </w:r>
      <w:r>
        <w:rPr>
          <w:rFonts w:ascii="Times New Roman" w:hAnsi="Times New Roman" w:cs="Times New Roman"/>
        </w:rPr>
        <w:t>pense for food or beverages that is excludable from the gross income of the re</w:t>
      </w:r>
      <w:r>
        <w:rPr>
          <w:rFonts w:ascii="Times New Roman" w:hAnsi="Times New Roman" w:cs="Times New Roman"/>
        </w:rPr>
        <w:t xml:space="preserve">cipient under </w:t>
      </w:r>
      <w:r>
        <w:rPr>
          <w:rFonts w:ascii="Times New Roman" w:hAnsi="Times New Roman" w:cs="Times New Roman"/>
          <w:i/>
          <w:iCs/>
        </w:rPr>
        <w:t>§ 132 (e)</w:t>
      </w:r>
      <w:r>
        <w:rPr>
          <w:rFonts w:ascii="Times New Roman" w:hAnsi="Times New Roman" w:cs="Times New Roman"/>
        </w:rPr>
        <w:t xml:space="preserve"> (relating to </w:t>
      </w:r>
      <w:r>
        <w:rPr>
          <w:rFonts w:ascii="Times New Roman" w:hAnsi="Times New Roman" w:cs="Times New Roman"/>
          <w:i/>
          <w:iCs/>
        </w:rPr>
        <w:t>de minimis</w:t>
      </w:r>
      <w:r>
        <w:rPr>
          <w:rFonts w:ascii="Times New Roman" w:hAnsi="Times New Roman" w:cs="Times New Roman"/>
        </w:rPr>
        <w:t xml:space="preserve"> fringe benefits excluded from income under </w:t>
      </w:r>
      <w:r>
        <w:rPr>
          <w:rFonts w:ascii="Times New Roman" w:hAnsi="Times New Roman" w:cs="Times New Roman"/>
          <w:i/>
          <w:iCs/>
        </w:rPr>
        <w:t>§ 132 (a) (4)</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.06 </w:t>
      </w:r>
      <w:r>
        <w:rPr>
          <w:rFonts w:ascii="Times New Roman" w:hAnsi="Times New Roman" w:cs="Times New Roman"/>
          <w:i/>
          <w:iCs/>
        </w:rPr>
        <w:t>Section 132 (e)</w:t>
      </w:r>
      <w:r>
        <w:rPr>
          <w:rFonts w:ascii="Times New Roman" w:hAnsi="Times New Roman" w:cs="Times New Roman"/>
        </w:rPr>
        <w:t xml:space="preserve">   [*3]  defines a </w:t>
      </w:r>
      <w:r>
        <w:rPr>
          <w:rFonts w:ascii="Times New Roman" w:hAnsi="Times New Roman" w:cs="Times New Roman"/>
          <w:i/>
          <w:iCs/>
        </w:rPr>
        <w:t>de minimis</w:t>
      </w:r>
      <w:r>
        <w:rPr>
          <w:rFonts w:ascii="Times New Roman" w:hAnsi="Times New Roman" w:cs="Times New Roman"/>
        </w:rPr>
        <w:t xml:space="preserve"> fringe as any property or service the value of which is (after taking into account the frequency wit</w:t>
      </w:r>
      <w:r>
        <w:rPr>
          <w:rFonts w:ascii="Times New Roman" w:hAnsi="Times New Roman" w:cs="Times New Roman"/>
        </w:rPr>
        <w:t xml:space="preserve">h which similar fringes are provided by the employer to the employer's employees) so small as to make accounting for it unreasonable or administratively impracticable. Under </w:t>
      </w:r>
      <w:r>
        <w:rPr>
          <w:rFonts w:ascii="Times New Roman" w:hAnsi="Times New Roman" w:cs="Times New Roman"/>
          <w:i/>
          <w:iCs/>
        </w:rPr>
        <w:t>§ 1.132-6 (c)</w:t>
      </w:r>
      <w:r>
        <w:rPr>
          <w:rFonts w:ascii="Times New Roman" w:hAnsi="Times New Roman" w:cs="Times New Roman"/>
        </w:rPr>
        <w:t>, a cash fringe benefit (other than overtime meal money and local tra</w:t>
      </w:r>
      <w:r>
        <w:rPr>
          <w:rFonts w:ascii="Times New Roman" w:hAnsi="Times New Roman" w:cs="Times New Roman"/>
        </w:rPr>
        <w:t xml:space="preserve">nsportation fare) is never excludable as a </w:t>
      </w:r>
      <w:r>
        <w:rPr>
          <w:rFonts w:ascii="Times New Roman" w:hAnsi="Times New Roman" w:cs="Times New Roman"/>
          <w:i/>
          <w:iCs/>
        </w:rPr>
        <w:t>de minimis</w:t>
      </w:r>
      <w:r>
        <w:rPr>
          <w:rFonts w:ascii="Times New Roman" w:hAnsi="Times New Roman" w:cs="Times New Roman"/>
        </w:rPr>
        <w:t xml:space="preserve"> fringe ben</w:t>
      </w:r>
      <w:r>
        <w:rPr>
          <w:rFonts w:ascii="Times New Roman" w:hAnsi="Times New Roman" w:cs="Times New Roman"/>
        </w:rPr>
        <w:t>e</w:t>
      </w:r>
      <w:r>
        <w:rPr>
          <w:rFonts w:ascii="Times New Roman" w:hAnsi="Times New Roman" w:cs="Times New Roman"/>
        </w:rPr>
        <w:t xml:space="preserve">fit. For example, expenses for meals and entertainment reimbursed to employees under an accountable plan (as defined in </w:t>
      </w:r>
      <w:r>
        <w:rPr>
          <w:rFonts w:ascii="Times New Roman" w:hAnsi="Times New Roman" w:cs="Times New Roman"/>
          <w:i/>
          <w:iCs/>
        </w:rPr>
        <w:t>§ 1.62-2 (c) (2)</w:t>
      </w:r>
      <w:r>
        <w:rPr>
          <w:rFonts w:ascii="Times New Roman" w:hAnsi="Times New Roman" w:cs="Times New Roman"/>
        </w:rPr>
        <w:t xml:space="preserve">) do not qualify as </w:t>
      </w:r>
      <w:r>
        <w:rPr>
          <w:rFonts w:ascii="Times New Roman" w:hAnsi="Times New Roman" w:cs="Times New Roman"/>
          <w:i/>
          <w:iCs/>
        </w:rPr>
        <w:t>de minimis</w:t>
      </w:r>
      <w:r>
        <w:rPr>
          <w:rFonts w:ascii="Times New Roman" w:hAnsi="Times New Roman" w:cs="Times New Roman"/>
        </w:rPr>
        <w:t xml:space="preserve"> fringe benefits.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lastRenderedPageBreak/>
        <w:t xml:space="preserve">.07 </w:t>
      </w:r>
      <w:r>
        <w:rPr>
          <w:rFonts w:ascii="Times New Roman" w:hAnsi="Times New Roman" w:cs="Times New Roman"/>
          <w:i/>
          <w:iCs/>
        </w:rPr>
        <w:t>Sec</w:t>
      </w:r>
      <w:r>
        <w:rPr>
          <w:rFonts w:ascii="Times New Roman" w:hAnsi="Times New Roman" w:cs="Times New Roman"/>
          <w:i/>
          <w:iCs/>
        </w:rPr>
        <w:t>tion 1.132-6 (b)</w:t>
      </w:r>
      <w:r>
        <w:rPr>
          <w:rFonts w:ascii="Times New Roman" w:hAnsi="Times New Roman" w:cs="Times New Roman"/>
        </w:rPr>
        <w:t xml:space="preserve"> provides that the frequency with which similar fringes are provided by the employer to the employer's employees is generally determined by reference to the frequency with which the employer provides the fringes to each individual employee.</w:t>
      </w:r>
      <w:r>
        <w:rPr>
          <w:rFonts w:ascii="Times New Roman" w:hAnsi="Times New Roman" w:cs="Times New Roman"/>
        </w:rPr>
        <w:t xml:space="preserve"> However, if it would be administratively difficult to determine frequency with r</w:t>
      </w:r>
      <w:r>
        <w:rPr>
          <w:rFonts w:ascii="Times New Roman" w:hAnsi="Times New Roman" w:cs="Times New Roman"/>
        </w:rPr>
        <w:t>e</w:t>
      </w:r>
      <w:r>
        <w:rPr>
          <w:rFonts w:ascii="Times New Roman" w:hAnsi="Times New Roman" w:cs="Times New Roman"/>
        </w:rPr>
        <w:t>spect to individual employees, the frequency with which similar fringes are provided by the employer to the employer's employees is determined by reference to the workforce a</w:t>
      </w:r>
      <w:r>
        <w:rPr>
          <w:rFonts w:ascii="Times New Roman" w:hAnsi="Times New Roman" w:cs="Times New Roman"/>
        </w:rPr>
        <w:t>s a whole. This exception to the employee-measured frequency   [*4]  requirement does not apply to overtime meals, meal money, or local transportation fare.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.08 </w:t>
      </w:r>
      <w:r>
        <w:rPr>
          <w:rFonts w:ascii="Times New Roman" w:hAnsi="Times New Roman" w:cs="Times New Roman"/>
          <w:i/>
          <w:iCs/>
        </w:rPr>
        <w:t>Section 274 (n) (2) (C)</w:t>
      </w:r>
      <w:r>
        <w:rPr>
          <w:rFonts w:ascii="Times New Roman" w:hAnsi="Times New Roman" w:cs="Times New Roman"/>
        </w:rPr>
        <w:t xml:space="preserve"> provides that the 50% deduction disallowance of </w:t>
      </w:r>
      <w:r>
        <w:rPr>
          <w:rFonts w:ascii="Times New Roman" w:hAnsi="Times New Roman" w:cs="Times New Roman"/>
          <w:i/>
          <w:iCs/>
        </w:rPr>
        <w:t>§ 274 (n) (1)</w:t>
      </w:r>
      <w:r>
        <w:rPr>
          <w:rFonts w:ascii="Times New Roman" w:hAnsi="Times New Roman" w:cs="Times New Roman"/>
        </w:rPr>
        <w:t xml:space="preserve"> does not </w:t>
      </w:r>
      <w:r>
        <w:rPr>
          <w:rFonts w:ascii="Times New Roman" w:hAnsi="Times New Roman" w:cs="Times New Roman"/>
        </w:rPr>
        <w:t>apply to an e</w:t>
      </w:r>
      <w:r>
        <w:rPr>
          <w:rFonts w:ascii="Times New Roman" w:hAnsi="Times New Roman" w:cs="Times New Roman"/>
        </w:rPr>
        <w:t>x</w:t>
      </w:r>
      <w:r>
        <w:rPr>
          <w:rFonts w:ascii="Times New Roman" w:hAnsi="Times New Roman" w:cs="Times New Roman"/>
        </w:rPr>
        <w:t xml:space="preserve">pense covered by a package involving a ticket described in </w:t>
      </w:r>
      <w:r>
        <w:rPr>
          <w:rFonts w:ascii="Times New Roman" w:hAnsi="Times New Roman" w:cs="Times New Roman"/>
          <w:i/>
          <w:iCs/>
        </w:rPr>
        <w:t>§ 274 (l) (1) (B)</w:t>
      </w:r>
      <w:r>
        <w:rPr>
          <w:rFonts w:ascii="Times New Roman" w:hAnsi="Times New Roman" w:cs="Times New Roman"/>
        </w:rPr>
        <w:t xml:space="preserve"> (exception for certain charitable sports events).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.09 </w:t>
      </w:r>
      <w:r>
        <w:rPr>
          <w:rFonts w:ascii="Times New Roman" w:hAnsi="Times New Roman" w:cs="Times New Roman"/>
          <w:i/>
          <w:iCs/>
        </w:rPr>
        <w:t>Section 274 (n) (2) (D)</w:t>
      </w:r>
      <w:r>
        <w:rPr>
          <w:rFonts w:ascii="Times New Roman" w:hAnsi="Times New Roman" w:cs="Times New Roman"/>
        </w:rPr>
        <w:t xml:space="preserve"> provides that the 50% deduction disallowance of </w:t>
      </w:r>
      <w:r>
        <w:rPr>
          <w:rFonts w:ascii="Times New Roman" w:hAnsi="Times New Roman" w:cs="Times New Roman"/>
          <w:i/>
          <w:iCs/>
        </w:rPr>
        <w:t>§ 274 (n) (1)</w:t>
      </w:r>
      <w:r>
        <w:rPr>
          <w:rFonts w:ascii="Times New Roman" w:hAnsi="Times New Roman" w:cs="Times New Roman"/>
        </w:rPr>
        <w:t xml:space="preserve"> does not apply to taxable</w:t>
      </w:r>
      <w:r>
        <w:rPr>
          <w:rFonts w:ascii="Times New Roman" w:hAnsi="Times New Roman" w:cs="Times New Roman"/>
        </w:rPr>
        <w:t xml:space="preserve"> payments or reimbursements of moving expenses of an employee by the employer.</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iCs/>
        </w:rPr>
        <w:t>Section 274 (n) (2) (E)</w:t>
      </w:r>
      <w:r>
        <w:rPr>
          <w:rFonts w:ascii="Times New Roman" w:hAnsi="Times New Roman" w:cs="Times New Roman"/>
        </w:rPr>
        <w:t xml:space="preserve"> provides that the 50% deduction disallowance of </w:t>
      </w:r>
      <w:r>
        <w:rPr>
          <w:rFonts w:ascii="Times New Roman" w:hAnsi="Times New Roman" w:cs="Times New Roman"/>
          <w:i/>
          <w:iCs/>
        </w:rPr>
        <w:t>§ 274 (n) (1)</w:t>
      </w:r>
      <w:r>
        <w:rPr>
          <w:rFonts w:ascii="Times New Roman" w:hAnsi="Times New Roman" w:cs="Times New Roman"/>
        </w:rPr>
        <w:t xml:space="preserve"> does not apply to expen</w:t>
      </w:r>
      <w:r>
        <w:rPr>
          <w:rFonts w:ascii="Times New Roman" w:hAnsi="Times New Roman" w:cs="Times New Roman"/>
        </w:rPr>
        <w:t>s</w:t>
      </w:r>
      <w:r>
        <w:rPr>
          <w:rFonts w:ascii="Times New Roman" w:hAnsi="Times New Roman" w:cs="Times New Roman"/>
        </w:rPr>
        <w:t>es for food or beverages (i) required by Federal law to be prov</w:t>
      </w:r>
      <w:r>
        <w:rPr>
          <w:rFonts w:ascii="Times New Roman" w:hAnsi="Times New Roman" w:cs="Times New Roman"/>
        </w:rPr>
        <w:t>ided to crew members of a commercial vessel, (ii) pr</w:t>
      </w:r>
      <w:r>
        <w:rPr>
          <w:rFonts w:ascii="Times New Roman" w:hAnsi="Times New Roman" w:cs="Times New Roman"/>
        </w:rPr>
        <w:t>o</w:t>
      </w:r>
      <w:r>
        <w:rPr>
          <w:rFonts w:ascii="Times New Roman" w:hAnsi="Times New Roman" w:cs="Times New Roman"/>
        </w:rPr>
        <w:t>vided to crew members of certain commercial vessels, or (iii) provided on or in proximity to certain oil or gas platforms or drilling rigs.</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SECTION 3. SCOPE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This revenue procedure applies to a taxpayer</w:t>
      </w:r>
      <w:r>
        <w:rPr>
          <w:rFonts w:ascii="Times New Roman" w:hAnsi="Times New Roman" w:cs="Times New Roman"/>
        </w:rPr>
        <w:t xml:space="preserve"> filing an original return, under examination, in litigation, or making a refund claim that desires to establish with respect to its income tax liability the amount of substantiated expenses paid or incurred for meals and entertainment excepted from the 50</w:t>
      </w:r>
      <w:r>
        <w:rPr>
          <w:rFonts w:ascii="Times New Roman" w:hAnsi="Times New Roman" w:cs="Times New Roman"/>
        </w:rPr>
        <w:t xml:space="preserve">% deduction   [*5]  disallowance of </w:t>
      </w:r>
      <w:r>
        <w:rPr>
          <w:rFonts w:ascii="Times New Roman" w:hAnsi="Times New Roman" w:cs="Times New Roman"/>
          <w:i/>
          <w:iCs/>
        </w:rPr>
        <w:t>§ 274 (n) (1)</w:t>
      </w:r>
      <w:r>
        <w:rPr>
          <w:rFonts w:ascii="Times New Roman" w:hAnsi="Times New Roman" w:cs="Times New Roman"/>
        </w:rPr>
        <w:t xml:space="preserve"> by reason of </w:t>
      </w:r>
      <w:r>
        <w:rPr>
          <w:rFonts w:ascii="Times New Roman" w:hAnsi="Times New Roman" w:cs="Times New Roman"/>
          <w:i/>
          <w:iCs/>
        </w:rPr>
        <w:t>§ 274 (n) (2)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t>
      </w:r>
      <w:r>
        <w:rPr>
          <w:rFonts w:ascii="Times New Roman" w:hAnsi="Times New Roman" w:cs="Times New Roman"/>
          <w:i/>
          <w:iCs/>
        </w:rPr>
        <w:t>(C)</w:t>
      </w:r>
      <w:r>
        <w:rPr>
          <w:rFonts w:ascii="Times New Roman" w:hAnsi="Times New Roman" w:cs="Times New Roman"/>
        </w:rPr>
        <w:t xml:space="preserve">, </w:t>
      </w:r>
      <w:r>
        <w:rPr>
          <w:rFonts w:ascii="Times New Roman" w:hAnsi="Times New Roman" w:cs="Times New Roman"/>
          <w:i/>
          <w:iCs/>
        </w:rPr>
        <w:t>(D)</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SECTION 4. APPLICATION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A taxpayer filing an original return, under examination, in litigation, or making a refund claim, may use stat</w:t>
      </w:r>
      <w:r>
        <w:rPr>
          <w:rFonts w:ascii="Times New Roman" w:hAnsi="Times New Roman" w:cs="Times New Roman"/>
        </w:rPr>
        <w:t>istical sampling in connection with establishing, with respect to its income tax liability, the amount of the ta</w:t>
      </w:r>
      <w:r>
        <w:rPr>
          <w:rFonts w:ascii="Times New Roman" w:hAnsi="Times New Roman" w:cs="Times New Roman"/>
        </w:rPr>
        <w:t>x</w:t>
      </w:r>
      <w:r>
        <w:rPr>
          <w:rFonts w:ascii="Times New Roman" w:hAnsi="Times New Roman" w:cs="Times New Roman"/>
        </w:rPr>
        <w:t>payer's substantiated expenses paid or incurred for meals and entertainment excepted from the 50% deduction disa</w:t>
      </w:r>
      <w:r>
        <w:rPr>
          <w:rFonts w:ascii="Times New Roman" w:hAnsi="Times New Roman" w:cs="Times New Roman"/>
        </w:rPr>
        <w:t>l</w:t>
      </w:r>
      <w:r>
        <w:rPr>
          <w:rFonts w:ascii="Times New Roman" w:hAnsi="Times New Roman" w:cs="Times New Roman"/>
        </w:rPr>
        <w:t xml:space="preserve">lowance of </w:t>
      </w:r>
      <w:r>
        <w:rPr>
          <w:rFonts w:ascii="Times New Roman" w:hAnsi="Times New Roman" w:cs="Times New Roman"/>
          <w:i/>
          <w:iCs/>
        </w:rPr>
        <w:t>§ 274 (n) (1)</w:t>
      </w:r>
      <w:r>
        <w:rPr>
          <w:rFonts w:ascii="Times New Roman" w:hAnsi="Times New Roman" w:cs="Times New Roman"/>
        </w:rPr>
        <w:t xml:space="preserve"> by re</w:t>
      </w:r>
      <w:r>
        <w:rPr>
          <w:rFonts w:ascii="Times New Roman" w:hAnsi="Times New Roman" w:cs="Times New Roman"/>
        </w:rPr>
        <w:t xml:space="preserve">ason of </w:t>
      </w:r>
      <w:r>
        <w:rPr>
          <w:rFonts w:ascii="Times New Roman" w:hAnsi="Times New Roman" w:cs="Times New Roman"/>
          <w:i/>
          <w:iCs/>
        </w:rPr>
        <w:t>§ 274 (n) (2) (A)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t>
      </w:r>
      <w:r>
        <w:rPr>
          <w:rFonts w:ascii="Times New Roman" w:hAnsi="Times New Roman" w:cs="Times New Roman"/>
          <w:i/>
          <w:iCs/>
        </w:rPr>
        <w:t>(C)</w:t>
      </w:r>
      <w:r>
        <w:rPr>
          <w:rFonts w:ascii="Times New Roman" w:hAnsi="Times New Roman" w:cs="Times New Roman"/>
        </w:rPr>
        <w:t xml:space="preserve">, </w:t>
      </w:r>
      <w:r>
        <w:rPr>
          <w:rFonts w:ascii="Times New Roman" w:hAnsi="Times New Roman" w:cs="Times New Roman"/>
          <w:i/>
          <w:iCs/>
        </w:rPr>
        <w:t>(D)</w:t>
      </w:r>
      <w:r>
        <w:rPr>
          <w:rFonts w:ascii="Times New Roman" w:hAnsi="Times New Roman" w:cs="Times New Roman"/>
        </w:rPr>
        <w:t xml:space="preserve">, or </w:t>
      </w:r>
      <w:r>
        <w:rPr>
          <w:rFonts w:ascii="Times New Roman" w:hAnsi="Times New Roman" w:cs="Times New Roman"/>
          <w:i/>
          <w:iCs/>
        </w:rPr>
        <w:t>(E)</w:t>
      </w:r>
      <w:r>
        <w:rPr>
          <w:rFonts w:ascii="Times New Roman" w:hAnsi="Times New Roman" w:cs="Times New Roman"/>
        </w:rPr>
        <w:t xml:space="preserve"> by following the procedures provided in Appendix A (Sampling Plan Standards), Appendix B (Sampling Documentation Standards), Appendix C (Technical Formulas), and (in the case of </w:t>
      </w:r>
      <w:r>
        <w:rPr>
          <w:rFonts w:ascii="Times New Roman" w:hAnsi="Times New Roman" w:cs="Times New Roman"/>
          <w:i/>
          <w:iCs/>
        </w:rPr>
        <w:t>de minimis</w:t>
      </w:r>
      <w:r>
        <w:rPr>
          <w:rFonts w:ascii="Times New Roman" w:hAnsi="Times New Roman" w:cs="Times New Roman"/>
        </w:rPr>
        <w:t xml:space="preserve"> fringes) in paragr</w:t>
      </w:r>
      <w:r>
        <w:rPr>
          <w:rFonts w:ascii="Times New Roman" w:hAnsi="Times New Roman" w:cs="Times New Roman"/>
        </w:rPr>
        <w:t>aph 4.02 of this revenue procedure.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Additional procedures required for de minimis fringe benefits</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(1) </w:t>
      </w:r>
      <w:r>
        <w:rPr>
          <w:rFonts w:ascii="Times New Roman" w:hAnsi="Times New Roman" w:cs="Times New Roman"/>
          <w:i/>
          <w:iCs/>
        </w:rPr>
        <w:t>Reimbursements under accountable plans</w:t>
      </w:r>
      <w:r>
        <w:rPr>
          <w:rFonts w:ascii="Times New Roman" w:hAnsi="Times New Roman" w:cs="Times New Roman"/>
        </w:rPr>
        <w:t>. In conducting the study, expenses for meals and entertainment r</w:t>
      </w:r>
      <w:r>
        <w:rPr>
          <w:rFonts w:ascii="Times New Roman" w:hAnsi="Times New Roman" w:cs="Times New Roman"/>
        </w:rPr>
        <w:t>e</w:t>
      </w:r>
      <w:r>
        <w:rPr>
          <w:rFonts w:ascii="Times New Roman" w:hAnsi="Times New Roman" w:cs="Times New Roman"/>
        </w:rPr>
        <w:t>imbursed by employers to employees under an a</w:t>
      </w:r>
      <w:r>
        <w:rPr>
          <w:rFonts w:ascii="Times New Roman" w:hAnsi="Times New Roman" w:cs="Times New Roman"/>
        </w:rPr>
        <w:t xml:space="preserve">ccountable plan may not be treated as </w:t>
      </w:r>
      <w:r>
        <w:rPr>
          <w:rFonts w:ascii="Times New Roman" w:hAnsi="Times New Roman" w:cs="Times New Roman"/>
          <w:i/>
          <w:iCs/>
        </w:rPr>
        <w:t>de minimis</w:t>
      </w:r>
      <w:r>
        <w:rPr>
          <w:rFonts w:ascii="Times New Roman" w:hAnsi="Times New Roman" w:cs="Times New Roman"/>
        </w:rPr>
        <w:t xml:space="preserve"> fringe benefits.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Determination of frequency</w:t>
      </w:r>
      <w:r>
        <w:rPr>
          <w:rFonts w:ascii="Times New Roman" w:hAnsi="Times New Roman" w:cs="Times New Roman"/>
        </w:rPr>
        <w:t xml:space="preserve">. To establish the amount of identified expenses that are excepted from </w:t>
      </w:r>
      <w:r>
        <w:rPr>
          <w:rFonts w:ascii="Times New Roman" w:hAnsi="Times New Roman" w:cs="Times New Roman"/>
          <w:i/>
          <w:iCs/>
        </w:rPr>
        <w:t>§ 274 (n) (1)</w:t>
      </w:r>
      <w:r>
        <w:rPr>
          <w:rFonts w:ascii="Times New Roman" w:hAnsi="Times New Roman" w:cs="Times New Roman"/>
        </w:rPr>
        <w:t xml:space="preserve"> by reason of </w:t>
      </w:r>
      <w:r>
        <w:rPr>
          <w:rFonts w:ascii="Times New Roman" w:hAnsi="Times New Roman" w:cs="Times New Roman"/>
          <w:i/>
          <w:iCs/>
        </w:rPr>
        <w:t>§ 274 (n) (2) (B)</w:t>
      </w:r>
      <w:r>
        <w:rPr>
          <w:rFonts w:ascii="Times New Roman" w:hAnsi="Times New Roman" w:cs="Times New Roman"/>
        </w:rPr>
        <w:t>,   [*6]  a taxpayer is required to determine the frequency with which similar fringes were provided by the taxpayer to the taxpayer's employees on an employee-measured or employer-measured basis, as described in paragraphs (3) and (4) below. Thus, after s</w:t>
      </w:r>
      <w:r>
        <w:rPr>
          <w:rFonts w:ascii="Times New Roman" w:hAnsi="Times New Roman" w:cs="Times New Roman"/>
        </w:rPr>
        <w:t>electing a statistical sample, as discussed below, the taxpayer may be required to review documentation from outside both the sample and the target population (the set of items from which the sample is drawn) to identify similar fringes included in employe</w:t>
      </w:r>
      <w:r>
        <w:rPr>
          <w:rFonts w:ascii="Times New Roman" w:hAnsi="Times New Roman" w:cs="Times New Roman"/>
        </w:rPr>
        <w:t>es' gross income and similar fringes prev</w:t>
      </w:r>
      <w:r>
        <w:rPr>
          <w:rFonts w:ascii="Times New Roman" w:hAnsi="Times New Roman" w:cs="Times New Roman"/>
        </w:rPr>
        <w:t>i</w:t>
      </w:r>
      <w:r>
        <w:rPr>
          <w:rFonts w:ascii="Times New Roman" w:hAnsi="Times New Roman" w:cs="Times New Roman"/>
        </w:rPr>
        <w:t xml:space="preserve">ously excluded from employees' gross income as </w:t>
      </w:r>
      <w:r>
        <w:rPr>
          <w:rFonts w:ascii="Times New Roman" w:hAnsi="Times New Roman" w:cs="Times New Roman"/>
          <w:i/>
          <w:iCs/>
        </w:rPr>
        <w:t>de minimis</w:t>
      </w:r>
      <w:r>
        <w:rPr>
          <w:rFonts w:ascii="Times New Roman" w:hAnsi="Times New Roman" w:cs="Times New Roman"/>
        </w:rPr>
        <w:t xml:space="preserve"> fringe benefits.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Employee-measured frequency</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When using employee-measured frequency to determine the amount of identified expenses that</w:t>
      </w:r>
      <w:r>
        <w:rPr>
          <w:rFonts w:ascii="Times New Roman" w:hAnsi="Times New Roman" w:cs="Times New Roman"/>
        </w:rPr>
        <w:t xml:space="preserve"> are excepted from </w:t>
      </w:r>
      <w:r>
        <w:rPr>
          <w:rFonts w:ascii="Times New Roman" w:hAnsi="Times New Roman" w:cs="Times New Roman"/>
          <w:i/>
          <w:iCs/>
        </w:rPr>
        <w:t>§ 274 (n) (1)</w:t>
      </w:r>
      <w:r>
        <w:rPr>
          <w:rFonts w:ascii="Times New Roman" w:hAnsi="Times New Roman" w:cs="Times New Roman"/>
        </w:rPr>
        <w:t xml:space="preserve"> by reason of </w:t>
      </w:r>
      <w:r>
        <w:rPr>
          <w:rFonts w:ascii="Times New Roman" w:hAnsi="Times New Roman" w:cs="Times New Roman"/>
          <w:i/>
          <w:iCs/>
        </w:rPr>
        <w:t>§ 274 (n) (2) (B)</w:t>
      </w:r>
      <w:r>
        <w:rPr>
          <w:rFonts w:ascii="Times New Roman" w:hAnsi="Times New Roman" w:cs="Times New Roman"/>
        </w:rPr>
        <w:t>, the taxpayer must establish the frequency with which similar fringes were provided to each individual employee of the taxpayer. Therefore, after identifying the statistical sample, the taxpay</w:t>
      </w:r>
      <w:r>
        <w:rPr>
          <w:rFonts w:ascii="Times New Roman" w:hAnsi="Times New Roman" w:cs="Times New Roman"/>
        </w:rPr>
        <w:t>er must review the remainder of the target population (and records that document similar fringes that are not included in the target population) to identify the aggregate number of similar fringes   [*7]  provided to the individual employees included in th</w:t>
      </w:r>
      <w:r>
        <w:rPr>
          <w:rFonts w:ascii="Times New Roman" w:hAnsi="Times New Roman" w:cs="Times New Roman"/>
        </w:rPr>
        <w:t>e statistical sample.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Example</w:t>
      </w:r>
      <w:r>
        <w:rPr>
          <w:rFonts w:ascii="Times New Roman" w:hAnsi="Times New Roman" w:cs="Times New Roman"/>
        </w:rPr>
        <w:t>. Taxpayer maintains a meal and entertainment expense account that includes invoices for meals pr</w:t>
      </w:r>
      <w:r>
        <w:rPr>
          <w:rFonts w:ascii="Times New Roman" w:hAnsi="Times New Roman" w:cs="Times New Roman"/>
        </w:rPr>
        <w:t>o</w:t>
      </w:r>
      <w:r>
        <w:rPr>
          <w:rFonts w:ascii="Times New Roman" w:hAnsi="Times New Roman" w:cs="Times New Roman"/>
        </w:rPr>
        <w:t xml:space="preserve">vided in-kind to Taxpayer's employees that may be </w:t>
      </w:r>
      <w:r>
        <w:rPr>
          <w:rFonts w:ascii="Times New Roman" w:hAnsi="Times New Roman" w:cs="Times New Roman"/>
          <w:i/>
          <w:iCs/>
        </w:rPr>
        <w:t>de minimis</w:t>
      </w:r>
      <w:r>
        <w:rPr>
          <w:rFonts w:ascii="Times New Roman" w:hAnsi="Times New Roman" w:cs="Times New Roman"/>
        </w:rPr>
        <w:t xml:space="preserve"> fringe benefits. The invoices specifically identify the employee</w:t>
      </w:r>
      <w:r>
        <w:rPr>
          <w:rFonts w:ascii="Times New Roman" w:hAnsi="Times New Roman" w:cs="Times New Roman"/>
        </w:rPr>
        <w:t>s who received the in-kind meals. Therefore, it would not be administratively difficult to determine the fr</w:t>
      </w:r>
      <w:r>
        <w:rPr>
          <w:rFonts w:ascii="Times New Roman" w:hAnsi="Times New Roman" w:cs="Times New Roman"/>
        </w:rPr>
        <w:t>e</w:t>
      </w:r>
      <w:r>
        <w:rPr>
          <w:rFonts w:ascii="Times New Roman" w:hAnsi="Times New Roman" w:cs="Times New Roman"/>
        </w:rPr>
        <w:lastRenderedPageBreak/>
        <w:t>quency with which in-kind meals were provided to individual employees, and Taxpayer must determine the frequency with which it provided in-kind meal</w:t>
      </w:r>
      <w:r>
        <w:rPr>
          <w:rFonts w:ascii="Times New Roman" w:hAnsi="Times New Roman" w:cs="Times New Roman"/>
        </w:rPr>
        <w:t>s to each of the individual employees included in the sample. Taxpayer has no other accounts that include expenses for in-kind meals provided to employees.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Taxpayer selects a statistical sample of the meal and entertainment expense account that identifies 10 employees who have received in-kind meals. In order to determine if the meals are </w:t>
      </w:r>
      <w:r>
        <w:rPr>
          <w:rFonts w:ascii="Times New Roman" w:hAnsi="Times New Roman" w:cs="Times New Roman"/>
          <w:i/>
          <w:iCs/>
        </w:rPr>
        <w:t>de minimis</w:t>
      </w:r>
      <w:r>
        <w:rPr>
          <w:rFonts w:ascii="Times New Roman" w:hAnsi="Times New Roman" w:cs="Times New Roman"/>
        </w:rPr>
        <w:t xml:space="preserve"> fringes, Taxpayer must review documentation (such as invoice</w:t>
      </w:r>
      <w:r>
        <w:rPr>
          <w:rFonts w:ascii="Times New Roman" w:hAnsi="Times New Roman" w:cs="Times New Roman"/>
        </w:rPr>
        <w:t>s) in the remainder of the target population to identify all in-kind meals provided to each of the 10 individual employees included in the sample. Taxpayer must consider in-kind meals that Taxpayer included in each employee's gross   [*8]  income and simil</w:t>
      </w:r>
      <w:r>
        <w:rPr>
          <w:rFonts w:ascii="Times New Roman" w:hAnsi="Times New Roman" w:cs="Times New Roman"/>
        </w:rPr>
        <w:t xml:space="preserve">ar fringes previously excluded from the employees' gross income as </w:t>
      </w:r>
      <w:r>
        <w:rPr>
          <w:rFonts w:ascii="Times New Roman" w:hAnsi="Times New Roman" w:cs="Times New Roman"/>
          <w:i/>
          <w:iCs/>
        </w:rPr>
        <w:t>de minimis</w:t>
      </w:r>
      <w:r>
        <w:rPr>
          <w:rFonts w:ascii="Times New Roman" w:hAnsi="Times New Roman" w:cs="Times New Roman"/>
        </w:rPr>
        <w:t xml:space="preserve"> fringe benefits in determining the frequency with which similar fringes were provided to each of the 10 e</w:t>
      </w:r>
      <w:r>
        <w:rPr>
          <w:rFonts w:ascii="Times New Roman" w:hAnsi="Times New Roman" w:cs="Times New Roman"/>
        </w:rPr>
        <w:t>m</w:t>
      </w:r>
      <w:r>
        <w:rPr>
          <w:rFonts w:ascii="Times New Roman" w:hAnsi="Times New Roman" w:cs="Times New Roman"/>
        </w:rPr>
        <w:t>ployees. After conducting this review, Taxpayer determines (after consid</w:t>
      </w:r>
      <w:r>
        <w:rPr>
          <w:rFonts w:ascii="Times New Roman" w:hAnsi="Times New Roman" w:cs="Times New Roman"/>
        </w:rPr>
        <w:t xml:space="preserve">ering both the value and frequency of the meals) that the meals provided to 4 of the 10 employees in the sample are </w:t>
      </w:r>
      <w:r>
        <w:rPr>
          <w:rFonts w:ascii="Times New Roman" w:hAnsi="Times New Roman" w:cs="Times New Roman"/>
          <w:i/>
          <w:iCs/>
        </w:rPr>
        <w:t>de minimis</w:t>
      </w:r>
      <w:r>
        <w:rPr>
          <w:rFonts w:ascii="Times New Roman" w:hAnsi="Times New Roman" w:cs="Times New Roman"/>
        </w:rPr>
        <w:t xml:space="preserve"> fringe benefits not subject to the 50% deduction disallowance of </w:t>
      </w:r>
      <w:r>
        <w:rPr>
          <w:rFonts w:ascii="Times New Roman" w:hAnsi="Times New Roman" w:cs="Times New Roman"/>
          <w:i/>
          <w:iCs/>
        </w:rPr>
        <w:t>§ 274 (n) (1)</w:t>
      </w:r>
      <w:r>
        <w:rPr>
          <w:rFonts w:ascii="Times New Roman" w:hAnsi="Times New Roman" w:cs="Times New Roman"/>
        </w:rPr>
        <w:t>. Taxpayer may increase proportionately the deducti</w:t>
      </w:r>
      <w:r>
        <w:rPr>
          <w:rFonts w:ascii="Times New Roman" w:hAnsi="Times New Roman" w:cs="Times New Roman"/>
        </w:rPr>
        <w:t xml:space="preserve">ble amount of expenses in the population not subject to the </w:t>
      </w:r>
      <w:r>
        <w:rPr>
          <w:rFonts w:ascii="Times New Roman" w:hAnsi="Times New Roman" w:cs="Times New Roman"/>
          <w:i/>
          <w:iCs/>
        </w:rPr>
        <w:t>§ 274 (n) (1)</w:t>
      </w:r>
      <w:r>
        <w:rPr>
          <w:rFonts w:ascii="Times New Roman" w:hAnsi="Times New Roman" w:cs="Times New Roman"/>
        </w:rPr>
        <w:t xml:space="preserve"> limitation. See paragraph 6 of Appendix A.</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Employer-measured frequency</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When using employer-measured frequency to determine the amount of identified expenses that</w:t>
      </w:r>
      <w:r>
        <w:rPr>
          <w:rFonts w:ascii="Times New Roman" w:hAnsi="Times New Roman" w:cs="Times New Roman"/>
        </w:rPr>
        <w:t xml:space="preserve"> are excepted from </w:t>
      </w:r>
      <w:r>
        <w:rPr>
          <w:rFonts w:ascii="Times New Roman" w:hAnsi="Times New Roman" w:cs="Times New Roman"/>
          <w:i/>
          <w:iCs/>
        </w:rPr>
        <w:t>§ 274 (n) (1)</w:t>
      </w:r>
      <w:r>
        <w:rPr>
          <w:rFonts w:ascii="Times New Roman" w:hAnsi="Times New Roman" w:cs="Times New Roman"/>
        </w:rPr>
        <w:t xml:space="preserve"> by reason of </w:t>
      </w:r>
      <w:r>
        <w:rPr>
          <w:rFonts w:ascii="Times New Roman" w:hAnsi="Times New Roman" w:cs="Times New Roman"/>
          <w:i/>
          <w:iCs/>
        </w:rPr>
        <w:t>§ 274 (n) (2) (B)</w:t>
      </w:r>
      <w:r>
        <w:rPr>
          <w:rFonts w:ascii="Times New Roman" w:hAnsi="Times New Roman" w:cs="Times New Roman"/>
        </w:rPr>
        <w:t>, the taxpayer must establish the frequency with which similar fringes were provided to the taxpayer's workforce as a whole. Thus, the target population must include all relevant re</w:t>
      </w:r>
      <w:r>
        <w:rPr>
          <w:rFonts w:ascii="Times New Roman" w:hAnsi="Times New Roman" w:cs="Times New Roman"/>
        </w:rPr>
        <w:t>c</w:t>
      </w:r>
      <w:r>
        <w:rPr>
          <w:rFonts w:ascii="Times New Roman" w:hAnsi="Times New Roman" w:cs="Times New Roman"/>
        </w:rPr>
        <w:t xml:space="preserve">ords prior </w:t>
      </w:r>
      <w:r>
        <w:rPr>
          <w:rFonts w:ascii="Times New Roman" w:hAnsi="Times New Roman" w:cs="Times New Roman"/>
        </w:rPr>
        <w:t>to selection of the statistical sample in order to determine the aggregate number of similar fringes provided to all eligible employees and the aggregate number of employees   [*9]  eligible to receive such fringes.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Example</w:t>
      </w:r>
      <w:r>
        <w:rPr>
          <w:rFonts w:ascii="Times New Roman" w:hAnsi="Times New Roman" w:cs="Times New Roman"/>
        </w:rPr>
        <w:t>. Taxpayer maintains a meal a</w:t>
      </w:r>
      <w:r>
        <w:rPr>
          <w:rFonts w:ascii="Times New Roman" w:hAnsi="Times New Roman" w:cs="Times New Roman"/>
        </w:rPr>
        <w:t>nd entertainment expense account that includes invoices for meals pr</w:t>
      </w:r>
      <w:r>
        <w:rPr>
          <w:rFonts w:ascii="Times New Roman" w:hAnsi="Times New Roman" w:cs="Times New Roman"/>
        </w:rPr>
        <w:t>o</w:t>
      </w:r>
      <w:r>
        <w:rPr>
          <w:rFonts w:ascii="Times New Roman" w:hAnsi="Times New Roman" w:cs="Times New Roman"/>
        </w:rPr>
        <w:t xml:space="preserve">vided in-kind to Taxpayer's employees that may be </w:t>
      </w:r>
      <w:r>
        <w:rPr>
          <w:rFonts w:ascii="Times New Roman" w:hAnsi="Times New Roman" w:cs="Times New Roman"/>
          <w:i/>
          <w:iCs/>
        </w:rPr>
        <w:t>de minimis</w:t>
      </w:r>
      <w:r>
        <w:rPr>
          <w:rFonts w:ascii="Times New Roman" w:hAnsi="Times New Roman" w:cs="Times New Roman"/>
        </w:rPr>
        <w:t xml:space="preserve"> fringe benefits. The invoices are for in-kind meals of a type for which it is administratively difficult to identify the parti</w:t>
      </w:r>
      <w:r>
        <w:rPr>
          <w:rFonts w:ascii="Times New Roman" w:hAnsi="Times New Roman" w:cs="Times New Roman"/>
        </w:rPr>
        <w:t>cular employees who received the meals, and the i</w:t>
      </w:r>
      <w:r>
        <w:rPr>
          <w:rFonts w:ascii="Times New Roman" w:hAnsi="Times New Roman" w:cs="Times New Roman"/>
        </w:rPr>
        <w:t>n</w:t>
      </w:r>
      <w:r>
        <w:rPr>
          <w:rFonts w:ascii="Times New Roman" w:hAnsi="Times New Roman" w:cs="Times New Roman"/>
        </w:rPr>
        <w:t>voices done specifically identify those employees. Therefore, it would be administratively difficult to determine the frequency with which in-kind meals were provided to individual employees, and taxpayer m</w:t>
      </w:r>
      <w:r>
        <w:rPr>
          <w:rFonts w:ascii="Times New Roman" w:hAnsi="Times New Roman" w:cs="Times New Roman"/>
        </w:rPr>
        <w:t>ay determine the frequency with which similar fringes were provided by Taxpayer to Taxpayer's employees by reference to all employees eligible to receive in-kind meals. Taxpayer maintains an account in addition to the meal and entertainment expense, accoun</w:t>
      </w:r>
      <w:r>
        <w:rPr>
          <w:rFonts w:ascii="Times New Roman" w:hAnsi="Times New Roman" w:cs="Times New Roman"/>
        </w:rPr>
        <w:t>t that includes expenses for in-kind meals provided to employees. Taxpayer's workforce includes 500 employees who are eligible to receive the fringe benefit of in-kind meals.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Taxpayer merges the meal and entertainment expense account and the other account </w:t>
      </w:r>
      <w:r>
        <w:rPr>
          <w:rFonts w:ascii="Times New Roman" w:hAnsi="Times New Roman" w:cs="Times New Roman"/>
        </w:rPr>
        <w:t xml:space="preserve">that includes expenses for in-kind meals to create a target population that includes all relevant records   [*10]  and conducts a statistical sample of the merged accounts. In determining whether the in-kind meals included in the sample are </w:t>
      </w:r>
      <w:r>
        <w:rPr>
          <w:rFonts w:ascii="Times New Roman" w:hAnsi="Times New Roman" w:cs="Times New Roman"/>
          <w:i/>
          <w:iCs/>
        </w:rPr>
        <w:t>de minimis</w:t>
      </w:r>
      <w:r>
        <w:rPr>
          <w:rFonts w:ascii="Times New Roman" w:hAnsi="Times New Roman" w:cs="Times New Roman"/>
        </w:rPr>
        <w:t xml:space="preserve"> frin</w:t>
      </w:r>
      <w:r>
        <w:rPr>
          <w:rFonts w:ascii="Times New Roman" w:hAnsi="Times New Roman" w:cs="Times New Roman"/>
        </w:rPr>
        <w:t>ges. Ta</w:t>
      </w:r>
      <w:r>
        <w:rPr>
          <w:rFonts w:ascii="Times New Roman" w:hAnsi="Times New Roman" w:cs="Times New Roman"/>
        </w:rPr>
        <w:t>x</w:t>
      </w:r>
      <w:r>
        <w:rPr>
          <w:rFonts w:ascii="Times New Roman" w:hAnsi="Times New Roman" w:cs="Times New Roman"/>
        </w:rPr>
        <w:t>payer must consider in-kind meals that taxpayer included in eligible employees' gross income and similar fringes pr</w:t>
      </w:r>
      <w:r>
        <w:rPr>
          <w:rFonts w:ascii="Times New Roman" w:hAnsi="Times New Roman" w:cs="Times New Roman"/>
        </w:rPr>
        <w:t>e</w:t>
      </w:r>
      <w:r>
        <w:rPr>
          <w:rFonts w:ascii="Times New Roman" w:hAnsi="Times New Roman" w:cs="Times New Roman"/>
        </w:rPr>
        <w:t xml:space="preserve">viously excluded from employees' gross income as </w:t>
      </w:r>
      <w:r>
        <w:rPr>
          <w:rFonts w:ascii="Times New Roman" w:hAnsi="Times New Roman" w:cs="Times New Roman"/>
          <w:i/>
          <w:iCs/>
        </w:rPr>
        <w:t>de minimis</w:t>
      </w:r>
      <w:r>
        <w:rPr>
          <w:rFonts w:ascii="Times New Roman" w:hAnsi="Times New Roman" w:cs="Times New Roman"/>
        </w:rPr>
        <w:t xml:space="preserve"> fringe benefits. Taxpayer identifies in the sample 50 in-kind meals prov</w:t>
      </w:r>
      <w:r>
        <w:rPr>
          <w:rFonts w:ascii="Times New Roman" w:hAnsi="Times New Roman" w:cs="Times New Roman"/>
        </w:rPr>
        <w:t>ided to employees. The 50 meals represent 1000 in-kind meals in the target population as a whole, or two meals per eligible employee. Assuming that the provision of two meals with a given cost per eligible employee r</w:t>
      </w:r>
      <w:r>
        <w:rPr>
          <w:rFonts w:ascii="Times New Roman" w:hAnsi="Times New Roman" w:cs="Times New Roman"/>
        </w:rPr>
        <w:t>e</w:t>
      </w:r>
      <w:r>
        <w:rPr>
          <w:rFonts w:ascii="Times New Roman" w:hAnsi="Times New Roman" w:cs="Times New Roman"/>
        </w:rPr>
        <w:t>sults in a value that is so small as to</w:t>
      </w:r>
      <w:r>
        <w:rPr>
          <w:rFonts w:ascii="Times New Roman" w:hAnsi="Times New Roman" w:cs="Times New Roman"/>
        </w:rPr>
        <w:t xml:space="preserve"> make accounting for it unreasonable or administratively impracticable, Taxpayer may treat all of the in-kind meals in the meal and entertainment expense account as </w:t>
      </w:r>
      <w:r>
        <w:rPr>
          <w:rFonts w:ascii="Times New Roman" w:hAnsi="Times New Roman" w:cs="Times New Roman"/>
          <w:i/>
          <w:iCs/>
        </w:rPr>
        <w:t>de minimis</w:t>
      </w:r>
      <w:r>
        <w:rPr>
          <w:rFonts w:ascii="Times New Roman" w:hAnsi="Times New Roman" w:cs="Times New Roman"/>
        </w:rPr>
        <w:t xml:space="preserve"> fringe benefits not su</w:t>
      </w:r>
      <w:r>
        <w:rPr>
          <w:rFonts w:ascii="Times New Roman" w:hAnsi="Times New Roman" w:cs="Times New Roman"/>
        </w:rPr>
        <w:t>b</w:t>
      </w:r>
      <w:r>
        <w:rPr>
          <w:rFonts w:ascii="Times New Roman" w:hAnsi="Times New Roman" w:cs="Times New Roman"/>
        </w:rPr>
        <w:t xml:space="preserve">ject to the 50% deduction disallowance of </w:t>
      </w:r>
      <w:r>
        <w:rPr>
          <w:rFonts w:ascii="Times New Roman" w:hAnsi="Times New Roman" w:cs="Times New Roman"/>
          <w:i/>
          <w:iCs/>
        </w:rPr>
        <w:t>§ 274 (n) (1)</w:t>
      </w:r>
      <w:r>
        <w:rPr>
          <w:rFonts w:ascii="Times New Roman" w:hAnsi="Times New Roman" w:cs="Times New Roman"/>
        </w:rPr>
        <w:t xml:space="preserve">, </w:t>
      </w:r>
      <w:r>
        <w:rPr>
          <w:rFonts w:ascii="Times New Roman" w:hAnsi="Times New Roman" w:cs="Times New Roman"/>
        </w:rPr>
        <w:t xml:space="preserve">subject, however, to a </w:t>
      </w:r>
      <w:r>
        <w:rPr>
          <w:rFonts w:ascii="Times New Roman" w:hAnsi="Times New Roman" w:cs="Times New Roman"/>
          <w:i/>
          <w:iCs/>
        </w:rPr>
        <w:t>pro rata</w:t>
      </w:r>
      <w:r>
        <w:rPr>
          <w:rFonts w:ascii="Times New Roman" w:hAnsi="Times New Roman" w:cs="Times New Roman"/>
        </w:rPr>
        <w:t xml:space="preserve"> reduction to the extent that any in-kind meals are evaluated under employee-measured frequency and fail to qualify as </w:t>
      </w:r>
      <w:r>
        <w:rPr>
          <w:rFonts w:ascii="Times New Roman" w:hAnsi="Times New Roman" w:cs="Times New Roman"/>
          <w:i/>
          <w:iCs/>
        </w:rPr>
        <w:t>de minimis</w:t>
      </w:r>
      <w:r>
        <w:rPr>
          <w:rFonts w:ascii="Times New Roman" w:hAnsi="Times New Roman" w:cs="Times New Roman"/>
        </w:rPr>
        <w:t xml:space="preserve"> fringes.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Limitations</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(1) This revenue procedure does not authorize the use of statistical </w:t>
      </w:r>
      <w:r>
        <w:rPr>
          <w:rFonts w:ascii="Times New Roman" w:hAnsi="Times New Roman" w:cs="Times New Roman"/>
        </w:rPr>
        <w:t xml:space="preserve">sampling to substantiate meal and entertainment   [*11]  expenses as required by </w:t>
      </w:r>
      <w:r>
        <w:rPr>
          <w:rFonts w:ascii="Times New Roman" w:hAnsi="Times New Roman" w:cs="Times New Roman"/>
          <w:i/>
          <w:iCs/>
        </w:rPr>
        <w:t>§ 274 (d)</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(2) This revenue procedure does not authorize the use of statistical sampling to determine a taxpayer's liability for employment taxes or whether an amount is exclu</w:t>
      </w:r>
      <w:r>
        <w:rPr>
          <w:rFonts w:ascii="Times New Roman" w:hAnsi="Times New Roman" w:cs="Times New Roman"/>
        </w:rPr>
        <w:t>dable from a taxpayer's income.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(3) This revenue procedure does not establish the correctness of a taxpayer's interpretation of </w:t>
      </w:r>
      <w:r>
        <w:rPr>
          <w:rFonts w:ascii="Times New Roman" w:hAnsi="Times New Roman" w:cs="Times New Roman"/>
          <w:i/>
          <w:iCs/>
        </w:rPr>
        <w:t>§ 274 (n)</w:t>
      </w:r>
      <w:r>
        <w:rPr>
          <w:rFonts w:ascii="Times New Roman" w:hAnsi="Times New Roman" w:cs="Times New Roman"/>
        </w:rPr>
        <w:t xml:space="preserve"> or chara</w:t>
      </w:r>
      <w:r>
        <w:rPr>
          <w:rFonts w:ascii="Times New Roman" w:hAnsi="Times New Roman" w:cs="Times New Roman"/>
        </w:rPr>
        <w:t>c</w:t>
      </w:r>
      <w:r>
        <w:rPr>
          <w:rFonts w:ascii="Times New Roman" w:hAnsi="Times New Roman" w:cs="Times New Roman"/>
        </w:rPr>
        <w:t xml:space="preserve">terization of meal and entertainment expenses as expenses excepted from </w:t>
      </w:r>
      <w:r>
        <w:rPr>
          <w:rFonts w:ascii="Times New Roman" w:hAnsi="Times New Roman" w:cs="Times New Roman"/>
          <w:i/>
          <w:iCs/>
        </w:rPr>
        <w:t>§ 274 (n) (1)</w:t>
      </w:r>
      <w:r>
        <w:rPr>
          <w:rFonts w:ascii="Times New Roman" w:hAnsi="Times New Roman" w:cs="Times New Roman"/>
        </w:rPr>
        <w:t>.</w:t>
      </w:r>
    </w:p>
    <w:p w:rsidR="00000000" w:rsidRDefault="00D9528B">
      <w:pPr>
        <w:widowControl/>
        <w:spacing w:before="120"/>
        <w:ind w:firstLine="360"/>
        <w:rPr>
          <w:rFonts w:ascii="Times New Roman" w:hAnsi="Times New Roman" w:cs="Times New Roman"/>
        </w:rPr>
      </w:pPr>
      <w:r>
        <w:rPr>
          <w:rFonts w:ascii="Times New Roman" w:hAnsi="Times New Roman" w:cs="Times New Roman"/>
        </w:rPr>
        <w:t>(4) This revenue proce</w:t>
      </w:r>
      <w:r>
        <w:rPr>
          <w:rFonts w:ascii="Times New Roman" w:hAnsi="Times New Roman" w:cs="Times New Roman"/>
        </w:rPr>
        <w:t>dure does not preclude the Internal Revenue Service from raising or pursuing any income, employment, or other tax issues identified in the review of a statistical sample.</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SECTION 5. EFFECTIVE DATE </w:t>
      </w:r>
    </w:p>
    <w:p w:rsidR="00000000" w:rsidRDefault="00D9528B">
      <w:pPr>
        <w:widowControl/>
        <w:spacing w:before="120"/>
        <w:ind w:firstLine="360"/>
        <w:rPr>
          <w:rFonts w:ascii="Times New Roman" w:hAnsi="Times New Roman" w:cs="Times New Roman"/>
        </w:rPr>
      </w:pPr>
      <w:r>
        <w:rPr>
          <w:rFonts w:ascii="Times New Roman" w:hAnsi="Times New Roman" w:cs="Times New Roman"/>
        </w:rPr>
        <w:lastRenderedPageBreak/>
        <w:t>This revenue procedure is effective for taxable years end</w:t>
      </w:r>
      <w:r>
        <w:rPr>
          <w:rFonts w:ascii="Times New Roman" w:hAnsi="Times New Roman" w:cs="Times New Roman"/>
        </w:rPr>
        <w:t>ing on or after May 3, 2004. However, with respect to the use of statistical sampling by a taxpayer for a taxable year ending before May 3, 2004, for which the applicable period of limitations has not expired, the Service will permit, but not require, appl</w:t>
      </w:r>
      <w:r>
        <w:rPr>
          <w:rFonts w:ascii="Times New Roman" w:hAnsi="Times New Roman" w:cs="Times New Roman"/>
        </w:rPr>
        <w:t>ication of this revenue procedure.</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SECTION 6. PAPERWORK REDUCTION ACT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The collection of information contained in this revenue procedure has been reviewed and approved by the Office of Management and Budget in accordance with the Paperwork Reduction Act  </w:t>
      </w:r>
      <w:r>
        <w:rPr>
          <w:rFonts w:ascii="Times New Roman" w:hAnsi="Times New Roman" w:cs="Times New Roman"/>
        </w:rPr>
        <w:t xml:space="preserve"> [*12]  (</w:t>
      </w:r>
      <w:r>
        <w:rPr>
          <w:rFonts w:ascii="Times New Roman" w:hAnsi="Times New Roman" w:cs="Times New Roman"/>
          <w:i/>
          <w:iCs/>
        </w:rPr>
        <w:t>44 U.S.C. 3507</w:t>
      </w:r>
      <w:r>
        <w:rPr>
          <w:rFonts w:ascii="Times New Roman" w:hAnsi="Times New Roman" w:cs="Times New Roman"/>
        </w:rPr>
        <w:t>) under control number 1545-1847.</w:t>
      </w:r>
    </w:p>
    <w:p w:rsidR="00000000" w:rsidRDefault="00D9528B">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OMB control number.</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The collection </w:t>
      </w:r>
      <w:r>
        <w:rPr>
          <w:rFonts w:ascii="Times New Roman" w:hAnsi="Times New Roman" w:cs="Times New Roman"/>
        </w:rPr>
        <w:t>of information in this revenue procedure is in Appendix B. This information is required to ensure compliance with the statistical sampling methodology contained in this revenue procedure. The information will be used to evaluate compliance with the procedu</w:t>
      </w:r>
      <w:r>
        <w:rPr>
          <w:rFonts w:ascii="Times New Roman" w:hAnsi="Times New Roman" w:cs="Times New Roman"/>
        </w:rPr>
        <w:t>res described in this revenue procedure. The collection of information is ma</w:t>
      </w:r>
      <w:r>
        <w:rPr>
          <w:rFonts w:ascii="Times New Roman" w:hAnsi="Times New Roman" w:cs="Times New Roman"/>
        </w:rPr>
        <w:t>n</w:t>
      </w:r>
      <w:r>
        <w:rPr>
          <w:rFonts w:ascii="Times New Roman" w:hAnsi="Times New Roman" w:cs="Times New Roman"/>
        </w:rPr>
        <w:t>datory. The likely recordkeepers are businesses or other for profit institutions.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The estimated total annual recordkeeping burden is 3200 hours. The estimated annual burden per re</w:t>
      </w:r>
      <w:r>
        <w:rPr>
          <w:rFonts w:ascii="Times New Roman" w:hAnsi="Times New Roman" w:cs="Times New Roman"/>
        </w:rPr>
        <w:t>cordkeeper va</w:t>
      </w:r>
      <w:r>
        <w:rPr>
          <w:rFonts w:ascii="Times New Roman" w:hAnsi="Times New Roman" w:cs="Times New Roman"/>
        </w:rPr>
        <w:t>r</w:t>
      </w:r>
      <w:r>
        <w:rPr>
          <w:rFonts w:ascii="Times New Roman" w:hAnsi="Times New Roman" w:cs="Times New Roman"/>
        </w:rPr>
        <w:t>ies from six to ten hours, depending on individual circumstances, with an estimated average of eight hours. The est</w:t>
      </w:r>
      <w:r>
        <w:rPr>
          <w:rFonts w:ascii="Times New Roman" w:hAnsi="Times New Roman" w:cs="Times New Roman"/>
        </w:rPr>
        <w:t>i</w:t>
      </w:r>
      <w:r>
        <w:rPr>
          <w:rFonts w:ascii="Times New Roman" w:hAnsi="Times New Roman" w:cs="Times New Roman"/>
        </w:rPr>
        <w:t>mated number of recordkeepers is 400.</w:t>
      </w:r>
    </w:p>
    <w:p w:rsidR="00000000" w:rsidRDefault="00D9528B">
      <w:pPr>
        <w:widowControl/>
        <w:spacing w:before="120"/>
        <w:ind w:firstLine="360"/>
        <w:rPr>
          <w:rFonts w:ascii="Times New Roman" w:hAnsi="Times New Roman" w:cs="Times New Roman"/>
        </w:rPr>
      </w:pPr>
      <w:r>
        <w:rPr>
          <w:rFonts w:ascii="Times New Roman" w:hAnsi="Times New Roman" w:cs="Times New Roman"/>
        </w:rPr>
        <w:t>Books or records relating to a collection of information must be retained as long as the</w:t>
      </w:r>
      <w:r>
        <w:rPr>
          <w:rFonts w:ascii="Times New Roman" w:hAnsi="Times New Roman" w:cs="Times New Roman"/>
        </w:rPr>
        <w:t>ir contents may become m</w:t>
      </w:r>
      <w:r>
        <w:rPr>
          <w:rFonts w:ascii="Times New Roman" w:hAnsi="Times New Roman" w:cs="Times New Roman"/>
        </w:rPr>
        <w:t>a</w:t>
      </w:r>
      <w:r>
        <w:rPr>
          <w:rFonts w:ascii="Times New Roman" w:hAnsi="Times New Roman" w:cs="Times New Roman"/>
        </w:rPr>
        <w:t xml:space="preserve">terial in the administration of any internal revenue law. Generally tax returns and tax return information are confidential, as required by </w:t>
      </w:r>
      <w:r>
        <w:rPr>
          <w:rFonts w:ascii="Times New Roman" w:hAnsi="Times New Roman" w:cs="Times New Roman"/>
          <w:i/>
          <w:iCs/>
        </w:rPr>
        <w:t>26 U.S.C. 6103</w:t>
      </w:r>
      <w:r>
        <w:rPr>
          <w:rFonts w:ascii="Times New Roman" w:hAnsi="Times New Roman" w:cs="Times New Roman"/>
        </w:rPr>
        <w:t>.</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DRAFTING INFORMATION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The   [*13]  principal author of this revenue proced</w:t>
      </w:r>
      <w:r>
        <w:rPr>
          <w:rFonts w:ascii="Times New Roman" w:hAnsi="Times New Roman" w:cs="Times New Roman"/>
        </w:rPr>
        <w:t xml:space="preserve">ure is Kari L. Fisher of the Office of Associate Chief Counsel (Income Tax and Accounting). For further information regarding this revenue procedure, contact Ms. Fisher at (202) 622-4970 (not a toll-free call). For further information regarding Appendices </w:t>
      </w:r>
      <w:r>
        <w:rPr>
          <w:rFonts w:ascii="Times New Roman" w:hAnsi="Times New Roman" w:cs="Times New Roman"/>
        </w:rPr>
        <w:t>A, B and C, contact Ed Cohen of the Large and Mid-Size Business Division at (212) 719-6693 (not a toll-free call).</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b/>
          <w:bCs/>
        </w:rPr>
        <w:t xml:space="preserve">ATTACHMENTS: </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APPENDIX A </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SAMPLING PLAN STANDARDS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The statistical sampling must be conducted in accordance with the following methodology.</w:t>
      </w:r>
    </w:p>
    <w:p w:rsidR="00000000" w:rsidRDefault="00D9528B">
      <w:pPr>
        <w:widowControl/>
        <w:spacing w:before="120"/>
        <w:ind w:firstLine="360"/>
        <w:rPr>
          <w:rFonts w:ascii="Times New Roman" w:hAnsi="Times New Roman" w:cs="Times New Roman"/>
        </w:rPr>
      </w:pPr>
      <w:r>
        <w:rPr>
          <w:rFonts w:ascii="Times New Roman" w:hAnsi="Times New Roman" w:cs="Times New Roman"/>
        </w:rPr>
        <w:t>1. Statistical (probability) sampling methodology may not include the use of judgment sampling.</w:t>
      </w:r>
    </w:p>
    <w:p w:rsidR="00000000" w:rsidRDefault="00D9528B">
      <w:pPr>
        <w:widowControl/>
        <w:spacing w:before="120"/>
        <w:ind w:firstLine="360"/>
        <w:rPr>
          <w:rFonts w:ascii="Times New Roman" w:hAnsi="Times New Roman" w:cs="Times New Roman"/>
        </w:rPr>
      </w:pPr>
      <w:r>
        <w:rPr>
          <w:rFonts w:ascii="Times New Roman" w:hAnsi="Times New Roman" w:cs="Times New Roman"/>
        </w:rPr>
        <w:t xml:space="preserve">2. Taxpayers may apply the results of a statistical sample only to the </w:t>
      </w:r>
      <w:r>
        <w:rPr>
          <w:rFonts w:ascii="Times New Roman" w:hAnsi="Times New Roman" w:cs="Times New Roman"/>
        </w:rPr>
        <w:t>taxable years included in the sample.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3. A statistical sample may include data from no more than three consecutive taxable years.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4. Data from a taxable year may be included in only one statistical sample.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5. The estimated amount of expenses not subject to</w:t>
      </w:r>
      <w:r>
        <w:rPr>
          <w:rFonts w:ascii="Times New Roman" w:hAnsi="Times New Roman" w:cs="Times New Roman"/>
        </w:rPr>
        <w:t xml:space="preserve"> the </w:t>
      </w:r>
      <w:r>
        <w:rPr>
          <w:rFonts w:ascii="Times New Roman" w:hAnsi="Times New Roman" w:cs="Times New Roman"/>
          <w:i/>
          <w:iCs/>
        </w:rPr>
        <w:t>§ 274 (n) (1)</w:t>
      </w:r>
      <w:r>
        <w:rPr>
          <w:rFonts w:ascii="Times New Roman" w:hAnsi="Times New Roman" w:cs="Times New Roman"/>
        </w:rPr>
        <w:t xml:space="preserve"> limitation must be based on a statistical (pro</w:t>
      </w:r>
      <w:r>
        <w:rPr>
          <w:rFonts w:ascii="Times New Roman" w:hAnsi="Times New Roman" w:cs="Times New Roman"/>
        </w:rPr>
        <w:t>b</w:t>
      </w:r>
      <w:r>
        <w:rPr>
          <w:rFonts w:ascii="Times New Roman" w:hAnsi="Times New Roman" w:cs="Times New Roman"/>
        </w:rPr>
        <w:t>ability) sample, in which each sampling unit has a known (non-zero) chance of selection, using either a simple random sampling method or stratified random sampling method.</w:t>
      </w:r>
    </w:p>
    <w:p w:rsidR="00000000" w:rsidRDefault="00D9528B">
      <w:pPr>
        <w:widowControl/>
        <w:spacing w:before="120"/>
        <w:ind w:firstLine="360"/>
        <w:rPr>
          <w:rFonts w:ascii="Times New Roman" w:hAnsi="Times New Roman" w:cs="Times New Roman"/>
        </w:rPr>
      </w:pPr>
      <w:r>
        <w:rPr>
          <w:rFonts w:ascii="Times New Roman" w:hAnsi="Times New Roman" w:cs="Times New Roman"/>
        </w:rPr>
        <w:t>6. In general,   [</w:t>
      </w:r>
      <w:r>
        <w:rPr>
          <w:rFonts w:ascii="Times New Roman" w:hAnsi="Times New Roman" w:cs="Times New Roman"/>
        </w:rPr>
        <w:t xml:space="preserve">*14]  the computation of the estimated amount of expenses not subject to the </w:t>
      </w:r>
      <w:r>
        <w:rPr>
          <w:rFonts w:ascii="Times New Roman" w:hAnsi="Times New Roman" w:cs="Times New Roman"/>
          <w:i/>
          <w:iCs/>
        </w:rPr>
        <w:t>§ 274 (n) (1)</w:t>
      </w:r>
      <w:r>
        <w:rPr>
          <w:rFonts w:ascii="Times New Roman" w:hAnsi="Times New Roman" w:cs="Times New Roman"/>
        </w:rPr>
        <w:t xml:space="preserve"> limit</w:t>
      </w:r>
      <w:r>
        <w:rPr>
          <w:rFonts w:ascii="Times New Roman" w:hAnsi="Times New Roman" w:cs="Times New Roman"/>
        </w:rPr>
        <w:t>a</w:t>
      </w:r>
      <w:r>
        <w:rPr>
          <w:rFonts w:ascii="Times New Roman" w:hAnsi="Times New Roman" w:cs="Times New Roman"/>
        </w:rPr>
        <w:t>tion must be at the least advantageous 95% one-sided confidence limit. The "least advantageous" confidence limit is either the upper or lower limit that result</w:t>
      </w:r>
      <w:r>
        <w:rPr>
          <w:rFonts w:ascii="Times New Roman" w:hAnsi="Times New Roman" w:cs="Times New Roman"/>
        </w:rPr>
        <w:t xml:space="preserve">s in the least benefit to the taxpayer. However, if the precision of the change in the estimated deductible amount of expenses not subject to the </w:t>
      </w:r>
      <w:r>
        <w:rPr>
          <w:rFonts w:ascii="Times New Roman" w:hAnsi="Times New Roman" w:cs="Times New Roman"/>
          <w:i/>
          <w:iCs/>
        </w:rPr>
        <w:t>§ 274 (n) (1)</w:t>
      </w:r>
      <w:r>
        <w:rPr>
          <w:rFonts w:ascii="Times New Roman" w:hAnsi="Times New Roman" w:cs="Times New Roman"/>
        </w:rPr>
        <w:t xml:space="preserve"> limitation (see paragraph 9 below) divided by the change in the estimated deductible amount of e</w:t>
      </w:r>
      <w:r>
        <w:rPr>
          <w:rFonts w:ascii="Times New Roman" w:hAnsi="Times New Roman" w:cs="Times New Roman"/>
        </w:rPr>
        <w:t xml:space="preserve">xpenses not subject to the </w:t>
      </w:r>
      <w:r>
        <w:rPr>
          <w:rFonts w:ascii="Times New Roman" w:hAnsi="Times New Roman" w:cs="Times New Roman"/>
          <w:i/>
          <w:iCs/>
        </w:rPr>
        <w:t>§ 274 (n) (1)</w:t>
      </w:r>
      <w:r>
        <w:rPr>
          <w:rFonts w:ascii="Times New Roman" w:hAnsi="Times New Roman" w:cs="Times New Roman"/>
        </w:rPr>
        <w:t xml:space="preserve"> limitation does not exceed 10%, the point estimate may be used in place of the least advantageous confidence limit. All strata for which "substa</w:t>
      </w:r>
      <w:r>
        <w:rPr>
          <w:rFonts w:ascii="Times New Roman" w:hAnsi="Times New Roman" w:cs="Times New Roman"/>
        </w:rPr>
        <w:t>n</w:t>
      </w:r>
      <w:r>
        <w:rPr>
          <w:rFonts w:ascii="Times New Roman" w:hAnsi="Times New Roman" w:cs="Times New Roman"/>
        </w:rPr>
        <w:t>tially all" of the population sampling units are sampled will be treat</w:t>
      </w:r>
      <w:r>
        <w:rPr>
          <w:rFonts w:ascii="Times New Roman" w:hAnsi="Times New Roman" w:cs="Times New Roman"/>
        </w:rPr>
        <w:t>ed as 100% strata. That is, the overall point estimate and its precision will be estimated by treating all 100% strata appropriately for the sample design used. Also, the calc</w:t>
      </w:r>
      <w:r>
        <w:rPr>
          <w:rFonts w:ascii="Times New Roman" w:hAnsi="Times New Roman" w:cs="Times New Roman"/>
        </w:rPr>
        <w:t>u</w:t>
      </w:r>
      <w:r>
        <w:rPr>
          <w:rFonts w:ascii="Times New Roman" w:hAnsi="Times New Roman" w:cs="Times New Roman"/>
        </w:rPr>
        <w:lastRenderedPageBreak/>
        <w:t>lation of the denominator for the relative precision will exclude all 100% strat</w:t>
      </w:r>
      <w:r>
        <w:rPr>
          <w:rFonts w:ascii="Times New Roman" w:hAnsi="Times New Roman" w:cs="Times New Roman"/>
        </w:rPr>
        <w:t>a. For this revenue procedure, "substa</w:t>
      </w:r>
      <w:r>
        <w:rPr>
          <w:rFonts w:ascii="Times New Roman" w:hAnsi="Times New Roman" w:cs="Times New Roman"/>
        </w:rPr>
        <w:t>n</w:t>
      </w:r>
      <w:r>
        <w:rPr>
          <w:rFonts w:ascii="Times New Roman" w:hAnsi="Times New Roman" w:cs="Times New Roman"/>
        </w:rPr>
        <w:t>tially all" is defined as 80% or more.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7. Recognizing that many methods exist to estimate population values from the sample data, the Service will   [*15]  consider acceptable only the following estimators. Variable e</w:t>
      </w:r>
      <w:r>
        <w:rPr>
          <w:rFonts w:ascii="Times New Roman" w:hAnsi="Times New Roman" w:cs="Times New Roman"/>
        </w:rPr>
        <w:t>stimators permitted include the mean (also known as the direct projection method), difference (using "paired variables"), (combined) ratio (using a variable of interest and a "correlated" variable), and (combined) regression (using a variable of interest a</w:t>
      </w:r>
      <w:r>
        <w:rPr>
          <w:rFonts w:ascii="Times New Roman" w:hAnsi="Times New Roman" w:cs="Times New Roman"/>
        </w:rPr>
        <w:t>nd a "correlated" variable). The first variable used for the difference, ratio and regression estimators must be the variable used in the mean estimator. The second variable used for the difference, ratio and regression estimators must be a variable that c</w:t>
      </w:r>
      <w:r>
        <w:rPr>
          <w:rFonts w:ascii="Times New Roman" w:hAnsi="Times New Roman" w:cs="Times New Roman"/>
        </w:rPr>
        <w:t>an be paired with the first variable and should be related to the first variable. For example, in a typical audit-sampling situation, the first var</w:t>
      </w:r>
      <w:r>
        <w:rPr>
          <w:rFonts w:ascii="Times New Roman" w:hAnsi="Times New Roman" w:cs="Times New Roman"/>
        </w:rPr>
        <w:t>i</w:t>
      </w:r>
      <w:r>
        <w:rPr>
          <w:rFonts w:ascii="Times New Roman" w:hAnsi="Times New Roman" w:cs="Times New Roman"/>
        </w:rPr>
        <w:t>able would be the audited value of a transaction and the second variable would be the originally reported va</w:t>
      </w:r>
      <w:r>
        <w:rPr>
          <w:rFonts w:ascii="Times New Roman" w:hAnsi="Times New Roman" w:cs="Times New Roman"/>
        </w:rPr>
        <w:t>lue of the same transaction. Since the latter two variable methods are statistically biased, there must be a demonstration that the bias is negligible before the Service will accept the method.</w:t>
      </w:r>
    </w:p>
    <w:p w:rsidR="00000000" w:rsidRDefault="00D9528B">
      <w:pPr>
        <w:widowControl/>
        <w:spacing w:before="120"/>
        <w:ind w:firstLine="360"/>
        <w:rPr>
          <w:rFonts w:ascii="Times New Roman" w:hAnsi="Times New Roman" w:cs="Times New Roman"/>
        </w:rPr>
      </w:pPr>
      <w:r>
        <w:rPr>
          <w:rFonts w:ascii="Times New Roman" w:hAnsi="Times New Roman" w:cs="Times New Roman"/>
        </w:rPr>
        <w:t>8. Variable sampling plans must use the qualifying final estim</w:t>
      </w:r>
      <w:r>
        <w:rPr>
          <w:rFonts w:ascii="Times New Roman" w:hAnsi="Times New Roman" w:cs="Times New Roman"/>
        </w:rPr>
        <w:t>ate with the smallest overall standard error as an a</w:t>
      </w:r>
      <w:r>
        <w:rPr>
          <w:rFonts w:ascii="Times New Roman" w:hAnsi="Times New Roman" w:cs="Times New Roman"/>
        </w:rPr>
        <w:t>b</w:t>
      </w:r>
      <w:r>
        <w:rPr>
          <w:rFonts w:ascii="Times New Roman" w:hAnsi="Times New Roman" w:cs="Times New Roman"/>
        </w:rPr>
        <w:t>solute value (for example, the size of the estimate is irrelevant   [*16]  in the determination of the reported value).</w:t>
      </w:r>
    </w:p>
    <w:p w:rsidR="00000000" w:rsidRDefault="00D9528B">
      <w:pPr>
        <w:widowControl/>
        <w:spacing w:before="120"/>
        <w:ind w:firstLine="360"/>
        <w:rPr>
          <w:rFonts w:ascii="Times New Roman" w:hAnsi="Times New Roman" w:cs="Times New Roman"/>
        </w:rPr>
      </w:pPr>
      <w:r>
        <w:rPr>
          <w:rFonts w:ascii="Times New Roman" w:hAnsi="Times New Roman" w:cs="Times New Roman"/>
        </w:rPr>
        <w:t>9. Variable sampling plans must calculate confidence limits by addition and subtrac</w:t>
      </w:r>
      <w:r>
        <w:rPr>
          <w:rFonts w:ascii="Times New Roman" w:hAnsi="Times New Roman" w:cs="Times New Roman"/>
        </w:rPr>
        <w:t>tion of the precision of the e</w:t>
      </w:r>
      <w:r>
        <w:rPr>
          <w:rFonts w:ascii="Times New Roman" w:hAnsi="Times New Roman" w:cs="Times New Roman"/>
        </w:rPr>
        <w:t>s</w:t>
      </w:r>
      <w:r>
        <w:rPr>
          <w:rFonts w:ascii="Times New Roman" w:hAnsi="Times New Roman" w:cs="Times New Roman"/>
        </w:rPr>
        <w:t>timate from the point estimate in which the determination of precision proceeds by multiplication of the standard error by (i) the 95% one-sided confidence coefficient based on the Student's t-distribution with the appropriat</w:t>
      </w:r>
      <w:r>
        <w:rPr>
          <w:rFonts w:ascii="Times New Roman" w:hAnsi="Times New Roman" w:cs="Times New Roman"/>
        </w:rPr>
        <w:t>e degrees of freedom, or (ii) 1.645 (the normal distribution), assuming the sample size is at least 100 in each non-100% stratum.</w:t>
      </w:r>
    </w:p>
    <w:p w:rsidR="00000000" w:rsidRDefault="00D9528B">
      <w:pPr>
        <w:widowControl/>
        <w:spacing w:before="120"/>
        <w:ind w:firstLine="360"/>
        <w:rPr>
          <w:rFonts w:ascii="Times New Roman" w:hAnsi="Times New Roman" w:cs="Times New Roman"/>
        </w:rPr>
      </w:pPr>
      <w:r>
        <w:rPr>
          <w:rFonts w:ascii="Times New Roman" w:hAnsi="Times New Roman" w:cs="Times New Roman"/>
        </w:rPr>
        <w:t>10. For either the (combined) ratio or regression methods, to demonstrate little statistical bias exists, the following applie</w:t>
      </w:r>
      <w:r>
        <w:rPr>
          <w:rFonts w:ascii="Times New Roman" w:hAnsi="Times New Roman" w:cs="Times New Roman"/>
        </w:rPr>
        <w:t>s after excluding all strata tested on 100% basis (the entire population of a stratum is selected for evaluation).</w:t>
      </w:r>
    </w:p>
    <w:p w:rsidR="00000000" w:rsidRDefault="00D9528B">
      <w:pPr>
        <w:widowControl/>
        <w:spacing w:before="120"/>
        <w:ind w:firstLine="360"/>
        <w:rPr>
          <w:rFonts w:ascii="Times New Roman" w:hAnsi="Times New Roman" w:cs="Times New Roman"/>
        </w:rPr>
      </w:pPr>
      <w:r>
        <w:rPr>
          <w:rFonts w:ascii="Times New Roman" w:hAnsi="Times New Roman" w:cs="Times New Roman"/>
        </w:rPr>
        <w:t>a. The total sample size of all strata must be at least 100 units.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b. Each stratum for a population estimate should contain at least 30 sampl</w:t>
      </w:r>
      <w:r>
        <w:rPr>
          <w:rFonts w:ascii="Times New Roman" w:hAnsi="Times New Roman" w:cs="Times New Roman"/>
        </w:rPr>
        <w:t>e units.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c. The coefficient of variation of the paired variable must be 15% or less. The coefficient of variation of the paired variable (y) is defined as the standard error of the total "y" variables divided by point estimate of the total "y" variables wh</w:t>
      </w:r>
      <w:r>
        <w:rPr>
          <w:rFonts w:ascii="Times New Roman" w:hAnsi="Times New Roman" w:cs="Times New Roman"/>
        </w:rPr>
        <w:t>en the "y" variables are commonly the reported values   [*17]  in accounting situations.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d. The coefficient of variation of the primary variable of interest, represented by either the corrected value or the difference between the reported and corrected val</w:t>
      </w:r>
      <w:r>
        <w:rPr>
          <w:rFonts w:ascii="Times New Roman" w:hAnsi="Times New Roman" w:cs="Times New Roman"/>
        </w:rPr>
        <w:t>ues in common accounting situations, must be 15% or less. The coe</w:t>
      </w:r>
      <w:r>
        <w:rPr>
          <w:rFonts w:ascii="Times New Roman" w:hAnsi="Times New Roman" w:cs="Times New Roman"/>
        </w:rPr>
        <w:t>f</w:t>
      </w:r>
      <w:r>
        <w:rPr>
          <w:rFonts w:ascii="Times New Roman" w:hAnsi="Times New Roman" w:cs="Times New Roman"/>
        </w:rPr>
        <w:t>ficient of variation for the corrected value (x) is defined as the standard error of the total "x" variables divided by point estimate of the total "x" variables when the "x" variables are c</w:t>
      </w:r>
      <w:r>
        <w:rPr>
          <w:rFonts w:ascii="Times New Roman" w:hAnsi="Times New Roman" w:cs="Times New Roman"/>
        </w:rPr>
        <w:t xml:space="preserve">ommonly the corrected values in accounting situations. The coefficient of variation for the difference (d) between the reported and corrected values (x-y) is defined as the smaller of the standard error of the total "x-y" or total "d" variables divided by </w:t>
      </w:r>
      <w:r>
        <w:rPr>
          <w:rFonts w:ascii="Times New Roman" w:hAnsi="Times New Roman" w:cs="Times New Roman"/>
        </w:rPr>
        <w:t>the amount equaling total population value represented by "Y" plus point estimate of the total "x-y" or total "d" variables or the standard error of the total "x-y" or total "d" variables divided by the total "x-y" or total "d" variables when the "x-y" var</w:t>
      </w:r>
      <w:r>
        <w:rPr>
          <w:rFonts w:ascii="Times New Roman" w:hAnsi="Times New Roman" w:cs="Times New Roman"/>
        </w:rPr>
        <w:t>iables are commonly the difference ("d") between the reported ("y") and corrected ("x") values in accounting situations.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e. For only the (combined) ratio method, the reported values of units must be of the same sign.</w:t>
      </w:r>
    </w:p>
    <w:p w:rsidR="00000000" w:rsidRDefault="00D9528B">
      <w:pPr>
        <w:widowControl/>
        <w:spacing w:before="120"/>
        <w:ind w:firstLine="360"/>
        <w:rPr>
          <w:rFonts w:ascii="Times New Roman" w:hAnsi="Times New Roman" w:cs="Times New Roman"/>
        </w:rPr>
      </w:pPr>
      <w:r>
        <w:rPr>
          <w:rFonts w:ascii="Times New Roman" w:hAnsi="Times New Roman" w:cs="Times New Roman"/>
        </w:rPr>
        <w:t>11.When sampling the same   [*18]  expe</w:t>
      </w:r>
      <w:r>
        <w:rPr>
          <w:rFonts w:ascii="Times New Roman" w:hAnsi="Times New Roman" w:cs="Times New Roman"/>
        </w:rPr>
        <w:t xml:space="preserve">nse accounts for multiple taxable years, if a single projection does not materially affect other computations that are more appropriately, made on a yearly basis, it is permissible to combine the accounts into one population. There should be allocation of </w:t>
      </w:r>
      <w:r>
        <w:rPr>
          <w:rFonts w:ascii="Times New Roman" w:hAnsi="Times New Roman" w:cs="Times New Roman"/>
        </w:rPr>
        <w:t>the combined result by a reasonable method determined prior to the selection of the sampling units.</w:t>
      </w:r>
    </w:p>
    <w:p w:rsidR="00000000" w:rsidRDefault="00D9528B">
      <w:pPr>
        <w:widowControl/>
        <w:spacing w:before="120"/>
        <w:ind w:firstLine="360"/>
        <w:rPr>
          <w:rFonts w:ascii="Times New Roman" w:hAnsi="Times New Roman" w:cs="Times New Roman"/>
        </w:rPr>
      </w:pPr>
      <w:r>
        <w:rPr>
          <w:rFonts w:ascii="Times New Roman" w:hAnsi="Times New Roman" w:cs="Times New Roman"/>
        </w:rPr>
        <w:t>12. A written sampling plan is required prior to the execution of a sample: A plan must include the following:</w:t>
      </w:r>
    </w:p>
    <w:p w:rsidR="00000000" w:rsidRDefault="00D9528B">
      <w:pPr>
        <w:widowControl/>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2"/>
        </w:numPr>
        <w:adjustRightInd/>
        <w:rPr>
          <w:rFonts w:ascii="Times New Roman" w:hAnsi="Times New Roman" w:cs="Times New Roman"/>
        </w:rPr>
      </w:pPr>
      <w:r>
        <w:rPr>
          <w:rFonts w:ascii="Times New Roman" w:hAnsi="Times New Roman" w:cs="Times New Roman"/>
        </w:rPr>
        <w:t>The objective of the plan including</w:t>
      </w:r>
      <w:r>
        <w:rPr>
          <w:rFonts w:ascii="Times New Roman" w:hAnsi="Times New Roman" w:cs="Times New Roman"/>
        </w:rPr>
        <w:t xml:space="preserve"> a description of the value for estimation and the applicable taxable year(s);</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3"/>
        </w:numPr>
        <w:adjustRightInd/>
        <w:rPr>
          <w:rFonts w:ascii="Times New Roman" w:hAnsi="Times New Roman" w:cs="Times New Roman"/>
        </w:rPr>
      </w:pPr>
      <w:r>
        <w:rPr>
          <w:rFonts w:ascii="Times New Roman" w:hAnsi="Times New Roman" w:cs="Times New Roman"/>
        </w:rPr>
        <w:t>Population definition and reconciliation of the population to the tax return;</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4"/>
        </w:numPr>
        <w:adjustRightInd/>
        <w:rPr>
          <w:rFonts w:ascii="Times New Roman" w:hAnsi="Times New Roman" w:cs="Times New Roman"/>
        </w:rPr>
      </w:pPr>
      <w:r>
        <w:rPr>
          <w:rFonts w:ascii="Times New Roman" w:hAnsi="Times New Roman" w:cs="Times New Roman"/>
        </w:rPr>
        <w:t>Definition of the sampling frame;</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5"/>
        </w:numPr>
        <w:adjustRightInd/>
        <w:rPr>
          <w:rFonts w:ascii="Times New Roman" w:hAnsi="Times New Roman" w:cs="Times New Roman"/>
        </w:rPr>
      </w:pPr>
      <w:r>
        <w:rPr>
          <w:rFonts w:ascii="Times New Roman" w:hAnsi="Times New Roman" w:cs="Times New Roman"/>
        </w:rPr>
        <w:t>Definition of the sampling unit;</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6"/>
        </w:numPr>
        <w:adjustRightInd/>
        <w:rPr>
          <w:rFonts w:ascii="Times New Roman" w:hAnsi="Times New Roman" w:cs="Times New Roman"/>
        </w:rPr>
      </w:pPr>
      <w:r>
        <w:rPr>
          <w:rFonts w:ascii="Times New Roman" w:hAnsi="Times New Roman" w:cs="Times New Roman"/>
        </w:rPr>
        <w:t>Source of the random numbers, the starting point or seed, and the method of selection;</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7"/>
        </w:numPr>
        <w:adjustRightInd/>
        <w:rPr>
          <w:rFonts w:ascii="Times New Roman" w:hAnsi="Times New Roman" w:cs="Times New Roman"/>
        </w:rPr>
      </w:pPr>
      <w:r>
        <w:rPr>
          <w:rFonts w:ascii="Times New Roman" w:hAnsi="Times New Roman" w:cs="Times New Roman"/>
        </w:rPr>
        <w:t>Sample size, along with supporting factors in the determination;</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8"/>
        </w:numPr>
        <w:adjustRightInd/>
        <w:rPr>
          <w:rFonts w:ascii="Times New Roman" w:hAnsi="Times New Roman" w:cs="Times New Roman"/>
        </w:rPr>
      </w:pPr>
      <w:r>
        <w:rPr>
          <w:rFonts w:ascii="Times New Roman" w:hAnsi="Times New Roman" w:cs="Times New Roman"/>
        </w:rPr>
        <w:t>Method to associate random numbers to the frame;</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9"/>
        </w:numPr>
        <w:adjustRightInd/>
        <w:rPr>
          <w:rFonts w:ascii="Times New Roman" w:hAnsi="Times New Roman" w:cs="Times New Roman"/>
        </w:rPr>
      </w:pPr>
      <w:r>
        <w:rPr>
          <w:rFonts w:ascii="Times New Roman" w:hAnsi="Times New Roman" w:cs="Times New Roman"/>
        </w:rPr>
        <w:t>Steps to ensure that th</w:t>
      </w:r>
      <w:r>
        <w:rPr>
          <w:rFonts w:ascii="Times New Roman" w:hAnsi="Times New Roman" w:cs="Times New Roman"/>
        </w:rPr>
        <w:t>e serialization of the frame is independent of the drawing of random numbers;</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0"/>
        </w:numPr>
        <w:adjustRightInd/>
        <w:rPr>
          <w:rFonts w:ascii="Times New Roman" w:hAnsi="Times New Roman" w:cs="Times New Roman"/>
        </w:rPr>
      </w:pPr>
      <w:r>
        <w:rPr>
          <w:rFonts w:ascii="Times New Roman" w:hAnsi="Times New Roman" w:cs="Times New Roman"/>
        </w:rPr>
        <w:t>Steps for evaluating the sampling unit; and</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1"/>
        </w:numPr>
        <w:adjustRightInd/>
        <w:rPr>
          <w:rFonts w:ascii="Times New Roman" w:hAnsi="Times New Roman" w:cs="Times New Roman"/>
        </w:rPr>
      </w:pPr>
      <w:r>
        <w:rPr>
          <w:rFonts w:ascii="Times New Roman" w:hAnsi="Times New Roman" w:cs="Times New Roman"/>
        </w:rPr>
        <w:t>The estimator that was used for appraising the sample.</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APPENDIX B </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SAMPLING DOCUMENTATION, STANDARDS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The taxpayer must   [*19]  retain adequate documentation to support the statistical application, sample unit fin</w:t>
      </w:r>
      <w:r>
        <w:rPr>
          <w:rFonts w:ascii="Times New Roman" w:hAnsi="Times New Roman" w:cs="Times New Roman"/>
        </w:rPr>
        <w:t>d</w:t>
      </w:r>
      <w:r>
        <w:rPr>
          <w:rFonts w:ascii="Times New Roman" w:hAnsi="Times New Roman" w:cs="Times New Roman"/>
        </w:rPr>
        <w:t>ings, and all aspects of the sample plan and execution. The execution of the sample must include information for each of the following items:</w:t>
      </w:r>
    </w:p>
    <w:p w:rsidR="00000000" w:rsidRDefault="00D9528B">
      <w:pPr>
        <w:widowControl/>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2"/>
        </w:numPr>
        <w:adjustRightInd/>
        <w:rPr>
          <w:rFonts w:ascii="Times New Roman" w:hAnsi="Times New Roman" w:cs="Times New Roman"/>
        </w:rPr>
      </w:pPr>
      <w:r>
        <w:rPr>
          <w:rFonts w:ascii="Times New Roman" w:hAnsi="Times New Roman" w:cs="Times New Roman"/>
        </w:rPr>
        <w:t>The seed or starting point of the random numbers;</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3"/>
        </w:numPr>
        <w:adjustRightInd/>
        <w:rPr>
          <w:rFonts w:ascii="Times New Roman" w:hAnsi="Times New Roman" w:cs="Times New Roman"/>
        </w:rPr>
      </w:pPr>
      <w:r>
        <w:rPr>
          <w:rFonts w:ascii="Times New Roman" w:hAnsi="Times New Roman" w:cs="Times New Roman"/>
        </w:rPr>
        <w:t>The pairing of random numbers to the frame along with supporting information to retrace the process;</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4"/>
        </w:numPr>
        <w:adjustRightInd/>
        <w:rPr>
          <w:rFonts w:ascii="Times New Roman" w:hAnsi="Times New Roman" w:cs="Times New Roman"/>
        </w:rPr>
      </w:pPr>
      <w:r>
        <w:rPr>
          <w:rFonts w:ascii="Times New Roman" w:hAnsi="Times New Roman" w:cs="Times New Roman"/>
        </w:rPr>
        <w:t>List of sampling units selected and the results of the evaluation of each unit</w:t>
      </w:r>
      <w:r>
        <w:rPr>
          <w:rFonts w:ascii="Times New Roman" w:hAnsi="Times New Roman" w:cs="Times New Roman"/>
        </w:rPr>
        <w:t>;</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5"/>
        </w:numPr>
        <w:adjustRightInd/>
        <w:rPr>
          <w:rFonts w:ascii="Times New Roman" w:hAnsi="Times New Roman" w:cs="Times New Roman"/>
        </w:rPr>
      </w:pPr>
      <w:r>
        <w:rPr>
          <w:rFonts w:ascii="Times New Roman" w:hAnsi="Times New Roman" w:cs="Times New Roman"/>
        </w:rPr>
        <w:t>Supporting documentation such as notes, invoices, purchase orders, project descriptions, etc., which support the conclusion reached about each sample item;</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6"/>
        </w:numPr>
        <w:adjustRightInd/>
        <w:rPr>
          <w:rFonts w:ascii="Times New Roman" w:hAnsi="Times New Roman" w:cs="Times New Roman"/>
        </w:rPr>
      </w:pPr>
      <w:r>
        <w:rPr>
          <w:rFonts w:ascii="Times New Roman" w:hAnsi="Times New Roman" w:cs="Times New Roman"/>
        </w:rPr>
        <w:t>The calculation of the projected estimate (5) to the population, including computation of the standard e</w:t>
      </w:r>
      <w:r>
        <w:rPr>
          <w:rFonts w:ascii="Times New Roman" w:hAnsi="Times New Roman" w:cs="Times New Roman"/>
        </w:rPr>
        <w:t>r</w:t>
      </w:r>
      <w:r>
        <w:rPr>
          <w:rFonts w:ascii="Times New Roman" w:hAnsi="Times New Roman" w:cs="Times New Roman"/>
        </w:rPr>
        <w:t>ror of the estimate (5);</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7"/>
        </w:numPr>
        <w:adjustRightInd/>
        <w:rPr>
          <w:rFonts w:ascii="Times New Roman" w:hAnsi="Times New Roman" w:cs="Times New Roman"/>
        </w:rPr>
      </w:pPr>
      <w:r>
        <w:rPr>
          <w:rFonts w:ascii="Times New Roman" w:hAnsi="Times New Roman" w:cs="Times New Roman"/>
        </w:rPr>
        <w:t>A statement describing any slips or blemishes in the execution of the sampling procedure and any pert</w:t>
      </w:r>
      <w:r>
        <w:rPr>
          <w:rFonts w:ascii="Times New Roman" w:hAnsi="Times New Roman" w:cs="Times New Roman"/>
        </w:rPr>
        <w:t>i</w:t>
      </w:r>
      <w:r>
        <w:rPr>
          <w:rFonts w:ascii="Times New Roman" w:hAnsi="Times New Roman" w:cs="Times New Roman"/>
        </w:rPr>
        <w:t>nent decision r</w:t>
      </w:r>
      <w:r>
        <w:rPr>
          <w:rFonts w:ascii="Times New Roman" w:hAnsi="Times New Roman" w:cs="Times New Roman"/>
        </w:rPr>
        <w:t>ules; and</w:t>
      </w: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
        </w:numPr>
        <w:adjustRightInd/>
        <w:rPr>
          <w:rFonts w:ascii="Times New Roman" w:hAnsi="Times New Roman" w:cs="Times New Roman"/>
        </w:rPr>
      </w:pPr>
    </w:p>
    <w:p w:rsidR="00000000" w:rsidRDefault="00D9528B">
      <w:pPr>
        <w:widowControl/>
        <w:numPr>
          <w:ilvl w:val="0"/>
          <w:numId w:val="18"/>
        </w:numPr>
        <w:adjustRightInd/>
        <w:rPr>
          <w:rFonts w:ascii="Times New Roman" w:hAnsi="Times New Roman" w:cs="Times New Roman"/>
        </w:rPr>
      </w:pPr>
      <w:r>
        <w:rPr>
          <w:rFonts w:ascii="Times New Roman" w:hAnsi="Times New Roman" w:cs="Times New Roman"/>
        </w:rPr>
        <w:t>Computation of all associated adjustments.</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APPENDIX C </w:t>
      </w:r>
    </w:p>
    <w:p w:rsidR="00000000" w:rsidRDefault="00D9528B">
      <w:pPr>
        <w:widowControl/>
        <w:rPr>
          <w:rFonts w:ascii="Times New Roman" w:hAnsi="Times New Roman" w:cs="Times New Roman"/>
        </w:rPr>
      </w:pPr>
    </w:p>
    <w:p w:rsidR="00000000" w:rsidRDefault="00D9528B">
      <w:pPr>
        <w:widowControl/>
        <w:rPr>
          <w:rFonts w:ascii="Times New Roman" w:hAnsi="Times New Roman" w:cs="Times New Roman"/>
        </w:rPr>
      </w:pPr>
      <w:r>
        <w:rPr>
          <w:rFonts w:ascii="Times New Roman" w:hAnsi="Times New Roman" w:cs="Times New Roman"/>
        </w:rPr>
        <w:t xml:space="preserve">TECHNICAL FORMULAS </w:t>
      </w:r>
    </w:p>
    <w:p w:rsidR="00000000" w:rsidRDefault="00D9528B">
      <w:pPr>
        <w:widowControl/>
        <w:spacing w:before="120"/>
        <w:ind w:firstLine="360"/>
        <w:rPr>
          <w:rFonts w:ascii="Times New Roman" w:hAnsi="Times New Roman" w:cs="Times New Roman"/>
        </w:rPr>
      </w:pPr>
      <w:r>
        <w:rPr>
          <w:rFonts w:ascii="Times New Roman" w:hAnsi="Times New Roman" w:cs="Times New Roman"/>
        </w:rPr>
        <w:t>The formulas below are included to clarify the statistical sampling terms used and to ensure consistent application of the procedures described in the revenue p</w:t>
      </w:r>
      <w:r>
        <w:rPr>
          <w:rFonts w:ascii="Times New Roman" w:hAnsi="Times New Roman" w:cs="Times New Roman"/>
        </w:rPr>
        <w:t>roc</w:t>
      </w:r>
      <w:r>
        <w:rPr>
          <w:rFonts w:ascii="Times New Roman" w:hAnsi="Times New Roman" w:cs="Times New Roman"/>
        </w:rPr>
        <w:t>e</w:t>
      </w:r>
      <w:r>
        <w:rPr>
          <w:rFonts w:ascii="Times New Roman" w:hAnsi="Times New Roman" w:cs="Times New Roman"/>
        </w:rPr>
        <w:t>d</w:t>
      </w:r>
      <w:r>
        <w:rPr>
          <w:rFonts w:ascii="Times New Roman" w:hAnsi="Times New Roman" w:cs="Times New Roman"/>
        </w:rPr>
        <w:t>u</w:t>
      </w:r>
      <w:r>
        <w:rPr>
          <w:rFonts w:ascii="Times New Roman" w:hAnsi="Times New Roman" w:cs="Times New Roman"/>
        </w:rPr>
        <w:t>re.</w:t>
      </w:r>
      <w:r>
        <w:rPr>
          <w:rFonts w:ascii="Times New Roman" w:hAnsi="Times New Roman" w:cs="Times New Roman"/>
          <w:noProof/>
        </w:rPr>
        <w:drawing>
          <wp:inline distT="0" distB="0" distL="0" distR="0">
            <wp:extent cx="6096000" cy="6600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6600825"/>
                    </a:xfrm>
                    <a:prstGeom prst="rect">
                      <a:avLst/>
                    </a:prstGeom>
                    <a:noFill/>
                    <a:ln>
                      <a:noFill/>
                    </a:ln>
                  </pic:spPr>
                </pic:pic>
              </a:graphicData>
            </a:graphic>
          </wp:inline>
        </w:drawing>
      </w:r>
      <w:r>
        <w:rPr>
          <w:rFonts w:ascii="Times New Roman" w:hAnsi="Times New Roman" w:cs="Times New Roman"/>
          <w:noProof/>
        </w:rPr>
        <w:drawing>
          <wp:inline distT="0" distB="0" distL="0" distR="0">
            <wp:extent cx="4400550" cy="571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5715000"/>
                    </a:xfrm>
                    <a:prstGeom prst="rect">
                      <a:avLst/>
                    </a:prstGeom>
                    <a:noFill/>
                    <a:ln>
                      <a:noFill/>
                    </a:ln>
                  </pic:spPr>
                </pic:pic>
              </a:graphicData>
            </a:graphic>
          </wp:inline>
        </w:drawing>
      </w:r>
      <w:r>
        <w:rPr>
          <w:rFonts w:ascii="Times New Roman" w:hAnsi="Times New Roman" w:cs="Times New Roman"/>
          <w:noProof/>
        </w:rPr>
        <w:drawing>
          <wp:inline distT="0" distB="0" distL="0" distR="0">
            <wp:extent cx="4391025" cy="5715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025" cy="5715000"/>
                    </a:xfrm>
                    <a:prstGeom prst="rect">
                      <a:avLst/>
                    </a:prstGeom>
                    <a:noFill/>
                    <a:ln>
                      <a:noFill/>
                    </a:ln>
                  </pic:spPr>
                </pic:pic>
              </a:graphicData>
            </a:graphic>
          </wp:inline>
        </w:drawing>
      </w:r>
      <w:r>
        <w:rPr>
          <w:rFonts w:ascii="Times New Roman" w:hAnsi="Times New Roman" w:cs="Times New Roman"/>
          <w:noProof/>
        </w:rPr>
        <w:drawing>
          <wp:inline distT="0" distB="0" distL="0" distR="0">
            <wp:extent cx="6096000" cy="6372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6372225"/>
                    </a:xfrm>
                    <a:prstGeom prst="rect">
                      <a:avLst/>
                    </a:prstGeom>
                    <a:noFill/>
                    <a:ln>
                      <a:noFill/>
                    </a:ln>
                  </pic:spPr>
                </pic:pic>
              </a:graphicData>
            </a:graphic>
          </wp:inline>
        </w:drawing>
      </w:r>
    </w:p>
    <w:tbl>
      <w:tblPr>
        <w:tblW w:w="0" w:type="auto"/>
        <w:tblLayout w:type="fixed"/>
        <w:tblCellMar>
          <w:left w:w="60" w:type="dxa"/>
          <w:right w:w="60" w:type="dxa"/>
        </w:tblCellMar>
        <w:tblLook w:val="0000" w:firstRow="0" w:lastRow="0" w:firstColumn="0" w:lastColumn="0" w:noHBand="0" w:noVBand="0"/>
      </w:tblPr>
      <w:tblGrid>
        <w:gridCol w:w="1980"/>
        <w:gridCol w:w="6420"/>
      </w:tblGrid>
      <w:tr w:rsidR="00000000">
        <w:tblPrEx>
          <w:tblCellMar>
            <w:top w:w="0" w:type="dxa"/>
            <w:bottom w:w="0" w:type="dxa"/>
          </w:tblCellMar>
        </w:tblPrEx>
        <w:trPr>
          <w:tblHeader/>
        </w:trPr>
        <w:tc>
          <w:tcPr>
            <w:tcW w:w="1980" w:type="dxa"/>
            <w:tcBorders>
              <w:top w:val="nil"/>
              <w:left w:val="nil"/>
              <w:bottom w:val="nil"/>
              <w:right w:val="nil"/>
            </w:tcBorders>
          </w:tcPr>
          <w:p w:rsidR="00000000" w:rsidRDefault="00D9528B">
            <w:pPr>
              <w:widowControl/>
              <w:rPr>
                <w:rFonts w:ascii="Times New Roman" w:hAnsi="Times New Roman" w:cs="Times New Roman"/>
              </w:rPr>
            </w:pPr>
          </w:p>
        </w:tc>
        <w:tc>
          <w:tcPr>
            <w:tcW w:w="6420" w:type="dxa"/>
            <w:tcBorders>
              <w:top w:val="nil"/>
              <w:left w:val="nil"/>
              <w:bottom w:val="nil"/>
              <w:right w:val="nil"/>
            </w:tcBorders>
          </w:tcPr>
          <w:p w:rsidR="00000000" w:rsidRDefault="00D9528B">
            <w:pPr>
              <w:widowControl/>
              <w:jc w:val="center"/>
              <w:rPr>
                <w:rFonts w:ascii="Times New Roman" w:hAnsi="Times New Roman" w:cs="Times New Roman"/>
              </w:rPr>
            </w:pPr>
            <w:r>
              <w:rPr>
                <w:rFonts w:ascii="Times New Roman" w:hAnsi="Times New Roman" w:cs="Times New Roman"/>
                <w:b/>
                <w:bCs/>
              </w:rPr>
              <w:t>Definition of Symbols</w:t>
            </w:r>
          </w:p>
        </w:tc>
      </w:tr>
      <w:tr w:rsidR="00000000">
        <w:tblPrEx>
          <w:tblCellMar>
            <w:top w:w="0" w:type="dxa"/>
            <w:bottom w:w="0" w:type="dxa"/>
          </w:tblCellMar>
        </w:tblPrEx>
        <w:trPr>
          <w:tblHeader/>
        </w:trPr>
        <w:tc>
          <w:tcPr>
            <w:tcW w:w="198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b/>
                <w:bCs/>
              </w:rPr>
              <w:t>TERM</w:t>
            </w:r>
          </w:p>
        </w:tc>
        <w:tc>
          <w:tcPr>
            <w:tcW w:w="642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b/>
                <w:bCs/>
              </w:rPr>
              <w:t>DEFINITION</w:t>
            </w:r>
          </w:p>
        </w:tc>
      </w:tr>
      <w:tr w:rsidR="00000000">
        <w:tblPrEx>
          <w:tblCellMar>
            <w:top w:w="0" w:type="dxa"/>
            <w:bottom w:w="0" w:type="dxa"/>
          </w:tblCellMar>
        </w:tblPrEx>
        <w:tc>
          <w:tcPr>
            <w:tcW w:w="198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rPr>
              <w:t>Y</w:t>
            </w:r>
          </w:p>
        </w:tc>
        <w:tc>
          <w:tcPr>
            <w:tcW w:w="642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rPr>
              <w:t>The total value of the variable that is paired with variable of interest. In audit sampling, this would be the total reported value of the population. Typically, this value is known for the entire population and may be estimated based on the probability sa</w:t>
            </w:r>
            <w:r>
              <w:rPr>
                <w:rFonts w:ascii="Times New Roman" w:hAnsi="Times New Roman" w:cs="Times New Roman"/>
              </w:rPr>
              <w:t>mple selected.</w:t>
            </w:r>
          </w:p>
        </w:tc>
      </w:tr>
      <w:tr w:rsidR="00000000">
        <w:tblPrEx>
          <w:tblCellMar>
            <w:top w:w="0" w:type="dxa"/>
            <w:bottom w:w="0" w:type="dxa"/>
          </w:tblCellMar>
        </w:tblPrEx>
        <w:tc>
          <w:tcPr>
            <w:tcW w:w="198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rPr>
              <w:t>D</w:t>
            </w:r>
          </w:p>
        </w:tc>
        <w:tc>
          <w:tcPr>
            <w:tcW w:w="642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rPr>
              <w:t>The total value of the difference between the "paired" variable and the vari</w:t>
            </w:r>
            <w:r>
              <w:rPr>
                <w:rFonts w:ascii="Times New Roman" w:hAnsi="Times New Roman" w:cs="Times New Roman"/>
              </w:rPr>
              <w:t>a</w:t>
            </w:r>
            <w:r>
              <w:rPr>
                <w:rFonts w:ascii="Times New Roman" w:hAnsi="Times New Roman" w:cs="Times New Roman"/>
              </w:rPr>
              <w:t xml:space="preserve">ble of interest. In audit sampling, this would be the estimated total difference of the population. Typically, this value is not known for the entire population </w:t>
            </w:r>
            <w:r>
              <w:rPr>
                <w:rFonts w:ascii="Times New Roman" w:hAnsi="Times New Roman" w:cs="Times New Roman"/>
              </w:rPr>
              <w:t>and is estimated based on the probability sample selected.</w:t>
            </w:r>
          </w:p>
        </w:tc>
      </w:tr>
      <w:tr w:rsidR="00000000">
        <w:tblPrEx>
          <w:tblCellMar>
            <w:top w:w="0" w:type="dxa"/>
            <w:bottom w:w="0" w:type="dxa"/>
          </w:tblCellMar>
        </w:tblPrEx>
        <w:tc>
          <w:tcPr>
            <w:tcW w:w="198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rPr>
              <w:t>UR</w:t>
            </w:r>
          </w:p>
        </w:tc>
        <w:tc>
          <w:tcPr>
            <w:tcW w:w="6420" w:type="dxa"/>
            <w:tcBorders>
              <w:top w:val="nil"/>
              <w:left w:val="nil"/>
              <w:bottom w:val="nil"/>
              <w:right w:val="nil"/>
            </w:tcBorders>
          </w:tcPr>
          <w:p w:rsidR="00000000" w:rsidRDefault="00D9528B">
            <w:pPr>
              <w:widowControl/>
              <w:rPr>
                <w:rFonts w:ascii="Times New Roman" w:hAnsi="Times New Roman" w:cs="Times New Roman"/>
              </w:rPr>
            </w:pPr>
            <w:r>
              <w:rPr>
                <w:rFonts w:ascii="Times New Roman" w:hAnsi="Times New Roman" w:cs="Times New Roman"/>
              </w:rPr>
              <w:t>The confidence coefficient which is based on either the Student's t-distribution or the normal distribution. For example, a 95% one-sided confidence coeff</w:t>
            </w:r>
            <w:r>
              <w:rPr>
                <w:rFonts w:ascii="Times New Roman" w:hAnsi="Times New Roman" w:cs="Times New Roman"/>
              </w:rPr>
              <w:t>i</w:t>
            </w:r>
            <w:r>
              <w:rPr>
                <w:rFonts w:ascii="Times New Roman" w:hAnsi="Times New Roman" w:cs="Times New Roman"/>
              </w:rPr>
              <w:lastRenderedPageBreak/>
              <w:t>cient based on the normal distribution</w:t>
            </w:r>
            <w:r>
              <w:rPr>
                <w:rFonts w:ascii="Times New Roman" w:hAnsi="Times New Roman" w:cs="Times New Roman"/>
              </w:rPr>
              <w:t xml:space="preserve"> is 1.645. This term is often referred to as the t-value and the z-value.</w:t>
            </w:r>
          </w:p>
        </w:tc>
      </w:tr>
    </w:tbl>
    <w:p w:rsidR="00000000" w:rsidRDefault="00D9528B">
      <w:pPr>
        <w:widowControl/>
        <w:rPr>
          <w:rFonts w:ascii="Times New Roman" w:hAnsi="Times New Roman" w:cs="Times New Roman"/>
        </w:rPr>
        <w:sectPr w:rsidR="00000000">
          <w:headerReference w:type="default" r:id="rId13"/>
          <w:type w:val="continuous"/>
          <w:pgSz w:w="12240" w:h="15840"/>
          <w:pgMar w:top="1728" w:right="1296" w:bottom="1296" w:left="1296" w:header="720" w:footer="720" w:gutter="0"/>
          <w:cols w:space="720"/>
          <w:noEndnote/>
        </w:sectPr>
      </w:pPr>
    </w:p>
    <w:p w:rsidR="00000000" w:rsidRDefault="00D9528B">
      <w:pPr>
        <w:widowControl/>
        <w:rPr>
          <w:rFonts w:ascii="Times New Roman" w:hAnsi="Times New Roman" w:cs="Times New Roman"/>
        </w:rPr>
        <w:sectPr w:rsidR="00000000">
          <w:headerReference w:type="default" r:id="rId14"/>
          <w:type w:val="continuous"/>
          <w:pgSz w:w="12240" w:h="15840"/>
          <w:pgMar w:top="1728" w:right="1296" w:bottom="1296" w:left="1296" w:header="720" w:footer="720" w:gutter="0"/>
          <w:cols w:space="720"/>
          <w:noEndnote/>
        </w:sectPr>
      </w:pPr>
    </w:p>
    <w:p w:rsidR="00000000" w:rsidRDefault="00D9528B" w:rsidP="00D9528B">
      <w:pPr>
        <w:widowControl/>
        <w:suppressAutoHyphens/>
        <w:jc w:val="right"/>
        <w:rPr>
          <w:rFonts w:ascii="Courier New" w:hAnsi="Courier New" w:cs="Courier New"/>
        </w:rPr>
      </w:pPr>
    </w:p>
    <w:sectPr w:rsidR="00000000">
      <w:headerReference w:type="default" r:id="rId15"/>
      <w:footerReference w:type="default" r:id="rId16"/>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528B">
      <w:r>
        <w:separator/>
      </w:r>
    </w:p>
  </w:endnote>
  <w:endnote w:type="continuationSeparator" w:id="0">
    <w:p w:rsidR="00000000" w:rsidRDefault="00D9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528B">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528B">
      <w:r>
        <w:separator/>
      </w:r>
    </w:p>
  </w:footnote>
  <w:footnote w:type="continuationSeparator" w:id="0">
    <w:p w:rsidR="00000000" w:rsidRDefault="00D95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528B">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D9528B">
    <w:pPr>
      <w:widowControl/>
      <w:suppressAutoHyphens/>
      <w:jc w:val="center"/>
      <w:rPr>
        <w:rFonts w:ascii="Times New Roman" w:hAnsi="Times New Roman" w:cs="Times New Roman"/>
      </w:rPr>
    </w:pPr>
    <w:r>
      <w:rPr>
        <w:rFonts w:ascii="Times New Roman" w:hAnsi="Times New Roman" w:cs="Times New Roman"/>
      </w:rPr>
      <w:t>Rev. Proc. 2004-29; 2004-1 C.B. 918;</w:t>
    </w:r>
  </w:p>
  <w:p w:rsidR="00000000" w:rsidRDefault="00D9528B">
    <w:pPr>
      <w:widowControl/>
      <w:suppressAutoHyphens/>
      <w:jc w:val="center"/>
      <w:rPr>
        <w:rFonts w:ascii="Times New Roman" w:hAnsi="Times New Roman" w:cs="Times New Roman"/>
      </w:rPr>
    </w:pPr>
    <w:r>
      <w:rPr>
        <w:rFonts w:ascii="Times New Roman" w:hAnsi="Times New Roman" w:cs="Times New Roman"/>
      </w:rPr>
      <w:t>2004 IRB LEXIS 193, *; 2004-20 I.R.B. 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528B">
    <w:pPr>
      <w:widowControl/>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9528B">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CE"/>
    <w:multiLevelType w:val="singleLevel"/>
    <w:tmpl w:val="00000000"/>
    <w:lvl w:ilvl="0">
      <w:start w:val="1"/>
      <w:numFmt w:val="decimal"/>
      <w:lvlText w:val="7.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CF"/>
    <w:multiLevelType w:val="singleLevel"/>
    <w:tmpl w:val="00000000"/>
    <w:lvl w:ilvl="0">
      <w:start w:val="1"/>
      <w:numFmt w:val="decimal"/>
      <w:lvlText w:val="6.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D0"/>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D1"/>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D2"/>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D3"/>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6">
    <w:nsid w:val="FFFFB1D4"/>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7">
    <w:nsid w:val="FFFFB1D5"/>
    <w:multiLevelType w:val="singleLevel"/>
    <w:tmpl w:val="00000000"/>
    <w:lvl w:ilvl="0">
      <w:start w:val="1"/>
      <w:numFmt w:val="decimal"/>
      <w:lvlText w:val="j.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8">
    <w:nsid w:val="FFFFB1D6"/>
    <w:multiLevelType w:val="singleLevel"/>
    <w:tmpl w:val="00000000"/>
    <w:lvl w:ilvl="0">
      <w:start w:val="1"/>
      <w:numFmt w:val="decimal"/>
      <w:lvlText w:val="i.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9">
    <w:nsid w:val="FFFFB1D7"/>
    <w:multiLevelType w:val="singleLevel"/>
    <w:tmpl w:val="00000000"/>
    <w:lvl w:ilvl="0">
      <w:start w:val="1"/>
      <w:numFmt w:val="decimal"/>
      <w:lvlText w:val="h.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0">
    <w:nsid w:val="FFFFB1D8"/>
    <w:multiLevelType w:val="singleLevel"/>
    <w:tmpl w:val="00000000"/>
    <w:lvl w:ilvl="0">
      <w:start w:val="1"/>
      <w:numFmt w:val="decimal"/>
      <w:lvlText w:val="g.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1">
    <w:nsid w:val="FFFFB1D9"/>
    <w:multiLevelType w:val="singleLevel"/>
    <w:tmpl w:val="00000000"/>
    <w:lvl w:ilvl="0">
      <w:start w:val="1"/>
      <w:numFmt w:val="decimal"/>
      <w:lvlText w:val="f.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2">
    <w:nsid w:val="FFFFB1DA"/>
    <w:multiLevelType w:val="singleLevel"/>
    <w:tmpl w:val="00000000"/>
    <w:lvl w:ilvl="0">
      <w:start w:val="1"/>
      <w:numFmt w:val="decimal"/>
      <w:lvlText w:val="e.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3">
    <w:nsid w:val="FFFFB1DB"/>
    <w:multiLevelType w:val="singleLevel"/>
    <w:tmpl w:val="00000000"/>
    <w:lvl w:ilvl="0">
      <w:start w:val="1"/>
      <w:numFmt w:val="decimal"/>
      <w:lvlText w:val="d.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4">
    <w:nsid w:val="FFFFB1DC"/>
    <w:multiLevelType w:val="singleLevel"/>
    <w:tmpl w:val="00000000"/>
    <w:lvl w:ilvl="0">
      <w:start w:val="1"/>
      <w:numFmt w:val="decimal"/>
      <w:lvlText w:val="c.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5">
    <w:nsid w:val="FFFFB1DD"/>
    <w:multiLevelType w:val="singleLevel"/>
    <w:tmpl w:val="00000000"/>
    <w:lvl w:ilvl="0">
      <w:start w:val="1"/>
      <w:numFmt w:val="decimal"/>
      <w:lvlText w:val="b.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6">
    <w:nsid w:val="FFFFB1DE"/>
    <w:multiLevelType w:val="singleLevel"/>
    <w:tmpl w:val="00000000"/>
    <w:lvl w:ilvl="0">
      <w:start w:val="1"/>
      <w:numFmt w:val="decimal"/>
      <w:lvlText w:val="a.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7">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28B"/>
    <w:rsid w:val="00D9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3609</Words>
  <Characters>20575</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2017-02-15T19:59:00Z</dcterms:created>
  <dcterms:modified xsi:type="dcterms:W3CDTF">2017-02-15T19:59:00Z</dcterms:modified>
</cp:coreProperties>
</file>