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FBAE8" w14:textId="77777777" w:rsidR="005A1E61" w:rsidRPr="00AF6E32" w:rsidRDefault="005A1E61">
      <w:pPr>
        <w:jc w:val="center"/>
        <w:rPr>
          <w:rFonts w:asciiTheme="minorHAnsi" w:hAnsiTheme="minorHAnsi"/>
          <w:b/>
          <w:sz w:val="22"/>
          <w:szCs w:val="22"/>
          <w:u w:val="single"/>
        </w:rPr>
      </w:pPr>
      <w:r w:rsidRPr="00AF6E32">
        <w:rPr>
          <w:rFonts w:asciiTheme="minorHAnsi" w:hAnsiTheme="minorHAnsi"/>
          <w:b/>
          <w:sz w:val="22"/>
          <w:szCs w:val="22"/>
          <w:u w:val="single"/>
        </w:rPr>
        <w:t>SUPPORTING STATEMENT</w:t>
      </w:r>
    </w:p>
    <w:p w14:paraId="7581FA8B" w14:textId="77777777" w:rsidR="00F70EC5" w:rsidRPr="00AF6E32" w:rsidRDefault="00BA1409">
      <w:pPr>
        <w:jc w:val="center"/>
        <w:rPr>
          <w:rFonts w:asciiTheme="minorHAnsi" w:hAnsiTheme="minorHAnsi"/>
          <w:b/>
          <w:sz w:val="22"/>
          <w:szCs w:val="22"/>
        </w:rPr>
      </w:pPr>
      <w:r w:rsidRPr="00AF6E32">
        <w:rPr>
          <w:rFonts w:asciiTheme="minorHAnsi" w:hAnsiTheme="minorHAnsi"/>
          <w:b/>
          <w:sz w:val="22"/>
          <w:szCs w:val="22"/>
        </w:rPr>
        <w:t>Pre-Approved P</w:t>
      </w:r>
      <w:r w:rsidR="00F70EC5" w:rsidRPr="00AF6E32">
        <w:rPr>
          <w:rFonts w:asciiTheme="minorHAnsi" w:hAnsiTheme="minorHAnsi"/>
          <w:b/>
          <w:sz w:val="22"/>
          <w:szCs w:val="22"/>
        </w:rPr>
        <w:t>lans</w:t>
      </w:r>
      <w:r w:rsidRPr="00AF6E32">
        <w:rPr>
          <w:rFonts w:asciiTheme="minorHAnsi" w:hAnsiTheme="minorHAnsi"/>
          <w:b/>
          <w:sz w:val="22"/>
          <w:szCs w:val="22"/>
        </w:rPr>
        <w:t xml:space="preserve"> Program </w:t>
      </w:r>
    </w:p>
    <w:p w14:paraId="1675A368" w14:textId="77777777" w:rsidR="005A1E61" w:rsidRPr="00AF6E32" w:rsidRDefault="005A1E61">
      <w:pPr>
        <w:jc w:val="center"/>
        <w:rPr>
          <w:rFonts w:asciiTheme="minorHAnsi" w:hAnsiTheme="minorHAnsi"/>
          <w:b/>
          <w:sz w:val="22"/>
          <w:szCs w:val="22"/>
        </w:rPr>
      </w:pPr>
      <w:r w:rsidRPr="00AF6E32">
        <w:rPr>
          <w:rFonts w:asciiTheme="minorHAnsi" w:hAnsiTheme="minorHAnsi"/>
          <w:b/>
          <w:sz w:val="22"/>
          <w:szCs w:val="22"/>
        </w:rPr>
        <w:t xml:space="preserve">Revenue Procedure </w:t>
      </w:r>
      <w:r w:rsidR="00E20C41" w:rsidRPr="00AF6E32">
        <w:rPr>
          <w:rFonts w:asciiTheme="minorHAnsi" w:hAnsiTheme="minorHAnsi"/>
          <w:b/>
          <w:sz w:val="22"/>
          <w:szCs w:val="22"/>
        </w:rPr>
        <w:t>201</w:t>
      </w:r>
      <w:r w:rsidR="00555ACC" w:rsidRPr="00AF6E32">
        <w:rPr>
          <w:rFonts w:asciiTheme="minorHAnsi" w:hAnsiTheme="minorHAnsi"/>
          <w:b/>
          <w:sz w:val="22"/>
          <w:szCs w:val="22"/>
        </w:rPr>
        <w:t>7</w:t>
      </w:r>
      <w:r w:rsidR="00E20C41" w:rsidRPr="00AF6E32">
        <w:rPr>
          <w:rFonts w:asciiTheme="minorHAnsi" w:hAnsiTheme="minorHAnsi"/>
          <w:b/>
          <w:sz w:val="22"/>
          <w:szCs w:val="22"/>
        </w:rPr>
        <w:t>-</w:t>
      </w:r>
      <w:r w:rsidR="00555ACC" w:rsidRPr="00AF6E32">
        <w:rPr>
          <w:rFonts w:asciiTheme="minorHAnsi" w:hAnsiTheme="minorHAnsi"/>
          <w:b/>
          <w:sz w:val="22"/>
          <w:szCs w:val="22"/>
        </w:rPr>
        <w:t>XX</w:t>
      </w:r>
      <w:r w:rsidR="00E20C41" w:rsidRPr="00AF6E32">
        <w:rPr>
          <w:rFonts w:asciiTheme="minorHAnsi" w:hAnsiTheme="minorHAnsi"/>
          <w:b/>
          <w:sz w:val="22"/>
          <w:szCs w:val="22"/>
        </w:rPr>
        <w:t xml:space="preserve"> (modifying Rev. Proc. 201</w:t>
      </w:r>
      <w:r w:rsidR="00555ACC" w:rsidRPr="00AF6E32">
        <w:rPr>
          <w:rFonts w:asciiTheme="minorHAnsi" w:hAnsiTheme="minorHAnsi"/>
          <w:b/>
          <w:sz w:val="22"/>
          <w:szCs w:val="22"/>
        </w:rPr>
        <w:t>5</w:t>
      </w:r>
      <w:r w:rsidR="00E20C41" w:rsidRPr="00AF6E32">
        <w:rPr>
          <w:rFonts w:asciiTheme="minorHAnsi" w:hAnsiTheme="minorHAnsi"/>
          <w:b/>
          <w:sz w:val="22"/>
          <w:szCs w:val="22"/>
        </w:rPr>
        <w:t>-</w:t>
      </w:r>
      <w:r w:rsidR="00555ACC" w:rsidRPr="00AF6E32">
        <w:rPr>
          <w:rFonts w:asciiTheme="minorHAnsi" w:hAnsiTheme="minorHAnsi"/>
          <w:b/>
          <w:sz w:val="22"/>
          <w:szCs w:val="22"/>
        </w:rPr>
        <w:t>36</w:t>
      </w:r>
      <w:r w:rsidR="00E20C41" w:rsidRPr="00AF6E32">
        <w:rPr>
          <w:rFonts w:asciiTheme="minorHAnsi" w:hAnsiTheme="minorHAnsi"/>
          <w:b/>
          <w:sz w:val="22"/>
          <w:szCs w:val="22"/>
        </w:rPr>
        <w:t xml:space="preserve">) </w:t>
      </w:r>
    </w:p>
    <w:p w14:paraId="3A0A7877" w14:textId="77777777" w:rsidR="005A1E61" w:rsidRPr="00AF6E32" w:rsidRDefault="00E20C41">
      <w:pPr>
        <w:jc w:val="center"/>
        <w:rPr>
          <w:rFonts w:asciiTheme="minorHAnsi" w:hAnsiTheme="minorHAnsi"/>
          <w:b/>
          <w:sz w:val="22"/>
          <w:szCs w:val="22"/>
        </w:rPr>
      </w:pPr>
      <w:r w:rsidRPr="00AF6E32">
        <w:rPr>
          <w:rFonts w:asciiTheme="minorHAnsi" w:hAnsiTheme="minorHAnsi"/>
          <w:b/>
          <w:sz w:val="22"/>
          <w:szCs w:val="22"/>
        </w:rPr>
        <w:t>1545-1674</w:t>
      </w:r>
    </w:p>
    <w:p w14:paraId="3EBC4319" w14:textId="77777777" w:rsidR="005A1E61" w:rsidRPr="00AF6E32" w:rsidRDefault="005A1E61">
      <w:pPr>
        <w:rPr>
          <w:rFonts w:asciiTheme="minorHAnsi" w:hAnsiTheme="minorHAnsi"/>
          <w:sz w:val="22"/>
          <w:szCs w:val="22"/>
        </w:rPr>
      </w:pPr>
    </w:p>
    <w:p w14:paraId="5766F610"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CIRCUMSTANCES NECESSITATING COLLECTION OF INFORMATION</w:t>
      </w:r>
    </w:p>
    <w:p w14:paraId="23FAB7CE" w14:textId="77777777" w:rsidR="005A1E61" w:rsidRPr="00AF6E32" w:rsidRDefault="005A1E61">
      <w:pPr>
        <w:rPr>
          <w:rFonts w:asciiTheme="minorHAnsi" w:hAnsiTheme="minorHAnsi"/>
          <w:sz w:val="22"/>
          <w:szCs w:val="22"/>
        </w:rPr>
      </w:pPr>
    </w:p>
    <w:p w14:paraId="646A1434" w14:textId="7892BBAD" w:rsidR="00EF1E2E" w:rsidRPr="00AF6E32" w:rsidRDefault="005A1E61" w:rsidP="00EF1E2E">
      <w:pPr>
        <w:ind w:left="720"/>
        <w:rPr>
          <w:rFonts w:asciiTheme="minorHAnsi" w:hAnsiTheme="minorHAnsi"/>
          <w:sz w:val="22"/>
          <w:szCs w:val="22"/>
        </w:rPr>
      </w:pPr>
      <w:proofErr w:type="gramStart"/>
      <w:r w:rsidRPr="00AF6E32">
        <w:rPr>
          <w:rFonts w:asciiTheme="minorHAnsi" w:hAnsiTheme="minorHAnsi"/>
          <w:sz w:val="22"/>
          <w:szCs w:val="22"/>
        </w:rPr>
        <w:t>Section 601.201(a)(1) of the Statement of Procedural Rules (26 C.F.R. section 601.201(a)(1)) provides that it is the practice of the Internal Revenue Service (“Service”) to answer inquiries of individuals and organizations, whenever appropriate in the interest of sound tax administration, as to their status for tax purposes and as to the tax effects of their acts or transactions.</w:t>
      </w:r>
      <w:proofErr w:type="gramEnd"/>
      <w:r w:rsidRPr="00AF6E32">
        <w:rPr>
          <w:rFonts w:asciiTheme="minorHAnsi" w:hAnsiTheme="minorHAnsi"/>
          <w:sz w:val="22"/>
          <w:szCs w:val="22"/>
        </w:rPr>
        <w:t xml:space="preserve">  The master and prototype </w:t>
      </w:r>
      <w:r w:rsidR="00EF1E2E" w:rsidRPr="00AF6E32">
        <w:rPr>
          <w:rFonts w:asciiTheme="minorHAnsi" w:hAnsiTheme="minorHAnsi"/>
          <w:sz w:val="22"/>
          <w:szCs w:val="22"/>
        </w:rPr>
        <w:t xml:space="preserve">(M&amp;P) </w:t>
      </w:r>
      <w:r w:rsidRPr="00AF6E32">
        <w:rPr>
          <w:rFonts w:asciiTheme="minorHAnsi" w:hAnsiTheme="minorHAnsi"/>
          <w:sz w:val="22"/>
          <w:szCs w:val="22"/>
        </w:rPr>
        <w:t>program is an administrative program of the Service initially created in the 1960s</w:t>
      </w:r>
      <w:r w:rsidR="00EF1E2E" w:rsidRPr="00AF6E32">
        <w:rPr>
          <w:rFonts w:asciiTheme="minorHAnsi" w:hAnsiTheme="minorHAnsi"/>
          <w:sz w:val="22"/>
          <w:szCs w:val="22"/>
        </w:rPr>
        <w:t xml:space="preserve"> as a method of lessening the administrative burdens (including costs) on employers (as well as the Service) through the issuance of opinion letters that approved an M&amp;P plan as to form.  The issuance of the opinion letter allows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00EF1E2E" w:rsidRPr="00AF6E32">
        <w:rPr>
          <w:rFonts w:asciiTheme="minorHAnsi" w:hAnsiTheme="minorHAnsi"/>
          <w:sz w:val="22"/>
          <w:szCs w:val="22"/>
        </w:rPr>
        <w:t xml:space="preserve">to make retroactive changes to the form of the plan to conform </w:t>
      </w:r>
      <w:r w:rsidR="00651D96" w:rsidRPr="00AF6E32">
        <w:rPr>
          <w:rFonts w:asciiTheme="minorHAnsi" w:hAnsiTheme="minorHAnsi"/>
          <w:sz w:val="22"/>
          <w:szCs w:val="22"/>
        </w:rPr>
        <w:t>to</w:t>
      </w:r>
      <w:r w:rsidR="00EF1E2E" w:rsidRPr="00AF6E32">
        <w:rPr>
          <w:rFonts w:asciiTheme="minorHAnsi" w:hAnsiTheme="minorHAnsi"/>
          <w:sz w:val="22"/>
          <w:szCs w:val="22"/>
        </w:rPr>
        <w:t xml:space="preserve"> recent changes in statutory requirements.  </w:t>
      </w:r>
      <w:proofErr w:type="gramStart"/>
      <w:r w:rsidR="00EF1E2E" w:rsidRPr="00AF6E32">
        <w:rPr>
          <w:rFonts w:asciiTheme="minorHAnsi" w:hAnsiTheme="minorHAnsi"/>
          <w:sz w:val="22"/>
          <w:szCs w:val="22"/>
        </w:rPr>
        <w:t>As a result</w:t>
      </w:r>
      <w:proofErr w:type="gramEnd"/>
      <w:r w:rsidR="00EF1E2E" w:rsidRPr="00AF6E32">
        <w:rPr>
          <w:rFonts w:asciiTheme="minorHAnsi" w:hAnsiTheme="minorHAnsi"/>
          <w:sz w:val="22"/>
          <w:szCs w:val="22"/>
        </w:rPr>
        <w:t xml:space="preserve"> of the Employee Retirement Income Security Act of 1974, the demand by employers for M&amp;P plans increased.  Moreover, the types of entities that might sponsor M&amp;P plans </w:t>
      </w:r>
      <w:proofErr w:type="gramStart"/>
      <w:r w:rsidR="008B1A98" w:rsidRPr="00AF6E32">
        <w:rPr>
          <w:rFonts w:asciiTheme="minorHAnsi" w:hAnsiTheme="minorHAnsi"/>
          <w:sz w:val="22"/>
          <w:szCs w:val="22"/>
        </w:rPr>
        <w:t>was</w:t>
      </w:r>
      <w:proofErr w:type="gramEnd"/>
      <w:r w:rsidR="008B1A98" w:rsidRPr="00AF6E32">
        <w:rPr>
          <w:rFonts w:asciiTheme="minorHAnsi" w:hAnsiTheme="minorHAnsi"/>
          <w:sz w:val="22"/>
          <w:szCs w:val="22"/>
        </w:rPr>
        <w:t xml:space="preserve"> </w:t>
      </w:r>
      <w:r w:rsidR="00EF1E2E" w:rsidRPr="00AF6E32">
        <w:rPr>
          <w:rFonts w:asciiTheme="minorHAnsi" w:hAnsiTheme="minorHAnsi"/>
          <w:sz w:val="22"/>
          <w:szCs w:val="22"/>
        </w:rPr>
        <w:t>expanded</w:t>
      </w:r>
      <w:r w:rsidR="008B1A98" w:rsidRPr="00AF6E32">
        <w:rPr>
          <w:rFonts w:asciiTheme="minorHAnsi" w:hAnsiTheme="minorHAnsi"/>
          <w:sz w:val="22"/>
          <w:szCs w:val="22"/>
        </w:rPr>
        <w:t xml:space="preserve">.  In addition, a separate administrative </w:t>
      </w:r>
      <w:r w:rsidR="00EF1E2E" w:rsidRPr="00AF6E32">
        <w:rPr>
          <w:rFonts w:asciiTheme="minorHAnsi" w:hAnsiTheme="minorHAnsi"/>
          <w:sz w:val="22"/>
          <w:szCs w:val="22"/>
        </w:rPr>
        <w:t>program containing a different pre-approved plan that evolved from a uniform plan to a regional prototype plan to a volume submitter (VS) plan</w:t>
      </w:r>
      <w:r w:rsidR="008B1A98" w:rsidRPr="00AF6E32">
        <w:rPr>
          <w:rFonts w:asciiTheme="minorHAnsi" w:hAnsiTheme="minorHAnsi"/>
          <w:sz w:val="22"/>
          <w:szCs w:val="22"/>
        </w:rPr>
        <w:t xml:space="preserve"> </w:t>
      </w:r>
      <w:proofErr w:type="gramStart"/>
      <w:r w:rsidR="008B1A98" w:rsidRPr="00AF6E32">
        <w:rPr>
          <w:rFonts w:asciiTheme="minorHAnsi" w:hAnsiTheme="minorHAnsi"/>
          <w:sz w:val="22"/>
          <w:szCs w:val="22"/>
        </w:rPr>
        <w:t>was created</w:t>
      </w:r>
      <w:proofErr w:type="gramEnd"/>
      <w:r w:rsidR="00EF1E2E" w:rsidRPr="00AF6E32">
        <w:rPr>
          <w:rFonts w:asciiTheme="minorHAnsi" w:hAnsiTheme="minorHAnsi"/>
          <w:sz w:val="22"/>
          <w:szCs w:val="22"/>
        </w:rPr>
        <w:t>.  </w:t>
      </w:r>
    </w:p>
    <w:p w14:paraId="5495FBD6" w14:textId="77777777" w:rsidR="00EF1E2E" w:rsidRPr="00AF6E32" w:rsidRDefault="00EF1E2E" w:rsidP="00EF1E2E">
      <w:pPr>
        <w:ind w:left="720"/>
        <w:rPr>
          <w:rFonts w:asciiTheme="minorHAnsi" w:hAnsiTheme="minorHAnsi"/>
          <w:sz w:val="22"/>
          <w:szCs w:val="22"/>
        </w:rPr>
      </w:pPr>
    </w:p>
    <w:p w14:paraId="18EB1EA1" w14:textId="77777777" w:rsidR="00EF1E2E" w:rsidRPr="00AF6E32" w:rsidRDefault="00EF1E2E" w:rsidP="00EF1E2E">
      <w:pPr>
        <w:ind w:left="720"/>
        <w:rPr>
          <w:rFonts w:asciiTheme="minorHAnsi" w:hAnsiTheme="minorHAnsi"/>
          <w:sz w:val="22"/>
          <w:szCs w:val="22"/>
        </w:rPr>
      </w:pPr>
      <w:r w:rsidRPr="00AF6E32">
        <w:rPr>
          <w:rFonts w:asciiTheme="minorHAnsi" w:hAnsiTheme="minorHAnsi"/>
          <w:sz w:val="22"/>
          <w:szCs w:val="22"/>
        </w:rPr>
        <w:t>The two programs (M&amp;P and VS) originated to serve different purposes and each has had its own set of rules.   While the Service maintain</w:t>
      </w:r>
      <w:r w:rsidR="00555ACC" w:rsidRPr="00AF6E32">
        <w:rPr>
          <w:rFonts w:asciiTheme="minorHAnsi" w:hAnsiTheme="minorHAnsi"/>
          <w:sz w:val="22"/>
          <w:szCs w:val="22"/>
        </w:rPr>
        <w:t>ed</w:t>
      </w:r>
      <w:r w:rsidRPr="00AF6E32">
        <w:rPr>
          <w:rFonts w:asciiTheme="minorHAnsi" w:hAnsiTheme="minorHAnsi"/>
          <w:sz w:val="22"/>
          <w:szCs w:val="22"/>
        </w:rPr>
        <w:t xml:space="preserve"> </w:t>
      </w:r>
      <w:r w:rsidR="008B1A98" w:rsidRPr="00AF6E32">
        <w:rPr>
          <w:rFonts w:asciiTheme="minorHAnsi" w:hAnsiTheme="minorHAnsi"/>
          <w:sz w:val="22"/>
          <w:szCs w:val="22"/>
        </w:rPr>
        <w:t xml:space="preserve">the </w:t>
      </w:r>
      <w:r w:rsidRPr="00AF6E32">
        <w:rPr>
          <w:rFonts w:asciiTheme="minorHAnsi" w:hAnsiTheme="minorHAnsi"/>
          <w:sz w:val="22"/>
          <w:szCs w:val="22"/>
        </w:rPr>
        <w:t xml:space="preserve">two programs separately, </w:t>
      </w:r>
      <w:r w:rsidR="008B1A98" w:rsidRPr="00AF6E32">
        <w:rPr>
          <w:rFonts w:asciiTheme="minorHAnsi" w:hAnsiTheme="minorHAnsi"/>
          <w:sz w:val="22"/>
          <w:szCs w:val="22"/>
        </w:rPr>
        <w:t xml:space="preserve">statutory and regulatory changes resulted in </w:t>
      </w:r>
      <w:r w:rsidRPr="00AF6E32">
        <w:rPr>
          <w:rFonts w:asciiTheme="minorHAnsi" w:hAnsiTheme="minorHAnsi"/>
          <w:sz w:val="22"/>
          <w:szCs w:val="22"/>
        </w:rPr>
        <w:t xml:space="preserve">the narrowing of the differences between the programs </w:t>
      </w:r>
      <w:r w:rsidR="00555ACC" w:rsidRPr="00AF6E32">
        <w:rPr>
          <w:rFonts w:asciiTheme="minorHAnsi" w:hAnsiTheme="minorHAnsi"/>
          <w:sz w:val="22"/>
          <w:szCs w:val="22"/>
        </w:rPr>
        <w:t xml:space="preserve">that </w:t>
      </w:r>
      <w:r w:rsidRPr="00AF6E32">
        <w:rPr>
          <w:rFonts w:asciiTheme="minorHAnsi" w:hAnsiTheme="minorHAnsi"/>
          <w:sz w:val="22"/>
          <w:szCs w:val="22"/>
        </w:rPr>
        <w:t>ma</w:t>
      </w:r>
      <w:r w:rsidR="008B1A98" w:rsidRPr="00AF6E32">
        <w:rPr>
          <w:rFonts w:asciiTheme="minorHAnsi" w:hAnsiTheme="minorHAnsi"/>
          <w:sz w:val="22"/>
          <w:szCs w:val="22"/>
        </w:rPr>
        <w:t xml:space="preserve">de </w:t>
      </w:r>
      <w:r w:rsidRPr="00AF6E32">
        <w:rPr>
          <w:rFonts w:asciiTheme="minorHAnsi" w:hAnsiTheme="minorHAnsi"/>
          <w:sz w:val="22"/>
          <w:szCs w:val="22"/>
        </w:rPr>
        <w:t xml:space="preserve">it appropriate to set forth the rules for both programs in one revenue procedure. </w:t>
      </w:r>
      <w:proofErr w:type="gramStart"/>
      <w:r w:rsidR="00555ACC" w:rsidRPr="00AF6E32">
        <w:rPr>
          <w:rFonts w:asciiTheme="minorHAnsi" w:hAnsiTheme="minorHAnsi"/>
          <w:sz w:val="22"/>
          <w:szCs w:val="22"/>
        </w:rPr>
        <w:t>As a result</w:t>
      </w:r>
      <w:proofErr w:type="gramEnd"/>
      <w:r w:rsidR="00555ACC" w:rsidRPr="00AF6E32">
        <w:rPr>
          <w:rFonts w:asciiTheme="minorHAnsi" w:hAnsiTheme="minorHAnsi"/>
          <w:sz w:val="22"/>
          <w:szCs w:val="22"/>
        </w:rPr>
        <w:t xml:space="preserve"> of a continuing narrowing of differences </w:t>
      </w:r>
      <w:r w:rsidR="002F2599" w:rsidRPr="00AF6E32">
        <w:rPr>
          <w:rFonts w:asciiTheme="minorHAnsi" w:hAnsiTheme="minorHAnsi"/>
          <w:sz w:val="22"/>
          <w:szCs w:val="22"/>
        </w:rPr>
        <w:t xml:space="preserve">between the programs </w:t>
      </w:r>
      <w:r w:rsidR="00555ACC" w:rsidRPr="00AF6E32">
        <w:rPr>
          <w:rFonts w:asciiTheme="minorHAnsi" w:hAnsiTheme="minorHAnsi"/>
          <w:sz w:val="22"/>
          <w:szCs w:val="22"/>
        </w:rPr>
        <w:t>and in response to requests from practitioners</w:t>
      </w:r>
      <w:r w:rsidR="002F2599" w:rsidRPr="00AF6E32">
        <w:rPr>
          <w:rFonts w:asciiTheme="minorHAnsi" w:hAnsiTheme="minorHAnsi"/>
          <w:sz w:val="22"/>
          <w:szCs w:val="22"/>
        </w:rPr>
        <w:t>,</w:t>
      </w:r>
      <w:r w:rsidR="00555ACC" w:rsidRPr="00AF6E32">
        <w:rPr>
          <w:rFonts w:asciiTheme="minorHAnsi" w:hAnsiTheme="minorHAnsi"/>
          <w:sz w:val="22"/>
          <w:szCs w:val="22"/>
        </w:rPr>
        <w:t xml:space="preserve"> the Service has concluded that it is appropriate to merge the two programs into one pre-approved program. </w:t>
      </w:r>
    </w:p>
    <w:p w14:paraId="0F02D0D2" w14:textId="77777777" w:rsidR="00EF1E2E" w:rsidRPr="00AF6E32" w:rsidRDefault="00EF1E2E" w:rsidP="00EF1E2E">
      <w:pPr>
        <w:pStyle w:val="PlainText"/>
        <w:spacing w:before="0" w:beforeAutospacing="0" w:after="0" w:afterAutospacing="0"/>
        <w:rPr>
          <w:rFonts w:asciiTheme="minorHAnsi" w:hAnsiTheme="minorHAnsi"/>
          <w:sz w:val="22"/>
          <w:szCs w:val="22"/>
        </w:rPr>
      </w:pPr>
      <w:r w:rsidRPr="00AF6E32">
        <w:rPr>
          <w:rFonts w:asciiTheme="minorHAnsi" w:hAnsiTheme="minorHAnsi"/>
          <w:sz w:val="22"/>
          <w:szCs w:val="22"/>
        </w:rPr>
        <w:t> </w:t>
      </w:r>
    </w:p>
    <w:p w14:paraId="7A11C2F4" w14:textId="414ECB5F"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The issuance of an opinion letter </w:t>
      </w:r>
      <w:r w:rsidR="00555ACC" w:rsidRPr="00AF6E32">
        <w:rPr>
          <w:rFonts w:asciiTheme="minorHAnsi" w:hAnsiTheme="minorHAnsi"/>
          <w:sz w:val="22"/>
          <w:szCs w:val="22"/>
        </w:rPr>
        <w:t xml:space="preserve">for a pre-approved plan </w:t>
      </w:r>
      <w:r w:rsidRPr="00AF6E32">
        <w:rPr>
          <w:rFonts w:asciiTheme="minorHAnsi" w:hAnsiTheme="minorHAnsi"/>
          <w:sz w:val="22"/>
          <w:szCs w:val="22"/>
        </w:rPr>
        <w:t xml:space="preserve">by the Employee Plans function of the Tax Exempt and Government Entities Division approves a plan as to form.  Typically, once a plan </w:t>
      </w:r>
      <w:proofErr w:type="gramStart"/>
      <w:r w:rsidRPr="00AF6E32">
        <w:rPr>
          <w:rFonts w:asciiTheme="minorHAnsi" w:hAnsiTheme="minorHAnsi"/>
          <w:sz w:val="22"/>
          <w:szCs w:val="22"/>
        </w:rPr>
        <w:t>is submitted</w:t>
      </w:r>
      <w:proofErr w:type="gramEnd"/>
      <w:r w:rsidRPr="00AF6E32">
        <w:rPr>
          <w:rFonts w:asciiTheme="minorHAnsi" w:hAnsiTheme="minorHAnsi"/>
          <w:sz w:val="22"/>
          <w:szCs w:val="22"/>
        </w:rPr>
        <w:t xml:space="preserve"> for an opinion letter</w:t>
      </w:r>
      <w:r w:rsidR="00EF1E2E" w:rsidRPr="00AF6E32">
        <w:rPr>
          <w:rFonts w:asciiTheme="minorHAnsi" w:hAnsiTheme="minorHAnsi"/>
          <w:sz w:val="22"/>
          <w:szCs w:val="22"/>
        </w:rPr>
        <w:t xml:space="preserve"> </w:t>
      </w:r>
      <w:r w:rsidRPr="00AF6E32">
        <w:rPr>
          <w:rFonts w:asciiTheme="minorHAnsi" w:hAnsiTheme="minorHAnsi"/>
          <w:sz w:val="22"/>
          <w:szCs w:val="22"/>
        </w:rPr>
        <w:t>the entity that submits the plan (the “</w:t>
      </w:r>
      <w:r w:rsidR="00936408" w:rsidRPr="00AF6E32">
        <w:rPr>
          <w:rFonts w:asciiTheme="minorHAnsi" w:hAnsiTheme="minorHAnsi" w:cs="Courier New"/>
          <w:sz w:val="22"/>
          <w:szCs w:val="22"/>
        </w:rPr>
        <w:t>provider</w:t>
      </w:r>
      <w:r w:rsidRPr="00AF6E32">
        <w:rPr>
          <w:rFonts w:asciiTheme="minorHAnsi" w:hAnsiTheme="minorHAnsi"/>
          <w:sz w:val="22"/>
          <w:szCs w:val="22"/>
        </w:rPr>
        <w:t>”) will begin marketing the plan for its adoption by various employers.  The issuance of the opinion letter</w:t>
      </w:r>
      <w:r w:rsidR="00EF1E2E" w:rsidRPr="00AF6E32">
        <w:rPr>
          <w:rFonts w:asciiTheme="minorHAnsi" w:hAnsiTheme="minorHAnsi"/>
          <w:sz w:val="22"/>
          <w:szCs w:val="22"/>
        </w:rPr>
        <w:t xml:space="preserve"> </w:t>
      </w:r>
      <w:r w:rsidRPr="00AF6E32">
        <w:rPr>
          <w:rFonts w:asciiTheme="minorHAnsi" w:hAnsiTheme="minorHAnsi"/>
          <w:sz w:val="22"/>
          <w:szCs w:val="22"/>
        </w:rPr>
        <w:t xml:space="preserve">allows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Pr="00AF6E32">
        <w:rPr>
          <w:rFonts w:asciiTheme="minorHAnsi" w:hAnsiTheme="minorHAnsi"/>
          <w:sz w:val="22"/>
          <w:szCs w:val="22"/>
        </w:rPr>
        <w:t xml:space="preserve">to make retroactive changes to the form of the plan to conform </w:t>
      </w:r>
      <w:r w:rsidR="0033139A" w:rsidRPr="00AF6E32">
        <w:rPr>
          <w:rFonts w:asciiTheme="minorHAnsi" w:hAnsiTheme="minorHAnsi"/>
          <w:sz w:val="22"/>
          <w:szCs w:val="22"/>
        </w:rPr>
        <w:t xml:space="preserve">to </w:t>
      </w:r>
      <w:r w:rsidRPr="00AF6E32">
        <w:rPr>
          <w:rFonts w:asciiTheme="minorHAnsi" w:hAnsiTheme="minorHAnsi"/>
          <w:sz w:val="22"/>
          <w:szCs w:val="22"/>
        </w:rPr>
        <w:t>recent changes in statutory requirements.</w:t>
      </w:r>
      <w:r w:rsidR="00A15CD1" w:rsidRPr="00AF6E32">
        <w:rPr>
          <w:rFonts w:asciiTheme="minorHAnsi" w:hAnsiTheme="minorHAnsi" w:cs="Courier New"/>
          <w:sz w:val="22"/>
          <w:szCs w:val="22"/>
        </w:rPr>
        <w:t xml:space="preserve"> Form 4461, Form 4461-A, and Form 4461-B </w:t>
      </w:r>
      <w:r w:rsidR="00936408" w:rsidRPr="00AF6E32">
        <w:rPr>
          <w:rFonts w:asciiTheme="minorHAnsi" w:hAnsiTheme="minorHAnsi" w:cs="Courier New"/>
          <w:sz w:val="22"/>
          <w:szCs w:val="22"/>
        </w:rPr>
        <w:t>are</w:t>
      </w:r>
      <w:r w:rsidR="00A15CD1" w:rsidRPr="00AF6E32">
        <w:rPr>
          <w:rFonts w:asciiTheme="minorHAnsi" w:hAnsiTheme="minorHAnsi" w:cs="Courier New"/>
          <w:sz w:val="22"/>
          <w:szCs w:val="22"/>
        </w:rPr>
        <w:t xml:space="preserve"> use</w:t>
      </w:r>
      <w:r w:rsidR="00936408" w:rsidRPr="00AF6E32">
        <w:rPr>
          <w:rFonts w:asciiTheme="minorHAnsi" w:hAnsiTheme="minorHAnsi" w:cs="Courier New"/>
          <w:sz w:val="22"/>
          <w:szCs w:val="22"/>
        </w:rPr>
        <w:t>d</w:t>
      </w:r>
      <w:r w:rsidR="00A15CD1" w:rsidRPr="00AF6E32">
        <w:rPr>
          <w:rFonts w:asciiTheme="minorHAnsi" w:hAnsiTheme="minorHAnsi" w:cs="Courier New"/>
          <w:sz w:val="22"/>
          <w:szCs w:val="22"/>
        </w:rPr>
        <w:t xml:space="preserve"> by </w:t>
      </w:r>
      <w:r w:rsidR="00936408" w:rsidRPr="00AF6E32">
        <w:rPr>
          <w:rFonts w:asciiTheme="minorHAnsi" w:hAnsiTheme="minorHAnsi" w:cs="Courier New"/>
          <w:sz w:val="22"/>
          <w:szCs w:val="22"/>
        </w:rPr>
        <w:t>providers</w:t>
      </w:r>
      <w:r w:rsidR="00A15CD1" w:rsidRPr="00AF6E32">
        <w:rPr>
          <w:rFonts w:asciiTheme="minorHAnsi" w:hAnsiTheme="minorHAnsi" w:cs="Courier New"/>
          <w:sz w:val="22"/>
          <w:szCs w:val="22"/>
        </w:rPr>
        <w:t xml:space="preserve"> to apply for approval of their employee benefit plans under section 401(a</w:t>
      </w:r>
      <w:r w:rsidR="00936408" w:rsidRPr="00AF6E32">
        <w:rPr>
          <w:rFonts w:asciiTheme="minorHAnsi" w:hAnsiTheme="minorHAnsi" w:cs="Courier New"/>
          <w:sz w:val="22"/>
          <w:szCs w:val="22"/>
        </w:rPr>
        <w:t>)</w:t>
      </w:r>
      <w:r w:rsidR="00A15CD1" w:rsidRPr="00AF6E32">
        <w:rPr>
          <w:rFonts w:asciiTheme="minorHAnsi" w:hAnsiTheme="minorHAnsi" w:cs="Courier New"/>
          <w:sz w:val="22"/>
          <w:szCs w:val="22"/>
        </w:rPr>
        <w:t>.</w:t>
      </w:r>
    </w:p>
    <w:p w14:paraId="16711376" w14:textId="77777777" w:rsidR="005A1E61" w:rsidRPr="00AF6E32" w:rsidRDefault="00A15CD1">
      <w:pPr>
        <w:rPr>
          <w:rFonts w:asciiTheme="minorHAnsi" w:hAnsiTheme="minorHAnsi"/>
          <w:sz w:val="22"/>
          <w:szCs w:val="22"/>
        </w:rPr>
      </w:pPr>
      <w:r w:rsidRPr="00AF6E32">
        <w:rPr>
          <w:rFonts w:asciiTheme="minorHAnsi" w:hAnsiTheme="minorHAnsi" w:cs="Courier New"/>
          <w:sz w:val="22"/>
          <w:szCs w:val="22"/>
        </w:rPr>
        <w:t xml:space="preserve">  </w:t>
      </w:r>
    </w:p>
    <w:p w14:paraId="0B046346"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USE OF DATA</w:t>
      </w:r>
    </w:p>
    <w:p w14:paraId="426119E5" w14:textId="77777777" w:rsidR="005A1E61" w:rsidRPr="00AF6E32" w:rsidRDefault="005A1E61">
      <w:pPr>
        <w:rPr>
          <w:rFonts w:asciiTheme="minorHAnsi" w:hAnsiTheme="minorHAnsi"/>
          <w:sz w:val="22"/>
          <w:szCs w:val="22"/>
        </w:rPr>
      </w:pPr>
    </w:p>
    <w:p w14:paraId="222B3924" w14:textId="294E6861" w:rsidR="00A15CD1" w:rsidRPr="00AF6E32" w:rsidRDefault="005A1E61" w:rsidP="00A15CD1">
      <w:pPr>
        <w:ind w:left="720"/>
        <w:rPr>
          <w:rFonts w:asciiTheme="minorHAnsi" w:hAnsiTheme="minorHAnsi" w:cs="Courier New"/>
          <w:sz w:val="22"/>
          <w:szCs w:val="22"/>
        </w:rPr>
      </w:pPr>
      <w:r w:rsidRPr="00AF6E32">
        <w:rPr>
          <w:rFonts w:asciiTheme="minorHAnsi" w:hAnsiTheme="minorHAnsi"/>
          <w:sz w:val="22"/>
          <w:szCs w:val="22"/>
        </w:rPr>
        <w:t xml:space="preserve">The data </w:t>
      </w:r>
      <w:r w:rsidR="00A15CD1" w:rsidRPr="00AF6E32">
        <w:rPr>
          <w:rFonts w:asciiTheme="minorHAnsi" w:hAnsiTheme="minorHAnsi" w:cs="Courier New"/>
          <w:sz w:val="22"/>
          <w:szCs w:val="22"/>
        </w:rPr>
        <w:t xml:space="preserve">and Forms 4461, 4461-A, and 4461-B </w:t>
      </w:r>
      <w:proofErr w:type="gramStart"/>
      <w:r w:rsidR="00A15CD1" w:rsidRPr="00AF6E32">
        <w:rPr>
          <w:rFonts w:asciiTheme="minorHAnsi" w:hAnsiTheme="minorHAnsi"/>
          <w:sz w:val="22"/>
          <w:szCs w:val="22"/>
        </w:rPr>
        <w:t>will be used</w:t>
      </w:r>
      <w:proofErr w:type="gramEnd"/>
      <w:r w:rsidR="00A15CD1" w:rsidRPr="00AF6E32">
        <w:rPr>
          <w:rFonts w:asciiTheme="minorHAnsi" w:hAnsiTheme="minorHAnsi"/>
          <w:sz w:val="22"/>
          <w:szCs w:val="22"/>
        </w:rPr>
        <w:t xml:space="preserve"> by the Employee Plans function to determine </w:t>
      </w:r>
      <w:r w:rsidR="00A15CD1" w:rsidRPr="00AF6E32">
        <w:rPr>
          <w:rFonts w:asciiTheme="minorHAnsi" w:hAnsiTheme="minorHAnsi" w:cs="Courier New"/>
          <w:sz w:val="22"/>
          <w:szCs w:val="22"/>
        </w:rPr>
        <w:t xml:space="preserve">if </w:t>
      </w:r>
      <w:r w:rsidR="00936408" w:rsidRPr="00AF6E32">
        <w:rPr>
          <w:rFonts w:asciiTheme="minorHAnsi" w:hAnsiTheme="minorHAnsi" w:cs="Courier New"/>
          <w:sz w:val="22"/>
          <w:szCs w:val="22"/>
        </w:rPr>
        <w:t>an</w:t>
      </w:r>
      <w:r w:rsidR="00A15CD1" w:rsidRPr="00AF6E32">
        <w:rPr>
          <w:rFonts w:asciiTheme="minorHAnsi" w:hAnsiTheme="minorHAnsi" w:cs="Courier New"/>
          <w:sz w:val="22"/>
          <w:szCs w:val="22"/>
        </w:rPr>
        <w:t xml:space="preserve"> employee benefit plan is qualified under section 401(a) and </w:t>
      </w:r>
      <w:r w:rsidRPr="00AF6E32">
        <w:rPr>
          <w:rFonts w:asciiTheme="minorHAnsi" w:hAnsiTheme="minorHAnsi"/>
          <w:sz w:val="22"/>
          <w:szCs w:val="22"/>
        </w:rPr>
        <w:t>whether it is appropriate to issue an opinion letter.</w:t>
      </w:r>
      <w:r w:rsidR="00A15CD1" w:rsidRPr="00AF6E32">
        <w:rPr>
          <w:rFonts w:asciiTheme="minorHAnsi" w:hAnsiTheme="minorHAnsi" w:cs="Courier New"/>
          <w:sz w:val="22"/>
          <w:szCs w:val="22"/>
        </w:rPr>
        <w:t xml:space="preserve"> </w:t>
      </w:r>
    </w:p>
    <w:p w14:paraId="64B9AD36" w14:textId="77777777" w:rsidR="009F1D9F" w:rsidRPr="00AF6E32" w:rsidRDefault="009F1D9F">
      <w:pPr>
        <w:rPr>
          <w:rFonts w:asciiTheme="minorHAnsi" w:hAnsiTheme="minorHAnsi"/>
          <w:sz w:val="22"/>
          <w:szCs w:val="22"/>
        </w:rPr>
      </w:pPr>
    </w:p>
    <w:p w14:paraId="4236E92D"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USE OF IMPROVED INFORMATION TECHNOLOGY TO REDUCE BURDEN</w:t>
      </w:r>
    </w:p>
    <w:p w14:paraId="4F9C4727" w14:textId="77777777" w:rsidR="005A1E61" w:rsidRPr="00AF6E32" w:rsidRDefault="005A1E61">
      <w:pPr>
        <w:ind w:firstLine="720"/>
        <w:rPr>
          <w:rFonts w:asciiTheme="minorHAnsi" w:hAnsiTheme="minorHAnsi"/>
          <w:sz w:val="22"/>
          <w:szCs w:val="22"/>
        </w:rPr>
      </w:pPr>
    </w:p>
    <w:p w14:paraId="39627AE9" w14:textId="2D662614"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IRS Publications, Regulations, Notices and Letters are to </w:t>
      </w:r>
      <w:proofErr w:type="gramStart"/>
      <w:r w:rsidRPr="00AF6E32">
        <w:rPr>
          <w:rFonts w:asciiTheme="minorHAnsi" w:hAnsiTheme="minorHAnsi"/>
          <w:sz w:val="22"/>
          <w:szCs w:val="22"/>
        </w:rPr>
        <w:t>be electronically enabled</w:t>
      </w:r>
      <w:proofErr w:type="gramEnd"/>
      <w:r w:rsidRPr="00AF6E32">
        <w:rPr>
          <w:rFonts w:asciiTheme="minorHAnsi" w:hAnsiTheme="minorHAnsi"/>
          <w:sz w:val="22"/>
          <w:szCs w:val="22"/>
        </w:rPr>
        <w:t xml:space="preserve"> on an as practicable basis in accordance with the IRS Reform and Restructuring Act of 1998.</w:t>
      </w:r>
      <w:r w:rsidR="00AF6E32" w:rsidRPr="00AF6E32">
        <w:rPr>
          <w:rFonts w:asciiTheme="minorHAnsi" w:hAnsiTheme="minorHAnsi"/>
          <w:sz w:val="22"/>
          <w:szCs w:val="22"/>
        </w:rPr>
        <w:t xml:space="preserve"> </w:t>
      </w:r>
      <w:r w:rsidR="00AF6E32" w:rsidRPr="00AF6E32">
        <w:rPr>
          <w:rFonts w:asciiTheme="minorHAnsi" w:hAnsiTheme="minorHAnsi"/>
          <w:sz w:val="22"/>
          <w:szCs w:val="22"/>
        </w:rPr>
        <w:t xml:space="preserve">We intend to offer electronic filing to the extent it is practicable </w:t>
      </w:r>
      <w:proofErr w:type="gramStart"/>
      <w:r w:rsidR="00AF6E32" w:rsidRPr="00AF6E32">
        <w:rPr>
          <w:rFonts w:asciiTheme="minorHAnsi" w:hAnsiTheme="minorHAnsi"/>
          <w:sz w:val="22"/>
          <w:szCs w:val="22"/>
        </w:rPr>
        <w:t>however</w:t>
      </w:r>
      <w:proofErr w:type="gramEnd"/>
      <w:r w:rsidR="00AF6E32" w:rsidRPr="00AF6E32">
        <w:rPr>
          <w:rFonts w:asciiTheme="minorHAnsi" w:hAnsiTheme="minorHAnsi"/>
          <w:sz w:val="22"/>
          <w:szCs w:val="22"/>
        </w:rPr>
        <w:t xml:space="preserve"> in this case it isn’t practicable because of the evaluative nature of the determination.</w:t>
      </w:r>
    </w:p>
    <w:p w14:paraId="12120B06" w14:textId="77777777" w:rsidR="005A1E61" w:rsidRPr="00AF6E32" w:rsidRDefault="005A1E61">
      <w:pPr>
        <w:rPr>
          <w:rFonts w:asciiTheme="minorHAnsi" w:hAnsiTheme="minorHAnsi"/>
          <w:sz w:val="22"/>
          <w:szCs w:val="22"/>
        </w:rPr>
      </w:pPr>
    </w:p>
    <w:p w14:paraId="593D9881"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EFFORTS TO IDENTIFY DUPLICATION</w:t>
      </w:r>
    </w:p>
    <w:p w14:paraId="2B1076F7" w14:textId="77777777" w:rsidR="005A1E61" w:rsidRPr="00AF6E32" w:rsidRDefault="005A1E61">
      <w:pPr>
        <w:rPr>
          <w:rFonts w:asciiTheme="minorHAnsi" w:hAnsiTheme="minorHAnsi"/>
          <w:sz w:val="22"/>
          <w:szCs w:val="22"/>
        </w:rPr>
      </w:pPr>
    </w:p>
    <w:p w14:paraId="3FD4396A" w14:textId="77777777" w:rsidR="00AF6E32" w:rsidRPr="00AF6E32" w:rsidRDefault="00AF6E32" w:rsidP="00AF6E32">
      <w:pPr>
        <w:ind w:left="720"/>
        <w:rPr>
          <w:rFonts w:asciiTheme="minorHAnsi" w:hAnsiTheme="minorHAnsi" w:cs="Courier New"/>
          <w:sz w:val="22"/>
          <w:szCs w:val="22"/>
        </w:rPr>
      </w:pPr>
      <w:r w:rsidRPr="00AF6E32">
        <w:rPr>
          <w:rFonts w:asciiTheme="minorHAnsi" w:hAnsiTheme="minorHAnsi"/>
          <w:iCs/>
          <w:sz w:val="22"/>
          <w:szCs w:val="22"/>
        </w:rPr>
        <w:t>The information obtained through this collection is unique and is not already available for use or adaptation from another source.</w:t>
      </w:r>
    </w:p>
    <w:p w14:paraId="5F83D679" w14:textId="77777777" w:rsidR="005A1E61" w:rsidRPr="00594A49" w:rsidRDefault="005A1E61">
      <w:pPr>
        <w:rPr>
          <w:rFonts w:ascii="Courier New" w:hAnsi="Courier New"/>
        </w:rPr>
      </w:pPr>
    </w:p>
    <w:p w14:paraId="5FC7D91D"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METHODS TO MINIMIZE BURDEN ON SMALL BUSINESSES OR OTHER SMALL ENTITIES</w:t>
      </w:r>
    </w:p>
    <w:p w14:paraId="10E122BA" w14:textId="77777777" w:rsidR="005A1E61" w:rsidRPr="00AF6E32" w:rsidRDefault="005A1E61">
      <w:pPr>
        <w:rPr>
          <w:rFonts w:asciiTheme="minorHAnsi" w:hAnsiTheme="minorHAnsi"/>
          <w:sz w:val="22"/>
          <w:szCs w:val="22"/>
        </w:rPr>
      </w:pPr>
    </w:p>
    <w:p w14:paraId="27FDF058"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In the employee plans area, administrative programs </w:t>
      </w:r>
      <w:proofErr w:type="gramStart"/>
      <w:r w:rsidRPr="00AF6E32">
        <w:rPr>
          <w:rFonts w:asciiTheme="minorHAnsi" w:hAnsiTheme="minorHAnsi"/>
          <w:sz w:val="22"/>
          <w:szCs w:val="22"/>
        </w:rPr>
        <w:t>have been established</w:t>
      </w:r>
      <w:proofErr w:type="gramEnd"/>
      <w:r w:rsidRPr="00AF6E32">
        <w:rPr>
          <w:rFonts w:asciiTheme="minorHAnsi" w:hAnsiTheme="minorHAnsi"/>
          <w:sz w:val="22"/>
          <w:szCs w:val="22"/>
        </w:rPr>
        <w:t xml:space="preserve"> whereby certain businesses can initially obtain approval of the form of a plan, e.g., a master or prototype plan.  Those businesses will then market the form of the plan to other businesses.  These programs tend to lessen the administrative costs to small businesses of adopting and maintaining employee retirement plans.</w:t>
      </w:r>
    </w:p>
    <w:p w14:paraId="53FA3157" w14:textId="77777777" w:rsidR="005A1E61" w:rsidRPr="00AF6E32" w:rsidRDefault="005A1E61">
      <w:pPr>
        <w:rPr>
          <w:rFonts w:asciiTheme="minorHAnsi" w:hAnsiTheme="minorHAnsi"/>
          <w:sz w:val="22"/>
          <w:szCs w:val="22"/>
        </w:rPr>
      </w:pPr>
    </w:p>
    <w:p w14:paraId="4043BA7C"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CONSEQUENCES OF LESS FREQUENT COLLECTION ON FEDERAL PROGRAMS OR POLICY ACTIVITIES</w:t>
      </w:r>
    </w:p>
    <w:p w14:paraId="015605C3" w14:textId="77777777" w:rsidR="005A1E61" w:rsidRPr="00AF6E32" w:rsidRDefault="005A1E61">
      <w:pPr>
        <w:rPr>
          <w:rFonts w:asciiTheme="minorHAnsi" w:hAnsiTheme="minorHAnsi"/>
          <w:sz w:val="22"/>
          <w:szCs w:val="22"/>
        </w:rPr>
      </w:pPr>
    </w:p>
    <w:p w14:paraId="5C27ADBB" w14:textId="0CAA2286" w:rsidR="005A1E61" w:rsidRPr="00AF6E32" w:rsidRDefault="002C24A9" w:rsidP="002C24A9">
      <w:pPr>
        <w:ind w:left="720"/>
        <w:rPr>
          <w:rFonts w:asciiTheme="minorHAnsi" w:hAnsiTheme="minorHAnsi"/>
          <w:sz w:val="22"/>
          <w:szCs w:val="22"/>
        </w:rPr>
      </w:pPr>
      <w:r w:rsidRPr="00AF6E32">
        <w:rPr>
          <w:rFonts w:asciiTheme="minorHAnsi" w:hAnsiTheme="minorHAnsi"/>
          <w:sz w:val="22"/>
          <w:szCs w:val="22"/>
        </w:rPr>
        <w:t>Consequences of less frequent collection on federal programs or policy activities would consist of decreased amount of taxes collected by the Service, inaccurate and untimely filing of tax returns, and an increase in tax violations.</w:t>
      </w:r>
    </w:p>
    <w:p w14:paraId="7940B8FF" w14:textId="77777777" w:rsidR="005A1E61" w:rsidRPr="00AF6E32" w:rsidRDefault="005A1E61">
      <w:pPr>
        <w:rPr>
          <w:rFonts w:asciiTheme="minorHAnsi" w:hAnsiTheme="minorHAnsi"/>
          <w:sz w:val="22"/>
          <w:szCs w:val="22"/>
        </w:rPr>
      </w:pPr>
    </w:p>
    <w:p w14:paraId="430600AD" w14:textId="77777777" w:rsidR="005A1E61" w:rsidRPr="00AF6E32" w:rsidRDefault="005A1E61">
      <w:pPr>
        <w:tabs>
          <w:tab w:val="left" w:pos="-1440"/>
        </w:tabs>
        <w:ind w:left="720" w:hanging="720"/>
        <w:rPr>
          <w:rFonts w:asciiTheme="minorHAnsi" w:hAnsiTheme="minorHAnsi"/>
          <w:sz w:val="22"/>
          <w:szCs w:val="22"/>
        </w:rPr>
      </w:pPr>
      <w:r w:rsidRPr="00AF6E32">
        <w:rPr>
          <w:rFonts w:asciiTheme="minorHAnsi" w:hAnsiTheme="minorHAnsi"/>
          <w:sz w:val="22"/>
          <w:szCs w:val="22"/>
        </w:rPr>
        <w:t>7.</w:t>
      </w:r>
      <w:r w:rsidRPr="00AF6E32">
        <w:rPr>
          <w:rFonts w:asciiTheme="minorHAnsi" w:hAnsiTheme="minorHAnsi"/>
          <w:sz w:val="22"/>
          <w:szCs w:val="22"/>
        </w:rPr>
        <w:tab/>
      </w:r>
      <w:r w:rsidRPr="00AF6E32">
        <w:rPr>
          <w:rFonts w:asciiTheme="minorHAnsi" w:hAnsiTheme="minorHAnsi"/>
          <w:sz w:val="22"/>
          <w:szCs w:val="22"/>
          <w:u w:val="single"/>
        </w:rPr>
        <w:t>SPECIAL CIRCUMSTANCES REQUIRING DATA COLLECTION TO BE INCONSISTENT WITH GUIDELINES IN 5 C.F.R. 1320.5(d</w:t>
      </w:r>
      <w:proofErr w:type="gramStart"/>
      <w:r w:rsidRPr="00AF6E32">
        <w:rPr>
          <w:rFonts w:asciiTheme="minorHAnsi" w:hAnsiTheme="minorHAnsi"/>
          <w:sz w:val="22"/>
          <w:szCs w:val="22"/>
          <w:u w:val="single"/>
        </w:rPr>
        <w:t>)(</w:t>
      </w:r>
      <w:proofErr w:type="gramEnd"/>
      <w:r w:rsidRPr="00AF6E32">
        <w:rPr>
          <w:rFonts w:asciiTheme="minorHAnsi" w:hAnsiTheme="minorHAnsi"/>
          <w:sz w:val="22"/>
          <w:szCs w:val="22"/>
          <w:u w:val="single"/>
        </w:rPr>
        <w:t>2)</w:t>
      </w:r>
    </w:p>
    <w:p w14:paraId="5854D838" w14:textId="77777777" w:rsidR="005A1E61" w:rsidRPr="00AF6E32" w:rsidRDefault="005A1E61">
      <w:pPr>
        <w:rPr>
          <w:rFonts w:asciiTheme="minorHAnsi" w:hAnsiTheme="minorHAnsi"/>
          <w:sz w:val="22"/>
          <w:szCs w:val="22"/>
        </w:rPr>
      </w:pPr>
    </w:p>
    <w:p w14:paraId="49F7C159" w14:textId="77777777" w:rsidR="005A1E61" w:rsidRPr="00AF6E32" w:rsidRDefault="00E20C41" w:rsidP="00AF6E32">
      <w:pPr>
        <w:ind w:left="720"/>
        <w:rPr>
          <w:rFonts w:asciiTheme="minorHAnsi" w:hAnsiTheme="minorHAnsi"/>
          <w:sz w:val="22"/>
          <w:szCs w:val="22"/>
        </w:rPr>
      </w:pPr>
      <w:r w:rsidRPr="00AF6E32">
        <w:rPr>
          <w:rFonts w:asciiTheme="minorHAnsi" w:hAnsiTheme="minorHAnsi"/>
          <w:sz w:val="22"/>
          <w:szCs w:val="22"/>
        </w:rPr>
        <w:t>There are no special circumstances requiring data collection</w:t>
      </w:r>
      <w:r w:rsidR="00CD5172" w:rsidRPr="00AF6E32">
        <w:rPr>
          <w:rFonts w:asciiTheme="minorHAnsi" w:hAnsiTheme="minorHAnsi"/>
          <w:sz w:val="22"/>
          <w:szCs w:val="22"/>
        </w:rPr>
        <w:t xml:space="preserve"> </w:t>
      </w:r>
      <w:r w:rsidRPr="00AF6E32">
        <w:rPr>
          <w:rFonts w:asciiTheme="minorHAnsi" w:hAnsiTheme="minorHAnsi"/>
          <w:sz w:val="22"/>
          <w:szCs w:val="22"/>
        </w:rPr>
        <w:t>to be inconsistent with</w:t>
      </w:r>
      <w:r w:rsidR="00F70EC5" w:rsidRPr="00AF6E32">
        <w:rPr>
          <w:rFonts w:asciiTheme="minorHAnsi" w:hAnsiTheme="minorHAnsi"/>
          <w:sz w:val="22"/>
          <w:szCs w:val="22"/>
        </w:rPr>
        <w:t xml:space="preserve"> </w:t>
      </w:r>
      <w:r w:rsidRPr="00AF6E32">
        <w:rPr>
          <w:rFonts w:asciiTheme="minorHAnsi" w:hAnsiTheme="minorHAnsi"/>
          <w:sz w:val="22"/>
          <w:szCs w:val="22"/>
        </w:rPr>
        <w:t>Guidelines in 5 CFR 1320.5(d</w:t>
      </w:r>
      <w:proofErr w:type="gramStart"/>
      <w:r w:rsidRPr="00AF6E32">
        <w:rPr>
          <w:rFonts w:asciiTheme="minorHAnsi" w:hAnsiTheme="minorHAnsi"/>
          <w:sz w:val="22"/>
          <w:szCs w:val="22"/>
        </w:rPr>
        <w:t>)(</w:t>
      </w:r>
      <w:proofErr w:type="gramEnd"/>
      <w:r w:rsidRPr="00AF6E32">
        <w:rPr>
          <w:rFonts w:asciiTheme="minorHAnsi" w:hAnsiTheme="minorHAnsi"/>
          <w:sz w:val="22"/>
          <w:szCs w:val="22"/>
        </w:rPr>
        <w:t xml:space="preserve">2).  </w:t>
      </w:r>
    </w:p>
    <w:p w14:paraId="40C1477A" w14:textId="77777777" w:rsidR="005A1E61" w:rsidRPr="00594A49" w:rsidRDefault="005A1E61">
      <w:pPr>
        <w:rPr>
          <w:rFonts w:ascii="Courier New" w:hAnsi="Courier New"/>
        </w:rPr>
      </w:pPr>
    </w:p>
    <w:p w14:paraId="51DFEC7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CONSULTATION WITH INDIVIDUALS OUTSIDE THE AGENCY ON AVAILABILITY OF DATA, FREQUENCY OF COLLECTION, CLARITY OF INSTRUCTIONS AND FORMS, AND DATA ELEMENTS</w:t>
      </w:r>
    </w:p>
    <w:p w14:paraId="168030BC" w14:textId="77777777" w:rsidR="005A1E61" w:rsidRPr="00AF6E32" w:rsidRDefault="005A1E61">
      <w:pPr>
        <w:rPr>
          <w:rFonts w:asciiTheme="minorHAnsi" w:hAnsiTheme="minorHAnsi"/>
          <w:sz w:val="22"/>
          <w:szCs w:val="22"/>
        </w:rPr>
      </w:pPr>
    </w:p>
    <w:p w14:paraId="4EDA4E0C" w14:textId="48C329EF" w:rsidR="00F70EC5" w:rsidRPr="00AF6E32" w:rsidRDefault="005A1E61" w:rsidP="00E20C41">
      <w:pPr>
        <w:ind w:left="720"/>
        <w:rPr>
          <w:rFonts w:asciiTheme="minorHAnsi" w:hAnsiTheme="minorHAnsi"/>
          <w:sz w:val="22"/>
          <w:szCs w:val="22"/>
        </w:rPr>
      </w:pPr>
      <w:r w:rsidRPr="00AF6E32">
        <w:rPr>
          <w:rFonts w:asciiTheme="minorHAnsi" w:hAnsiTheme="minorHAnsi"/>
          <w:sz w:val="22"/>
          <w:szCs w:val="22"/>
        </w:rPr>
        <w:t>Revenue Procedure 2000-20 was published in the Internal Revenue Bulletin on February 7, 2000 (2001 C.B. 553).</w:t>
      </w:r>
      <w:r w:rsidR="00411D59" w:rsidRPr="00AF6E32">
        <w:rPr>
          <w:rFonts w:asciiTheme="minorHAnsi" w:hAnsiTheme="minorHAnsi"/>
          <w:sz w:val="22"/>
          <w:szCs w:val="22"/>
        </w:rPr>
        <w:t xml:space="preserve">  Revenue Procedure 2000-20 was modified and superseded by Revenue Procedure 2005-16</w:t>
      </w:r>
      <w:proofErr w:type="gramStart"/>
      <w:r w:rsidR="00936408" w:rsidRPr="00AF6E32">
        <w:rPr>
          <w:rFonts w:asciiTheme="minorHAnsi" w:hAnsiTheme="minorHAnsi" w:cs="Courier New"/>
          <w:sz w:val="22"/>
          <w:szCs w:val="22"/>
        </w:rPr>
        <w:t>(2005-10 I.R.B. 674</w:t>
      </w:r>
      <w:r w:rsidR="00936408" w:rsidRPr="00AF6E32">
        <w:rPr>
          <w:rFonts w:asciiTheme="minorHAnsi" w:hAnsiTheme="minorHAnsi" w:cs="Courier New"/>
          <w:i/>
          <w:sz w:val="22"/>
          <w:szCs w:val="22"/>
        </w:rPr>
        <w:t>)</w:t>
      </w:r>
      <w:proofErr w:type="gramEnd"/>
      <w:r w:rsidR="00936408" w:rsidRPr="00AF6E32">
        <w:rPr>
          <w:rFonts w:asciiTheme="minorHAnsi" w:hAnsiTheme="minorHAnsi" w:cs="Courier New"/>
          <w:i/>
          <w:sz w:val="22"/>
          <w:szCs w:val="22"/>
        </w:rPr>
        <w:t>.</w:t>
      </w:r>
      <w:r w:rsidR="00936408" w:rsidRPr="00AF6E32">
        <w:rPr>
          <w:rFonts w:asciiTheme="minorHAnsi" w:hAnsiTheme="minorHAnsi"/>
          <w:i/>
          <w:sz w:val="22"/>
          <w:szCs w:val="22"/>
        </w:rPr>
        <w:t xml:space="preserve">  </w:t>
      </w:r>
      <w:r w:rsidR="0016092F" w:rsidRPr="00AF6E32">
        <w:rPr>
          <w:rFonts w:asciiTheme="minorHAnsi" w:hAnsiTheme="minorHAnsi"/>
          <w:sz w:val="22"/>
          <w:szCs w:val="22"/>
        </w:rPr>
        <w:t xml:space="preserve">Revenue Procedure 2005-16 was modified and </w:t>
      </w:r>
      <w:r w:rsidR="00A8433C" w:rsidRPr="00AF6E32">
        <w:rPr>
          <w:rFonts w:asciiTheme="minorHAnsi" w:hAnsiTheme="minorHAnsi"/>
          <w:sz w:val="22"/>
          <w:szCs w:val="22"/>
        </w:rPr>
        <w:t>superseded</w:t>
      </w:r>
      <w:r w:rsidR="0016092F" w:rsidRPr="00AF6E32">
        <w:rPr>
          <w:rFonts w:asciiTheme="minorHAnsi" w:hAnsiTheme="minorHAnsi"/>
          <w:sz w:val="22"/>
          <w:szCs w:val="22"/>
        </w:rPr>
        <w:t xml:space="preserve"> by Revenue Procedure 2011-49 </w:t>
      </w:r>
      <w:proofErr w:type="gramStart"/>
      <w:r w:rsidR="0016092F" w:rsidRPr="00AF6E32">
        <w:rPr>
          <w:rFonts w:asciiTheme="minorHAnsi" w:hAnsiTheme="minorHAnsi"/>
          <w:sz w:val="22"/>
          <w:szCs w:val="22"/>
        </w:rPr>
        <w:t>(2011-44 I.R.B. 608)</w:t>
      </w:r>
      <w:proofErr w:type="gramEnd"/>
      <w:r w:rsidR="00F70EC5" w:rsidRPr="00AF6E32">
        <w:rPr>
          <w:rFonts w:asciiTheme="minorHAnsi" w:hAnsiTheme="minorHAnsi"/>
          <w:sz w:val="22"/>
          <w:szCs w:val="22"/>
        </w:rPr>
        <w:t>.</w:t>
      </w:r>
      <w:r w:rsidR="003D698B" w:rsidRPr="00AF6E32">
        <w:rPr>
          <w:rFonts w:asciiTheme="minorHAnsi" w:hAnsiTheme="minorHAnsi"/>
          <w:sz w:val="22"/>
          <w:szCs w:val="22"/>
        </w:rPr>
        <w:t xml:space="preserve"> Revenue Procedure 2011-49 was modified and superseded by Revenue Procedure 2015-36 </w:t>
      </w:r>
      <w:proofErr w:type="gramStart"/>
      <w:r w:rsidR="003D698B" w:rsidRPr="00AF6E32">
        <w:rPr>
          <w:rFonts w:asciiTheme="minorHAnsi" w:hAnsiTheme="minorHAnsi"/>
          <w:sz w:val="22"/>
          <w:szCs w:val="22"/>
        </w:rPr>
        <w:t>(2015-27 I.R.B. 20)</w:t>
      </w:r>
      <w:proofErr w:type="gramEnd"/>
      <w:r w:rsidR="003D698B" w:rsidRPr="00AF6E32">
        <w:rPr>
          <w:rFonts w:asciiTheme="minorHAnsi" w:hAnsiTheme="minorHAnsi"/>
          <w:sz w:val="22"/>
          <w:szCs w:val="22"/>
        </w:rPr>
        <w:t>.</w:t>
      </w:r>
    </w:p>
    <w:p w14:paraId="27F11394" w14:textId="77777777" w:rsidR="00F70EC5" w:rsidRPr="00AF6E32" w:rsidRDefault="00F70EC5" w:rsidP="00E20C41">
      <w:pPr>
        <w:ind w:left="720"/>
        <w:rPr>
          <w:rFonts w:asciiTheme="minorHAnsi" w:hAnsiTheme="minorHAnsi"/>
          <w:sz w:val="22"/>
          <w:szCs w:val="22"/>
        </w:rPr>
      </w:pPr>
    </w:p>
    <w:p w14:paraId="6688D9D9" w14:textId="022C9C1B" w:rsidR="009F1D9F" w:rsidRPr="00AF6E32" w:rsidRDefault="002F2599" w:rsidP="00E20C41">
      <w:pPr>
        <w:ind w:left="720"/>
        <w:rPr>
          <w:rFonts w:asciiTheme="minorHAnsi" w:hAnsiTheme="minorHAnsi"/>
          <w:sz w:val="22"/>
          <w:szCs w:val="22"/>
        </w:rPr>
      </w:pPr>
      <w:r w:rsidRPr="00AF6E32">
        <w:rPr>
          <w:rFonts w:asciiTheme="minorHAnsi" w:hAnsiTheme="minorHAnsi"/>
          <w:sz w:val="22"/>
          <w:szCs w:val="22"/>
        </w:rPr>
        <w:t>This re</w:t>
      </w:r>
      <w:r w:rsidR="00C63108" w:rsidRPr="00AF6E32">
        <w:rPr>
          <w:rFonts w:asciiTheme="minorHAnsi" w:hAnsiTheme="minorHAnsi"/>
          <w:sz w:val="22"/>
          <w:szCs w:val="22"/>
        </w:rPr>
        <w:t xml:space="preserve">venue </w:t>
      </w:r>
      <w:r w:rsidR="004D24EA" w:rsidRPr="00AF6E32">
        <w:rPr>
          <w:rFonts w:asciiTheme="minorHAnsi" w:hAnsiTheme="minorHAnsi"/>
          <w:sz w:val="22"/>
          <w:szCs w:val="22"/>
        </w:rPr>
        <w:t>p</w:t>
      </w:r>
      <w:r w:rsidR="00C63108" w:rsidRPr="00AF6E32">
        <w:rPr>
          <w:rFonts w:asciiTheme="minorHAnsi" w:hAnsiTheme="minorHAnsi"/>
          <w:sz w:val="22"/>
          <w:szCs w:val="22"/>
        </w:rPr>
        <w:t xml:space="preserve">rocedure </w:t>
      </w:r>
      <w:r w:rsidRPr="00AF6E32">
        <w:rPr>
          <w:rFonts w:asciiTheme="minorHAnsi" w:hAnsiTheme="minorHAnsi"/>
          <w:sz w:val="22"/>
          <w:szCs w:val="22"/>
        </w:rPr>
        <w:t>m</w:t>
      </w:r>
      <w:r w:rsidR="00C63108" w:rsidRPr="00AF6E32">
        <w:rPr>
          <w:rFonts w:asciiTheme="minorHAnsi" w:hAnsiTheme="minorHAnsi"/>
          <w:sz w:val="22"/>
          <w:szCs w:val="22"/>
        </w:rPr>
        <w:t>odifies and supersedes Rev. Proc. 20</w:t>
      </w:r>
      <w:r w:rsidR="0016092F" w:rsidRPr="00AF6E32">
        <w:rPr>
          <w:rFonts w:asciiTheme="minorHAnsi" w:hAnsiTheme="minorHAnsi"/>
          <w:sz w:val="22"/>
          <w:szCs w:val="22"/>
        </w:rPr>
        <w:t>1</w:t>
      </w:r>
      <w:r w:rsidRPr="00AF6E32">
        <w:rPr>
          <w:rFonts w:asciiTheme="minorHAnsi" w:hAnsiTheme="minorHAnsi"/>
          <w:sz w:val="22"/>
          <w:szCs w:val="22"/>
        </w:rPr>
        <w:t>5</w:t>
      </w:r>
      <w:r w:rsidR="00C63108" w:rsidRPr="00AF6E32">
        <w:rPr>
          <w:rFonts w:asciiTheme="minorHAnsi" w:hAnsiTheme="minorHAnsi"/>
          <w:sz w:val="22"/>
          <w:szCs w:val="22"/>
        </w:rPr>
        <w:t>-</w:t>
      </w:r>
      <w:r w:rsidRPr="00AF6E32">
        <w:rPr>
          <w:rFonts w:asciiTheme="minorHAnsi" w:hAnsiTheme="minorHAnsi"/>
          <w:sz w:val="22"/>
          <w:szCs w:val="22"/>
        </w:rPr>
        <w:t>36</w:t>
      </w:r>
      <w:r w:rsidR="00C63108" w:rsidRPr="00AF6E32">
        <w:rPr>
          <w:rFonts w:asciiTheme="minorHAnsi" w:hAnsiTheme="minorHAnsi"/>
          <w:sz w:val="22"/>
          <w:szCs w:val="22"/>
        </w:rPr>
        <w:t>.</w:t>
      </w:r>
      <w:r w:rsidR="00F70EC5" w:rsidRPr="00AF6E32">
        <w:rPr>
          <w:rFonts w:asciiTheme="minorHAnsi" w:hAnsiTheme="minorHAnsi"/>
          <w:sz w:val="22"/>
          <w:szCs w:val="22"/>
        </w:rPr>
        <w:t xml:space="preserve"> </w:t>
      </w:r>
      <w:r w:rsidR="00C63108" w:rsidRPr="00AF6E32">
        <w:rPr>
          <w:rFonts w:asciiTheme="minorHAnsi" w:hAnsiTheme="minorHAnsi"/>
          <w:sz w:val="22"/>
          <w:szCs w:val="22"/>
        </w:rPr>
        <w:t>Section 3 describes the changes to Rev. Proc. 20</w:t>
      </w:r>
      <w:r w:rsidR="0016092F" w:rsidRPr="00AF6E32">
        <w:rPr>
          <w:rFonts w:asciiTheme="minorHAnsi" w:hAnsiTheme="minorHAnsi"/>
          <w:sz w:val="22"/>
          <w:szCs w:val="22"/>
        </w:rPr>
        <w:t>1</w:t>
      </w:r>
      <w:r w:rsidRPr="00AF6E32">
        <w:rPr>
          <w:rFonts w:asciiTheme="minorHAnsi" w:hAnsiTheme="minorHAnsi"/>
          <w:sz w:val="22"/>
          <w:szCs w:val="22"/>
        </w:rPr>
        <w:t>5</w:t>
      </w:r>
      <w:r w:rsidR="0016092F" w:rsidRPr="00AF6E32">
        <w:rPr>
          <w:rFonts w:asciiTheme="minorHAnsi" w:hAnsiTheme="minorHAnsi"/>
          <w:sz w:val="22"/>
          <w:szCs w:val="22"/>
        </w:rPr>
        <w:t>-</w:t>
      </w:r>
      <w:r w:rsidRPr="00AF6E32">
        <w:rPr>
          <w:rFonts w:asciiTheme="minorHAnsi" w:hAnsiTheme="minorHAnsi"/>
          <w:sz w:val="22"/>
          <w:szCs w:val="22"/>
        </w:rPr>
        <w:t>36</w:t>
      </w:r>
      <w:r w:rsidR="00C63108" w:rsidRPr="00AF6E32">
        <w:rPr>
          <w:rFonts w:asciiTheme="minorHAnsi" w:hAnsiTheme="minorHAnsi"/>
          <w:sz w:val="22"/>
          <w:szCs w:val="22"/>
        </w:rPr>
        <w:t xml:space="preserve"> </w:t>
      </w:r>
      <w:r w:rsidR="00936408" w:rsidRPr="00AF6E32">
        <w:rPr>
          <w:rFonts w:asciiTheme="minorHAnsi" w:hAnsiTheme="minorHAnsi" w:cs="Courier New"/>
          <w:sz w:val="22"/>
          <w:szCs w:val="22"/>
        </w:rPr>
        <w:t>made by</w:t>
      </w:r>
      <w:r w:rsidR="00936408" w:rsidRPr="00AF6E32">
        <w:rPr>
          <w:rFonts w:asciiTheme="minorHAnsi" w:hAnsiTheme="minorHAnsi"/>
          <w:sz w:val="22"/>
          <w:szCs w:val="22"/>
        </w:rPr>
        <w:t xml:space="preserve"> </w:t>
      </w:r>
      <w:r w:rsidR="00C63108" w:rsidRPr="00AF6E32">
        <w:rPr>
          <w:rFonts w:asciiTheme="minorHAnsi" w:hAnsiTheme="minorHAnsi"/>
          <w:sz w:val="22"/>
          <w:szCs w:val="22"/>
        </w:rPr>
        <w:t xml:space="preserve">this revenue procedure. </w:t>
      </w:r>
    </w:p>
    <w:p w14:paraId="2B1A45CE" w14:textId="77777777" w:rsidR="00B466C3" w:rsidRPr="00AF6E32" w:rsidRDefault="00B466C3" w:rsidP="00594A49">
      <w:pPr>
        <w:ind w:left="720"/>
        <w:rPr>
          <w:rFonts w:asciiTheme="minorHAnsi" w:hAnsiTheme="minorHAnsi"/>
          <w:sz w:val="22"/>
          <w:szCs w:val="22"/>
        </w:rPr>
      </w:pPr>
    </w:p>
    <w:p w14:paraId="29F4BFD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EXPLANATION OF DECISION TO PROVIDE ANY PAYMENT OR GIFT TO RESPONDENTS</w:t>
      </w:r>
    </w:p>
    <w:p w14:paraId="2D713476" w14:textId="77777777" w:rsidR="005A1E61" w:rsidRPr="00AF6E32" w:rsidRDefault="005A1E61">
      <w:pPr>
        <w:rPr>
          <w:rFonts w:asciiTheme="minorHAnsi" w:hAnsiTheme="minorHAnsi"/>
          <w:sz w:val="22"/>
          <w:szCs w:val="22"/>
        </w:rPr>
      </w:pPr>
    </w:p>
    <w:p w14:paraId="6AF66F07" w14:textId="77777777" w:rsidR="005A1E61" w:rsidRPr="00AF6E32" w:rsidRDefault="00E20C41">
      <w:pPr>
        <w:ind w:firstLine="720"/>
        <w:rPr>
          <w:rFonts w:asciiTheme="minorHAnsi" w:hAnsiTheme="minorHAnsi"/>
          <w:sz w:val="22"/>
          <w:szCs w:val="22"/>
        </w:rPr>
      </w:pPr>
      <w:r w:rsidRPr="00AF6E32">
        <w:rPr>
          <w:rFonts w:asciiTheme="minorHAnsi" w:hAnsiTheme="minorHAnsi"/>
          <w:sz w:val="22"/>
          <w:szCs w:val="22"/>
        </w:rPr>
        <w:t xml:space="preserve">No payment or gift </w:t>
      </w:r>
      <w:proofErr w:type="gramStart"/>
      <w:r w:rsidRPr="00AF6E32">
        <w:rPr>
          <w:rFonts w:asciiTheme="minorHAnsi" w:hAnsiTheme="minorHAnsi"/>
          <w:sz w:val="22"/>
          <w:szCs w:val="22"/>
        </w:rPr>
        <w:t>has been provided</w:t>
      </w:r>
      <w:proofErr w:type="gramEnd"/>
      <w:r w:rsidRPr="00AF6E32">
        <w:rPr>
          <w:rFonts w:asciiTheme="minorHAnsi" w:hAnsiTheme="minorHAnsi"/>
          <w:sz w:val="22"/>
          <w:szCs w:val="22"/>
        </w:rPr>
        <w:t xml:space="preserve"> to any respondents. </w:t>
      </w:r>
    </w:p>
    <w:p w14:paraId="0B0E496C" w14:textId="77777777" w:rsidR="005A1E61" w:rsidRPr="00AF6E32" w:rsidRDefault="005A1E61">
      <w:pPr>
        <w:rPr>
          <w:rFonts w:asciiTheme="minorHAnsi" w:hAnsiTheme="minorHAnsi"/>
          <w:sz w:val="22"/>
          <w:szCs w:val="22"/>
        </w:rPr>
      </w:pPr>
    </w:p>
    <w:p w14:paraId="3E235AA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ASSURANCE OF CONFIDENTIALITY OF RESPONSES</w:t>
      </w:r>
    </w:p>
    <w:p w14:paraId="6D5A594A" w14:textId="77777777" w:rsidR="005A1E61" w:rsidRPr="00AF6E32" w:rsidRDefault="005A1E61">
      <w:pPr>
        <w:rPr>
          <w:rFonts w:asciiTheme="minorHAnsi" w:hAnsiTheme="minorHAnsi"/>
          <w:sz w:val="22"/>
          <w:szCs w:val="22"/>
        </w:rPr>
      </w:pPr>
    </w:p>
    <w:p w14:paraId="3E205FCC"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In general, the submissions under this revenue procedure are </w:t>
      </w:r>
      <w:proofErr w:type="spellStart"/>
      <w:r w:rsidRPr="00AF6E32">
        <w:rPr>
          <w:rFonts w:asciiTheme="minorHAnsi" w:hAnsiTheme="minorHAnsi"/>
          <w:sz w:val="22"/>
          <w:szCs w:val="22"/>
        </w:rPr>
        <w:t>disclos</w:t>
      </w:r>
      <w:r w:rsidR="00B466C3" w:rsidRPr="00AF6E32">
        <w:rPr>
          <w:rFonts w:asciiTheme="minorHAnsi" w:hAnsiTheme="minorHAnsi"/>
          <w:sz w:val="22"/>
          <w:szCs w:val="22"/>
        </w:rPr>
        <w:t>a</w:t>
      </w:r>
      <w:r w:rsidRPr="00AF6E32">
        <w:rPr>
          <w:rFonts w:asciiTheme="minorHAnsi" w:hAnsiTheme="minorHAnsi"/>
          <w:sz w:val="22"/>
          <w:szCs w:val="22"/>
        </w:rPr>
        <w:t>ble</w:t>
      </w:r>
      <w:proofErr w:type="spellEnd"/>
      <w:r w:rsidRPr="00AF6E32">
        <w:rPr>
          <w:rFonts w:asciiTheme="minorHAnsi" w:hAnsiTheme="minorHAnsi"/>
          <w:sz w:val="22"/>
          <w:szCs w:val="22"/>
        </w:rPr>
        <w:t xml:space="preserve"> under 26 U.S.C. </w:t>
      </w:r>
      <w:proofErr w:type="gramStart"/>
      <w:r w:rsidRPr="00AF6E32">
        <w:rPr>
          <w:rFonts w:asciiTheme="minorHAnsi" w:hAnsiTheme="minorHAnsi"/>
          <w:sz w:val="22"/>
          <w:szCs w:val="22"/>
        </w:rPr>
        <w:t>section</w:t>
      </w:r>
      <w:proofErr w:type="gramEnd"/>
      <w:r w:rsidRPr="00AF6E32">
        <w:rPr>
          <w:rFonts w:asciiTheme="minorHAnsi" w:hAnsiTheme="minorHAnsi"/>
          <w:sz w:val="22"/>
          <w:szCs w:val="22"/>
        </w:rPr>
        <w:t xml:space="preserve"> 6104.</w:t>
      </w:r>
    </w:p>
    <w:p w14:paraId="7B07EEF2" w14:textId="77777777" w:rsidR="00E20C41" w:rsidRPr="00AF6E32" w:rsidRDefault="00E20C41">
      <w:pPr>
        <w:ind w:left="720"/>
        <w:rPr>
          <w:rFonts w:asciiTheme="minorHAnsi" w:hAnsiTheme="minorHAnsi"/>
          <w:sz w:val="22"/>
          <w:szCs w:val="22"/>
        </w:rPr>
      </w:pPr>
    </w:p>
    <w:p w14:paraId="7A66B1F2"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JUSTIFICATION OF SENSITIVE QUESTIONS</w:t>
      </w:r>
    </w:p>
    <w:p w14:paraId="50C590AB" w14:textId="77777777" w:rsidR="005A1E61" w:rsidRPr="00AF6E32" w:rsidRDefault="005A1E61">
      <w:pPr>
        <w:rPr>
          <w:rFonts w:asciiTheme="minorHAnsi" w:hAnsiTheme="minorHAnsi"/>
          <w:sz w:val="22"/>
          <w:szCs w:val="22"/>
        </w:rPr>
      </w:pPr>
    </w:p>
    <w:p w14:paraId="464BBE6C" w14:textId="238D55A9" w:rsidR="005A1E61" w:rsidRPr="00AF6E32" w:rsidRDefault="00E23FDC">
      <w:pPr>
        <w:ind w:firstLine="720"/>
        <w:rPr>
          <w:rFonts w:asciiTheme="minorHAnsi" w:hAnsiTheme="minorHAnsi"/>
          <w:sz w:val="22"/>
          <w:szCs w:val="22"/>
        </w:rPr>
      </w:pPr>
      <w:r w:rsidRPr="00AF6E32">
        <w:rPr>
          <w:rFonts w:asciiTheme="minorHAnsi" w:hAnsiTheme="minorHAnsi"/>
          <w:sz w:val="22"/>
          <w:szCs w:val="22"/>
        </w:rPr>
        <w:t>There is no personally identifiable information (PII) collected</w:t>
      </w:r>
      <w:r w:rsidR="005A1E61" w:rsidRPr="00AF6E32">
        <w:rPr>
          <w:rFonts w:asciiTheme="minorHAnsi" w:hAnsiTheme="minorHAnsi"/>
          <w:sz w:val="22"/>
          <w:szCs w:val="22"/>
        </w:rPr>
        <w:t>.</w:t>
      </w:r>
    </w:p>
    <w:p w14:paraId="62D507F4" w14:textId="77777777" w:rsidR="005A1E61" w:rsidRPr="00AF6E32" w:rsidRDefault="005A1E61">
      <w:pPr>
        <w:rPr>
          <w:rFonts w:asciiTheme="minorHAnsi" w:hAnsiTheme="minorHAnsi"/>
          <w:sz w:val="22"/>
          <w:szCs w:val="22"/>
        </w:rPr>
      </w:pPr>
    </w:p>
    <w:p w14:paraId="219F09DD"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ESTIMATED BURDEN OF INFORMATION COLLECTION</w:t>
      </w:r>
    </w:p>
    <w:p w14:paraId="6D4A1E2D" w14:textId="77777777" w:rsidR="005A1E61" w:rsidRPr="00AF6E32" w:rsidRDefault="005A1E61">
      <w:pPr>
        <w:rPr>
          <w:rFonts w:asciiTheme="minorHAnsi" w:hAnsiTheme="minorHAnsi"/>
          <w:sz w:val="22"/>
          <w:szCs w:val="22"/>
        </w:rPr>
      </w:pPr>
    </w:p>
    <w:p w14:paraId="4F749BB5"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This revenue procedure involves the collection of </w:t>
      </w:r>
      <w:r w:rsidR="00F80CC0" w:rsidRPr="00AF6E32">
        <w:rPr>
          <w:rFonts w:asciiTheme="minorHAnsi" w:hAnsiTheme="minorHAnsi"/>
          <w:sz w:val="22"/>
          <w:szCs w:val="22"/>
        </w:rPr>
        <w:t>five</w:t>
      </w:r>
      <w:r w:rsidRPr="00AF6E32">
        <w:rPr>
          <w:rFonts w:asciiTheme="minorHAnsi" w:hAnsiTheme="minorHAnsi"/>
          <w:sz w:val="22"/>
          <w:szCs w:val="22"/>
        </w:rPr>
        <w:t xml:space="preserve"> types of information.</w:t>
      </w:r>
    </w:p>
    <w:p w14:paraId="4786563B" w14:textId="77777777" w:rsidR="005A1E61" w:rsidRPr="00AF6E32" w:rsidRDefault="005A1E61">
      <w:pPr>
        <w:rPr>
          <w:rFonts w:asciiTheme="minorHAnsi" w:hAnsiTheme="minorHAnsi"/>
          <w:sz w:val="22"/>
          <w:szCs w:val="22"/>
        </w:rPr>
      </w:pPr>
    </w:p>
    <w:p w14:paraId="6E18E6B4" w14:textId="4C57869E" w:rsidR="00004A2D" w:rsidRDefault="00716275" w:rsidP="00004A2D">
      <w:pPr>
        <w:ind w:left="720"/>
        <w:rPr>
          <w:rFonts w:asciiTheme="minorHAnsi" w:hAnsiTheme="minorHAnsi"/>
          <w:sz w:val="22"/>
          <w:szCs w:val="22"/>
        </w:rPr>
      </w:pPr>
      <w:r w:rsidRPr="00AF6E32">
        <w:rPr>
          <w:rFonts w:asciiTheme="minorHAnsi" w:hAnsiTheme="minorHAnsi"/>
          <w:sz w:val="22"/>
          <w:szCs w:val="22"/>
        </w:rPr>
        <w:t>Section 5.</w:t>
      </w:r>
      <w:r w:rsidR="00267249" w:rsidRPr="00AF6E32">
        <w:rPr>
          <w:rFonts w:asciiTheme="minorHAnsi" w:hAnsiTheme="minorHAnsi"/>
          <w:sz w:val="22"/>
          <w:szCs w:val="22"/>
        </w:rPr>
        <w:t>09</w:t>
      </w:r>
      <w:r w:rsidRPr="00AF6E32">
        <w:rPr>
          <w:rFonts w:asciiTheme="minorHAnsi" w:hAnsiTheme="minorHAnsi"/>
          <w:sz w:val="22"/>
          <w:szCs w:val="22"/>
        </w:rPr>
        <w:t xml:space="preserve"> requires employers adopting </w:t>
      </w:r>
      <w:r w:rsidR="00267249" w:rsidRPr="00AF6E32">
        <w:rPr>
          <w:rFonts w:asciiTheme="minorHAnsi" w:hAnsiTheme="minorHAnsi"/>
          <w:sz w:val="22"/>
          <w:szCs w:val="22"/>
        </w:rPr>
        <w:t>pre-approved plans</w:t>
      </w:r>
      <w:r w:rsidRPr="00AF6E32">
        <w:rPr>
          <w:rFonts w:asciiTheme="minorHAnsi" w:hAnsiTheme="minorHAnsi"/>
          <w:sz w:val="22"/>
          <w:szCs w:val="22"/>
        </w:rPr>
        <w:t xml:space="preserve"> to complete and sign </w:t>
      </w:r>
      <w:r w:rsidR="00267249" w:rsidRPr="00AF6E32">
        <w:rPr>
          <w:rFonts w:asciiTheme="minorHAnsi" w:hAnsiTheme="minorHAnsi"/>
          <w:sz w:val="22"/>
          <w:szCs w:val="22"/>
        </w:rPr>
        <w:t>new signature page</w:t>
      </w:r>
      <w:r w:rsidR="00B974BA" w:rsidRPr="00AF6E32">
        <w:rPr>
          <w:rFonts w:asciiTheme="minorHAnsi" w:hAnsiTheme="minorHAnsi"/>
          <w:sz w:val="22"/>
          <w:szCs w:val="22"/>
        </w:rPr>
        <w:t>s</w:t>
      </w:r>
      <w:r w:rsidR="00267249" w:rsidRPr="00AF6E32">
        <w:rPr>
          <w:rFonts w:asciiTheme="minorHAnsi" w:hAnsiTheme="minorHAnsi"/>
          <w:sz w:val="22"/>
          <w:szCs w:val="22"/>
        </w:rPr>
        <w:t xml:space="preserve"> or </w:t>
      </w:r>
      <w:r w:rsidRPr="00AF6E32">
        <w:rPr>
          <w:rFonts w:asciiTheme="minorHAnsi" w:hAnsiTheme="minorHAnsi"/>
          <w:sz w:val="22"/>
          <w:szCs w:val="22"/>
        </w:rPr>
        <w:t>new adoption agreements</w:t>
      </w:r>
      <w:r w:rsidR="00267249" w:rsidRPr="00AF6E32">
        <w:rPr>
          <w:rFonts w:asciiTheme="minorHAnsi" w:hAnsiTheme="minorHAnsi"/>
          <w:sz w:val="22"/>
          <w:szCs w:val="22"/>
        </w:rPr>
        <w:t>,</w:t>
      </w:r>
      <w:r w:rsidR="00B974BA" w:rsidRPr="00AF6E32">
        <w:rPr>
          <w:rFonts w:asciiTheme="minorHAnsi" w:hAnsiTheme="minorHAnsi"/>
          <w:sz w:val="22"/>
          <w:szCs w:val="22"/>
        </w:rPr>
        <w:t xml:space="preserve"> </w:t>
      </w:r>
      <w:r w:rsidR="00267249" w:rsidRPr="00AF6E32">
        <w:rPr>
          <w:rFonts w:asciiTheme="minorHAnsi" w:hAnsiTheme="minorHAnsi"/>
          <w:sz w:val="22"/>
          <w:szCs w:val="22"/>
        </w:rPr>
        <w:t xml:space="preserve">as applicable, </w:t>
      </w:r>
      <w:r w:rsidRPr="00AF6E32">
        <w:rPr>
          <w:rFonts w:asciiTheme="minorHAnsi" w:hAnsiTheme="minorHAnsi"/>
          <w:sz w:val="22"/>
          <w:szCs w:val="22"/>
        </w:rPr>
        <w:t xml:space="preserve">in order to restate their plans for recent changes in the law.  We estimate that </w:t>
      </w:r>
      <w:r w:rsidR="001E27CD" w:rsidRPr="00AF6E32">
        <w:rPr>
          <w:rFonts w:asciiTheme="minorHAnsi" w:hAnsiTheme="minorHAnsi"/>
          <w:sz w:val="22"/>
          <w:szCs w:val="22"/>
        </w:rPr>
        <w:t>310,590</w:t>
      </w:r>
      <w:r w:rsidRPr="00AF6E32">
        <w:rPr>
          <w:rFonts w:asciiTheme="minorHAnsi" w:hAnsiTheme="minorHAnsi"/>
          <w:sz w:val="22"/>
          <w:szCs w:val="22"/>
        </w:rPr>
        <w:t xml:space="preserve"> employers will complete and sign new </w:t>
      </w:r>
      <w:r w:rsidR="00267249" w:rsidRPr="00AF6E32">
        <w:rPr>
          <w:rFonts w:asciiTheme="minorHAnsi" w:hAnsiTheme="minorHAnsi"/>
          <w:sz w:val="22"/>
          <w:szCs w:val="22"/>
        </w:rPr>
        <w:t xml:space="preserve">signature pages or new </w:t>
      </w:r>
      <w:r w:rsidRPr="00AF6E32">
        <w:rPr>
          <w:rFonts w:asciiTheme="minorHAnsi" w:hAnsiTheme="minorHAnsi"/>
          <w:sz w:val="22"/>
          <w:szCs w:val="22"/>
        </w:rPr>
        <w:t xml:space="preserve">adoption agreements annually </w:t>
      </w:r>
      <w:proofErr w:type="gramStart"/>
      <w:r w:rsidRPr="00AF6E32">
        <w:rPr>
          <w:rFonts w:asciiTheme="minorHAnsi" w:hAnsiTheme="minorHAnsi"/>
          <w:sz w:val="22"/>
          <w:szCs w:val="22"/>
        </w:rPr>
        <w:t>as a result</w:t>
      </w:r>
      <w:proofErr w:type="gramEnd"/>
      <w:r w:rsidRPr="00AF6E32">
        <w:rPr>
          <w:rFonts w:asciiTheme="minorHAnsi" w:hAnsiTheme="minorHAnsi"/>
          <w:sz w:val="22"/>
          <w:szCs w:val="22"/>
        </w:rPr>
        <w:t xml:space="preserve"> of this requirement.  The estimated burden per respondent is from one-half to two hours, with an average of </w:t>
      </w:r>
      <w:r w:rsidR="00777B72" w:rsidRPr="00AF6E32">
        <w:rPr>
          <w:rFonts w:asciiTheme="minorHAnsi" w:hAnsiTheme="minorHAnsi"/>
          <w:sz w:val="22"/>
          <w:szCs w:val="22"/>
        </w:rPr>
        <w:t>1</w:t>
      </w:r>
      <w:r w:rsidR="003168D9" w:rsidRPr="00AF6E32">
        <w:rPr>
          <w:rFonts w:asciiTheme="minorHAnsi" w:hAnsiTheme="minorHAnsi"/>
          <w:sz w:val="22"/>
          <w:szCs w:val="22"/>
        </w:rPr>
        <w:t xml:space="preserve"> </w:t>
      </w:r>
      <w:r w:rsidRPr="00AF6E32">
        <w:rPr>
          <w:rFonts w:asciiTheme="minorHAnsi" w:hAnsiTheme="minorHAnsi"/>
          <w:sz w:val="22"/>
          <w:szCs w:val="22"/>
        </w:rPr>
        <w:t>hour, for a total estimated burden of</w:t>
      </w:r>
      <w:r w:rsidR="001E27CD" w:rsidRPr="00AF6E32">
        <w:rPr>
          <w:rFonts w:asciiTheme="minorHAnsi" w:hAnsiTheme="minorHAnsi"/>
          <w:sz w:val="22"/>
          <w:szCs w:val="22"/>
        </w:rPr>
        <w:t xml:space="preserve"> 310,590 </w:t>
      </w:r>
      <w:r w:rsidR="000139B1" w:rsidRPr="00AF6E32">
        <w:rPr>
          <w:rFonts w:asciiTheme="minorHAnsi" w:hAnsiTheme="minorHAnsi"/>
          <w:sz w:val="22"/>
          <w:szCs w:val="22"/>
        </w:rPr>
        <w:t>h</w:t>
      </w:r>
      <w:r w:rsidRPr="00AF6E32">
        <w:rPr>
          <w:rFonts w:asciiTheme="minorHAnsi" w:hAnsiTheme="minorHAnsi"/>
          <w:sz w:val="22"/>
          <w:szCs w:val="22"/>
        </w:rPr>
        <w:t>ours annually.</w:t>
      </w:r>
      <w:r w:rsidR="00EE7DE0" w:rsidRPr="00AF6E32">
        <w:rPr>
          <w:rFonts w:asciiTheme="minorHAnsi" w:hAnsiTheme="minorHAnsi"/>
          <w:sz w:val="22"/>
          <w:szCs w:val="22"/>
        </w:rPr>
        <w:t xml:space="preserve"> </w:t>
      </w:r>
    </w:p>
    <w:p w14:paraId="759DA118" w14:textId="77777777" w:rsidR="00AF6E32" w:rsidRPr="00AF6E32" w:rsidRDefault="00AF6E32" w:rsidP="00004A2D">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800"/>
        <w:gridCol w:w="1742"/>
        <w:gridCol w:w="1915"/>
        <w:gridCol w:w="1915"/>
        <w:gridCol w:w="1916"/>
      </w:tblGrid>
      <w:tr w:rsidR="00AF6E32" w:rsidRPr="00AF6E32" w14:paraId="2FACB0C4" w14:textId="77777777" w:rsidTr="00004A2D">
        <w:tc>
          <w:tcPr>
            <w:tcW w:w="1800" w:type="dxa"/>
            <w:tcBorders>
              <w:bottom w:val="nil"/>
            </w:tcBorders>
          </w:tcPr>
          <w:p w14:paraId="49A3CAFA" w14:textId="54BE6118" w:rsidR="00594A49" w:rsidRPr="00AF6E32" w:rsidRDefault="00F457E6">
            <w:pPr>
              <w:rPr>
                <w:rFonts w:ascii="Arial Narrow" w:hAnsi="Arial Narrow"/>
                <w:sz w:val="18"/>
                <w:szCs w:val="18"/>
              </w:rPr>
            </w:pPr>
            <w:r w:rsidRPr="00AF6E32">
              <w:rPr>
                <w:rFonts w:ascii="Arial Narrow" w:hAnsi="Arial Narrow"/>
                <w:sz w:val="18"/>
                <w:szCs w:val="18"/>
              </w:rPr>
              <w:t xml:space="preserve">Rev. Proc. </w:t>
            </w:r>
            <w:r w:rsidR="0098730A" w:rsidRPr="00AF6E32">
              <w:rPr>
                <w:rFonts w:ascii="Arial Narrow" w:hAnsi="Arial Narrow"/>
                <w:sz w:val="18"/>
                <w:szCs w:val="18"/>
              </w:rPr>
              <w:t>Section 5.09</w:t>
            </w:r>
          </w:p>
        </w:tc>
        <w:tc>
          <w:tcPr>
            <w:tcW w:w="1742" w:type="dxa"/>
          </w:tcPr>
          <w:p w14:paraId="2BAEC5C5" w14:textId="07369B1D" w:rsidR="00594A49" w:rsidRPr="00AF6E32" w:rsidRDefault="00594A49">
            <w:pPr>
              <w:rPr>
                <w:rFonts w:ascii="Arial Narrow" w:hAnsi="Arial Narrow"/>
                <w:sz w:val="18"/>
                <w:szCs w:val="18"/>
              </w:rPr>
            </w:pPr>
            <w:r w:rsidRPr="00AF6E32">
              <w:rPr>
                <w:rFonts w:ascii="Arial Narrow" w:hAnsi="Arial Narrow"/>
                <w:sz w:val="18"/>
                <w:szCs w:val="18"/>
              </w:rPr>
              <w:t>Respondents</w:t>
            </w:r>
          </w:p>
        </w:tc>
        <w:tc>
          <w:tcPr>
            <w:tcW w:w="1915" w:type="dxa"/>
          </w:tcPr>
          <w:p w14:paraId="6AE5CE16" w14:textId="72C2640B" w:rsidR="00594A49" w:rsidRPr="00AF6E32" w:rsidRDefault="00594A49">
            <w:pPr>
              <w:rPr>
                <w:rFonts w:ascii="Arial Narrow" w:hAnsi="Arial Narrow"/>
                <w:sz w:val="18"/>
                <w:szCs w:val="18"/>
              </w:rPr>
            </w:pPr>
            <w:r w:rsidRPr="00AF6E32">
              <w:rPr>
                <w:rFonts w:ascii="Arial Narrow" w:hAnsi="Arial Narrow"/>
                <w:sz w:val="18"/>
                <w:szCs w:val="18"/>
              </w:rPr>
              <w:t>Responses</w:t>
            </w:r>
            <w:r w:rsidR="00527BD0" w:rsidRPr="00AF6E32">
              <w:rPr>
                <w:rFonts w:ascii="Arial Narrow" w:hAnsi="Arial Narrow"/>
                <w:sz w:val="18"/>
                <w:szCs w:val="18"/>
              </w:rPr>
              <w:t xml:space="preserve"> per Respondent</w:t>
            </w:r>
          </w:p>
        </w:tc>
        <w:tc>
          <w:tcPr>
            <w:tcW w:w="1915" w:type="dxa"/>
          </w:tcPr>
          <w:p w14:paraId="0D2012B0" w14:textId="7D453B47" w:rsidR="00594A49" w:rsidRPr="00AF6E32" w:rsidRDefault="00594A49">
            <w:pPr>
              <w:rPr>
                <w:rFonts w:ascii="Arial Narrow" w:hAnsi="Arial Narrow"/>
                <w:sz w:val="18"/>
                <w:szCs w:val="18"/>
              </w:rPr>
            </w:pPr>
            <w:r w:rsidRPr="00AF6E32">
              <w:rPr>
                <w:rFonts w:ascii="Arial Narrow" w:hAnsi="Arial Narrow"/>
                <w:sz w:val="18"/>
                <w:szCs w:val="18"/>
              </w:rPr>
              <w:t>Time per response</w:t>
            </w:r>
          </w:p>
        </w:tc>
        <w:tc>
          <w:tcPr>
            <w:tcW w:w="1916" w:type="dxa"/>
          </w:tcPr>
          <w:p w14:paraId="2279A49C" w14:textId="7A16A52D" w:rsidR="00594A49" w:rsidRPr="00AF6E32" w:rsidRDefault="00594A49">
            <w:pPr>
              <w:rPr>
                <w:rFonts w:ascii="Arial Narrow" w:hAnsi="Arial Narrow"/>
                <w:sz w:val="18"/>
                <w:szCs w:val="18"/>
              </w:rPr>
            </w:pPr>
            <w:r w:rsidRPr="00AF6E32">
              <w:rPr>
                <w:rFonts w:ascii="Arial Narrow" w:hAnsi="Arial Narrow"/>
                <w:sz w:val="18"/>
                <w:szCs w:val="18"/>
              </w:rPr>
              <w:t>Total burden</w:t>
            </w:r>
          </w:p>
        </w:tc>
      </w:tr>
      <w:tr w:rsidR="00AF6E32" w:rsidRPr="00AF6E32" w14:paraId="78A5269C" w14:textId="77777777" w:rsidTr="00004A2D">
        <w:tc>
          <w:tcPr>
            <w:tcW w:w="1800" w:type="dxa"/>
            <w:tcBorders>
              <w:top w:val="nil"/>
            </w:tcBorders>
          </w:tcPr>
          <w:p w14:paraId="0F061C9B" w14:textId="31905486" w:rsidR="00594A49" w:rsidRPr="00AF6E32" w:rsidRDefault="00594A49">
            <w:pPr>
              <w:rPr>
                <w:rFonts w:ascii="Arial Narrow" w:hAnsi="Arial Narrow"/>
                <w:sz w:val="18"/>
                <w:szCs w:val="18"/>
              </w:rPr>
            </w:pPr>
          </w:p>
        </w:tc>
        <w:tc>
          <w:tcPr>
            <w:tcW w:w="1742" w:type="dxa"/>
          </w:tcPr>
          <w:p w14:paraId="78843222" w14:textId="0B195C99" w:rsidR="00594A49" w:rsidRPr="00AF6E32" w:rsidRDefault="00594A49">
            <w:pPr>
              <w:rPr>
                <w:rFonts w:ascii="Arial Narrow" w:hAnsi="Arial Narrow"/>
                <w:sz w:val="18"/>
                <w:szCs w:val="18"/>
              </w:rPr>
            </w:pPr>
            <w:r w:rsidRPr="00AF6E32">
              <w:rPr>
                <w:rFonts w:ascii="Arial Narrow" w:hAnsi="Arial Narrow"/>
                <w:sz w:val="18"/>
                <w:szCs w:val="18"/>
              </w:rPr>
              <w:t>310,590</w:t>
            </w:r>
          </w:p>
        </w:tc>
        <w:tc>
          <w:tcPr>
            <w:tcW w:w="1915" w:type="dxa"/>
          </w:tcPr>
          <w:p w14:paraId="02843BAA" w14:textId="4B1EB8BF" w:rsidR="00594A49" w:rsidRPr="00AF6E32" w:rsidRDefault="00527BD0">
            <w:pPr>
              <w:rPr>
                <w:rFonts w:ascii="Arial Narrow" w:hAnsi="Arial Narrow"/>
                <w:sz w:val="18"/>
                <w:szCs w:val="18"/>
              </w:rPr>
            </w:pPr>
            <w:r w:rsidRPr="00AF6E32">
              <w:rPr>
                <w:rFonts w:ascii="Arial Narrow" w:hAnsi="Arial Narrow"/>
                <w:sz w:val="18"/>
                <w:szCs w:val="18"/>
              </w:rPr>
              <w:t>1</w:t>
            </w:r>
          </w:p>
        </w:tc>
        <w:tc>
          <w:tcPr>
            <w:tcW w:w="1915" w:type="dxa"/>
          </w:tcPr>
          <w:p w14:paraId="25F19F3C" w14:textId="4D54290D" w:rsidR="00594A49" w:rsidRPr="00AF6E32" w:rsidRDefault="00594A49">
            <w:pPr>
              <w:rPr>
                <w:rFonts w:ascii="Arial Narrow" w:hAnsi="Arial Narrow"/>
                <w:sz w:val="18"/>
                <w:szCs w:val="18"/>
              </w:rPr>
            </w:pPr>
            <w:r w:rsidRPr="00AF6E32">
              <w:rPr>
                <w:rFonts w:ascii="Arial Narrow" w:hAnsi="Arial Narrow"/>
                <w:sz w:val="18"/>
                <w:szCs w:val="18"/>
              </w:rPr>
              <w:t>1 hr.</w:t>
            </w:r>
          </w:p>
        </w:tc>
        <w:tc>
          <w:tcPr>
            <w:tcW w:w="1916" w:type="dxa"/>
          </w:tcPr>
          <w:p w14:paraId="4176764C" w14:textId="28932F28" w:rsidR="00594A49" w:rsidRPr="00AF6E32" w:rsidRDefault="00594A49">
            <w:pPr>
              <w:rPr>
                <w:rFonts w:ascii="Arial Narrow" w:hAnsi="Arial Narrow"/>
                <w:sz w:val="18"/>
                <w:szCs w:val="18"/>
              </w:rPr>
            </w:pPr>
            <w:proofErr w:type="gramStart"/>
            <w:r w:rsidRPr="00AF6E32">
              <w:rPr>
                <w:rFonts w:ascii="Arial Narrow" w:hAnsi="Arial Narrow"/>
                <w:sz w:val="18"/>
                <w:szCs w:val="18"/>
              </w:rPr>
              <w:t>310,590 hrs.</w:t>
            </w:r>
            <w:proofErr w:type="gramEnd"/>
          </w:p>
        </w:tc>
      </w:tr>
    </w:tbl>
    <w:p w14:paraId="29530C52" w14:textId="77777777" w:rsidR="005A1E61" w:rsidRPr="00AF6E32" w:rsidRDefault="005A1E61">
      <w:pPr>
        <w:rPr>
          <w:rFonts w:asciiTheme="minorHAnsi" w:hAnsiTheme="minorHAnsi"/>
          <w:color w:val="4F81BD"/>
          <w:sz w:val="22"/>
          <w:szCs w:val="22"/>
        </w:rPr>
      </w:pPr>
    </w:p>
    <w:p w14:paraId="09075C32" w14:textId="77777777" w:rsidR="0098730A" w:rsidRPr="00AF6E32" w:rsidRDefault="0098730A">
      <w:pPr>
        <w:ind w:left="720"/>
        <w:rPr>
          <w:rFonts w:asciiTheme="minorHAnsi" w:hAnsiTheme="minorHAnsi"/>
          <w:sz w:val="22"/>
          <w:szCs w:val="22"/>
        </w:rPr>
      </w:pPr>
    </w:p>
    <w:p w14:paraId="720C6B78" w14:textId="35E2F294" w:rsidR="009F1D9F" w:rsidRDefault="005A1E61">
      <w:pPr>
        <w:ind w:left="720"/>
        <w:rPr>
          <w:rFonts w:asciiTheme="minorHAnsi" w:hAnsiTheme="minorHAnsi"/>
          <w:sz w:val="22"/>
          <w:szCs w:val="22"/>
        </w:rPr>
      </w:pPr>
      <w:proofErr w:type="gramStart"/>
      <w:r w:rsidRPr="00AF6E32">
        <w:rPr>
          <w:rFonts w:asciiTheme="minorHAnsi" w:hAnsiTheme="minorHAnsi"/>
          <w:sz w:val="22"/>
          <w:szCs w:val="22"/>
        </w:rPr>
        <w:t xml:space="preserve">Sections </w:t>
      </w:r>
      <w:r w:rsidR="00F40B25" w:rsidRPr="00AF6E32">
        <w:rPr>
          <w:rFonts w:asciiTheme="minorHAnsi" w:hAnsiTheme="minorHAnsi"/>
          <w:sz w:val="22"/>
          <w:szCs w:val="22"/>
        </w:rPr>
        <w:t>8.0</w:t>
      </w:r>
      <w:r w:rsidR="00267249" w:rsidRPr="00AF6E32">
        <w:rPr>
          <w:rFonts w:asciiTheme="minorHAnsi" w:hAnsiTheme="minorHAnsi"/>
          <w:sz w:val="22"/>
          <w:szCs w:val="22"/>
        </w:rPr>
        <w:t>1</w:t>
      </w:r>
      <w:r w:rsidR="00F40B25" w:rsidRPr="00AF6E32">
        <w:rPr>
          <w:rFonts w:asciiTheme="minorHAnsi" w:hAnsiTheme="minorHAnsi"/>
          <w:sz w:val="22"/>
          <w:szCs w:val="22"/>
        </w:rPr>
        <w:t xml:space="preserve">, </w:t>
      </w:r>
      <w:r w:rsidR="00267249" w:rsidRPr="00AF6E32">
        <w:rPr>
          <w:rFonts w:asciiTheme="minorHAnsi" w:hAnsiTheme="minorHAnsi"/>
          <w:sz w:val="22"/>
          <w:szCs w:val="22"/>
        </w:rPr>
        <w:t>8.02</w:t>
      </w:r>
      <w:r w:rsidRPr="00AF6E32">
        <w:rPr>
          <w:rFonts w:asciiTheme="minorHAnsi" w:hAnsiTheme="minorHAnsi"/>
          <w:sz w:val="22"/>
          <w:szCs w:val="22"/>
        </w:rPr>
        <w:t xml:space="preserve">, </w:t>
      </w:r>
      <w:r w:rsidR="005D61C0" w:rsidRPr="00AF6E32">
        <w:rPr>
          <w:rFonts w:asciiTheme="minorHAnsi" w:hAnsiTheme="minorHAnsi"/>
          <w:sz w:val="22"/>
          <w:szCs w:val="22"/>
        </w:rPr>
        <w:t xml:space="preserve">and </w:t>
      </w:r>
      <w:r w:rsidR="00267249" w:rsidRPr="00AF6E32">
        <w:rPr>
          <w:rFonts w:asciiTheme="minorHAnsi" w:hAnsiTheme="minorHAnsi"/>
          <w:sz w:val="22"/>
          <w:szCs w:val="22"/>
        </w:rPr>
        <w:t>18</w:t>
      </w:r>
      <w:r w:rsidRPr="00AF6E32">
        <w:rPr>
          <w:rFonts w:asciiTheme="minorHAnsi" w:hAnsiTheme="minorHAnsi"/>
          <w:sz w:val="22"/>
          <w:szCs w:val="22"/>
        </w:rPr>
        <w:t xml:space="preserve"> require </w:t>
      </w:r>
      <w:r w:rsidR="00936408" w:rsidRPr="00AF6E32">
        <w:rPr>
          <w:rFonts w:asciiTheme="minorHAnsi" w:hAnsiTheme="minorHAnsi" w:cs="Courier New"/>
          <w:sz w:val="22"/>
          <w:szCs w:val="22"/>
        </w:rPr>
        <w:t>providers</w:t>
      </w:r>
      <w:r w:rsidR="00936408" w:rsidRPr="00AF6E32">
        <w:rPr>
          <w:rFonts w:asciiTheme="minorHAnsi" w:hAnsiTheme="minorHAnsi"/>
          <w:sz w:val="22"/>
          <w:szCs w:val="22"/>
        </w:rPr>
        <w:t xml:space="preserve"> </w:t>
      </w:r>
      <w:r w:rsidRPr="00AF6E32">
        <w:rPr>
          <w:rFonts w:asciiTheme="minorHAnsi" w:hAnsiTheme="minorHAnsi"/>
          <w:sz w:val="22"/>
          <w:szCs w:val="22"/>
        </w:rPr>
        <w:t xml:space="preserve">of </w:t>
      </w:r>
      <w:r w:rsidR="00267249" w:rsidRPr="00AF6E32">
        <w:rPr>
          <w:rFonts w:asciiTheme="minorHAnsi" w:hAnsiTheme="minorHAnsi"/>
          <w:sz w:val="22"/>
          <w:szCs w:val="22"/>
        </w:rPr>
        <w:t>pre-approved plans t</w:t>
      </w:r>
      <w:r w:rsidRPr="00AF6E32">
        <w:rPr>
          <w:rFonts w:asciiTheme="minorHAnsi" w:hAnsiTheme="minorHAnsi"/>
          <w:sz w:val="22"/>
          <w:szCs w:val="22"/>
        </w:rPr>
        <w:t xml:space="preserve">o furnish copies of their plans to the Service’s Employee Plans Determinations office, maintain records of employers that have adopted their plans, </w:t>
      </w:r>
      <w:r w:rsidR="00A46D7A" w:rsidRPr="00AF6E32">
        <w:rPr>
          <w:rFonts w:asciiTheme="minorHAnsi" w:hAnsiTheme="minorHAnsi"/>
          <w:sz w:val="22"/>
          <w:szCs w:val="22"/>
        </w:rPr>
        <w:t xml:space="preserve">prepare and </w:t>
      </w:r>
      <w:r w:rsidR="00B3197A" w:rsidRPr="00AF6E32">
        <w:rPr>
          <w:rFonts w:asciiTheme="minorHAnsi" w:hAnsiTheme="minorHAnsi"/>
          <w:sz w:val="22"/>
          <w:szCs w:val="22"/>
        </w:rPr>
        <w:t xml:space="preserve">communicate any necessary interim amendments to adopting employers, </w:t>
      </w:r>
      <w:r w:rsidRPr="00AF6E32">
        <w:rPr>
          <w:rFonts w:asciiTheme="minorHAnsi" w:hAnsiTheme="minorHAnsi"/>
          <w:sz w:val="22"/>
          <w:szCs w:val="22"/>
        </w:rPr>
        <w:t xml:space="preserve">make reasonable and diligent efforts to ensure that employers restate their plans when necessary, and notify employers if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Pr="00AF6E32">
        <w:rPr>
          <w:rFonts w:asciiTheme="minorHAnsi" w:hAnsiTheme="minorHAnsi"/>
          <w:sz w:val="22"/>
          <w:szCs w:val="22"/>
        </w:rPr>
        <w:t>concludes that employers’ plans are no longer qualified.</w:t>
      </w:r>
      <w:proofErr w:type="gramEnd"/>
      <w:r w:rsidRPr="00AF6E32">
        <w:rPr>
          <w:rFonts w:asciiTheme="minorHAnsi" w:hAnsiTheme="minorHAnsi"/>
          <w:sz w:val="22"/>
          <w:szCs w:val="22"/>
        </w:rPr>
        <w:t xml:space="preserve">  We estimate that these requirements will apply to </w:t>
      </w:r>
      <w:r w:rsidR="001E27CD" w:rsidRPr="00AF6E32">
        <w:rPr>
          <w:rFonts w:asciiTheme="minorHAnsi" w:hAnsiTheme="minorHAnsi"/>
          <w:sz w:val="22"/>
          <w:szCs w:val="22"/>
        </w:rPr>
        <w:t xml:space="preserve">4,350 </w:t>
      </w:r>
      <w:r w:rsidR="00936408" w:rsidRPr="00AF6E32">
        <w:rPr>
          <w:rFonts w:asciiTheme="minorHAnsi" w:hAnsiTheme="minorHAnsi" w:cs="Courier New"/>
          <w:sz w:val="22"/>
          <w:szCs w:val="22"/>
        </w:rPr>
        <w:t>providers</w:t>
      </w:r>
      <w:r w:rsidR="00936408" w:rsidRPr="00AF6E32">
        <w:rPr>
          <w:rFonts w:asciiTheme="minorHAnsi" w:hAnsiTheme="minorHAnsi"/>
          <w:sz w:val="22"/>
          <w:szCs w:val="22"/>
        </w:rPr>
        <w:t xml:space="preserve"> </w:t>
      </w:r>
      <w:r w:rsidRPr="00AF6E32">
        <w:rPr>
          <w:rFonts w:asciiTheme="minorHAnsi" w:hAnsiTheme="minorHAnsi"/>
          <w:sz w:val="22"/>
          <w:szCs w:val="22"/>
        </w:rPr>
        <w:t xml:space="preserve">annually.  The estimated burden per respondent is from </w:t>
      </w:r>
      <w:r w:rsidR="001E27CD" w:rsidRPr="00AF6E32">
        <w:rPr>
          <w:rFonts w:asciiTheme="minorHAnsi" w:hAnsiTheme="minorHAnsi"/>
          <w:sz w:val="22"/>
          <w:szCs w:val="22"/>
        </w:rPr>
        <w:t xml:space="preserve">40 </w:t>
      </w:r>
      <w:r w:rsidRPr="00AF6E32">
        <w:rPr>
          <w:rFonts w:asciiTheme="minorHAnsi" w:hAnsiTheme="minorHAnsi"/>
          <w:sz w:val="22"/>
          <w:szCs w:val="22"/>
        </w:rPr>
        <w:t xml:space="preserve">to 2000 hours, with an average of </w:t>
      </w:r>
      <w:r w:rsidR="001E27CD" w:rsidRPr="00AF6E32">
        <w:rPr>
          <w:rFonts w:asciiTheme="minorHAnsi" w:hAnsiTheme="minorHAnsi"/>
          <w:sz w:val="22"/>
          <w:szCs w:val="22"/>
        </w:rPr>
        <w:t>180</w:t>
      </w:r>
      <w:r w:rsidR="009720E0" w:rsidRPr="00AF6E32">
        <w:rPr>
          <w:rFonts w:asciiTheme="minorHAnsi" w:hAnsiTheme="minorHAnsi"/>
          <w:sz w:val="22"/>
          <w:szCs w:val="22"/>
        </w:rPr>
        <w:t xml:space="preserve"> </w:t>
      </w:r>
      <w:r w:rsidRPr="00AF6E32">
        <w:rPr>
          <w:rFonts w:asciiTheme="minorHAnsi" w:hAnsiTheme="minorHAnsi"/>
          <w:sz w:val="22"/>
          <w:szCs w:val="22"/>
        </w:rPr>
        <w:t xml:space="preserve">hours, for a total estimated burden of </w:t>
      </w:r>
      <w:r w:rsidR="001E27CD" w:rsidRPr="00AF6E32">
        <w:rPr>
          <w:rFonts w:asciiTheme="minorHAnsi" w:hAnsiTheme="minorHAnsi"/>
          <w:sz w:val="22"/>
          <w:szCs w:val="22"/>
        </w:rPr>
        <w:t xml:space="preserve">783,000 </w:t>
      </w:r>
      <w:r w:rsidRPr="00AF6E32">
        <w:rPr>
          <w:rFonts w:asciiTheme="minorHAnsi" w:hAnsiTheme="minorHAnsi"/>
          <w:sz w:val="22"/>
          <w:szCs w:val="22"/>
        </w:rPr>
        <w:t>hours annually.</w:t>
      </w:r>
    </w:p>
    <w:p w14:paraId="69853B80" w14:textId="77777777" w:rsidR="00AF6E32" w:rsidRPr="00AF6E32" w:rsidRDefault="00AF6E32">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800"/>
        <w:gridCol w:w="1742"/>
        <w:gridCol w:w="1915"/>
        <w:gridCol w:w="1915"/>
        <w:gridCol w:w="1916"/>
      </w:tblGrid>
      <w:tr w:rsidR="00AF6E32" w:rsidRPr="00AF6E32" w14:paraId="5C23BC58" w14:textId="77777777" w:rsidTr="00004A2D">
        <w:tc>
          <w:tcPr>
            <w:tcW w:w="1800" w:type="dxa"/>
            <w:tcBorders>
              <w:bottom w:val="nil"/>
            </w:tcBorders>
          </w:tcPr>
          <w:p w14:paraId="5E5CBD26" w14:textId="269FB614" w:rsidR="00527BD0" w:rsidRPr="00AF6E32" w:rsidRDefault="00F457E6" w:rsidP="003418F2">
            <w:pPr>
              <w:rPr>
                <w:rFonts w:ascii="Arial Narrow" w:hAnsi="Arial Narrow"/>
                <w:sz w:val="18"/>
                <w:szCs w:val="18"/>
              </w:rPr>
            </w:pPr>
            <w:r w:rsidRPr="00AF6E32">
              <w:rPr>
                <w:rFonts w:ascii="Arial Narrow" w:hAnsi="Arial Narrow"/>
                <w:sz w:val="18"/>
                <w:szCs w:val="18"/>
              </w:rPr>
              <w:t xml:space="preserve">Rev. Proc. </w:t>
            </w:r>
            <w:r w:rsidR="0098730A" w:rsidRPr="00AF6E32">
              <w:rPr>
                <w:rFonts w:ascii="Arial Narrow" w:hAnsi="Arial Narrow"/>
                <w:sz w:val="18"/>
                <w:szCs w:val="18"/>
              </w:rPr>
              <w:t>Section 8.01</w:t>
            </w:r>
          </w:p>
          <w:p w14:paraId="445BBE6A" w14:textId="77777777" w:rsidR="0098730A" w:rsidRPr="00AF6E32" w:rsidRDefault="0098730A" w:rsidP="003418F2">
            <w:pPr>
              <w:rPr>
                <w:rFonts w:ascii="Arial Narrow" w:hAnsi="Arial Narrow"/>
                <w:sz w:val="18"/>
                <w:szCs w:val="18"/>
              </w:rPr>
            </w:pPr>
            <w:r w:rsidRPr="00AF6E32">
              <w:rPr>
                <w:rFonts w:ascii="Arial Narrow" w:hAnsi="Arial Narrow"/>
                <w:sz w:val="18"/>
                <w:szCs w:val="18"/>
              </w:rPr>
              <w:t>Section 8.02</w:t>
            </w:r>
          </w:p>
          <w:p w14:paraId="2FBEA8C0" w14:textId="6008D5CA" w:rsidR="0098730A" w:rsidRPr="00AF6E32" w:rsidRDefault="0098730A" w:rsidP="003418F2">
            <w:pPr>
              <w:rPr>
                <w:rFonts w:ascii="Arial Narrow" w:hAnsi="Arial Narrow"/>
                <w:sz w:val="18"/>
                <w:szCs w:val="18"/>
              </w:rPr>
            </w:pPr>
            <w:r w:rsidRPr="00AF6E32">
              <w:rPr>
                <w:rFonts w:ascii="Arial Narrow" w:hAnsi="Arial Narrow"/>
                <w:sz w:val="18"/>
                <w:szCs w:val="18"/>
              </w:rPr>
              <w:t>Section 18</w:t>
            </w:r>
          </w:p>
        </w:tc>
        <w:tc>
          <w:tcPr>
            <w:tcW w:w="1742" w:type="dxa"/>
          </w:tcPr>
          <w:p w14:paraId="405C935C"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Respondents</w:t>
            </w:r>
          </w:p>
        </w:tc>
        <w:tc>
          <w:tcPr>
            <w:tcW w:w="1915" w:type="dxa"/>
          </w:tcPr>
          <w:p w14:paraId="3A8E0072" w14:textId="4A79BA36" w:rsidR="00527BD0" w:rsidRPr="00AF6E32" w:rsidRDefault="00527BD0" w:rsidP="003418F2">
            <w:pPr>
              <w:rPr>
                <w:rFonts w:ascii="Arial Narrow" w:hAnsi="Arial Narrow"/>
                <w:sz w:val="18"/>
                <w:szCs w:val="18"/>
              </w:rPr>
            </w:pPr>
            <w:r w:rsidRPr="00AF6E32">
              <w:rPr>
                <w:rFonts w:ascii="Arial Narrow" w:hAnsi="Arial Narrow"/>
                <w:sz w:val="18"/>
                <w:szCs w:val="18"/>
              </w:rPr>
              <w:t>Responses per Respondent</w:t>
            </w:r>
          </w:p>
        </w:tc>
        <w:tc>
          <w:tcPr>
            <w:tcW w:w="1915" w:type="dxa"/>
          </w:tcPr>
          <w:p w14:paraId="74B3EEF3"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Time per response</w:t>
            </w:r>
          </w:p>
        </w:tc>
        <w:tc>
          <w:tcPr>
            <w:tcW w:w="1916" w:type="dxa"/>
          </w:tcPr>
          <w:p w14:paraId="35E2E2CE"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Total burden</w:t>
            </w:r>
          </w:p>
        </w:tc>
      </w:tr>
      <w:tr w:rsidR="00AF6E32" w:rsidRPr="00AF6E32" w14:paraId="50387D1C" w14:textId="77777777" w:rsidTr="00004A2D">
        <w:tc>
          <w:tcPr>
            <w:tcW w:w="1800" w:type="dxa"/>
            <w:tcBorders>
              <w:top w:val="nil"/>
            </w:tcBorders>
          </w:tcPr>
          <w:p w14:paraId="61FD6F0F" w14:textId="3A67B9A0" w:rsidR="00527BD0" w:rsidRPr="00AF6E32" w:rsidRDefault="00527BD0" w:rsidP="00527BD0">
            <w:pPr>
              <w:rPr>
                <w:rFonts w:ascii="Arial Narrow" w:hAnsi="Arial Narrow"/>
                <w:sz w:val="18"/>
                <w:szCs w:val="18"/>
              </w:rPr>
            </w:pPr>
            <w:r w:rsidRPr="00AF6E32">
              <w:rPr>
                <w:rFonts w:ascii="Arial Narrow" w:hAnsi="Arial Narrow"/>
                <w:sz w:val="18"/>
                <w:szCs w:val="18"/>
              </w:rPr>
              <w:t xml:space="preserve"> </w:t>
            </w:r>
          </w:p>
        </w:tc>
        <w:tc>
          <w:tcPr>
            <w:tcW w:w="1742" w:type="dxa"/>
          </w:tcPr>
          <w:p w14:paraId="529A6C4A" w14:textId="35638372" w:rsidR="00527BD0" w:rsidRPr="00AF6E32" w:rsidRDefault="00527BD0" w:rsidP="003418F2">
            <w:pPr>
              <w:rPr>
                <w:rFonts w:ascii="Arial Narrow" w:hAnsi="Arial Narrow"/>
                <w:sz w:val="18"/>
                <w:szCs w:val="18"/>
              </w:rPr>
            </w:pPr>
            <w:r w:rsidRPr="00AF6E32">
              <w:rPr>
                <w:rFonts w:ascii="Arial Narrow" w:hAnsi="Arial Narrow"/>
                <w:sz w:val="18"/>
                <w:szCs w:val="18"/>
              </w:rPr>
              <w:t>4,350</w:t>
            </w:r>
          </w:p>
        </w:tc>
        <w:tc>
          <w:tcPr>
            <w:tcW w:w="1915" w:type="dxa"/>
          </w:tcPr>
          <w:p w14:paraId="0939248F" w14:textId="770E3281" w:rsidR="00527BD0" w:rsidRPr="00AF6E32" w:rsidRDefault="00527BD0" w:rsidP="003418F2">
            <w:pPr>
              <w:rPr>
                <w:rFonts w:ascii="Arial Narrow" w:hAnsi="Arial Narrow"/>
                <w:sz w:val="18"/>
                <w:szCs w:val="18"/>
              </w:rPr>
            </w:pPr>
            <w:r w:rsidRPr="00AF6E32">
              <w:rPr>
                <w:rFonts w:ascii="Arial Narrow" w:hAnsi="Arial Narrow"/>
                <w:sz w:val="18"/>
                <w:szCs w:val="18"/>
              </w:rPr>
              <w:t>1</w:t>
            </w:r>
          </w:p>
        </w:tc>
        <w:tc>
          <w:tcPr>
            <w:tcW w:w="1915" w:type="dxa"/>
          </w:tcPr>
          <w:p w14:paraId="703C34F9" w14:textId="71B0006F" w:rsidR="00527BD0" w:rsidRPr="00AF6E32" w:rsidRDefault="00527BD0" w:rsidP="003418F2">
            <w:pPr>
              <w:rPr>
                <w:rFonts w:ascii="Arial Narrow" w:hAnsi="Arial Narrow"/>
                <w:sz w:val="18"/>
                <w:szCs w:val="18"/>
              </w:rPr>
            </w:pPr>
            <w:proofErr w:type="gramStart"/>
            <w:r w:rsidRPr="00AF6E32">
              <w:rPr>
                <w:rFonts w:ascii="Arial Narrow" w:hAnsi="Arial Narrow"/>
                <w:sz w:val="18"/>
                <w:szCs w:val="18"/>
              </w:rPr>
              <w:t>180 hrs.</w:t>
            </w:r>
            <w:proofErr w:type="gramEnd"/>
          </w:p>
        </w:tc>
        <w:tc>
          <w:tcPr>
            <w:tcW w:w="1916" w:type="dxa"/>
          </w:tcPr>
          <w:p w14:paraId="50C9290B" w14:textId="43BABECF" w:rsidR="00527BD0" w:rsidRPr="00AF6E32" w:rsidRDefault="00527BD0" w:rsidP="003418F2">
            <w:pPr>
              <w:rPr>
                <w:rFonts w:ascii="Arial Narrow" w:hAnsi="Arial Narrow"/>
                <w:sz w:val="18"/>
                <w:szCs w:val="18"/>
              </w:rPr>
            </w:pPr>
            <w:proofErr w:type="gramStart"/>
            <w:r w:rsidRPr="00AF6E32">
              <w:rPr>
                <w:rFonts w:ascii="Arial Narrow" w:hAnsi="Arial Narrow"/>
                <w:sz w:val="18"/>
                <w:szCs w:val="18"/>
              </w:rPr>
              <w:t>783,000 hrs.</w:t>
            </w:r>
            <w:proofErr w:type="gramEnd"/>
          </w:p>
        </w:tc>
      </w:tr>
    </w:tbl>
    <w:p w14:paraId="6183D7F2" w14:textId="77777777" w:rsidR="008B62EB" w:rsidRPr="00AF6E32" w:rsidRDefault="008B62EB">
      <w:pPr>
        <w:ind w:left="720"/>
        <w:rPr>
          <w:rFonts w:asciiTheme="minorHAnsi" w:hAnsiTheme="minorHAnsi"/>
          <w:sz w:val="22"/>
          <w:szCs w:val="22"/>
        </w:rPr>
      </w:pPr>
    </w:p>
    <w:p w14:paraId="54D44592" w14:textId="77777777" w:rsidR="00004A2D" w:rsidRPr="00AF6E32" w:rsidRDefault="00004A2D" w:rsidP="009458D5">
      <w:pPr>
        <w:ind w:left="720"/>
        <w:rPr>
          <w:rFonts w:asciiTheme="minorHAnsi" w:hAnsiTheme="minorHAnsi" w:cs="Courier New"/>
          <w:sz w:val="22"/>
          <w:szCs w:val="22"/>
        </w:rPr>
      </w:pPr>
    </w:p>
    <w:p w14:paraId="1A005AC6" w14:textId="0370F894" w:rsidR="00AD3741" w:rsidRDefault="00D2211A" w:rsidP="009458D5">
      <w:pPr>
        <w:ind w:left="720"/>
        <w:rPr>
          <w:rFonts w:asciiTheme="minorHAnsi" w:hAnsiTheme="minorHAnsi" w:cs="Courier New"/>
          <w:sz w:val="22"/>
          <w:szCs w:val="22"/>
        </w:rPr>
      </w:pPr>
      <w:r w:rsidRPr="00AF6E32">
        <w:rPr>
          <w:rFonts w:asciiTheme="minorHAnsi" w:hAnsiTheme="minorHAnsi" w:cs="Courier New"/>
          <w:sz w:val="22"/>
          <w:szCs w:val="22"/>
        </w:rPr>
        <w:t>Form 4461, Form 4461-A</w:t>
      </w:r>
      <w:r w:rsidR="00936408" w:rsidRPr="00AF6E32">
        <w:rPr>
          <w:rFonts w:asciiTheme="minorHAnsi" w:hAnsiTheme="minorHAnsi" w:cs="Courier New"/>
          <w:sz w:val="22"/>
          <w:szCs w:val="22"/>
        </w:rPr>
        <w:t>,</w:t>
      </w:r>
      <w:r w:rsidRPr="00AF6E32">
        <w:rPr>
          <w:rFonts w:asciiTheme="minorHAnsi" w:hAnsiTheme="minorHAnsi" w:cs="Courier New"/>
          <w:sz w:val="22"/>
          <w:szCs w:val="22"/>
        </w:rPr>
        <w:t xml:space="preserve"> </w:t>
      </w:r>
      <w:r w:rsidR="00936408" w:rsidRPr="00AF6E32">
        <w:rPr>
          <w:rFonts w:asciiTheme="minorHAnsi" w:hAnsiTheme="minorHAnsi" w:cs="Courier New"/>
          <w:sz w:val="22"/>
          <w:szCs w:val="22"/>
        </w:rPr>
        <w:t>and</w:t>
      </w:r>
      <w:r w:rsidRPr="00AF6E32">
        <w:rPr>
          <w:rFonts w:asciiTheme="minorHAnsi" w:hAnsiTheme="minorHAnsi" w:cs="Courier New"/>
          <w:sz w:val="22"/>
          <w:szCs w:val="22"/>
        </w:rPr>
        <w:t xml:space="preserve"> Form 4461-B </w:t>
      </w:r>
      <w:r w:rsidR="00936408" w:rsidRPr="00AF6E32">
        <w:rPr>
          <w:rFonts w:asciiTheme="minorHAnsi" w:hAnsiTheme="minorHAnsi" w:cs="Courier New"/>
          <w:sz w:val="22"/>
          <w:szCs w:val="22"/>
        </w:rPr>
        <w:t>are</w:t>
      </w:r>
      <w:r w:rsidRPr="00AF6E32">
        <w:rPr>
          <w:rFonts w:asciiTheme="minorHAnsi" w:hAnsiTheme="minorHAnsi" w:cs="Courier New"/>
          <w:sz w:val="22"/>
          <w:szCs w:val="22"/>
        </w:rPr>
        <w:t xml:space="preserve"> use</w:t>
      </w:r>
      <w:r w:rsidR="00936408" w:rsidRPr="00AF6E32">
        <w:rPr>
          <w:rFonts w:asciiTheme="minorHAnsi" w:hAnsiTheme="minorHAnsi" w:cs="Courier New"/>
          <w:sz w:val="22"/>
          <w:szCs w:val="22"/>
        </w:rPr>
        <w:t>d</w:t>
      </w:r>
      <w:r w:rsidRPr="00AF6E32">
        <w:rPr>
          <w:rFonts w:asciiTheme="minorHAnsi" w:hAnsiTheme="minorHAnsi" w:cs="Courier New"/>
          <w:sz w:val="22"/>
          <w:szCs w:val="22"/>
        </w:rPr>
        <w:t xml:space="preserve"> by </w:t>
      </w:r>
      <w:r w:rsidR="00936408" w:rsidRPr="00AF6E32">
        <w:rPr>
          <w:rFonts w:asciiTheme="minorHAnsi" w:hAnsiTheme="minorHAnsi" w:cs="Courier New"/>
          <w:sz w:val="22"/>
          <w:szCs w:val="22"/>
        </w:rPr>
        <w:t>providers</w:t>
      </w:r>
      <w:r w:rsidRPr="00AF6E32">
        <w:rPr>
          <w:rFonts w:asciiTheme="minorHAnsi" w:hAnsiTheme="minorHAnsi" w:cs="Courier New"/>
          <w:sz w:val="22"/>
          <w:szCs w:val="22"/>
        </w:rPr>
        <w:t xml:space="preserve"> to apply for approval of their employee benefit plans under section 401(a).  </w:t>
      </w:r>
      <w:r w:rsidR="008B62EB" w:rsidRPr="00AF6E32">
        <w:rPr>
          <w:rFonts w:asciiTheme="minorHAnsi" w:hAnsiTheme="minorHAnsi" w:cs="Courier New"/>
          <w:sz w:val="22"/>
          <w:szCs w:val="22"/>
        </w:rPr>
        <w:t xml:space="preserve">Section 9.03 requires that </w:t>
      </w:r>
      <w:r w:rsidR="00936408" w:rsidRPr="00AF6E32">
        <w:rPr>
          <w:rFonts w:asciiTheme="minorHAnsi" w:hAnsiTheme="minorHAnsi" w:cs="Courier New"/>
          <w:sz w:val="22"/>
          <w:szCs w:val="22"/>
        </w:rPr>
        <w:t>providers</w:t>
      </w:r>
      <w:r w:rsidR="008B62EB" w:rsidRPr="00AF6E32">
        <w:rPr>
          <w:rFonts w:asciiTheme="minorHAnsi" w:hAnsiTheme="minorHAnsi" w:cs="Courier New"/>
          <w:sz w:val="22"/>
          <w:szCs w:val="22"/>
        </w:rPr>
        <w:t xml:space="preserve"> of plans that request an opinion letter</w:t>
      </w:r>
      <w:r w:rsidR="00AD3741" w:rsidRPr="00AF6E32">
        <w:rPr>
          <w:rFonts w:asciiTheme="minorHAnsi" w:hAnsiTheme="minorHAnsi" w:cs="Courier New"/>
          <w:sz w:val="22"/>
          <w:szCs w:val="22"/>
        </w:rPr>
        <w:t xml:space="preserve"> complete</w:t>
      </w:r>
      <w:r w:rsidRPr="00AF6E32">
        <w:rPr>
          <w:rFonts w:asciiTheme="minorHAnsi" w:hAnsiTheme="minorHAnsi" w:cs="Courier New"/>
          <w:sz w:val="22"/>
          <w:szCs w:val="22"/>
        </w:rPr>
        <w:t xml:space="preserve"> these forms and submit them to the Service along with the </w:t>
      </w:r>
      <w:r w:rsidRPr="00AF6E32">
        <w:rPr>
          <w:rFonts w:asciiTheme="minorHAnsi" w:hAnsiTheme="minorHAnsi" w:cs="Courier New"/>
          <w:sz w:val="22"/>
          <w:szCs w:val="22"/>
        </w:rPr>
        <w:lastRenderedPageBreak/>
        <w:t>plan</w:t>
      </w:r>
      <w:r w:rsidR="00AD3741" w:rsidRPr="00AF6E32">
        <w:rPr>
          <w:rFonts w:asciiTheme="minorHAnsi" w:hAnsiTheme="minorHAnsi" w:cs="Courier New"/>
          <w:sz w:val="22"/>
          <w:szCs w:val="22"/>
        </w:rPr>
        <w:t xml:space="preserve">. </w:t>
      </w:r>
      <w:r w:rsidR="00F64246" w:rsidRPr="00AF6E32">
        <w:rPr>
          <w:rFonts w:asciiTheme="minorHAnsi" w:hAnsiTheme="minorHAnsi" w:cs="Courier New"/>
          <w:sz w:val="22"/>
          <w:szCs w:val="22"/>
        </w:rPr>
        <w:t xml:space="preserve">We estimate that </w:t>
      </w:r>
      <w:r w:rsidRPr="00AF6E32">
        <w:rPr>
          <w:rFonts w:asciiTheme="minorHAnsi" w:hAnsiTheme="minorHAnsi" w:cs="Courier New"/>
          <w:sz w:val="22"/>
          <w:szCs w:val="22"/>
        </w:rPr>
        <w:t xml:space="preserve">this requirement will </w:t>
      </w:r>
      <w:r w:rsidR="00C2706B" w:rsidRPr="00AF6E32">
        <w:rPr>
          <w:rFonts w:asciiTheme="minorHAnsi" w:hAnsiTheme="minorHAnsi" w:cs="Courier New"/>
          <w:sz w:val="22"/>
          <w:szCs w:val="22"/>
        </w:rPr>
        <w:t xml:space="preserve">result in </w:t>
      </w:r>
      <w:r w:rsidR="00F64246" w:rsidRPr="00AF6E32">
        <w:rPr>
          <w:rFonts w:asciiTheme="minorHAnsi" w:hAnsiTheme="minorHAnsi" w:cs="Courier New"/>
          <w:sz w:val="22"/>
          <w:szCs w:val="22"/>
        </w:rPr>
        <w:t xml:space="preserve">6550 responses with a total estimated burden of </w:t>
      </w:r>
      <w:r w:rsidRPr="00AF6E32">
        <w:rPr>
          <w:rFonts w:asciiTheme="minorHAnsi" w:hAnsiTheme="minorHAnsi" w:cs="Courier New"/>
          <w:sz w:val="22"/>
          <w:szCs w:val="22"/>
        </w:rPr>
        <w:t>14,525 hours.</w:t>
      </w:r>
      <w:r w:rsidR="00822700" w:rsidRPr="00AF6E32">
        <w:rPr>
          <w:rFonts w:asciiTheme="minorHAnsi" w:hAnsiTheme="minorHAnsi" w:cs="Courier New"/>
          <w:sz w:val="22"/>
          <w:szCs w:val="22"/>
        </w:rPr>
        <w:t xml:space="preserve"> Currently, each of these forms has its own unique OMB number; however, as the revenue procedure refers to these forms, we are incorporating the burden estimates of the forms into this </w:t>
      </w:r>
      <w:r w:rsidR="009458D5" w:rsidRPr="00AF6E32">
        <w:rPr>
          <w:rFonts w:asciiTheme="minorHAnsi" w:hAnsiTheme="minorHAnsi" w:cs="Courier New"/>
          <w:sz w:val="22"/>
          <w:szCs w:val="22"/>
        </w:rPr>
        <w:t>collection</w:t>
      </w:r>
      <w:r w:rsidR="00822700" w:rsidRPr="00AF6E32">
        <w:rPr>
          <w:rFonts w:asciiTheme="minorHAnsi" w:hAnsiTheme="minorHAnsi" w:cs="Courier New"/>
          <w:sz w:val="22"/>
          <w:szCs w:val="22"/>
        </w:rPr>
        <w:t>.</w:t>
      </w:r>
    </w:p>
    <w:p w14:paraId="374890AA" w14:textId="77777777" w:rsidR="00AF6E32" w:rsidRPr="00AF6E32" w:rsidRDefault="00AF6E32" w:rsidP="009458D5">
      <w:pPr>
        <w:ind w:left="720"/>
        <w:rPr>
          <w:rFonts w:asciiTheme="minorHAnsi" w:hAnsiTheme="minorHAnsi" w:cs="Courier New"/>
          <w:sz w:val="22"/>
          <w:szCs w:val="22"/>
        </w:rPr>
      </w:pPr>
    </w:p>
    <w:tbl>
      <w:tblPr>
        <w:tblStyle w:val="TableGrid"/>
        <w:tblW w:w="0" w:type="auto"/>
        <w:tblInd w:w="558" w:type="dxa"/>
        <w:tblLook w:val="04A0" w:firstRow="1" w:lastRow="0" w:firstColumn="1" w:lastColumn="0" w:noHBand="0" w:noVBand="1"/>
      </w:tblPr>
      <w:tblGrid>
        <w:gridCol w:w="1935"/>
        <w:gridCol w:w="1801"/>
        <w:gridCol w:w="1705"/>
        <w:gridCol w:w="1669"/>
        <w:gridCol w:w="1908"/>
      </w:tblGrid>
      <w:tr w:rsidR="00AF6E32" w:rsidRPr="00AF6E32" w14:paraId="0F68857B" w14:textId="77777777" w:rsidTr="009458D5">
        <w:tc>
          <w:tcPr>
            <w:tcW w:w="1935" w:type="dxa"/>
          </w:tcPr>
          <w:p w14:paraId="0BCE5A97" w14:textId="40E5C414" w:rsidR="009458D5" w:rsidRPr="00AF6E32" w:rsidRDefault="0031472D" w:rsidP="003418F2">
            <w:pPr>
              <w:rPr>
                <w:rFonts w:ascii="Arial Narrow" w:hAnsi="Arial Narrow" w:cs="Courier New"/>
                <w:sz w:val="18"/>
                <w:szCs w:val="18"/>
              </w:rPr>
            </w:pPr>
            <w:r w:rsidRPr="00AF6E32">
              <w:rPr>
                <w:rFonts w:ascii="Arial Narrow" w:hAnsi="Arial Narrow" w:cs="Courier New"/>
                <w:sz w:val="18"/>
                <w:szCs w:val="18"/>
              </w:rPr>
              <w:t>Forms</w:t>
            </w:r>
          </w:p>
        </w:tc>
        <w:tc>
          <w:tcPr>
            <w:tcW w:w="1801" w:type="dxa"/>
          </w:tcPr>
          <w:p w14:paraId="067612A0" w14:textId="3711ED87"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Respondents</w:t>
            </w:r>
          </w:p>
        </w:tc>
        <w:tc>
          <w:tcPr>
            <w:tcW w:w="1705" w:type="dxa"/>
          </w:tcPr>
          <w:p w14:paraId="7AB52757" w14:textId="66EF7094"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Responses per Respondent</w:t>
            </w:r>
          </w:p>
        </w:tc>
        <w:tc>
          <w:tcPr>
            <w:tcW w:w="1669" w:type="dxa"/>
          </w:tcPr>
          <w:p w14:paraId="12B31CAF" w14:textId="177CC8A5"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Time per Response</w:t>
            </w:r>
          </w:p>
        </w:tc>
        <w:tc>
          <w:tcPr>
            <w:tcW w:w="1908" w:type="dxa"/>
          </w:tcPr>
          <w:p w14:paraId="7C602496" w14:textId="08D7D6DC"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Total burden</w:t>
            </w:r>
          </w:p>
        </w:tc>
      </w:tr>
      <w:tr w:rsidR="00AF6E32" w:rsidRPr="00AF6E32" w14:paraId="787B44B4" w14:textId="77777777" w:rsidTr="009458D5">
        <w:tc>
          <w:tcPr>
            <w:tcW w:w="1935" w:type="dxa"/>
          </w:tcPr>
          <w:p w14:paraId="37D5843E" w14:textId="77777777" w:rsidR="009458D5" w:rsidRPr="00AF6E32" w:rsidRDefault="009458D5" w:rsidP="003418F2">
            <w:pPr>
              <w:rPr>
                <w:rFonts w:ascii="Arial Narrow" w:hAnsi="Arial Narrow" w:cs="Courier New"/>
                <w:sz w:val="18"/>
                <w:szCs w:val="18"/>
              </w:rPr>
            </w:pPr>
          </w:p>
        </w:tc>
        <w:tc>
          <w:tcPr>
            <w:tcW w:w="1801" w:type="dxa"/>
          </w:tcPr>
          <w:p w14:paraId="153F2015" w14:textId="77777777" w:rsidR="009458D5" w:rsidRPr="00AF6E32" w:rsidRDefault="009458D5" w:rsidP="003418F2">
            <w:pPr>
              <w:rPr>
                <w:rFonts w:ascii="Arial Narrow" w:hAnsi="Arial Narrow" w:cs="Courier New"/>
                <w:sz w:val="18"/>
                <w:szCs w:val="18"/>
              </w:rPr>
            </w:pPr>
          </w:p>
        </w:tc>
        <w:tc>
          <w:tcPr>
            <w:tcW w:w="1705" w:type="dxa"/>
          </w:tcPr>
          <w:p w14:paraId="31BE8C23" w14:textId="77777777" w:rsidR="009458D5" w:rsidRPr="00AF6E32" w:rsidRDefault="009458D5" w:rsidP="003418F2">
            <w:pPr>
              <w:rPr>
                <w:rFonts w:ascii="Arial Narrow" w:hAnsi="Arial Narrow" w:cs="Courier New"/>
                <w:sz w:val="18"/>
                <w:szCs w:val="18"/>
              </w:rPr>
            </w:pPr>
          </w:p>
        </w:tc>
        <w:tc>
          <w:tcPr>
            <w:tcW w:w="1669" w:type="dxa"/>
          </w:tcPr>
          <w:p w14:paraId="7612F1A1" w14:textId="77777777" w:rsidR="009458D5" w:rsidRPr="00AF6E32" w:rsidRDefault="009458D5" w:rsidP="003418F2">
            <w:pPr>
              <w:rPr>
                <w:rFonts w:ascii="Arial Narrow" w:hAnsi="Arial Narrow" w:cs="Courier New"/>
                <w:sz w:val="18"/>
                <w:szCs w:val="18"/>
              </w:rPr>
            </w:pPr>
          </w:p>
        </w:tc>
        <w:tc>
          <w:tcPr>
            <w:tcW w:w="1908" w:type="dxa"/>
          </w:tcPr>
          <w:p w14:paraId="4FCCA24D" w14:textId="77777777" w:rsidR="009458D5" w:rsidRPr="00AF6E32" w:rsidRDefault="009458D5" w:rsidP="003418F2">
            <w:pPr>
              <w:rPr>
                <w:rFonts w:ascii="Arial Narrow" w:hAnsi="Arial Narrow" w:cs="Courier New"/>
                <w:sz w:val="18"/>
                <w:szCs w:val="18"/>
              </w:rPr>
            </w:pPr>
          </w:p>
        </w:tc>
      </w:tr>
      <w:tr w:rsidR="00AF6E32" w:rsidRPr="00AF6E32" w14:paraId="2A9A1FC5" w14:textId="77777777" w:rsidTr="009458D5">
        <w:tc>
          <w:tcPr>
            <w:tcW w:w="1935" w:type="dxa"/>
          </w:tcPr>
          <w:p w14:paraId="2C079A57" w14:textId="6625B5FA"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Form 4461</w:t>
            </w:r>
          </w:p>
        </w:tc>
        <w:tc>
          <w:tcPr>
            <w:tcW w:w="1801" w:type="dxa"/>
          </w:tcPr>
          <w:p w14:paraId="3AB8B321" w14:textId="52C2A791" w:rsidR="009458D5" w:rsidRPr="00AF6E32" w:rsidRDefault="00F25448" w:rsidP="003418F2">
            <w:pPr>
              <w:rPr>
                <w:rFonts w:ascii="Arial Narrow" w:hAnsi="Arial Narrow" w:cs="Courier New"/>
                <w:sz w:val="18"/>
                <w:szCs w:val="18"/>
              </w:rPr>
            </w:pPr>
            <w:r w:rsidRPr="00AF6E32">
              <w:rPr>
                <w:rFonts w:ascii="Arial Narrow" w:hAnsi="Arial Narrow" w:cs="Courier New"/>
                <w:sz w:val="18"/>
                <w:szCs w:val="18"/>
              </w:rPr>
              <w:t xml:space="preserve">  </w:t>
            </w:r>
            <w:r w:rsidR="009458D5" w:rsidRPr="00AF6E32">
              <w:rPr>
                <w:rFonts w:ascii="Arial Narrow" w:hAnsi="Arial Narrow" w:cs="Courier New"/>
                <w:sz w:val="18"/>
                <w:szCs w:val="18"/>
              </w:rPr>
              <w:t>450</w:t>
            </w:r>
          </w:p>
        </w:tc>
        <w:tc>
          <w:tcPr>
            <w:tcW w:w="1705" w:type="dxa"/>
          </w:tcPr>
          <w:p w14:paraId="5ABCC351" w14:textId="470098EB"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1</w:t>
            </w:r>
          </w:p>
        </w:tc>
        <w:tc>
          <w:tcPr>
            <w:tcW w:w="1669" w:type="dxa"/>
          </w:tcPr>
          <w:p w14:paraId="169DDB76" w14:textId="31564982" w:rsidR="009458D5" w:rsidRPr="00AF6E32" w:rsidRDefault="009458D5" w:rsidP="003418F2">
            <w:pPr>
              <w:rPr>
                <w:rFonts w:ascii="Arial Narrow" w:hAnsi="Arial Narrow" w:cs="Courier New"/>
                <w:sz w:val="18"/>
                <w:szCs w:val="18"/>
              </w:rPr>
            </w:pPr>
            <w:proofErr w:type="gramStart"/>
            <w:r w:rsidRPr="00AF6E32">
              <w:rPr>
                <w:rFonts w:ascii="Arial Narrow" w:hAnsi="Arial Narrow" w:cs="Courier New"/>
                <w:sz w:val="18"/>
                <w:szCs w:val="18"/>
              </w:rPr>
              <w:t>15.50 hrs.</w:t>
            </w:r>
            <w:proofErr w:type="gramEnd"/>
          </w:p>
        </w:tc>
        <w:tc>
          <w:tcPr>
            <w:tcW w:w="1908" w:type="dxa"/>
          </w:tcPr>
          <w:p w14:paraId="40F8F9F6" w14:textId="7062026A" w:rsidR="009458D5" w:rsidRPr="00AF6E32" w:rsidRDefault="00F25448" w:rsidP="003418F2">
            <w:pPr>
              <w:rPr>
                <w:rFonts w:ascii="Arial Narrow" w:hAnsi="Arial Narrow" w:cs="Courier New"/>
                <w:sz w:val="18"/>
                <w:szCs w:val="18"/>
              </w:rPr>
            </w:pPr>
            <w:r w:rsidRPr="00AF6E32">
              <w:rPr>
                <w:rFonts w:ascii="Arial Narrow" w:hAnsi="Arial Narrow" w:cs="Courier New"/>
                <w:sz w:val="18"/>
                <w:szCs w:val="18"/>
              </w:rPr>
              <w:t xml:space="preserve"> </w:t>
            </w:r>
            <w:proofErr w:type="gramStart"/>
            <w:r w:rsidR="009458D5" w:rsidRPr="00AF6E32">
              <w:rPr>
                <w:rFonts w:ascii="Arial Narrow" w:hAnsi="Arial Narrow" w:cs="Courier New"/>
                <w:sz w:val="18"/>
                <w:szCs w:val="18"/>
              </w:rPr>
              <w:t>6,975 hrs.</w:t>
            </w:r>
            <w:proofErr w:type="gramEnd"/>
          </w:p>
        </w:tc>
      </w:tr>
      <w:tr w:rsidR="00AF6E32" w:rsidRPr="00AF6E32" w14:paraId="002D1FFD" w14:textId="77777777" w:rsidTr="009458D5">
        <w:tc>
          <w:tcPr>
            <w:tcW w:w="1935" w:type="dxa"/>
          </w:tcPr>
          <w:p w14:paraId="75C19464" w14:textId="0D15C8C2"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Form 4461-A</w:t>
            </w:r>
          </w:p>
        </w:tc>
        <w:tc>
          <w:tcPr>
            <w:tcW w:w="1801" w:type="dxa"/>
          </w:tcPr>
          <w:p w14:paraId="1E66B9A4" w14:textId="7B039045" w:rsidR="009458D5" w:rsidRPr="00AF6E32" w:rsidRDefault="00F25448" w:rsidP="003418F2">
            <w:pPr>
              <w:rPr>
                <w:rFonts w:ascii="Arial Narrow" w:hAnsi="Arial Narrow" w:cs="Courier New"/>
                <w:sz w:val="18"/>
                <w:szCs w:val="18"/>
              </w:rPr>
            </w:pPr>
            <w:r w:rsidRPr="00AF6E32">
              <w:rPr>
                <w:rFonts w:ascii="Arial Narrow" w:hAnsi="Arial Narrow" w:cs="Courier New"/>
                <w:sz w:val="18"/>
                <w:szCs w:val="18"/>
              </w:rPr>
              <w:t xml:space="preserve">  </w:t>
            </w:r>
            <w:r w:rsidR="009458D5" w:rsidRPr="00AF6E32">
              <w:rPr>
                <w:rFonts w:ascii="Arial Narrow" w:hAnsi="Arial Narrow" w:cs="Courier New"/>
                <w:sz w:val="18"/>
                <w:szCs w:val="18"/>
              </w:rPr>
              <w:t>100</w:t>
            </w:r>
          </w:p>
        </w:tc>
        <w:tc>
          <w:tcPr>
            <w:tcW w:w="1705" w:type="dxa"/>
          </w:tcPr>
          <w:p w14:paraId="65EC7F0D" w14:textId="4C75F6DB"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1</w:t>
            </w:r>
          </w:p>
        </w:tc>
        <w:tc>
          <w:tcPr>
            <w:tcW w:w="1669" w:type="dxa"/>
          </w:tcPr>
          <w:p w14:paraId="3CD2F196" w14:textId="40DBF783" w:rsidR="009458D5" w:rsidRPr="00AF6E32" w:rsidRDefault="009458D5" w:rsidP="003418F2">
            <w:pPr>
              <w:rPr>
                <w:rFonts w:ascii="Arial Narrow" w:hAnsi="Arial Narrow" w:cs="Courier New"/>
                <w:sz w:val="18"/>
                <w:szCs w:val="18"/>
              </w:rPr>
            </w:pPr>
            <w:proofErr w:type="gramStart"/>
            <w:r w:rsidRPr="00AF6E32">
              <w:rPr>
                <w:rFonts w:ascii="Arial Narrow" w:hAnsi="Arial Narrow" w:cs="Courier New"/>
                <w:sz w:val="18"/>
                <w:szCs w:val="18"/>
              </w:rPr>
              <w:t>15.50 hrs.</w:t>
            </w:r>
            <w:proofErr w:type="gramEnd"/>
          </w:p>
        </w:tc>
        <w:tc>
          <w:tcPr>
            <w:tcW w:w="1908" w:type="dxa"/>
          </w:tcPr>
          <w:p w14:paraId="038AD57F" w14:textId="0044F46F" w:rsidR="009458D5" w:rsidRPr="00AF6E32" w:rsidRDefault="00F25448" w:rsidP="003418F2">
            <w:pPr>
              <w:rPr>
                <w:rFonts w:ascii="Arial Narrow" w:hAnsi="Arial Narrow" w:cs="Courier New"/>
                <w:sz w:val="18"/>
                <w:szCs w:val="18"/>
              </w:rPr>
            </w:pPr>
            <w:r w:rsidRPr="00AF6E32">
              <w:rPr>
                <w:rFonts w:ascii="Arial Narrow" w:hAnsi="Arial Narrow" w:cs="Courier New"/>
                <w:sz w:val="18"/>
                <w:szCs w:val="18"/>
              </w:rPr>
              <w:t xml:space="preserve"> </w:t>
            </w:r>
            <w:proofErr w:type="gramStart"/>
            <w:r w:rsidR="009458D5" w:rsidRPr="00AF6E32">
              <w:rPr>
                <w:rFonts w:ascii="Arial Narrow" w:hAnsi="Arial Narrow" w:cs="Courier New"/>
                <w:sz w:val="18"/>
                <w:szCs w:val="18"/>
              </w:rPr>
              <w:t>1,550 hrs.</w:t>
            </w:r>
            <w:proofErr w:type="gramEnd"/>
          </w:p>
        </w:tc>
      </w:tr>
      <w:tr w:rsidR="00AF6E32" w:rsidRPr="00AF6E32" w14:paraId="6CED5175" w14:textId="77777777" w:rsidTr="009458D5">
        <w:tc>
          <w:tcPr>
            <w:tcW w:w="1935" w:type="dxa"/>
          </w:tcPr>
          <w:p w14:paraId="5E30DEE3" w14:textId="1EA940E2"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Form 4461-B</w:t>
            </w:r>
          </w:p>
        </w:tc>
        <w:tc>
          <w:tcPr>
            <w:tcW w:w="1801" w:type="dxa"/>
          </w:tcPr>
          <w:p w14:paraId="13E38A3A" w14:textId="7983CBC6"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6,000</w:t>
            </w:r>
          </w:p>
        </w:tc>
        <w:tc>
          <w:tcPr>
            <w:tcW w:w="1705" w:type="dxa"/>
          </w:tcPr>
          <w:p w14:paraId="1B3A9A2E" w14:textId="604D493B"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1</w:t>
            </w:r>
          </w:p>
        </w:tc>
        <w:tc>
          <w:tcPr>
            <w:tcW w:w="1669" w:type="dxa"/>
          </w:tcPr>
          <w:p w14:paraId="323998A6" w14:textId="0062E9BD"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1 hr.</w:t>
            </w:r>
          </w:p>
        </w:tc>
        <w:tc>
          <w:tcPr>
            <w:tcW w:w="1908" w:type="dxa"/>
          </w:tcPr>
          <w:p w14:paraId="66A1EC26" w14:textId="660F9E9E" w:rsidR="009458D5" w:rsidRPr="00AF6E32" w:rsidRDefault="00F25448" w:rsidP="003418F2">
            <w:pPr>
              <w:rPr>
                <w:rFonts w:ascii="Arial Narrow" w:hAnsi="Arial Narrow" w:cs="Courier New"/>
                <w:sz w:val="18"/>
                <w:szCs w:val="18"/>
              </w:rPr>
            </w:pPr>
            <w:r w:rsidRPr="00AF6E32">
              <w:rPr>
                <w:rFonts w:ascii="Arial Narrow" w:hAnsi="Arial Narrow" w:cs="Courier New"/>
                <w:sz w:val="18"/>
                <w:szCs w:val="18"/>
              </w:rPr>
              <w:t xml:space="preserve"> </w:t>
            </w:r>
            <w:proofErr w:type="gramStart"/>
            <w:r w:rsidR="009458D5" w:rsidRPr="00AF6E32">
              <w:rPr>
                <w:rFonts w:ascii="Arial Narrow" w:hAnsi="Arial Narrow" w:cs="Courier New"/>
                <w:sz w:val="18"/>
                <w:szCs w:val="18"/>
              </w:rPr>
              <w:t>6,000 hrs.</w:t>
            </w:r>
            <w:proofErr w:type="gramEnd"/>
          </w:p>
        </w:tc>
      </w:tr>
      <w:tr w:rsidR="00AF6E32" w:rsidRPr="00AF6E32" w14:paraId="502D42F6" w14:textId="77777777" w:rsidTr="009458D5">
        <w:tc>
          <w:tcPr>
            <w:tcW w:w="1935" w:type="dxa"/>
          </w:tcPr>
          <w:p w14:paraId="675AE5AB" w14:textId="75C27A96" w:rsidR="009458D5" w:rsidRPr="00AF6E32" w:rsidRDefault="0031472D" w:rsidP="003418F2">
            <w:pPr>
              <w:rPr>
                <w:rFonts w:ascii="Arial Narrow" w:hAnsi="Arial Narrow" w:cs="Courier New"/>
                <w:sz w:val="18"/>
                <w:szCs w:val="18"/>
              </w:rPr>
            </w:pPr>
            <w:r w:rsidRPr="00AF6E32">
              <w:rPr>
                <w:rFonts w:ascii="Arial Narrow" w:hAnsi="Arial Narrow" w:cs="Courier New"/>
                <w:sz w:val="18"/>
                <w:szCs w:val="18"/>
              </w:rPr>
              <w:t>Total</w:t>
            </w:r>
          </w:p>
        </w:tc>
        <w:tc>
          <w:tcPr>
            <w:tcW w:w="1801" w:type="dxa"/>
          </w:tcPr>
          <w:p w14:paraId="2529CE2E" w14:textId="6387A5A7"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6,550</w:t>
            </w:r>
          </w:p>
        </w:tc>
        <w:tc>
          <w:tcPr>
            <w:tcW w:w="1705" w:type="dxa"/>
          </w:tcPr>
          <w:p w14:paraId="4FD77441" w14:textId="77777777" w:rsidR="009458D5" w:rsidRPr="00AF6E32" w:rsidRDefault="009458D5" w:rsidP="003418F2">
            <w:pPr>
              <w:rPr>
                <w:rFonts w:ascii="Arial Narrow" w:hAnsi="Arial Narrow" w:cs="Courier New"/>
                <w:sz w:val="18"/>
                <w:szCs w:val="18"/>
              </w:rPr>
            </w:pPr>
          </w:p>
        </w:tc>
        <w:tc>
          <w:tcPr>
            <w:tcW w:w="1669" w:type="dxa"/>
          </w:tcPr>
          <w:p w14:paraId="1793CEA3" w14:textId="77777777" w:rsidR="009458D5" w:rsidRPr="00AF6E32" w:rsidRDefault="009458D5" w:rsidP="003418F2">
            <w:pPr>
              <w:rPr>
                <w:rFonts w:ascii="Arial Narrow" w:hAnsi="Arial Narrow" w:cs="Courier New"/>
                <w:sz w:val="18"/>
                <w:szCs w:val="18"/>
              </w:rPr>
            </w:pPr>
          </w:p>
        </w:tc>
        <w:tc>
          <w:tcPr>
            <w:tcW w:w="1908" w:type="dxa"/>
          </w:tcPr>
          <w:p w14:paraId="1C6B01B5" w14:textId="42B55FC5" w:rsidR="009458D5" w:rsidRPr="00AF6E32" w:rsidRDefault="009458D5" w:rsidP="003418F2">
            <w:pPr>
              <w:rPr>
                <w:rFonts w:ascii="Arial Narrow" w:hAnsi="Arial Narrow" w:cs="Courier New"/>
                <w:sz w:val="18"/>
                <w:szCs w:val="18"/>
              </w:rPr>
            </w:pPr>
            <w:proofErr w:type="gramStart"/>
            <w:r w:rsidRPr="00AF6E32">
              <w:rPr>
                <w:rFonts w:ascii="Arial Narrow" w:hAnsi="Arial Narrow" w:cs="Courier New"/>
                <w:sz w:val="18"/>
                <w:szCs w:val="18"/>
              </w:rPr>
              <w:t>14,525 hrs.</w:t>
            </w:r>
            <w:proofErr w:type="gramEnd"/>
          </w:p>
        </w:tc>
      </w:tr>
    </w:tbl>
    <w:p w14:paraId="1AA71B13" w14:textId="77777777" w:rsidR="00AD3741" w:rsidRPr="00AF6E32" w:rsidRDefault="00AD3741">
      <w:pPr>
        <w:ind w:left="720"/>
        <w:rPr>
          <w:rFonts w:asciiTheme="minorHAnsi" w:hAnsiTheme="minorHAnsi" w:cs="Courier New"/>
          <w:sz w:val="22"/>
          <w:szCs w:val="22"/>
        </w:rPr>
      </w:pPr>
    </w:p>
    <w:p w14:paraId="193D7626" w14:textId="5E80F01B" w:rsidR="00A8433C" w:rsidRDefault="005A1E61">
      <w:pPr>
        <w:ind w:left="720"/>
        <w:rPr>
          <w:rFonts w:asciiTheme="minorHAnsi" w:hAnsiTheme="minorHAnsi"/>
          <w:sz w:val="22"/>
          <w:szCs w:val="22"/>
        </w:rPr>
      </w:pPr>
      <w:r w:rsidRPr="00AF6E32">
        <w:rPr>
          <w:rFonts w:asciiTheme="minorHAnsi" w:hAnsiTheme="minorHAnsi"/>
          <w:sz w:val="22"/>
          <w:szCs w:val="22"/>
        </w:rPr>
        <w:t>Section</w:t>
      </w:r>
      <w:r w:rsidR="00F40B25" w:rsidRPr="00AF6E32">
        <w:rPr>
          <w:rFonts w:asciiTheme="minorHAnsi" w:hAnsiTheme="minorHAnsi"/>
          <w:sz w:val="22"/>
          <w:szCs w:val="22"/>
        </w:rPr>
        <w:t xml:space="preserve"> 1</w:t>
      </w:r>
      <w:r w:rsidR="003D0D39" w:rsidRPr="00AF6E32">
        <w:rPr>
          <w:rFonts w:asciiTheme="minorHAnsi" w:hAnsiTheme="minorHAnsi"/>
          <w:sz w:val="22"/>
          <w:szCs w:val="22"/>
        </w:rPr>
        <w:t>0</w:t>
      </w:r>
      <w:r w:rsidR="00F40B25" w:rsidRPr="00AF6E32">
        <w:rPr>
          <w:rFonts w:asciiTheme="minorHAnsi" w:hAnsiTheme="minorHAnsi"/>
          <w:sz w:val="22"/>
          <w:szCs w:val="22"/>
        </w:rPr>
        <w:t xml:space="preserve"> provides that mass submitters must keep records of their user fees.  This allows mass submitters t</w:t>
      </w:r>
      <w:r w:rsidRPr="00AF6E32">
        <w:rPr>
          <w:rFonts w:asciiTheme="minorHAnsi" w:hAnsiTheme="minorHAnsi"/>
          <w:sz w:val="22"/>
          <w:szCs w:val="22"/>
        </w:rPr>
        <w:t xml:space="preserve">o certify to the number of other practitioners seeking approval of the identical </w:t>
      </w:r>
      <w:r w:rsidR="003D0D39" w:rsidRPr="00AF6E32">
        <w:rPr>
          <w:rFonts w:asciiTheme="minorHAnsi" w:hAnsiTheme="minorHAnsi"/>
          <w:sz w:val="22"/>
          <w:szCs w:val="22"/>
        </w:rPr>
        <w:t>pre-approved</w:t>
      </w:r>
      <w:r w:rsidRPr="00AF6E32">
        <w:rPr>
          <w:rFonts w:asciiTheme="minorHAnsi" w:hAnsiTheme="minorHAnsi"/>
          <w:sz w:val="22"/>
          <w:szCs w:val="22"/>
        </w:rPr>
        <w:t xml:space="preserve"> plan. </w:t>
      </w:r>
      <w:r w:rsidR="00B3197A" w:rsidRPr="00AF6E32">
        <w:rPr>
          <w:rFonts w:asciiTheme="minorHAnsi" w:hAnsiTheme="minorHAnsi"/>
          <w:sz w:val="22"/>
          <w:szCs w:val="22"/>
        </w:rPr>
        <w:t>In addition</w:t>
      </w:r>
      <w:r w:rsidR="00436336" w:rsidRPr="00AF6E32">
        <w:rPr>
          <w:rFonts w:asciiTheme="minorHAnsi" w:hAnsiTheme="minorHAnsi" w:cs="Courier New"/>
          <w:sz w:val="22"/>
          <w:szCs w:val="22"/>
        </w:rPr>
        <w:t>,</w:t>
      </w:r>
      <w:r w:rsidR="00B3197A" w:rsidRPr="00AF6E32">
        <w:rPr>
          <w:rFonts w:asciiTheme="minorHAnsi" w:hAnsiTheme="minorHAnsi"/>
          <w:sz w:val="22"/>
          <w:szCs w:val="22"/>
        </w:rPr>
        <w:t xml:space="preserve"> mass submitters must prepare and communicate to th</w:t>
      </w:r>
      <w:r w:rsidR="0026257E" w:rsidRPr="00AF6E32">
        <w:rPr>
          <w:rFonts w:asciiTheme="minorHAnsi" w:hAnsiTheme="minorHAnsi"/>
          <w:sz w:val="22"/>
          <w:szCs w:val="22"/>
        </w:rPr>
        <w:t>e</w:t>
      </w:r>
      <w:r w:rsidR="00296039" w:rsidRPr="00AF6E32">
        <w:rPr>
          <w:rFonts w:asciiTheme="minorHAnsi" w:hAnsiTheme="minorHAnsi"/>
          <w:sz w:val="22"/>
          <w:szCs w:val="22"/>
        </w:rPr>
        <w:t xml:space="preserve"> word for word identical adopters</w:t>
      </w:r>
      <w:r w:rsidR="00436336" w:rsidRPr="00AF6E32">
        <w:rPr>
          <w:rFonts w:asciiTheme="minorHAnsi" w:hAnsiTheme="minorHAnsi" w:cs="Courier New"/>
          <w:sz w:val="22"/>
          <w:szCs w:val="22"/>
        </w:rPr>
        <w:t xml:space="preserve"> any necessary interim amendments</w:t>
      </w:r>
      <w:r w:rsidR="00B3197A" w:rsidRPr="00AF6E32">
        <w:rPr>
          <w:rFonts w:asciiTheme="minorHAnsi" w:hAnsiTheme="minorHAnsi"/>
          <w:sz w:val="22"/>
          <w:szCs w:val="22"/>
        </w:rPr>
        <w:t>.</w:t>
      </w:r>
      <w:r w:rsidR="00B3197A" w:rsidRPr="00AF6E32">
        <w:rPr>
          <w:rFonts w:asciiTheme="minorHAnsi" w:hAnsiTheme="minorHAnsi"/>
          <w:color w:val="FF0000"/>
          <w:sz w:val="22"/>
          <w:szCs w:val="22"/>
        </w:rPr>
        <w:t xml:space="preserve"> </w:t>
      </w:r>
      <w:r w:rsidRPr="00AF6E32">
        <w:rPr>
          <w:rFonts w:asciiTheme="minorHAnsi" w:hAnsiTheme="minorHAnsi"/>
          <w:sz w:val="22"/>
          <w:szCs w:val="22"/>
        </w:rPr>
        <w:t xml:space="preserve"> We estimate that </w:t>
      </w:r>
      <w:r w:rsidR="001E27CD" w:rsidRPr="00AF6E32">
        <w:rPr>
          <w:rFonts w:asciiTheme="minorHAnsi" w:hAnsiTheme="minorHAnsi"/>
          <w:sz w:val="22"/>
          <w:szCs w:val="22"/>
        </w:rPr>
        <w:t>10</w:t>
      </w:r>
      <w:r w:rsidR="003D0D39" w:rsidRPr="00AF6E32">
        <w:rPr>
          <w:rFonts w:asciiTheme="minorHAnsi" w:hAnsiTheme="minorHAnsi"/>
          <w:sz w:val="22"/>
          <w:szCs w:val="22"/>
        </w:rPr>
        <w:t xml:space="preserve"> </w:t>
      </w:r>
      <w:r w:rsidRPr="00AF6E32">
        <w:rPr>
          <w:rFonts w:asciiTheme="minorHAnsi" w:hAnsiTheme="minorHAnsi"/>
          <w:sz w:val="22"/>
          <w:szCs w:val="22"/>
        </w:rPr>
        <w:t>practitioners will ma</w:t>
      </w:r>
      <w:r w:rsidR="00F40B25" w:rsidRPr="00AF6E32">
        <w:rPr>
          <w:rFonts w:asciiTheme="minorHAnsi" w:hAnsiTheme="minorHAnsi"/>
          <w:sz w:val="22"/>
          <w:szCs w:val="22"/>
        </w:rPr>
        <w:t xml:space="preserve">intain such records.  </w:t>
      </w:r>
      <w:r w:rsidRPr="00AF6E32">
        <w:rPr>
          <w:rFonts w:asciiTheme="minorHAnsi" w:hAnsiTheme="minorHAnsi"/>
          <w:sz w:val="22"/>
          <w:szCs w:val="22"/>
        </w:rPr>
        <w:t xml:space="preserve">The estimated burden per respondent is from </w:t>
      </w:r>
      <w:r w:rsidR="00E22A23" w:rsidRPr="00AF6E32">
        <w:rPr>
          <w:rFonts w:asciiTheme="minorHAnsi" w:hAnsiTheme="minorHAnsi"/>
          <w:sz w:val="22"/>
          <w:szCs w:val="22"/>
        </w:rPr>
        <w:t>2</w:t>
      </w:r>
      <w:r w:rsidR="00B34528" w:rsidRPr="00AF6E32">
        <w:rPr>
          <w:rFonts w:asciiTheme="minorHAnsi" w:hAnsiTheme="minorHAnsi"/>
          <w:sz w:val="22"/>
          <w:szCs w:val="22"/>
        </w:rPr>
        <w:t xml:space="preserve"> hour</w:t>
      </w:r>
      <w:r w:rsidR="00E22A23" w:rsidRPr="00AF6E32">
        <w:rPr>
          <w:rFonts w:asciiTheme="minorHAnsi" w:hAnsiTheme="minorHAnsi"/>
          <w:sz w:val="22"/>
          <w:szCs w:val="22"/>
        </w:rPr>
        <w:t>s</w:t>
      </w:r>
      <w:r w:rsidR="00B34528" w:rsidRPr="00AF6E32">
        <w:rPr>
          <w:rFonts w:asciiTheme="minorHAnsi" w:hAnsiTheme="minorHAnsi"/>
          <w:sz w:val="22"/>
          <w:szCs w:val="22"/>
        </w:rPr>
        <w:t xml:space="preserve"> </w:t>
      </w:r>
      <w:r w:rsidR="00F40B25" w:rsidRPr="00AF6E32">
        <w:rPr>
          <w:rFonts w:asciiTheme="minorHAnsi" w:hAnsiTheme="minorHAnsi"/>
          <w:sz w:val="22"/>
          <w:szCs w:val="22"/>
        </w:rPr>
        <w:t>t</w:t>
      </w:r>
      <w:r w:rsidRPr="00AF6E32">
        <w:rPr>
          <w:rFonts w:asciiTheme="minorHAnsi" w:hAnsiTheme="minorHAnsi"/>
          <w:sz w:val="22"/>
          <w:szCs w:val="22"/>
        </w:rPr>
        <w:t xml:space="preserve">o </w:t>
      </w:r>
      <w:r w:rsidR="00754333" w:rsidRPr="00AF6E32">
        <w:rPr>
          <w:rFonts w:asciiTheme="minorHAnsi" w:hAnsiTheme="minorHAnsi"/>
          <w:sz w:val="22"/>
          <w:szCs w:val="22"/>
        </w:rPr>
        <w:t>20</w:t>
      </w:r>
      <w:r w:rsidR="001E27CD" w:rsidRPr="00AF6E32">
        <w:rPr>
          <w:rFonts w:asciiTheme="minorHAnsi" w:hAnsiTheme="minorHAnsi"/>
          <w:sz w:val="22"/>
          <w:szCs w:val="22"/>
        </w:rPr>
        <w:t xml:space="preserve"> </w:t>
      </w:r>
      <w:r w:rsidRPr="00AF6E32">
        <w:rPr>
          <w:rFonts w:asciiTheme="minorHAnsi" w:hAnsiTheme="minorHAnsi"/>
          <w:sz w:val="22"/>
          <w:szCs w:val="22"/>
        </w:rPr>
        <w:t xml:space="preserve">hours, with an average of </w:t>
      </w:r>
      <w:r w:rsidR="00BE0427" w:rsidRPr="00AF6E32">
        <w:rPr>
          <w:rFonts w:asciiTheme="minorHAnsi" w:hAnsiTheme="minorHAnsi"/>
          <w:sz w:val="22"/>
          <w:szCs w:val="22"/>
        </w:rPr>
        <w:t>11</w:t>
      </w:r>
      <w:r w:rsidR="001E27CD" w:rsidRPr="00AF6E32">
        <w:rPr>
          <w:rFonts w:asciiTheme="minorHAnsi" w:hAnsiTheme="minorHAnsi"/>
          <w:sz w:val="22"/>
          <w:szCs w:val="22"/>
        </w:rPr>
        <w:t xml:space="preserve"> </w:t>
      </w:r>
      <w:r w:rsidR="00F4534E" w:rsidRPr="00AF6E32">
        <w:rPr>
          <w:rFonts w:asciiTheme="minorHAnsi" w:hAnsiTheme="minorHAnsi"/>
          <w:sz w:val="22"/>
          <w:szCs w:val="22"/>
        </w:rPr>
        <w:t>h</w:t>
      </w:r>
      <w:r w:rsidRPr="00AF6E32">
        <w:rPr>
          <w:rFonts w:asciiTheme="minorHAnsi" w:hAnsiTheme="minorHAnsi"/>
          <w:sz w:val="22"/>
          <w:szCs w:val="22"/>
        </w:rPr>
        <w:t xml:space="preserve">ours, for a total estimated burden of </w:t>
      </w:r>
      <w:r w:rsidR="001E27CD" w:rsidRPr="00AF6E32">
        <w:rPr>
          <w:rFonts w:asciiTheme="minorHAnsi" w:hAnsiTheme="minorHAnsi"/>
          <w:sz w:val="22"/>
          <w:szCs w:val="22"/>
        </w:rPr>
        <w:t>110</w:t>
      </w:r>
      <w:r w:rsidRPr="00AF6E32">
        <w:rPr>
          <w:rFonts w:asciiTheme="minorHAnsi" w:hAnsiTheme="minorHAnsi"/>
          <w:sz w:val="22"/>
          <w:szCs w:val="22"/>
        </w:rPr>
        <w:t xml:space="preserve"> hours annually.</w:t>
      </w:r>
      <w:r w:rsidR="00E529A5" w:rsidRPr="00AF6E32">
        <w:rPr>
          <w:rFonts w:asciiTheme="minorHAnsi" w:hAnsiTheme="minorHAnsi"/>
          <w:sz w:val="22"/>
          <w:szCs w:val="22"/>
        </w:rPr>
        <w:t xml:space="preserve"> </w:t>
      </w:r>
    </w:p>
    <w:p w14:paraId="75E2AA90" w14:textId="77777777" w:rsidR="00AF6E32" w:rsidRPr="00AF6E32" w:rsidRDefault="00AF6E32">
      <w:pPr>
        <w:ind w:left="720"/>
        <w:rPr>
          <w:rFonts w:asciiTheme="minorHAnsi" w:hAnsiTheme="minorHAnsi"/>
          <w:sz w:val="22"/>
          <w:szCs w:val="22"/>
        </w:rPr>
      </w:pPr>
    </w:p>
    <w:tbl>
      <w:tblPr>
        <w:tblStyle w:val="TableGrid"/>
        <w:tblW w:w="0" w:type="auto"/>
        <w:tblInd w:w="558" w:type="dxa"/>
        <w:tblLook w:val="04A0" w:firstRow="1" w:lastRow="0" w:firstColumn="1" w:lastColumn="0" w:noHBand="0" w:noVBand="1"/>
      </w:tblPr>
      <w:tblGrid>
        <w:gridCol w:w="1530"/>
        <w:gridCol w:w="1742"/>
        <w:gridCol w:w="1915"/>
        <w:gridCol w:w="1915"/>
        <w:gridCol w:w="1916"/>
      </w:tblGrid>
      <w:tr w:rsidR="00AF6E32" w:rsidRPr="00AF6E32" w14:paraId="6030D09B" w14:textId="77777777" w:rsidTr="00004A2D">
        <w:tc>
          <w:tcPr>
            <w:tcW w:w="1530" w:type="dxa"/>
            <w:tcBorders>
              <w:bottom w:val="nil"/>
            </w:tcBorders>
          </w:tcPr>
          <w:p w14:paraId="7956AE02" w14:textId="522DC570" w:rsidR="00004A2D" w:rsidRPr="00AF6E32" w:rsidRDefault="00004A2D" w:rsidP="00A064F4">
            <w:pPr>
              <w:rPr>
                <w:rFonts w:ascii="Arial Narrow" w:hAnsi="Arial Narrow"/>
                <w:sz w:val="18"/>
                <w:szCs w:val="18"/>
              </w:rPr>
            </w:pPr>
            <w:r w:rsidRPr="00AF6E32">
              <w:rPr>
                <w:rFonts w:ascii="Arial Narrow" w:hAnsi="Arial Narrow"/>
                <w:sz w:val="18"/>
                <w:szCs w:val="18"/>
              </w:rPr>
              <w:t>Rev. Proc. Section 10</w:t>
            </w:r>
          </w:p>
        </w:tc>
        <w:tc>
          <w:tcPr>
            <w:tcW w:w="1742" w:type="dxa"/>
          </w:tcPr>
          <w:p w14:paraId="0D5E864E"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Respondents</w:t>
            </w:r>
          </w:p>
        </w:tc>
        <w:tc>
          <w:tcPr>
            <w:tcW w:w="1915" w:type="dxa"/>
          </w:tcPr>
          <w:p w14:paraId="7E53104F"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Responses per Respondent</w:t>
            </w:r>
          </w:p>
        </w:tc>
        <w:tc>
          <w:tcPr>
            <w:tcW w:w="1915" w:type="dxa"/>
          </w:tcPr>
          <w:p w14:paraId="53A5ACD2"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Time per response</w:t>
            </w:r>
          </w:p>
        </w:tc>
        <w:tc>
          <w:tcPr>
            <w:tcW w:w="1916" w:type="dxa"/>
          </w:tcPr>
          <w:p w14:paraId="15E3D360"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Total burden</w:t>
            </w:r>
          </w:p>
        </w:tc>
      </w:tr>
      <w:tr w:rsidR="00AF6E32" w:rsidRPr="00AF6E32" w14:paraId="52058DBB" w14:textId="77777777" w:rsidTr="00004A2D">
        <w:tc>
          <w:tcPr>
            <w:tcW w:w="1530" w:type="dxa"/>
            <w:tcBorders>
              <w:top w:val="nil"/>
            </w:tcBorders>
          </w:tcPr>
          <w:p w14:paraId="4BBFB621"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 xml:space="preserve"> </w:t>
            </w:r>
          </w:p>
        </w:tc>
        <w:tc>
          <w:tcPr>
            <w:tcW w:w="1742" w:type="dxa"/>
          </w:tcPr>
          <w:p w14:paraId="14BAF871" w14:textId="6ED544AA" w:rsidR="00004A2D" w:rsidRPr="00AF6E32" w:rsidRDefault="00004A2D" w:rsidP="00004A2D">
            <w:pPr>
              <w:rPr>
                <w:rFonts w:ascii="Arial Narrow" w:hAnsi="Arial Narrow"/>
                <w:sz w:val="18"/>
                <w:szCs w:val="18"/>
              </w:rPr>
            </w:pPr>
            <w:r w:rsidRPr="00AF6E32">
              <w:rPr>
                <w:rFonts w:ascii="Arial Narrow" w:hAnsi="Arial Narrow"/>
                <w:sz w:val="18"/>
                <w:szCs w:val="18"/>
              </w:rPr>
              <w:t>10</w:t>
            </w:r>
          </w:p>
        </w:tc>
        <w:tc>
          <w:tcPr>
            <w:tcW w:w="1915" w:type="dxa"/>
          </w:tcPr>
          <w:p w14:paraId="63D9C278"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1</w:t>
            </w:r>
          </w:p>
        </w:tc>
        <w:tc>
          <w:tcPr>
            <w:tcW w:w="1915" w:type="dxa"/>
          </w:tcPr>
          <w:p w14:paraId="34065102" w14:textId="1B4F36FE" w:rsidR="00004A2D" w:rsidRPr="00AF6E32" w:rsidRDefault="00004A2D" w:rsidP="00A064F4">
            <w:pPr>
              <w:rPr>
                <w:rFonts w:ascii="Arial Narrow" w:hAnsi="Arial Narrow"/>
                <w:sz w:val="18"/>
                <w:szCs w:val="18"/>
              </w:rPr>
            </w:pPr>
            <w:proofErr w:type="gramStart"/>
            <w:r w:rsidRPr="00AF6E32">
              <w:rPr>
                <w:rFonts w:ascii="Arial Narrow" w:hAnsi="Arial Narrow"/>
                <w:sz w:val="18"/>
                <w:szCs w:val="18"/>
              </w:rPr>
              <w:t>11 hrs.</w:t>
            </w:r>
            <w:proofErr w:type="gramEnd"/>
          </w:p>
        </w:tc>
        <w:tc>
          <w:tcPr>
            <w:tcW w:w="1916" w:type="dxa"/>
          </w:tcPr>
          <w:p w14:paraId="715E8447" w14:textId="6F48FE05" w:rsidR="00004A2D" w:rsidRPr="00AF6E32" w:rsidRDefault="00004A2D" w:rsidP="00004A2D">
            <w:pPr>
              <w:rPr>
                <w:rFonts w:ascii="Arial Narrow" w:hAnsi="Arial Narrow"/>
                <w:sz w:val="18"/>
                <w:szCs w:val="18"/>
              </w:rPr>
            </w:pPr>
            <w:proofErr w:type="gramStart"/>
            <w:r w:rsidRPr="00AF6E32">
              <w:rPr>
                <w:rFonts w:ascii="Arial Narrow" w:hAnsi="Arial Narrow"/>
                <w:sz w:val="18"/>
                <w:szCs w:val="18"/>
              </w:rPr>
              <w:t>110 hrs.</w:t>
            </w:r>
            <w:proofErr w:type="gramEnd"/>
          </w:p>
        </w:tc>
      </w:tr>
    </w:tbl>
    <w:p w14:paraId="6D398EEE" w14:textId="77777777" w:rsidR="00004A2D" w:rsidRPr="00AF6E32" w:rsidRDefault="00004A2D">
      <w:pPr>
        <w:ind w:left="720"/>
        <w:rPr>
          <w:rFonts w:asciiTheme="minorHAnsi" w:hAnsiTheme="minorHAnsi"/>
          <w:sz w:val="22"/>
          <w:szCs w:val="22"/>
        </w:rPr>
      </w:pPr>
    </w:p>
    <w:p w14:paraId="6643BCEA" w14:textId="3A1B1507" w:rsidR="003D0D39" w:rsidRPr="00AF6E32" w:rsidRDefault="00004A2D">
      <w:pPr>
        <w:ind w:left="720"/>
        <w:rPr>
          <w:rFonts w:asciiTheme="minorHAnsi" w:hAnsiTheme="minorHAnsi"/>
          <w:sz w:val="22"/>
          <w:szCs w:val="22"/>
        </w:rPr>
      </w:pPr>
      <w:r w:rsidRPr="00AF6E32">
        <w:rPr>
          <w:rFonts w:asciiTheme="minorHAnsi" w:hAnsiTheme="minorHAnsi"/>
          <w:sz w:val="22"/>
          <w:szCs w:val="22"/>
        </w:rPr>
        <w:t xml:space="preserve"> </w:t>
      </w:r>
      <w:r w:rsidR="00E0737F" w:rsidRPr="00AF6E32">
        <w:rPr>
          <w:rFonts w:asciiTheme="minorHAnsi" w:hAnsiTheme="minorHAnsi"/>
          <w:sz w:val="22"/>
          <w:szCs w:val="22"/>
        </w:rPr>
        <w:t xml:space="preserve">[The certificate of intent to adopt and M&amp;P or VS plan is no longer required by this revenue procedure, accordingly, the paragraph referring to Section 24 which included  numbers </w:t>
      </w:r>
      <w:r w:rsidR="00BA1409" w:rsidRPr="00AF6E32">
        <w:rPr>
          <w:rFonts w:asciiTheme="minorHAnsi" w:hAnsiTheme="minorHAnsi"/>
          <w:sz w:val="22"/>
          <w:szCs w:val="22"/>
        </w:rPr>
        <w:t xml:space="preserve">related to this certificate </w:t>
      </w:r>
      <w:r w:rsidR="00E0737F" w:rsidRPr="00AF6E32">
        <w:rPr>
          <w:rFonts w:asciiTheme="minorHAnsi" w:hAnsiTheme="minorHAnsi"/>
          <w:sz w:val="22"/>
          <w:szCs w:val="22"/>
        </w:rPr>
        <w:t xml:space="preserve">has been deleted.] </w:t>
      </w:r>
    </w:p>
    <w:p w14:paraId="78989079" w14:textId="77777777" w:rsidR="00004A2D" w:rsidRPr="00AF6E32" w:rsidRDefault="00004A2D">
      <w:pPr>
        <w:rPr>
          <w:rFonts w:asciiTheme="minorHAnsi" w:hAnsiTheme="minorHAnsi"/>
          <w:color w:val="000000"/>
          <w:sz w:val="22"/>
          <w:szCs w:val="22"/>
        </w:rPr>
      </w:pPr>
    </w:p>
    <w:p w14:paraId="5DA595B2" w14:textId="64D43DCA" w:rsidR="0014409F" w:rsidRPr="00AF6E32" w:rsidRDefault="005A1E61">
      <w:pPr>
        <w:ind w:left="720"/>
        <w:rPr>
          <w:rFonts w:asciiTheme="minorHAnsi" w:hAnsiTheme="minorHAnsi"/>
          <w:sz w:val="22"/>
          <w:szCs w:val="22"/>
        </w:rPr>
      </w:pPr>
      <w:r w:rsidRPr="00AF6E32">
        <w:rPr>
          <w:rFonts w:asciiTheme="minorHAnsi" w:hAnsiTheme="minorHAnsi"/>
          <w:sz w:val="22"/>
          <w:szCs w:val="22"/>
        </w:rPr>
        <w:t>The total burden for this submission is</w:t>
      </w:r>
      <w:r w:rsidRPr="00AF6E32">
        <w:rPr>
          <w:rFonts w:asciiTheme="minorHAnsi" w:hAnsiTheme="minorHAnsi" w:cs="Courier New"/>
          <w:sz w:val="22"/>
          <w:szCs w:val="22"/>
        </w:rPr>
        <w:t xml:space="preserve"> </w:t>
      </w:r>
      <w:r w:rsidR="00B45FB4" w:rsidRPr="00AF6E32">
        <w:rPr>
          <w:rFonts w:asciiTheme="minorHAnsi" w:hAnsiTheme="minorHAnsi" w:cs="Courier New"/>
          <w:sz w:val="22"/>
          <w:szCs w:val="22"/>
        </w:rPr>
        <w:t>3</w:t>
      </w:r>
      <w:r w:rsidR="00C2706B" w:rsidRPr="00AF6E32">
        <w:rPr>
          <w:rFonts w:asciiTheme="minorHAnsi" w:hAnsiTheme="minorHAnsi" w:cs="Courier New"/>
          <w:sz w:val="22"/>
          <w:szCs w:val="22"/>
        </w:rPr>
        <w:t>21,500</w:t>
      </w:r>
      <w:r w:rsidRPr="00AF6E32">
        <w:rPr>
          <w:rFonts w:asciiTheme="minorHAnsi" w:hAnsiTheme="minorHAnsi" w:cs="Courier New"/>
          <w:sz w:val="22"/>
          <w:szCs w:val="22"/>
        </w:rPr>
        <w:t xml:space="preserve"> responses</w:t>
      </w:r>
      <w:r w:rsidR="00BC0F22" w:rsidRPr="00AF6E32">
        <w:rPr>
          <w:rFonts w:asciiTheme="minorHAnsi" w:hAnsiTheme="minorHAnsi" w:cs="Courier New"/>
          <w:sz w:val="22"/>
          <w:szCs w:val="22"/>
        </w:rPr>
        <w:t xml:space="preserve"> by </w:t>
      </w:r>
      <w:r w:rsidR="00B45FB4" w:rsidRPr="00AF6E32">
        <w:rPr>
          <w:rFonts w:asciiTheme="minorHAnsi" w:hAnsiTheme="minorHAnsi" w:cs="Courier New"/>
          <w:sz w:val="22"/>
          <w:szCs w:val="22"/>
        </w:rPr>
        <w:t>3</w:t>
      </w:r>
      <w:r w:rsidR="00C2706B" w:rsidRPr="00AF6E32">
        <w:rPr>
          <w:rFonts w:asciiTheme="minorHAnsi" w:hAnsiTheme="minorHAnsi" w:cs="Courier New"/>
          <w:sz w:val="22"/>
          <w:szCs w:val="22"/>
        </w:rPr>
        <w:t>21,500</w:t>
      </w:r>
      <w:r w:rsidR="00B45FB4" w:rsidRPr="00AF6E32">
        <w:rPr>
          <w:rFonts w:asciiTheme="minorHAnsi" w:hAnsiTheme="minorHAnsi"/>
          <w:sz w:val="22"/>
          <w:szCs w:val="22"/>
        </w:rPr>
        <w:t xml:space="preserve"> </w:t>
      </w:r>
      <w:r w:rsidR="00BC0F22" w:rsidRPr="00AF6E32">
        <w:rPr>
          <w:rFonts w:asciiTheme="minorHAnsi" w:hAnsiTheme="minorHAnsi"/>
          <w:sz w:val="22"/>
          <w:szCs w:val="22"/>
        </w:rPr>
        <w:t>respondents</w:t>
      </w:r>
      <w:r w:rsidR="00BC0F22" w:rsidRPr="00AF6E32">
        <w:rPr>
          <w:rFonts w:asciiTheme="minorHAnsi" w:hAnsiTheme="minorHAnsi" w:cs="Courier New"/>
          <w:sz w:val="22"/>
          <w:szCs w:val="22"/>
        </w:rPr>
        <w:t xml:space="preserve"> </w:t>
      </w:r>
      <w:r w:rsidRPr="00AF6E32">
        <w:rPr>
          <w:rFonts w:asciiTheme="minorHAnsi" w:hAnsiTheme="minorHAnsi" w:cs="Courier New"/>
          <w:sz w:val="22"/>
          <w:szCs w:val="22"/>
        </w:rPr>
        <w:t xml:space="preserve">and </w:t>
      </w:r>
      <w:r w:rsidR="00B45FB4" w:rsidRPr="00AF6E32">
        <w:rPr>
          <w:rFonts w:asciiTheme="minorHAnsi" w:hAnsiTheme="minorHAnsi" w:cs="Courier New"/>
          <w:sz w:val="22"/>
          <w:szCs w:val="22"/>
        </w:rPr>
        <w:t>1,</w:t>
      </w:r>
      <w:r w:rsidR="00C2706B" w:rsidRPr="00AF6E32">
        <w:rPr>
          <w:rFonts w:asciiTheme="minorHAnsi" w:hAnsiTheme="minorHAnsi" w:cs="Courier New"/>
          <w:sz w:val="22"/>
          <w:szCs w:val="22"/>
        </w:rPr>
        <w:t>108,225</w:t>
      </w:r>
      <w:r w:rsidR="002F52CB" w:rsidRPr="00AF6E32">
        <w:rPr>
          <w:rFonts w:asciiTheme="minorHAnsi" w:hAnsiTheme="minorHAnsi"/>
          <w:sz w:val="22"/>
          <w:szCs w:val="22"/>
        </w:rPr>
        <w:t xml:space="preserve"> hours</w:t>
      </w:r>
      <w:r w:rsidRPr="00AF6E32">
        <w:rPr>
          <w:rFonts w:asciiTheme="minorHAnsi" w:hAnsiTheme="minorHAnsi"/>
          <w:sz w:val="22"/>
          <w:szCs w:val="22"/>
        </w:rPr>
        <w:t xml:space="preserve">.  </w:t>
      </w:r>
      <w:r w:rsidR="00AC0D1D" w:rsidRPr="00AF6E32">
        <w:rPr>
          <w:rFonts w:asciiTheme="minorHAnsi" w:hAnsiTheme="minorHAnsi"/>
          <w:sz w:val="22"/>
          <w:szCs w:val="22"/>
        </w:rPr>
        <w:t xml:space="preserve">   </w:t>
      </w:r>
    </w:p>
    <w:tbl>
      <w:tblPr>
        <w:tblW w:w="893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64"/>
        <w:gridCol w:w="1170"/>
        <w:gridCol w:w="1170"/>
        <w:gridCol w:w="1080"/>
        <w:gridCol w:w="1170"/>
        <w:gridCol w:w="1170"/>
      </w:tblGrid>
      <w:tr w:rsidR="00935263" w:rsidRPr="00AF6E32" w14:paraId="41045F5B" w14:textId="77777777" w:rsidTr="00004A2D">
        <w:tc>
          <w:tcPr>
            <w:tcW w:w="1710" w:type="dxa"/>
            <w:shd w:val="clear" w:color="auto" w:fill="auto"/>
            <w:vAlign w:val="bottom"/>
          </w:tcPr>
          <w:p w14:paraId="57B70328"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Authority</w:t>
            </w:r>
          </w:p>
          <w:p w14:paraId="2300F9F0" w14:textId="54C76B91"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Rev</w:t>
            </w:r>
            <w:r w:rsidR="00D952E4" w:rsidRPr="00AF6E32">
              <w:rPr>
                <w:rFonts w:ascii="Arial Narrow" w:hAnsi="Arial Narrow"/>
                <w:b/>
                <w:sz w:val="18"/>
                <w:szCs w:val="18"/>
              </w:rPr>
              <w:t>.</w:t>
            </w:r>
            <w:r w:rsidRPr="00AF6E32">
              <w:rPr>
                <w:rFonts w:ascii="Arial Narrow" w:hAnsi="Arial Narrow"/>
                <w:b/>
                <w:sz w:val="18"/>
                <w:szCs w:val="18"/>
              </w:rPr>
              <w:t xml:space="preserve"> Proc</w:t>
            </w:r>
            <w:r w:rsidR="00D952E4" w:rsidRPr="00AF6E32">
              <w:rPr>
                <w:rFonts w:ascii="Arial Narrow" w:hAnsi="Arial Narrow"/>
                <w:b/>
                <w:sz w:val="18"/>
                <w:szCs w:val="18"/>
              </w:rPr>
              <w:t>.</w:t>
            </w:r>
            <w:r w:rsidRPr="00AF6E32">
              <w:rPr>
                <w:rFonts w:ascii="Arial Narrow" w:hAnsi="Arial Narrow"/>
                <w:b/>
                <w:sz w:val="18"/>
                <w:szCs w:val="18"/>
              </w:rPr>
              <w:t xml:space="preserve"> Section</w:t>
            </w:r>
          </w:p>
        </w:tc>
        <w:tc>
          <w:tcPr>
            <w:tcW w:w="1464" w:type="dxa"/>
            <w:vAlign w:val="bottom"/>
          </w:tcPr>
          <w:p w14:paraId="77812EF2"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Description</w:t>
            </w:r>
          </w:p>
        </w:tc>
        <w:tc>
          <w:tcPr>
            <w:tcW w:w="1170" w:type="dxa"/>
            <w:vAlign w:val="bottom"/>
          </w:tcPr>
          <w:p w14:paraId="31F2F40C"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 of Respondents</w:t>
            </w:r>
          </w:p>
        </w:tc>
        <w:tc>
          <w:tcPr>
            <w:tcW w:w="1170" w:type="dxa"/>
            <w:vAlign w:val="bottom"/>
          </w:tcPr>
          <w:p w14:paraId="50894D0C"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 Responses per Respondent</w:t>
            </w:r>
          </w:p>
        </w:tc>
        <w:tc>
          <w:tcPr>
            <w:tcW w:w="1080" w:type="dxa"/>
            <w:shd w:val="clear" w:color="auto" w:fill="auto"/>
            <w:vAlign w:val="bottom"/>
          </w:tcPr>
          <w:p w14:paraId="3E5D9349"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Annual Responses</w:t>
            </w:r>
          </w:p>
        </w:tc>
        <w:tc>
          <w:tcPr>
            <w:tcW w:w="1170" w:type="dxa"/>
            <w:vAlign w:val="bottom"/>
          </w:tcPr>
          <w:p w14:paraId="26E82DC4"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Hours per Response</w:t>
            </w:r>
          </w:p>
        </w:tc>
        <w:tc>
          <w:tcPr>
            <w:tcW w:w="1170" w:type="dxa"/>
            <w:shd w:val="clear" w:color="auto" w:fill="auto"/>
            <w:vAlign w:val="bottom"/>
          </w:tcPr>
          <w:p w14:paraId="34306E4D" w14:textId="77777777" w:rsidR="00935263" w:rsidRPr="00AF6E32" w:rsidRDefault="00935263" w:rsidP="00A064F4">
            <w:pPr>
              <w:numPr>
                <w:ilvl w:val="12"/>
                <w:numId w:val="0"/>
              </w:numPr>
              <w:jc w:val="center"/>
              <w:rPr>
                <w:rFonts w:ascii="Arial Narrow" w:hAnsi="Arial Narrow"/>
                <w:b/>
                <w:sz w:val="18"/>
                <w:szCs w:val="18"/>
              </w:rPr>
            </w:pPr>
            <w:r w:rsidRPr="00AF6E32">
              <w:rPr>
                <w:rFonts w:ascii="Arial Narrow" w:hAnsi="Arial Narrow"/>
                <w:b/>
                <w:sz w:val="18"/>
                <w:szCs w:val="18"/>
              </w:rPr>
              <w:t>Total Burden</w:t>
            </w:r>
          </w:p>
        </w:tc>
      </w:tr>
      <w:tr w:rsidR="00935263" w:rsidRPr="00AF6E32" w14:paraId="7372696C" w14:textId="77777777" w:rsidTr="00004A2D">
        <w:tc>
          <w:tcPr>
            <w:tcW w:w="1710" w:type="dxa"/>
            <w:shd w:val="clear" w:color="auto" w:fill="auto"/>
            <w:vAlign w:val="bottom"/>
          </w:tcPr>
          <w:p w14:paraId="5FCB08AA"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 xml:space="preserve">5.09 </w:t>
            </w:r>
          </w:p>
        </w:tc>
        <w:tc>
          <w:tcPr>
            <w:tcW w:w="1464" w:type="dxa"/>
            <w:vAlign w:val="bottom"/>
          </w:tcPr>
          <w:p w14:paraId="0B183D19"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Signature for restatement</w:t>
            </w:r>
          </w:p>
        </w:tc>
        <w:tc>
          <w:tcPr>
            <w:tcW w:w="1170" w:type="dxa"/>
            <w:vAlign w:val="bottom"/>
          </w:tcPr>
          <w:p w14:paraId="3BECABAB" w14:textId="77777777" w:rsidR="00935263" w:rsidRPr="00AF6E32" w:rsidRDefault="00935263" w:rsidP="00A064F4">
            <w:pPr>
              <w:numPr>
                <w:ilvl w:val="12"/>
                <w:numId w:val="0"/>
              </w:numPr>
              <w:jc w:val="right"/>
              <w:rPr>
                <w:rFonts w:ascii="Arial Narrow" w:hAnsi="Arial Narrow"/>
                <w:sz w:val="18"/>
                <w:szCs w:val="18"/>
              </w:rPr>
            </w:pPr>
            <w:r w:rsidRPr="00AF6E32">
              <w:rPr>
                <w:rFonts w:ascii="Arial Narrow" w:hAnsi="Arial Narrow"/>
                <w:sz w:val="18"/>
                <w:szCs w:val="18"/>
              </w:rPr>
              <w:t>310,590</w:t>
            </w:r>
          </w:p>
        </w:tc>
        <w:tc>
          <w:tcPr>
            <w:tcW w:w="1170" w:type="dxa"/>
            <w:vAlign w:val="bottom"/>
          </w:tcPr>
          <w:p w14:paraId="018292D2"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1</w:t>
            </w:r>
          </w:p>
        </w:tc>
        <w:tc>
          <w:tcPr>
            <w:tcW w:w="1080" w:type="dxa"/>
            <w:shd w:val="clear" w:color="auto" w:fill="auto"/>
            <w:vAlign w:val="bottom"/>
          </w:tcPr>
          <w:p w14:paraId="094731A6"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vAlign w:val="bottom"/>
          </w:tcPr>
          <w:p w14:paraId="0B4858FE"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shd w:val="clear" w:color="auto" w:fill="auto"/>
            <w:vAlign w:val="bottom"/>
          </w:tcPr>
          <w:p w14:paraId="718AC347" w14:textId="77777777" w:rsidR="00935263" w:rsidRPr="00AF6E32" w:rsidRDefault="00935263" w:rsidP="00A064F4">
            <w:pPr>
              <w:numPr>
                <w:ilvl w:val="12"/>
                <w:numId w:val="0"/>
              </w:numPr>
              <w:jc w:val="right"/>
              <w:rPr>
                <w:rFonts w:ascii="Arial Narrow" w:hAnsi="Arial Narrow"/>
                <w:sz w:val="18"/>
                <w:szCs w:val="18"/>
              </w:rPr>
            </w:pPr>
            <w:r w:rsidRPr="00AF6E32">
              <w:rPr>
                <w:rFonts w:ascii="Arial Narrow" w:hAnsi="Arial Narrow"/>
                <w:sz w:val="18"/>
                <w:szCs w:val="18"/>
              </w:rPr>
              <w:t>310,590</w:t>
            </w:r>
          </w:p>
        </w:tc>
      </w:tr>
      <w:tr w:rsidR="00935263" w:rsidRPr="00AF6E32" w14:paraId="08ECB0E7" w14:textId="77777777" w:rsidTr="00004A2D">
        <w:tc>
          <w:tcPr>
            <w:tcW w:w="1710" w:type="dxa"/>
            <w:shd w:val="clear" w:color="auto" w:fill="auto"/>
            <w:vAlign w:val="bottom"/>
          </w:tcPr>
          <w:p w14:paraId="0743489A"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s="Courier New"/>
                <w:color w:val="000000" w:themeColor="text1"/>
                <w:sz w:val="18"/>
                <w:szCs w:val="18"/>
              </w:rPr>
              <w:t>8.01, 8.02, &amp; 18</w:t>
            </w:r>
          </w:p>
        </w:tc>
        <w:tc>
          <w:tcPr>
            <w:tcW w:w="1464" w:type="dxa"/>
            <w:vAlign w:val="bottom"/>
          </w:tcPr>
          <w:p w14:paraId="3B44F2DE"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Furnish copies</w:t>
            </w:r>
          </w:p>
        </w:tc>
        <w:tc>
          <w:tcPr>
            <w:tcW w:w="1170" w:type="dxa"/>
            <w:vAlign w:val="bottom"/>
          </w:tcPr>
          <w:p w14:paraId="5F260DF5" w14:textId="77777777" w:rsidR="00935263" w:rsidRPr="00AF6E32" w:rsidRDefault="00935263" w:rsidP="00A064F4">
            <w:pPr>
              <w:numPr>
                <w:ilvl w:val="12"/>
                <w:numId w:val="0"/>
              </w:numPr>
              <w:jc w:val="right"/>
              <w:rPr>
                <w:rFonts w:ascii="Arial Narrow" w:hAnsi="Arial Narrow"/>
                <w:color w:val="000000" w:themeColor="text1"/>
                <w:sz w:val="18"/>
                <w:szCs w:val="18"/>
              </w:rPr>
            </w:pPr>
            <w:r w:rsidRPr="00AF6E32">
              <w:rPr>
                <w:rFonts w:ascii="Arial Narrow" w:hAnsi="Arial Narrow"/>
                <w:color w:val="000000" w:themeColor="text1"/>
                <w:sz w:val="18"/>
                <w:szCs w:val="18"/>
              </w:rPr>
              <w:t>4,350</w:t>
            </w:r>
          </w:p>
        </w:tc>
        <w:tc>
          <w:tcPr>
            <w:tcW w:w="1170" w:type="dxa"/>
            <w:vAlign w:val="bottom"/>
          </w:tcPr>
          <w:p w14:paraId="51F24BA4"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14:paraId="574CB209"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14:paraId="3456ECD8"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180</w:t>
            </w:r>
          </w:p>
        </w:tc>
        <w:tc>
          <w:tcPr>
            <w:tcW w:w="1170" w:type="dxa"/>
            <w:shd w:val="clear" w:color="auto" w:fill="auto"/>
            <w:vAlign w:val="bottom"/>
          </w:tcPr>
          <w:p w14:paraId="05C8F1B0" w14:textId="77777777" w:rsidR="00935263" w:rsidRPr="00AF6E32" w:rsidRDefault="00935263" w:rsidP="00A064F4">
            <w:pPr>
              <w:numPr>
                <w:ilvl w:val="12"/>
                <w:numId w:val="0"/>
              </w:numPr>
              <w:jc w:val="right"/>
              <w:rPr>
                <w:rFonts w:ascii="Arial Narrow" w:hAnsi="Arial Narrow"/>
                <w:sz w:val="18"/>
                <w:szCs w:val="18"/>
              </w:rPr>
            </w:pPr>
            <w:r w:rsidRPr="00AF6E32">
              <w:rPr>
                <w:rFonts w:ascii="Arial Narrow" w:hAnsi="Arial Narrow"/>
                <w:sz w:val="18"/>
                <w:szCs w:val="18"/>
              </w:rPr>
              <w:t>783,000</w:t>
            </w:r>
          </w:p>
        </w:tc>
      </w:tr>
      <w:tr w:rsidR="00935263" w:rsidRPr="00AF6E32" w14:paraId="08BA6DF2" w14:textId="77777777" w:rsidTr="00004A2D">
        <w:tc>
          <w:tcPr>
            <w:tcW w:w="1710" w:type="dxa"/>
            <w:shd w:val="clear" w:color="auto" w:fill="auto"/>
            <w:vAlign w:val="bottom"/>
          </w:tcPr>
          <w:p w14:paraId="7B4B37BA"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10</w:t>
            </w:r>
          </w:p>
        </w:tc>
        <w:tc>
          <w:tcPr>
            <w:tcW w:w="1464" w:type="dxa"/>
            <w:vAlign w:val="bottom"/>
          </w:tcPr>
          <w:p w14:paraId="0FA5C20D"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Keep records</w:t>
            </w:r>
          </w:p>
        </w:tc>
        <w:tc>
          <w:tcPr>
            <w:tcW w:w="1170" w:type="dxa"/>
            <w:vAlign w:val="bottom"/>
          </w:tcPr>
          <w:p w14:paraId="65121A5A" w14:textId="5CFEF16A" w:rsidR="00935263" w:rsidRPr="00AF6E32" w:rsidRDefault="00CE679F" w:rsidP="00CE679F">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 xml:space="preserve">                10</w:t>
            </w:r>
          </w:p>
        </w:tc>
        <w:tc>
          <w:tcPr>
            <w:tcW w:w="1170" w:type="dxa"/>
            <w:vAlign w:val="bottom"/>
          </w:tcPr>
          <w:p w14:paraId="0289E04A"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14:paraId="7E6E3871" w14:textId="77777777" w:rsidR="00935263" w:rsidRPr="00AF6E32" w:rsidRDefault="00935263" w:rsidP="00A064F4">
            <w:pPr>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14:paraId="657844C8" w14:textId="77777777" w:rsidR="00935263" w:rsidRPr="00AF6E32" w:rsidRDefault="00935263" w:rsidP="00A064F4">
            <w:pPr>
              <w:numPr>
                <w:ilvl w:val="12"/>
                <w:numId w:val="0"/>
              </w:numPr>
              <w:jc w:val="center"/>
              <w:rPr>
                <w:rFonts w:ascii="Arial Narrow" w:hAnsi="Arial Narrow"/>
                <w:sz w:val="18"/>
                <w:szCs w:val="18"/>
              </w:rPr>
            </w:pPr>
            <w:r w:rsidRPr="00AF6E32">
              <w:rPr>
                <w:rFonts w:ascii="Arial Narrow" w:hAnsi="Arial Narrow"/>
                <w:sz w:val="18"/>
                <w:szCs w:val="18"/>
              </w:rPr>
              <w:t>11</w:t>
            </w:r>
          </w:p>
        </w:tc>
        <w:tc>
          <w:tcPr>
            <w:tcW w:w="1170" w:type="dxa"/>
            <w:shd w:val="clear" w:color="auto" w:fill="auto"/>
            <w:vAlign w:val="bottom"/>
          </w:tcPr>
          <w:p w14:paraId="51F3957B" w14:textId="77777777" w:rsidR="00935263" w:rsidRPr="00AF6E32" w:rsidRDefault="00935263" w:rsidP="00A064F4">
            <w:pPr>
              <w:numPr>
                <w:ilvl w:val="12"/>
                <w:numId w:val="0"/>
              </w:numPr>
              <w:jc w:val="right"/>
              <w:rPr>
                <w:rFonts w:ascii="Arial Narrow" w:hAnsi="Arial Narrow"/>
                <w:sz w:val="18"/>
                <w:szCs w:val="18"/>
              </w:rPr>
            </w:pPr>
            <w:r w:rsidRPr="00AF6E32">
              <w:rPr>
                <w:rFonts w:ascii="Arial Narrow" w:hAnsi="Arial Narrow"/>
                <w:sz w:val="18"/>
                <w:szCs w:val="18"/>
              </w:rPr>
              <w:t>110</w:t>
            </w:r>
          </w:p>
        </w:tc>
      </w:tr>
      <w:tr w:rsidR="00004A2D" w:rsidRPr="00AF6E32" w14:paraId="48C8FEBD" w14:textId="77777777" w:rsidTr="00004A2D">
        <w:tc>
          <w:tcPr>
            <w:tcW w:w="1710" w:type="dxa"/>
            <w:shd w:val="clear" w:color="auto" w:fill="auto"/>
          </w:tcPr>
          <w:p w14:paraId="655E9DF2" w14:textId="555BA0C4" w:rsidR="00004A2D" w:rsidRPr="00AF6E32" w:rsidRDefault="0093209C" w:rsidP="0093209C">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w:t>
            </w:r>
            <w:r w:rsidR="00004A2D" w:rsidRPr="00AF6E32">
              <w:rPr>
                <w:rFonts w:ascii="Arial Narrow" w:hAnsi="Arial Narrow" w:cs="Courier New"/>
                <w:color w:val="000000" w:themeColor="text1"/>
                <w:sz w:val="18"/>
                <w:szCs w:val="18"/>
              </w:rPr>
              <w:t>Form 4461</w:t>
            </w:r>
          </w:p>
        </w:tc>
        <w:tc>
          <w:tcPr>
            <w:tcW w:w="1464" w:type="dxa"/>
          </w:tcPr>
          <w:p w14:paraId="79DE48D8" w14:textId="0B818876" w:rsidR="00004A2D" w:rsidRPr="00AF6E32" w:rsidRDefault="00CE679F" w:rsidP="00A064F4">
            <w:pPr>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5F9D70F1" w14:textId="18C293A6" w:rsidR="00004A2D" w:rsidRPr="00AF6E32" w:rsidRDefault="00CE679F" w:rsidP="00CE679F">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450</w:t>
            </w:r>
          </w:p>
        </w:tc>
        <w:tc>
          <w:tcPr>
            <w:tcW w:w="1170" w:type="dxa"/>
          </w:tcPr>
          <w:p w14:paraId="3602ABBD" w14:textId="5FC15186" w:rsidR="00004A2D" w:rsidRPr="00AF6E32" w:rsidRDefault="0093209C" w:rsidP="0093209C">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14:paraId="1F833180" w14:textId="011B778B" w:rsidR="00004A2D" w:rsidRPr="00AF6E32" w:rsidRDefault="0093209C" w:rsidP="00004A2D">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070ECC0D" w14:textId="147BE59A" w:rsidR="00004A2D" w:rsidRPr="00AF6E32" w:rsidRDefault="0093209C" w:rsidP="00A064F4">
            <w:pPr>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14:paraId="5DB6CC50" w14:textId="73FDD135" w:rsidR="00004A2D" w:rsidRPr="00AF6E32" w:rsidRDefault="00004A2D" w:rsidP="00A064F4">
            <w:pPr>
              <w:numPr>
                <w:ilvl w:val="12"/>
                <w:numId w:val="0"/>
              </w:numPr>
              <w:jc w:val="right"/>
              <w:rPr>
                <w:rFonts w:ascii="Arial Narrow" w:hAnsi="Arial Narrow" w:cs="Courier New"/>
                <w:sz w:val="18"/>
                <w:szCs w:val="18"/>
              </w:rPr>
            </w:pPr>
            <w:r w:rsidRPr="00AF6E32">
              <w:rPr>
                <w:rFonts w:ascii="Arial Narrow" w:hAnsi="Arial Narrow" w:cs="Courier New"/>
                <w:sz w:val="18"/>
                <w:szCs w:val="18"/>
              </w:rPr>
              <w:t>6,975</w:t>
            </w:r>
          </w:p>
        </w:tc>
      </w:tr>
      <w:tr w:rsidR="00004A2D" w:rsidRPr="00AF6E32" w14:paraId="04E46E0E" w14:textId="77777777" w:rsidTr="00004A2D">
        <w:tc>
          <w:tcPr>
            <w:tcW w:w="1710" w:type="dxa"/>
            <w:shd w:val="clear" w:color="auto" w:fill="auto"/>
          </w:tcPr>
          <w:p w14:paraId="1230C079" w14:textId="760A4F84" w:rsidR="00004A2D" w:rsidRPr="00AF6E32" w:rsidRDefault="00CE679F" w:rsidP="00CE679F">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w:t>
            </w:r>
            <w:r w:rsidR="00004A2D" w:rsidRPr="00AF6E32">
              <w:rPr>
                <w:rFonts w:ascii="Arial Narrow" w:hAnsi="Arial Narrow" w:cs="Courier New"/>
                <w:color w:val="000000" w:themeColor="text1"/>
                <w:sz w:val="18"/>
                <w:szCs w:val="18"/>
              </w:rPr>
              <w:t>Form 4461-A</w:t>
            </w:r>
          </w:p>
        </w:tc>
        <w:tc>
          <w:tcPr>
            <w:tcW w:w="1464" w:type="dxa"/>
          </w:tcPr>
          <w:p w14:paraId="7354A3F7" w14:textId="035CD42A" w:rsidR="00004A2D" w:rsidRPr="00AF6E32" w:rsidRDefault="00CE679F" w:rsidP="00A064F4">
            <w:pPr>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11233BE9" w14:textId="4FCD1DE1" w:rsidR="00004A2D" w:rsidRPr="00AF6E32" w:rsidRDefault="00CE679F" w:rsidP="00CE679F">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100</w:t>
            </w:r>
          </w:p>
        </w:tc>
        <w:tc>
          <w:tcPr>
            <w:tcW w:w="1170" w:type="dxa"/>
          </w:tcPr>
          <w:p w14:paraId="0FBE12D1" w14:textId="16616DEB" w:rsidR="00004A2D" w:rsidRPr="00AF6E32" w:rsidRDefault="0093209C" w:rsidP="0093209C">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14:paraId="09E4A61C" w14:textId="15C5C91E" w:rsidR="00004A2D" w:rsidRPr="00AF6E32" w:rsidRDefault="0093209C" w:rsidP="00004A2D">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23C52CE8" w14:textId="718EF5E2" w:rsidR="00004A2D" w:rsidRPr="00AF6E32" w:rsidRDefault="0093209C" w:rsidP="00A064F4">
            <w:pPr>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14:paraId="5E58849D" w14:textId="6B4FC92D" w:rsidR="00004A2D" w:rsidRPr="00AF6E32" w:rsidRDefault="00004A2D" w:rsidP="00A064F4">
            <w:pPr>
              <w:numPr>
                <w:ilvl w:val="12"/>
                <w:numId w:val="0"/>
              </w:numPr>
              <w:jc w:val="right"/>
              <w:rPr>
                <w:rFonts w:ascii="Arial Narrow" w:hAnsi="Arial Narrow" w:cs="Courier New"/>
                <w:sz w:val="18"/>
                <w:szCs w:val="18"/>
              </w:rPr>
            </w:pPr>
            <w:r w:rsidRPr="00AF6E32">
              <w:rPr>
                <w:rFonts w:ascii="Arial Narrow" w:hAnsi="Arial Narrow" w:cs="Courier New"/>
                <w:sz w:val="18"/>
                <w:szCs w:val="18"/>
              </w:rPr>
              <w:t>1,550</w:t>
            </w:r>
          </w:p>
        </w:tc>
      </w:tr>
      <w:tr w:rsidR="00004A2D" w:rsidRPr="00AF6E32" w14:paraId="5A7C5014" w14:textId="77777777" w:rsidTr="00004A2D">
        <w:tc>
          <w:tcPr>
            <w:tcW w:w="1710" w:type="dxa"/>
            <w:shd w:val="clear" w:color="auto" w:fill="auto"/>
          </w:tcPr>
          <w:p w14:paraId="450EC15F" w14:textId="04996342" w:rsidR="00004A2D" w:rsidRPr="00AF6E32" w:rsidRDefault="00CE679F" w:rsidP="00CE679F">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w:t>
            </w:r>
            <w:r w:rsidR="00004A2D" w:rsidRPr="00AF6E32">
              <w:rPr>
                <w:rFonts w:ascii="Arial Narrow" w:hAnsi="Arial Narrow" w:cs="Courier New"/>
                <w:color w:val="000000" w:themeColor="text1"/>
                <w:sz w:val="18"/>
                <w:szCs w:val="18"/>
              </w:rPr>
              <w:t>Form 4461-B</w:t>
            </w:r>
          </w:p>
        </w:tc>
        <w:tc>
          <w:tcPr>
            <w:tcW w:w="1464" w:type="dxa"/>
          </w:tcPr>
          <w:p w14:paraId="621D25C9" w14:textId="1B43F2B4" w:rsidR="00004A2D" w:rsidRPr="00AF6E32" w:rsidRDefault="00CE679F" w:rsidP="00A064F4">
            <w:pPr>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133F8CC7" w14:textId="0B002538" w:rsidR="00004A2D" w:rsidRPr="00AF6E32" w:rsidRDefault="00CE679F" w:rsidP="00CE679F">
            <w:pPr>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6,000</w:t>
            </w:r>
          </w:p>
        </w:tc>
        <w:tc>
          <w:tcPr>
            <w:tcW w:w="1170" w:type="dxa"/>
          </w:tcPr>
          <w:p w14:paraId="08087255" w14:textId="2A636F9C" w:rsidR="00004A2D" w:rsidRPr="00AF6E32" w:rsidRDefault="0093209C" w:rsidP="00A064F4">
            <w:pPr>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1</w:t>
            </w:r>
          </w:p>
        </w:tc>
        <w:tc>
          <w:tcPr>
            <w:tcW w:w="1080" w:type="dxa"/>
            <w:shd w:val="clear" w:color="auto" w:fill="auto"/>
          </w:tcPr>
          <w:p w14:paraId="4716D7A8" w14:textId="43BD6F17" w:rsidR="00004A2D" w:rsidRPr="00AF6E32" w:rsidRDefault="0093209C" w:rsidP="0093209C">
            <w:pPr>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525C2B63" w14:textId="29E5D7A7" w:rsidR="00004A2D" w:rsidRPr="00AF6E32" w:rsidRDefault="0093209C" w:rsidP="00A064F4">
            <w:pPr>
              <w:numPr>
                <w:ilvl w:val="12"/>
                <w:numId w:val="0"/>
              </w:numPr>
              <w:jc w:val="center"/>
              <w:rPr>
                <w:rFonts w:ascii="Arial Narrow" w:hAnsi="Arial Narrow" w:cs="Courier New"/>
                <w:sz w:val="18"/>
                <w:szCs w:val="18"/>
              </w:rPr>
            </w:pPr>
            <w:r w:rsidRPr="00AF6E32">
              <w:rPr>
                <w:rFonts w:ascii="Arial Narrow" w:hAnsi="Arial Narrow" w:cs="Courier New"/>
                <w:sz w:val="18"/>
                <w:szCs w:val="18"/>
              </w:rPr>
              <w:t>1</w:t>
            </w:r>
          </w:p>
        </w:tc>
        <w:tc>
          <w:tcPr>
            <w:tcW w:w="1170" w:type="dxa"/>
            <w:shd w:val="clear" w:color="auto" w:fill="auto"/>
            <w:vAlign w:val="bottom"/>
          </w:tcPr>
          <w:p w14:paraId="34F94943" w14:textId="2D677B14" w:rsidR="00004A2D" w:rsidRPr="00AF6E32" w:rsidRDefault="00C60403" w:rsidP="00A064F4">
            <w:pPr>
              <w:numPr>
                <w:ilvl w:val="12"/>
                <w:numId w:val="0"/>
              </w:numPr>
              <w:jc w:val="right"/>
              <w:rPr>
                <w:rFonts w:ascii="Arial Narrow" w:hAnsi="Arial Narrow" w:cs="Courier New"/>
                <w:sz w:val="18"/>
                <w:szCs w:val="18"/>
              </w:rPr>
            </w:pPr>
            <w:r w:rsidRPr="00AF6E32">
              <w:rPr>
                <w:rFonts w:ascii="Arial Narrow" w:hAnsi="Arial Narrow" w:cs="Courier New"/>
                <w:sz w:val="18"/>
                <w:szCs w:val="18"/>
              </w:rPr>
              <w:t>6,</w:t>
            </w:r>
            <w:r w:rsidR="00004A2D" w:rsidRPr="00AF6E32">
              <w:rPr>
                <w:rFonts w:ascii="Arial Narrow" w:hAnsi="Arial Narrow" w:cs="Courier New"/>
                <w:sz w:val="18"/>
                <w:szCs w:val="18"/>
              </w:rPr>
              <w:t>000</w:t>
            </w:r>
          </w:p>
        </w:tc>
      </w:tr>
      <w:tr w:rsidR="00004A2D" w:rsidRPr="00AF6E32" w14:paraId="3B4F27D8" w14:textId="77777777" w:rsidTr="00004A2D">
        <w:tc>
          <w:tcPr>
            <w:tcW w:w="1710" w:type="dxa"/>
            <w:shd w:val="clear" w:color="auto" w:fill="auto"/>
            <w:vAlign w:val="bottom"/>
          </w:tcPr>
          <w:p w14:paraId="7318A3B8" w14:textId="77777777" w:rsidR="00004A2D" w:rsidRPr="00AF6E32" w:rsidRDefault="00004A2D" w:rsidP="00CE679F">
            <w:pPr>
              <w:numPr>
                <w:ilvl w:val="12"/>
                <w:numId w:val="0"/>
              </w:numPr>
              <w:rPr>
                <w:rFonts w:ascii="Arial Narrow" w:hAnsi="Arial Narrow"/>
                <w:b/>
                <w:color w:val="000000" w:themeColor="text1"/>
                <w:sz w:val="18"/>
                <w:szCs w:val="18"/>
              </w:rPr>
            </w:pPr>
            <w:r w:rsidRPr="00AF6E32">
              <w:rPr>
                <w:rFonts w:ascii="Arial Narrow" w:hAnsi="Arial Narrow"/>
                <w:b/>
                <w:color w:val="000000" w:themeColor="text1"/>
                <w:sz w:val="18"/>
                <w:szCs w:val="18"/>
              </w:rPr>
              <w:t>Totals</w:t>
            </w:r>
          </w:p>
        </w:tc>
        <w:tc>
          <w:tcPr>
            <w:tcW w:w="1464" w:type="dxa"/>
            <w:vAlign w:val="bottom"/>
          </w:tcPr>
          <w:p w14:paraId="134DBCA3" w14:textId="77777777" w:rsidR="00004A2D" w:rsidRPr="00AF6E32" w:rsidRDefault="00004A2D" w:rsidP="00A064F4">
            <w:pPr>
              <w:numPr>
                <w:ilvl w:val="12"/>
                <w:numId w:val="0"/>
              </w:numPr>
              <w:jc w:val="center"/>
              <w:rPr>
                <w:rFonts w:ascii="Arial Narrow" w:hAnsi="Arial Narrow"/>
                <w:b/>
                <w:color w:val="000000" w:themeColor="text1"/>
                <w:sz w:val="18"/>
                <w:szCs w:val="18"/>
              </w:rPr>
            </w:pPr>
          </w:p>
        </w:tc>
        <w:tc>
          <w:tcPr>
            <w:tcW w:w="1170" w:type="dxa"/>
            <w:vAlign w:val="bottom"/>
          </w:tcPr>
          <w:p w14:paraId="284A772F" w14:textId="3E806726" w:rsidR="00004A2D" w:rsidRPr="00AF6E32" w:rsidRDefault="00004A2D" w:rsidP="00F25448">
            <w:pPr>
              <w:numPr>
                <w:ilvl w:val="12"/>
                <w:numId w:val="0"/>
              </w:numPr>
              <w:jc w:val="right"/>
              <w:rPr>
                <w:rFonts w:ascii="Arial Narrow" w:hAnsi="Arial Narrow"/>
                <w:b/>
                <w:color w:val="000000" w:themeColor="text1"/>
                <w:sz w:val="18"/>
                <w:szCs w:val="18"/>
              </w:rPr>
            </w:pPr>
            <w:r w:rsidRPr="00AF6E32">
              <w:rPr>
                <w:rFonts w:ascii="Arial Narrow" w:hAnsi="Arial Narrow"/>
                <w:b/>
                <w:color w:val="000000" w:themeColor="text1"/>
                <w:sz w:val="18"/>
                <w:szCs w:val="18"/>
              </w:rPr>
              <w:t>3</w:t>
            </w:r>
            <w:r w:rsidR="00F25448" w:rsidRPr="00AF6E32">
              <w:rPr>
                <w:rFonts w:ascii="Arial Narrow" w:hAnsi="Arial Narrow"/>
                <w:b/>
                <w:color w:val="000000" w:themeColor="text1"/>
                <w:sz w:val="18"/>
                <w:szCs w:val="18"/>
              </w:rPr>
              <w:t>2</w:t>
            </w:r>
            <w:r w:rsidRPr="00AF6E32">
              <w:rPr>
                <w:rFonts w:ascii="Arial Narrow" w:hAnsi="Arial Narrow"/>
                <w:b/>
                <w:color w:val="000000" w:themeColor="text1"/>
                <w:sz w:val="18"/>
                <w:szCs w:val="18"/>
              </w:rPr>
              <w:t>1</w:t>
            </w:r>
            <w:r w:rsidR="00F25448" w:rsidRPr="00AF6E32">
              <w:rPr>
                <w:rFonts w:ascii="Arial Narrow" w:hAnsi="Arial Narrow"/>
                <w:b/>
                <w:color w:val="000000" w:themeColor="text1"/>
                <w:sz w:val="18"/>
                <w:szCs w:val="18"/>
              </w:rPr>
              <w:t>,</w:t>
            </w:r>
            <w:r w:rsidRPr="00AF6E32">
              <w:rPr>
                <w:rFonts w:ascii="Arial Narrow" w:hAnsi="Arial Narrow"/>
                <w:b/>
                <w:color w:val="000000" w:themeColor="text1"/>
                <w:sz w:val="18"/>
                <w:szCs w:val="18"/>
              </w:rPr>
              <w:t>5</w:t>
            </w:r>
            <w:r w:rsidR="00F25448" w:rsidRPr="00AF6E32">
              <w:rPr>
                <w:rFonts w:ascii="Arial Narrow" w:hAnsi="Arial Narrow"/>
                <w:b/>
                <w:color w:val="000000" w:themeColor="text1"/>
                <w:sz w:val="18"/>
                <w:szCs w:val="18"/>
              </w:rPr>
              <w:t>0</w:t>
            </w:r>
            <w:r w:rsidRPr="00AF6E32">
              <w:rPr>
                <w:rFonts w:ascii="Arial Narrow" w:hAnsi="Arial Narrow"/>
                <w:b/>
                <w:color w:val="000000" w:themeColor="text1"/>
                <w:sz w:val="18"/>
                <w:szCs w:val="18"/>
              </w:rPr>
              <w:t>0</w:t>
            </w:r>
          </w:p>
        </w:tc>
        <w:tc>
          <w:tcPr>
            <w:tcW w:w="1170" w:type="dxa"/>
            <w:vAlign w:val="bottom"/>
          </w:tcPr>
          <w:p w14:paraId="4BCB01DE" w14:textId="4E3F285A" w:rsidR="00004A2D" w:rsidRPr="00AF6E32" w:rsidRDefault="00004A2D" w:rsidP="00A064F4">
            <w:pPr>
              <w:numPr>
                <w:ilvl w:val="12"/>
                <w:numId w:val="0"/>
              </w:numPr>
              <w:jc w:val="center"/>
              <w:rPr>
                <w:rFonts w:ascii="Arial Narrow" w:hAnsi="Arial Narrow"/>
                <w:b/>
                <w:color w:val="000000" w:themeColor="text1"/>
                <w:sz w:val="18"/>
                <w:szCs w:val="18"/>
              </w:rPr>
            </w:pPr>
          </w:p>
        </w:tc>
        <w:tc>
          <w:tcPr>
            <w:tcW w:w="1080" w:type="dxa"/>
            <w:shd w:val="clear" w:color="auto" w:fill="auto"/>
            <w:vAlign w:val="bottom"/>
          </w:tcPr>
          <w:p w14:paraId="4613798A" w14:textId="146238E8" w:rsidR="00004A2D" w:rsidRPr="00AF6E32" w:rsidRDefault="00004A2D" w:rsidP="00A064F4">
            <w:pPr>
              <w:numPr>
                <w:ilvl w:val="12"/>
                <w:numId w:val="0"/>
              </w:numPr>
              <w:jc w:val="center"/>
              <w:rPr>
                <w:rFonts w:ascii="Arial Narrow" w:hAnsi="Arial Narrow"/>
                <w:b/>
                <w:color w:val="000000" w:themeColor="text1"/>
                <w:sz w:val="18"/>
                <w:szCs w:val="18"/>
              </w:rPr>
            </w:pPr>
          </w:p>
        </w:tc>
        <w:tc>
          <w:tcPr>
            <w:tcW w:w="1170" w:type="dxa"/>
            <w:vAlign w:val="bottom"/>
          </w:tcPr>
          <w:p w14:paraId="742A7F71" w14:textId="77777777" w:rsidR="00004A2D" w:rsidRPr="00AF6E32" w:rsidRDefault="00004A2D" w:rsidP="00A064F4">
            <w:pPr>
              <w:numPr>
                <w:ilvl w:val="12"/>
                <w:numId w:val="0"/>
              </w:numPr>
              <w:jc w:val="center"/>
              <w:rPr>
                <w:rFonts w:ascii="Arial Narrow" w:hAnsi="Arial Narrow"/>
                <w:b/>
                <w:sz w:val="18"/>
                <w:szCs w:val="18"/>
              </w:rPr>
            </w:pPr>
          </w:p>
        </w:tc>
        <w:tc>
          <w:tcPr>
            <w:tcW w:w="1170" w:type="dxa"/>
            <w:shd w:val="clear" w:color="auto" w:fill="auto"/>
            <w:vAlign w:val="bottom"/>
          </w:tcPr>
          <w:p w14:paraId="1D6809DD" w14:textId="5701316E" w:rsidR="00004A2D" w:rsidRPr="00AF6E32" w:rsidRDefault="00004A2D" w:rsidP="00A064F4">
            <w:pPr>
              <w:numPr>
                <w:ilvl w:val="12"/>
                <w:numId w:val="0"/>
              </w:numPr>
              <w:jc w:val="right"/>
              <w:rPr>
                <w:rFonts w:ascii="Arial Narrow" w:hAnsi="Arial Narrow"/>
                <w:b/>
                <w:sz w:val="18"/>
                <w:szCs w:val="18"/>
              </w:rPr>
            </w:pPr>
            <w:r w:rsidRPr="00AF6E32">
              <w:rPr>
                <w:rFonts w:ascii="Arial Narrow" w:hAnsi="Arial Narrow"/>
                <w:b/>
                <w:sz w:val="18"/>
                <w:szCs w:val="18"/>
              </w:rPr>
              <w:t>1,</w:t>
            </w:r>
            <w:r w:rsidR="00C60403" w:rsidRPr="00AF6E32">
              <w:rPr>
                <w:rFonts w:ascii="Arial Narrow" w:hAnsi="Arial Narrow"/>
                <w:b/>
                <w:sz w:val="18"/>
                <w:szCs w:val="18"/>
              </w:rPr>
              <w:t>108,225</w:t>
            </w:r>
          </w:p>
        </w:tc>
      </w:tr>
    </w:tbl>
    <w:p w14:paraId="346CBBF6" w14:textId="77777777" w:rsidR="00FF3BDB" w:rsidRPr="00AF6E32" w:rsidRDefault="00FF3BDB">
      <w:pPr>
        <w:ind w:left="720"/>
        <w:rPr>
          <w:rFonts w:asciiTheme="minorHAnsi" w:hAnsiTheme="minorHAnsi"/>
          <w:sz w:val="22"/>
          <w:szCs w:val="22"/>
        </w:rPr>
      </w:pPr>
    </w:p>
    <w:p w14:paraId="4A738E3B" w14:textId="77777777" w:rsidR="00830E36" w:rsidRPr="00AF6E32" w:rsidRDefault="00830E36">
      <w:pPr>
        <w:ind w:left="720"/>
        <w:rPr>
          <w:rFonts w:asciiTheme="minorHAnsi" w:hAnsiTheme="minorHAnsi"/>
          <w:b/>
          <w:sz w:val="22"/>
          <w:szCs w:val="22"/>
        </w:rPr>
      </w:pPr>
      <w:r w:rsidRPr="00AF6E32">
        <w:rPr>
          <w:rFonts w:asciiTheme="minorHAnsi" w:hAnsiTheme="minorHAnsi"/>
          <w:b/>
          <w:sz w:val="22"/>
          <w:szCs w:val="22"/>
        </w:rPr>
        <w:t>Revised</w:t>
      </w:r>
    </w:p>
    <w:p w14:paraId="4E243A4F" w14:textId="0C2AD8EE" w:rsidR="00FF3BDB" w:rsidRPr="00AF6E32" w:rsidRDefault="00B45FB4">
      <w:pPr>
        <w:ind w:left="720"/>
        <w:rPr>
          <w:rFonts w:asciiTheme="minorHAnsi" w:hAnsiTheme="minorHAnsi"/>
          <w:sz w:val="22"/>
          <w:szCs w:val="22"/>
        </w:rPr>
      </w:pPr>
      <w:r w:rsidRPr="00AF6E32">
        <w:rPr>
          <w:rFonts w:asciiTheme="minorHAnsi" w:hAnsiTheme="minorHAnsi"/>
          <w:sz w:val="22"/>
          <w:szCs w:val="22"/>
        </w:rPr>
        <w:t>(</w:t>
      </w:r>
      <w:proofErr w:type="gramStart"/>
      <w:r w:rsidRPr="00AF6E32">
        <w:rPr>
          <w:rFonts w:asciiTheme="minorHAnsi" w:hAnsiTheme="minorHAnsi"/>
          <w:sz w:val="22"/>
          <w:szCs w:val="22"/>
        </w:rPr>
        <w:t>hours</w:t>
      </w:r>
      <w:proofErr w:type="gramEnd"/>
      <w:r w:rsidRPr="00AF6E32">
        <w:rPr>
          <w:rFonts w:asciiTheme="minorHAnsi" w:hAnsiTheme="minorHAnsi"/>
          <w:sz w:val="22"/>
          <w:szCs w:val="22"/>
        </w:rPr>
        <w:t xml:space="preserve">) </w:t>
      </w:r>
      <w:r w:rsidR="001E27CD" w:rsidRPr="00AF6E32">
        <w:rPr>
          <w:rFonts w:asciiTheme="minorHAnsi" w:hAnsiTheme="minorHAnsi"/>
          <w:sz w:val="22"/>
          <w:szCs w:val="22"/>
        </w:rPr>
        <w:t>310,590</w:t>
      </w:r>
      <w:r w:rsidR="00FF3BDB" w:rsidRPr="00AF6E32">
        <w:rPr>
          <w:rFonts w:asciiTheme="minorHAnsi" w:hAnsiTheme="minorHAnsi"/>
          <w:sz w:val="22"/>
          <w:szCs w:val="22"/>
        </w:rPr>
        <w:t xml:space="preserve"> + </w:t>
      </w:r>
      <w:r w:rsidR="001E27CD" w:rsidRPr="00AF6E32">
        <w:rPr>
          <w:rFonts w:asciiTheme="minorHAnsi" w:hAnsiTheme="minorHAnsi"/>
          <w:sz w:val="22"/>
          <w:szCs w:val="22"/>
        </w:rPr>
        <w:t>783,000</w:t>
      </w:r>
      <w:r w:rsidR="00FF3BDB" w:rsidRPr="00AF6E32">
        <w:rPr>
          <w:rFonts w:asciiTheme="minorHAnsi" w:hAnsiTheme="minorHAnsi"/>
          <w:sz w:val="22"/>
          <w:szCs w:val="22"/>
        </w:rPr>
        <w:t xml:space="preserve"> + </w:t>
      </w:r>
      <w:r w:rsidR="001E27CD" w:rsidRPr="00AF6E32">
        <w:rPr>
          <w:rFonts w:asciiTheme="minorHAnsi" w:hAnsiTheme="minorHAnsi"/>
          <w:sz w:val="22"/>
          <w:szCs w:val="22"/>
        </w:rPr>
        <w:t>110</w:t>
      </w:r>
      <w:r w:rsidR="00FF3BDB" w:rsidRPr="00AF6E32">
        <w:rPr>
          <w:rFonts w:asciiTheme="minorHAnsi" w:hAnsiTheme="minorHAnsi"/>
          <w:sz w:val="22"/>
          <w:szCs w:val="22"/>
        </w:rPr>
        <w:t xml:space="preserve"> </w:t>
      </w:r>
      <w:r w:rsidR="00D2211A" w:rsidRPr="00AF6E32">
        <w:rPr>
          <w:rFonts w:asciiTheme="minorHAnsi" w:hAnsiTheme="minorHAnsi" w:cs="Courier New"/>
          <w:sz w:val="22"/>
          <w:szCs w:val="22"/>
        </w:rPr>
        <w:t xml:space="preserve">+ </w:t>
      </w:r>
      <w:r w:rsidR="00694FA0" w:rsidRPr="00AF6E32">
        <w:rPr>
          <w:rFonts w:asciiTheme="minorHAnsi" w:hAnsiTheme="minorHAnsi" w:cs="Courier New"/>
          <w:sz w:val="22"/>
          <w:szCs w:val="22"/>
        </w:rPr>
        <w:t xml:space="preserve">6,975 + 1,550 + 6,000 </w:t>
      </w:r>
      <w:r w:rsidR="00FF3BDB" w:rsidRPr="00AF6E32">
        <w:rPr>
          <w:rFonts w:asciiTheme="minorHAnsi" w:hAnsiTheme="minorHAnsi"/>
          <w:sz w:val="22"/>
          <w:szCs w:val="22"/>
        </w:rPr>
        <w:t xml:space="preserve">= </w:t>
      </w:r>
      <w:r w:rsidRPr="00AF6E32">
        <w:rPr>
          <w:rFonts w:asciiTheme="minorHAnsi" w:hAnsiTheme="minorHAnsi"/>
          <w:sz w:val="22"/>
          <w:szCs w:val="22"/>
        </w:rPr>
        <w:t>1,</w:t>
      </w:r>
      <w:r w:rsidR="00D2211A" w:rsidRPr="00AF6E32">
        <w:rPr>
          <w:rFonts w:asciiTheme="minorHAnsi" w:hAnsiTheme="minorHAnsi" w:cs="Courier New"/>
          <w:sz w:val="22"/>
          <w:szCs w:val="22"/>
        </w:rPr>
        <w:t>108,225</w:t>
      </w:r>
      <w:r w:rsidR="00BD6D41" w:rsidRPr="00AF6E32">
        <w:rPr>
          <w:rFonts w:asciiTheme="minorHAnsi" w:hAnsiTheme="minorHAnsi"/>
          <w:strike/>
          <w:sz w:val="22"/>
          <w:szCs w:val="22"/>
        </w:rPr>
        <w:t xml:space="preserve"> </w:t>
      </w:r>
    </w:p>
    <w:p w14:paraId="5EDDD079" w14:textId="77777777" w:rsidR="00FF3BDB" w:rsidRPr="00AF6E32" w:rsidRDefault="00FF3BDB">
      <w:pPr>
        <w:ind w:left="720"/>
        <w:rPr>
          <w:rFonts w:asciiTheme="minorHAnsi" w:hAnsiTheme="minorHAnsi"/>
          <w:sz w:val="22"/>
          <w:szCs w:val="22"/>
        </w:rPr>
      </w:pPr>
    </w:p>
    <w:p w14:paraId="7E93A1BF" w14:textId="0C59A4EB" w:rsidR="00FF3BDB" w:rsidRPr="00AF6E32" w:rsidRDefault="00B45FB4">
      <w:pPr>
        <w:ind w:left="720"/>
        <w:rPr>
          <w:rFonts w:asciiTheme="minorHAnsi" w:hAnsiTheme="minorHAnsi"/>
          <w:sz w:val="22"/>
          <w:szCs w:val="22"/>
        </w:rPr>
      </w:pPr>
      <w:r w:rsidRPr="00AF6E32">
        <w:rPr>
          <w:rFonts w:asciiTheme="minorHAnsi" w:hAnsiTheme="minorHAnsi"/>
          <w:sz w:val="22"/>
          <w:szCs w:val="22"/>
        </w:rPr>
        <w:t>(</w:t>
      </w:r>
      <w:proofErr w:type="gramStart"/>
      <w:r w:rsidRPr="00AF6E32">
        <w:rPr>
          <w:rFonts w:asciiTheme="minorHAnsi" w:hAnsiTheme="minorHAnsi"/>
          <w:sz w:val="22"/>
          <w:szCs w:val="22"/>
        </w:rPr>
        <w:t>respondents</w:t>
      </w:r>
      <w:proofErr w:type="gramEnd"/>
      <w:r w:rsidRPr="00AF6E32">
        <w:rPr>
          <w:rFonts w:asciiTheme="minorHAnsi" w:hAnsiTheme="minorHAnsi"/>
          <w:sz w:val="22"/>
          <w:szCs w:val="22"/>
        </w:rPr>
        <w:t xml:space="preserve"> and responses)310,590 </w:t>
      </w:r>
      <w:r w:rsidR="00FF3BDB" w:rsidRPr="00AF6E32">
        <w:rPr>
          <w:rFonts w:asciiTheme="minorHAnsi" w:hAnsiTheme="minorHAnsi"/>
          <w:sz w:val="22"/>
          <w:szCs w:val="22"/>
        </w:rPr>
        <w:t xml:space="preserve">+ </w:t>
      </w:r>
      <w:r w:rsidRPr="00AF6E32">
        <w:rPr>
          <w:rFonts w:asciiTheme="minorHAnsi" w:hAnsiTheme="minorHAnsi"/>
          <w:sz w:val="22"/>
          <w:szCs w:val="22"/>
        </w:rPr>
        <w:t>4,350</w:t>
      </w:r>
      <w:r w:rsidR="00FF3BDB" w:rsidRPr="00AF6E32">
        <w:rPr>
          <w:rFonts w:asciiTheme="minorHAnsi" w:hAnsiTheme="minorHAnsi"/>
          <w:sz w:val="22"/>
          <w:szCs w:val="22"/>
        </w:rPr>
        <w:t xml:space="preserve"> + </w:t>
      </w:r>
      <w:r w:rsidRPr="00AF6E32">
        <w:rPr>
          <w:rFonts w:asciiTheme="minorHAnsi" w:hAnsiTheme="minorHAnsi"/>
          <w:sz w:val="22"/>
          <w:szCs w:val="22"/>
        </w:rPr>
        <w:t>10</w:t>
      </w:r>
      <w:r w:rsidR="00D2211A" w:rsidRPr="00AF6E32">
        <w:rPr>
          <w:rFonts w:asciiTheme="minorHAnsi" w:hAnsiTheme="minorHAnsi"/>
          <w:sz w:val="22"/>
          <w:szCs w:val="22"/>
        </w:rPr>
        <w:t xml:space="preserve"> </w:t>
      </w:r>
      <w:r w:rsidR="00D2211A" w:rsidRPr="00AF6E32">
        <w:rPr>
          <w:rFonts w:asciiTheme="minorHAnsi" w:hAnsiTheme="minorHAnsi" w:cs="Courier New"/>
          <w:sz w:val="22"/>
          <w:szCs w:val="22"/>
        </w:rPr>
        <w:t xml:space="preserve">+ </w:t>
      </w:r>
      <w:r w:rsidR="00694FA0" w:rsidRPr="00AF6E32">
        <w:rPr>
          <w:rFonts w:asciiTheme="minorHAnsi" w:hAnsiTheme="minorHAnsi" w:cs="Courier New"/>
          <w:sz w:val="22"/>
          <w:szCs w:val="22"/>
        </w:rPr>
        <w:t xml:space="preserve">450 + 100 + </w:t>
      </w:r>
      <w:r w:rsidR="00F25448" w:rsidRPr="00AF6E32">
        <w:rPr>
          <w:rFonts w:asciiTheme="minorHAnsi" w:hAnsiTheme="minorHAnsi" w:cs="Courier New"/>
          <w:sz w:val="22"/>
          <w:szCs w:val="22"/>
        </w:rPr>
        <w:t>6,000</w:t>
      </w:r>
      <w:r w:rsidR="00FF3BDB" w:rsidRPr="00AF6E32">
        <w:rPr>
          <w:rFonts w:asciiTheme="minorHAnsi" w:hAnsiTheme="minorHAnsi" w:cs="Courier New"/>
          <w:sz w:val="22"/>
          <w:szCs w:val="22"/>
        </w:rPr>
        <w:t xml:space="preserve"> = </w:t>
      </w:r>
      <w:r w:rsidRPr="00AF6E32">
        <w:rPr>
          <w:rFonts w:asciiTheme="minorHAnsi" w:hAnsiTheme="minorHAnsi" w:cs="Courier New"/>
          <w:sz w:val="22"/>
          <w:szCs w:val="22"/>
        </w:rPr>
        <w:t>3</w:t>
      </w:r>
      <w:r w:rsidR="00D2211A" w:rsidRPr="00AF6E32">
        <w:rPr>
          <w:rFonts w:asciiTheme="minorHAnsi" w:hAnsiTheme="minorHAnsi" w:cs="Courier New"/>
          <w:sz w:val="22"/>
          <w:szCs w:val="22"/>
        </w:rPr>
        <w:t>21,500</w:t>
      </w:r>
    </w:p>
    <w:p w14:paraId="00B11CE5" w14:textId="77777777" w:rsidR="00FF3BDB" w:rsidRPr="00AF6E32" w:rsidRDefault="00FF3BDB">
      <w:pPr>
        <w:ind w:left="720"/>
        <w:rPr>
          <w:rFonts w:asciiTheme="minorHAnsi" w:hAnsiTheme="minorHAnsi"/>
          <w:sz w:val="22"/>
          <w:szCs w:val="22"/>
        </w:rPr>
      </w:pPr>
    </w:p>
    <w:p w14:paraId="25AE1E16" w14:textId="77777777" w:rsidR="00830E36" w:rsidRPr="00AF6E32" w:rsidRDefault="00830E36">
      <w:pPr>
        <w:ind w:left="720"/>
        <w:rPr>
          <w:rFonts w:asciiTheme="minorHAnsi" w:hAnsiTheme="minorHAnsi"/>
          <w:b/>
          <w:sz w:val="22"/>
          <w:szCs w:val="22"/>
        </w:rPr>
      </w:pPr>
      <w:r w:rsidRPr="00AF6E32">
        <w:rPr>
          <w:rFonts w:asciiTheme="minorHAnsi" w:hAnsiTheme="minorHAnsi"/>
          <w:b/>
          <w:sz w:val="22"/>
          <w:szCs w:val="22"/>
        </w:rPr>
        <w:t>Original</w:t>
      </w:r>
    </w:p>
    <w:p w14:paraId="23C501DE" w14:textId="77777777" w:rsidR="003D0D39" w:rsidRPr="00AF6E32" w:rsidRDefault="00B45FB4" w:rsidP="003D0D39">
      <w:pPr>
        <w:ind w:left="720"/>
        <w:rPr>
          <w:rFonts w:asciiTheme="minorHAnsi" w:hAnsiTheme="minorHAnsi"/>
          <w:sz w:val="22"/>
          <w:szCs w:val="22"/>
        </w:rPr>
      </w:pPr>
      <w:r w:rsidRPr="00AF6E32">
        <w:rPr>
          <w:rFonts w:asciiTheme="minorHAnsi" w:hAnsiTheme="minorHAnsi"/>
          <w:sz w:val="22"/>
          <w:szCs w:val="22"/>
        </w:rPr>
        <w:t>(</w:t>
      </w:r>
      <w:proofErr w:type="gramStart"/>
      <w:r w:rsidRPr="00AF6E32">
        <w:rPr>
          <w:rFonts w:asciiTheme="minorHAnsi" w:hAnsiTheme="minorHAnsi"/>
          <w:sz w:val="22"/>
          <w:szCs w:val="22"/>
        </w:rPr>
        <w:t>hours</w:t>
      </w:r>
      <w:proofErr w:type="gramEnd"/>
      <w:r w:rsidRPr="00AF6E32">
        <w:rPr>
          <w:rFonts w:asciiTheme="minorHAnsi" w:hAnsiTheme="minorHAnsi"/>
          <w:sz w:val="22"/>
          <w:szCs w:val="22"/>
        </w:rPr>
        <w:t xml:space="preserve">) </w:t>
      </w:r>
      <w:r w:rsidR="003D0D39" w:rsidRPr="00AF6E32">
        <w:rPr>
          <w:rFonts w:asciiTheme="minorHAnsi" w:hAnsiTheme="minorHAnsi"/>
          <w:sz w:val="22"/>
          <w:szCs w:val="22"/>
        </w:rPr>
        <w:t>626,400 + 15,225 + 262,500 + 84,000 + 165 = 988,290</w:t>
      </w:r>
    </w:p>
    <w:p w14:paraId="57E578C0" w14:textId="77777777" w:rsidR="003D0D39" w:rsidRPr="00AF6E32" w:rsidRDefault="003D0D39" w:rsidP="003D0D39">
      <w:pPr>
        <w:ind w:left="720"/>
        <w:rPr>
          <w:rFonts w:asciiTheme="minorHAnsi" w:hAnsiTheme="minorHAnsi"/>
          <w:sz w:val="22"/>
          <w:szCs w:val="22"/>
        </w:rPr>
      </w:pPr>
    </w:p>
    <w:p w14:paraId="195650CE" w14:textId="77777777" w:rsidR="003D0D39" w:rsidRPr="00AF6E32" w:rsidRDefault="00B45FB4" w:rsidP="003D0D39">
      <w:pPr>
        <w:ind w:left="720"/>
        <w:rPr>
          <w:rFonts w:asciiTheme="minorHAnsi" w:hAnsiTheme="minorHAnsi"/>
          <w:sz w:val="22"/>
          <w:szCs w:val="22"/>
        </w:rPr>
      </w:pPr>
      <w:r w:rsidRPr="00AF6E32">
        <w:rPr>
          <w:rFonts w:asciiTheme="minorHAnsi" w:hAnsiTheme="minorHAnsi"/>
          <w:sz w:val="22"/>
          <w:szCs w:val="22"/>
        </w:rPr>
        <w:t>(</w:t>
      </w:r>
      <w:proofErr w:type="gramStart"/>
      <w:r w:rsidRPr="00AF6E32">
        <w:rPr>
          <w:rFonts w:asciiTheme="minorHAnsi" w:hAnsiTheme="minorHAnsi"/>
          <w:sz w:val="22"/>
          <w:szCs w:val="22"/>
        </w:rPr>
        <w:t>respondents</w:t>
      </w:r>
      <w:proofErr w:type="gramEnd"/>
      <w:r w:rsidRPr="00AF6E32">
        <w:rPr>
          <w:rFonts w:asciiTheme="minorHAnsi" w:hAnsiTheme="minorHAnsi"/>
          <w:sz w:val="22"/>
          <w:szCs w:val="22"/>
        </w:rPr>
        <w:t xml:space="preserve">) </w:t>
      </w:r>
      <w:r w:rsidR="003D0D39" w:rsidRPr="00AF6E32">
        <w:rPr>
          <w:rFonts w:asciiTheme="minorHAnsi" w:hAnsiTheme="minorHAnsi"/>
          <w:sz w:val="22"/>
          <w:szCs w:val="22"/>
        </w:rPr>
        <w:t>262,500 + 42,000 + 5800 + 15 = 310,315</w:t>
      </w:r>
    </w:p>
    <w:p w14:paraId="1F66B20D" w14:textId="77777777" w:rsidR="003D0D39" w:rsidRPr="00AF6E32" w:rsidRDefault="003D0D39" w:rsidP="003D0D39">
      <w:pPr>
        <w:ind w:left="720"/>
        <w:rPr>
          <w:rFonts w:asciiTheme="minorHAnsi" w:hAnsiTheme="minorHAnsi"/>
          <w:sz w:val="22"/>
          <w:szCs w:val="22"/>
        </w:rPr>
      </w:pPr>
    </w:p>
    <w:p w14:paraId="41C94D93" w14:textId="77777777" w:rsidR="00805177" w:rsidRPr="00EC536F" w:rsidRDefault="00B45FB4">
      <w:pPr>
        <w:ind w:left="720"/>
        <w:rPr>
          <w:rFonts w:asciiTheme="minorHAnsi" w:hAnsiTheme="minorHAnsi"/>
          <w:sz w:val="22"/>
          <w:szCs w:val="22"/>
        </w:rPr>
      </w:pPr>
      <w:r w:rsidRPr="00AF6E32">
        <w:rPr>
          <w:rFonts w:asciiTheme="minorHAnsi" w:hAnsiTheme="minorHAnsi"/>
          <w:sz w:val="22"/>
          <w:szCs w:val="22"/>
        </w:rPr>
        <w:t>(</w:t>
      </w:r>
      <w:proofErr w:type="gramStart"/>
      <w:r w:rsidRPr="00AF6E32">
        <w:rPr>
          <w:rFonts w:asciiTheme="minorHAnsi" w:hAnsiTheme="minorHAnsi"/>
          <w:sz w:val="22"/>
          <w:szCs w:val="22"/>
        </w:rPr>
        <w:t>responses</w:t>
      </w:r>
      <w:proofErr w:type="gramEnd"/>
      <w:r w:rsidRPr="00AF6E32">
        <w:rPr>
          <w:rFonts w:asciiTheme="minorHAnsi" w:hAnsiTheme="minorHAnsi"/>
          <w:sz w:val="22"/>
          <w:szCs w:val="22"/>
        </w:rPr>
        <w:t xml:space="preserve">) </w:t>
      </w:r>
      <w:r w:rsidR="003D0D39" w:rsidRPr="00AF6E32">
        <w:rPr>
          <w:rFonts w:asciiTheme="minorHAnsi" w:hAnsiTheme="minorHAnsi"/>
          <w:sz w:val="22"/>
          <w:szCs w:val="22"/>
        </w:rPr>
        <w:t>262,500 + 42,000 + 5800 + 15 + 30,450 = 340,765</w:t>
      </w:r>
    </w:p>
    <w:p w14:paraId="62B1EAB9" w14:textId="77777777" w:rsidR="00BC0F22" w:rsidRPr="00AF6E32" w:rsidRDefault="00BC0F22">
      <w:pPr>
        <w:ind w:left="720"/>
        <w:rPr>
          <w:rFonts w:asciiTheme="minorHAnsi" w:hAnsiTheme="minorHAnsi"/>
          <w:sz w:val="22"/>
          <w:szCs w:val="22"/>
        </w:rPr>
      </w:pPr>
    </w:p>
    <w:p w14:paraId="5E86B1BE" w14:textId="77777777" w:rsidR="00B466C3" w:rsidRPr="00AF6E32" w:rsidRDefault="005A1E61" w:rsidP="007030B2">
      <w:pPr>
        <w:ind w:left="720"/>
        <w:rPr>
          <w:rFonts w:asciiTheme="minorHAnsi" w:hAnsiTheme="minorHAnsi"/>
          <w:sz w:val="22"/>
          <w:szCs w:val="22"/>
        </w:rPr>
      </w:pPr>
      <w:r w:rsidRPr="00AF6E32">
        <w:rPr>
          <w:rFonts w:asciiTheme="minorHAnsi" w:hAnsiTheme="minorHAnsi"/>
          <w:sz w:val="22"/>
          <w:szCs w:val="22"/>
        </w:rPr>
        <w:t>Estimates of the annualized cost to respondents for the hour burdens shown above are not available at this time.  These various burdens do not necessarily represent a net additional burden to taxpayers, since obtaining opinion letters can save taxpayers time that would otherwise be spent obtaining determination letters on individually designed plans.</w:t>
      </w:r>
      <w:r w:rsidR="00B466C3" w:rsidRPr="00AF6E32">
        <w:rPr>
          <w:rFonts w:asciiTheme="minorHAnsi" w:hAnsiTheme="minorHAnsi"/>
          <w:sz w:val="22"/>
          <w:szCs w:val="22"/>
        </w:rPr>
        <w:t xml:space="preserve"> </w:t>
      </w:r>
    </w:p>
    <w:p w14:paraId="705DAD7F" w14:textId="77777777" w:rsidR="00B466C3" w:rsidRPr="00AF6E32" w:rsidRDefault="00B466C3" w:rsidP="007030B2">
      <w:pPr>
        <w:ind w:left="720"/>
        <w:rPr>
          <w:rFonts w:asciiTheme="minorHAnsi" w:hAnsiTheme="minorHAnsi"/>
        </w:rPr>
      </w:pPr>
    </w:p>
    <w:p w14:paraId="54D5DB6B" w14:textId="77777777" w:rsidR="007030B2" w:rsidRPr="00AF6E32" w:rsidRDefault="00B466C3" w:rsidP="00B466C3">
      <w:pPr>
        <w:tabs>
          <w:tab w:val="left" w:pos="0"/>
        </w:tabs>
        <w:rPr>
          <w:rFonts w:asciiTheme="minorHAnsi" w:hAnsiTheme="minorHAnsi"/>
          <w:u w:val="single"/>
        </w:rPr>
      </w:pPr>
      <w:r w:rsidRPr="00AF6E32">
        <w:rPr>
          <w:rFonts w:asciiTheme="minorHAnsi" w:hAnsiTheme="minorHAnsi"/>
        </w:rPr>
        <w:t xml:space="preserve">13.  </w:t>
      </w:r>
      <w:r w:rsidR="007030B2" w:rsidRPr="00AF6E32">
        <w:rPr>
          <w:rFonts w:asciiTheme="minorHAnsi" w:hAnsiTheme="minorHAnsi"/>
          <w:u w:val="single"/>
        </w:rPr>
        <w:t xml:space="preserve">ESTIMATED TOTAL ANNUAL COST BURDEN TO RESPONDENTS </w:t>
      </w:r>
    </w:p>
    <w:p w14:paraId="2B4F827F" w14:textId="77777777" w:rsidR="007030B2" w:rsidRPr="00AF6E32" w:rsidRDefault="007030B2" w:rsidP="007030B2">
      <w:pPr>
        <w:ind w:left="720"/>
        <w:rPr>
          <w:rFonts w:asciiTheme="minorHAnsi" w:hAnsiTheme="minorHAnsi"/>
          <w:u w:val="single"/>
        </w:rPr>
      </w:pPr>
    </w:p>
    <w:p w14:paraId="244E07D2" w14:textId="77777777" w:rsidR="00E20C41" w:rsidRPr="00AF6E32" w:rsidRDefault="007030B2" w:rsidP="007030B2">
      <w:pPr>
        <w:ind w:left="720"/>
        <w:rPr>
          <w:rFonts w:asciiTheme="minorHAnsi" w:hAnsiTheme="minorHAnsi"/>
          <w:u w:val="single"/>
        </w:rPr>
      </w:pPr>
      <w:r w:rsidRPr="00AF6E32">
        <w:rPr>
          <w:rFonts w:asciiTheme="minorHAnsi" w:hAnsiTheme="minorHAnsi"/>
        </w:rPr>
        <w:t>There</w:t>
      </w:r>
      <w:r w:rsidR="00B466C3" w:rsidRPr="00AF6E32">
        <w:rPr>
          <w:rFonts w:asciiTheme="minorHAnsi" w:hAnsiTheme="minorHAnsi"/>
        </w:rPr>
        <w:t xml:space="preserve"> is</w:t>
      </w:r>
      <w:r w:rsidRPr="00AF6E32">
        <w:rPr>
          <w:rFonts w:asciiTheme="minorHAnsi" w:hAnsiTheme="minorHAnsi"/>
        </w:rPr>
        <w:t xml:space="preserve"> no start-up costs associated with this collection.</w:t>
      </w:r>
      <w:r w:rsidR="00E20C41" w:rsidRPr="00AF6E32">
        <w:rPr>
          <w:rFonts w:asciiTheme="minorHAnsi" w:hAnsiTheme="minorHAnsi"/>
          <w:u w:val="single"/>
        </w:rPr>
        <w:t xml:space="preserve"> </w:t>
      </w:r>
    </w:p>
    <w:p w14:paraId="608EDA47" w14:textId="77777777" w:rsidR="005A1E61" w:rsidRPr="00AF6E32" w:rsidRDefault="005A1E61">
      <w:pPr>
        <w:rPr>
          <w:rFonts w:asciiTheme="minorHAnsi" w:hAnsiTheme="minorHAnsi"/>
        </w:rPr>
      </w:pPr>
    </w:p>
    <w:p w14:paraId="6358D193" w14:textId="77777777" w:rsidR="005A1E61" w:rsidRPr="00AF6E32" w:rsidRDefault="005A1E61" w:rsidP="007030B2">
      <w:pPr>
        <w:pStyle w:val="Quick1"/>
        <w:numPr>
          <w:ilvl w:val="0"/>
          <w:numId w:val="7"/>
        </w:numPr>
        <w:tabs>
          <w:tab w:val="left" w:pos="-1440"/>
        </w:tabs>
        <w:rPr>
          <w:rFonts w:asciiTheme="minorHAnsi" w:hAnsiTheme="minorHAnsi"/>
        </w:rPr>
      </w:pPr>
      <w:r w:rsidRPr="00AF6E32">
        <w:rPr>
          <w:rFonts w:asciiTheme="minorHAnsi" w:hAnsiTheme="minorHAnsi"/>
          <w:u w:val="single"/>
        </w:rPr>
        <w:t>ESTIMATED ANNUALIZED COST TO THE FEDERAL GOVERNMENT</w:t>
      </w:r>
    </w:p>
    <w:p w14:paraId="616CD0F0" w14:textId="77777777" w:rsidR="005A1E61" w:rsidRPr="00AF6E32" w:rsidRDefault="005A1E61">
      <w:pPr>
        <w:rPr>
          <w:rFonts w:asciiTheme="minorHAnsi" w:hAnsiTheme="minorHAnsi"/>
        </w:rPr>
      </w:pPr>
    </w:p>
    <w:p w14:paraId="26986D8B" w14:textId="77777777" w:rsidR="005A1E61" w:rsidRPr="00AF6E32" w:rsidRDefault="00E20C41">
      <w:pPr>
        <w:ind w:left="720"/>
        <w:rPr>
          <w:rFonts w:asciiTheme="minorHAnsi" w:hAnsiTheme="minorHAnsi"/>
        </w:rPr>
      </w:pPr>
      <w:r w:rsidRPr="00AF6E32">
        <w:rPr>
          <w:rFonts w:asciiTheme="minorHAnsi" w:hAnsiTheme="minorHAnsi"/>
        </w:rPr>
        <w:t>There is no estimated annualized cost to the federal government.</w:t>
      </w:r>
    </w:p>
    <w:p w14:paraId="40AF259E" w14:textId="77777777" w:rsidR="005A1E61" w:rsidRPr="00AF6E32" w:rsidRDefault="005A1E61">
      <w:pPr>
        <w:rPr>
          <w:rFonts w:asciiTheme="minorHAnsi" w:hAnsiTheme="minorHAnsi"/>
        </w:rPr>
      </w:pPr>
      <w:bookmarkStart w:id="0" w:name="_GoBack"/>
      <w:bookmarkEnd w:id="0"/>
    </w:p>
    <w:p w14:paraId="1A42FA1D" w14:textId="77777777" w:rsidR="005A1E61" w:rsidRPr="00AF6E32" w:rsidRDefault="005A1E61" w:rsidP="007030B2">
      <w:pPr>
        <w:pStyle w:val="Quick1"/>
        <w:numPr>
          <w:ilvl w:val="0"/>
          <w:numId w:val="6"/>
        </w:numPr>
        <w:tabs>
          <w:tab w:val="left" w:pos="-1440"/>
        </w:tabs>
        <w:rPr>
          <w:rFonts w:asciiTheme="minorHAnsi" w:hAnsiTheme="minorHAnsi"/>
        </w:rPr>
      </w:pPr>
      <w:r w:rsidRPr="00AF6E32">
        <w:rPr>
          <w:rFonts w:asciiTheme="minorHAnsi" w:hAnsiTheme="minorHAnsi"/>
          <w:u w:val="single"/>
        </w:rPr>
        <w:t>REASONS FOR CHANGE IN BURDEN</w:t>
      </w:r>
    </w:p>
    <w:p w14:paraId="1681EA9A" w14:textId="77777777" w:rsidR="005A1E61" w:rsidRPr="00AF6E32" w:rsidRDefault="005A1E61" w:rsidP="009F1D9F">
      <w:pPr>
        <w:ind w:left="720"/>
        <w:rPr>
          <w:rFonts w:asciiTheme="minorHAnsi" w:hAnsiTheme="minorHAnsi"/>
        </w:rPr>
      </w:pPr>
    </w:p>
    <w:p w14:paraId="1111D50A" w14:textId="0F6FD3A9" w:rsidR="005A1E61" w:rsidRDefault="00E23FDC" w:rsidP="00E23FDC">
      <w:pPr>
        <w:ind w:left="720"/>
        <w:rPr>
          <w:rFonts w:asciiTheme="minorHAnsi" w:hAnsiTheme="minorHAnsi"/>
        </w:rPr>
      </w:pPr>
      <w:r w:rsidRPr="00AF6E32">
        <w:rPr>
          <w:rFonts w:asciiTheme="minorHAnsi" w:hAnsiTheme="minorHAnsi"/>
        </w:rPr>
        <w:t xml:space="preserve">Revenue </w:t>
      </w:r>
      <w:r w:rsidR="000A699E" w:rsidRPr="00AF6E32">
        <w:rPr>
          <w:rFonts w:asciiTheme="minorHAnsi" w:hAnsiTheme="minorHAnsi"/>
        </w:rPr>
        <w:t>P</w:t>
      </w:r>
      <w:r w:rsidRPr="00AF6E32">
        <w:rPr>
          <w:rFonts w:asciiTheme="minorHAnsi" w:hAnsiTheme="minorHAnsi"/>
        </w:rPr>
        <w:t>rocedure 201</w:t>
      </w:r>
      <w:r w:rsidR="00F80CC0" w:rsidRPr="00AF6E32">
        <w:rPr>
          <w:rFonts w:asciiTheme="minorHAnsi" w:hAnsiTheme="minorHAnsi"/>
        </w:rPr>
        <w:t>7</w:t>
      </w:r>
      <w:r w:rsidRPr="00AF6E32">
        <w:rPr>
          <w:rFonts w:asciiTheme="minorHAnsi" w:hAnsiTheme="minorHAnsi"/>
        </w:rPr>
        <w:t xml:space="preserve">-XX </w:t>
      </w:r>
      <w:r w:rsidR="00B45FB4" w:rsidRPr="00AF6E32">
        <w:rPr>
          <w:rFonts w:asciiTheme="minorHAnsi" w:hAnsiTheme="minorHAnsi"/>
        </w:rPr>
        <w:t xml:space="preserve">increases </w:t>
      </w:r>
      <w:r w:rsidRPr="00AF6E32">
        <w:rPr>
          <w:rFonts w:asciiTheme="minorHAnsi" w:hAnsiTheme="minorHAnsi"/>
        </w:rPr>
        <w:t xml:space="preserve">the annual hourly time burden.  </w:t>
      </w:r>
      <w:r w:rsidR="000C68E7" w:rsidRPr="00AF6E32">
        <w:rPr>
          <w:rFonts w:asciiTheme="minorHAnsi" w:hAnsiTheme="minorHAnsi"/>
        </w:rPr>
        <w:t xml:space="preserve">While the merger of the M&amp;P program with the VS program results in a reduction in the total number of pre-approved </w:t>
      </w:r>
      <w:r w:rsidR="00936408" w:rsidRPr="00AF6E32">
        <w:rPr>
          <w:rFonts w:asciiTheme="minorHAnsi" w:hAnsiTheme="minorHAnsi" w:cs="Courier New"/>
        </w:rPr>
        <w:t>providers</w:t>
      </w:r>
      <w:r w:rsidR="00936408" w:rsidRPr="00AF6E32">
        <w:rPr>
          <w:rFonts w:asciiTheme="minorHAnsi" w:hAnsiTheme="minorHAnsi"/>
        </w:rPr>
        <w:t xml:space="preserve"> </w:t>
      </w:r>
      <w:r w:rsidR="000C68E7" w:rsidRPr="00AF6E32">
        <w:rPr>
          <w:rFonts w:asciiTheme="minorHAnsi" w:hAnsiTheme="minorHAnsi"/>
        </w:rPr>
        <w:t xml:space="preserve">required </w:t>
      </w:r>
      <w:proofErr w:type="gramStart"/>
      <w:r w:rsidR="000C68E7" w:rsidRPr="00AF6E32">
        <w:rPr>
          <w:rFonts w:asciiTheme="minorHAnsi" w:hAnsiTheme="minorHAnsi"/>
        </w:rPr>
        <w:t>to</w:t>
      </w:r>
      <w:r w:rsidR="008456B3" w:rsidRPr="00AF6E32">
        <w:rPr>
          <w:rFonts w:asciiTheme="minorHAnsi" w:hAnsiTheme="minorHAnsi"/>
        </w:rPr>
        <w:t xml:space="preserve"> </w:t>
      </w:r>
      <w:r w:rsidR="000C68E7" w:rsidRPr="00AF6E32">
        <w:rPr>
          <w:rFonts w:asciiTheme="minorHAnsi" w:hAnsiTheme="minorHAnsi"/>
        </w:rPr>
        <w:t>submit</w:t>
      </w:r>
      <w:proofErr w:type="gramEnd"/>
      <w:r w:rsidR="000C68E7" w:rsidRPr="00AF6E32">
        <w:rPr>
          <w:rFonts w:asciiTheme="minorHAnsi" w:hAnsiTheme="minorHAnsi"/>
        </w:rPr>
        <w:t xml:space="preserve"> responses pursuant to this revenue procedure,</w:t>
      </w:r>
      <w:r w:rsidR="00360778" w:rsidRPr="00AF6E32">
        <w:rPr>
          <w:rFonts w:asciiTheme="minorHAnsi" w:hAnsiTheme="minorHAnsi"/>
        </w:rPr>
        <w:t xml:space="preserve"> the modifications to the pre-approved program make it more accessible to new types of plans</w:t>
      </w:r>
      <w:r w:rsidR="00936408" w:rsidRPr="00AF6E32">
        <w:rPr>
          <w:rFonts w:asciiTheme="minorHAnsi" w:hAnsiTheme="minorHAnsi" w:cs="Courier New"/>
        </w:rPr>
        <w:t>,</w:t>
      </w:r>
      <w:r w:rsidR="00360778" w:rsidRPr="00AF6E32">
        <w:rPr>
          <w:rFonts w:asciiTheme="minorHAnsi" w:hAnsiTheme="minorHAnsi"/>
        </w:rPr>
        <w:t xml:space="preserve"> increasing the number of total respon</w:t>
      </w:r>
      <w:r w:rsidR="00BA1409" w:rsidRPr="00AF6E32">
        <w:rPr>
          <w:rFonts w:asciiTheme="minorHAnsi" w:hAnsiTheme="minorHAnsi"/>
        </w:rPr>
        <w:t>dents</w:t>
      </w:r>
      <w:r w:rsidR="00360778" w:rsidRPr="00AF6E32">
        <w:rPr>
          <w:rFonts w:asciiTheme="minorHAnsi" w:hAnsiTheme="minorHAnsi"/>
        </w:rPr>
        <w:t xml:space="preserve">. </w:t>
      </w:r>
      <w:r w:rsidR="00BA1409" w:rsidRPr="00AF6E32">
        <w:rPr>
          <w:rFonts w:asciiTheme="minorHAnsi" w:hAnsiTheme="minorHAnsi"/>
        </w:rPr>
        <w:t>I</w:t>
      </w:r>
      <w:r w:rsidR="00360778" w:rsidRPr="00AF6E32">
        <w:rPr>
          <w:rFonts w:asciiTheme="minorHAnsi" w:hAnsiTheme="minorHAnsi"/>
        </w:rPr>
        <w:t xml:space="preserve">n addition, the merger will require </w:t>
      </w:r>
      <w:r w:rsidR="00936408" w:rsidRPr="00AF6E32">
        <w:rPr>
          <w:rFonts w:asciiTheme="minorHAnsi" w:hAnsiTheme="minorHAnsi" w:cs="Courier New"/>
        </w:rPr>
        <w:t>providers</w:t>
      </w:r>
      <w:r w:rsidR="00936408" w:rsidRPr="00AF6E32">
        <w:rPr>
          <w:rFonts w:asciiTheme="minorHAnsi" w:hAnsiTheme="minorHAnsi"/>
        </w:rPr>
        <w:t xml:space="preserve"> </w:t>
      </w:r>
      <w:r w:rsidR="00360778" w:rsidRPr="00AF6E32">
        <w:rPr>
          <w:rFonts w:asciiTheme="minorHAnsi" w:hAnsiTheme="minorHAnsi"/>
        </w:rPr>
        <w:t xml:space="preserve">to modify the plans they utilize to accommodate the rules of the modified </w:t>
      </w:r>
      <w:proofErr w:type="gramStart"/>
      <w:r w:rsidR="00360778" w:rsidRPr="00AF6E32">
        <w:rPr>
          <w:rFonts w:asciiTheme="minorHAnsi" w:hAnsiTheme="minorHAnsi"/>
        </w:rPr>
        <w:t>program which</w:t>
      </w:r>
      <w:proofErr w:type="gramEnd"/>
      <w:r w:rsidR="00360778" w:rsidRPr="00AF6E32">
        <w:rPr>
          <w:rFonts w:asciiTheme="minorHAnsi" w:hAnsiTheme="minorHAnsi"/>
        </w:rPr>
        <w:t xml:space="preserve"> </w:t>
      </w:r>
      <w:r w:rsidR="000C68E7" w:rsidRPr="00AF6E32">
        <w:rPr>
          <w:rFonts w:asciiTheme="minorHAnsi" w:hAnsiTheme="minorHAnsi"/>
        </w:rPr>
        <w:t xml:space="preserve">will lead to an increase in the total recordkeeping burden under this revenue procedure.   </w:t>
      </w:r>
      <w:r w:rsidRPr="00AF6E32">
        <w:rPr>
          <w:rFonts w:asciiTheme="minorHAnsi" w:hAnsiTheme="minorHAnsi"/>
        </w:rPr>
        <w:t xml:space="preserve"> </w:t>
      </w:r>
    </w:p>
    <w:p w14:paraId="4BC26427" w14:textId="77777777" w:rsidR="00AF6E32" w:rsidRPr="00AF6E32" w:rsidRDefault="00AF6E32" w:rsidP="00E23FDC">
      <w:pPr>
        <w:ind w:left="720"/>
        <w:rPr>
          <w:rFonts w:asciiTheme="minorHAnsi" w:hAnsiTheme="minorHAnsi"/>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15"/>
        <w:gridCol w:w="1315"/>
        <w:gridCol w:w="1315"/>
        <w:gridCol w:w="1315"/>
        <w:gridCol w:w="1315"/>
        <w:gridCol w:w="1315"/>
      </w:tblGrid>
      <w:tr w:rsidR="000915D1" w:rsidRPr="00BF2911" w14:paraId="70935BA9" w14:textId="77777777" w:rsidTr="00897FBB">
        <w:tc>
          <w:tcPr>
            <w:tcW w:w="799" w:type="pct"/>
            <w:tcBorders>
              <w:top w:val="outset" w:sz="6" w:space="0" w:color="auto"/>
              <w:left w:val="outset" w:sz="6" w:space="0" w:color="auto"/>
              <w:bottom w:val="outset" w:sz="6" w:space="0" w:color="auto"/>
              <w:right w:val="outset" w:sz="6" w:space="0" w:color="auto"/>
            </w:tcBorders>
            <w:vAlign w:val="center"/>
            <w:hideMark/>
          </w:tcPr>
          <w:p w14:paraId="50C75E9D"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B859A0F"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1F73EFF1"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3DC8B6C2"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1811E2"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2E72EA09"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09893A6F" w14:textId="77777777" w:rsidR="000915D1" w:rsidRPr="00BF2911" w:rsidRDefault="000915D1" w:rsidP="00897FBB">
            <w:pPr>
              <w:widowControl/>
              <w:autoSpaceDE/>
              <w:autoSpaceDN/>
              <w:adjustRightInd/>
              <w:jc w:val="center"/>
              <w:rPr>
                <w:rFonts w:ascii="Arial Narrow" w:hAnsi="Arial Narrow" w:cs="Arial"/>
                <w:b/>
                <w:bCs/>
                <w:color w:val="000000"/>
                <w:sz w:val="18"/>
                <w:szCs w:val="18"/>
              </w:rPr>
            </w:pPr>
            <w:r w:rsidRPr="00BF2911">
              <w:rPr>
                <w:rFonts w:ascii="Arial Narrow" w:hAnsi="Arial Narrow" w:cs="Arial"/>
                <w:b/>
                <w:bCs/>
                <w:color w:val="000000"/>
                <w:sz w:val="18"/>
                <w:szCs w:val="18"/>
              </w:rPr>
              <w:t>Previously Approved</w:t>
            </w:r>
          </w:p>
        </w:tc>
      </w:tr>
      <w:tr w:rsidR="000915D1" w:rsidRPr="00BF2911" w14:paraId="18CF991B" w14:textId="77777777" w:rsidTr="00897FBB">
        <w:tc>
          <w:tcPr>
            <w:tcW w:w="0" w:type="auto"/>
            <w:tcBorders>
              <w:top w:val="outset" w:sz="6" w:space="0" w:color="auto"/>
              <w:left w:val="outset" w:sz="6" w:space="0" w:color="auto"/>
              <w:bottom w:val="outset" w:sz="6" w:space="0" w:color="auto"/>
              <w:right w:val="outset" w:sz="6" w:space="0" w:color="auto"/>
            </w:tcBorders>
            <w:hideMark/>
          </w:tcPr>
          <w:p w14:paraId="60304A18" w14:textId="77777777"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3797638B" w14:textId="608E3B84"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w:t>
            </w:r>
            <w:r w:rsidR="00E917EB" w:rsidRPr="00E917EB">
              <w:rPr>
                <w:rFonts w:ascii="Arial Narrow" w:hAnsi="Arial Narrow" w:cs="Arial"/>
                <w:color w:val="000000"/>
                <w:sz w:val="18"/>
                <w:szCs w:val="18"/>
              </w:rPr>
              <w:t>321,500</w:t>
            </w:r>
          </w:p>
        </w:tc>
        <w:tc>
          <w:tcPr>
            <w:tcW w:w="0" w:type="auto"/>
            <w:tcBorders>
              <w:top w:val="outset" w:sz="6" w:space="0" w:color="auto"/>
              <w:left w:val="outset" w:sz="6" w:space="0" w:color="auto"/>
              <w:bottom w:val="outset" w:sz="6" w:space="0" w:color="auto"/>
              <w:right w:val="outset" w:sz="6" w:space="0" w:color="auto"/>
            </w:tcBorders>
            <w:hideMark/>
          </w:tcPr>
          <w:p w14:paraId="45D2A9C1" w14:textId="77777777"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3DC73E49" w14:textId="160C598F"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FAD42F3" w14:textId="6747E420"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w:t>
            </w:r>
            <w:r w:rsidR="00E917EB" w:rsidRPr="00E917EB">
              <w:rPr>
                <w:rFonts w:ascii="Arial Narrow" w:hAnsi="Arial Narrow" w:cs="Arial"/>
                <w:color w:val="000000"/>
                <w:sz w:val="18"/>
                <w:szCs w:val="18"/>
              </w:rPr>
              <w:t>-19,265</w:t>
            </w:r>
          </w:p>
        </w:tc>
        <w:tc>
          <w:tcPr>
            <w:tcW w:w="0" w:type="auto"/>
            <w:tcBorders>
              <w:top w:val="outset" w:sz="6" w:space="0" w:color="auto"/>
              <w:left w:val="outset" w:sz="6" w:space="0" w:color="auto"/>
              <w:bottom w:val="outset" w:sz="6" w:space="0" w:color="auto"/>
              <w:right w:val="outset" w:sz="6" w:space="0" w:color="auto"/>
            </w:tcBorders>
            <w:hideMark/>
          </w:tcPr>
          <w:p w14:paraId="54EE223E" w14:textId="77777777"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4EA486AE" w14:textId="64653113" w:rsidR="000915D1" w:rsidRPr="001A2AE4" w:rsidRDefault="000915D1" w:rsidP="00897FBB">
            <w:pPr>
              <w:widowControl/>
              <w:autoSpaceDE/>
              <w:autoSpaceDN/>
              <w:adjustRightInd/>
              <w:rPr>
                <w:rFonts w:ascii="Arial Narrow" w:hAnsi="Arial Narrow" w:cs="Arial"/>
                <w:b/>
                <w:color w:val="000000"/>
                <w:sz w:val="18"/>
                <w:szCs w:val="18"/>
              </w:rPr>
            </w:pPr>
            <w:r w:rsidRPr="001A2AE4">
              <w:rPr>
                <w:rFonts w:ascii="Arial Narrow" w:hAnsi="Arial Narrow" w:cs="Arial"/>
                <w:b/>
                <w:color w:val="000000"/>
                <w:sz w:val="18"/>
                <w:szCs w:val="18"/>
              </w:rPr>
              <w:t>  340,765</w:t>
            </w:r>
            <w:r w:rsidR="00E917EB" w:rsidRPr="00E917EB">
              <w:rPr>
                <w:color w:val="000000"/>
              </w:rPr>
              <w:t xml:space="preserve"> </w:t>
            </w:r>
          </w:p>
        </w:tc>
      </w:tr>
      <w:tr w:rsidR="000915D1" w:rsidRPr="00BF2911" w14:paraId="7CEA2BC2" w14:textId="77777777" w:rsidTr="00897FBB">
        <w:tc>
          <w:tcPr>
            <w:tcW w:w="0" w:type="auto"/>
            <w:tcBorders>
              <w:top w:val="outset" w:sz="6" w:space="0" w:color="auto"/>
              <w:left w:val="outset" w:sz="6" w:space="0" w:color="auto"/>
              <w:bottom w:val="outset" w:sz="6" w:space="0" w:color="auto"/>
              <w:right w:val="outset" w:sz="6" w:space="0" w:color="auto"/>
            </w:tcBorders>
            <w:hideMark/>
          </w:tcPr>
          <w:p w14:paraId="6F3156C1" w14:textId="1918830A"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Annual Time Burden (Hr</w:t>
            </w:r>
            <w:r w:rsidR="00E917EB">
              <w:rPr>
                <w:rFonts w:ascii="Arial Narrow" w:hAnsi="Arial Narrow" w:cs="Arial"/>
                <w:color w:val="000000"/>
                <w:sz w:val="18"/>
                <w:szCs w:val="18"/>
              </w:rPr>
              <w:t>.</w:t>
            </w:r>
            <w:r w:rsidRPr="00BF2911">
              <w:rPr>
                <w:rFonts w:ascii="Arial Narrow"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2DA21EC" w14:textId="5F818FD1" w:rsidR="000915D1" w:rsidRPr="00BF2911" w:rsidRDefault="000915D1" w:rsidP="00791459">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w:t>
            </w:r>
            <w:r w:rsidR="00791459">
              <w:rPr>
                <w:rFonts w:ascii="Arial Narrow" w:hAnsi="Arial Narrow" w:cs="Arial"/>
                <w:color w:val="000000"/>
                <w:sz w:val="18"/>
                <w:szCs w:val="18"/>
              </w:rPr>
              <w:t>1,093,700</w:t>
            </w:r>
          </w:p>
        </w:tc>
        <w:tc>
          <w:tcPr>
            <w:tcW w:w="0" w:type="auto"/>
            <w:tcBorders>
              <w:top w:val="outset" w:sz="6" w:space="0" w:color="auto"/>
              <w:left w:val="outset" w:sz="6" w:space="0" w:color="auto"/>
              <w:bottom w:val="outset" w:sz="6" w:space="0" w:color="auto"/>
              <w:right w:val="outset" w:sz="6" w:space="0" w:color="auto"/>
            </w:tcBorders>
            <w:hideMark/>
          </w:tcPr>
          <w:p w14:paraId="155445A9" w14:textId="77777777"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5D011F96" w14:textId="4E7DBAFA"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F25AA5E" w14:textId="683CBB51" w:rsidR="000915D1" w:rsidRPr="00BF2911" w:rsidRDefault="000915D1" w:rsidP="00791459">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w:t>
            </w:r>
            <w:r w:rsidR="00791459">
              <w:rPr>
                <w:rFonts w:ascii="Arial Narrow" w:hAnsi="Arial Narrow" w:cs="Arial"/>
                <w:color w:val="000000"/>
                <w:sz w:val="18"/>
                <w:szCs w:val="18"/>
              </w:rPr>
              <w:t>105,410</w:t>
            </w:r>
          </w:p>
        </w:tc>
        <w:tc>
          <w:tcPr>
            <w:tcW w:w="0" w:type="auto"/>
            <w:tcBorders>
              <w:top w:val="outset" w:sz="6" w:space="0" w:color="auto"/>
              <w:left w:val="outset" w:sz="6" w:space="0" w:color="auto"/>
              <w:bottom w:val="outset" w:sz="6" w:space="0" w:color="auto"/>
              <w:right w:val="outset" w:sz="6" w:space="0" w:color="auto"/>
            </w:tcBorders>
            <w:hideMark/>
          </w:tcPr>
          <w:p w14:paraId="330588B4" w14:textId="77777777" w:rsidR="000915D1" w:rsidRPr="00BF2911" w:rsidRDefault="000915D1" w:rsidP="00897FBB">
            <w:pPr>
              <w:widowControl/>
              <w:autoSpaceDE/>
              <w:autoSpaceDN/>
              <w:adjustRightInd/>
              <w:rPr>
                <w:rFonts w:ascii="Arial Narrow" w:hAnsi="Arial Narrow" w:cs="Arial"/>
                <w:color w:val="000000"/>
                <w:sz w:val="18"/>
                <w:szCs w:val="18"/>
              </w:rPr>
            </w:pPr>
            <w:r w:rsidRPr="00BF2911">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765A2FD6" w14:textId="77777777" w:rsidR="000915D1" w:rsidRPr="001A2AE4" w:rsidRDefault="000915D1" w:rsidP="00897FBB">
            <w:pPr>
              <w:widowControl/>
              <w:autoSpaceDE/>
              <w:autoSpaceDN/>
              <w:adjustRightInd/>
              <w:rPr>
                <w:rFonts w:ascii="Arial Narrow" w:hAnsi="Arial Narrow" w:cs="Arial"/>
                <w:b/>
                <w:color w:val="000000"/>
                <w:sz w:val="18"/>
                <w:szCs w:val="18"/>
              </w:rPr>
            </w:pPr>
            <w:r w:rsidRPr="001A2AE4">
              <w:rPr>
                <w:rFonts w:ascii="Arial Narrow" w:hAnsi="Arial Narrow" w:cs="Arial"/>
                <w:b/>
                <w:color w:val="000000"/>
                <w:sz w:val="18"/>
                <w:szCs w:val="18"/>
              </w:rPr>
              <w:t>  988,290</w:t>
            </w:r>
          </w:p>
        </w:tc>
      </w:tr>
    </w:tbl>
    <w:p w14:paraId="742691DC" w14:textId="77777777" w:rsidR="001E1C1B" w:rsidRPr="00F70EC5" w:rsidRDefault="001E1C1B" w:rsidP="00E23FDC">
      <w:pPr>
        <w:ind w:left="720"/>
        <w:rPr>
          <w:rFonts w:ascii="Courier New" w:hAnsi="Courier New" w:cs="Courier New"/>
        </w:rPr>
      </w:pPr>
    </w:p>
    <w:p w14:paraId="06B68BBA" w14:textId="77777777" w:rsidR="009F1D9F" w:rsidRPr="00594A49" w:rsidRDefault="009F1D9F">
      <w:pPr>
        <w:rPr>
          <w:rFonts w:ascii="Courier New" w:hAnsi="Courier New"/>
        </w:rPr>
      </w:pPr>
    </w:p>
    <w:p w14:paraId="241B1A24" w14:textId="77777777" w:rsidR="005A1E61" w:rsidRPr="00AF6E32" w:rsidRDefault="005A1E61" w:rsidP="007030B2">
      <w:pPr>
        <w:pStyle w:val="Quick1"/>
        <w:numPr>
          <w:ilvl w:val="0"/>
          <w:numId w:val="5"/>
        </w:numPr>
        <w:tabs>
          <w:tab w:val="left" w:pos="-1440"/>
        </w:tabs>
        <w:rPr>
          <w:rFonts w:asciiTheme="minorHAnsi" w:hAnsiTheme="minorHAnsi"/>
          <w:sz w:val="22"/>
          <w:szCs w:val="22"/>
        </w:rPr>
      </w:pPr>
      <w:r w:rsidRPr="00AF6E32">
        <w:rPr>
          <w:rFonts w:asciiTheme="minorHAnsi" w:hAnsiTheme="minorHAnsi"/>
          <w:sz w:val="22"/>
          <w:szCs w:val="22"/>
          <w:u w:val="single"/>
        </w:rPr>
        <w:t>PLANS FOR TABULATION, STATISTICAL ANALYSIS AND PUBLICATION</w:t>
      </w:r>
    </w:p>
    <w:p w14:paraId="3EC69A10" w14:textId="77777777" w:rsidR="007030B2" w:rsidRPr="00AF6E32" w:rsidRDefault="007030B2" w:rsidP="007030B2">
      <w:pPr>
        <w:rPr>
          <w:rFonts w:asciiTheme="minorHAnsi" w:hAnsiTheme="minorHAnsi"/>
          <w:sz w:val="22"/>
          <w:szCs w:val="22"/>
        </w:rPr>
      </w:pPr>
    </w:p>
    <w:p w14:paraId="04E3CBBD" w14:textId="6C4840FA" w:rsidR="005A1E61" w:rsidRPr="00AF6E32" w:rsidRDefault="007030B2" w:rsidP="00D64CEA">
      <w:pPr>
        <w:ind w:left="720"/>
        <w:rPr>
          <w:rFonts w:asciiTheme="minorHAnsi" w:hAnsiTheme="minorHAnsi"/>
          <w:sz w:val="22"/>
          <w:szCs w:val="22"/>
        </w:rPr>
      </w:pPr>
      <w:r w:rsidRPr="00AF6E32">
        <w:rPr>
          <w:rFonts w:asciiTheme="minorHAnsi" w:hAnsiTheme="minorHAnsi"/>
          <w:sz w:val="22"/>
          <w:szCs w:val="22"/>
        </w:rPr>
        <w:t>There are no plans for tabulation, statistical analysis and</w:t>
      </w:r>
      <w:r w:rsidRPr="00AF6E32">
        <w:rPr>
          <w:rFonts w:asciiTheme="minorHAnsi" w:hAnsiTheme="minorHAnsi" w:cs="Courier New"/>
          <w:sz w:val="22"/>
          <w:szCs w:val="22"/>
        </w:rPr>
        <w:t xml:space="preserve"> </w:t>
      </w:r>
      <w:r w:rsidRPr="00AF6E32">
        <w:rPr>
          <w:rFonts w:asciiTheme="minorHAnsi" w:hAnsiTheme="minorHAnsi"/>
          <w:sz w:val="22"/>
          <w:szCs w:val="22"/>
        </w:rPr>
        <w:t>publication.</w:t>
      </w:r>
    </w:p>
    <w:p w14:paraId="320BBA59" w14:textId="77777777" w:rsidR="005A1E61" w:rsidRPr="00AF6E32" w:rsidRDefault="005A1E61">
      <w:pPr>
        <w:rPr>
          <w:rFonts w:asciiTheme="minorHAnsi" w:hAnsiTheme="minorHAnsi"/>
          <w:sz w:val="22"/>
          <w:szCs w:val="22"/>
        </w:rPr>
      </w:pPr>
    </w:p>
    <w:p w14:paraId="06F8B403" w14:textId="77777777" w:rsidR="005A1E61" w:rsidRPr="00AF6E32" w:rsidRDefault="005A1E61" w:rsidP="007030B2">
      <w:pPr>
        <w:pStyle w:val="Quick1"/>
        <w:numPr>
          <w:ilvl w:val="0"/>
          <w:numId w:val="4"/>
        </w:numPr>
        <w:tabs>
          <w:tab w:val="left" w:pos="-1440"/>
        </w:tabs>
        <w:rPr>
          <w:rFonts w:asciiTheme="minorHAnsi" w:hAnsiTheme="minorHAnsi"/>
          <w:sz w:val="22"/>
          <w:szCs w:val="22"/>
        </w:rPr>
      </w:pPr>
      <w:r w:rsidRPr="00AF6E32">
        <w:rPr>
          <w:rFonts w:asciiTheme="minorHAnsi" w:hAnsiTheme="minorHAnsi"/>
          <w:sz w:val="22"/>
          <w:szCs w:val="22"/>
          <w:u w:val="single"/>
        </w:rPr>
        <w:t>REASONS WHY DISPLAYING THE OMB EXPIRATION DATE IS INAPPROPRIATE</w:t>
      </w:r>
    </w:p>
    <w:p w14:paraId="0E1E9C1A" w14:textId="77777777" w:rsidR="005A1E61" w:rsidRPr="00AF6E32" w:rsidRDefault="005A1E61">
      <w:pPr>
        <w:rPr>
          <w:rFonts w:asciiTheme="minorHAnsi" w:hAnsiTheme="minorHAnsi"/>
          <w:sz w:val="22"/>
          <w:szCs w:val="22"/>
        </w:rPr>
      </w:pPr>
    </w:p>
    <w:p w14:paraId="47575016"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We believe that displaying the OMB expiration date is inappropriate because it would cause confusion by leading taxpayers to believe that the revenue procedure sunsets as of the expiration date.  Taxpayers may not be aware that, if needed, the Service intends to request renewal of the OMB approval and obtain a new expiration date before the old one expires.</w:t>
      </w:r>
    </w:p>
    <w:p w14:paraId="7BA83022" w14:textId="77777777" w:rsidR="005A1E61" w:rsidRPr="00AF6E32" w:rsidRDefault="005A1E61">
      <w:pPr>
        <w:rPr>
          <w:rFonts w:asciiTheme="minorHAnsi" w:hAnsiTheme="minorHAnsi"/>
          <w:sz w:val="22"/>
          <w:szCs w:val="22"/>
        </w:rPr>
      </w:pPr>
    </w:p>
    <w:p w14:paraId="7E4B87E0" w14:textId="77777777" w:rsidR="005A1E61" w:rsidRPr="00AF6E32" w:rsidRDefault="005A1E61" w:rsidP="007030B2">
      <w:pPr>
        <w:pStyle w:val="Quick1"/>
        <w:numPr>
          <w:ilvl w:val="0"/>
          <w:numId w:val="3"/>
        </w:numPr>
        <w:tabs>
          <w:tab w:val="left" w:pos="-1440"/>
        </w:tabs>
        <w:rPr>
          <w:rFonts w:asciiTheme="minorHAnsi" w:hAnsiTheme="minorHAnsi"/>
          <w:sz w:val="22"/>
          <w:szCs w:val="22"/>
        </w:rPr>
      </w:pPr>
      <w:r w:rsidRPr="00AF6E32">
        <w:rPr>
          <w:rFonts w:asciiTheme="minorHAnsi" w:hAnsiTheme="minorHAnsi"/>
          <w:sz w:val="22"/>
          <w:szCs w:val="22"/>
          <w:u w:val="single"/>
        </w:rPr>
        <w:t>EXCEPTIONS TO THE CERTIFICATION STATEMENT</w:t>
      </w:r>
    </w:p>
    <w:p w14:paraId="32A8A26C" w14:textId="77777777" w:rsidR="005A1E61" w:rsidRPr="00AF6E32" w:rsidRDefault="005A1E61">
      <w:pPr>
        <w:rPr>
          <w:rFonts w:asciiTheme="minorHAnsi" w:hAnsiTheme="minorHAnsi"/>
          <w:sz w:val="22"/>
          <w:szCs w:val="22"/>
        </w:rPr>
      </w:pPr>
    </w:p>
    <w:p w14:paraId="0A6BE16E" w14:textId="77777777" w:rsidR="005A1E61" w:rsidRPr="00AF6E32" w:rsidRDefault="00ED60BF">
      <w:pPr>
        <w:ind w:firstLine="720"/>
        <w:rPr>
          <w:rFonts w:asciiTheme="minorHAnsi" w:hAnsiTheme="minorHAnsi"/>
          <w:sz w:val="22"/>
          <w:szCs w:val="22"/>
        </w:rPr>
      </w:pPr>
      <w:r w:rsidRPr="00AF6E32">
        <w:rPr>
          <w:rFonts w:asciiTheme="minorHAnsi" w:hAnsiTheme="minorHAnsi"/>
          <w:sz w:val="22"/>
          <w:szCs w:val="22"/>
        </w:rPr>
        <w:t>There are no exceptions to the certification statement</w:t>
      </w:r>
      <w:r w:rsidR="005A1E61" w:rsidRPr="00AF6E32">
        <w:rPr>
          <w:rFonts w:asciiTheme="minorHAnsi" w:hAnsiTheme="minorHAnsi"/>
          <w:sz w:val="22"/>
          <w:szCs w:val="22"/>
        </w:rPr>
        <w:t>.</w:t>
      </w:r>
    </w:p>
    <w:p w14:paraId="67B3E46B" w14:textId="77777777" w:rsidR="005A1E61" w:rsidRPr="00AF6E32" w:rsidRDefault="005A1E61">
      <w:pPr>
        <w:rPr>
          <w:rFonts w:asciiTheme="minorHAnsi" w:hAnsiTheme="minorHAnsi"/>
          <w:sz w:val="22"/>
          <w:szCs w:val="22"/>
        </w:rPr>
      </w:pPr>
    </w:p>
    <w:p w14:paraId="7B4EC432" w14:textId="77777777" w:rsidR="005A1E61" w:rsidRPr="00AF6E32" w:rsidRDefault="005A1E61">
      <w:pPr>
        <w:ind w:left="720"/>
        <w:rPr>
          <w:rFonts w:asciiTheme="minorHAnsi" w:hAnsiTheme="minorHAnsi"/>
          <w:sz w:val="22"/>
          <w:szCs w:val="22"/>
        </w:rPr>
      </w:pPr>
      <w:r w:rsidRPr="00AF6E32">
        <w:rPr>
          <w:rFonts w:asciiTheme="minorHAnsi" w:hAnsiTheme="minorHAnsi"/>
          <w:b/>
          <w:sz w:val="22"/>
          <w:szCs w:val="22"/>
          <w:u w:val="single"/>
        </w:rPr>
        <w:t xml:space="preserve">Note: </w:t>
      </w:r>
      <w:r w:rsidRPr="00AF6E32">
        <w:rPr>
          <w:rFonts w:asciiTheme="minorHAnsi" w:hAnsiTheme="minorHAnsi"/>
          <w:sz w:val="22"/>
          <w:szCs w:val="22"/>
        </w:rPr>
        <w:t>The following paragraph applies to all of the collections of information in this submission.</w:t>
      </w:r>
    </w:p>
    <w:p w14:paraId="17C99E83" w14:textId="77777777" w:rsidR="005A1E61" w:rsidRPr="00AF6E32" w:rsidRDefault="005A1E61">
      <w:pPr>
        <w:rPr>
          <w:rFonts w:asciiTheme="minorHAnsi" w:hAnsiTheme="minorHAnsi"/>
          <w:sz w:val="22"/>
          <w:szCs w:val="22"/>
        </w:rPr>
      </w:pPr>
    </w:p>
    <w:p w14:paraId="2CD2D418"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the collection of information </w:t>
      </w:r>
      <w:proofErr w:type="gramStart"/>
      <w:r w:rsidRPr="00AF6E32">
        <w:rPr>
          <w:rFonts w:asciiTheme="minorHAnsi" w:hAnsiTheme="minorHAnsi"/>
          <w:sz w:val="22"/>
          <w:szCs w:val="22"/>
        </w:rPr>
        <w:t>must be retained</w:t>
      </w:r>
      <w:proofErr w:type="gramEnd"/>
      <w:r w:rsidRPr="00AF6E32">
        <w:rPr>
          <w:rFonts w:asciiTheme="minorHAnsi" w:hAnsiTheme="minorHAnsi"/>
          <w:sz w:val="22"/>
          <w:szCs w:val="22"/>
        </w:rPr>
        <w:t xml:space="preserve"> as long as their contents may become material in the administration of any internal revenue law.  Generally, tax returns and tax return information are confidential as required by 26 U.S.C. </w:t>
      </w:r>
      <w:proofErr w:type="gramStart"/>
      <w:r w:rsidRPr="00AF6E32">
        <w:rPr>
          <w:rFonts w:asciiTheme="minorHAnsi" w:hAnsiTheme="minorHAnsi"/>
          <w:sz w:val="22"/>
          <w:szCs w:val="22"/>
        </w:rPr>
        <w:t>section</w:t>
      </w:r>
      <w:proofErr w:type="gramEnd"/>
      <w:r w:rsidRPr="00AF6E32">
        <w:rPr>
          <w:rFonts w:asciiTheme="minorHAnsi" w:hAnsiTheme="minorHAnsi"/>
          <w:sz w:val="22"/>
          <w:szCs w:val="22"/>
        </w:rPr>
        <w:t xml:space="preserve"> 6103.</w:t>
      </w:r>
    </w:p>
    <w:p w14:paraId="2F1F61A7" w14:textId="77777777" w:rsidR="005A1E61" w:rsidRPr="00AF6E32" w:rsidRDefault="005A1E61">
      <w:pPr>
        <w:rPr>
          <w:rFonts w:asciiTheme="minorHAnsi" w:hAnsiTheme="minorHAnsi" w:cs="Courier New"/>
          <w:sz w:val="22"/>
          <w:szCs w:val="22"/>
        </w:rPr>
      </w:pPr>
    </w:p>
    <w:sectPr w:rsidR="005A1E61" w:rsidRPr="00AF6E32" w:rsidSect="005A1E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A356B" w14:textId="77777777" w:rsidR="00FC62AD" w:rsidRDefault="00FC62AD">
      <w:r>
        <w:separator/>
      </w:r>
    </w:p>
  </w:endnote>
  <w:endnote w:type="continuationSeparator" w:id="0">
    <w:p w14:paraId="71EF08B9" w14:textId="77777777" w:rsidR="00FC62AD" w:rsidRDefault="00FC62AD">
      <w:r>
        <w:continuationSeparator/>
      </w:r>
    </w:p>
  </w:endnote>
  <w:endnote w:type="continuationNotice" w:id="1">
    <w:p w14:paraId="6A99C363" w14:textId="77777777" w:rsidR="00FC62AD" w:rsidRDefault="00FC6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BEC5" w14:textId="77777777" w:rsidR="005E1CEB" w:rsidRDefault="005E1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0C9B" w14:textId="77777777" w:rsidR="005E1CEB" w:rsidRDefault="005E1C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FD03" w14:textId="77777777" w:rsidR="005E1CEB" w:rsidRDefault="005E1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93561" w14:textId="77777777" w:rsidR="00FC62AD" w:rsidRDefault="00FC62AD">
      <w:r>
        <w:separator/>
      </w:r>
    </w:p>
  </w:footnote>
  <w:footnote w:type="continuationSeparator" w:id="0">
    <w:p w14:paraId="69942D03" w14:textId="77777777" w:rsidR="00FC62AD" w:rsidRDefault="00FC62AD">
      <w:r>
        <w:continuationSeparator/>
      </w:r>
    </w:p>
  </w:footnote>
  <w:footnote w:type="continuationNotice" w:id="1">
    <w:p w14:paraId="4689E560" w14:textId="77777777" w:rsidR="00FC62AD" w:rsidRDefault="00FC62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419AF" w14:textId="77777777" w:rsidR="005E1CEB" w:rsidRDefault="005E1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3CEA9" w14:textId="77777777" w:rsidR="00944C4D" w:rsidRDefault="00944C4D">
    <w:pPr>
      <w:framePr w:w="9361" w:wrap="notBeside" w:vAnchor="text" w:hAnchor="text" w:x="1" w:y="1"/>
      <w:jc w:val="center"/>
    </w:pPr>
    <w:r>
      <w:fldChar w:fldCharType="begin"/>
    </w:r>
    <w:r>
      <w:instrText xml:space="preserve">PAGE </w:instrText>
    </w:r>
    <w:r>
      <w:fldChar w:fldCharType="separate"/>
    </w:r>
    <w:r w:rsidR="00EC536F">
      <w:rPr>
        <w:noProof/>
      </w:rPr>
      <w:t>1</w:t>
    </w:r>
    <w:r>
      <w:fldChar w:fldCharType="end"/>
    </w:r>
  </w:p>
  <w:p w14:paraId="2A1BDBD3" w14:textId="77777777" w:rsidR="00944C4D" w:rsidRDefault="00944C4D"/>
  <w:p w14:paraId="09CCEA7F" w14:textId="77777777" w:rsidR="00944C4D" w:rsidRDefault="00944C4D">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919E" w14:textId="77777777" w:rsidR="005E1CEB" w:rsidRDefault="005E1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8"/>
      <w:lvl w:ilvl="0">
        <w:start w:val="8"/>
        <w:numFmt w:val="decimal"/>
        <w:pStyle w:val="Quick1"/>
        <w:lvlText w:val="%1."/>
        <w:lvlJc w:val="left"/>
      </w:lvl>
    </w:lvlOverride>
  </w:num>
  <w:num w:numId="3">
    <w:abstractNumId w:val="0"/>
    <w:lvlOverride w:ilvl="0">
      <w:startOverride w:val="18"/>
      <w:lvl w:ilvl="0">
        <w:start w:val="18"/>
        <w:numFmt w:val="decimal"/>
        <w:pStyle w:val="Quick1"/>
        <w:lvlText w:val="%1."/>
        <w:lvlJc w:val="left"/>
      </w:lvl>
    </w:lvlOverride>
  </w:num>
  <w:num w:numId="4">
    <w:abstractNumId w:val="0"/>
    <w:lvlOverride w:ilvl="0">
      <w:startOverride w:val="17"/>
      <w:lvl w:ilvl="0">
        <w:start w:val="17"/>
        <w:numFmt w:val="decimal"/>
        <w:pStyle w:val="Quick1"/>
        <w:lvlText w:val="%1."/>
        <w:lvlJc w:val="left"/>
      </w:lvl>
    </w:lvlOverride>
  </w:num>
  <w:num w:numId="5">
    <w:abstractNumId w:val="0"/>
    <w:lvlOverride w:ilvl="0">
      <w:startOverride w:val="16"/>
      <w:lvl w:ilvl="0">
        <w:start w:val="16"/>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4"/>
      <w:lvl w:ilvl="0">
        <w:start w:val="14"/>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61"/>
    <w:rsid w:val="00003C16"/>
    <w:rsid w:val="00004A2D"/>
    <w:rsid w:val="0000764F"/>
    <w:rsid w:val="000139B1"/>
    <w:rsid w:val="00022FCC"/>
    <w:rsid w:val="0005615E"/>
    <w:rsid w:val="00062EF2"/>
    <w:rsid w:val="00071FD1"/>
    <w:rsid w:val="000871BB"/>
    <w:rsid w:val="000915D1"/>
    <w:rsid w:val="000921DF"/>
    <w:rsid w:val="000946BE"/>
    <w:rsid w:val="000A699E"/>
    <w:rsid w:val="000B4255"/>
    <w:rsid w:val="000C68E7"/>
    <w:rsid w:val="000F304E"/>
    <w:rsid w:val="00106BF3"/>
    <w:rsid w:val="0014409F"/>
    <w:rsid w:val="001560FD"/>
    <w:rsid w:val="0016092F"/>
    <w:rsid w:val="00180DE9"/>
    <w:rsid w:val="001A2AE4"/>
    <w:rsid w:val="001B18A2"/>
    <w:rsid w:val="001C45CC"/>
    <w:rsid w:val="001E1C1B"/>
    <w:rsid w:val="001E27CD"/>
    <w:rsid w:val="002126D5"/>
    <w:rsid w:val="00215DF0"/>
    <w:rsid w:val="0024398E"/>
    <w:rsid w:val="0026257E"/>
    <w:rsid w:val="00267249"/>
    <w:rsid w:val="0027282E"/>
    <w:rsid w:val="00296039"/>
    <w:rsid w:val="002A3B05"/>
    <w:rsid w:val="002C2281"/>
    <w:rsid w:val="002C24A9"/>
    <w:rsid w:val="002D5DB9"/>
    <w:rsid w:val="002F2599"/>
    <w:rsid w:val="002F52CB"/>
    <w:rsid w:val="0031472D"/>
    <w:rsid w:val="003168D9"/>
    <w:rsid w:val="0033139A"/>
    <w:rsid w:val="00336A69"/>
    <w:rsid w:val="0034379F"/>
    <w:rsid w:val="00360778"/>
    <w:rsid w:val="003720EB"/>
    <w:rsid w:val="003756C5"/>
    <w:rsid w:val="003A30D4"/>
    <w:rsid w:val="003D0D39"/>
    <w:rsid w:val="003D698B"/>
    <w:rsid w:val="003E031A"/>
    <w:rsid w:val="00404DC1"/>
    <w:rsid w:val="00411D59"/>
    <w:rsid w:val="00436336"/>
    <w:rsid w:val="00443C35"/>
    <w:rsid w:val="00465EA0"/>
    <w:rsid w:val="0047016E"/>
    <w:rsid w:val="00472F57"/>
    <w:rsid w:val="004B4C88"/>
    <w:rsid w:val="004B5366"/>
    <w:rsid w:val="004D24EA"/>
    <w:rsid w:val="004F58A0"/>
    <w:rsid w:val="00504EEB"/>
    <w:rsid w:val="00526DAD"/>
    <w:rsid w:val="00527BD0"/>
    <w:rsid w:val="0053033C"/>
    <w:rsid w:val="00540E1B"/>
    <w:rsid w:val="00555ACC"/>
    <w:rsid w:val="00571D5E"/>
    <w:rsid w:val="00576553"/>
    <w:rsid w:val="00586D7E"/>
    <w:rsid w:val="00594A49"/>
    <w:rsid w:val="005A1E61"/>
    <w:rsid w:val="005B189C"/>
    <w:rsid w:val="005B40F1"/>
    <w:rsid w:val="005D044C"/>
    <w:rsid w:val="005D61C0"/>
    <w:rsid w:val="005E1CEB"/>
    <w:rsid w:val="005E2476"/>
    <w:rsid w:val="005F6CD7"/>
    <w:rsid w:val="00605E63"/>
    <w:rsid w:val="00651D96"/>
    <w:rsid w:val="0067215B"/>
    <w:rsid w:val="00672ACD"/>
    <w:rsid w:val="006873FA"/>
    <w:rsid w:val="0068766F"/>
    <w:rsid w:val="00694FA0"/>
    <w:rsid w:val="00696150"/>
    <w:rsid w:val="006977B4"/>
    <w:rsid w:val="006B0E8C"/>
    <w:rsid w:val="006B57A3"/>
    <w:rsid w:val="006C77D3"/>
    <w:rsid w:val="006F2CD2"/>
    <w:rsid w:val="006F3F06"/>
    <w:rsid w:val="007030B2"/>
    <w:rsid w:val="00703841"/>
    <w:rsid w:val="00716275"/>
    <w:rsid w:val="00734338"/>
    <w:rsid w:val="00754333"/>
    <w:rsid w:val="00763EE1"/>
    <w:rsid w:val="007645BD"/>
    <w:rsid w:val="00777B72"/>
    <w:rsid w:val="00791459"/>
    <w:rsid w:val="007B3A69"/>
    <w:rsid w:val="007E16BF"/>
    <w:rsid w:val="007E2364"/>
    <w:rsid w:val="007F31DA"/>
    <w:rsid w:val="008025AB"/>
    <w:rsid w:val="00805177"/>
    <w:rsid w:val="00822700"/>
    <w:rsid w:val="00830E36"/>
    <w:rsid w:val="008456B3"/>
    <w:rsid w:val="00884DFA"/>
    <w:rsid w:val="008873C3"/>
    <w:rsid w:val="008B035D"/>
    <w:rsid w:val="008B1A98"/>
    <w:rsid w:val="008B62EB"/>
    <w:rsid w:val="008D0273"/>
    <w:rsid w:val="00924504"/>
    <w:rsid w:val="0093209C"/>
    <w:rsid w:val="00935263"/>
    <w:rsid w:val="00936408"/>
    <w:rsid w:val="00944C4D"/>
    <w:rsid w:val="009458D5"/>
    <w:rsid w:val="00956965"/>
    <w:rsid w:val="009720E0"/>
    <w:rsid w:val="00972A86"/>
    <w:rsid w:val="0098730A"/>
    <w:rsid w:val="009A7F90"/>
    <w:rsid w:val="009B10DA"/>
    <w:rsid w:val="009B5886"/>
    <w:rsid w:val="009F1D9F"/>
    <w:rsid w:val="00A01ECE"/>
    <w:rsid w:val="00A1046F"/>
    <w:rsid w:val="00A15CD1"/>
    <w:rsid w:val="00A22773"/>
    <w:rsid w:val="00A231FB"/>
    <w:rsid w:val="00A26594"/>
    <w:rsid w:val="00A26AA2"/>
    <w:rsid w:val="00A46D7A"/>
    <w:rsid w:val="00A80B25"/>
    <w:rsid w:val="00A8433C"/>
    <w:rsid w:val="00A87977"/>
    <w:rsid w:val="00AA5032"/>
    <w:rsid w:val="00AB5128"/>
    <w:rsid w:val="00AC0D1D"/>
    <w:rsid w:val="00AC5EFF"/>
    <w:rsid w:val="00AC66C3"/>
    <w:rsid w:val="00AD3741"/>
    <w:rsid w:val="00AD5405"/>
    <w:rsid w:val="00AE1C6C"/>
    <w:rsid w:val="00AE760A"/>
    <w:rsid w:val="00AF297D"/>
    <w:rsid w:val="00AF6E32"/>
    <w:rsid w:val="00B0407A"/>
    <w:rsid w:val="00B23009"/>
    <w:rsid w:val="00B3197A"/>
    <w:rsid w:val="00B34528"/>
    <w:rsid w:val="00B34F62"/>
    <w:rsid w:val="00B36A11"/>
    <w:rsid w:val="00B45FB4"/>
    <w:rsid w:val="00B466C3"/>
    <w:rsid w:val="00B5612E"/>
    <w:rsid w:val="00B61F2B"/>
    <w:rsid w:val="00B855A4"/>
    <w:rsid w:val="00B90074"/>
    <w:rsid w:val="00B974BA"/>
    <w:rsid w:val="00BA1409"/>
    <w:rsid w:val="00BB34F1"/>
    <w:rsid w:val="00BB766F"/>
    <w:rsid w:val="00BC0F22"/>
    <w:rsid w:val="00BD169D"/>
    <w:rsid w:val="00BD6D41"/>
    <w:rsid w:val="00BE0427"/>
    <w:rsid w:val="00BE0920"/>
    <w:rsid w:val="00BE4F14"/>
    <w:rsid w:val="00BE6988"/>
    <w:rsid w:val="00BF2499"/>
    <w:rsid w:val="00BF2911"/>
    <w:rsid w:val="00C105D4"/>
    <w:rsid w:val="00C200E3"/>
    <w:rsid w:val="00C2706B"/>
    <w:rsid w:val="00C5041A"/>
    <w:rsid w:val="00C53869"/>
    <w:rsid w:val="00C60403"/>
    <w:rsid w:val="00C63108"/>
    <w:rsid w:val="00C63619"/>
    <w:rsid w:val="00C703CC"/>
    <w:rsid w:val="00C71B3B"/>
    <w:rsid w:val="00C73A8F"/>
    <w:rsid w:val="00C841D3"/>
    <w:rsid w:val="00C84361"/>
    <w:rsid w:val="00CA04E8"/>
    <w:rsid w:val="00CB4344"/>
    <w:rsid w:val="00CB5AE4"/>
    <w:rsid w:val="00CC2996"/>
    <w:rsid w:val="00CD1D55"/>
    <w:rsid w:val="00CD5172"/>
    <w:rsid w:val="00CE679F"/>
    <w:rsid w:val="00D178AA"/>
    <w:rsid w:val="00D2211A"/>
    <w:rsid w:val="00D26D49"/>
    <w:rsid w:val="00D3047F"/>
    <w:rsid w:val="00D43FF5"/>
    <w:rsid w:val="00D51A1F"/>
    <w:rsid w:val="00D51ECD"/>
    <w:rsid w:val="00D64CEA"/>
    <w:rsid w:val="00D65E89"/>
    <w:rsid w:val="00D952E4"/>
    <w:rsid w:val="00DC6785"/>
    <w:rsid w:val="00DE792D"/>
    <w:rsid w:val="00E0210D"/>
    <w:rsid w:val="00E02643"/>
    <w:rsid w:val="00E0737F"/>
    <w:rsid w:val="00E11896"/>
    <w:rsid w:val="00E13129"/>
    <w:rsid w:val="00E20C41"/>
    <w:rsid w:val="00E22A23"/>
    <w:rsid w:val="00E23FDC"/>
    <w:rsid w:val="00E44317"/>
    <w:rsid w:val="00E529A5"/>
    <w:rsid w:val="00E633C2"/>
    <w:rsid w:val="00E66137"/>
    <w:rsid w:val="00E8761D"/>
    <w:rsid w:val="00E917EB"/>
    <w:rsid w:val="00E95ABE"/>
    <w:rsid w:val="00EB7726"/>
    <w:rsid w:val="00EC536F"/>
    <w:rsid w:val="00ED203D"/>
    <w:rsid w:val="00ED60BF"/>
    <w:rsid w:val="00EE7DE0"/>
    <w:rsid w:val="00EF1E2E"/>
    <w:rsid w:val="00F04196"/>
    <w:rsid w:val="00F04AA0"/>
    <w:rsid w:val="00F10932"/>
    <w:rsid w:val="00F1315B"/>
    <w:rsid w:val="00F20B3F"/>
    <w:rsid w:val="00F2525C"/>
    <w:rsid w:val="00F25448"/>
    <w:rsid w:val="00F40B25"/>
    <w:rsid w:val="00F432FE"/>
    <w:rsid w:val="00F4534E"/>
    <w:rsid w:val="00F457E6"/>
    <w:rsid w:val="00F570C5"/>
    <w:rsid w:val="00F64246"/>
    <w:rsid w:val="00F70EC5"/>
    <w:rsid w:val="00F71DA1"/>
    <w:rsid w:val="00F80CC0"/>
    <w:rsid w:val="00F817BE"/>
    <w:rsid w:val="00FC0D82"/>
    <w:rsid w:val="00FC62AD"/>
    <w:rsid w:val="00FE20D1"/>
    <w:rsid w:val="00FF3BDB"/>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C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PlainText">
    <w:name w:val="Plain Text"/>
    <w:basedOn w:val="Normal"/>
    <w:rsid w:val="00EF1E2E"/>
    <w:pPr>
      <w:widowControl/>
      <w:autoSpaceDE/>
      <w:autoSpaceDN/>
      <w:adjustRightInd/>
      <w:spacing w:before="100" w:beforeAutospacing="1" w:after="100" w:afterAutospacing="1"/>
    </w:pPr>
  </w:style>
  <w:style w:type="paragraph" w:styleId="BalloonText">
    <w:name w:val="Balloon Text"/>
    <w:basedOn w:val="Normal"/>
    <w:link w:val="BalloonTextChar"/>
    <w:rsid w:val="00A8433C"/>
    <w:rPr>
      <w:rFonts w:ascii="Tahoma" w:hAnsi="Tahoma" w:cs="Tahoma"/>
      <w:sz w:val="16"/>
      <w:szCs w:val="16"/>
    </w:rPr>
  </w:style>
  <w:style w:type="character" w:customStyle="1" w:styleId="BalloonTextChar">
    <w:name w:val="Balloon Text Char"/>
    <w:link w:val="BalloonText"/>
    <w:rsid w:val="00A8433C"/>
    <w:rPr>
      <w:rFonts w:ascii="Tahoma" w:hAnsi="Tahoma" w:cs="Tahoma"/>
      <w:sz w:val="16"/>
      <w:szCs w:val="16"/>
    </w:rPr>
  </w:style>
  <w:style w:type="character" w:styleId="CommentReference">
    <w:name w:val="annotation reference"/>
    <w:basedOn w:val="DefaultParagraphFont"/>
    <w:rsid w:val="003D0D39"/>
    <w:rPr>
      <w:sz w:val="16"/>
      <w:szCs w:val="16"/>
    </w:rPr>
  </w:style>
  <w:style w:type="paragraph" w:styleId="CommentText">
    <w:name w:val="annotation text"/>
    <w:basedOn w:val="Normal"/>
    <w:link w:val="CommentTextChar"/>
    <w:rsid w:val="003D0D39"/>
    <w:rPr>
      <w:sz w:val="20"/>
      <w:szCs w:val="20"/>
    </w:rPr>
  </w:style>
  <w:style w:type="character" w:customStyle="1" w:styleId="CommentTextChar">
    <w:name w:val="Comment Text Char"/>
    <w:basedOn w:val="DefaultParagraphFont"/>
    <w:link w:val="CommentText"/>
    <w:rsid w:val="003D0D39"/>
  </w:style>
  <w:style w:type="paragraph" w:styleId="CommentSubject">
    <w:name w:val="annotation subject"/>
    <w:basedOn w:val="CommentText"/>
    <w:next w:val="CommentText"/>
    <w:link w:val="CommentSubjectChar"/>
    <w:rsid w:val="003D0D39"/>
    <w:rPr>
      <w:b/>
      <w:bCs/>
    </w:rPr>
  </w:style>
  <w:style w:type="character" w:customStyle="1" w:styleId="CommentSubjectChar">
    <w:name w:val="Comment Subject Char"/>
    <w:basedOn w:val="CommentTextChar"/>
    <w:link w:val="CommentSubject"/>
    <w:rsid w:val="003D0D39"/>
    <w:rPr>
      <w:b/>
      <w:bCs/>
    </w:rPr>
  </w:style>
  <w:style w:type="paragraph" w:styleId="Revision">
    <w:name w:val="Revision"/>
    <w:hidden/>
    <w:uiPriority w:val="99"/>
    <w:semiHidden/>
    <w:rsid w:val="00F80CC0"/>
    <w:rPr>
      <w:sz w:val="24"/>
      <w:szCs w:val="24"/>
    </w:rPr>
  </w:style>
  <w:style w:type="character" w:styleId="Hyperlink">
    <w:name w:val="Hyperlink"/>
    <w:basedOn w:val="DefaultParagraphFont"/>
    <w:uiPriority w:val="99"/>
    <w:unhideWhenUsed/>
    <w:rsid w:val="005E1CEB"/>
    <w:rPr>
      <w:strike w:val="0"/>
      <w:dstrike w:val="0"/>
      <w:color w:val="004B91"/>
      <w:u w:val="none"/>
      <w:effect w:val="none"/>
    </w:rPr>
  </w:style>
  <w:style w:type="paragraph" w:styleId="Header">
    <w:name w:val="header"/>
    <w:basedOn w:val="Normal"/>
    <w:link w:val="HeaderChar"/>
    <w:rsid w:val="005E1CEB"/>
    <w:pPr>
      <w:tabs>
        <w:tab w:val="center" w:pos="4680"/>
        <w:tab w:val="right" w:pos="9360"/>
      </w:tabs>
    </w:pPr>
  </w:style>
  <w:style w:type="character" w:customStyle="1" w:styleId="HeaderChar">
    <w:name w:val="Header Char"/>
    <w:basedOn w:val="DefaultParagraphFont"/>
    <w:link w:val="Header"/>
    <w:rsid w:val="005E1CEB"/>
    <w:rPr>
      <w:sz w:val="24"/>
      <w:szCs w:val="24"/>
    </w:rPr>
  </w:style>
  <w:style w:type="paragraph" w:styleId="Footer">
    <w:name w:val="footer"/>
    <w:basedOn w:val="Normal"/>
    <w:link w:val="FooterChar"/>
    <w:rsid w:val="005E1CEB"/>
    <w:pPr>
      <w:tabs>
        <w:tab w:val="center" w:pos="4680"/>
        <w:tab w:val="right" w:pos="9360"/>
      </w:tabs>
    </w:pPr>
  </w:style>
  <w:style w:type="character" w:customStyle="1" w:styleId="FooterChar">
    <w:name w:val="Footer Char"/>
    <w:basedOn w:val="DefaultParagraphFont"/>
    <w:link w:val="Footer"/>
    <w:rsid w:val="005E1CEB"/>
    <w:rPr>
      <w:sz w:val="24"/>
      <w:szCs w:val="24"/>
    </w:rPr>
  </w:style>
  <w:style w:type="table" w:styleId="TableGrid">
    <w:name w:val="Table Grid"/>
    <w:basedOn w:val="TableNormal"/>
    <w:rsid w:val="0059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C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PlainText">
    <w:name w:val="Plain Text"/>
    <w:basedOn w:val="Normal"/>
    <w:rsid w:val="00EF1E2E"/>
    <w:pPr>
      <w:widowControl/>
      <w:autoSpaceDE/>
      <w:autoSpaceDN/>
      <w:adjustRightInd/>
      <w:spacing w:before="100" w:beforeAutospacing="1" w:after="100" w:afterAutospacing="1"/>
    </w:pPr>
  </w:style>
  <w:style w:type="paragraph" w:styleId="BalloonText">
    <w:name w:val="Balloon Text"/>
    <w:basedOn w:val="Normal"/>
    <w:link w:val="BalloonTextChar"/>
    <w:rsid w:val="00A8433C"/>
    <w:rPr>
      <w:rFonts w:ascii="Tahoma" w:hAnsi="Tahoma" w:cs="Tahoma"/>
      <w:sz w:val="16"/>
      <w:szCs w:val="16"/>
    </w:rPr>
  </w:style>
  <w:style w:type="character" w:customStyle="1" w:styleId="BalloonTextChar">
    <w:name w:val="Balloon Text Char"/>
    <w:link w:val="BalloonText"/>
    <w:rsid w:val="00A8433C"/>
    <w:rPr>
      <w:rFonts w:ascii="Tahoma" w:hAnsi="Tahoma" w:cs="Tahoma"/>
      <w:sz w:val="16"/>
      <w:szCs w:val="16"/>
    </w:rPr>
  </w:style>
  <w:style w:type="character" w:styleId="CommentReference">
    <w:name w:val="annotation reference"/>
    <w:basedOn w:val="DefaultParagraphFont"/>
    <w:rsid w:val="003D0D39"/>
    <w:rPr>
      <w:sz w:val="16"/>
      <w:szCs w:val="16"/>
    </w:rPr>
  </w:style>
  <w:style w:type="paragraph" w:styleId="CommentText">
    <w:name w:val="annotation text"/>
    <w:basedOn w:val="Normal"/>
    <w:link w:val="CommentTextChar"/>
    <w:rsid w:val="003D0D39"/>
    <w:rPr>
      <w:sz w:val="20"/>
      <w:szCs w:val="20"/>
    </w:rPr>
  </w:style>
  <w:style w:type="character" w:customStyle="1" w:styleId="CommentTextChar">
    <w:name w:val="Comment Text Char"/>
    <w:basedOn w:val="DefaultParagraphFont"/>
    <w:link w:val="CommentText"/>
    <w:rsid w:val="003D0D39"/>
  </w:style>
  <w:style w:type="paragraph" w:styleId="CommentSubject">
    <w:name w:val="annotation subject"/>
    <w:basedOn w:val="CommentText"/>
    <w:next w:val="CommentText"/>
    <w:link w:val="CommentSubjectChar"/>
    <w:rsid w:val="003D0D39"/>
    <w:rPr>
      <w:b/>
      <w:bCs/>
    </w:rPr>
  </w:style>
  <w:style w:type="character" w:customStyle="1" w:styleId="CommentSubjectChar">
    <w:name w:val="Comment Subject Char"/>
    <w:basedOn w:val="CommentTextChar"/>
    <w:link w:val="CommentSubject"/>
    <w:rsid w:val="003D0D39"/>
    <w:rPr>
      <w:b/>
      <w:bCs/>
    </w:rPr>
  </w:style>
  <w:style w:type="paragraph" w:styleId="Revision">
    <w:name w:val="Revision"/>
    <w:hidden/>
    <w:uiPriority w:val="99"/>
    <w:semiHidden/>
    <w:rsid w:val="00F80CC0"/>
    <w:rPr>
      <w:sz w:val="24"/>
      <w:szCs w:val="24"/>
    </w:rPr>
  </w:style>
  <w:style w:type="character" w:styleId="Hyperlink">
    <w:name w:val="Hyperlink"/>
    <w:basedOn w:val="DefaultParagraphFont"/>
    <w:uiPriority w:val="99"/>
    <w:unhideWhenUsed/>
    <w:rsid w:val="005E1CEB"/>
    <w:rPr>
      <w:strike w:val="0"/>
      <w:dstrike w:val="0"/>
      <w:color w:val="004B91"/>
      <w:u w:val="none"/>
      <w:effect w:val="none"/>
    </w:rPr>
  </w:style>
  <w:style w:type="paragraph" w:styleId="Header">
    <w:name w:val="header"/>
    <w:basedOn w:val="Normal"/>
    <w:link w:val="HeaderChar"/>
    <w:rsid w:val="005E1CEB"/>
    <w:pPr>
      <w:tabs>
        <w:tab w:val="center" w:pos="4680"/>
        <w:tab w:val="right" w:pos="9360"/>
      </w:tabs>
    </w:pPr>
  </w:style>
  <w:style w:type="character" w:customStyle="1" w:styleId="HeaderChar">
    <w:name w:val="Header Char"/>
    <w:basedOn w:val="DefaultParagraphFont"/>
    <w:link w:val="Header"/>
    <w:rsid w:val="005E1CEB"/>
    <w:rPr>
      <w:sz w:val="24"/>
      <w:szCs w:val="24"/>
    </w:rPr>
  </w:style>
  <w:style w:type="paragraph" w:styleId="Footer">
    <w:name w:val="footer"/>
    <w:basedOn w:val="Normal"/>
    <w:link w:val="FooterChar"/>
    <w:rsid w:val="005E1CEB"/>
    <w:pPr>
      <w:tabs>
        <w:tab w:val="center" w:pos="4680"/>
        <w:tab w:val="right" w:pos="9360"/>
      </w:tabs>
    </w:pPr>
  </w:style>
  <w:style w:type="character" w:customStyle="1" w:styleId="FooterChar">
    <w:name w:val="Footer Char"/>
    <w:basedOn w:val="DefaultParagraphFont"/>
    <w:link w:val="Footer"/>
    <w:rsid w:val="005E1CEB"/>
    <w:rPr>
      <w:sz w:val="24"/>
      <w:szCs w:val="24"/>
    </w:rPr>
  </w:style>
  <w:style w:type="table" w:styleId="TableGrid">
    <w:name w:val="Table Grid"/>
    <w:basedOn w:val="TableNormal"/>
    <w:rsid w:val="0059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6045">
      <w:bodyDiv w:val="1"/>
      <w:marLeft w:val="0"/>
      <w:marRight w:val="0"/>
      <w:marTop w:val="0"/>
      <w:marBottom w:val="0"/>
      <w:divBdr>
        <w:top w:val="none" w:sz="0" w:space="0" w:color="auto"/>
        <w:left w:val="none" w:sz="0" w:space="0" w:color="auto"/>
        <w:bottom w:val="none" w:sz="0" w:space="0" w:color="auto"/>
        <w:right w:val="none" w:sz="0" w:space="0" w:color="auto"/>
      </w:divBdr>
      <w:divsChild>
        <w:div w:id="946427257">
          <w:marLeft w:val="0"/>
          <w:marRight w:val="0"/>
          <w:marTop w:val="0"/>
          <w:marBottom w:val="0"/>
          <w:divBdr>
            <w:top w:val="none" w:sz="0" w:space="0" w:color="auto"/>
            <w:left w:val="none" w:sz="0" w:space="0" w:color="auto"/>
            <w:bottom w:val="none" w:sz="0" w:space="0" w:color="auto"/>
            <w:right w:val="none" w:sz="0" w:space="0" w:color="auto"/>
          </w:divBdr>
          <w:divsChild>
            <w:div w:id="142082380">
              <w:marLeft w:val="0"/>
              <w:marRight w:val="0"/>
              <w:marTop w:val="0"/>
              <w:marBottom w:val="0"/>
              <w:divBdr>
                <w:top w:val="single" w:sz="6" w:space="11" w:color="FCFCFC"/>
                <w:left w:val="single" w:sz="6" w:space="11" w:color="ECECEC"/>
                <w:bottom w:val="single" w:sz="6" w:space="4" w:color="ECECEC"/>
                <w:right w:val="single" w:sz="6" w:space="11" w:color="ECECEC"/>
              </w:divBdr>
              <w:divsChild>
                <w:div w:id="6823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326">
      <w:bodyDiv w:val="1"/>
      <w:marLeft w:val="0"/>
      <w:marRight w:val="0"/>
      <w:marTop w:val="0"/>
      <w:marBottom w:val="0"/>
      <w:divBdr>
        <w:top w:val="none" w:sz="0" w:space="0" w:color="auto"/>
        <w:left w:val="none" w:sz="0" w:space="0" w:color="auto"/>
        <w:bottom w:val="none" w:sz="0" w:space="0" w:color="auto"/>
        <w:right w:val="none" w:sz="0" w:space="0" w:color="auto"/>
      </w:divBdr>
      <w:divsChild>
        <w:div w:id="87511149">
          <w:marLeft w:val="0"/>
          <w:marRight w:val="0"/>
          <w:marTop w:val="0"/>
          <w:marBottom w:val="0"/>
          <w:divBdr>
            <w:top w:val="none" w:sz="0" w:space="0" w:color="auto"/>
            <w:left w:val="none" w:sz="0" w:space="0" w:color="auto"/>
            <w:bottom w:val="none" w:sz="0" w:space="0" w:color="auto"/>
            <w:right w:val="none" w:sz="0" w:space="0" w:color="auto"/>
          </w:divBdr>
          <w:divsChild>
            <w:div w:id="1885755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27C-9D29-4119-B8DE-C6D23215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10842</Characters>
  <Application>Microsoft Office Word</Application>
  <DocSecurity>0</DocSecurity>
  <Lines>90</Lines>
  <Paragraphs>25</Paragraphs>
  <ScaleCrop>false</ScaleCrop>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2017-06-08T19:21:00Z</dcterms:created>
  <dcterms:modified xsi:type="dcterms:W3CDTF">2017-06-08T19:24:00Z</dcterms:modified>
</cp:coreProperties>
</file>