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28E" w:rsidRDefault="00B0028E">
      <w:pPr>
        <w:pStyle w:val="Header"/>
        <w:widowControl/>
        <w:tabs>
          <w:tab w:val="clear" w:pos="4320"/>
          <w:tab w:val="left" w:pos="0"/>
          <w:tab w:val="center" w:pos="4680"/>
          <w:tab w:val="left" w:pos="5040"/>
          <w:tab w:val="left" w:pos="5760"/>
          <w:tab w:val="left" w:pos="6480"/>
          <w:tab w:val="left" w:pos="7200"/>
          <w:tab w:val="left" w:pos="7920"/>
          <w:tab w:val="left" w:pos="8640"/>
          <w:tab w:val="left" w:pos="9360"/>
        </w:tabs>
      </w:pPr>
      <w:r>
        <w:tab/>
        <w:t>SUPPORTING STATEMENT</w:t>
      </w:r>
    </w:p>
    <w:p w:rsidR="00B0028E" w:rsidRDefault="00B0028E">
      <w:pPr>
        <w:widowControl/>
        <w:tabs>
          <w:tab w:val="left" w:pos="0"/>
          <w:tab w:val="center" w:pos="4680"/>
          <w:tab w:val="left" w:pos="5040"/>
          <w:tab w:val="left" w:pos="5760"/>
          <w:tab w:val="left" w:pos="6480"/>
          <w:tab w:val="left" w:pos="7200"/>
          <w:tab w:val="left" w:pos="7920"/>
          <w:tab w:val="left" w:pos="8640"/>
          <w:tab w:val="left" w:pos="9360"/>
        </w:tabs>
      </w:pPr>
    </w:p>
    <w:p w:rsidR="00B0028E" w:rsidRDefault="007C3812" w:rsidP="0076443C">
      <w:pPr>
        <w:widowControl/>
        <w:tabs>
          <w:tab w:val="left" w:pos="0"/>
          <w:tab w:val="center" w:pos="4680"/>
          <w:tab w:val="left" w:pos="5040"/>
          <w:tab w:val="left" w:pos="5760"/>
          <w:tab w:val="left" w:pos="6480"/>
          <w:tab w:val="left" w:pos="7200"/>
          <w:tab w:val="left" w:pos="7920"/>
          <w:tab w:val="left" w:pos="8640"/>
          <w:tab w:val="left" w:pos="9360"/>
        </w:tabs>
        <w:jc w:val="center"/>
      </w:pPr>
      <w:r>
        <w:t>Re</w:t>
      </w:r>
      <w:r w:rsidR="005248DF">
        <w:t xml:space="preserve">quest for approval </w:t>
      </w:r>
      <w:r w:rsidR="00B0028E">
        <w:t xml:space="preserve">of </w:t>
      </w:r>
      <w:r w:rsidR="0076443C">
        <w:t xml:space="preserve">U.S. </w:t>
      </w:r>
      <w:r w:rsidR="00B0028E">
        <w:t>Treasury International Capital</w:t>
      </w:r>
      <w:r w:rsidR="00657012">
        <w:t xml:space="preserve"> (TIC)</w:t>
      </w:r>
    </w:p>
    <w:p w:rsidR="0076443C" w:rsidRDefault="0076443C" w:rsidP="0076443C">
      <w:pPr>
        <w:widowControl/>
        <w:tabs>
          <w:tab w:val="left" w:pos="0"/>
          <w:tab w:val="center" w:pos="4680"/>
          <w:tab w:val="left" w:pos="5040"/>
          <w:tab w:val="left" w:pos="5760"/>
          <w:tab w:val="left" w:pos="6480"/>
          <w:tab w:val="left" w:pos="7200"/>
          <w:tab w:val="left" w:pos="7920"/>
          <w:tab w:val="left" w:pos="8640"/>
          <w:tab w:val="left" w:pos="9360"/>
        </w:tabs>
        <w:jc w:val="center"/>
      </w:pPr>
      <w:r>
        <w:t xml:space="preserve">Annual Survey </w:t>
      </w:r>
    </w:p>
    <w:p w:rsidR="0076443C" w:rsidRDefault="0076443C" w:rsidP="0076443C">
      <w:pPr>
        <w:widowControl/>
        <w:tabs>
          <w:tab w:val="left" w:pos="0"/>
          <w:tab w:val="center" w:pos="4680"/>
          <w:tab w:val="left" w:pos="5040"/>
          <w:tab w:val="left" w:pos="5760"/>
          <w:tab w:val="left" w:pos="6480"/>
          <w:tab w:val="left" w:pos="7200"/>
          <w:tab w:val="left" w:pos="7920"/>
          <w:tab w:val="left" w:pos="8640"/>
          <w:tab w:val="left" w:pos="9360"/>
        </w:tabs>
        <w:jc w:val="center"/>
      </w:pPr>
      <w:proofErr w:type="gramStart"/>
      <w:r>
        <w:t>of</w:t>
      </w:r>
      <w:proofErr w:type="gramEnd"/>
      <w:r>
        <w:t xml:space="preserve"> Foreign-Residents’ Holdings of United States Securities</w:t>
      </w:r>
      <w:r w:rsidR="00E07D1F">
        <w:t xml:space="preserve"> as of</w:t>
      </w:r>
    </w:p>
    <w:p w:rsidR="00B0028E" w:rsidRDefault="0076443C" w:rsidP="0076443C">
      <w:pPr>
        <w:widowControl/>
        <w:tabs>
          <w:tab w:val="left" w:pos="0"/>
          <w:tab w:val="center" w:pos="4680"/>
          <w:tab w:val="left" w:pos="5040"/>
          <w:tab w:val="left" w:pos="5760"/>
          <w:tab w:val="left" w:pos="6480"/>
          <w:tab w:val="left" w:pos="7200"/>
          <w:tab w:val="left" w:pos="7920"/>
          <w:tab w:val="left" w:pos="8640"/>
          <w:tab w:val="left" w:pos="9360"/>
        </w:tabs>
        <w:jc w:val="center"/>
      </w:pPr>
      <w:proofErr w:type="gramStart"/>
      <w:r>
        <w:t>the</w:t>
      </w:r>
      <w:proofErr w:type="gramEnd"/>
      <w:r>
        <w:t xml:space="preserve"> last business day of each June </w:t>
      </w:r>
      <w:r w:rsidR="00B0028E">
        <w:t xml:space="preserve">(OMB </w:t>
      </w:r>
      <w:r w:rsidR="00E07D1F">
        <w:t xml:space="preserve">Control </w:t>
      </w:r>
      <w:r w:rsidR="00B0028E">
        <w:t>No. 1505-</w:t>
      </w:r>
      <w:r>
        <w:t>0123</w:t>
      </w:r>
      <w:r w:rsidR="00B0028E">
        <w:t>)</w:t>
      </w:r>
    </w:p>
    <w:p w:rsidR="00B0028E" w:rsidRDefault="00B0028E">
      <w:pPr>
        <w:widowControl/>
        <w:tabs>
          <w:tab w:val="left" w:pos="0"/>
          <w:tab w:val="center" w:pos="4680"/>
          <w:tab w:val="left" w:pos="5040"/>
          <w:tab w:val="left" w:pos="5760"/>
          <w:tab w:val="left" w:pos="6480"/>
          <w:tab w:val="left" w:pos="7200"/>
          <w:tab w:val="left" w:pos="7920"/>
          <w:tab w:val="left" w:pos="8640"/>
          <w:tab w:val="left" w:pos="9360"/>
        </w:tabs>
      </w:pPr>
    </w:p>
    <w:p w:rsidR="00B0028E" w:rsidRDefault="00B0028E">
      <w:pPr>
        <w:widowControl/>
        <w:tabs>
          <w:tab w:val="left" w:pos="0"/>
          <w:tab w:val="center" w:pos="4680"/>
          <w:tab w:val="left" w:pos="5040"/>
          <w:tab w:val="left" w:pos="5760"/>
          <w:tab w:val="left" w:pos="6480"/>
          <w:tab w:val="left" w:pos="7200"/>
          <w:tab w:val="left" w:pos="7920"/>
          <w:tab w:val="left" w:pos="8640"/>
          <w:tab w:val="left" w:pos="9360"/>
        </w:tabs>
      </w:pPr>
    </w:p>
    <w:p w:rsidR="00B0028E" w:rsidRDefault="00B0028E">
      <w:pPr>
        <w:widowControl/>
        <w:tabs>
          <w:tab w:val="left" w:pos="0"/>
          <w:tab w:val="center" w:pos="4680"/>
          <w:tab w:val="left" w:pos="5040"/>
          <w:tab w:val="left" w:pos="5760"/>
          <w:tab w:val="left" w:pos="6480"/>
          <w:tab w:val="left" w:pos="7200"/>
          <w:tab w:val="left" w:pos="7920"/>
          <w:tab w:val="left" w:pos="8640"/>
          <w:tab w:val="left" w:pos="9360"/>
        </w:tabs>
      </w:pPr>
      <w:r>
        <w:t xml:space="preserve">A.  </w:t>
      </w:r>
      <w:r>
        <w:rPr>
          <w:smallCaps/>
        </w:rPr>
        <w:t>Justification</w:t>
      </w:r>
    </w:p>
    <w:p w:rsidR="00B0028E" w:rsidRDefault="00B0028E">
      <w:pPr>
        <w:widowControl/>
        <w:tabs>
          <w:tab w:val="left" w:pos="0"/>
          <w:tab w:val="center" w:pos="4680"/>
          <w:tab w:val="left" w:pos="5040"/>
          <w:tab w:val="left" w:pos="5760"/>
          <w:tab w:val="left" w:pos="6480"/>
          <w:tab w:val="left" w:pos="7200"/>
          <w:tab w:val="left" w:pos="7920"/>
          <w:tab w:val="left" w:pos="8640"/>
          <w:tab w:val="left" w:pos="9360"/>
        </w:tabs>
      </w:pPr>
    </w:p>
    <w:p w:rsidR="00EC630B" w:rsidRPr="00EC630B" w:rsidRDefault="00EC630B" w:rsidP="00EC630B">
      <w:pPr>
        <w:widowControl/>
        <w:numPr>
          <w:ilvl w:val="0"/>
          <w:numId w:val="3"/>
        </w:numPr>
        <w:tabs>
          <w:tab w:val="left" w:pos="-1440"/>
          <w:tab w:val="left" w:pos="-720"/>
          <w:tab w:val="left" w:pos="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u w:val="single"/>
        </w:rPr>
      </w:pPr>
      <w:r w:rsidRPr="00EC630B">
        <w:rPr>
          <w:u w:val="single"/>
        </w:rPr>
        <w:t>Circumstances necessitating the collection of information</w:t>
      </w:r>
    </w:p>
    <w:p w:rsidR="00EC630B" w:rsidRDefault="00EC630B" w:rsidP="004864A8">
      <w:pPr>
        <w:widowControl/>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6772DB" w:rsidRDefault="006772DB" w:rsidP="006772DB">
      <w:pPr>
        <w:widowControl/>
        <w:tabs>
          <w:tab w:val="left" w:pos="-1440"/>
          <w:tab w:val="left" w:pos="-720"/>
          <w:tab w:val="left" w:pos="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The Foreign Portfolio Investment Survey is undertaken by the Department of the Treasury pursuant to the International Investment and Trade in Services Act (22 U.S.C. 3101 et seq. [the "Act"]).  Responsibility for provisions of the Act that pertain to portfolio investment was delegated to the Secretary of the Treasury by the President in Section 2 of Executive Order 11961 on January 19, 1977.</w:t>
      </w:r>
    </w:p>
    <w:p w:rsidR="006772DB" w:rsidRDefault="006772DB" w:rsidP="006772DB">
      <w:pPr>
        <w:widowControl/>
        <w:tabs>
          <w:tab w:val="left" w:pos="-1440"/>
          <w:tab w:val="left" w:pos="-720"/>
          <w:tab w:val="left" w:pos="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9E1366" w:rsidRDefault="006772DB" w:rsidP="006772DB">
      <w:pPr>
        <w:widowControl/>
        <w:tabs>
          <w:tab w:val="left" w:pos="-1440"/>
          <w:tab w:val="left" w:pos="-720"/>
          <w:tab w:val="left" w:pos="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Before June 2002, the surveys were conducted at approximately five-year intervals, the minimum frequency required by the Act, and all were large-scale surveys to collect comprehensive data on long-term securities from all significant U.S.-resident custodians and U.S.-resident security issuers. </w:t>
      </w:r>
      <w:r w:rsidR="009E1366">
        <w:t>Beginning in June 2002 this data collection is conduct</w:t>
      </w:r>
      <w:bookmarkStart w:id="0" w:name="_GoBack"/>
      <w:bookmarkEnd w:id="0"/>
      <w:r w:rsidR="009E1366">
        <w:t xml:space="preserve">ed annually and covers both short-term and long-term securities.  </w:t>
      </w:r>
      <w:r w:rsidR="009E1366">
        <w:t xml:space="preserve">The large-scale </w:t>
      </w:r>
      <w:r w:rsidR="009E1366">
        <w:t>surveys (Form SHL)</w:t>
      </w:r>
      <w:r w:rsidR="009E1366">
        <w:t xml:space="preserve"> continue to be performed every five years (with the most recent conducted as of June 30, 2014). This </w:t>
      </w:r>
      <w:r w:rsidR="009E1366">
        <w:t>supplemented by smaller annual surveys (Form SHLA) in the intervening years.</w:t>
      </w:r>
    </w:p>
    <w:p w:rsidR="006772DB" w:rsidRDefault="006772DB" w:rsidP="006772DB">
      <w:pPr>
        <w:widowControl/>
        <w:tabs>
          <w:tab w:val="left" w:pos="-1440"/>
          <w:tab w:val="left" w:pos="-720"/>
          <w:tab w:val="left" w:pos="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6772DB" w:rsidRDefault="006772DB" w:rsidP="006772DB">
      <w:pPr>
        <w:widowControl/>
        <w:tabs>
          <w:tab w:val="left" w:pos="-1440"/>
          <w:tab w:val="left" w:pos="-720"/>
          <w:tab w:val="left" w:pos="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To minimize both reporter burden and the cost to the government, these new annual surveys (SHLA) are collected from a much smaller reporting panel than is used for the quinquennial surveys (SHL). Whereas a quinquennial survey (SHL) requires reporting by </w:t>
      </w:r>
      <w:r w:rsidR="007D28DA">
        <w:t>over 500</w:t>
      </w:r>
      <w:r>
        <w:t xml:space="preserve"> firms, only the approximately </w:t>
      </w:r>
      <w:r w:rsidR="007D28DA">
        <w:t>100</w:t>
      </w:r>
      <w:r>
        <w:t xml:space="preserve"> largest data providers from the previous quinquennial survey will be reporters in the annual surveys (SHLA). The data requested will be the same for both Form SHL and Form SHLA; in any year, only one of the forms will be used.  The data collected under the annual reports are used in conjunction with the results of the previous quinquennial survey to compute economy-wide estimates for the years of annual surveys.</w:t>
      </w:r>
    </w:p>
    <w:p w:rsidR="006772DB" w:rsidRDefault="006772DB" w:rsidP="006772DB">
      <w:pPr>
        <w:widowControl/>
        <w:tabs>
          <w:tab w:val="left" w:pos="-1440"/>
          <w:tab w:val="left" w:pos="-720"/>
          <w:tab w:val="left" w:pos="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6772DB" w:rsidRDefault="006772DB" w:rsidP="00DD3DFF">
      <w:pPr>
        <w:widowControl/>
        <w:tabs>
          <w:tab w:val="left" w:pos="-1440"/>
          <w:tab w:val="left" w:pos="-720"/>
          <w:tab w:val="left" w:pos="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roofErr w:type="gramStart"/>
      <w:r>
        <w:t xml:space="preserve">Background to </w:t>
      </w:r>
      <w:r w:rsidR="00447E3C">
        <w:t xml:space="preserve">expansion of </w:t>
      </w:r>
      <w:r>
        <w:t>the Survey</w:t>
      </w:r>
      <w:r w:rsidR="00447E3C">
        <w:t xml:space="preserve"> in 2002</w:t>
      </w:r>
      <w:r>
        <w:t>.</w:t>
      </w:r>
      <w:proofErr w:type="gramEnd"/>
      <w:r>
        <w:t xml:space="preserve">  </w:t>
      </w:r>
      <w:r w:rsidR="00CF4B4C">
        <w:t xml:space="preserve">Following a </w:t>
      </w:r>
      <w:r>
        <w:t>major financial crisis in 1997-1998</w:t>
      </w:r>
      <w:r w:rsidR="00CF4B4C">
        <w:t xml:space="preserve"> </w:t>
      </w:r>
      <w:r>
        <w:t xml:space="preserve">which started in Thailand, spread throughout </w:t>
      </w:r>
      <w:r w:rsidR="004F7ADD">
        <w:t>Southeast</w:t>
      </w:r>
      <w:r>
        <w:t xml:space="preserve"> Asia, and eventually affected South Korea, Russia and Brazil</w:t>
      </w:r>
      <w:r w:rsidR="007D28DA">
        <w:t xml:space="preserve">, the international financial community, under the leadership of the International Monetary Fund (IMF), developed a standard for reporting economic and financial data, known as the Special Data Dissemination System (SDDS).  The United States has been a leading supporter of the SDDS. </w:t>
      </w:r>
      <w:r>
        <w:t>The</w:t>
      </w:r>
      <w:r w:rsidR="00447E3C">
        <w:t xml:space="preserve"> </w:t>
      </w:r>
      <w:r>
        <w:t xml:space="preserve">External Debt Category of the SDDS sets new standards requiring quarterly reports on the level of a country’s external debt by domestic sector (monetary authorities, general government, banks, and other) and by type of debt (long-term securities, short-term securities, loans, trade credits, currency and deposits, and other liabilities), with a one quarter lag.  In addition, the </w:t>
      </w:r>
      <w:r>
        <w:lastRenderedPageBreak/>
        <w:t>External Debt Category strongly encourages the provision of a debt repayment schedule and a currency breakdown of external debt (domestic currency vs. foreign currency).</w:t>
      </w:r>
      <w:r w:rsidR="007D28DA">
        <w:t xml:space="preserve"> </w:t>
      </w:r>
      <w:r>
        <w:t xml:space="preserve">To meet these standards, the United States made substantial changes to its international financial data collection system.  A key part of these changes involves conducting portfolio liability surveys annually.  These surveys </w:t>
      </w:r>
      <w:r w:rsidR="006472EF">
        <w:t>are</w:t>
      </w:r>
      <w:r>
        <w:t xml:space="preserve"> the key to providing much of the data for meeting the reporting requirements of the SDDS’s External Debt Category.  </w:t>
      </w:r>
    </w:p>
    <w:p w:rsidR="006772DB" w:rsidRDefault="006772DB" w:rsidP="006772DB">
      <w:pPr>
        <w:widowControl/>
        <w:tabs>
          <w:tab w:val="left" w:pos="-1440"/>
          <w:tab w:val="left" w:pos="-720"/>
          <w:tab w:val="left" w:pos="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B0028E" w:rsidRDefault="006772DB" w:rsidP="006772DB">
      <w:pPr>
        <w:widowControl/>
        <w:tabs>
          <w:tab w:val="left" w:pos="-1440"/>
          <w:tab w:val="left" w:pos="-720"/>
          <w:tab w:val="left" w:pos="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roofErr w:type="gramStart"/>
      <w:r>
        <w:t>Importance of the Data.</w:t>
      </w:r>
      <w:proofErr w:type="gramEnd"/>
      <w:r>
        <w:t xml:space="preserve"> The data collected in these surveys have become increasingly important in recent years as foreign investment in the United States has been increasing rapidly.  In 1974, approximately 5 percent of all U.S. long-term securities (stocks, corporate and government debt instruments) were held by foreign residents.  By March 2000, approximately 10 percent of the total </w:t>
      </w:r>
      <w:r w:rsidR="00246D02">
        <w:t>value of these U.S. securities was</w:t>
      </w:r>
      <w:r>
        <w:t xml:space="preserve"> foreign held. As of June </w:t>
      </w:r>
      <w:r w:rsidR="00447E3C">
        <w:t>20</w:t>
      </w:r>
      <w:r w:rsidR="007D28DA">
        <w:t>12</w:t>
      </w:r>
      <w:r>
        <w:t xml:space="preserve">, </w:t>
      </w:r>
      <w:r w:rsidR="007D28DA">
        <w:t>over 20</w:t>
      </w:r>
      <w:r>
        <w:t xml:space="preserve"> percent of the total value </w:t>
      </w:r>
      <w:r w:rsidR="00246D02">
        <w:t>of U.S</w:t>
      </w:r>
      <w:r>
        <w:t xml:space="preserve">. long-term securities were foreign held. </w:t>
      </w:r>
    </w:p>
    <w:p w:rsidR="006772DB" w:rsidRDefault="006772DB" w:rsidP="006772DB">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5"/>
      </w:pPr>
    </w:p>
    <w:p w:rsidR="00EC630B" w:rsidRPr="00EC630B" w:rsidRDefault="00EC630B" w:rsidP="004864A8">
      <w:pPr>
        <w:widowControl/>
        <w:numPr>
          <w:ilvl w:val="0"/>
          <w:numId w:val="3"/>
        </w:numPr>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u w:val="single"/>
        </w:rPr>
      </w:pPr>
      <w:r w:rsidRPr="00EC630B">
        <w:rPr>
          <w:u w:val="single"/>
        </w:rPr>
        <w:t>Use of data</w:t>
      </w:r>
    </w:p>
    <w:p w:rsidR="00EC630B" w:rsidRDefault="00EC630B" w:rsidP="004864A8">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B0028E" w:rsidRDefault="004864A8" w:rsidP="00013AF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r>
        <w:tab/>
      </w:r>
      <w:r w:rsidR="00013AF7" w:rsidRPr="00013AF7">
        <w:t xml:space="preserve">The data collected constitute a major component in the calculation of the United States balance of payments accounts and the international investment position.  </w:t>
      </w:r>
      <w:r w:rsidR="008B3E68">
        <w:t>For th</w:t>
      </w:r>
      <w:r w:rsidR="00FB49B2">
        <w:t>is purpose</w:t>
      </w:r>
      <w:r w:rsidR="008B3E68">
        <w:t xml:space="preserve">, </w:t>
      </w:r>
      <w:r w:rsidR="00F86DBD">
        <w:t xml:space="preserve">the </w:t>
      </w:r>
      <w:r w:rsidR="00FB49B2" w:rsidRPr="00FB49B2">
        <w:t>results of the survey are provided to the Bureau of Economic Analysis in the Department of Commerce</w:t>
      </w:r>
      <w:r w:rsidR="008B3E68">
        <w:t xml:space="preserve">. </w:t>
      </w:r>
      <w:r w:rsidR="00013AF7" w:rsidRPr="00013AF7">
        <w:t xml:space="preserve">In addition, the data are used within the U.S. government to understand the magnitude and structure of foreign investment in the United States, and as an element in the formulation of international economic and financial policies.  The data </w:t>
      </w:r>
      <w:r w:rsidR="00F86DBD" w:rsidRPr="00F86DBD">
        <w:t>as published by the Treasury</w:t>
      </w:r>
      <w:r w:rsidR="00F86DBD">
        <w:t xml:space="preserve"> </w:t>
      </w:r>
      <w:r w:rsidR="00013AF7" w:rsidRPr="00013AF7">
        <w:t>are used by the private sector and academia in international financial analysis</w:t>
      </w:r>
      <w:r w:rsidR="00F86DBD">
        <w:t xml:space="preserve"> and </w:t>
      </w:r>
      <w:r w:rsidR="00013AF7" w:rsidRPr="00013AF7">
        <w:t>by international organizations.</w:t>
      </w:r>
    </w:p>
    <w:p w:rsidR="00B0028E" w:rsidRDefault="00B0028E" w:rsidP="004864A8">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EC630B" w:rsidRPr="00EC630B" w:rsidRDefault="00EC630B" w:rsidP="004864A8">
      <w:pPr>
        <w:widowControl/>
        <w:numPr>
          <w:ilvl w:val="0"/>
          <w:numId w:val="1"/>
        </w:numPr>
        <w:tabs>
          <w:tab w:val="clear" w:pos="725"/>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u w:val="single"/>
        </w:rPr>
      </w:pPr>
      <w:r w:rsidRPr="00EC630B">
        <w:rPr>
          <w:u w:val="single"/>
        </w:rPr>
        <w:t>Use of information technology</w:t>
      </w:r>
    </w:p>
    <w:p w:rsidR="00EC630B" w:rsidRDefault="00EC630B" w:rsidP="004864A8">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013AF7" w:rsidRDefault="00013AF7" w:rsidP="00013AF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Essentially all of the data collected by the survey will be received in electronic form, with respondents having the option of reporting on various electronic media.  Reporting electronically will greatly decrease reporter burden, as reporters can query their databases and transfer the results directly to media that will be provided to the survey staff.  Such procedures will also significantly reduce the cost to the government to process the data.</w:t>
      </w:r>
    </w:p>
    <w:p w:rsidR="00013AF7" w:rsidRDefault="00013AF7" w:rsidP="00013AF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B0028E" w:rsidRDefault="00013AF7" w:rsidP="00013AF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The survey administrators will also acquire significant amounts of the data required for the survey from commercial firms whose business it is to compile financial market data, thus minimizing the amount of data required from reporters.  In addition, commonly asked questions and answers pertaining to the survey, along with copies of the forms and instructions, will be posted on the Internet for the convenience of reporters.</w:t>
      </w:r>
    </w:p>
    <w:p w:rsidR="00013AF7" w:rsidRDefault="00013AF7" w:rsidP="00013AF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EC630B" w:rsidRPr="00EC630B" w:rsidRDefault="00EC630B" w:rsidP="004864A8">
      <w:pPr>
        <w:widowControl/>
        <w:numPr>
          <w:ilvl w:val="0"/>
          <w:numId w:val="1"/>
        </w:numPr>
        <w:tabs>
          <w:tab w:val="clear" w:pos="725"/>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u w:val="single"/>
        </w:rPr>
      </w:pPr>
      <w:r w:rsidRPr="00EC630B">
        <w:rPr>
          <w:u w:val="single"/>
        </w:rPr>
        <w:t>Efforts to identify duplication</w:t>
      </w:r>
    </w:p>
    <w:p w:rsidR="00EC630B" w:rsidRDefault="00EC630B" w:rsidP="004864A8">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B0028E" w:rsidRDefault="004864A8" w:rsidP="004864A8">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r>
        <w:tab/>
      </w:r>
      <w:r w:rsidR="00013AF7" w:rsidRPr="00013AF7">
        <w:t>There is no alternative source for the data that these surveys will collect.  Though there are some partial aggregates for foreign holdings of U.S. short-term securities available, these are not collected at the level of detail that is necessary for the needs of this survey, which requires information on debt repayment schedules, sector of debtor, and currency composition.</w:t>
      </w:r>
    </w:p>
    <w:p w:rsidR="00013AF7" w:rsidRDefault="00013AF7" w:rsidP="004864A8">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EC630B" w:rsidRPr="00EC630B" w:rsidRDefault="00EC630B" w:rsidP="004864A8">
      <w:pPr>
        <w:widowControl/>
        <w:numPr>
          <w:ilvl w:val="0"/>
          <w:numId w:val="1"/>
        </w:numPr>
        <w:tabs>
          <w:tab w:val="clear" w:pos="725"/>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u w:val="single"/>
        </w:rPr>
      </w:pPr>
      <w:r w:rsidRPr="00EC630B">
        <w:rPr>
          <w:u w:val="single"/>
        </w:rPr>
        <w:t>Impact on small entities</w:t>
      </w:r>
    </w:p>
    <w:p w:rsidR="00EC630B" w:rsidRDefault="00EC630B" w:rsidP="004864A8">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B0028E" w:rsidRDefault="004864A8" w:rsidP="004864A8">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r>
        <w:tab/>
      </w:r>
      <w:r w:rsidR="00013AF7" w:rsidRPr="00013AF7">
        <w:t>The data collection will not involve small businesses or other small entities. The annual surveys (SHLA) will involve only very large organizations.  Regarding the quinquennial surveys (SHL), it should be noted that organizations holding foreign owned securities totaling less than $</w:t>
      </w:r>
      <w:r w:rsidR="00337D7C">
        <w:t>200</w:t>
      </w:r>
      <w:r w:rsidR="00013AF7" w:rsidRPr="00013AF7">
        <w:t xml:space="preserve"> million are exempt from the survey, thus effectively removing small businesses from the survey.</w:t>
      </w:r>
    </w:p>
    <w:p w:rsidR="00B0028E" w:rsidRDefault="00B0028E" w:rsidP="004864A8">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EC630B" w:rsidRPr="00EC630B" w:rsidRDefault="00EC630B" w:rsidP="004864A8">
      <w:pPr>
        <w:widowControl/>
        <w:numPr>
          <w:ilvl w:val="0"/>
          <w:numId w:val="1"/>
        </w:numPr>
        <w:tabs>
          <w:tab w:val="clear" w:pos="725"/>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u w:val="single"/>
        </w:rPr>
      </w:pPr>
      <w:r w:rsidRPr="00EC630B">
        <w:rPr>
          <w:u w:val="single"/>
        </w:rPr>
        <w:t>Consequences of less frequent collection and obstacles to burden reduction</w:t>
      </w:r>
    </w:p>
    <w:p w:rsidR="00EC630B" w:rsidRDefault="00EC630B" w:rsidP="004864A8">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845382" w:rsidRDefault="00845382" w:rsidP="00845382">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The data are required by law to be collected at least once every five years. </w:t>
      </w:r>
    </w:p>
    <w:p w:rsidR="00845382" w:rsidRDefault="00845382" w:rsidP="00845382">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845382" w:rsidRDefault="00845382" w:rsidP="00845382">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This data collection is the only source of accurate, detailed information on foreign holdings of U.S. securities. Lack of this information on foreign holdings of U.S. securities would adversely affect the accuracy of the U.S. balance of payments accounts and the U.S. international investment position, both of which are key data used in the formulation of U.S. international economic and financial policies.</w:t>
      </w:r>
    </w:p>
    <w:p w:rsidR="00845382" w:rsidRDefault="00845382" w:rsidP="00845382">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EC630B" w:rsidRDefault="00845382" w:rsidP="00845382">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In addition, the United States would not be able to meet its commitment made to comply with the IMF’s Special Data Dissemination Standard for the External Debt Category.  The SDDS is a key mechanism advocated by the United States and implemented by the IMF to improve transparency and </w:t>
      </w:r>
      <w:r w:rsidR="008B245A">
        <w:t xml:space="preserve">to help </w:t>
      </w:r>
      <w:r>
        <w:t>reduce the risk of financial crisis. The external debt category provide</w:t>
      </w:r>
      <w:r w:rsidR="008B245A">
        <w:t>s</w:t>
      </w:r>
      <w:r>
        <w:t xml:space="preserve"> for the timely, detailed release of information on countries’ external debt positions and future debt repayment obligations to foreigners. The SDDS has dramatically increased the availability of information on countries’ economic and financial situations and thus contributed importantly to the more efficient functioning of international capital markets.</w:t>
      </w:r>
    </w:p>
    <w:p w:rsidR="00845382" w:rsidRDefault="00845382" w:rsidP="00845382">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1452B0" w:rsidRPr="00172F5F" w:rsidRDefault="001452B0" w:rsidP="001452B0">
      <w:pPr>
        <w:pStyle w:val="ListParagraph"/>
        <w:numPr>
          <w:ilvl w:val="0"/>
          <w:numId w:val="1"/>
        </w:numPr>
        <w:tabs>
          <w:tab w:val="clear" w:pos="725"/>
          <w:tab w:val="left" w:pos="540"/>
        </w:tabs>
        <w:spacing w:after="0" w:line="240" w:lineRule="auto"/>
        <w:ind w:left="540" w:hanging="540"/>
        <w:rPr>
          <w:rFonts w:ascii="Times New Roman" w:hAnsi="Times New Roman"/>
          <w:sz w:val="24"/>
          <w:szCs w:val="24"/>
          <w:u w:val="single"/>
        </w:rPr>
      </w:pPr>
      <w:r w:rsidRPr="00172F5F">
        <w:rPr>
          <w:rFonts w:ascii="Times New Roman" w:hAnsi="Times New Roman"/>
          <w:sz w:val="24"/>
          <w:szCs w:val="24"/>
          <w:u w:val="single"/>
        </w:rPr>
        <w:t>Circumstances requiring special information collection</w:t>
      </w:r>
    </w:p>
    <w:p w:rsidR="001452B0" w:rsidRDefault="001452B0" w:rsidP="001452B0">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EC630B" w:rsidRDefault="001452B0" w:rsidP="001452B0">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r>
        <w:tab/>
        <w:t>There are no special circumstances regarding Form SHL/SHLA that are inconsistent with the conditions outlined in Item A.7 of the Specific Instructions for Supporting Statements for Paperwork Reduction Act Submissions.</w:t>
      </w:r>
    </w:p>
    <w:p w:rsidR="0042546D" w:rsidRDefault="0042546D" w:rsidP="0042546D">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szCs w:val="24"/>
          <w:u w:val="single"/>
        </w:rPr>
      </w:pPr>
    </w:p>
    <w:p w:rsidR="00EC630B" w:rsidRPr="00172F5F" w:rsidRDefault="00EC630B" w:rsidP="004864A8">
      <w:pPr>
        <w:pStyle w:val="ListParagraph"/>
        <w:numPr>
          <w:ilvl w:val="0"/>
          <w:numId w:val="1"/>
        </w:numPr>
        <w:tabs>
          <w:tab w:val="clear" w:pos="725"/>
          <w:tab w:val="left" w:pos="540"/>
        </w:tabs>
        <w:spacing w:after="0" w:line="240" w:lineRule="auto"/>
        <w:ind w:left="540" w:hanging="540"/>
        <w:rPr>
          <w:rFonts w:ascii="Times New Roman" w:hAnsi="Times New Roman"/>
          <w:sz w:val="24"/>
          <w:szCs w:val="24"/>
          <w:u w:val="single"/>
        </w:rPr>
      </w:pPr>
      <w:r w:rsidRPr="00172F5F">
        <w:rPr>
          <w:rFonts w:ascii="Times New Roman" w:hAnsi="Times New Roman"/>
          <w:sz w:val="24"/>
          <w:szCs w:val="24"/>
          <w:u w:val="single"/>
        </w:rPr>
        <w:t>Solicitation of comments on information collection</w:t>
      </w:r>
    </w:p>
    <w:p w:rsidR="00EC630B" w:rsidRDefault="00EC630B" w:rsidP="004864A8">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864865" w:rsidRDefault="00B0028E" w:rsidP="00864865">
      <w:pPr>
        <w:tabs>
          <w:tab w:val="left" w:pos="-720"/>
          <w:tab w:val="left" w:pos="540"/>
          <w:tab w:val="left" w:pos="9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
        <w:t xml:space="preserve">Treasury's notice in the </w:t>
      </w:r>
      <w:r w:rsidRPr="00DB055B">
        <w:rPr>
          <w:i/>
        </w:rPr>
        <w:t>Federal Register</w:t>
      </w:r>
      <w:r>
        <w:t xml:space="preserve"> soliciting public comment on Form </w:t>
      </w:r>
      <w:r w:rsidR="003A24A0">
        <w:t>SHL/SHLA</w:t>
      </w:r>
      <w:r>
        <w:t xml:space="preserve"> was published </w:t>
      </w:r>
      <w:r w:rsidR="00C31CD6">
        <w:t xml:space="preserve">Friday, </w:t>
      </w:r>
      <w:r w:rsidR="00521FA3">
        <w:t>December 30</w:t>
      </w:r>
      <w:r w:rsidR="003A24A0">
        <w:t>, 201</w:t>
      </w:r>
      <w:r w:rsidR="00521FA3">
        <w:t>6</w:t>
      </w:r>
      <w:r>
        <w:t xml:space="preserve">, </w:t>
      </w:r>
      <w:r w:rsidR="003A24A0">
        <w:t xml:space="preserve">volume </w:t>
      </w:r>
      <w:r w:rsidR="00521FA3">
        <w:t>81</w:t>
      </w:r>
      <w:r w:rsidR="003A24A0">
        <w:t xml:space="preserve">, </w:t>
      </w:r>
      <w:r>
        <w:t xml:space="preserve">pages </w:t>
      </w:r>
      <w:r w:rsidR="00521FA3">
        <w:t>96566-68</w:t>
      </w:r>
      <w:r>
        <w:t xml:space="preserve">.  The deadline for receiving pre-clearance comments was </w:t>
      </w:r>
      <w:r w:rsidR="00521FA3">
        <w:t>February 28</w:t>
      </w:r>
      <w:r w:rsidR="00C31CD6">
        <w:t>, 201</w:t>
      </w:r>
      <w:r w:rsidR="00521FA3">
        <w:t>7</w:t>
      </w:r>
      <w:r>
        <w:t>.</w:t>
      </w:r>
      <w:r w:rsidR="00DB055B" w:rsidRPr="00DB055B">
        <w:t xml:space="preserve"> To bring attention to the </w:t>
      </w:r>
      <w:r w:rsidR="00DB055B" w:rsidRPr="001614E7">
        <w:rPr>
          <w:i/>
        </w:rPr>
        <w:t>Federal Register</w:t>
      </w:r>
      <w:r w:rsidR="00DB055B" w:rsidRPr="00DB055B">
        <w:t xml:space="preserve"> notices, the Federal Reserve Bank of New York (FRBNY) contacted </w:t>
      </w:r>
      <w:r w:rsidR="004C0D72">
        <w:t>many</w:t>
      </w:r>
      <w:r w:rsidR="00DB055B" w:rsidRPr="00DB055B">
        <w:t xml:space="preserve"> respondents reporting </w:t>
      </w:r>
      <w:r w:rsidR="004C0D72">
        <w:t xml:space="preserve">data on securities </w:t>
      </w:r>
      <w:r w:rsidR="00DB055B" w:rsidRPr="00DB055B">
        <w:t xml:space="preserve">to FRBNY, and </w:t>
      </w:r>
      <w:r w:rsidR="003A24A0">
        <w:t xml:space="preserve">to </w:t>
      </w:r>
      <w:r w:rsidR="00DB055B" w:rsidRPr="00DB055B">
        <w:t>other district Federal Reserve Banks that process TIC data.</w:t>
      </w:r>
      <w:r w:rsidR="009509F6">
        <w:t xml:space="preserve"> </w:t>
      </w:r>
    </w:p>
    <w:p w:rsidR="0015331D" w:rsidRDefault="0015331D" w:rsidP="0042546D">
      <w:pPr>
        <w:pStyle w:val="BodyTextIndent"/>
        <w:tabs>
          <w:tab w:val="left" w:pos="540"/>
        </w:tabs>
        <w:ind w:left="540"/>
      </w:pPr>
      <w:r>
        <w:t xml:space="preserve">Two </w:t>
      </w:r>
      <w:r w:rsidR="0042546D">
        <w:t>comment</w:t>
      </w:r>
      <w:r>
        <w:t>s</w:t>
      </w:r>
      <w:r w:rsidR="0042546D">
        <w:t xml:space="preserve"> w</w:t>
      </w:r>
      <w:r>
        <w:t>ere</w:t>
      </w:r>
      <w:r w:rsidR="0042546D">
        <w:t xml:space="preserve"> received</w:t>
      </w:r>
      <w:r w:rsidR="003A24A0">
        <w:t xml:space="preserve">. </w:t>
      </w:r>
    </w:p>
    <w:p w:rsidR="0015331D" w:rsidRDefault="0015331D" w:rsidP="0042546D">
      <w:pPr>
        <w:pStyle w:val="BodyTextIndent"/>
        <w:tabs>
          <w:tab w:val="left" w:pos="540"/>
        </w:tabs>
        <w:ind w:left="540"/>
      </w:pPr>
    </w:p>
    <w:p w:rsidR="00572C64" w:rsidRDefault="00572C64" w:rsidP="008E7C3C">
      <w:pPr>
        <w:pStyle w:val="BodyTextIndent"/>
        <w:tabs>
          <w:tab w:val="left" w:pos="540"/>
        </w:tabs>
        <w:ind w:left="540"/>
      </w:pPr>
      <w:r>
        <w:t xml:space="preserve">(Comment 1) </w:t>
      </w:r>
      <w:r w:rsidR="002B4D87">
        <w:t xml:space="preserve">Mr. Jeffrey A. Sheets </w:t>
      </w:r>
      <w:r w:rsidR="004C2AC2">
        <w:t>from the Bank of America</w:t>
      </w:r>
      <w:r w:rsidR="002B4D87">
        <w:t xml:space="preserve"> submitted a comment</w:t>
      </w:r>
      <w:r w:rsidR="004C2AC2">
        <w:t xml:space="preserve"> on Tuesday, January 31, 2017. </w:t>
      </w:r>
      <w:r>
        <w:t xml:space="preserve"> </w:t>
      </w:r>
      <w:r w:rsidR="002B4D87">
        <w:t>He had</w:t>
      </w:r>
      <w:r w:rsidR="004C2AC2">
        <w:t xml:space="preserve"> t</w:t>
      </w:r>
      <w:r>
        <w:t>wo</w:t>
      </w:r>
      <w:r w:rsidR="004C2AC2">
        <w:t xml:space="preserve"> questions regarding the proposed changes to </w:t>
      </w:r>
      <w:r w:rsidR="002B4D87">
        <w:t xml:space="preserve">Form </w:t>
      </w:r>
      <w:r w:rsidR="004C2AC2">
        <w:lastRenderedPageBreak/>
        <w:t>SHLA to include foreign direct investment in U.S. Private Funds</w:t>
      </w:r>
      <w:r w:rsidR="008E7C3C">
        <w:t>: (</w:t>
      </w:r>
      <w:r w:rsidR="00764E04">
        <w:t>a</w:t>
      </w:r>
      <w:r w:rsidR="008E7C3C">
        <w:t>) Will U.S. direct Investment in Foreign Private Funds be required to be reported on the SHCA report (as of 12/31/2017)?; (</w:t>
      </w:r>
      <w:r w:rsidR="00764E04">
        <w:t>b</w:t>
      </w:r>
      <w:r w:rsidR="008E7C3C">
        <w:t xml:space="preserve">) Also, will there also there be similar proposed changes made to SLT report to reflect these changes?  </w:t>
      </w:r>
      <w:proofErr w:type="gramStart"/>
      <w:r w:rsidR="008E7C3C">
        <w:t>If so, do you know the as</w:t>
      </w:r>
      <w:r w:rsidR="002B4D87">
        <w:t>-</w:t>
      </w:r>
      <w:r w:rsidR="008E7C3C">
        <w:t>of date?</w:t>
      </w:r>
      <w:proofErr w:type="gramEnd"/>
      <w:r w:rsidR="004C2AC2">
        <w:t xml:space="preserve"> </w:t>
      </w:r>
    </w:p>
    <w:p w:rsidR="00572C64" w:rsidRDefault="00572C64" w:rsidP="008E7C3C">
      <w:pPr>
        <w:pStyle w:val="BodyTextIndent"/>
        <w:tabs>
          <w:tab w:val="left" w:pos="540"/>
        </w:tabs>
        <w:ind w:left="540"/>
      </w:pPr>
    </w:p>
    <w:p w:rsidR="004C2AC2" w:rsidRDefault="00572C64" w:rsidP="004C2AC2">
      <w:pPr>
        <w:pStyle w:val="BodyTextIndent"/>
        <w:tabs>
          <w:tab w:val="left" w:pos="540"/>
        </w:tabs>
        <w:ind w:left="540"/>
      </w:pPr>
      <w:r>
        <w:t xml:space="preserve">The comment refers to </w:t>
      </w:r>
      <w:r w:rsidR="008E7C3C">
        <w:t>item (3) under “</w:t>
      </w:r>
      <w:r w:rsidR="008E7C3C" w:rsidRPr="00693CCF">
        <w:rPr>
          <w:i/>
          <w:u w:val="single"/>
        </w:rPr>
        <w:t>Current Actions</w:t>
      </w:r>
      <w:r w:rsidR="008E7C3C">
        <w:t>” in the subject Federal Register Notice</w:t>
      </w:r>
      <w:r w:rsidR="00D66AB5">
        <w:t xml:space="preserve">. The item says that </w:t>
      </w:r>
      <w:r w:rsidR="006A1818" w:rsidRPr="006A1818">
        <w:t xml:space="preserve">the last </w:t>
      </w:r>
      <w:r w:rsidR="006A1818">
        <w:t xml:space="preserve">part of </w:t>
      </w:r>
      <w:r w:rsidR="006A1818" w:rsidRPr="006A1818">
        <w:t>section III.E in the instructions</w:t>
      </w:r>
      <w:r w:rsidR="006A1818">
        <w:t xml:space="preserve">, </w:t>
      </w:r>
      <w:r w:rsidR="008E7C3C">
        <w:t xml:space="preserve">‘‘Direct Investment exception for private funds’’, is new to explain that in TIC reports </w:t>
      </w:r>
      <w:r w:rsidR="006A1818">
        <w:t>after 2016</w:t>
      </w:r>
      <w:r w:rsidR="008E7C3C">
        <w:t>,</w:t>
      </w:r>
      <w:r>
        <w:t xml:space="preserve"> </w:t>
      </w:r>
      <w:r w:rsidR="008E7C3C">
        <w:t>investments in private funds, or between the entities of a private fund, are included in TIC surveys regardless of ownership share if they meet BOTH of the following two criteria: (i) The</w:t>
      </w:r>
      <w:r>
        <w:t xml:space="preserve"> </w:t>
      </w:r>
      <w:r w:rsidR="008E7C3C">
        <w:t>private fund does not own, directly or indirectly through another business  enterprise, an ‘‘operating company’’— i.e., a business enterprise that is not a private fund or a holding company—in which the foreign parent owns at least 10 percent of the voting interest; and (ii)</w:t>
      </w:r>
      <w:r>
        <w:t xml:space="preserve"> </w:t>
      </w:r>
      <w:r w:rsidR="008E7C3C">
        <w:t>If the private fund is owned indirectly (through one or more other U.S. business enterprises), so there are no ‘‘operating companies’’ between the foreign parent and the indirectly owned</w:t>
      </w:r>
      <w:r>
        <w:t xml:space="preserve"> </w:t>
      </w:r>
      <w:r w:rsidR="008E7C3C">
        <w:t>private fund.</w:t>
      </w:r>
    </w:p>
    <w:p w:rsidR="004C2AC2" w:rsidRDefault="004C2AC2" w:rsidP="004C2AC2">
      <w:pPr>
        <w:pStyle w:val="BodyTextIndent"/>
        <w:tabs>
          <w:tab w:val="left" w:pos="540"/>
        </w:tabs>
        <w:ind w:left="540"/>
      </w:pPr>
    </w:p>
    <w:p w:rsidR="008C6F43" w:rsidRDefault="0083502B" w:rsidP="003E4D91">
      <w:pPr>
        <w:pStyle w:val="BodyTextIndent"/>
        <w:tabs>
          <w:tab w:val="left" w:pos="540"/>
        </w:tabs>
        <w:ind w:left="540"/>
      </w:pPr>
      <w:r>
        <w:t xml:space="preserve">There were </w:t>
      </w:r>
      <w:r w:rsidR="008C6F43">
        <w:t>four p</w:t>
      </w:r>
      <w:r>
        <w:t>ar</w:t>
      </w:r>
      <w:r w:rsidR="008C6F43">
        <w:t xml:space="preserve">ts in our response to Mr. Sheets. </w:t>
      </w:r>
    </w:p>
    <w:p w:rsidR="003E4D91" w:rsidRDefault="008C6F43" w:rsidP="003E4D91">
      <w:pPr>
        <w:pStyle w:val="BodyTextIndent"/>
        <w:tabs>
          <w:tab w:val="left" w:pos="540"/>
        </w:tabs>
        <w:ind w:left="540"/>
      </w:pPr>
      <w:r>
        <w:t>(</w:t>
      </w:r>
      <w:r w:rsidR="003E4D91">
        <w:t>1</w:t>
      </w:r>
      <w:r>
        <w:t>)</w:t>
      </w:r>
      <w:r w:rsidR="003E4D91">
        <w:t xml:space="preserve"> It is important to notice that only certain private funds are involved. For example, excluded are funds which have investments involving operating companies, such as investments typically made by so-called private equity funds. Answers to questions about which private funds should report to Treasury International Capital (TIC) and which should report to the Bureau of Economic Analysis (BEA) are available on the BEA website at:  www.bea.gov/privatefunds.</w:t>
      </w:r>
    </w:p>
    <w:p w:rsidR="003E4D91" w:rsidRDefault="0083502B" w:rsidP="003E4D91">
      <w:pPr>
        <w:pStyle w:val="BodyTextIndent"/>
        <w:tabs>
          <w:tab w:val="left" w:pos="540"/>
        </w:tabs>
        <w:ind w:left="540"/>
      </w:pPr>
      <w:r>
        <w:t>(</w:t>
      </w:r>
      <w:r w:rsidR="003E4D91">
        <w:t>2</w:t>
      </w:r>
      <w:r>
        <w:t>)</w:t>
      </w:r>
      <w:r w:rsidR="003E4D91">
        <w:t xml:space="preserve"> Yes</w:t>
      </w:r>
      <w:r w:rsidR="00764E04">
        <w:t xml:space="preserve"> to his question (a).</w:t>
      </w:r>
      <w:r w:rsidR="003E4D91">
        <w:t xml:space="preserve"> </w:t>
      </w:r>
      <w:r w:rsidR="002C27FA">
        <w:t xml:space="preserve">Treasury </w:t>
      </w:r>
      <w:r w:rsidR="003E4D91">
        <w:t>will be publishing a similar Federal Register Notice for the SHC (Dec2017) report.</w:t>
      </w:r>
    </w:p>
    <w:p w:rsidR="003E4D91" w:rsidRDefault="002C27FA" w:rsidP="003E4D91">
      <w:pPr>
        <w:pStyle w:val="BodyTextIndent"/>
        <w:tabs>
          <w:tab w:val="left" w:pos="540"/>
        </w:tabs>
        <w:ind w:left="540"/>
      </w:pPr>
      <w:r>
        <w:t>(</w:t>
      </w:r>
      <w:r w:rsidR="003E4D91">
        <w:t>3</w:t>
      </w:r>
      <w:r>
        <w:t>)</w:t>
      </w:r>
      <w:r w:rsidR="003E4D91">
        <w:t xml:space="preserve">  Regarding </w:t>
      </w:r>
      <w:r w:rsidR="00764E04">
        <w:t>his</w:t>
      </w:r>
      <w:r>
        <w:t xml:space="preserve"> </w:t>
      </w:r>
      <w:r w:rsidR="003E4D91">
        <w:t xml:space="preserve">question </w:t>
      </w:r>
      <w:r w:rsidR="00764E04">
        <w:t xml:space="preserve">(b) </w:t>
      </w:r>
      <w:r w:rsidR="003E4D91">
        <w:t xml:space="preserve">about the TIC SLT report, filers that are switching from the BEA reports to the TIC reports should file SLT reports beginning as of January 2017. </w:t>
      </w:r>
    </w:p>
    <w:p w:rsidR="003E4D91" w:rsidRDefault="003E4D91" w:rsidP="003E4D91">
      <w:pPr>
        <w:pStyle w:val="BodyTextIndent"/>
        <w:tabs>
          <w:tab w:val="left" w:pos="540"/>
        </w:tabs>
        <w:ind w:left="540"/>
      </w:pPr>
      <w:r>
        <w:t>-- More generally, the subject change to allow certain private funds to report their direct investments on TIC reports begins for all TIC reports as of January 2017 and afterwards.</w:t>
      </w:r>
    </w:p>
    <w:p w:rsidR="003E4D91" w:rsidRDefault="003E4D91" w:rsidP="003E4D91">
      <w:pPr>
        <w:pStyle w:val="BodyTextIndent"/>
        <w:tabs>
          <w:tab w:val="left" w:pos="540"/>
        </w:tabs>
        <w:ind w:left="540"/>
      </w:pPr>
      <w:r>
        <w:t xml:space="preserve">So, these select private funds may be required, depending on their activities with foreign residents, to file several TIC reports. The following eleven TIC forms must be reported by financial organizations, including these select private funds, if they have reportable accounts and exceed exemptions levels: </w:t>
      </w:r>
    </w:p>
    <w:p w:rsidR="003E4D91" w:rsidRDefault="002C27FA" w:rsidP="003E4D91">
      <w:pPr>
        <w:pStyle w:val="BodyTextIndent"/>
        <w:tabs>
          <w:tab w:val="left" w:pos="540"/>
        </w:tabs>
        <w:ind w:left="540"/>
      </w:pPr>
      <w:r>
        <w:t xml:space="preserve">TIC form </w:t>
      </w:r>
      <w:r w:rsidR="003E4D91">
        <w:t xml:space="preserve">BC: Own U.S. Dollar Claims (monthly, excludes long-term securities) </w:t>
      </w:r>
    </w:p>
    <w:p w:rsidR="003E4D91" w:rsidRDefault="002C27FA" w:rsidP="003E4D91">
      <w:pPr>
        <w:pStyle w:val="BodyTextIndent"/>
        <w:tabs>
          <w:tab w:val="left" w:pos="540"/>
        </w:tabs>
        <w:ind w:left="540"/>
      </w:pPr>
      <w:r>
        <w:t xml:space="preserve">TIC form </w:t>
      </w:r>
      <w:r w:rsidR="003E4D91">
        <w:t>BL-1: Own U.S. Dollar Liabilities (monthly, excludes long-term securities)</w:t>
      </w:r>
    </w:p>
    <w:p w:rsidR="003E4D91" w:rsidRDefault="002C27FA" w:rsidP="003E4D91">
      <w:pPr>
        <w:pStyle w:val="BodyTextIndent"/>
        <w:tabs>
          <w:tab w:val="left" w:pos="540"/>
        </w:tabs>
        <w:ind w:left="540"/>
      </w:pPr>
      <w:r w:rsidRPr="002C27FA">
        <w:t xml:space="preserve">TIC form </w:t>
      </w:r>
      <w:r w:rsidR="003E4D91">
        <w:t>BL-2:  Customers' U.S. Dollar Liabilities (monthly, excludes long-term securities)</w:t>
      </w:r>
    </w:p>
    <w:p w:rsidR="003E4D91" w:rsidRDefault="002C27FA" w:rsidP="003E4D91">
      <w:pPr>
        <w:pStyle w:val="BodyTextIndent"/>
        <w:tabs>
          <w:tab w:val="left" w:pos="540"/>
        </w:tabs>
        <w:ind w:left="540"/>
      </w:pPr>
      <w:r w:rsidRPr="002C27FA">
        <w:t xml:space="preserve">TIC form </w:t>
      </w:r>
      <w:r>
        <w:t xml:space="preserve">BQ-1: </w:t>
      </w:r>
      <w:r w:rsidR="003E4D91">
        <w:t xml:space="preserve">Customers' U.S. Dollar Claims (quarterly, excludes long-term securities) </w:t>
      </w:r>
    </w:p>
    <w:p w:rsidR="003E4D91" w:rsidRDefault="002C27FA" w:rsidP="003E4D91">
      <w:pPr>
        <w:pStyle w:val="BodyTextIndent"/>
        <w:tabs>
          <w:tab w:val="left" w:pos="540"/>
        </w:tabs>
        <w:ind w:left="540"/>
      </w:pPr>
      <w:r w:rsidRPr="002C27FA">
        <w:t xml:space="preserve">TIC form </w:t>
      </w:r>
      <w:r>
        <w:t xml:space="preserve">BQ-2: </w:t>
      </w:r>
      <w:r w:rsidR="003E4D91">
        <w:t>Own and Customers' Foreign Currency Claims and Liabilities (quarterly, excludes long-term securities)</w:t>
      </w:r>
    </w:p>
    <w:p w:rsidR="003E4D91" w:rsidRDefault="002C27FA" w:rsidP="003E4D91">
      <w:pPr>
        <w:pStyle w:val="BodyTextIndent"/>
        <w:tabs>
          <w:tab w:val="left" w:pos="540"/>
        </w:tabs>
        <w:ind w:left="540"/>
      </w:pPr>
      <w:r w:rsidRPr="002C27FA">
        <w:t xml:space="preserve">TIC form </w:t>
      </w:r>
      <w:r>
        <w:t xml:space="preserve">BQ-3: </w:t>
      </w:r>
      <w:r w:rsidR="003E4D91">
        <w:t>Maturities of own Liabilities and Claims (quarterly, excludes long-term securities)</w:t>
      </w:r>
    </w:p>
    <w:p w:rsidR="003E4D91" w:rsidRDefault="002C27FA" w:rsidP="003E4D91">
      <w:pPr>
        <w:pStyle w:val="BodyTextIndent"/>
        <w:tabs>
          <w:tab w:val="left" w:pos="540"/>
        </w:tabs>
        <w:ind w:left="540"/>
      </w:pPr>
      <w:r w:rsidRPr="002C27FA">
        <w:t xml:space="preserve">TIC form </w:t>
      </w:r>
      <w:r>
        <w:t xml:space="preserve">D: </w:t>
      </w:r>
      <w:r w:rsidR="003E4D91">
        <w:t>Holdings of, and Transactions in, Financial Derivatives (quarterly)</w:t>
      </w:r>
    </w:p>
    <w:p w:rsidR="003E4D91" w:rsidRDefault="002C27FA" w:rsidP="003E4D91">
      <w:pPr>
        <w:pStyle w:val="BodyTextIndent"/>
        <w:tabs>
          <w:tab w:val="left" w:pos="540"/>
        </w:tabs>
        <w:ind w:left="540"/>
      </w:pPr>
      <w:r w:rsidRPr="002C27FA">
        <w:t xml:space="preserve">TIC form </w:t>
      </w:r>
      <w:r>
        <w:t xml:space="preserve">S: </w:t>
      </w:r>
      <w:r w:rsidR="003E4D91">
        <w:t>Purchases and Sales of Long-Term Securities by Foreign-Residents (monthly)</w:t>
      </w:r>
    </w:p>
    <w:p w:rsidR="003E4D91" w:rsidRDefault="002C27FA" w:rsidP="003E4D91">
      <w:pPr>
        <w:pStyle w:val="BodyTextIndent"/>
        <w:tabs>
          <w:tab w:val="left" w:pos="540"/>
        </w:tabs>
        <w:ind w:left="540"/>
      </w:pPr>
      <w:r w:rsidRPr="002C27FA">
        <w:t xml:space="preserve">TIC form </w:t>
      </w:r>
      <w:r w:rsidR="003E4D91">
        <w:t>SLT: Aggregate Holdings of Long-Term Securities by U.S. and Foreign Residents (monthly)</w:t>
      </w:r>
    </w:p>
    <w:p w:rsidR="003E4D91" w:rsidRDefault="002C27FA" w:rsidP="003E4D91">
      <w:pPr>
        <w:pStyle w:val="BodyTextIndent"/>
        <w:tabs>
          <w:tab w:val="left" w:pos="540"/>
        </w:tabs>
        <w:ind w:left="540"/>
      </w:pPr>
      <w:r w:rsidRPr="002C27FA">
        <w:lastRenderedPageBreak/>
        <w:t xml:space="preserve">TIC form </w:t>
      </w:r>
      <w:proofErr w:type="gramStart"/>
      <w:r w:rsidR="003E4D91">
        <w:t>SHC(</w:t>
      </w:r>
      <w:proofErr w:type="gramEnd"/>
      <w:r w:rsidR="003E4D91">
        <w:t>A): U.S. Ownership of Foreign Securities, including Selected Money Market Instruments (annually)</w:t>
      </w:r>
    </w:p>
    <w:p w:rsidR="003E4D91" w:rsidRDefault="002C27FA" w:rsidP="003E4D91">
      <w:pPr>
        <w:pStyle w:val="BodyTextIndent"/>
        <w:tabs>
          <w:tab w:val="left" w:pos="540"/>
        </w:tabs>
        <w:ind w:left="540"/>
      </w:pPr>
      <w:r w:rsidRPr="002C27FA">
        <w:t xml:space="preserve">TIC form </w:t>
      </w:r>
      <w:proofErr w:type="gramStart"/>
      <w:r w:rsidR="003E4D91">
        <w:t>SHL(</w:t>
      </w:r>
      <w:proofErr w:type="gramEnd"/>
      <w:r w:rsidR="003E4D91">
        <w:t>A): Foreign-Residents' Holdings of U.S. Securities, including Selected Money Market Instruments (annually)</w:t>
      </w:r>
    </w:p>
    <w:p w:rsidR="003E4D91" w:rsidRDefault="002C27FA" w:rsidP="003E4D91">
      <w:pPr>
        <w:pStyle w:val="BodyTextIndent"/>
        <w:tabs>
          <w:tab w:val="left" w:pos="540"/>
        </w:tabs>
        <w:ind w:left="540"/>
      </w:pPr>
      <w:r>
        <w:t>(</w:t>
      </w:r>
      <w:r w:rsidR="003E4D91">
        <w:t>4</w:t>
      </w:r>
      <w:r>
        <w:t>)</w:t>
      </w:r>
      <w:r w:rsidR="003E4D91">
        <w:t xml:space="preserve">  </w:t>
      </w:r>
      <w:r>
        <w:t xml:space="preserve">Last, we </w:t>
      </w:r>
      <w:r w:rsidR="003E4D91">
        <w:t>note</w:t>
      </w:r>
      <w:r>
        <w:t>d</w:t>
      </w:r>
      <w:r w:rsidR="003E4D91">
        <w:t xml:space="preserve"> that th</w:t>
      </w:r>
      <w:r w:rsidR="002B4D87">
        <w:t>e</w:t>
      </w:r>
      <w:r w:rsidR="003E4D91">
        <w:t xml:space="preserve"> change </w:t>
      </w:r>
      <w:r w:rsidR="002B4D87">
        <w:t xml:space="preserve">in reporting procedures </w:t>
      </w:r>
      <w:r w:rsidR="003E4D91">
        <w:t>does not affect the longstanding requirement that all direct investments and portfolio investments with foreign residents must be filed on either the TIC or BEA reports, if the exemption levels are exceeded.</w:t>
      </w:r>
    </w:p>
    <w:p w:rsidR="003E4D91" w:rsidRDefault="003E4D91" w:rsidP="003E4D91">
      <w:pPr>
        <w:pStyle w:val="BodyTextIndent"/>
        <w:tabs>
          <w:tab w:val="left" w:pos="540"/>
        </w:tabs>
        <w:ind w:left="540"/>
      </w:pPr>
    </w:p>
    <w:p w:rsidR="0042546D" w:rsidRDefault="00572C64" w:rsidP="0042546D">
      <w:pPr>
        <w:pStyle w:val="BodyTextIndent"/>
        <w:tabs>
          <w:tab w:val="left" w:pos="540"/>
        </w:tabs>
        <w:ind w:left="540"/>
      </w:pPr>
      <w:r>
        <w:t xml:space="preserve">(Comment 2) </w:t>
      </w:r>
      <w:r w:rsidR="003A24A0">
        <w:t>T</w:t>
      </w:r>
      <w:r w:rsidR="0042546D">
        <w:t xml:space="preserve">he Bureau of Economic Analysis (BEA) of the U.S. Department of Commerce wrote in a letter dated </w:t>
      </w:r>
      <w:r w:rsidR="00920BB0">
        <w:t>March 1</w:t>
      </w:r>
      <w:r w:rsidR="00C31CD6">
        <w:t>, 201</w:t>
      </w:r>
      <w:r w:rsidR="00920BB0">
        <w:t>7</w:t>
      </w:r>
      <w:r w:rsidR="0042546D">
        <w:t>, that “BEA strongly supports the continued collection of data on Form</w:t>
      </w:r>
      <w:r w:rsidR="0015331D">
        <w:t>s</w:t>
      </w:r>
      <w:r w:rsidR="0042546D">
        <w:t xml:space="preserve"> SHLA/SHL</w:t>
      </w:r>
      <w:r w:rsidR="00C31CD6">
        <w:t xml:space="preserve"> and the proposed changes</w:t>
      </w:r>
      <w:r w:rsidR="0042546D">
        <w:t xml:space="preserve">. The data collected on these forms are crucial to key components of BEA’s economic statistics.”  </w:t>
      </w:r>
    </w:p>
    <w:p w:rsidR="0042546D" w:rsidRDefault="0042546D" w:rsidP="0042546D">
      <w:pPr>
        <w:pStyle w:val="BodyTextIndent"/>
        <w:tabs>
          <w:tab w:val="left" w:pos="540"/>
        </w:tabs>
        <w:ind w:left="540"/>
      </w:pPr>
      <w:r>
        <w:t xml:space="preserve">  </w:t>
      </w:r>
    </w:p>
    <w:p w:rsidR="004864A8" w:rsidRDefault="004F7ADD" w:rsidP="0042546D">
      <w:pPr>
        <w:pStyle w:val="BodyTextIndent"/>
        <w:tabs>
          <w:tab w:val="clear" w:pos="0"/>
          <w:tab w:val="clear" w:pos="244"/>
          <w:tab w:val="clear" w:pos="720"/>
          <w:tab w:val="left" w:pos="540"/>
        </w:tabs>
        <w:ind w:left="540"/>
        <w:jc w:val="left"/>
      </w:pPr>
      <w:r>
        <w:t>Staff at the Federal Reserve Bank of New York has</w:t>
      </w:r>
      <w:r w:rsidR="0042546D">
        <w:t xml:space="preserve"> ongoing discussions with respondents and organizations that are representatives of the respondent panel for the survey, such as the New York Clearing House. No suggestions for changes in this data collection have been received over the past couple of years by the Bank.</w:t>
      </w:r>
    </w:p>
    <w:p w:rsidR="0042546D" w:rsidRDefault="0042546D" w:rsidP="0042546D">
      <w:pPr>
        <w:pStyle w:val="BodyTextIndent"/>
        <w:tabs>
          <w:tab w:val="clear" w:pos="0"/>
          <w:tab w:val="clear" w:pos="244"/>
          <w:tab w:val="clear" w:pos="720"/>
          <w:tab w:val="left" w:pos="540"/>
        </w:tabs>
        <w:ind w:left="540"/>
        <w:jc w:val="left"/>
      </w:pPr>
    </w:p>
    <w:p w:rsidR="00EC630B" w:rsidRPr="004864A8" w:rsidRDefault="00EC630B" w:rsidP="006F3CD0">
      <w:pPr>
        <w:widowControl/>
        <w:numPr>
          <w:ilvl w:val="0"/>
          <w:numId w:val="1"/>
        </w:numPr>
        <w:tabs>
          <w:tab w:val="clear" w:pos="725"/>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r w:rsidRPr="00172F5F">
        <w:rPr>
          <w:szCs w:val="24"/>
          <w:u w:val="single"/>
        </w:rPr>
        <w:t xml:space="preserve">Provision of payments to </w:t>
      </w:r>
      <w:proofErr w:type="spellStart"/>
      <w:r w:rsidRPr="00172F5F">
        <w:rPr>
          <w:szCs w:val="24"/>
          <w:u w:val="single"/>
        </w:rPr>
        <w:t>recordkeepers</w:t>
      </w:r>
      <w:proofErr w:type="spellEnd"/>
    </w:p>
    <w:p w:rsidR="004864A8" w:rsidRDefault="004864A8" w:rsidP="006F3CD0">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p>
    <w:p w:rsidR="00136C25" w:rsidRDefault="003A24A0" w:rsidP="00C93190">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pPr>
      <w:r w:rsidRPr="003A24A0">
        <w:t xml:space="preserve">In respect of Form </w:t>
      </w:r>
      <w:r>
        <w:t>SHL/SHLA</w:t>
      </w:r>
      <w:r w:rsidRPr="003A24A0">
        <w:t xml:space="preserve"> or any other TIC form, there has been no provision of payments or gifts to respondents for any purpose.</w:t>
      </w:r>
    </w:p>
    <w:p w:rsidR="004864A8" w:rsidRDefault="004864A8" w:rsidP="003A24A0">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pPr>
    </w:p>
    <w:p w:rsidR="004864A8" w:rsidRPr="004864A8" w:rsidRDefault="004864A8" w:rsidP="006F3CD0">
      <w:pPr>
        <w:widowControl/>
        <w:numPr>
          <w:ilvl w:val="0"/>
          <w:numId w:val="1"/>
        </w:numPr>
        <w:tabs>
          <w:tab w:val="clear" w:pos="725"/>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r w:rsidRPr="00172F5F">
        <w:rPr>
          <w:szCs w:val="24"/>
          <w:u w:val="single"/>
        </w:rPr>
        <w:t>Assurance of confidentiality</w:t>
      </w:r>
    </w:p>
    <w:p w:rsidR="004864A8" w:rsidRDefault="004864A8" w:rsidP="006F3CD0">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B0028E" w:rsidRDefault="004864A8" w:rsidP="006F3CD0">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r>
        <w:tab/>
      </w:r>
      <w:r w:rsidR="001114AD" w:rsidRPr="001114AD">
        <w:t>The International Investment and Trade in Services Survey Act mandates that information filed on individual reports may be used only for analytical and statistical purposes within the U.S. Government and to enforce the Act.  Access to the information is available only to officials and employees (including consultants and contractors and their employees) designated to perform functions under the Act.  No information can be published or made available in a manner that specifically identifies the person who furnished the information, unless the prior written consent of the person is given.  Persons having access to individual company information submitted pursuant to the Act are subject to penalties for unauthorized disclosure.</w:t>
      </w:r>
    </w:p>
    <w:p w:rsidR="00B0028E" w:rsidRDefault="00B0028E" w:rsidP="006F3CD0">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p>
    <w:p w:rsidR="004864A8" w:rsidRPr="00172F5F" w:rsidRDefault="004864A8" w:rsidP="006F3CD0">
      <w:pPr>
        <w:pStyle w:val="ListParagraph"/>
        <w:numPr>
          <w:ilvl w:val="0"/>
          <w:numId w:val="1"/>
        </w:numPr>
        <w:tabs>
          <w:tab w:val="clear" w:pos="725"/>
          <w:tab w:val="left" w:pos="540"/>
        </w:tabs>
        <w:spacing w:after="0" w:line="240" w:lineRule="auto"/>
        <w:ind w:left="540" w:hanging="540"/>
        <w:rPr>
          <w:rFonts w:ascii="Times New Roman" w:hAnsi="Times New Roman"/>
          <w:sz w:val="24"/>
          <w:szCs w:val="24"/>
          <w:u w:val="single"/>
        </w:rPr>
      </w:pPr>
      <w:r w:rsidRPr="00172F5F">
        <w:rPr>
          <w:rFonts w:ascii="Times New Roman" w:hAnsi="Times New Roman"/>
          <w:sz w:val="24"/>
          <w:szCs w:val="24"/>
          <w:u w:val="single"/>
        </w:rPr>
        <w:t>Justification of sensitive questions</w:t>
      </w:r>
    </w:p>
    <w:p w:rsidR="004864A8" w:rsidRDefault="004864A8" w:rsidP="006F3CD0">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p>
    <w:p w:rsidR="000B1EA4" w:rsidRDefault="004864A8" w:rsidP="006F3CD0">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r>
        <w:tab/>
      </w:r>
      <w:r w:rsidR="00B0028E">
        <w:t>There are no questions of a sensitive nature.</w:t>
      </w:r>
    </w:p>
    <w:p w:rsidR="001C0F17" w:rsidRPr="001C0F17" w:rsidRDefault="001C0F17" w:rsidP="001C0F17">
      <w:pPr>
        <w:ind w:firstLine="540"/>
      </w:pPr>
      <w:r>
        <w:t>T</w:t>
      </w:r>
      <w:r w:rsidRPr="001C0F17">
        <w:t xml:space="preserve">his collection does not include personally identifiable information.  </w:t>
      </w:r>
    </w:p>
    <w:p w:rsidR="00B0028E" w:rsidRDefault="00B0028E" w:rsidP="006F3CD0">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p>
    <w:p w:rsidR="00B0028E" w:rsidRDefault="00B0028E" w:rsidP="006F3CD0">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r>
        <w:t>12.</w:t>
      </w:r>
      <w:r>
        <w:tab/>
      </w:r>
      <w:r w:rsidRPr="004864A8">
        <w:rPr>
          <w:u w:val="single"/>
        </w:rPr>
        <w:t>Total annual hour burden</w:t>
      </w:r>
      <w:r>
        <w:t>:</w:t>
      </w:r>
    </w:p>
    <w:p w:rsidR="00B0028E" w:rsidRDefault="00B0028E">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p>
    <w:p w:rsidR="00B0028E" w:rsidRDefault="00C57211" w:rsidP="006F3CD0">
      <w:pPr>
        <w:widowControl/>
        <w:tabs>
          <w:tab w:val="left" w:pos="-1440"/>
          <w:tab w:val="left" w:pos="-720"/>
          <w:tab w:val="left" w:pos="0"/>
          <w:tab w:val="left" w:pos="244"/>
          <w:tab w:val="left" w:pos="720"/>
          <w:tab w:val="left" w:pos="1152"/>
          <w:tab w:val="left" w:pos="1440"/>
          <w:tab w:val="left" w:pos="2160"/>
          <w:tab w:val="left" w:pos="2880"/>
          <w:tab w:val="left" w:pos="3600"/>
          <w:tab w:val="left" w:pos="5040"/>
          <w:tab w:val="left" w:pos="5760"/>
          <w:tab w:val="left" w:pos="6480"/>
          <w:tab w:val="left" w:pos="7200"/>
          <w:tab w:val="left" w:pos="7920"/>
          <w:tab w:val="left" w:pos="8640"/>
          <w:tab w:val="left" w:pos="9360"/>
        </w:tabs>
        <w:ind w:left="540"/>
        <w:jc w:val="both"/>
      </w:pPr>
      <w:r>
        <w:t xml:space="preserve">Average Annual </w:t>
      </w:r>
      <w:r w:rsidR="00B0028E">
        <w:t xml:space="preserve">Number of respondents </w:t>
      </w:r>
      <w:r w:rsidR="00B0028E">
        <w:rPr>
          <w:rFonts w:ascii="Courier New" w:hAnsi="Courier New"/>
        </w:rPr>
        <w:t>─</w:t>
      </w:r>
      <w:r w:rsidR="00B0028E">
        <w:t xml:space="preserve"> </w:t>
      </w:r>
      <w:r w:rsidR="00F54B45">
        <w:t>249</w:t>
      </w:r>
    </w:p>
    <w:p w:rsidR="00B0028E" w:rsidRDefault="00B0028E" w:rsidP="006F3CD0">
      <w:pPr>
        <w:widowControl/>
        <w:tabs>
          <w:tab w:val="left" w:pos="-1440"/>
          <w:tab w:val="left" w:pos="-720"/>
          <w:tab w:val="left" w:pos="0"/>
          <w:tab w:val="left" w:pos="243"/>
          <w:tab w:val="left" w:pos="720"/>
          <w:tab w:val="left" w:pos="1152"/>
          <w:tab w:val="left" w:pos="1440"/>
          <w:tab w:val="left" w:pos="2160"/>
          <w:tab w:val="left" w:pos="2880"/>
          <w:tab w:val="left" w:pos="3600"/>
          <w:tab w:val="left" w:pos="5040"/>
          <w:tab w:val="left" w:pos="5760"/>
          <w:tab w:val="left" w:pos="6480"/>
          <w:tab w:val="left" w:pos="7200"/>
          <w:tab w:val="left" w:pos="7920"/>
          <w:tab w:val="left" w:pos="8640"/>
          <w:tab w:val="left" w:pos="9360"/>
        </w:tabs>
        <w:ind w:left="540"/>
        <w:jc w:val="both"/>
      </w:pPr>
      <w:r>
        <w:t xml:space="preserve">Frequency of Responses </w:t>
      </w:r>
      <w:r>
        <w:rPr>
          <w:rFonts w:ascii="Courier New" w:hAnsi="Courier New"/>
        </w:rPr>
        <w:t>─</w:t>
      </w:r>
      <w:r>
        <w:t xml:space="preserve"> </w:t>
      </w:r>
      <w:r w:rsidR="00C57211">
        <w:t>one</w:t>
      </w:r>
      <w:r>
        <w:t xml:space="preserve"> per year</w:t>
      </w:r>
    </w:p>
    <w:p w:rsidR="00B0028E" w:rsidRPr="001C01B0" w:rsidRDefault="00B0028E" w:rsidP="006F3CD0">
      <w:pPr>
        <w:widowControl/>
        <w:tabs>
          <w:tab w:val="left" w:pos="-1440"/>
          <w:tab w:val="left" w:pos="-720"/>
          <w:tab w:val="left" w:pos="0"/>
          <w:tab w:val="left" w:pos="243"/>
          <w:tab w:val="left" w:pos="720"/>
          <w:tab w:val="left" w:pos="1152"/>
          <w:tab w:val="left" w:pos="1440"/>
          <w:tab w:val="left" w:pos="2160"/>
          <w:tab w:val="left" w:pos="2880"/>
          <w:tab w:val="left" w:pos="3600"/>
          <w:tab w:val="left" w:pos="5040"/>
          <w:tab w:val="left" w:pos="5760"/>
          <w:tab w:val="left" w:pos="6480"/>
          <w:tab w:val="left" w:pos="7200"/>
          <w:tab w:val="left" w:pos="7920"/>
          <w:tab w:val="left" w:pos="8640"/>
          <w:tab w:val="left" w:pos="9360"/>
        </w:tabs>
        <w:ind w:left="540"/>
        <w:jc w:val="both"/>
      </w:pPr>
      <w:r>
        <w:t xml:space="preserve">Annual Burden </w:t>
      </w:r>
      <w:r>
        <w:rPr>
          <w:rFonts w:ascii="Courier New" w:hAnsi="Courier New"/>
        </w:rPr>
        <w:t>─</w:t>
      </w:r>
      <w:r>
        <w:t xml:space="preserve"> </w:t>
      </w:r>
      <w:r w:rsidR="00F54B45">
        <w:t>40,793</w:t>
      </w:r>
      <w:r>
        <w:t xml:space="preserve"> hours</w:t>
      </w:r>
      <w:r w:rsidR="001C01B0" w:rsidRPr="001C01B0">
        <w:t xml:space="preserve"> </w:t>
      </w:r>
    </w:p>
    <w:p w:rsidR="00B0028E" w:rsidRDefault="00B0028E" w:rsidP="006F3CD0">
      <w:pPr>
        <w:widowControl/>
        <w:tabs>
          <w:tab w:val="left" w:pos="-1440"/>
          <w:tab w:val="left" w:pos="-720"/>
          <w:tab w:val="left" w:pos="0"/>
          <w:tab w:val="left" w:pos="243"/>
          <w:tab w:val="left" w:pos="720"/>
          <w:tab w:val="left" w:pos="1152"/>
          <w:tab w:val="left" w:pos="1440"/>
          <w:tab w:val="left" w:pos="2160"/>
          <w:tab w:val="left" w:pos="2880"/>
          <w:tab w:val="left" w:pos="3600"/>
          <w:tab w:val="left" w:pos="5040"/>
          <w:tab w:val="left" w:pos="5760"/>
          <w:tab w:val="left" w:pos="6480"/>
          <w:tab w:val="left" w:pos="7200"/>
          <w:tab w:val="left" w:pos="7920"/>
          <w:tab w:val="left" w:pos="8640"/>
          <w:tab w:val="left" w:pos="9360"/>
        </w:tabs>
        <w:ind w:left="540"/>
        <w:jc w:val="both"/>
      </w:pPr>
    </w:p>
    <w:p w:rsidR="00A21EEB" w:rsidRDefault="00A21EEB" w:rsidP="00A21EEB">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lastRenderedPageBreak/>
        <w:t xml:space="preserve">The estimated number of respondents (an annual average over five years) is about </w:t>
      </w:r>
      <w:r w:rsidR="00F54B45">
        <w:t>249</w:t>
      </w:r>
      <w:r>
        <w:t xml:space="preserve">, but this varies widely from about </w:t>
      </w:r>
      <w:r w:rsidR="00F54B45">
        <w:t>655</w:t>
      </w:r>
      <w:r>
        <w:t xml:space="preserve"> in the year of a quinquennial survey (</w:t>
      </w:r>
      <w:r w:rsidR="009E5318">
        <w:t xml:space="preserve">form </w:t>
      </w:r>
      <w:r>
        <w:t xml:space="preserve">SHL; once every five years) to about </w:t>
      </w:r>
      <w:r w:rsidR="00F54B45">
        <w:t>147</w:t>
      </w:r>
      <w:r>
        <w:t xml:space="preserve"> in the intervening years of smaller annual surveys (</w:t>
      </w:r>
      <w:r w:rsidR="009E5318">
        <w:t xml:space="preserve">form </w:t>
      </w:r>
      <w:r>
        <w:t xml:space="preserve">SHLA; four out of every five years).  The frequency of the data collection is annual. The estimated annual hour burden (an annual average over five years) is about </w:t>
      </w:r>
      <w:r w:rsidR="00F54B45">
        <w:t>40,793</w:t>
      </w:r>
      <w:r>
        <w:t xml:space="preserve"> hours, but this varies widely from about </w:t>
      </w:r>
      <w:r w:rsidR="00F54B45">
        <w:t>62</w:t>
      </w:r>
      <w:r>
        <w:t>,</w:t>
      </w:r>
      <w:r w:rsidR="00F54B45">
        <w:t>951</w:t>
      </w:r>
      <w:r>
        <w:t xml:space="preserve"> hours in the year of a quinquennial survey (SHL) to </w:t>
      </w:r>
      <w:r w:rsidR="00B62262">
        <w:t>about</w:t>
      </w:r>
      <w:r w:rsidR="0023156A">
        <w:t xml:space="preserve"> </w:t>
      </w:r>
      <w:r w:rsidR="007F5FE4">
        <w:t>3</w:t>
      </w:r>
      <w:r w:rsidR="00F54B45">
        <w:t>5</w:t>
      </w:r>
      <w:r>
        <w:t>,</w:t>
      </w:r>
      <w:r w:rsidR="00F54B45">
        <w:t>2</w:t>
      </w:r>
      <w:r w:rsidR="00764E04">
        <w:t>53</w:t>
      </w:r>
      <w:r>
        <w:t xml:space="preserve"> hours in the year of a smaller annual survey (SHLA).</w:t>
      </w:r>
    </w:p>
    <w:p w:rsidR="00A21EEB" w:rsidRDefault="00A21EEB" w:rsidP="00A21EEB">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A21EEB" w:rsidRDefault="00A21EEB" w:rsidP="00A21EEB">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The annual hour burden per respondent (an annual average over five years) is about </w:t>
      </w:r>
      <w:r w:rsidR="00B62262">
        <w:t>1</w:t>
      </w:r>
      <w:r w:rsidR="005079E7">
        <w:t>6</w:t>
      </w:r>
      <w:r w:rsidR="00655C34">
        <w:t>3.</w:t>
      </w:r>
      <w:r w:rsidR="00F54B45">
        <w:t>8</w:t>
      </w:r>
      <w:r>
        <w:t xml:space="preserve"> hours</w:t>
      </w:r>
      <w:r w:rsidR="00B62262">
        <w:t>.</w:t>
      </w:r>
      <w:r>
        <w:t xml:space="preserve">  The burden is based on estimates of the average time per report for different groups of respondents, plus an additional hour per respondent for record keeping purposes. The annual hour burden will vary widely from respondent to respondent.  (a) In the year of a quinquennial survey (</w:t>
      </w:r>
      <w:r w:rsidR="00FA2D76">
        <w:t xml:space="preserve">form </w:t>
      </w:r>
      <w:r>
        <w:t>SHL</w:t>
      </w:r>
      <w:r w:rsidR="00FA2D76">
        <w:t>, conducted once every five years</w:t>
      </w:r>
      <w:r>
        <w:t xml:space="preserve">), it is estimated that about </w:t>
      </w:r>
      <w:r w:rsidR="00F54B45">
        <w:t>216</w:t>
      </w:r>
      <w:r>
        <w:t xml:space="preserve"> exempt respondents will each require an average of 1</w:t>
      </w:r>
      <w:r w:rsidR="00FA2D76">
        <w:t>7</w:t>
      </w:r>
      <w:r>
        <w:t xml:space="preserve"> hours per report to determine their status; for about </w:t>
      </w:r>
      <w:r w:rsidR="00F54B45">
        <w:t>125</w:t>
      </w:r>
      <w:r>
        <w:t xml:space="preserve"> custodians of securities, the estimate is 32</w:t>
      </w:r>
      <w:r w:rsidR="00FA2D76">
        <w:t>1</w:t>
      </w:r>
      <w:r>
        <w:t xml:space="preserve"> hours per report on average, but this figure will vary widely for individual custodians; and for about </w:t>
      </w:r>
      <w:r w:rsidR="00F54B45">
        <w:t>314</w:t>
      </w:r>
      <w:r>
        <w:t xml:space="preserve"> issuers of securities that have data to report and are not custodians, the estimate is 6</w:t>
      </w:r>
      <w:r w:rsidR="00FA2D76">
        <w:t>1</w:t>
      </w:r>
      <w:r>
        <w:t xml:space="preserve"> hours per report.   (b) In the year of an annual survey (</w:t>
      </w:r>
      <w:r w:rsidR="00FA2D76">
        <w:t xml:space="preserve">form </w:t>
      </w:r>
      <w:r>
        <w:t>SHLA</w:t>
      </w:r>
      <w:r w:rsidR="00FA2D76">
        <w:t>, conducted four out of every five years</w:t>
      </w:r>
      <w:r>
        <w:t xml:space="preserve">): for </w:t>
      </w:r>
      <w:r w:rsidR="00655C34">
        <w:t xml:space="preserve">about </w:t>
      </w:r>
      <w:r w:rsidR="00DB2711">
        <w:t>5</w:t>
      </w:r>
      <w:r w:rsidR="00F54B45">
        <w:t>1</w:t>
      </w:r>
      <w:r>
        <w:t xml:space="preserve"> largest custodians of securities, the estimate is 48</w:t>
      </w:r>
      <w:r w:rsidR="000B0309">
        <w:t>6</w:t>
      </w:r>
      <w:r>
        <w:t xml:space="preserve"> hours per report on average; for </w:t>
      </w:r>
      <w:r w:rsidR="00655C34">
        <w:t>about</w:t>
      </w:r>
      <w:r>
        <w:t xml:space="preserve"> </w:t>
      </w:r>
      <w:r w:rsidR="00655C34">
        <w:t>5</w:t>
      </w:r>
      <w:r w:rsidR="00F54B45">
        <w:t>1</w:t>
      </w:r>
      <w:r>
        <w:t xml:space="preserve"> largest issuers of securities that have data to report and are not custodians, the estimate for each report is 1</w:t>
      </w:r>
      <w:r w:rsidR="000B0309">
        <w:t>10</w:t>
      </w:r>
      <w:r>
        <w:t xml:space="preserve"> hours</w:t>
      </w:r>
      <w:r w:rsidR="00651092">
        <w:t xml:space="preserve">; and for </w:t>
      </w:r>
      <w:r w:rsidR="00655C34">
        <w:t>about</w:t>
      </w:r>
      <w:r w:rsidR="00651092">
        <w:t xml:space="preserve"> </w:t>
      </w:r>
      <w:r w:rsidR="00F54B45">
        <w:t>one</w:t>
      </w:r>
      <w:r w:rsidR="00651092">
        <w:t xml:space="preserve"> exempt entities, the estimate for each report is 1</w:t>
      </w:r>
      <w:r w:rsidR="000B0309">
        <w:t>7</w:t>
      </w:r>
      <w:r w:rsidR="00651092">
        <w:t xml:space="preserve"> hours</w:t>
      </w:r>
      <w:r>
        <w:t xml:space="preserve">. </w:t>
      </w:r>
    </w:p>
    <w:p w:rsidR="00136C25" w:rsidRDefault="00136C25" w:rsidP="00C57211">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1819"/>
        <w:gridCol w:w="1810"/>
        <w:gridCol w:w="1798"/>
        <w:gridCol w:w="1778"/>
      </w:tblGrid>
      <w:tr w:rsidR="00C57211" w:rsidTr="00C57211">
        <w:tc>
          <w:tcPr>
            <w:tcW w:w="1915" w:type="dxa"/>
            <w:vAlign w:val="center"/>
          </w:tcPr>
          <w:p w:rsidR="00C57211" w:rsidRPr="00C57211" w:rsidRDefault="00C57211" w:rsidP="00C57211">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Respondents</w:t>
            </w:r>
          </w:p>
        </w:tc>
        <w:tc>
          <w:tcPr>
            <w:tcW w:w="1915" w:type="dxa"/>
            <w:vAlign w:val="center"/>
          </w:tcPr>
          <w:p w:rsidR="00C57211" w:rsidRPr="00C57211" w:rsidRDefault="00C57211" w:rsidP="00C57211">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Responses per Respondent</w:t>
            </w:r>
          </w:p>
        </w:tc>
        <w:tc>
          <w:tcPr>
            <w:tcW w:w="1915" w:type="dxa"/>
            <w:vAlign w:val="center"/>
          </w:tcPr>
          <w:p w:rsidR="00C57211" w:rsidRPr="00C57211" w:rsidRDefault="00C57211" w:rsidP="00C57211">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Total Annual Responses</w:t>
            </w:r>
          </w:p>
        </w:tc>
        <w:tc>
          <w:tcPr>
            <w:tcW w:w="1915" w:type="dxa"/>
            <w:vAlign w:val="center"/>
          </w:tcPr>
          <w:p w:rsidR="00C57211" w:rsidRPr="00C57211" w:rsidRDefault="00C57211" w:rsidP="00C57211">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Hours Per Response</w:t>
            </w:r>
          </w:p>
        </w:tc>
        <w:tc>
          <w:tcPr>
            <w:tcW w:w="1916" w:type="dxa"/>
            <w:vAlign w:val="center"/>
          </w:tcPr>
          <w:p w:rsidR="00C57211" w:rsidRPr="00C57211" w:rsidRDefault="00C57211" w:rsidP="00C57211">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Total Burden</w:t>
            </w:r>
          </w:p>
        </w:tc>
      </w:tr>
      <w:tr w:rsidR="00C57211" w:rsidTr="00C57211">
        <w:trPr>
          <w:trHeight w:val="575"/>
        </w:trPr>
        <w:tc>
          <w:tcPr>
            <w:tcW w:w="1915" w:type="dxa"/>
            <w:vAlign w:val="center"/>
          </w:tcPr>
          <w:p w:rsidR="00C57211" w:rsidRDefault="00F54B45" w:rsidP="00F54B45">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249</w:t>
            </w:r>
          </w:p>
        </w:tc>
        <w:tc>
          <w:tcPr>
            <w:tcW w:w="1915" w:type="dxa"/>
            <w:vAlign w:val="center"/>
          </w:tcPr>
          <w:p w:rsidR="00C57211" w:rsidRDefault="00C57211" w:rsidP="00C57211">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w:t>
            </w:r>
          </w:p>
        </w:tc>
        <w:tc>
          <w:tcPr>
            <w:tcW w:w="1915" w:type="dxa"/>
            <w:vAlign w:val="center"/>
          </w:tcPr>
          <w:p w:rsidR="00C57211" w:rsidRDefault="00F54B45" w:rsidP="00F54B45">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249</w:t>
            </w:r>
          </w:p>
        </w:tc>
        <w:tc>
          <w:tcPr>
            <w:tcW w:w="1915" w:type="dxa"/>
            <w:vAlign w:val="center"/>
          </w:tcPr>
          <w:p w:rsidR="00C57211" w:rsidRDefault="009724E6" w:rsidP="00F54B45">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w:t>
            </w:r>
            <w:r w:rsidR="00311E4A">
              <w:t>6</w:t>
            </w:r>
            <w:r w:rsidR="000B0309">
              <w:t>3</w:t>
            </w:r>
            <w:r w:rsidR="00311E4A">
              <w:t>.</w:t>
            </w:r>
            <w:r w:rsidR="00F54B45">
              <w:t>826</w:t>
            </w:r>
          </w:p>
        </w:tc>
        <w:tc>
          <w:tcPr>
            <w:tcW w:w="1916" w:type="dxa"/>
            <w:vAlign w:val="center"/>
          </w:tcPr>
          <w:p w:rsidR="00C57211" w:rsidRDefault="00F54B45" w:rsidP="00F54B45">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40</w:t>
            </w:r>
            <w:r w:rsidR="000B0309">
              <w:t>,7</w:t>
            </w:r>
            <w:r>
              <w:t>93</w:t>
            </w:r>
          </w:p>
        </w:tc>
      </w:tr>
    </w:tbl>
    <w:p w:rsidR="00C57211" w:rsidRDefault="00C57211" w:rsidP="00C57211">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A21EEB" w:rsidRDefault="00A21EEB" w:rsidP="00A21EEB">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In any given year, either Form SHL or Form SHLA, but not both, will be filed by respondents. While each form has two schedules, almost all of the effort required is for schedule 2.  Schedule 1 contains only identification information (company name and address, contact name and telephone number, etc.), </w:t>
      </w:r>
      <w:proofErr w:type="gramStart"/>
      <w:r>
        <w:t>attestation that the data reported are</w:t>
      </w:r>
      <w:proofErr w:type="gramEnd"/>
      <w:r>
        <w:t xml:space="preserve"> believed to be correct, and an arithmetic summary of the information reported on schedule 2.</w:t>
      </w:r>
    </w:p>
    <w:p w:rsidR="00A21EEB" w:rsidRDefault="00A21EEB" w:rsidP="00A21EEB">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A21EEB" w:rsidRDefault="00A21EEB" w:rsidP="00A21EEB">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Assuming an average wage rate of $</w:t>
      </w:r>
      <w:r w:rsidR="00292A0E">
        <w:t>50.04</w:t>
      </w:r>
      <w:r>
        <w:t xml:space="preserve"> an hour</w:t>
      </w:r>
      <w:r w:rsidR="009724E6">
        <w:t xml:space="preserve"> </w:t>
      </w:r>
      <w:r w:rsidR="009724E6" w:rsidRPr="009724E6">
        <w:t>(corresponding to an annual salary of $</w:t>
      </w:r>
      <w:r w:rsidR="00292A0E" w:rsidRPr="00292A0E">
        <w:t>104,085</w:t>
      </w:r>
      <w:r w:rsidR="009724E6" w:rsidRPr="009724E6">
        <w:t>)</w:t>
      </w:r>
      <w:r>
        <w:t>, the annualized cost (an annual average cost over five years) to the average firm to complete this survey is estimated to be about $</w:t>
      </w:r>
      <w:r w:rsidR="00116B07">
        <w:t>8</w:t>
      </w:r>
      <w:r>
        <w:t>,</w:t>
      </w:r>
      <w:r w:rsidR="00A53BC6">
        <w:t>211</w:t>
      </w:r>
      <w:r>
        <w:t>. The breakdown by component survey is as follows. For a quinquennial survey (SHL), the cost to the average reporter is about $</w:t>
      </w:r>
      <w:r w:rsidR="00A53BC6">
        <w:t>4</w:t>
      </w:r>
      <w:r>
        <w:t>,</w:t>
      </w:r>
      <w:r w:rsidR="00A53BC6">
        <w:t>809</w:t>
      </w:r>
      <w:r>
        <w:t>, where this is the weighted average of costs of about $</w:t>
      </w:r>
      <w:r w:rsidR="00116B07">
        <w:t>8</w:t>
      </w:r>
      <w:r w:rsidR="00292A0E">
        <w:t>51</w:t>
      </w:r>
      <w:r>
        <w:t xml:space="preserve"> for each exempt reporter, $</w:t>
      </w:r>
      <w:r w:rsidR="00292A0E">
        <w:t>3</w:t>
      </w:r>
      <w:r>
        <w:t>,</w:t>
      </w:r>
      <w:r w:rsidR="00292A0E">
        <w:t>052</w:t>
      </w:r>
      <w:r>
        <w:t xml:space="preserve"> for the average issuer of securities, and $1</w:t>
      </w:r>
      <w:r w:rsidR="00292A0E">
        <w:t>6</w:t>
      </w:r>
      <w:r>
        <w:t>,</w:t>
      </w:r>
      <w:r w:rsidR="00292A0E">
        <w:t>063</w:t>
      </w:r>
      <w:r>
        <w:t xml:space="preserve"> for the average custodian. For an annual survey (SHLA), the cost to the average reporter is about $</w:t>
      </w:r>
      <w:r w:rsidR="009724E6">
        <w:t>1</w:t>
      </w:r>
      <w:r w:rsidR="00A53BC6">
        <w:t>2</w:t>
      </w:r>
      <w:r>
        <w:t>,</w:t>
      </w:r>
      <w:r w:rsidR="00A53BC6">
        <w:t>000</w:t>
      </w:r>
      <w:r>
        <w:t xml:space="preserve">, where this is the weighted average of costs of about </w:t>
      </w:r>
      <w:r w:rsidR="00116B07" w:rsidRPr="00116B07">
        <w:t>$8</w:t>
      </w:r>
      <w:r w:rsidR="00292A0E">
        <w:t>51</w:t>
      </w:r>
      <w:r w:rsidR="00116B07" w:rsidRPr="00116B07">
        <w:t xml:space="preserve"> for each exempt reporter,</w:t>
      </w:r>
      <w:r w:rsidR="00116B07">
        <w:t xml:space="preserve"> </w:t>
      </w:r>
      <w:r>
        <w:t>$</w:t>
      </w:r>
      <w:r w:rsidR="009724E6">
        <w:t>5</w:t>
      </w:r>
      <w:r>
        <w:t>,</w:t>
      </w:r>
      <w:r w:rsidR="00292A0E">
        <w:t>504</w:t>
      </w:r>
      <w:r>
        <w:t xml:space="preserve"> for the average issuer of securities and $</w:t>
      </w:r>
      <w:r w:rsidR="009724E6">
        <w:t>2</w:t>
      </w:r>
      <w:r w:rsidR="00292A0E">
        <w:t>4</w:t>
      </w:r>
      <w:r>
        <w:t>,</w:t>
      </w:r>
      <w:r w:rsidR="00292A0E">
        <w:t>319</w:t>
      </w:r>
      <w:r>
        <w:t xml:space="preserve"> for the average custodian. No special equipment is required to respond to this survey.</w:t>
      </w:r>
    </w:p>
    <w:p w:rsidR="00EB1ABA" w:rsidRDefault="00EB1ABA" w:rsidP="00EB1ABA">
      <w:pPr>
        <w:widowControl/>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rsidR="004864A8" w:rsidRPr="004864A8" w:rsidRDefault="00EB1ABA" w:rsidP="00EB1ABA">
      <w:pPr>
        <w:widowControl/>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C38D9">
        <w:rPr>
          <w:szCs w:val="24"/>
        </w:rPr>
        <w:t>13.</w:t>
      </w:r>
      <w:r w:rsidRPr="00AC38D9">
        <w:rPr>
          <w:szCs w:val="24"/>
        </w:rPr>
        <w:tab/>
      </w:r>
      <w:r w:rsidR="004864A8" w:rsidRPr="00172F5F">
        <w:rPr>
          <w:szCs w:val="24"/>
          <w:u w:val="single"/>
        </w:rPr>
        <w:t>Estimated total annual cost burden to respondents</w:t>
      </w:r>
    </w:p>
    <w:p w:rsidR="004864A8" w:rsidRDefault="004864A8" w:rsidP="006F3CD0">
      <w:pPr>
        <w:widowControl/>
        <w:tabs>
          <w:tab w:val="left" w:pos="-1440"/>
          <w:tab w:val="left" w:pos="-720"/>
          <w:tab w:val="left" w:pos="243"/>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p>
    <w:p w:rsidR="00A21EEB" w:rsidRDefault="00A21EEB" w:rsidP="006F3CD0">
      <w:pPr>
        <w:widowControl/>
        <w:tabs>
          <w:tab w:val="left" w:pos="-1440"/>
          <w:tab w:val="left" w:pos="-720"/>
          <w:tab w:val="left" w:pos="243"/>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r>
        <w:tab/>
      </w:r>
      <w:r>
        <w:tab/>
      </w:r>
      <w:r w:rsidRPr="00A21EEB">
        <w:t>All cost figures are provided in Item 12 above. No special equipment is required to respond to this survey.</w:t>
      </w:r>
    </w:p>
    <w:p w:rsidR="00A21EEB" w:rsidRDefault="00A21EEB" w:rsidP="006F3CD0">
      <w:pPr>
        <w:widowControl/>
        <w:tabs>
          <w:tab w:val="left" w:pos="-1440"/>
          <w:tab w:val="left" w:pos="-720"/>
          <w:tab w:val="left" w:pos="243"/>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p>
    <w:p w:rsidR="00B0028E" w:rsidRDefault="004864A8" w:rsidP="006F3CD0">
      <w:pPr>
        <w:widowControl/>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r>
        <w:tab/>
      </w:r>
      <w:r w:rsidR="00B0028E">
        <w:t>Total annual cost burden:</w:t>
      </w:r>
    </w:p>
    <w:p w:rsidR="00B0028E" w:rsidRDefault="00B0028E" w:rsidP="006F3CD0">
      <w:pPr>
        <w:widowControl/>
        <w:tabs>
          <w:tab w:val="left" w:pos="-1440"/>
          <w:tab w:val="left" w:pos="-720"/>
          <w:tab w:val="left" w:pos="243"/>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p>
    <w:p w:rsidR="00B0028E" w:rsidRDefault="00B0028E" w:rsidP="006F3CD0">
      <w:pPr>
        <w:widowControl/>
        <w:tabs>
          <w:tab w:val="left" w:pos="-1440"/>
          <w:tab w:val="left" w:pos="-720"/>
          <w:tab w:val="left" w:pos="24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pPr>
      <w:r>
        <w:t>(a)</w:t>
      </w:r>
      <w:r>
        <w:tab/>
        <w:t xml:space="preserve">Total annualized capital and start-up costs </w:t>
      </w:r>
      <w:r w:rsidR="007A6DDC">
        <w:t>associated with Form S</w:t>
      </w:r>
      <w:r w:rsidR="00DB7D78">
        <w:t>LT</w:t>
      </w:r>
      <w:r w:rsidR="007A6DDC">
        <w:t xml:space="preserve"> </w:t>
      </w:r>
      <w:r>
        <w:t>are estimated to be $0 (zero dollars).  In general, reporting on the forms requires neither specialized capital equipment, nor fixed or variable costs that are not already associated with the customary and usual business practices of respondents.</w:t>
      </w:r>
    </w:p>
    <w:p w:rsidR="00B0028E" w:rsidRDefault="00B0028E" w:rsidP="006F3CD0">
      <w:pPr>
        <w:widowControl/>
        <w:tabs>
          <w:tab w:val="left" w:pos="-1440"/>
          <w:tab w:val="left" w:pos="-720"/>
          <w:tab w:val="left" w:pos="24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jc w:val="both"/>
      </w:pPr>
    </w:p>
    <w:p w:rsidR="00B0028E" w:rsidRDefault="00B0028E" w:rsidP="006F3CD0">
      <w:pPr>
        <w:widowControl/>
        <w:tabs>
          <w:tab w:val="left" w:pos="-1440"/>
          <w:tab w:val="left" w:pos="-720"/>
          <w:tab w:val="left" w:pos="24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pPr>
      <w:r>
        <w:t>(b)</w:t>
      </w:r>
      <w:r>
        <w:tab/>
        <w:t>Total annualized operations, maintenance, and purchases of services costs are estimated to be $0 (zero dollars).  Reporting on the forms does not in general impose operations, maintenance, or specialized services costs that are not already associated with the customary and usual practices of respondents.</w:t>
      </w:r>
    </w:p>
    <w:p w:rsidR="00B0028E" w:rsidRDefault="00B0028E" w:rsidP="006F3CD0">
      <w:pPr>
        <w:widowControl/>
        <w:tabs>
          <w:tab w:val="left" w:pos="-1440"/>
          <w:tab w:val="left" w:pos="-720"/>
          <w:tab w:val="left" w:pos="244"/>
          <w:tab w:val="left" w:pos="540"/>
        </w:tabs>
        <w:ind w:left="540" w:hanging="540"/>
        <w:jc w:val="both"/>
      </w:pPr>
    </w:p>
    <w:p w:rsidR="00B0028E" w:rsidRDefault="00B0028E" w:rsidP="006F3CD0">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pPr>
      <w:r>
        <w:t>The above cost estimates are not expected to vary widely among respondents.</w:t>
      </w:r>
    </w:p>
    <w:p w:rsidR="00B0028E" w:rsidRDefault="00B0028E" w:rsidP="000A4B9E">
      <w:pPr>
        <w:widowControl/>
        <w:tabs>
          <w:tab w:val="left" w:pos="-1440"/>
          <w:tab w:val="left" w:pos="-720"/>
          <w:tab w:val="left" w:pos="243"/>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pPr>
    </w:p>
    <w:p w:rsidR="00B0028E" w:rsidRDefault="00B0028E" w:rsidP="000A4B9E">
      <w:pPr>
        <w:widowControl/>
        <w:tabs>
          <w:tab w:val="left" w:pos="-1440"/>
          <w:tab w:val="left" w:pos="-720"/>
          <w:tab w:val="left" w:pos="243"/>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Note:  As required by OMB, the </w:t>
      </w:r>
      <w:r>
        <w:rPr>
          <w:i/>
        </w:rPr>
        <w:t>Federal Register</w:t>
      </w:r>
      <w:r>
        <w:t xml:space="preserve"> notice of </w:t>
      </w:r>
      <w:r w:rsidR="000249CF">
        <w:t>December 30, 2016</w:t>
      </w:r>
      <w:r>
        <w:t>, included an explicit request for public comments on the estimates of cost burden</w:t>
      </w:r>
      <w:r w:rsidR="0003579A">
        <w:t>s</w:t>
      </w:r>
      <w:r>
        <w:t xml:space="preserve"> that are not captured in the estimates of burden hours.  No comments on cost estimates were received.</w:t>
      </w:r>
    </w:p>
    <w:p w:rsidR="006F3CD0" w:rsidRDefault="006F3CD0" w:rsidP="006F3CD0">
      <w:pPr>
        <w:pStyle w:val="BodyTextIndent3"/>
        <w:tabs>
          <w:tab w:val="clear" w:pos="0"/>
          <w:tab w:val="clear" w:pos="244"/>
          <w:tab w:val="clear" w:pos="720"/>
        </w:tabs>
        <w:ind w:left="0" w:firstLine="0"/>
        <w:jc w:val="left"/>
      </w:pPr>
    </w:p>
    <w:p w:rsidR="004864A8" w:rsidRPr="004864A8" w:rsidRDefault="004864A8" w:rsidP="00EB1ABA">
      <w:pPr>
        <w:pStyle w:val="BodyTextIndent3"/>
        <w:numPr>
          <w:ilvl w:val="0"/>
          <w:numId w:val="11"/>
        </w:numPr>
        <w:tabs>
          <w:tab w:val="clear" w:pos="0"/>
          <w:tab w:val="clear" w:pos="244"/>
          <w:tab w:val="clear" w:pos="720"/>
          <w:tab w:val="clear" w:pos="1152"/>
          <w:tab w:val="left" w:pos="540"/>
        </w:tabs>
        <w:ind w:left="540" w:hanging="540"/>
        <w:jc w:val="left"/>
        <w:rPr>
          <w:u w:val="single"/>
        </w:rPr>
      </w:pPr>
      <w:r w:rsidRPr="004864A8">
        <w:rPr>
          <w:u w:val="single"/>
        </w:rPr>
        <w:t>Estimated cost to the Federal government</w:t>
      </w:r>
    </w:p>
    <w:p w:rsidR="004864A8" w:rsidRDefault="004864A8" w:rsidP="000A4B9E">
      <w:pPr>
        <w:pStyle w:val="BodyTextIndent3"/>
        <w:tabs>
          <w:tab w:val="clear" w:pos="720"/>
        </w:tabs>
        <w:ind w:left="540" w:firstLine="0"/>
        <w:jc w:val="left"/>
      </w:pPr>
    </w:p>
    <w:p w:rsidR="00A21EEB" w:rsidRDefault="00A21EEB" w:rsidP="00246D02">
      <w:pPr>
        <w:ind w:left="540"/>
      </w:pPr>
      <w:r>
        <w:t>The total annualized cost to the Federal government is estimated to be approximately $</w:t>
      </w:r>
      <w:r w:rsidR="00633BF8">
        <w:t>4</w:t>
      </w:r>
      <w:r>
        <w:t>.</w:t>
      </w:r>
      <w:r w:rsidR="00A8598F">
        <w:t>6</w:t>
      </w:r>
      <w:r>
        <w:t xml:space="preserve"> million annually. The figures are best estimates by the staff of the Federal Reserve Bank of New York using their standard accounting and costing procedures and are based in part on experience gained by conducting previous portfolio investment surveys. Treasury Department staff has included </w:t>
      </w:r>
      <w:r w:rsidR="00633BF8">
        <w:t>estimated</w:t>
      </w:r>
      <w:r>
        <w:t xml:space="preserve"> costs for advisory services, </w:t>
      </w:r>
      <w:r w:rsidR="00633BF8">
        <w:t>reviews</w:t>
      </w:r>
      <w:r>
        <w:t>, etc.</w:t>
      </w:r>
      <w:r w:rsidR="00E534A7">
        <w:t xml:space="preserve"> </w:t>
      </w:r>
      <w:r>
        <w:t xml:space="preserve">The Annualized Cost is the average cost over five years of one quinquennial survey (SHL) and four subsequent smaller annual surveys (SHLA).  </w:t>
      </w:r>
    </w:p>
    <w:p w:rsidR="00A21EEB" w:rsidRDefault="00A21EEB" w:rsidP="00105DBB"/>
    <w:tbl>
      <w:tblPr>
        <w:tblW w:w="10005" w:type="dxa"/>
        <w:tblInd w:w="93" w:type="dxa"/>
        <w:tblLook w:val="0000" w:firstRow="0" w:lastRow="0" w:firstColumn="0" w:lastColumn="0" w:noHBand="0" w:noVBand="0"/>
      </w:tblPr>
      <w:tblGrid>
        <w:gridCol w:w="1454"/>
        <w:gridCol w:w="1197"/>
        <w:gridCol w:w="1197"/>
        <w:gridCol w:w="1347"/>
        <w:gridCol w:w="1896"/>
        <w:gridCol w:w="1390"/>
        <w:gridCol w:w="1524"/>
      </w:tblGrid>
      <w:tr w:rsidR="00A21EEB" w:rsidRPr="00207A04" w:rsidTr="00246D02">
        <w:trPr>
          <w:trHeight w:val="315"/>
        </w:trPr>
        <w:tc>
          <w:tcPr>
            <w:tcW w:w="1454" w:type="dxa"/>
            <w:tcBorders>
              <w:top w:val="nil"/>
              <w:left w:val="nil"/>
              <w:bottom w:val="nil"/>
              <w:right w:val="nil"/>
            </w:tcBorders>
            <w:noWrap/>
            <w:vAlign w:val="bottom"/>
          </w:tcPr>
          <w:p w:rsidR="00A21EEB" w:rsidRPr="00246D02" w:rsidRDefault="00A21EEB" w:rsidP="00A60C82">
            <w:pPr>
              <w:rPr>
                <w:b/>
                <w:szCs w:val="24"/>
              </w:rPr>
            </w:pPr>
            <w:r w:rsidRPr="00246D02">
              <w:rPr>
                <w:b/>
                <w:szCs w:val="24"/>
              </w:rPr>
              <w:t xml:space="preserve"> </w:t>
            </w:r>
          </w:p>
        </w:tc>
        <w:tc>
          <w:tcPr>
            <w:tcW w:w="1197" w:type="dxa"/>
            <w:tcBorders>
              <w:top w:val="nil"/>
              <w:left w:val="nil"/>
              <w:bottom w:val="nil"/>
              <w:right w:val="nil"/>
            </w:tcBorders>
            <w:noWrap/>
            <w:vAlign w:val="bottom"/>
          </w:tcPr>
          <w:p w:rsidR="00A21EEB" w:rsidRPr="00207A04" w:rsidRDefault="00A21EEB" w:rsidP="00A60C82">
            <w:pPr>
              <w:rPr>
                <w:rFonts w:ascii="Arial" w:hAnsi="Arial" w:cs="Arial"/>
                <w:szCs w:val="24"/>
              </w:rPr>
            </w:pPr>
          </w:p>
        </w:tc>
        <w:tc>
          <w:tcPr>
            <w:tcW w:w="1197" w:type="dxa"/>
            <w:tcBorders>
              <w:top w:val="nil"/>
              <w:left w:val="nil"/>
              <w:bottom w:val="nil"/>
              <w:right w:val="nil"/>
            </w:tcBorders>
            <w:noWrap/>
            <w:vAlign w:val="bottom"/>
          </w:tcPr>
          <w:p w:rsidR="00A21EEB" w:rsidRPr="00207A04" w:rsidRDefault="00A21EEB" w:rsidP="00A60C82">
            <w:pPr>
              <w:rPr>
                <w:rFonts w:ascii="Arial" w:hAnsi="Arial" w:cs="Arial"/>
                <w:szCs w:val="24"/>
              </w:rPr>
            </w:pPr>
          </w:p>
        </w:tc>
        <w:tc>
          <w:tcPr>
            <w:tcW w:w="1347" w:type="dxa"/>
            <w:tcBorders>
              <w:top w:val="nil"/>
              <w:left w:val="nil"/>
              <w:bottom w:val="nil"/>
              <w:right w:val="nil"/>
            </w:tcBorders>
            <w:noWrap/>
            <w:vAlign w:val="bottom"/>
          </w:tcPr>
          <w:p w:rsidR="00A21EEB" w:rsidRPr="00207A04" w:rsidRDefault="00A21EEB" w:rsidP="00A60C82">
            <w:pPr>
              <w:rPr>
                <w:rFonts w:ascii="Arial" w:hAnsi="Arial" w:cs="Arial"/>
                <w:szCs w:val="24"/>
              </w:rPr>
            </w:pPr>
          </w:p>
        </w:tc>
        <w:tc>
          <w:tcPr>
            <w:tcW w:w="1896" w:type="dxa"/>
            <w:tcBorders>
              <w:top w:val="nil"/>
              <w:left w:val="nil"/>
              <w:bottom w:val="nil"/>
              <w:right w:val="nil"/>
            </w:tcBorders>
            <w:noWrap/>
            <w:vAlign w:val="bottom"/>
          </w:tcPr>
          <w:p w:rsidR="00A21EEB" w:rsidRPr="00207A04" w:rsidRDefault="00A21EEB" w:rsidP="00A60C82">
            <w:pPr>
              <w:jc w:val="right"/>
              <w:rPr>
                <w:szCs w:val="24"/>
              </w:rPr>
            </w:pPr>
            <w:r w:rsidRPr="00207A04">
              <w:rPr>
                <w:szCs w:val="24"/>
              </w:rPr>
              <w:t>Total</w:t>
            </w:r>
          </w:p>
        </w:tc>
        <w:tc>
          <w:tcPr>
            <w:tcW w:w="1390" w:type="dxa"/>
            <w:tcBorders>
              <w:top w:val="nil"/>
              <w:left w:val="nil"/>
              <w:bottom w:val="nil"/>
              <w:right w:val="nil"/>
            </w:tcBorders>
            <w:noWrap/>
            <w:vAlign w:val="bottom"/>
          </w:tcPr>
          <w:p w:rsidR="00A21EEB" w:rsidRPr="00207A04" w:rsidRDefault="00A21EEB" w:rsidP="00A60C82">
            <w:pPr>
              <w:jc w:val="right"/>
              <w:rPr>
                <w:szCs w:val="24"/>
              </w:rPr>
            </w:pPr>
            <w:r w:rsidRPr="00207A04">
              <w:rPr>
                <w:szCs w:val="24"/>
              </w:rPr>
              <w:t xml:space="preserve">Total </w:t>
            </w:r>
          </w:p>
        </w:tc>
        <w:tc>
          <w:tcPr>
            <w:tcW w:w="1524" w:type="dxa"/>
            <w:tcBorders>
              <w:top w:val="nil"/>
              <w:left w:val="nil"/>
              <w:bottom w:val="nil"/>
              <w:right w:val="nil"/>
            </w:tcBorders>
            <w:noWrap/>
            <w:vAlign w:val="bottom"/>
          </w:tcPr>
          <w:p w:rsidR="00A21EEB" w:rsidRPr="00207A04" w:rsidRDefault="00A21EEB" w:rsidP="00E534A7">
            <w:pPr>
              <w:jc w:val="right"/>
              <w:rPr>
                <w:szCs w:val="24"/>
              </w:rPr>
            </w:pPr>
            <w:r w:rsidRPr="00207A04">
              <w:rPr>
                <w:szCs w:val="24"/>
              </w:rPr>
              <w:t>A</w:t>
            </w:r>
            <w:r w:rsidR="00E534A7">
              <w:rPr>
                <w:szCs w:val="24"/>
              </w:rPr>
              <w:t>nnualized</w:t>
            </w:r>
          </w:p>
        </w:tc>
      </w:tr>
      <w:tr w:rsidR="00A21EEB" w:rsidRPr="00207A04" w:rsidTr="00246D02">
        <w:trPr>
          <w:trHeight w:val="315"/>
        </w:trPr>
        <w:tc>
          <w:tcPr>
            <w:tcW w:w="1454" w:type="dxa"/>
            <w:tcBorders>
              <w:top w:val="nil"/>
              <w:left w:val="nil"/>
              <w:bottom w:val="nil"/>
              <w:right w:val="nil"/>
            </w:tcBorders>
            <w:noWrap/>
            <w:vAlign w:val="bottom"/>
          </w:tcPr>
          <w:p w:rsidR="00A21EEB" w:rsidRPr="00207A04" w:rsidRDefault="00A21EEB" w:rsidP="00A60C82">
            <w:pPr>
              <w:rPr>
                <w:rFonts w:ascii="Arial" w:hAnsi="Arial" w:cs="Arial"/>
                <w:szCs w:val="24"/>
              </w:rPr>
            </w:pPr>
          </w:p>
        </w:tc>
        <w:tc>
          <w:tcPr>
            <w:tcW w:w="1197" w:type="dxa"/>
            <w:tcBorders>
              <w:top w:val="nil"/>
              <w:left w:val="nil"/>
              <w:bottom w:val="nil"/>
              <w:right w:val="nil"/>
            </w:tcBorders>
            <w:noWrap/>
            <w:vAlign w:val="bottom"/>
          </w:tcPr>
          <w:p w:rsidR="00A21EEB" w:rsidRPr="00207A04" w:rsidRDefault="00A21EEB" w:rsidP="00A60C82">
            <w:pPr>
              <w:rPr>
                <w:rFonts w:ascii="Arial" w:hAnsi="Arial" w:cs="Arial"/>
                <w:szCs w:val="24"/>
              </w:rPr>
            </w:pPr>
          </w:p>
        </w:tc>
        <w:tc>
          <w:tcPr>
            <w:tcW w:w="1197" w:type="dxa"/>
            <w:tcBorders>
              <w:top w:val="nil"/>
              <w:left w:val="nil"/>
              <w:bottom w:val="nil"/>
              <w:right w:val="nil"/>
            </w:tcBorders>
            <w:noWrap/>
            <w:vAlign w:val="bottom"/>
          </w:tcPr>
          <w:p w:rsidR="00A21EEB" w:rsidRPr="00207A04" w:rsidRDefault="00A21EEB" w:rsidP="00A60C82">
            <w:pPr>
              <w:rPr>
                <w:rFonts w:ascii="Arial" w:hAnsi="Arial" w:cs="Arial"/>
                <w:szCs w:val="24"/>
              </w:rPr>
            </w:pPr>
          </w:p>
        </w:tc>
        <w:tc>
          <w:tcPr>
            <w:tcW w:w="1347" w:type="dxa"/>
            <w:tcBorders>
              <w:top w:val="nil"/>
              <w:left w:val="nil"/>
              <w:bottom w:val="nil"/>
              <w:right w:val="nil"/>
            </w:tcBorders>
            <w:noWrap/>
            <w:vAlign w:val="bottom"/>
          </w:tcPr>
          <w:p w:rsidR="00A21EEB" w:rsidRPr="00207A04" w:rsidRDefault="00A21EEB" w:rsidP="00A60C82">
            <w:pPr>
              <w:rPr>
                <w:rFonts w:ascii="Arial" w:hAnsi="Arial" w:cs="Arial"/>
                <w:szCs w:val="24"/>
              </w:rPr>
            </w:pPr>
          </w:p>
        </w:tc>
        <w:tc>
          <w:tcPr>
            <w:tcW w:w="1896" w:type="dxa"/>
            <w:tcBorders>
              <w:top w:val="nil"/>
              <w:left w:val="nil"/>
              <w:bottom w:val="nil"/>
              <w:right w:val="nil"/>
            </w:tcBorders>
            <w:noWrap/>
            <w:vAlign w:val="bottom"/>
          </w:tcPr>
          <w:p w:rsidR="00A21EEB" w:rsidRPr="00207A04" w:rsidRDefault="00A21EEB" w:rsidP="00A60C82">
            <w:pPr>
              <w:jc w:val="right"/>
              <w:rPr>
                <w:szCs w:val="24"/>
              </w:rPr>
            </w:pPr>
            <w:r w:rsidRPr="00207A04">
              <w:rPr>
                <w:szCs w:val="24"/>
              </w:rPr>
              <w:t>SHL</w:t>
            </w:r>
          </w:p>
        </w:tc>
        <w:tc>
          <w:tcPr>
            <w:tcW w:w="1390" w:type="dxa"/>
            <w:tcBorders>
              <w:top w:val="nil"/>
              <w:left w:val="nil"/>
              <w:bottom w:val="nil"/>
              <w:right w:val="nil"/>
            </w:tcBorders>
            <w:noWrap/>
            <w:vAlign w:val="bottom"/>
          </w:tcPr>
          <w:p w:rsidR="00A21EEB" w:rsidRPr="00207A04" w:rsidRDefault="00A21EEB" w:rsidP="00A60C82">
            <w:pPr>
              <w:jc w:val="right"/>
              <w:rPr>
                <w:szCs w:val="24"/>
              </w:rPr>
            </w:pPr>
            <w:r w:rsidRPr="00207A04">
              <w:rPr>
                <w:szCs w:val="24"/>
              </w:rPr>
              <w:t>SHLA</w:t>
            </w:r>
          </w:p>
        </w:tc>
        <w:tc>
          <w:tcPr>
            <w:tcW w:w="1524" w:type="dxa"/>
            <w:tcBorders>
              <w:top w:val="nil"/>
              <w:left w:val="nil"/>
              <w:bottom w:val="nil"/>
              <w:right w:val="nil"/>
            </w:tcBorders>
            <w:noWrap/>
            <w:vAlign w:val="bottom"/>
          </w:tcPr>
          <w:p w:rsidR="00A21EEB" w:rsidRPr="00207A04" w:rsidRDefault="00A21EEB" w:rsidP="00E534A7">
            <w:pPr>
              <w:jc w:val="right"/>
              <w:rPr>
                <w:szCs w:val="24"/>
              </w:rPr>
            </w:pPr>
            <w:r w:rsidRPr="00207A04">
              <w:rPr>
                <w:szCs w:val="24"/>
              </w:rPr>
              <w:t>Cost</w:t>
            </w:r>
          </w:p>
        </w:tc>
      </w:tr>
      <w:tr w:rsidR="00A21EEB" w:rsidRPr="00207A04" w:rsidTr="00246D02">
        <w:trPr>
          <w:trHeight w:val="315"/>
        </w:trPr>
        <w:tc>
          <w:tcPr>
            <w:tcW w:w="1454" w:type="dxa"/>
            <w:tcBorders>
              <w:top w:val="nil"/>
              <w:left w:val="nil"/>
              <w:bottom w:val="nil"/>
              <w:right w:val="nil"/>
            </w:tcBorders>
            <w:noWrap/>
            <w:vAlign w:val="bottom"/>
          </w:tcPr>
          <w:p w:rsidR="00A21EEB" w:rsidRPr="00207A04" w:rsidRDefault="00A21EEB" w:rsidP="00A60C82">
            <w:pPr>
              <w:rPr>
                <w:rFonts w:ascii="Arial" w:hAnsi="Arial" w:cs="Arial"/>
                <w:szCs w:val="24"/>
              </w:rPr>
            </w:pPr>
          </w:p>
        </w:tc>
        <w:tc>
          <w:tcPr>
            <w:tcW w:w="1197" w:type="dxa"/>
            <w:tcBorders>
              <w:top w:val="nil"/>
              <w:left w:val="nil"/>
              <w:bottom w:val="nil"/>
              <w:right w:val="nil"/>
            </w:tcBorders>
            <w:noWrap/>
            <w:vAlign w:val="bottom"/>
          </w:tcPr>
          <w:p w:rsidR="00A21EEB" w:rsidRPr="00207A04" w:rsidRDefault="00A21EEB" w:rsidP="00A60C82">
            <w:pPr>
              <w:rPr>
                <w:rFonts w:ascii="Arial" w:hAnsi="Arial" w:cs="Arial"/>
                <w:szCs w:val="24"/>
              </w:rPr>
            </w:pPr>
          </w:p>
        </w:tc>
        <w:tc>
          <w:tcPr>
            <w:tcW w:w="1197" w:type="dxa"/>
            <w:tcBorders>
              <w:top w:val="nil"/>
              <w:left w:val="nil"/>
              <w:bottom w:val="nil"/>
              <w:right w:val="nil"/>
            </w:tcBorders>
            <w:noWrap/>
            <w:vAlign w:val="bottom"/>
          </w:tcPr>
          <w:p w:rsidR="00A21EEB" w:rsidRPr="00207A04" w:rsidRDefault="00A21EEB" w:rsidP="00A60C82">
            <w:pPr>
              <w:rPr>
                <w:rFonts w:ascii="Arial" w:hAnsi="Arial" w:cs="Arial"/>
                <w:szCs w:val="24"/>
              </w:rPr>
            </w:pPr>
          </w:p>
        </w:tc>
        <w:tc>
          <w:tcPr>
            <w:tcW w:w="1347" w:type="dxa"/>
            <w:tcBorders>
              <w:top w:val="nil"/>
              <w:left w:val="nil"/>
              <w:bottom w:val="nil"/>
              <w:right w:val="nil"/>
            </w:tcBorders>
            <w:noWrap/>
            <w:vAlign w:val="bottom"/>
          </w:tcPr>
          <w:p w:rsidR="00A21EEB" w:rsidRPr="00207A04" w:rsidRDefault="00A21EEB" w:rsidP="00A60C82">
            <w:pPr>
              <w:rPr>
                <w:rFonts w:ascii="Arial" w:hAnsi="Arial" w:cs="Arial"/>
                <w:szCs w:val="24"/>
              </w:rPr>
            </w:pPr>
          </w:p>
        </w:tc>
        <w:tc>
          <w:tcPr>
            <w:tcW w:w="1896" w:type="dxa"/>
            <w:tcBorders>
              <w:top w:val="nil"/>
              <w:left w:val="nil"/>
              <w:bottom w:val="nil"/>
              <w:right w:val="nil"/>
            </w:tcBorders>
            <w:noWrap/>
            <w:vAlign w:val="bottom"/>
          </w:tcPr>
          <w:p w:rsidR="00A21EEB" w:rsidRPr="00207A04" w:rsidRDefault="00A21EEB" w:rsidP="00A60C82">
            <w:pPr>
              <w:jc w:val="right"/>
              <w:rPr>
                <w:szCs w:val="24"/>
              </w:rPr>
            </w:pPr>
            <w:r w:rsidRPr="00207A04">
              <w:rPr>
                <w:szCs w:val="24"/>
              </w:rPr>
              <w:t>Costs</w:t>
            </w:r>
          </w:p>
        </w:tc>
        <w:tc>
          <w:tcPr>
            <w:tcW w:w="1390" w:type="dxa"/>
            <w:tcBorders>
              <w:top w:val="nil"/>
              <w:left w:val="nil"/>
              <w:bottom w:val="nil"/>
              <w:right w:val="nil"/>
            </w:tcBorders>
            <w:noWrap/>
            <w:vAlign w:val="bottom"/>
          </w:tcPr>
          <w:p w:rsidR="00A21EEB" w:rsidRPr="00207A04" w:rsidRDefault="00A21EEB" w:rsidP="00A60C82">
            <w:pPr>
              <w:jc w:val="right"/>
              <w:rPr>
                <w:szCs w:val="24"/>
              </w:rPr>
            </w:pPr>
            <w:r w:rsidRPr="00207A04">
              <w:rPr>
                <w:szCs w:val="24"/>
              </w:rPr>
              <w:t>Costs</w:t>
            </w:r>
          </w:p>
        </w:tc>
        <w:tc>
          <w:tcPr>
            <w:tcW w:w="1524" w:type="dxa"/>
            <w:tcBorders>
              <w:top w:val="nil"/>
              <w:left w:val="nil"/>
              <w:bottom w:val="nil"/>
              <w:right w:val="nil"/>
            </w:tcBorders>
            <w:noWrap/>
            <w:vAlign w:val="bottom"/>
          </w:tcPr>
          <w:p w:rsidR="00A21EEB" w:rsidRPr="00207A04" w:rsidRDefault="00A21EEB" w:rsidP="00A60C82">
            <w:pPr>
              <w:jc w:val="right"/>
              <w:rPr>
                <w:szCs w:val="24"/>
              </w:rPr>
            </w:pPr>
            <w:r w:rsidRPr="00207A04">
              <w:rPr>
                <w:szCs w:val="24"/>
              </w:rPr>
              <w:t>(five year</w:t>
            </w:r>
          </w:p>
        </w:tc>
      </w:tr>
      <w:tr w:rsidR="00A21EEB" w:rsidRPr="00207A04" w:rsidTr="00246D02">
        <w:trPr>
          <w:trHeight w:val="315"/>
        </w:trPr>
        <w:tc>
          <w:tcPr>
            <w:tcW w:w="1454" w:type="dxa"/>
            <w:tcBorders>
              <w:top w:val="nil"/>
              <w:left w:val="nil"/>
              <w:bottom w:val="nil"/>
              <w:right w:val="nil"/>
            </w:tcBorders>
            <w:noWrap/>
            <w:vAlign w:val="bottom"/>
          </w:tcPr>
          <w:p w:rsidR="00A21EEB" w:rsidRPr="00207A04" w:rsidRDefault="00A21EEB" w:rsidP="00A60C82">
            <w:pPr>
              <w:rPr>
                <w:rFonts w:ascii="Arial" w:hAnsi="Arial" w:cs="Arial"/>
                <w:szCs w:val="24"/>
              </w:rPr>
            </w:pPr>
          </w:p>
        </w:tc>
        <w:tc>
          <w:tcPr>
            <w:tcW w:w="1197" w:type="dxa"/>
            <w:tcBorders>
              <w:top w:val="nil"/>
              <w:left w:val="nil"/>
              <w:bottom w:val="nil"/>
              <w:right w:val="nil"/>
            </w:tcBorders>
            <w:noWrap/>
            <w:vAlign w:val="bottom"/>
          </w:tcPr>
          <w:p w:rsidR="00A21EEB" w:rsidRPr="00207A04" w:rsidRDefault="00A21EEB" w:rsidP="00A60C82">
            <w:pPr>
              <w:rPr>
                <w:rFonts w:ascii="Arial" w:hAnsi="Arial" w:cs="Arial"/>
                <w:szCs w:val="24"/>
              </w:rPr>
            </w:pPr>
          </w:p>
        </w:tc>
        <w:tc>
          <w:tcPr>
            <w:tcW w:w="1197" w:type="dxa"/>
            <w:tcBorders>
              <w:top w:val="nil"/>
              <w:left w:val="nil"/>
              <w:bottom w:val="nil"/>
              <w:right w:val="nil"/>
            </w:tcBorders>
            <w:noWrap/>
            <w:vAlign w:val="bottom"/>
          </w:tcPr>
          <w:p w:rsidR="00A21EEB" w:rsidRPr="00207A04" w:rsidRDefault="00A21EEB" w:rsidP="00A60C82">
            <w:pPr>
              <w:rPr>
                <w:rFonts w:ascii="Arial" w:hAnsi="Arial" w:cs="Arial"/>
                <w:szCs w:val="24"/>
              </w:rPr>
            </w:pPr>
          </w:p>
        </w:tc>
        <w:tc>
          <w:tcPr>
            <w:tcW w:w="1347" w:type="dxa"/>
            <w:tcBorders>
              <w:top w:val="nil"/>
              <w:left w:val="nil"/>
              <w:bottom w:val="nil"/>
              <w:right w:val="nil"/>
            </w:tcBorders>
            <w:noWrap/>
            <w:vAlign w:val="bottom"/>
          </w:tcPr>
          <w:p w:rsidR="00A21EEB" w:rsidRPr="00207A04" w:rsidRDefault="00A21EEB" w:rsidP="00A60C82">
            <w:pPr>
              <w:rPr>
                <w:rFonts w:ascii="Arial" w:hAnsi="Arial" w:cs="Arial"/>
                <w:szCs w:val="24"/>
              </w:rPr>
            </w:pPr>
          </w:p>
        </w:tc>
        <w:tc>
          <w:tcPr>
            <w:tcW w:w="1896" w:type="dxa"/>
            <w:tcBorders>
              <w:top w:val="nil"/>
              <w:left w:val="nil"/>
              <w:bottom w:val="nil"/>
              <w:right w:val="nil"/>
            </w:tcBorders>
            <w:noWrap/>
            <w:vAlign w:val="bottom"/>
          </w:tcPr>
          <w:p w:rsidR="00A21EEB" w:rsidRPr="00207A04" w:rsidRDefault="00A21EEB" w:rsidP="00A60C82">
            <w:pPr>
              <w:jc w:val="right"/>
              <w:rPr>
                <w:szCs w:val="24"/>
              </w:rPr>
            </w:pPr>
            <w:r w:rsidRPr="00207A04">
              <w:rPr>
                <w:szCs w:val="24"/>
              </w:rPr>
              <w:t>(one year)</w:t>
            </w:r>
          </w:p>
        </w:tc>
        <w:tc>
          <w:tcPr>
            <w:tcW w:w="1390" w:type="dxa"/>
            <w:tcBorders>
              <w:top w:val="nil"/>
              <w:left w:val="nil"/>
              <w:bottom w:val="nil"/>
              <w:right w:val="nil"/>
            </w:tcBorders>
            <w:noWrap/>
            <w:vAlign w:val="bottom"/>
          </w:tcPr>
          <w:p w:rsidR="00A21EEB" w:rsidRPr="00207A04" w:rsidRDefault="00A21EEB" w:rsidP="00A60C82">
            <w:pPr>
              <w:jc w:val="right"/>
              <w:rPr>
                <w:szCs w:val="24"/>
              </w:rPr>
            </w:pPr>
            <w:r w:rsidRPr="00207A04">
              <w:rPr>
                <w:szCs w:val="24"/>
              </w:rPr>
              <w:t>(one year)</w:t>
            </w:r>
          </w:p>
        </w:tc>
        <w:tc>
          <w:tcPr>
            <w:tcW w:w="1524" w:type="dxa"/>
            <w:tcBorders>
              <w:top w:val="nil"/>
              <w:left w:val="nil"/>
              <w:bottom w:val="nil"/>
              <w:right w:val="nil"/>
            </w:tcBorders>
            <w:noWrap/>
            <w:vAlign w:val="bottom"/>
          </w:tcPr>
          <w:p w:rsidR="00A21EEB" w:rsidRPr="00207A04" w:rsidRDefault="00A21EEB" w:rsidP="00A60C82">
            <w:pPr>
              <w:jc w:val="right"/>
              <w:rPr>
                <w:szCs w:val="24"/>
              </w:rPr>
            </w:pPr>
            <w:r w:rsidRPr="00207A04">
              <w:rPr>
                <w:szCs w:val="24"/>
              </w:rPr>
              <w:t>average)</w:t>
            </w:r>
          </w:p>
        </w:tc>
      </w:tr>
      <w:tr w:rsidR="00A21EEB" w:rsidRPr="00207A04" w:rsidTr="00246D02">
        <w:trPr>
          <w:trHeight w:val="315"/>
        </w:trPr>
        <w:tc>
          <w:tcPr>
            <w:tcW w:w="10005" w:type="dxa"/>
            <w:gridSpan w:val="7"/>
            <w:tcBorders>
              <w:top w:val="nil"/>
              <w:left w:val="nil"/>
              <w:bottom w:val="nil"/>
              <w:right w:val="nil"/>
            </w:tcBorders>
            <w:noWrap/>
            <w:vAlign w:val="bottom"/>
          </w:tcPr>
          <w:p w:rsidR="00A21EEB" w:rsidRPr="00207A04" w:rsidRDefault="00A21EEB" w:rsidP="00A60C82">
            <w:pPr>
              <w:rPr>
                <w:szCs w:val="24"/>
              </w:rPr>
            </w:pPr>
            <w:r w:rsidRPr="00207A04">
              <w:rPr>
                <w:szCs w:val="24"/>
              </w:rPr>
              <w:t>---------------------------------------------------------------------------------------------------------------</w:t>
            </w:r>
          </w:p>
        </w:tc>
      </w:tr>
      <w:tr w:rsidR="00A21EEB" w:rsidRPr="00207A04" w:rsidTr="00246D02">
        <w:trPr>
          <w:trHeight w:val="315"/>
        </w:trPr>
        <w:tc>
          <w:tcPr>
            <w:tcW w:w="2651" w:type="dxa"/>
            <w:gridSpan w:val="2"/>
            <w:tcBorders>
              <w:top w:val="nil"/>
              <w:left w:val="nil"/>
              <w:bottom w:val="nil"/>
              <w:right w:val="nil"/>
            </w:tcBorders>
            <w:noWrap/>
            <w:vAlign w:val="bottom"/>
          </w:tcPr>
          <w:p w:rsidR="00A21EEB" w:rsidRPr="00207A04" w:rsidRDefault="00A21EEB" w:rsidP="00A60C82">
            <w:pPr>
              <w:rPr>
                <w:szCs w:val="24"/>
              </w:rPr>
            </w:pPr>
            <w:r w:rsidRPr="00207A04">
              <w:rPr>
                <w:szCs w:val="24"/>
              </w:rPr>
              <w:t xml:space="preserve">Salaries and Benefits: </w:t>
            </w:r>
          </w:p>
        </w:tc>
        <w:tc>
          <w:tcPr>
            <w:tcW w:w="1197" w:type="dxa"/>
            <w:tcBorders>
              <w:top w:val="nil"/>
              <w:left w:val="nil"/>
              <w:bottom w:val="nil"/>
              <w:right w:val="nil"/>
            </w:tcBorders>
            <w:noWrap/>
            <w:vAlign w:val="bottom"/>
          </w:tcPr>
          <w:p w:rsidR="00A21EEB" w:rsidRPr="00207A04" w:rsidRDefault="00A21EEB" w:rsidP="00A60C82">
            <w:pPr>
              <w:rPr>
                <w:rFonts w:ascii="Arial" w:hAnsi="Arial" w:cs="Arial"/>
                <w:szCs w:val="24"/>
              </w:rPr>
            </w:pPr>
          </w:p>
        </w:tc>
        <w:tc>
          <w:tcPr>
            <w:tcW w:w="1347" w:type="dxa"/>
            <w:tcBorders>
              <w:top w:val="nil"/>
              <w:left w:val="nil"/>
              <w:bottom w:val="nil"/>
              <w:right w:val="nil"/>
            </w:tcBorders>
            <w:noWrap/>
            <w:vAlign w:val="bottom"/>
          </w:tcPr>
          <w:p w:rsidR="00A21EEB" w:rsidRPr="00207A04" w:rsidRDefault="00A21EEB" w:rsidP="00A60C82">
            <w:pPr>
              <w:rPr>
                <w:rFonts w:ascii="Arial" w:hAnsi="Arial" w:cs="Arial"/>
                <w:szCs w:val="24"/>
              </w:rPr>
            </w:pPr>
          </w:p>
        </w:tc>
        <w:tc>
          <w:tcPr>
            <w:tcW w:w="1896" w:type="dxa"/>
            <w:tcBorders>
              <w:top w:val="nil"/>
              <w:left w:val="nil"/>
              <w:bottom w:val="nil"/>
              <w:right w:val="nil"/>
            </w:tcBorders>
            <w:noWrap/>
            <w:vAlign w:val="bottom"/>
          </w:tcPr>
          <w:p w:rsidR="00A21EEB" w:rsidRPr="00207A04" w:rsidRDefault="00A21EEB" w:rsidP="001C38BD">
            <w:pPr>
              <w:jc w:val="right"/>
              <w:rPr>
                <w:szCs w:val="24"/>
              </w:rPr>
            </w:pPr>
            <w:r>
              <w:rPr>
                <w:szCs w:val="24"/>
              </w:rPr>
              <w:t>1,</w:t>
            </w:r>
            <w:r w:rsidR="001C38BD">
              <w:rPr>
                <w:szCs w:val="24"/>
              </w:rPr>
              <w:t>299</w:t>
            </w:r>
            <w:r w:rsidR="00E71AA1">
              <w:rPr>
                <w:szCs w:val="24"/>
              </w:rPr>
              <w:t>,</w:t>
            </w:r>
            <w:r w:rsidR="001C38BD">
              <w:rPr>
                <w:szCs w:val="24"/>
              </w:rPr>
              <w:t>941</w:t>
            </w:r>
          </w:p>
        </w:tc>
        <w:tc>
          <w:tcPr>
            <w:tcW w:w="1390" w:type="dxa"/>
            <w:tcBorders>
              <w:top w:val="nil"/>
              <w:left w:val="nil"/>
              <w:bottom w:val="nil"/>
              <w:right w:val="nil"/>
            </w:tcBorders>
            <w:noWrap/>
            <w:vAlign w:val="bottom"/>
          </w:tcPr>
          <w:p w:rsidR="00A21EEB" w:rsidRPr="00207A04" w:rsidRDefault="001C38BD" w:rsidP="001C38BD">
            <w:pPr>
              <w:jc w:val="right"/>
              <w:rPr>
                <w:szCs w:val="24"/>
              </w:rPr>
            </w:pPr>
            <w:r>
              <w:rPr>
                <w:szCs w:val="24"/>
              </w:rPr>
              <w:t>997</w:t>
            </w:r>
            <w:r w:rsidR="00A21EEB">
              <w:rPr>
                <w:szCs w:val="24"/>
              </w:rPr>
              <w:t>,</w:t>
            </w:r>
            <w:r>
              <w:rPr>
                <w:szCs w:val="24"/>
              </w:rPr>
              <w:t>296</w:t>
            </w:r>
          </w:p>
        </w:tc>
        <w:tc>
          <w:tcPr>
            <w:tcW w:w="1524" w:type="dxa"/>
            <w:tcBorders>
              <w:top w:val="nil"/>
              <w:left w:val="nil"/>
              <w:bottom w:val="nil"/>
              <w:right w:val="nil"/>
            </w:tcBorders>
            <w:noWrap/>
            <w:vAlign w:val="bottom"/>
          </w:tcPr>
          <w:p w:rsidR="00A21EEB" w:rsidRPr="00207A04" w:rsidRDefault="00A21EEB" w:rsidP="00A60C82">
            <w:pPr>
              <w:rPr>
                <w:rFonts w:ascii="Arial" w:hAnsi="Arial" w:cs="Arial"/>
                <w:szCs w:val="24"/>
              </w:rPr>
            </w:pPr>
          </w:p>
        </w:tc>
      </w:tr>
      <w:tr w:rsidR="00A21EEB" w:rsidRPr="00207A04" w:rsidTr="00246D02">
        <w:trPr>
          <w:trHeight w:val="315"/>
        </w:trPr>
        <w:tc>
          <w:tcPr>
            <w:tcW w:w="5195" w:type="dxa"/>
            <w:gridSpan w:val="4"/>
            <w:tcBorders>
              <w:top w:val="nil"/>
              <w:left w:val="nil"/>
              <w:bottom w:val="nil"/>
              <w:right w:val="nil"/>
            </w:tcBorders>
            <w:noWrap/>
            <w:vAlign w:val="bottom"/>
          </w:tcPr>
          <w:p w:rsidR="00A21EEB" w:rsidRPr="00207A04" w:rsidRDefault="00A21EEB" w:rsidP="00DF437F">
            <w:pPr>
              <w:rPr>
                <w:szCs w:val="24"/>
              </w:rPr>
            </w:pPr>
            <w:r w:rsidRPr="00207A04">
              <w:rPr>
                <w:szCs w:val="24"/>
              </w:rPr>
              <w:t>Overhead and Support Costs</w:t>
            </w:r>
            <w:r w:rsidR="00DF437F">
              <w:rPr>
                <w:szCs w:val="24"/>
              </w:rPr>
              <w:t>:</w:t>
            </w:r>
          </w:p>
        </w:tc>
        <w:tc>
          <w:tcPr>
            <w:tcW w:w="1896" w:type="dxa"/>
            <w:tcBorders>
              <w:top w:val="nil"/>
              <w:left w:val="nil"/>
              <w:bottom w:val="nil"/>
              <w:right w:val="nil"/>
            </w:tcBorders>
            <w:noWrap/>
            <w:vAlign w:val="bottom"/>
          </w:tcPr>
          <w:p w:rsidR="00A21EEB" w:rsidRPr="00207A04" w:rsidRDefault="004E3B2F" w:rsidP="001C38BD">
            <w:pPr>
              <w:jc w:val="right"/>
              <w:rPr>
                <w:rFonts w:ascii="Arial" w:hAnsi="Arial" w:cs="Arial"/>
                <w:szCs w:val="24"/>
              </w:rPr>
            </w:pPr>
            <w:r>
              <w:rPr>
                <w:szCs w:val="24"/>
              </w:rPr>
              <w:t>2</w:t>
            </w:r>
            <w:r w:rsidR="00DF437F">
              <w:rPr>
                <w:szCs w:val="24"/>
              </w:rPr>
              <w:t>,</w:t>
            </w:r>
            <w:r w:rsidR="001C38BD">
              <w:rPr>
                <w:szCs w:val="24"/>
              </w:rPr>
              <w:t>899</w:t>
            </w:r>
            <w:r w:rsidR="00DF437F">
              <w:rPr>
                <w:szCs w:val="24"/>
              </w:rPr>
              <w:t>,</w:t>
            </w:r>
            <w:r w:rsidR="001C38BD">
              <w:rPr>
                <w:szCs w:val="24"/>
              </w:rPr>
              <w:t>600</w:t>
            </w:r>
          </w:p>
        </w:tc>
        <w:tc>
          <w:tcPr>
            <w:tcW w:w="1390" w:type="dxa"/>
            <w:tcBorders>
              <w:top w:val="nil"/>
              <w:left w:val="nil"/>
              <w:bottom w:val="nil"/>
              <w:right w:val="nil"/>
            </w:tcBorders>
            <w:noWrap/>
            <w:vAlign w:val="bottom"/>
          </w:tcPr>
          <w:p w:rsidR="00A21EEB" w:rsidRPr="00207A04" w:rsidRDefault="0022573E" w:rsidP="0022573E">
            <w:pPr>
              <w:jc w:val="right"/>
              <w:rPr>
                <w:rFonts w:ascii="Arial" w:hAnsi="Arial" w:cs="Arial"/>
                <w:szCs w:val="24"/>
              </w:rPr>
            </w:pPr>
            <w:r>
              <w:rPr>
                <w:szCs w:val="24"/>
              </w:rPr>
              <w:t>2</w:t>
            </w:r>
            <w:r w:rsidR="00DF437F">
              <w:rPr>
                <w:szCs w:val="24"/>
              </w:rPr>
              <w:t>,</w:t>
            </w:r>
            <w:r>
              <w:rPr>
                <w:szCs w:val="24"/>
              </w:rPr>
              <w:t>224</w:t>
            </w:r>
            <w:r w:rsidR="00DF437F">
              <w:rPr>
                <w:szCs w:val="24"/>
              </w:rPr>
              <w:t>,</w:t>
            </w:r>
            <w:r>
              <w:rPr>
                <w:szCs w:val="24"/>
              </w:rPr>
              <w:t>533</w:t>
            </w:r>
          </w:p>
        </w:tc>
        <w:tc>
          <w:tcPr>
            <w:tcW w:w="1524" w:type="dxa"/>
            <w:tcBorders>
              <w:top w:val="nil"/>
              <w:left w:val="nil"/>
              <w:bottom w:val="nil"/>
              <w:right w:val="nil"/>
            </w:tcBorders>
            <w:noWrap/>
            <w:vAlign w:val="bottom"/>
          </w:tcPr>
          <w:p w:rsidR="00A21EEB" w:rsidRPr="00207A04" w:rsidRDefault="00A21EEB" w:rsidP="00A60C82">
            <w:pPr>
              <w:rPr>
                <w:rFonts w:ascii="Arial" w:hAnsi="Arial" w:cs="Arial"/>
                <w:szCs w:val="24"/>
              </w:rPr>
            </w:pPr>
          </w:p>
        </w:tc>
      </w:tr>
      <w:tr w:rsidR="00892D7C" w:rsidRPr="00207A04" w:rsidTr="00246D02">
        <w:trPr>
          <w:trHeight w:val="315"/>
        </w:trPr>
        <w:tc>
          <w:tcPr>
            <w:tcW w:w="5195" w:type="dxa"/>
            <w:gridSpan w:val="4"/>
            <w:tcBorders>
              <w:top w:val="nil"/>
              <w:left w:val="nil"/>
              <w:bottom w:val="nil"/>
              <w:right w:val="nil"/>
            </w:tcBorders>
            <w:noWrap/>
            <w:vAlign w:val="bottom"/>
          </w:tcPr>
          <w:p w:rsidR="00892D7C" w:rsidRDefault="00892D7C" w:rsidP="00892D7C">
            <w:pPr>
              <w:rPr>
                <w:szCs w:val="24"/>
              </w:rPr>
            </w:pPr>
            <w:r>
              <w:rPr>
                <w:szCs w:val="24"/>
              </w:rPr>
              <w:t>Systems Development Costs</w:t>
            </w:r>
          </w:p>
        </w:tc>
        <w:tc>
          <w:tcPr>
            <w:tcW w:w="1896" w:type="dxa"/>
            <w:tcBorders>
              <w:top w:val="nil"/>
              <w:left w:val="nil"/>
              <w:bottom w:val="nil"/>
              <w:right w:val="nil"/>
            </w:tcBorders>
            <w:noWrap/>
            <w:vAlign w:val="bottom"/>
          </w:tcPr>
          <w:p w:rsidR="00892D7C" w:rsidRDefault="00892D7C" w:rsidP="001C38BD">
            <w:pPr>
              <w:jc w:val="right"/>
              <w:rPr>
                <w:szCs w:val="24"/>
              </w:rPr>
            </w:pPr>
            <w:r>
              <w:rPr>
                <w:szCs w:val="24"/>
              </w:rPr>
              <w:t>1,</w:t>
            </w:r>
            <w:r w:rsidR="001C38BD">
              <w:rPr>
                <w:szCs w:val="24"/>
              </w:rPr>
              <w:t>082</w:t>
            </w:r>
            <w:r>
              <w:rPr>
                <w:szCs w:val="24"/>
              </w:rPr>
              <w:t>,</w:t>
            </w:r>
            <w:r w:rsidR="001C38BD">
              <w:rPr>
                <w:szCs w:val="24"/>
              </w:rPr>
              <w:t>646</w:t>
            </w:r>
          </w:p>
        </w:tc>
        <w:tc>
          <w:tcPr>
            <w:tcW w:w="1390" w:type="dxa"/>
            <w:tcBorders>
              <w:top w:val="nil"/>
              <w:left w:val="nil"/>
              <w:bottom w:val="nil"/>
              <w:right w:val="nil"/>
            </w:tcBorders>
            <w:noWrap/>
            <w:vAlign w:val="bottom"/>
          </w:tcPr>
          <w:p w:rsidR="00892D7C" w:rsidRDefault="0022573E" w:rsidP="0022573E">
            <w:pPr>
              <w:jc w:val="right"/>
              <w:rPr>
                <w:szCs w:val="24"/>
              </w:rPr>
            </w:pPr>
            <w:r>
              <w:rPr>
                <w:szCs w:val="24"/>
              </w:rPr>
              <w:t>830</w:t>
            </w:r>
            <w:r w:rsidR="00892D7C">
              <w:rPr>
                <w:szCs w:val="24"/>
              </w:rPr>
              <w:t>,</w:t>
            </w:r>
            <w:r>
              <w:rPr>
                <w:szCs w:val="24"/>
              </w:rPr>
              <w:t>591</w:t>
            </w:r>
          </w:p>
        </w:tc>
        <w:tc>
          <w:tcPr>
            <w:tcW w:w="1524" w:type="dxa"/>
            <w:tcBorders>
              <w:top w:val="nil"/>
              <w:left w:val="nil"/>
              <w:bottom w:val="nil"/>
              <w:right w:val="nil"/>
            </w:tcBorders>
            <w:noWrap/>
            <w:vAlign w:val="bottom"/>
          </w:tcPr>
          <w:p w:rsidR="00892D7C" w:rsidRPr="00207A04" w:rsidRDefault="00892D7C" w:rsidP="00A60C82">
            <w:pPr>
              <w:rPr>
                <w:rFonts w:ascii="Arial" w:hAnsi="Arial" w:cs="Arial"/>
                <w:szCs w:val="24"/>
              </w:rPr>
            </w:pPr>
          </w:p>
        </w:tc>
      </w:tr>
      <w:tr w:rsidR="00892D7C" w:rsidRPr="00207A04" w:rsidTr="00246D02">
        <w:trPr>
          <w:trHeight w:val="315"/>
        </w:trPr>
        <w:tc>
          <w:tcPr>
            <w:tcW w:w="5195" w:type="dxa"/>
            <w:gridSpan w:val="4"/>
            <w:tcBorders>
              <w:top w:val="nil"/>
              <w:left w:val="nil"/>
              <w:bottom w:val="nil"/>
              <w:right w:val="nil"/>
            </w:tcBorders>
            <w:noWrap/>
            <w:vAlign w:val="bottom"/>
          </w:tcPr>
          <w:p w:rsidR="00892D7C" w:rsidRDefault="00892D7C" w:rsidP="00DF437F">
            <w:pPr>
              <w:rPr>
                <w:szCs w:val="24"/>
              </w:rPr>
            </w:pPr>
            <w:r w:rsidRPr="00207A04">
              <w:rPr>
                <w:szCs w:val="24"/>
              </w:rPr>
              <w:t xml:space="preserve">Other </w:t>
            </w:r>
            <w:r>
              <w:rPr>
                <w:szCs w:val="24"/>
              </w:rPr>
              <w:t xml:space="preserve">direct costs </w:t>
            </w:r>
            <w:r w:rsidRPr="00207A04">
              <w:rPr>
                <w:szCs w:val="24"/>
              </w:rPr>
              <w:t>(</w:t>
            </w:r>
            <w:r>
              <w:rPr>
                <w:szCs w:val="24"/>
              </w:rPr>
              <w:t>materials &amp; supplies, training,</w:t>
            </w:r>
          </w:p>
        </w:tc>
        <w:tc>
          <w:tcPr>
            <w:tcW w:w="1896" w:type="dxa"/>
            <w:tcBorders>
              <w:top w:val="nil"/>
              <w:left w:val="nil"/>
              <w:bottom w:val="nil"/>
              <w:right w:val="nil"/>
            </w:tcBorders>
            <w:noWrap/>
            <w:vAlign w:val="bottom"/>
          </w:tcPr>
          <w:p w:rsidR="00892D7C" w:rsidRDefault="00892D7C" w:rsidP="00DF437F">
            <w:pPr>
              <w:jc w:val="right"/>
              <w:rPr>
                <w:szCs w:val="24"/>
              </w:rPr>
            </w:pPr>
          </w:p>
        </w:tc>
        <w:tc>
          <w:tcPr>
            <w:tcW w:w="1390" w:type="dxa"/>
            <w:tcBorders>
              <w:top w:val="nil"/>
              <w:left w:val="nil"/>
              <w:bottom w:val="nil"/>
              <w:right w:val="nil"/>
            </w:tcBorders>
            <w:noWrap/>
            <w:vAlign w:val="bottom"/>
          </w:tcPr>
          <w:p w:rsidR="00892D7C" w:rsidRDefault="00892D7C" w:rsidP="00DF437F">
            <w:pPr>
              <w:jc w:val="right"/>
              <w:rPr>
                <w:szCs w:val="24"/>
              </w:rPr>
            </w:pPr>
          </w:p>
        </w:tc>
        <w:tc>
          <w:tcPr>
            <w:tcW w:w="1524" w:type="dxa"/>
            <w:tcBorders>
              <w:top w:val="nil"/>
              <w:left w:val="nil"/>
              <w:bottom w:val="nil"/>
              <w:right w:val="nil"/>
            </w:tcBorders>
            <w:noWrap/>
            <w:vAlign w:val="bottom"/>
          </w:tcPr>
          <w:p w:rsidR="00892D7C" w:rsidRPr="00207A04" w:rsidRDefault="00892D7C" w:rsidP="00A60C82">
            <w:pPr>
              <w:rPr>
                <w:rFonts w:ascii="Arial" w:hAnsi="Arial" w:cs="Arial"/>
                <w:szCs w:val="24"/>
              </w:rPr>
            </w:pPr>
          </w:p>
        </w:tc>
      </w:tr>
      <w:tr w:rsidR="00892D7C" w:rsidRPr="00207A04" w:rsidTr="00246D02">
        <w:trPr>
          <w:trHeight w:val="315"/>
        </w:trPr>
        <w:tc>
          <w:tcPr>
            <w:tcW w:w="5195" w:type="dxa"/>
            <w:gridSpan w:val="4"/>
            <w:tcBorders>
              <w:top w:val="nil"/>
              <w:left w:val="nil"/>
              <w:bottom w:val="nil"/>
              <w:right w:val="nil"/>
            </w:tcBorders>
            <w:noWrap/>
            <w:vAlign w:val="bottom"/>
          </w:tcPr>
          <w:p w:rsidR="00892D7C" w:rsidRPr="00207A04" w:rsidRDefault="00892D7C" w:rsidP="00892D7C">
            <w:pPr>
              <w:rPr>
                <w:szCs w:val="24"/>
              </w:rPr>
            </w:pPr>
            <w:r>
              <w:rPr>
                <w:szCs w:val="24"/>
              </w:rPr>
              <w:t xml:space="preserve">              </w:t>
            </w:r>
            <w:proofErr w:type="gramStart"/>
            <w:r w:rsidRPr="00207A04">
              <w:rPr>
                <w:szCs w:val="24"/>
              </w:rPr>
              <w:t>software</w:t>
            </w:r>
            <w:proofErr w:type="gramEnd"/>
            <w:r>
              <w:rPr>
                <w:szCs w:val="24"/>
              </w:rPr>
              <w:t>, fees, equipment, phones, etc.):</w:t>
            </w:r>
          </w:p>
        </w:tc>
        <w:tc>
          <w:tcPr>
            <w:tcW w:w="1896" w:type="dxa"/>
            <w:tcBorders>
              <w:top w:val="nil"/>
              <w:left w:val="nil"/>
              <w:bottom w:val="nil"/>
              <w:right w:val="nil"/>
            </w:tcBorders>
            <w:noWrap/>
            <w:vAlign w:val="bottom"/>
          </w:tcPr>
          <w:p w:rsidR="00892D7C" w:rsidRDefault="001C38BD" w:rsidP="001C38BD">
            <w:pPr>
              <w:jc w:val="right"/>
              <w:rPr>
                <w:szCs w:val="24"/>
              </w:rPr>
            </w:pPr>
            <w:r>
              <w:rPr>
                <w:szCs w:val="24"/>
              </w:rPr>
              <w:t>271</w:t>
            </w:r>
            <w:r w:rsidR="00892D7C">
              <w:rPr>
                <w:szCs w:val="24"/>
              </w:rPr>
              <w:t>,</w:t>
            </w:r>
            <w:r>
              <w:rPr>
                <w:szCs w:val="24"/>
              </w:rPr>
              <w:t>152</w:t>
            </w:r>
          </w:p>
        </w:tc>
        <w:tc>
          <w:tcPr>
            <w:tcW w:w="1390" w:type="dxa"/>
            <w:tcBorders>
              <w:top w:val="nil"/>
              <w:left w:val="nil"/>
              <w:bottom w:val="nil"/>
              <w:right w:val="nil"/>
            </w:tcBorders>
            <w:noWrap/>
            <w:vAlign w:val="bottom"/>
          </w:tcPr>
          <w:p w:rsidR="00892D7C" w:rsidRDefault="0022573E" w:rsidP="0022573E">
            <w:pPr>
              <w:jc w:val="right"/>
              <w:rPr>
                <w:szCs w:val="24"/>
              </w:rPr>
            </w:pPr>
            <w:r>
              <w:rPr>
                <w:szCs w:val="24"/>
              </w:rPr>
              <w:t>151</w:t>
            </w:r>
            <w:r w:rsidR="00892D7C">
              <w:rPr>
                <w:szCs w:val="24"/>
              </w:rPr>
              <w:t>,</w:t>
            </w:r>
            <w:r>
              <w:rPr>
                <w:szCs w:val="24"/>
              </w:rPr>
              <w:t>312</w:t>
            </w:r>
          </w:p>
        </w:tc>
        <w:tc>
          <w:tcPr>
            <w:tcW w:w="1524" w:type="dxa"/>
            <w:tcBorders>
              <w:top w:val="nil"/>
              <w:left w:val="nil"/>
              <w:bottom w:val="nil"/>
              <w:right w:val="nil"/>
            </w:tcBorders>
            <w:noWrap/>
            <w:vAlign w:val="bottom"/>
          </w:tcPr>
          <w:p w:rsidR="00892D7C" w:rsidRPr="00207A04" w:rsidRDefault="00892D7C" w:rsidP="00A60C82">
            <w:pPr>
              <w:rPr>
                <w:rFonts w:ascii="Arial" w:hAnsi="Arial" w:cs="Arial"/>
                <w:szCs w:val="24"/>
              </w:rPr>
            </w:pPr>
          </w:p>
        </w:tc>
      </w:tr>
      <w:tr w:rsidR="00892D7C" w:rsidRPr="00207A04" w:rsidTr="00246D02">
        <w:trPr>
          <w:trHeight w:val="315"/>
        </w:trPr>
        <w:tc>
          <w:tcPr>
            <w:tcW w:w="5195" w:type="dxa"/>
            <w:gridSpan w:val="4"/>
            <w:tcBorders>
              <w:top w:val="nil"/>
              <w:left w:val="nil"/>
              <w:bottom w:val="nil"/>
              <w:right w:val="nil"/>
            </w:tcBorders>
            <w:noWrap/>
            <w:vAlign w:val="bottom"/>
          </w:tcPr>
          <w:p w:rsidR="00892D7C" w:rsidRPr="00207A04" w:rsidRDefault="00892D7C" w:rsidP="00892D7C">
            <w:pPr>
              <w:rPr>
                <w:szCs w:val="24"/>
              </w:rPr>
            </w:pPr>
            <w:r w:rsidRPr="00207A04">
              <w:rPr>
                <w:szCs w:val="24"/>
              </w:rPr>
              <w:t xml:space="preserve">Other </w:t>
            </w:r>
            <w:r>
              <w:rPr>
                <w:szCs w:val="24"/>
              </w:rPr>
              <w:t>costs estimated by T</w:t>
            </w:r>
            <w:r w:rsidRPr="00207A04">
              <w:rPr>
                <w:szCs w:val="24"/>
              </w:rPr>
              <w:t>reasury</w:t>
            </w:r>
            <w:r>
              <w:rPr>
                <w:szCs w:val="24"/>
              </w:rPr>
              <w:t xml:space="preserve"> (mostly salaries):</w:t>
            </w:r>
          </w:p>
        </w:tc>
        <w:tc>
          <w:tcPr>
            <w:tcW w:w="1896" w:type="dxa"/>
            <w:tcBorders>
              <w:top w:val="nil"/>
              <w:left w:val="nil"/>
              <w:bottom w:val="nil"/>
              <w:right w:val="nil"/>
            </w:tcBorders>
            <w:noWrap/>
            <w:vAlign w:val="bottom"/>
          </w:tcPr>
          <w:p w:rsidR="00892D7C" w:rsidRDefault="00892D7C" w:rsidP="001C38BD">
            <w:pPr>
              <w:jc w:val="right"/>
              <w:rPr>
                <w:szCs w:val="24"/>
              </w:rPr>
            </w:pPr>
            <w:r>
              <w:rPr>
                <w:szCs w:val="24"/>
              </w:rPr>
              <w:t>18</w:t>
            </w:r>
            <w:r w:rsidR="001C38BD">
              <w:rPr>
                <w:szCs w:val="24"/>
              </w:rPr>
              <w:t>6</w:t>
            </w:r>
            <w:r>
              <w:rPr>
                <w:szCs w:val="24"/>
              </w:rPr>
              <w:t>,</w:t>
            </w:r>
            <w:r w:rsidR="001C38BD">
              <w:rPr>
                <w:szCs w:val="24"/>
              </w:rPr>
              <w:t>762</w:t>
            </w:r>
          </w:p>
        </w:tc>
        <w:tc>
          <w:tcPr>
            <w:tcW w:w="1390" w:type="dxa"/>
            <w:tcBorders>
              <w:top w:val="nil"/>
              <w:left w:val="nil"/>
              <w:bottom w:val="nil"/>
              <w:right w:val="nil"/>
            </w:tcBorders>
            <w:noWrap/>
            <w:vAlign w:val="bottom"/>
          </w:tcPr>
          <w:p w:rsidR="00892D7C" w:rsidRDefault="0022573E" w:rsidP="0022573E">
            <w:pPr>
              <w:jc w:val="right"/>
              <w:rPr>
                <w:szCs w:val="24"/>
              </w:rPr>
            </w:pPr>
            <w:r>
              <w:rPr>
                <w:szCs w:val="24"/>
              </w:rPr>
              <w:t>150</w:t>
            </w:r>
            <w:r w:rsidR="005148C7">
              <w:rPr>
                <w:szCs w:val="24"/>
              </w:rPr>
              <w:t>,</w:t>
            </w:r>
            <w:r>
              <w:rPr>
                <w:szCs w:val="24"/>
              </w:rPr>
              <w:t>004</w:t>
            </w:r>
          </w:p>
        </w:tc>
        <w:tc>
          <w:tcPr>
            <w:tcW w:w="1524" w:type="dxa"/>
            <w:tcBorders>
              <w:top w:val="nil"/>
              <w:left w:val="nil"/>
              <w:bottom w:val="nil"/>
              <w:right w:val="nil"/>
            </w:tcBorders>
            <w:noWrap/>
            <w:vAlign w:val="bottom"/>
          </w:tcPr>
          <w:p w:rsidR="00892D7C" w:rsidRPr="00207A04" w:rsidRDefault="00892D7C" w:rsidP="00A60C82">
            <w:pPr>
              <w:rPr>
                <w:rFonts w:ascii="Arial" w:hAnsi="Arial" w:cs="Arial"/>
                <w:szCs w:val="24"/>
              </w:rPr>
            </w:pPr>
          </w:p>
        </w:tc>
      </w:tr>
      <w:tr w:rsidR="009113FB" w:rsidRPr="00207A04" w:rsidTr="00246D02">
        <w:trPr>
          <w:trHeight w:val="315"/>
        </w:trPr>
        <w:tc>
          <w:tcPr>
            <w:tcW w:w="1454" w:type="dxa"/>
            <w:tcBorders>
              <w:top w:val="nil"/>
              <w:left w:val="nil"/>
              <w:bottom w:val="nil"/>
              <w:right w:val="nil"/>
            </w:tcBorders>
            <w:noWrap/>
            <w:vAlign w:val="bottom"/>
          </w:tcPr>
          <w:p w:rsidR="009113FB" w:rsidRPr="00246D02" w:rsidRDefault="009113FB" w:rsidP="00A60C82">
            <w:pPr>
              <w:rPr>
                <w:szCs w:val="24"/>
                <w:u w:val="single"/>
              </w:rPr>
            </w:pPr>
          </w:p>
        </w:tc>
        <w:tc>
          <w:tcPr>
            <w:tcW w:w="1197" w:type="dxa"/>
            <w:tcBorders>
              <w:top w:val="nil"/>
              <w:left w:val="nil"/>
              <w:bottom w:val="nil"/>
              <w:right w:val="nil"/>
            </w:tcBorders>
            <w:noWrap/>
            <w:vAlign w:val="bottom"/>
          </w:tcPr>
          <w:p w:rsidR="009113FB" w:rsidRPr="00207A04" w:rsidRDefault="009113FB" w:rsidP="00A60C82">
            <w:pPr>
              <w:rPr>
                <w:rFonts w:ascii="Arial" w:hAnsi="Arial" w:cs="Arial"/>
                <w:szCs w:val="24"/>
              </w:rPr>
            </w:pPr>
          </w:p>
        </w:tc>
        <w:tc>
          <w:tcPr>
            <w:tcW w:w="1197" w:type="dxa"/>
            <w:tcBorders>
              <w:top w:val="nil"/>
              <w:left w:val="nil"/>
              <w:bottom w:val="nil"/>
              <w:right w:val="nil"/>
            </w:tcBorders>
            <w:noWrap/>
            <w:vAlign w:val="bottom"/>
          </w:tcPr>
          <w:p w:rsidR="009113FB" w:rsidRPr="00207A04" w:rsidRDefault="009113FB" w:rsidP="00A60C82">
            <w:pPr>
              <w:rPr>
                <w:rFonts w:ascii="Arial" w:hAnsi="Arial" w:cs="Arial"/>
                <w:szCs w:val="24"/>
              </w:rPr>
            </w:pPr>
          </w:p>
        </w:tc>
        <w:tc>
          <w:tcPr>
            <w:tcW w:w="1347" w:type="dxa"/>
            <w:tcBorders>
              <w:top w:val="nil"/>
              <w:left w:val="nil"/>
              <w:bottom w:val="nil"/>
              <w:right w:val="nil"/>
            </w:tcBorders>
            <w:noWrap/>
            <w:vAlign w:val="bottom"/>
          </w:tcPr>
          <w:p w:rsidR="009113FB" w:rsidRPr="00207A04" w:rsidRDefault="009113FB" w:rsidP="00A60C82">
            <w:pPr>
              <w:rPr>
                <w:rFonts w:ascii="Arial" w:hAnsi="Arial" w:cs="Arial"/>
                <w:szCs w:val="24"/>
              </w:rPr>
            </w:pPr>
          </w:p>
        </w:tc>
        <w:tc>
          <w:tcPr>
            <w:tcW w:w="1896" w:type="dxa"/>
            <w:tcBorders>
              <w:top w:val="nil"/>
              <w:left w:val="nil"/>
              <w:bottom w:val="nil"/>
              <w:right w:val="nil"/>
            </w:tcBorders>
            <w:noWrap/>
            <w:vAlign w:val="bottom"/>
          </w:tcPr>
          <w:p w:rsidR="009113FB" w:rsidRPr="00207A04" w:rsidRDefault="009113FB" w:rsidP="005148C7">
            <w:pPr>
              <w:jc w:val="right"/>
              <w:rPr>
                <w:szCs w:val="24"/>
              </w:rPr>
            </w:pPr>
          </w:p>
        </w:tc>
        <w:tc>
          <w:tcPr>
            <w:tcW w:w="1390" w:type="dxa"/>
            <w:tcBorders>
              <w:top w:val="nil"/>
              <w:left w:val="nil"/>
              <w:bottom w:val="nil"/>
              <w:right w:val="nil"/>
            </w:tcBorders>
            <w:noWrap/>
            <w:vAlign w:val="bottom"/>
          </w:tcPr>
          <w:p w:rsidR="009113FB" w:rsidRDefault="009113FB" w:rsidP="00332FFE">
            <w:pPr>
              <w:jc w:val="right"/>
              <w:rPr>
                <w:szCs w:val="24"/>
              </w:rPr>
            </w:pPr>
          </w:p>
        </w:tc>
        <w:tc>
          <w:tcPr>
            <w:tcW w:w="1524" w:type="dxa"/>
            <w:tcBorders>
              <w:top w:val="nil"/>
              <w:left w:val="nil"/>
              <w:bottom w:val="nil"/>
              <w:right w:val="nil"/>
            </w:tcBorders>
            <w:noWrap/>
            <w:vAlign w:val="bottom"/>
          </w:tcPr>
          <w:p w:rsidR="009113FB" w:rsidRPr="00207A04" w:rsidRDefault="009113FB" w:rsidP="0083442E">
            <w:pPr>
              <w:jc w:val="right"/>
              <w:rPr>
                <w:szCs w:val="24"/>
              </w:rPr>
            </w:pPr>
          </w:p>
        </w:tc>
      </w:tr>
      <w:tr w:rsidR="004E3B2F" w:rsidRPr="00207A04" w:rsidTr="00246D02">
        <w:trPr>
          <w:trHeight w:val="315"/>
        </w:trPr>
        <w:tc>
          <w:tcPr>
            <w:tcW w:w="1454" w:type="dxa"/>
            <w:tcBorders>
              <w:top w:val="nil"/>
              <w:left w:val="nil"/>
              <w:bottom w:val="nil"/>
              <w:right w:val="nil"/>
            </w:tcBorders>
            <w:noWrap/>
            <w:vAlign w:val="bottom"/>
          </w:tcPr>
          <w:p w:rsidR="004E3B2F" w:rsidRPr="00246D02" w:rsidRDefault="004E3B2F" w:rsidP="00A60C82">
            <w:pPr>
              <w:rPr>
                <w:szCs w:val="24"/>
                <w:u w:val="single"/>
              </w:rPr>
            </w:pPr>
            <w:r w:rsidRPr="00246D02">
              <w:rPr>
                <w:szCs w:val="24"/>
                <w:u w:val="single"/>
              </w:rPr>
              <w:lastRenderedPageBreak/>
              <w:t>Totals</w:t>
            </w:r>
          </w:p>
        </w:tc>
        <w:tc>
          <w:tcPr>
            <w:tcW w:w="1197" w:type="dxa"/>
            <w:tcBorders>
              <w:top w:val="nil"/>
              <w:left w:val="nil"/>
              <w:bottom w:val="nil"/>
              <w:right w:val="nil"/>
            </w:tcBorders>
            <w:noWrap/>
            <w:vAlign w:val="bottom"/>
          </w:tcPr>
          <w:p w:rsidR="004E3B2F" w:rsidRPr="00207A04" w:rsidRDefault="004E3B2F" w:rsidP="00A60C82">
            <w:pPr>
              <w:rPr>
                <w:rFonts w:ascii="Arial" w:hAnsi="Arial" w:cs="Arial"/>
                <w:szCs w:val="24"/>
              </w:rPr>
            </w:pPr>
          </w:p>
        </w:tc>
        <w:tc>
          <w:tcPr>
            <w:tcW w:w="1197" w:type="dxa"/>
            <w:tcBorders>
              <w:top w:val="nil"/>
              <w:left w:val="nil"/>
              <w:bottom w:val="nil"/>
              <w:right w:val="nil"/>
            </w:tcBorders>
            <w:noWrap/>
            <w:vAlign w:val="bottom"/>
          </w:tcPr>
          <w:p w:rsidR="004E3B2F" w:rsidRPr="00207A04" w:rsidRDefault="004E3B2F" w:rsidP="00A60C82">
            <w:pPr>
              <w:rPr>
                <w:rFonts w:ascii="Arial" w:hAnsi="Arial" w:cs="Arial"/>
                <w:szCs w:val="24"/>
              </w:rPr>
            </w:pPr>
          </w:p>
        </w:tc>
        <w:tc>
          <w:tcPr>
            <w:tcW w:w="1347" w:type="dxa"/>
            <w:tcBorders>
              <w:top w:val="nil"/>
              <w:left w:val="nil"/>
              <w:bottom w:val="nil"/>
              <w:right w:val="nil"/>
            </w:tcBorders>
            <w:noWrap/>
            <w:vAlign w:val="bottom"/>
          </w:tcPr>
          <w:p w:rsidR="004E3B2F" w:rsidRPr="00207A04" w:rsidRDefault="004E3B2F" w:rsidP="00A60C82">
            <w:pPr>
              <w:rPr>
                <w:rFonts w:ascii="Arial" w:hAnsi="Arial" w:cs="Arial"/>
                <w:szCs w:val="24"/>
              </w:rPr>
            </w:pPr>
          </w:p>
        </w:tc>
        <w:tc>
          <w:tcPr>
            <w:tcW w:w="1896" w:type="dxa"/>
            <w:tcBorders>
              <w:top w:val="nil"/>
              <w:left w:val="nil"/>
              <w:bottom w:val="nil"/>
              <w:right w:val="nil"/>
            </w:tcBorders>
            <w:noWrap/>
            <w:vAlign w:val="bottom"/>
          </w:tcPr>
          <w:p w:rsidR="004E3B2F" w:rsidRPr="00207A04" w:rsidRDefault="004E3B2F" w:rsidP="001C38BD">
            <w:pPr>
              <w:jc w:val="right"/>
              <w:rPr>
                <w:szCs w:val="24"/>
              </w:rPr>
            </w:pPr>
            <w:r w:rsidRPr="00207A04">
              <w:rPr>
                <w:szCs w:val="24"/>
              </w:rPr>
              <w:t>$</w:t>
            </w:r>
            <w:r w:rsidR="005148C7">
              <w:rPr>
                <w:szCs w:val="24"/>
              </w:rPr>
              <w:t>5</w:t>
            </w:r>
            <w:r>
              <w:rPr>
                <w:szCs w:val="24"/>
              </w:rPr>
              <w:t>,</w:t>
            </w:r>
            <w:r w:rsidR="001C38BD">
              <w:rPr>
                <w:szCs w:val="24"/>
              </w:rPr>
              <w:t>740</w:t>
            </w:r>
            <w:r w:rsidRPr="00207A04">
              <w:rPr>
                <w:szCs w:val="24"/>
              </w:rPr>
              <w:t>,</w:t>
            </w:r>
            <w:r w:rsidR="001C38BD">
              <w:rPr>
                <w:szCs w:val="24"/>
              </w:rPr>
              <w:t>101</w:t>
            </w:r>
            <w:r w:rsidRPr="00207A04">
              <w:rPr>
                <w:szCs w:val="24"/>
              </w:rPr>
              <w:t xml:space="preserve"> </w:t>
            </w:r>
          </w:p>
        </w:tc>
        <w:tc>
          <w:tcPr>
            <w:tcW w:w="1390" w:type="dxa"/>
            <w:tcBorders>
              <w:top w:val="nil"/>
              <w:left w:val="nil"/>
              <w:bottom w:val="nil"/>
              <w:right w:val="nil"/>
            </w:tcBorders>
            <w:noWrap/>
            <w:vAlign w:val="bottom"/>
          </w:tcPr>
          <w:p w:rsidR="004E3B2F" w:rsidRPr="00207A04" w:rsidRDefault="00633BF8" w:rsidP="0022573E">
            <w:pPr>
              <w:jc w:val="right"/>
              <w:rPr>
                <w:szCs w:val="24"/>
              </w:rPr>
            </w:pPr>
            <w:r>
              <w:rPr>
                <w:szCs w:val="24"/>
              </w:rPr>
              <w:t>$</w:t>
            </w:r>
            <w:r w:rsidR="0022573E">
              <w:rPr>
                <w:szCs w:val="24"/>
              </w:rPr>
              <w:t>4</w:t>
            </w:r>
            <w:r w:rsidR="005148C7">
              <w:rPr>
                <w:szCs w:val="24"/>
              </w:rPr>
              <w:t>,</w:t>
            </w:r>
            <w:r w:rsidR="0022573E">
              <w:rPr>
                <w:szCs w:val="24"/>
              </w:rPr>
              <w:t>353</w:t>
            </w:r>
            <w:r w:rsidR="005148C7">
              <w:rPr>
                <w:szCs w:val="24"/>
              </w:rPr>
              <w:t>,</w:t>
            </w:r>
            <w:r w:rsidR="0022573E">
              <w:rPr>
                <w:szCs w:val="24"/>
              </w:rPr>
              <w:t>736</w:t>
            </w:r>
          </w:p>
        </w:tc>
        <w:tc>
          <w:tcPr>
            <w:tcW w:w="1524" w:type="dxa"/>
            <w:tcBorders>
              <w:top w:val="nil"/>
              <w:left w:val="nil"/>
              <w:bottom w:val="nil"/>
              <w:right w:val="nil"/>
            </w:tcBorders>
            <w:noWrap/>
            <w:vAlign w:val="bottom"/>
          </w:tcPr>
          <w:p w:rsidR="004E3B2F" w:rsidRPr="00207A04" w:rsidRDefault="004E3B2F" w:rsidP="0022573E">
            <w:pPr>
              <w:jc w:val="right"/>
              <w:rPr>
                <w:szCs w:val="24"/>
              </w:rPr>
            </w:pPr>
            <w:r w:rsidRPr="00207A04">
              <w:rPr>
                <w:szCs w:val="24"/>
              </w:rPr>
              <w:t>$</w:t>
            </w:r>
            <w:r w:rsidR="0083442E">
              <w:rPr>
                <w:szCs w:val="24"/>
              </w:rPr>
              <w:t>4</w:t>
            </w:r>
            <w:r>
              <w:rPr>
                <w:szCs w:val="24"/>
              </w:rPr>
              <w:t>,</w:t>
            </w:r>
            <w:r w:rsidR="0022573E">
              <w:rPr>
                <w:szCs w:val="24"/>
              </w:rPr>
              <w:t>631</w:t>
            </w:r>
            <w:r w:rsidRPr="00207A04">
              <w:rPr>
                <w:szCs w:val="24"/>
              </w:rPr>
              <w:t>,</w:t>
            </w:r>
            <w:r w:rsidR="0022573E">
              <w:rPr>
                <w:szCs w:val="24"/>
              </w:rPr>
              <w:t>009</w:t>
            </w:r>
            <w:r w:rsidRPr="00207A04">
              <w:rPr>
                <w:szCs w:val="24"/>
              </w:rPr>
              <w:t xml:space="preserve"> </w:t>
            </w:r>
          </w:p>
        </w:tc>
      </w:tr>
    </w:tbl>
    <w:p w:rsidR="00136C25" w:rsidRDefault="00136C25" w:rsidP="006F3CD0">
      <w:pPr>
        <w:pStyle w:val="BodyTextIndent3"/>
        <w:tabs>
          <w:tab w:val="clear" w:pos="720"/>
        </w:tabs>
        <w:ind w:firstLine="0"/>
      </w:pPr>
    </w:p>
    <w:p w:rsidR="009113FB" w:rsidRDefault="009113FB" w:rsidP="006F3CD0">
      <w:pPr>
        <w:pStyle w:val="BodyTextIndent3"/>
        <w:tabs>
          <w:tab w:val="clear" w:pos="720"/>
        </w:tabs>
        <w:ind w:firstLine="0"/>
      </w:pPr>
    </w:p>
    <w:p w:rsidR="00EB1ABA" w:rsidRPr="004864A8" w:rsidRDefault="00EB1ABA" w:rsidP="00EB1ABA">
      <w:pPr>
        <w:pStyle w:val="BodyTextIndent3"/>
        <w:numPr>
          <w:ilvl w:val="0"/>
          <w:numId w:val="11"/>
        </w:numPr>
        <w:tabs>
          <w:tab w:val="clear" w:pos="0"/>
          <w:tab w:val="clear" w:pos="244"/>
          <w:tab w:val="clear" w:pos="720"/>
          <w:tab w:val="clear" w:pos="1152"/>
          <w:tab w:val="left" w:pos="540"/>
        </w:tabs>
        <w:ind w:left="540" w:hanging="540"/>
        <w:jc w:val="left"/>
        <w:rPr>
          <w:u w:val="single"/>
        </w:rPr>
      </w:pPr>
      <w:r w:rsidRPr="004864A8">
        <w:rPr>
          <w:u w:val="single"/>
        </w:rPr>
        <w:t>Reason for change</w:t>
      </w:r>
    </w:p>
    <w:p w:rsidR="00997220" w:rsidRDefault="00997220" w:rsidP="006F3CD0">
      <w:pPr>
        <w:pStyle w:val="BodyTextIndent3"/>
        <w:tabs>
          <w:tab w:val="clear" w:pos="0"/>
          <w:tab w:val="clear" w:pos="244"/>
        </w:tabs>
        <w:ind w:left="725" w:hanging="720"/>
        <w:jc w:val="left"/>
      </w:pPr>
    </w:p>
    <w:p w:rsidR="004864A8" w:rsidRDefault="00D051FB" w:rsidP="00693CCF">
      <w:r w:rsidRPr="00D051FB">
        <w:t xml:space="preserve">The total average burden hours are 40,793, which is 8,740 hours more than the estimate of 32,053 hours currently in OMB's Information Collection Inventory. The increase results from (a) an increase of 11,958 hours because the average number of respondents has increased by about 74, and (b) a decrease of 3,218 hours due to agency discretion.  The decrease of 3,218 hours resulted from two program changes: (i) a decrease of 5,494 hours and about 28 respondents from raising the threshold level for reporting from $100 million to $200 million for the quinquennial survey (SHL); and (ii) an increase of 2,276 hours from adding an average of 12 reporters who now file their international investment reports with the Treasury International Capital data system, instead of with the Bureau of Economic Analysis in the Department of Commerce. </w:t>
      </w:r>
    </w:p>
    <w:p w:rsidR="00A21EEB" w:rsidRDefault="00A21EEB" w:rsidP="000A4B9E">
      <w:pPr>
        <w:pStyle w:val="BodyTextIndent3"/>
        <w:tabs>
          <w:tab w:val="clear" w:pos="0"/>
          <w:tab w:val="clear" w:pos="244"/>
          <w:tab w:val="clear" w:pos="720"/>
          <w:tab w:val="left" w:pos="540"/>
        </w:tabs>
        <w:ind w:left="540" w:hanging="545"/>
        <w:jc w:val="left"/>
      </w:pPr>
    </w:p>
    <w:p w:rsidR="004864A8" w:rsidRPr="004864A8" w:rsidRDefault="004864A8" w:rsidP="00EB1ABA">
      <w:pPr>
        <w:pStyle w:val="BodyTextIndent3"/>
        <w:numPr>
          <w:ilvl w:val="0"/>
          <w:numId w:val="11"/>
        </w:numPr>
        <w:tabs>
          <w:tab w:val="clear" w:pos="0"/>
          <w:tab w:val="clear" w:pos="244"/>
          <w:tab w:val="clear" w:pos="720"/>
          <w:tab w:val="left" w:pos="540"/>
        </w:tabs>
        <w:ind w:left="540" w:hanging="545"/>
        <w:jc w:val="left"/>
      </w:pPr>
      <w:r w:rsidRPr="00172F5F">
        <w:rPr>
          <w:szCs w:val="24"/>
          <w:u w:val="single"/>
        </w:rPr>
        <w:t>Plans for tabulation, statistical analysis and publication</w:t>
      </w:r>
    </w:p>
    <w:p w:rsidR="004864A8" w:rsidRDefault="004864A8" w:rsidP="000A4B9E">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5"/>
      </w:pPr>
    </w:p>
    <w:p w:rsidR="00A21EEB" w:rsidRDefault="00A21EEB" w:rsidP="00136C25">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r>
        <w:t xml:space="preserve">The survey results will be published and made available to the public annually.  A full report on the survey findings will be produced and made available on the Internet at the Treasury website: </w:t>
      </w:r>
      <w:hyperlink r:id="rId8" w:history="1">
        <w:r w:rsidRPr="007165F4">
          <w:rPr>
            <w:rStyle w:val="Hyperlink"/>
          </w:rPr>
          <w:t>http://www.treas.gov/tic/fpis.html</w:t>
        </w:r>
      </w:hyperlink>
      <w:r>
        <w:t xml:space="preserve"> . </w:t>
      </w:r>
    </w:p>
    <w:p w:rsidR="00A21EEB" w:rsidRDefault="00A21EEB" w:rsidP="00136C25">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p>
    <w:p w:rsidR="00A21EEB" w:rsidRPr="002A2CD6" w:rsidRDefault="00A21EEB" w:rsidP="00136C25">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r>
        <w:t>The report will show the total level of foreign portfolio investment in United States</w:t>
      </w:r>
      <w:r w:rsidR="00C57211">
        <w:t xml:space="preserve"> securities</w:t>
      </w:r>
      <w:r>
        <w:t xml:space="preserve">, the amounts invested in various types of U.S. securities, the countries of foreign investors, and the types of foreign investors.  In addition, analysis of the overall percentage of various types of U.S. securities foreign held will be shown, and trends in these holdings over time will be presented.  The report will also discuss the growth of foreign investment in U.S. long-term securities compared with other types of portfolio investment, such as bank loans or deposits.  The patterns of foreign investment by industry will be shown. </w:t>
      </w:r>
      <w:r w:rsidRPr="002A2CD6">
        <w:t xml:space="preserve">Further, the maturity structure </w:t>
      </w:r>
      <w:r w:rsidR="009763C0">
        <w:t xml:space="preserve">and currency composition </w:t>
      </w:r>
      <w:r w:rsidRPr="002A2CD6">
        <w:t>of foreign holdings of U.S. securities will be presented.</w:t>
      </w:r>
    </w:p>
    <w:p w:rsidR="00A21EEB" w:rsidRDefault="00A21EEB" w:rsidP="00136C25">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p>
    <w:p w:rsidR="00A21EEB" w:rsidRDefault="00A21EEB" w:rsidP="00136C25">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r>
        <w:t xml:space="preserve">The schedule of major milestones follows. </w:t>
      </w:r>
    </w:p>
    <w:p w:rsidR="00A21EEB" w:rsidRDefault="00A21EEB" w:rsidP="00136C25">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p>
    <w:p w:rsidR="00A21EEB" w:rsidRDefault="00A21EEB" w:rsidP="00136C25">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r>
        <w:t>April 20</w:t>
      </w:r>
      <w:r w:rsidR="00A60C82">
        <w:t>1</w:t>
      </w:r>
      <w:r w:rsidR="007E1B92">
        <w:t>7</w:t>
      </w:r>
      <w:r>
        <w:tab/>
      </w:r>
      <w:r>
        <w:tab/>
        <w:t>Information about the forms mailed to respondents.</w:t>
      </w:r>
    </w:p>
    <w:p w:rsidR="00A21EEB" w:rsidRDefault="00A21EEB" w:rsidP="00136C25">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p>
    <w:p w:rsidR="00A21EEB" w:rsidRDefault="00A21EEB" w:rsidP="00136C25">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proofErr w:type="gramStart"/>
      <w:r>
        <w:t>June 30, 20</w:t>
      </w:r>
      <w:r w:rsidR="00A60C82">
        <w:t>1</w:t>
      </w:r>
      <w:r w:rsidR="007E1B92">
        <w:t>7</w:t>
      </w:r>
      <w:r>
        <w:tab/>
      </w:r>
      <w:r>
        <w:tab/>
        <w:t>Date for which data are to be submitted.</w:t>
      </w:r>
      <w:proofErr w:type="gramEnd"/>
    </w:p>
    <w:p w:rsidR="00A21EEB" w:rsidRDefault="00A21EEB" w:rsidP="00136C25">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p>
    <w:p w:rsidR="00A21EEB" w:rsidRDefault="00A21EEB" w:rsidP="00136C25">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proofErr w:type="gramStart"/>
      <w:r>
        <w:t>August 30, 20</w:t>
      </w:r>
      <w:r w:rsidR="00A60C82">
        <w:t>1</w:t>
      </w:r>
      <w:r w:rsidR="007E1B92">
        <w:t>7</w:t>
      </w:r>
      <w:r>
        <w:tab/>
      </w:r>
      <w:r>
        <w:tab/>
      </w:r>
      <w:r w:rsidR="009763C0">
        <w:t>Last d</w:t>
      </w:r>
      <w:r>
        <w:t>ate by which survey respondents must report.</w:t>
      </w:r>
      <w:proofErr w:type="gramEnd"/>
    </w:p>
    <w:p w:rsidR="00A21EEB" w:rsidRDefault="00A21EEB" w:rsidP="00136C25">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p>
    <w:p w:rsidR="00A21EEB" w:rsidRDefault="009763C0" w:rsidP="00136C25">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r>
        <w:t>End-</w:t>
      </w:r>
      <w:r w:rsidR="00A21EEB">
        <w:t>February 20</w:t>
      </w:r>
      <w:r w:rsidR="00A60C82">
        <w:t>1</w:t>
      </w:r>
      <w:r w:rsidR="007E1B92">
        <w:t>8</w:t>
      </w:r>
      <w:r w:rsidR="00A21EEB">
        <w:tab/>
        <w:t>Data aggregation completed.</w:t>
      </w:r>
    </w:p>
    <w:p w:rsidR="00A21EEB" w:rsidRDefault="00A21EEB" w:rsidP="00136C25">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p>
    <w:p w:rsidR="00A21EEB" w:rsidRDefault="009763C0" w:rsidP="00136C25">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r>
        <w:t>End-</w:t>
      </w:r>
      <w:r w:rsidR="00A21EEB">
        <w:t>April 20</w:t>
      </w:r>
      <w:r w:rsidR="00A60C82">
        <w:t>1</w:t>
      </w:r>
      <w:r w:rsidR="007E1B92">
        <w:t>8</w:t>
      </w:r>
      <w:r w:rsidR="00A21EEB">
        <w:tab/>
      </w:r>
      <w:r w:rsidR="00A21EEB">
        <w:tab/>
        <w:t>Public report completed.</w:t>
      </w:r>
    </w:p>
    <w:p w:rsidR="004864A8" w:rsidRDefault="004864A8" w:rsidP="00A21EEB">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5"/>
      </w:pPr>
    </w:p>
    <w:p w:rsidR="004864A8" w:rsidRPr="004864A8" w:rsidRDefault="004864A8" w:rsidP="00EB1ABA">
      <w:pPr>
        <w:widowControl/>
        <w:numPr>
          <w:ilvl w:val="0"/>
          <w:numId w:val="11"/>
        </w:numPr>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r w:rsidRPr="00C612CA">
        <w:rPr>
          <w:szCs w:val="24"/>
          <w:u w:val="single"/>
        </w:rPr>
        <w:t>Reasons why displaying the OMB expiration date is inappropriate</w:t>
      </w:r>
    </w:p>
    <w:p w:rsidR="004864A8" w:rsidRDefault="004864A8" w:rsidP="000A4B9E">
      <w:pPr>
        <w:pStyle w:val="BodyTextIndent3"/>
        <w:tabs>
          <w:tab w:val="clear" w:pos="0"/>
          <w:tab w:val="clear" w:pos="244"/>
          <w:tab w:val="clear" w:pos="720"/>
          <w:tab w:val="left" w:pos="540"/>
        </w:tabs>
        <w:ind w:left="540" w:hanging="540"/>
        <w:jc w:val="left"/>
      </w:pPr>
    </w:p>
    <w:p w:rsidR="004864A8" w:rsidRDefault="004864A8" w:rsidP="000A4B9E">
      <w:pPr>
        <w:pStyle w:val="BodyTextIndent3"/>
        <w:tabs>
          <w:tab w:val="clear" w:pos="0"/>
          <w:tab w:val="clear" w:pos="244"/>
          <w:tab w:val="clear" w:pos="720"/>
          <w:tab w:val="left" w:pos="540"/>
        </w:tabs>
        <w:ind w:left="540" w:hanging="540"/>
        <w:jc w:val="left"/>
      </w:pPr>
      <w:r>
        <w:tab/>
      </w:r>
      <w:r w:rsidR="00A21EEB" w:rsidRPr="00A21EEB">
        <w:t>This approval is not being sought.</w:t>
      </w:r>
      <w:r w:rsidR="00A60C82" w:rsidRPr="00A60C82">
        <w:t xml:space="preserve"> The forms on the website have expiration dates.</w:t>
      </w:r>
      <w:r w:rsidR="00A60C82">
        <w:t xml:space="preserve"> </w:t>
      </w:r>
    </w:p>
    <w:p w:rsidR="004864A8" w:rsidRDefault="004864A8" w:rsidP="000A4B9E">
      <w:pPr>
        <w:pStyle w:val="BodyTextIndent3"/>
        <w:tabs>
          <w:tab w:val="clear" w:pos="0"/>
          <w:tab w:val="clear" w:pos="244"/>
          <w:tab w:val="clear" w:pos="720"/>
          <w:tab w:val="left" w:pos="540"/>
        </w:tabs>
        <w:ind w:left="540" w:hanging="540"/>
        <w:jc w:val="left"/>
      </w:pPr>
    </w:p>
    <w:p w:rsidR="004864A8" w:rsidRPr="00C612CA" w:rsidRDefault="004864A8" w:rsidP="00EB1ABA">
      <w:pPr>
        <w:pStyle w:val="BodyTextIndent3"/>
        <w:numPr>
          <w:ilvl w:val="0"/>
          <w:numId w:val="11"/>
        </w:numPr>
        <w:tabs>
          <w:tab w:val="clear" w:pos="0"/>
          <w:tab w:val="clear" w:pos="244"/>
          <w:tab w:val="clear" w:pos="720"/>
          <w:tab w:val="left" w:pos="540"/>
        </w:tabs>
        <w:ind w:left="540" w:hanging="540"/>
        <w:jc w:val="left"/>
      </w:pPr>
      <w:r w:rsidRPr="00C612CA">
        <w:rPr>
          <w:u w:val="single"/>
        </w:rPr>
        <w:lastRenderedPageBreak/>
        <w:t>Exceptions to certification requirement of OMB Form 83-I</w:t>
      </w:r>
    </w:p>
    <w:p w:rsidR="004864A8" w:rsidRDefault="004864A8" w:rsidP="000A4B9E">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B0028E" w:rsidRDefault="004864A8" w:rsidP="000A4B9E">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r>
        <w:tab/>
      </w:r>
      <w:r w:rsidR="00B0028E">
        <w:t>Regarding this request for OMB approval, there are no exceptions to the certification statement in item 19 of Form 83-I.</w:t>
      </w:r>
    </w:p>
    <w:p w:rsidR="00A21EEB" w:rsidRDefault="00A21EEB" w:rsidP="000A4B9E">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A21EEB" w:rsidRDefault="00510EFB" w:rsidP="00A21EEB">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March</w:t>
      </w:r>
      <w:r w:rsidR="00AC6030">
        <w:t xml:space="preserve"> 201</w:t>
      </w:r>
      <w:r w:rsidR="007E1B92">
        <w:t>7</w:t>
      </w:r>
    </w:p>
    <w:p w:rsidR="00A21EEB" w:rsidRDefault="00A21EEB" w:rsidP="000A4B9E">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strike/>
        </w:rPr>
      </w:pPr>
    </w:p>
    <w:p w:rsidR="00136C25" w:rsidRDefault="004D0722" w:rsidP="004D0722">
      <w:pPr>
        <w:pStyle w:val="Header"/>
        <w:widowControl/>
        <w:tabs>
          <w:tab w:val="clear" w:pos="4320"/>
          <w:tab w:val="left" w:pos="0"/>
          <w:tab w:val="center" w:pos="4680"/>
          <w:tab w:val="left" w:pos="5040"/>
          <w:tab w:val="left" w:pos="5760"/>
          <w:tab w:val="left" w:pos="6480"/>
          <w:tab w:val="left" w:pos="7200"/>
          <w:tab w:val="left" w:pos="7920"/>
          <w:tab w:val="left" w:pos="8640"/>
          <w:tab w:val="left" w:pos="9360"/>
        </w:tabs>
      </w:pPr>
      <w:r>
        <w:tab/>
      </w:r>
    </w:p>
    <w:sectPr w:rsidR="00136C25">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296"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08C" w:rsidRDefault="000D308C">
      <w:r>
        <w:separator/>
      </w:r>
    </w:p>
  </w:endnote>
  <w:endnote w:type="continuationSeparator" w:id="0">
    <w:p w:rsidR="000D308C" w:rsidRDefault="000D3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AD8" w:rsidRDefault="002D5A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AD8" w:rsidRDefault="002D5A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AD8" w:rsidRDefault="002D5A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08C" w:rsidRDefault="000D308C">
      <w:r>
        <w:separator/>
      </w:r>
    </w:p>
  </w:footnote>
  <w:footnote w:type="continuationSeparator" w:id="0">
    <w:p w:rsidR="000D308C" w:rsidRDefault="000D3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4E6" w:rsidRDefault="009724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9724E6" w:rsidRDefault="009724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4E6" w:rsidRDefault="009724E6">
    <w:pPr>
      <w:framePr w:wrap="around" w:vAnchor="text" w:hAnchor="margin" w:xAlign="center" w:y="1"/>
      <w:pBdr>
        <w:top w:val="single" w:sz="6" w:space="0" w:color="FFFFFF"/>
        <w:left w:val="single" w:sz="6" w:space="0" w:color="FFFFFF"/>
        <w:bottom w:val="single" w:sz="6" w:space="0" w:color="FFFFFF"/>
        <w:right w:val="single" w:sz="6" w:space="0" w:color="FFFFFF"/>
      </w:pBdr>
      <w:jc w:val="center"/>
    </w:pPr>
    <w:r>
      <w:t>-</w:t>
    </w:r>
    <w:r>
      <w:fldChar w:fldCharType="begin"/>
    </w:r>
    <w:r>
      <w:instrText xml:space="preserve">PAGE </w:instrText>
    </w:r>
    <w:r>
      <w:fldChar w:fldCharType="separate"/>
    </w:r>
    <w:r w:rsidR="009E1366">
      <w:rPr>
        <w:noProof/>
      </w:rPr>
      <w:t>2</w:t>
    </w:r>
    <w:r>
      <w:fldChar w:fldCharType="end"/>
    </w:r>
    <w:r>
      <w:t>-</w:t>
    </w:r>
  </w:p>
  <w:p w:rsidR="009724E6" w:rsidRDefault="009724E6">
    <w:pPr>
      <w:framePr w:w="9360" w:wrap="notBeside" w:vAnchor="text" w:hAnchor="margin" w:x="1" w:y="1"/>
      <w:pBdr>
        <w:top w:val="single" w:sz="6" w:space="0" w:color="FFFFFF"/>
        <w:left w:val="single" w:sz="6" w:space="0" w:color="FFFFFF"/>
        <w:bottom w:val="single" w:sz="6" w:space="0" w:color="FFFFFF"/>
        <w:right w:val="single" w:sz="6" w:space="0" w:color="FFFFFF"/>
      </w:pBdr>
      <w:jc w:val="center"/>
    </w:pPr>
  </w:p>
  <w:p w:rsidR="009724E6" w:rsidRDefault="009724E6">
    <w:pPr>
      <w:rPr>
        <w:rFonts w:ascii="Courier" w:hAnsi="Courier"/>
      </w:rPr>
    </w:pPr>
  </w:p>
  <w:p w:rsidR="009724E6" w:rsidRDefault="009724E6">
    <w:pPr>
      <w:spacing w:line="240" w:lineRule="exact"/>
      <w:rPr>
        <w:rFonts w:ascii="Courier" w:hAnsi="Couri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AD8" w:rsidRDefault="002D5A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67EBA"/>
    <w:multiLevelType w:val="hybridMultilevel"/>
    <w:tmpl w:val="15081BD4"/>
    <w:lvl w:ilvl="0" w:tplc="DDE2CA36">
      <w:start w:val="1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A1E4F63"/>
    <w:multiLevelType w:val="singleLevel"/>
    <w:tmpl w:val="9E6067E8"/>
    <w:lvl w:ilvl="0">
      <w:start w:val="14"/>
      <w:numFmt w:val="decimal"/>
      <w:lvlText w:val="%1."/>
      <w:lvlJc w:val="left"/>
      <w:pPr>
        <w:tabs>
          <w:tab w:val="num" w:pos="725"/>
        </w:tabs>
        <w:ind w:left="725" w:hanging="480"/>
      </w:pPr>
      <w:rPr>
        <w:rFonts w:cs="Times New Roman" w:hint="default"/>
      </w:rPr>
    </w:lvl>
  </w:abstractNum>
  <w:abstractNum w:abstractNumId="2">
    <w:nsid w:val="0EEF136B"/>
    <w:multiLevelType w:val="hybridMultilevel"/>
    <w:tmpl w:val="6D58218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15801024"/>
    <w:multiLevelType w:val="multilevel"/>
    <w:tmpl w:val="9F7E4126"/>
    <w:lvl w:ilvl="0">
      <w:start w:val="3"/>
      <w:numFmt w:val="decimal"/>
      <w:lvlText w:val="%1."/>
      <w:lvlJc w:val="left"/>
      <w:pPr>
        <w:tabs>
          <w:tab w:val="num" w:pos="725"/>
        </w:tabs>
        <w:ind w:left="725" w:hanging="480"/>
      </w:pPr>
      <w:rPr>
        <w:rFonts w:cs="Times New Roman" w:hint="default"/>
      </w:rPr>
    </w:lvl>
    <w:lvl w:ilvl="1">
      <w:start w:val="2"/>
      <w:numFmt w:val="decimal"/>
      <w:lvlText w:val="%2"/>
      <w:lvlJc w:val="left"/>
      <w:pPr>
        <w:tabs>
          <w:tab w:val="num" w:pos="1440"/>
        </w:tabs>
        <w:ind w:left="1440" w:hanging="360"/>
      </w:pPr>
      <w:rPr>
        <w:rFonts w:cs="Times New Roman" w:hint="default"/>
        <w:u w:val="singl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3D1A4756"/>
    <w:multiLevelType w:val="hybridMultilevel"/>
    <w:tmpl w:val="09B6C56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D273B6D"/>
    <w:multiLevelType w:val="hybridMultilevel"/>
    <w:tmpl w:val="4FE4371E"/>
    <w:lvl w:ilvl="0" w:tplc="0409000F">
      <w:start w:val="1"/>
      <w:numFmt w:val="decimal"/>
      <w:lvlText w:val="%1."/>
      <w:lvlJc w:val="left"/>
      <w:pPr>
        <w:tabs>
          <w:tab w:val="num" w:pos="720"/>
        </w:tabs>
        <w:ind w:left="720" w:hanging="360"/>
      </w:pPr>
      <w:rPr>
        <w:rFonts w:cs="Times New Roman" w:hint="default"/>
        <w:u w:val="none"/>
      </w:rPr>
    </w:lvl>
    <w:lvl w:ilvl="1" w:tplc="0CCE8F06">
      <w:start w:val="2"/>
      <w:numFmt w:val="decimal"/>
      <w:lvlText w:val="%2"/>
      <w:lvlJc w:val="left"/>
      <w:pPr>
        <w:tabs>
          <w:tab w:val="num" w:pos="1440"/>
        </w:tabs>
        <w:ind w:left="1440" w:hanging="360"/>
      </w:pPr>
      <w:rPr>
        <w:rFonts w:cs="Times New Roman" w:hint="default"/>
        <w:u w:val="singl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AAC5B75"/>
    <w:multiLevelType w:val="hybridMultilevel"/>
    <w:tmpl w:val="820EDC70"/>
    <w:lvl w:ilvl="0" w:tplc="0409000F">
      <w:start w:val="1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A4C6B94"/>
    <w:multiLevelType w:val="hybridMultilevel"/>
    <w:tmpl w:val="F5EC0FE2"/>
    <w:lvl w:ilvl="0" w:tplc="1822507C">
      <w:start w:val="1"/>
      <w:numFmt w:val="decimal"/>
      <w:lvlText w:val="%1."/>
      <w:lvlJc w:val="left"/>
      <w:pPr>
        <w:ind w:left="725" w:hanging="480"/>
      </w:pPr>
      <w:rPr>
        <w:rFonts w:cs="Times New Roman" w:hint="default"/>
      </w:rPr>
    </w:lvl>
    <w:lvl w:ilvl="1" w:tplc="04090019" w:tentative="1">
      <w:start w:val="1"/>
      <w:numFmt w:val="lowerLetter"/>
      <w:lvlText w:val="%2."/>
      <w:lvlJc w:val="left"/>
      <w:pPr>
        <w:ind w:left="1325" w:hanging="360"/>
      </w:pPr>
      <w:rPr>
        <w:rFonts w:cs="Times New Roman"/>
      </w:rPr>
    </w:lvl>
    <w:lvl w:ilvl="2" w:tplc="0409001B" w:tentative="1">
      <w:start w:val="1"/>
      <w:numFmt w:val="lowerRoman"/>
      <w:lvlText w:val="%3."/>
      <w:lvlJc w:val="right"/>
      <w:pPr>
        <w:ind w:left="2045" w:hanging="180"/>
      </w:pPr>
      <w:rPr>
        <w:rFonts w:cs="Times New Roman"/>
      </w:rPr>
    </w:lvl>
    <w:lvl w:ilvl="3" w:tplc="0409000F" w:tentative="1">
      <w:start w:val="1"/>
      <w:numFmt w:val="decimal"/>
      <w:lvlText w:val="%4."/>
      <w:lvlJc w:val="left"/>
      <w:pPr>
        <w:ind w:left="2765" w:hanging="360"/>
      </w:pPr>
      <w:rPr>
        <w:rFonts w:cs="Times New Roman"/>
      </w:rPr>
    </w:lvl>
    <w:lvl w:ilvl="4" w:tplc="04090019" w:tentative="1">
      <w:start w:val="1"/>
      <w:numFmt w:val="lowerLetter"/>
      <w:lvlText w:val="%5."/>
      <w:lvlJc w:val="left"/>
      <w:pPr>
        <w:ind w:left="3485" w:hanging="360"/>
      </w:pPr>
      <w:rPr>
        <w:rFonts w:cs="Times New Roman"/>
      </w:rPr>
    </w:lvl>
    <w:lvl w:ilvl="5" w:tplc="0409001B" w:tentative="1">
      <w:start w:val="1"/>
      <w:numFmt w:val="lowerRoman"/>
      <w:lvlText w:val="%6."/>
      <w:lvlJc w:val="right"/>
      <w:pPr>
        <w:ind w:left="4205" w:hanging="180"/>
      </w:pPr>
      <w:rPr>
        <w:rFonts w:cs="Times New Roman"/>
      </w:rPr>
    </w:lvl>
    <w:lvl w:ilvl="6" w:tplc="0409000F" w:tentative="1">
      <w:start w:val="1"/>
      <w:numFmt w:val="decimal"/>
      <w:lvlText w:val="%7."/>
      <w:lvlJc w:val="left"/>
      <w:pPr>
        <w:ind w:left="4925" w:hanging="360"/>
      </w:pPr>
      <w:rPr>
        <w:rFonts w:cs="Times New Roman"/>
      </w:rPr>
    </w:lvl>
    <w:lvl w:ilvl="7" w:tplc="04090019" w:tentative="1">
      <w:start w:val="1"/>
      <w:numFmt w:val="lowerLetter"/>
      <w:lvlText w:val="%8."/>
      <w:lvlJc w:val="left"/>
      <w:pPr>
        <w:ind w:left="5645" w:hanging="360"/>
      </w:pPr>
      <w:rPr>
        <w:rFonts w:cs="Times New Roman"/>
      </w:rPr>
    </w:lvl>
    <w:lvl w:ilvl="8" w:tplc="0409001B" w:tentative="1">
      <w:start w:val="1"/>
      <w:numFmt w:val="lowerRoman"/>
      <w:lvlText w:val="%9."/>
      <w:lvlJc w:val="right"/>
      <w:pPr>
        <w:ind w:left="6365" w:hanging="180"/>
      </w:pPr>
      <w:rPr>
        <w:rFonts w:cs="Times New Roman"/>
      </w:rPr>
    </w:lvl>
  </w:abstractNum>
  <w:abstractNum w:abstractNumId="8">
    <w:nsid w:val="611071DF"/>
    <w:multiLevelType w:val="hybridMultilevel"/>
    <w:tmpl w:val="38603CAC"/>
    <w:lvl w:ilvl="0" w:tplc="0409000F">
      <w:start w:val="1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3054970"/>
    <w:multiLevelType w:val="hybridMultilevel"/>
    <w:tmpl w:val="1B60AB64"/>
    <w:lvl w:ilvl="0" w:tplc="0409000F">
      <w:start w:val="1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7A537AE"/>
    <w:multiLevelType w:val="hybridMultilevel"/>
    <w:tmpl w:val="AB3836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7"/>
  </w:num>
  <w:num w:numId="4">
    <w:abstractNumId w:val="5"/>
  </w:num>
  <w:num w:numId="5">
    <w:abstractNumId w:val="8"/>
  </w:num>
  <w:num w:numId="6">
    <w:abstractNumId w:val="6"/>
  </w:num>
  <w:num w:numId="7">
    <w:abstractNumId w:val="9"/>
  </w:num>
  <w:num w:numId="8">
    <w:abstractNumId w:val="2"/>
  </w:num>
  <w:num w:numId="9">
    <w:abstractNumId w:val="4"/>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35D"/>
    <w:rsid w:val="0000481B"/>
    <w:rsid w:val="00013AF7"/>
    <w:rsid w:val="00020158"/>
    <w:rsid w:val="00020B04"/>
    <w:rsid w:val="000249CF"/>
    <w:rsid w:val="00025295"/>
    <w:rsid w:val="00030EB9"/>
    <w:rsid w:val="0003579A"/>
    <w:rsid w:val="00037D50"/>
    <w:rsid w:val="00055CB8"/>
    <w:rsid w:val="0005604C"/>
    <w:rsid w:val="00061273"/>
    <w:rsid w:val="00065DBE"/>
    <w:rsid w:val="00067ADE"/>
    <w:rsid w:val="00072080"/>
    <w:rsid w:val="00073B18"/>
    <w:rsid w:val="00073C38"/>
    <w:rsid w:val="000763F4"/>
    <w:rsid w:val="0008531E"/>
    <w:rsid w:val="00087238"/>
    <w:rsid w:val="00087D6D"/>
    <w:rsid w:val="00090722"/>
    <w:rsid w:val="00090B85"/>
    <w:rsid w:val="0009645F"/>
    <w:rsid w:val="000966F3"/>
    <w:rsid w:val="000A4B9E"/>
    <w:rsid w:val="000A7F94"/>
    <w:rsid w:val="000B0309"/>
    <w:rsid w:val="000B1EA4"/>
    <w:rsid w:val="000C1FAB"/>
    <w:rsid w:val="000D308C"/>
    <w:rsid w:val="00105DBB"/>
    <w:rsid w:val="00107807"/>
    <w:rsid w:val="001114AD"/>
    <w:rsid w:val="00116B07"/>
    <w:rsid w:val="00121116"/>
    <w:rsid w:val="00136C25"/>
    <w:rsid w:val="001452B0"/>
    <w:rsid w:val="00147181"/>
    <w:rsid w:val="00147D25"/>
    <w:rsid w:val="001510DC"/>
    <w:rsid w:val="00151ECB"/>
    <w:rsid w:val="00153236"/>
    <w:rsid w:val="0015331D"/>
    <w:rsid w:val="00160A39"/>
    <w:rsid w:val="001614E7"/>
    <w:rsid w:val="00170240"/>
    <w:rsid w:val="00172F5F"/>
    <w:rsid w:val="0017663D"/>
    <w:rsid w:val="00176992"/>
    <w:rsid w:val="00184A80"/>
    <w:rsid w:val="0018654E"/>
    <w:rsid w:val="001A1713"/>
    <w:rsid w:val="001A4C5B"/>
    <w:rsid w:val="001A6A4E"/>
    <w:rsid w:val="001A726E"/>
    <w:rsid w:val="001B5669"/>
    <w:rsid w:val="001C01B0"/>
    <w:rsid w:val="001C0F17"/>
    <w:rsid w:val="001C38BD"/>
    <w:rsid w:val="001D3B61"/>
    <w:rsid w:val="001D458E"/>
    <w:rsid w:val="001D49BC"/>
    <w:rsid w:val="001E1341"/>
    <w:rsid w:val="001F1439"/>
    <w:rsid w:val="00207A04"/>
    <w:rsid w:val="00221563"/>
    <w:rsid w:val="00222D77"/>
    <w:rsid w:val="00223D95"/>
    <w:rsid w:val="0022573E"/>
    <w:rsid w:val="0023156A"/>
    <w:rsid w:val="00232CD9"/>
    <w:rsid w:val="00237A3A"/>
    <w:rsid w:val="00246687"/>
    <w:rsid w:val="00246D02"/>
    <w:rsid w:val="00246D06"/>
    <w:rsid w:val="00255BC8"/>
    <w:rsid w:val="002603EF"/>
    <w:rsid w:val="002769A1"/>
    <w:rsid w:val="00281BDD"/>
    <w:rsid w:val="00282B9E"/>
    <w:rsid w:val="0028480A"/>
    <w:rsid w:val="0028643E"/>
    <w:rsid w:val="00292A0E"/>
    <w:rsid w:val="002A2CD6"/>
    <w:rsid w:val="002A5351"/>
    <w:rsid w:val="002A683D"/>
    <w:rsid w:val="002B1C7B"/>
    <w:rsid w:val="002B253D"/>
    <w:rsid w:val="002B387B"/>
    <w:rsid w:val="002B4D87"/>
    <w:rsid w:val="002B5409"/>
    <w:rsid w:val="002C27FA"/>
    <w:rsid w:val="002C5788"/>
    <w:rsid w:val="002D03DB"/>
    <w:rsid w:val="002D5AD8"/>
    <w:rsid w:val="00303F5B"/>
    <w:rsid w:val="00306CAE"/>
    <w:rsid w:val="00311E4A"/>
    <w:rsid w:val="003149E0"/>
    <w:rsid w:val="00323E7C"/>
    <w:rsid w:val="00327041"/>
    <w:rsid w:val="00332FFE"/>
    <w:rsid w:val="00337D7C"/>
    <w:rsid w:val="003422F3"/>
    <w:rsid w:val="00352986"/>
    <w:rsid w:val="00355A4C"/>
    <w:rsid w:val="00361AAD"/>
    <w:rsid w:val="00367E75"/>
    <w:rsid w:val="003811CA"/>
    <w:rsid w:val="0038129E"/>
    <w:rsid w:val="0038207A"/>
    <w:rsid w:val="0038360B"/>
    <w:rsid w:val="003838CC"/>
    <w:rsid w:val="00392922"/>
    <w:rsid w:val="003A24A0"/>
    <w:rsid w:val="003A73C0"/>
    <w:rsid w:val="003E2871"/>
    <w:rsid w:val="003E4D91"/>
    <w:rsid w:val="003E7180"/>
    <w:rsid w:val="003F1489"/>
    <w:rsid w:val="003F332E"/>
    <w:rsid w:val="003F34FE"/>
    <w:rsid w:val="0040095C"/>
    <w:rsid w:val="00401A37"/>
    <w:rsid w:val="00410108"/>
    <w:rsid w:val="0041341D"/>
    <w:rsid w:val="004225F2"/>
    <w:rsid w:val="0042546D"/>
    <w:rsid w:val="004376C8"/>
    <w:rsid w:val="004436C1"/>
    <w:rsid w:val="00447E3C"/>
    <w:rsid w:val="004624C1"/>
    <w:rsid w:val="00475E53"/>
    <w:rsid w:val="00483EDB"/>
    <w:rsid w:val="004864A8"/>
    <w:rsid w:val="00492339"/>
    <w:rsid w:val="00496B9D"/>
    <w:rsid w:val="004A5952"/>
    <w:rsid w:val="004B1D7D"/>
    <w:rsid w:val="004C0D72"/>
    <w:rsid w:val="004C2AC2"/>
    <w:rsid w:val="004D0722"/>
    <w:rsid w:val="004D2192"/>
    <w:rsid w:val="004E3B2F"/>
    <w:rsid w:val="004E5196"/>
    <w:rsid w:val="004F1D25"/>
    <w:rsid w:val="004F7ADD"/>
    <w:rsid w:val="004F7FBE"/>
    <w:rsid w:val="00507552"/>
    <w:rsid w:val="005079E7"/>
    <w:rsid w:val="00510EFB"/>
    <w:rsid w:val="005148C7"/>
    <w:rsid w:val="00521FA3"/>
    <w:rsid w:val="00522FF6"/>
    <w:rsid w:val="005248DF"/>
    <w:rsid w:val="00531A1A"/>
    <w:rsid w:val="0053533B"/>
    <w:rsid w:val="005361DF"/>
    <w:rsid w:val="00551987"/>
    <w:rsid w:val="00555787"/>
    <w:rsid w:val="0057001C"/>
    <w:rsid w:val="00571BED"/>
    <w:rsid w:val="00572C64"/>
    <w:rsid w:val="005763ED"/>
    <w:rsid w:val="00582870"/>
    <w:rsid w:val="005D668B"/>
    <w:rsid w:val="005E7CFE"/>
    <w:rsid w:val="005F4598"/>
    <w:rsid w:val="005F599E"/>
    <w:rsid w:val="00600E29"/>
    <w:rsid w:val="00601A52"/>
    <w:rsid w:val="00605B99"/>
    <w:rsid w:val="00611CD7"/>
    <w:rsid w:val="00633BF8"/>
    <w:rsid w:val="006427FE"/>
    <w:rsid w:val="006472EF"/>
    <w:rsid w:val="006505B4"/>
    <w:rsid w:val="00651092"/>
    <w:rsid w:val="006526C4"/>
    <w:rsid w:val="00655152"/>
    <w:rsid w:val="00655C34"/>
    <w:rsid w:val="00657012"/>
    <w:rsid w:val="006663C0"/>
    <w:rsid w:val="00674588"/>
    <w:rsid w:val="00675358"/>
    <w:rsid w:val="0067628F"/>
    <w:rsid w:val="006772DB"/>
    <w:rsid w:val="00693CCF"/>
    <w:rsid w:val="006A1818"/>
    <w:rsid w:val="006A5365"/>
    <w:rsid w:val="006B25B0"/>
    <w:rsid w:val="006B2AE2"/>
    <w:rsid w:val="006C4417"/>
    <w:rsid w:val="006C473C"/>
    <w:rsid w:val="006C6BDB"/>
    <w:rsid w:val="006D308B"/>
    <w:rsid w:val="006D3EE8"/>
    <w:rsid w:val="006E4287"/>
    <w:rsid w:val="006F3CD0"/>
    <w:rsid w:val="006F44AC"/>
    <w:rsid w:val="0070683C"/>
    <w:rsid w:val="00707D6B"/>
    <w:rsid w:val="00712B04"/>
    <w:rsid w:val="00713BC4"/>
    <w:rsid w:val="007165F4"/>
    <w:rsid w:val="00730F14"/>
    <w:rsid w:val="00740CEA"/>
    <w:rsid w:val="007528C5"/>
    <w:rsid w:val="007624BB"/>
    <w:rsid w:val="0076443C"/>
    <w:rsid w:val="00764E04"/>
    <w:rsid w:val="007844F4"/>
    <w:rsid w:val="00784568"/>
    <w:rsid w:val="007A3BD9"/>
    <w:rsid w:val="007A6DDC"/>
    <w:rsid w:val="007C3812"/>
    <w:rsid w:val="007D22B5"/>
    <w:rsid w:val="007D28DA"/>
    <w:rsid w:val="007E1B92"/>
    <w:rsid w:val="007F1276"/>
    <w:rsid w:val="007F5FE4"/>
    <w:rsid w:val="00805852"/>
    <w:rsid w:val="00815CF4"/>
    <w:rsid w:val="00816B8C"/>
    <w:rsid w:val="008258B5"/>
    <w:rsid w:val="008268BA"/>
    <w:rsid w:val="0083442E"/>
    <w:rsid w:val="0083502B"/>
    <w:rsid w:val="0084317B"/>
    <w:rsid w:val="00845382"/>
    <w:rsid w:val="0085708C"/>
    <w:rsid w:val="00864865"/>
    <w:rsid w:val="00864BB3"/>
    <w:rsid w:val="00873A56"/>
    <w:rsid w:val="008777C6"/>
    <w:rsid w:val="00886623"/>
    <w:rsid w:val="00886DBC"/>
    <w:rsid w:val="00892D7C"/>
    <w:rsid w:val="008A6257"/>
    <w:rsid w:val="008B10B3"/>
    <w:rsid w:val="008B245A"/>
    <w:rsid w:val="008B3814"/>
    <w:rsid w:val="008B3E68"/>
    <w:rsid w:val="008C2DC5"/>
    <w:rsid w:val="008C3122"/>
    <w:rsid w:val="008C6F43"/>
    <w:rsid w:val="008D24BE"/>
    <w:rsid w:val="008E217C"/>
    <w:rsid w:val="008E7C3C"/>
    <w:rsid w:val="008F0072"/>
    <w:rsid w:val="008F3D25"/>
    <w:rsid w:val="008F6385"/>
    <w:rsid w:val="008F65D4"/>
    <w:rsid w:val="009017AA"/>
    <w:rsid w:val="009113FB"/>
    <w:rsid w:val="00912E47"/>
    <w:rsid w:val="00920BB0"/>
    <w:rsid w:val="00935F75"/>
    <w:rsid w:val="009464A0"/>
    <w:rsid w:val="009509F6"/>
    <w:rsid w:val="009538B7"/>
    <w:rsid w:val="0095392A"/>
    <w:rsid w:val="00961BDF"/>
    <w:rsid w:val="00970119"/>
    <w:rsid w:val="00971AEF"/>
    <w:rsid w:val="009724E6"/>
    <w:rsid w:val="009763C0"/>
    <w:rsid w:val="009872C0"/>
    <w:rsid w:val="00990296"/>
    <w:rsid w:val="009930B7"/>
    <w:rsid w:val="00994C7A"/>
    <w:rsid w:val="00997220"/>
    <w:rsid w:val="009A1CDE"/>
    <w:rsid w:val="009A4803"/>
    <w:rsid w:val="009B51DA"/>
    <w:rsid w:val="009C4F44"/>
    <w:rsid w:val="009D2D83"/>
    <w:rsid w:val="009E1366"/>
    <w:rsid w:val="009E5318"/>
    <w:rsid w:val="009F53B1"/>
    <w:rsid w:val="009F7845"/>
    <w:rsid w:val="00A0138B"/>
    <w:rsid w:val="00A02301"/>
    <w:rsid w:val="00A07B87"/>
    <w:rsid w:val="00A14133"/>
    <w:rsid w:val="00A21EEB"/>
    <w:rsid w:val="00A2221B"/>
    <w:rsid w:val="00A53BC6"/>
    <w:rsid w:val="00A54E10"/>
    <w:rsid w:val="00A60C82"/>
    <w:rsid w:val="00A64687"/>
    <w:rsid w:val="00A647DC"/>
    <w:rsid w:val="00A72F38"/>
    <w:rsid w:val="00A741B7"/>
    <w:rsid w:val="00A8598F"/>
    <w:rsid w:val="00A86D5F"/>
    <w:rsid w:val="00AA484C"/>
    <w:rsid w:val="00AB12AD"/>
    <w:rsid w:val="00AB52FB"/>
    <w:rsid w:val="00AB6E7E"/>
    <w:rsid w:val="00AC1E05"/>
    <w:rsid w:val="00AC38D9"/>
    <w:rsid w:val="00AC408A"/>
    <w:rsid w:val="00AC6030"/>
    <w:rsid w:val="00AD4A21"/>
    <w:rsid w:val="00AD64D3"/>
    <w:rsid w:val="00AE231A"/>
    <w:rsid w:val="00AE6A31"/>
    <w:rsid w:val="00AF2EFD"/>
    <w:rsid w:val="00B0028E"/>
    <w:rsid w:val="00B21BC8"/>
    <w:rsid w:val="00B30307"/>
    <w:rsid w:val="00B30B10"/>
    <w:rsid w:val="00B453AD"/>
    <w:rsid w:val="00B62262"/>
    <w:rsid w:val="00B635AE"/>
    <w:rsid w:val="00B712B0"/>
    <w:rsid w:val="00B81FD3"/>
    <w:rsid w:val="00B83C9F"/>
    <w:rsid w:val="00B83D29"/>
    <w:rsid w:val="00BA235D"/>
    <w:rsid w:val="00BB2651"/>
    <w:rsid w:val="00BC41ED"/>
    <w:rsid w:val="00C15CAE"/>
    <w:rsid w:val="00C173F1"/>
    <w:rsid w:val="00C31CD6"/>
    <w:rsid w:val="00C36E60"/>
    <w:rsid w:val="00C40042"/>
    <w:rsid w:val="00C43991"/>
    <w:rsid w:val="00C4567C"/>
    <w:rsid w:val="00C526A4"/>
    <w:rsid w:val="00C57211"/>
    <w:rsid w:val="00C612CA"/>
    <w:rsid w:val="00C8552B"/>
    <w:rsid w:val="00C93190"/>
    <w:rsid w:val="00C967F1"/>
    <w:rsid w:val="00C9727F"/>
    <w:rsid w:val="00CA0896"/>
    <w:rsid w:val="00CB7D2A"/>
    <w:rsid w:val="00CD5C72"/>
    <w:rsid w:val="00CF4B4C"/>
    <w:rsid w:val="00D051FB"/>
    <w:rsid w:val="00D160EC"/>
    <w:rsid w:val="00D16C87"/>
    <w:rsid w:val="00D20EE5"/>
    <w:rsid w:val="00D32D0A"/>
    <w:rsid w:val="00D35127"/>
    <w:rsid w:val="00D50072"/>
    <w:rsid w:val="00D66AB5"/>
    <w:rsid w:val="00D72BE7"/>
    <w:rsid w:val="00D869E2"/>
    <w:rsid w:val="00D9673B"/>
    <w:rsid w:val="00DA3794"/>
    <w:rsid w:val="00DA4FCA"/>
    <w:rsid w:val="00DA78DB"/>
    <w:rsid w:val="00DB055B"/>
    <w:rsid w:val="00DB2711"/>
    <w:rsid w:val="00DB50F4"/>
    <w:rsid w:val="00DB52DA"/>
    <w:rsid w:val="00DB7869"/>
    <w:rsid w:val="00DB7D78"/>
    <w:rsid w:val="00DC16F7"/>
    <w:rsid w:val="00DC3E95"/>
    <w:rsid w:val="00DC734F"/>
    <w:rsid w:val="00DD3DFF"/>
    <w:rsid w:val="00DD5431"/>
    <w:rsid w:val="00DE26E5"/>
    <w:rsid w:val="00DE5EC2"/>
    <w:rsid w:val="00DF2350"/>
    <w:rsid w:val="00DF3379"/>
    <w:rsid w:val="00DF437F"/>
    <w:rsid w:val="00E012ED"/>
    <w:rsid w:val="00E068D0"/>
    <w:rsid w:val="00E07D1F"/>
    <w:rsid w:val="00E11397"/>
    <w:rsid w:val="00E2121D"/>
    <w:rsid w:val="00E534A7"/>
    <w:rsid w:val="00E57661"/>
    <w:rsid w:val="00E65EFE"/>
    <w:rsid w:val="00E70000"/>
    <w:rsid w:val="00E71AA1"/>
    <w:rsid w:val="00E85A7D"/>
    <w:rsid w:val="00E91D7D"/>
    <w:rsid w:val="00E944DE"/>
    <w:rsid w:val="00EB1ABA"/>
    <w:rsid w:val="00EB4D39"/>
    <w:rsid w:val="00EC630B"/>
    <w:rsid w:val="00EC79A0"/>
    <w:rsid w:val="00EE1C69"/>
    <w:rsid w:val="00EF44FB"/>
    <w:rsid w:val="00F138E7"/>
    <w:rsid w:val="00F25E40"/>
    <w:rsid w:val="00F330A1"/>
    <w:rsid w:val="00F43A29"/>
    <w:rsid w:val="00F449ED"/>
    <w:rsid w:val="00F54B45"/>
    <w:rsid w:val="00F57135"/>
    <w:rsid w:val="00F66E25"/>
    <w:rsid w:val="00F85FE2"/>
    <w:rsid w:val="00F86DBD"/>
    <w:rsid w:val="00FA2D76"/>
    <w:rsid w:val="00FB49B2"/>
    <w:rsid w:val="00FB5A8A"/>
    <w:rsid w:val="00FC4952"/>
    <w:rsid w:val="00FD2414"/>
    <w:rsid w:val="00FE128E"/>
    <w:rsid w:val="00FE335D"/>
    <w:rsid w:val="00FE4FFE"/>
    <w:rsid w:val="00FE621A"/>
    <w:rsid w:val="00FE7D59"/>
    <w:rsid w:val="00FF3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paragraph" w:styleId="BodyTextIndent">
    <w:name w:val="Body Text Indent"/>
    <w:basedOn w:val="Normal"/>
    <w:link w:val="BodyTextIndent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BodyTextIndent2">
    <w:name w:val="Body Text Indent 2"/>
    <w:basedOn w:val="Normal"/>
    <w:link w:val="BodyTextIndent2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odyTextIndent3">
    <w:name w:val="Body Text Indent 3"/>
    <w:basedOn w:val="Normal"/>
    <w:link w:val="BodyTextIndent3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5"/>
      <w:jc w:val="both"/>
    </w:pPr>
  </w:style>
  <w:style w:type="character" w:customStyle="1" w:styleId="BodyTextIndent3Char">
    <w:name w:val="Body Text Indent 3 Char"/>
    <w:basedOn w:val="DefaultParagraphFont"/>
    <w:link w:val="BodyTextIndent3"/>
    <w:uiPriority w:val="99"/>
    <w:semiHidden/>
    <w:locked/>
    <w:rPr>
      <w:rFonts w:cs="Times New Roman"/>
      <w:sz w:val="16"/>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sid w:val="00A72F3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ListParagraph">
    <w:name w:val="List Paragraph"/>
    <w:basedOn w:val="Normal"/>
    <w:uiPriority w:val="34"/>
    <w:qFormat/>
    <w:rsid w:val="00EC630B"/>
    <w:pPr>
      <w:widowControl/>
      <w:spacing w:after="200" w:line="276" w:lineRule="auto"/>
      <w:ind w:left="720"/>
      <w:contextualSpacing/>
    </w:pPr>
    <w:rPr>
      <w:rFonts w:ascii="Calibri" w:hAnsi="Calibri"/>
      <w:sz w:val="22"/>
      <w:szCs w:val="22"/>
    </w:rPr>
  </w:style>
  <w:style w:type="table" w:styleId="TableGrid">
    <w:name w:val="Table Grid"/>
    <w:basedOn w:val="TableNormal"/>
    <w:uiPriority w:val="59"/>
    <w:rsid w:val="00D1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rsid w:val="001452B0"/>
    <w:rPr>
      <w:rFonts w:cs="Times New Roman"/>
    </w:rPr>
  </w:style>
  <w:style w:type="paragraph" w:styleId="Revision">
    <w:name w:val="Revision"/>
    <w:hidden/>
    <w:uiPriority w:val="99"/>
    <w:semiHidden/>
    <w:rsid w:val="004E3B2F"/>
    <w:rPr>
      <w:sz w:val="24"/>
    </w:rPr>
  </w:style>
  <w:style w:type="character" w:styleId="CommentReference">
    <w:name w:val="annotation reference"/>
    <w:basedOn w:val="DefaultParagraphFont"/>
    <w:uiPriority w:val="99"/>
    <w:rsid w:val="00B83D29"/>
    <w:rPr>
      <w:rFonts w:cs="Times New Roman"/>
      <w:sz w:val="16"/>
    </w:rPr>
  </w:style>
  <w:style w:type="paragraph" w:styleId="CommentText">
    <w:name w:val="annotation text"/>
    <w:basedOn w:val="Normal"/>
    <w:link w:val="CommentTextChar"/>
    <w:uiPriority w:val="99"/>
    <w:rsid w:val="00B83D29"/>
    <w:rPr>
      <w:sz w:val="20"/>
    </w:rPr>
  </w:style>
  <w:style w:type="character" w:customStyle="1" w:styleId="CommentTextChar">
    <w:name w:val="Comment Text Char"/>
    <w:basedOn w:val="DefaultParagraphFont"/>
    <w:link w:val="CommentText"/>
    <w:uiPriority w:val="99"/>
    <w:locked/>
    <w:rsid w:val="00B83D29"/>
    <w:rPr>
      <w:rFonts w:cs="Times New Roman"/>
    </w:rPr>
  </w:style>
  <w:style w:type="paragraph" w:styleId="CommentSubject">
    <w:name w:val="annotation subject"/>
    <w:basedOn w:val="CommentText"/>
    <w:next w:val="CommentText"/>
    <w:link w:val="CommentSubjectChar"/>
    <w:uiPriority w:val="99"/>
    <w:rsid w:val="00B83D29"/>
    <w:rPr>
      <w:b/>
      <w:bCs/>
    </w:rPr>
  </w:style>
  <w:style w:type="character" w:customStyle="1" w:styleId="CommentSubjectChar">
    <w:name w:val="Comment Subject Char"/>
    <w:basedOn w:val="CommentTextChar"/>
    <w:link w:val="CommentSubject"/>
    <w:uiPriority w:val="99"/>
    <w:locked/>
    <w:rsid w:val="00B83D29"/>
    <w:rPr>
      <w:rFonts w:cs="Times New Roman"/>
      <w:b/>
    </w:rPr>
  </w:style>
  <w:style w:type="paragraph" w:styleId="Footer">
    <w:name w:val="footer"/>
    <w:basedOn w:val="Normal"/>
    <w:link w:val="FooterChar"/>
    <w:uiPriority w:val="99"/>
    <w:rsid w:val="00492339"/>
    <w:pPr>
      <w:tabs>
        <w:tab w:val="center" w:pos="4680"/>
        <w:tab w:val="right" w:pos="9360"/>
      </w:tabs>
    </w:pPr>
  </w:style>
  <w:style w:type="character" w:customStyle="1" w:styleId="FooterChar">
    <w:name w:val="Footer Char"/>
    <w:basedOn w:val="DefaultParagraphFont"/>
    <w:link w:val="Footer"/>
    <w:uiPriority w:val="99"/>
    <w:locked/>
    <w:rsid w:val="00492339"/>
    <w:rPr>
      <w:rFonts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paragraph" w:styleId="BodyTextIndent">
    <w:name w:val="Body Text Indent"/>
    <w:basedOn w:val="Normal"/>
    <w:link w:val="BodyTextIndent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BodyTextIndent2">
    <w:name w:val="Body Text Indent 2"/>
    <w:basedOn w:val="Normal"/>
    <w:link w:val="BodyTextIndent2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odyTextIndent3">
    <w:name w:val="Body Text Indent 3"/>
    <w:basedOn w:val="Normal"/>
    <w:link w:val="BodyTextIndent3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5"/>
      <w:jc w:val="both"/>
    </w:pPr>
  </w:style>
  <w:style w:type="character" w:customStyle="1" w:styleId="BodyTextIndent3Char">
    <w:name w:val="Body Text Indent 3 Char"/>
    <w:basedOn w:val="DefaultParagraphFont"/>
    <w:link w:val="BodyTextIndent3"/>
    <w:uiPriority w:val="99"/>
    <w:semiHidden/>
    <w:locked/>
    <w:rPr>
      <w:rFonts w:cs="Times New Roman"/>
      <w:sz w:val="16"/>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sid w:val="00A72F3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ListParagraph">
    <w:name w:val="List Paragraph"/>
    <w:basedOn w:val="Normal"/>
    <w:uiPriority w:val="34"/>
    <w:qFormat/>
    <w:rsid w:val="00EC630B"/>
    <w:pPr>
      <w:widowControl/>
      <w:spacing w:after="200" w:line="276" w:lineRule="auto"/>
      <w:ind w:left="720"/>
      <w:contextualSpacing/>
    </w:pPr>
    <w:rPr>
      <w:rFonts w:ascii="Calibri" w:hAnsi="Calibri"/>
      <w:sz w:val="22"/>
      <w:szCs w:val="22"/>
    </w:rPr>
  </w:style>
  <w:style w:type="table" w:styleId="TableGrid">
    <w:name w:val="Table Grid"/>
    <w:basedOn w:val="TableNormal"/>
    <w:uiPriority w:val="59"/>
    <w:rsid w:val="00D1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rsid w:val="001452B0"/>
    <w:rPr>
      <w:rFonts w:cs="Times New Roman"/>
    </w:rPr>
  </w:style>
  <w:style w:type="paragraph" w:styleId="Revision">
    <w:name w:val="Revision"/>
    <w:hidden/>
    <w:uiPriority w:val="99"/>
    <w:semiHidden/>
    <w:rsid w:val="004E3B2F"/>
    <w:rPr>
      <w:sz w:val="24"/>
    </w:rPr>
  </w:style>
  <w:style w:type="character" w:styleId="CommentReference">
    <w:name w:val="annotation reference"/>
    <w:basedOn w:val="DefaultParagraphFont"/>
    <w:uiPriority w:val="99"/>
    <w:rsid w:val="00B83D29"/>
    <w:rPr>
      <w:rFonts w:cs="Times New Roman"/>
      <w:sz w:val="16"/>
    </w:rPr>
  </w:style>
  <w:style w:type="paragraph" w:styleId="CommentText">
    <w:name w:val="annotation text"/>
    <w:basedOn w:val="Normal"/>
    <w:link w:val="CommentTextChar"/>
    <w:uiPriority w:val="99"/>
    <w:rsid w:val="00B83D29"/>
    <w:rPr>
      <w:sz w:val="20"/>
    </w:rPr>
  </w:style>
  <w:style w:type="character" w:customStyle="1" w:styleId="CommentTextChar">
    <w:name w:val="Comment Text Char"/>
    <w:basedOn w:val="DefaultParagraphFont"/>
    <w:link w:val="CommentText"/>
    <w:uiPriority w:val="99"/>
    <w:locked/>
    <w:rsid w:val="00B83D29"/>
    <w:rPr>
      <w:rFonts w:cs="Times New Roman"/>
    </w:rPr>
  </w:style>
  <w:style w:type="paragraph" w:styleId="CommentSubject">
    <w:name w:val="annotation subject"/>
    <w:basedOn w:val="CommentText"/>
    <w:next w:val="CommentText"/>
    <w:link w:val="CommentSubjectChar"/>
    <w:uiPriority w:val="99"/>
    <w:rsid w:val="00B83D29"/>
    <w:rPr>
      <w:b/>
      <w:bCs/>
    </w:rPr>
  </w:style>
  <w:style w:type="character" w:customStyle="1" w:styleId="CommentSubjectChar">
    <w:name w:val="Comment Subject Char"/>
    <w:basedOn w:val="CommentTextChar"/>
    <w:link w:val="CommentSubject"/>
    <w:uiPriority w:val="99"/>
    <w:locked/>
    <w:rsid w:val="00B83D29"/>
    <w:rPr>
      <w:rFonts w:cs="Times New Roman"/>
      <w:b/>
    </w:rPr>
  </w:style>
  <w:style w:type="paragraph" w:styleId="Footer">
    <w:name w:val="footer"/>
    <w:basedOn w:val="Normal"/>
    <w:link w:val="FooterChar"/>
    <w:uiPriority w:val="99"/>
    <w:rsid w:val="00492339"/>
    <w:pPr>
      <w:tabs>
        <w:tab w:val="center" w:pos="4680"/>
        <w:tab w:val="right" w:pos="9360"/>
      </w:tabs>
    </w:pPr>
  </w:style>
  <w:style w:type="character" w:customStyle="1" w:styleId="FooterChar">
    <w:name w:val="Footer Char"/>
    <w:basedOn w:val="DefaultParagraphFont"/>
    <w:link w:val="Footer"/>
    <w:uiPriority w:val="99"/>
    <w:locked/>
    <w:rsid w:val="00492339"/>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9389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gov/tic/fpis.html"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3472</Words>
  <Characters>19263</Characters>
  <Application>Microsoft Office Word</Application>
  <DocSecurity>0</DocSecurity>
  <Lines>160</Lines>
  <Paragraphs>45</Paragraphs>
  <ScaleCrop>false</ScaleCrop>
  <LinksUpToDate>false</LinksUpToDate>
  <CharactersWithSpaces>22690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2017-04-19T13:11:00Z</dcterms:created>
  <dcterms:modified xsi:type="dcterms:W3CDTF">2017-04-19T13:11:00Z</dcterms:modified>
</cp:coreProperties>
</file>