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3ECF7" w14:textId="59546650" w:rsidR="0051675D" w:rsidRPr="00360889" w:rsidRDefault="0051675D" w:rsidP="0051675D">
      <w:pPr>
        <w:spacing w:before="360" w:after="144" w:line="312" w:lineRule="auto"/>
        <w:ind w:left="2880" w:right="360" w:firstLine="0"/>
        <w:jc w:val="left"/>
        <w:rPr>
          <w:rFonts w:ascii="Arial" w:hAnsi="Arial" w:cs="Arial"/>
          <w:b/>
        </w:rPr>
      </w:pPr>
      <w:bookmarkStart w:id="0" w:name="RepType"/>
      <w:bookmarkStart w:id="1" w:name="_Toc320887149"/>
      <w:bookmarkStart w:id="2" w:name="_Toc326752777"/>
      <w:bookmarkStart w:id="3" w:name="_GoBack"/>
      <w:bookmarkEnd w:id="0"/>
      <w:bookmarkEnd w:id="3"/>
      <w:r w:rsidRPr="002A6036">
        <w:rPr>
          <w:rFonts w:ascii="Arial" w:hAnsi="Arial" w:cs="Arial"/>
          <w:b/>
        </w:rPr>
        <w:t xml:space="preserve">Part B: </w:t>
      </w:r>
      <w:r>
        <w:rPr>
          <w:rFonts w:ascii="Arial" w:hAnsi="Arial" w:cs="Arial"/>
          <w:b/>
        </w:rPr>
        <w:t xml:space="preserve">Statistical Methods for the </w:t>
      </w:r>
      <w:r w:rsidRPr="002A6036">
        <w:rPr>
          <w:rFonts w:ascii="Arial" w:hAnsi="Arial" w:cs="Arial"/>
          <w:b/>
        </w:rPr>
        <w:t xml:space="preserve">Collection of </w:t>
      </w:r>
      <w:r w:rsidR="00AB1363">
        <w:rPr>
          <w:rFonts w:ascii="Arial" w:hAnsi="Arial" w:cs="Arial"/>
          <w:b/>
        </w:rPr>
        <w:t xml:space="preserve">Follow-up </w:t>
      </w:r>
      <w:r>
        <w:rPr>
          <w:rFonts w:ascii="Arial" w:hAnsi="Arial" w:cs="Arial"/>
          <w:b/>
        </w:rPr>
        <w:t xml:space="preserve">Survey Data </w:t>
      </w:r>
      <w:r w:rsidRPr="002A6036">
        <w:rPr>
          <w:rFonts w:ascii="Arial" w:hAnsi="Arial" w:cs="Arial"/>
          <w:b/>
        </w:rPr>
        <w:t xml:space="preserve">- </w:t>
      </w:r>
      <w:r>
        <w:rPr>
          <w:rFonts w:ascii="Arial" w:hAnsi="Arial" w:cs="Arial"/>
          <w:b/>
        </w:rPr>
        <w:t xml:space="preserve">Federal Evaluation of </w:t>
      </w:r>
      <w:r>
        <w:rPr>
          <w:rFonts w:ascii="Arial" w:hAnsi="Arial" w:cs="Arial"/>
          <w:b/>
          <w:i/>
        </w:rPr>
        <w:t>Making Proud Choices!</w:t>
      </w:r>
    </w:p>
    <w:p w14:paraId="1F23ECF8" w14:textId="43BCCBE5" w:rsidR="00436B9F" w:rsidRPr="00360889" w:rsidRDefault="00436B9F" w:rsidP="0051675D">
      <w:pPr>
        <w:spacing w:before="144" w:line="360" w:lineRule="exact"/>
        <w:ind w:left="2880" w:right="360" w:firstLine="0"/>
        <w:rPr>
          <w:rFonts w:ascii="Arial" w:hAnsi="Arial" w:cs="Arial"/>
        </w:rPr>
      </w:pPr>
      <w:r>
        <w:rPr>
          <w:rFonts w:ascii="Arial" w:hAnsi="Arial" w:cs="Arial"/>
          <w:b/>
        </w:rPr>
        <w:t xml:space="preserve">OMB Control </w:t>
      </w:r>
      <w:r w:rsidRPr="00B36D0A">
        <w:rPr>
          <w:rFonts w:ascii="Arial" w:hAnsi="Arial" w:cs="Arial"/>
          <w:b/>
        </w:rPr>
        <w:t xml:space="preserve">Number </w:t>
      </w:r>
      <w:r w:rsidR="00892D75">
        <w:rPr>
          <w:rFonts w:ascii="Arial" w:hAnsi="Arial" w:cs="Arial"/>
          <w:b/>
        </w:rPr>
        <w:t>0990-</w:t>
      </w:r>
      <w:r w:rsidR="00BA1813">
        <w:rPr>
          <w:rFonts w:ascii="Arial" w:hAnsi="Arial" w:cs="Arial"/>
          <w:b/>
        </w:rPr>
        <w:t>0452</w:t>
      </w:r>
    </w:p>
    <w:p w14:paraId="1F23ECF9" w14:textId="1FDF4F80" w:rsidR="00436B9F" w:rsidRPr="00360889" w:rsidRDefault="00E2107E" w:rsidP="0051675D">
      <w:pPr>
        <w:spacing w:before="144" w:after="288" w:line="360" w:lineRule="exact"/>
        <w:ind w:left="2880" w:right="360" w:firstLine="0"/>
        <w:rPr>
          <w:rFonts w:ascii="Arial" w:hAnsi="Arial" w:cs="Arial"/>
        </w:rPr>
      </w:pPr>
      <w:bookmarkStart w:id="4" w:name="DateMark"/>
      <w:bookmarkEnd w:id="4"/>
      <w:r>
        <w:rPr>
          <w:rFonts w:ascii="Arial" w:hAnsi="Arial" w:cs="Arial"/>
        </w:rPr>
        <w:t xml:space="preserve">August </w:t>
      </w:r>
      <w:r w:rsidR="0001610D">
        <w:rPr>
          <w:rFonts w:ascii="Arial" w:hAnsi="Arial" w:cs="Arial"/>
        </w:rPr>
        <w:t>2017</w:t>
      </w:r>
    </w:p>
    <w:p w14:paraId="1F23ECFA" w14:textId="77777777" w:rsidR="00436B9F" w:rsidRPr="00CA661C" w:rsidRDefault="00436B9F" w:rsidP="00436B9F">
      <w:pPr>
        <w:tabs>
          <w:tab w:val="left" w:pos="8625"/>
        </w:tabs>
        <w:spacing w:line="264" w:lineRule="auto"/>
        <w:ind w:left="5040" w:firstLine="0"/>
        <w:rPr>
          <w:rFonts w:ascii="Arial" w:hAnsi="Arial" w:cs="Arial"/>
          <w:sz w:val="20"/>
          <w:szCs w:val="20"/>
        </w:rPr>
        <w:sectPr w:rsidR="00436B9F" w:rsidRPr="00CA661C" w:rsidSect="00AB1363">
          <w:endnotePr>
            <w:numFmt w:val="decimal"/>
          </w:endnotePr>
          <w:pgSz w:w="12240" w:h="15840" w:code="1"/>
          <w:pgMar w:top="2880" w:right="965" w:bottom="1195" w:left="3629" w:header="720" w:footer="576" w:gutter="0"/>
          <w:pgNumType w:fmt="lowerRoman" w:start="1"/>
          <w:cols w:space="720"/>
          <w:docGrid w:linePitch="326"/>
        </w:sectPr>
      </w:pPr>
      <w:bookmarkStart w:id="5" w:name="StartingPoint"/>
      <w:bookmarkEnd w:id="5"/>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436B9F" w:rsidRPr="00CA661C" w14:paraId="1F23ED0B" w14:textId="77777777" w:rsidTr="00AB1363">
        <w:tc>
          <w:tcPr>
            <w:tcW w:w="3618" w:type="dxa"/>
          </w:tcPr>
          <w:p w14:paraId="1F23ECFC" w14:textId="77777777" w:rsidR="00436B9F" w:rsidRPr="00CA661C" w:rsidRDefault="00436B9F" w:rsidP="00AB1363">
            <w:pPr>
              <w:spacing w:line="240" w:lineRule="exact"/>
              <w:ind w:firstLine="0"/>
              <w:jc w:val="left"/>
              <w:rPr>
                <w:rFonts w:ascii="Arial" w:hAnsi="Arial" w:cs="Arial"/>
                <w:sz w:val="17"/>
                <w:szCs w:val="16"/>
              </w:rPr>
            </w:pPr>
            <w:bookmarkStart w:id="6" w:name="MPRRef"/>
            <w:bookmarkStart w:id="7" w:name="Agency"/>
            <w:bookmarkEnd w:id="6"/>
            <w:bookmarkEnd w:id="7"/>
            <w:r>
              <w:rPr>
                <w:rFonts w:ascii="Arial" w:hAnsi="Arial" w:cs="Arial"/>
                <w:sz w:val="17"/>
                <w:szCs w:val="16"/>
              </w:rPr>
              <w:lastRenderedPageBreak/>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1F23ECFD" w14:textId="77777777" w:rsidR="00436B9F" w:rsidRPr="00CA661C" w:rsidRDefault="00436B9F" w:rsidP="00AB1363">
            <w:pPr>
              <w:spacing w:line="240" w:lineRule="exact"/>
              <w:ind w:firstLine="0"/>
              <w:jc w:val="left"/>
              <w:rPr>
                <w:rFonts w:ascii="Arial" w:hAnsi="Arial" w:cs="Arial"/>
                <w:sz w:val="17"/>
                <w:szCs w:val="16"/>
              </w:rPr>
            </w:pPr>
            <w:bookmarkStart w:id="8" w:name="Address"/>
            <w:bookmarkEnd w:id="8"/>
            <w:r>
              <w:rPr>
                <w:rFonts w:ascii="Arial" w:hAnsi="Arial" w:cs="Arial"/>
                <w:sz w:val="17"/>
                <w:szCs w:val="16"/>
              </w:rPr>
              <w:t>1101 Wootton Parkway, Suite 700</w:t>
            </w:r>
          </w:p>
          <w:p w14:paraId="1F23ECFE" w14:textId="77777777" w:rsidR="00436B9F" w:rsidRPr="00CA661C" w:rsidRDefault="00436B9F" w:rsidP="00AB1363">
            <w:pPr>
              <w:spacing w:line="240" w:lineRule="exact"/>
              <w:ind w:firstLine="0"/>
              <w:jc w:val="left"/>
              <w:rPr>
                <w:rFonts w:ascii="Arial" w:hAnsi="Arial" w:cs="Arial"/>
                <w:sz w:val="17"/>
                <w:szCs w:val="16"/>
              </w:rPr>
            </w:pPr>
            <w:bookmarkStart w:id="9" w:name="Address2"/>
            <w:bookmarkEnd w:id="9"/>
            <w:r>
              <w:rPr>
                <w:rFonts w:ascii="Arial" w:hAnsi="Arial" w:cs="Arial"/>
                <w:sz w:val="17"/>
                <w:szCs w:val="16"/>
              </w:rPr>
              <w:t>Rockville, MD 20852</w:t>
            </w:r>
          </w:p>
          <w:p w14:paraId="1F23ECFF" w14:textId="77777777" w:rsidR="00436B9F" w:rsidRPr="00CA661C" w:rsidRDefault="00436B9F" w:rsidP="00AB1363">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0" w:name="ProjOff"/>
            <w:bookmarkEnd w:id="10"/>
            <w:r>
              <w:rPr>
                <w:rFonts w:ascii="Arial" w:hAnsi="Arial" w:cs="Arial"/>
                <w:sz w:val="17"/>
                <w:szCs w:val="16"/>
              </w:rPr>
              <w:t>Amy Farb</w:t>
            </w:r>
          </w:p>
          <w:p w14:paraId="1F23ED06" w14:textId="5FA1BC33" w:rsidR="00436B9F" w:rsidRPr="00CA661C" w:rsidRDefault="00436B9F" w:rsidP="00AB1363">
            <w:pPr>
              <w:spacing w:after="180" w:line="240" w:lineRule="exact"/>
              <w:ind w:firstLine="0"/>
              <w:jc w:val="left"/>
              <w:rPr>
                <w:rFonts w:ascii="Arial" w:hAnsi="Arial" w:cs="Arial"/>
                <w:sz w:val="16"/>
                <w:szCs w:val="16"/>
              </w:rPr>
            </w:pPr>
            <w:bookmarkStart w:id="11" w:name="MPRAddress2"/>
            <w:bookmarkStart w:id="12" w:name="ProjDir"/>
            <w:bookmarkEnd w:id="11"/>
            <w:bookmarkEnd w:id="12"/>
          </w:p>
        </w:tc>
        <w:tc>
          <w:tcPr>
            <w:tcW w:w="4057" w:type="dxa"/>
          </w:tcPr>
          <w:p w14:paraId="1F23ED07" w14:textId="31E60C6A" w:rsidR="00016BE4" w:rsidRPr="00D46217" w:rsidRDefault="00016BE4" w:rsidP="00016BE4">
            <w:pPr>
              <w:spacing w:after="144" w:line="312" w:lineRule="auto"/>
              <w:ind w:left="58" w:firstLine="0"/>
              <w:jc w:val="left"/>
              <w:rPr>
                <w:rFonts w:ascii="Arial" w:hAnsi="Arial" w:cs="Arial"/>
                <w:b/>
              </w:rPr>
            </w:pPr>
            <w:bookmarkStart w:id="13" w:name="RepTitle2"/>
            <w:bookmarkEnd w:id="13"/>
            <w:r w:rsidRPr="00D46217">
              <w:rPr>
                <w:rFonts w:ascii="Arial" w:hAnsi="Arial" w:cs="Arial"/>
                <w:b/>
              </w:rPr>
              <w:t xml:space="preserve">Part B: </w:t>
            </w:r>
            <w:r w:rsidR="00406AC8">
              <w:t xml:space="preserve"> </w:t>
            </w:r>
            <w:r w:rsidR="00406AC8" w:rsidRPr="00406AC8">
              <w:rPr>
                <w:rFonts w:ascii="Arial" w:hAnsi="Arial" w:cs="Arial"/>
                <w:b/>
              </w:rPr>
              <w:t xml:space="preserve">Statistical Methods for the Collection of Follow-up Survey Data - Federal Evaluation of </w:t>
            </w:r>
            <w:r w:rsidR="00406AC8" w:rsidRPr="00BA1813">
              <w:rPr>
                <w:rFonts w:ascii="Arial" w:hAnsi="Arial" w:cs="Arial"/>
                <w:b/>
                <w:i/>
              </w:rPr>
              <w:t>Making Proud Choices!</w:t>
            </w:r>
            <w:r w:rsidR="00406AC8">
              <w:rPr>
                <w:rFonts w:ascii="Arial" w:hAnsi="Arial" w:cs="Arial"/>
                <w:b/>
              </w:rPr>
              <w:t xml:space="preserve"> </w:t>
            </w:r>
          </w:p>
          <w:p w14:paraId="1F23ED08" w14:textId="03EBECB8" w:rsidR="00436B9F" w:rsidRDefault="00436B9F" w:rsidP="00AB1363">
            <w:pPr>
              <w:spacing w:before="144" w:after="288" w:line="360" w:lineRule="exact"/>
              <w:ind w:left="58" w:firstLine="0"/>
              <w:jc w:val="left"/>
              <w:rPr>
                <w:rFonts w:ascii="Arial" w:hAnsi="Arial" w:cs="Arial"/>
                <w:b/>
              </w:rPr>
            </w:pPr>
            <w:bookmarkStart w:id="14" w:name="RepType2"/>
            <w:bookmarkStart w:id="15" w:name="DateMark2"/>
            <w:bookmarkEnd w:id="14"/>
            <w:bookmarkEnd w:id="15"/>
            <w:r>
              <w:rPr>
                <w:rFonts w:ascii="Arial" w:hAnsi="Arial" w:cs="Arial"/>
                <w:b/>
              </w:rPr>
              <w:t xml:space="preserve">OMB Control </w:t>
            </w:r>
            <w:r w:rsidRPr="00B36D0A">
              <w:rPr>
                <w:rFonts w:ascii="Arial" w:hAnsi="Arial" w:cs="Arial"/>
                <w:b/>
              </w:rPr>
              <w:t xml:space="preserve">Number </w:t>
            </w:r>
            <w:r w:rsidR="00892D75">
              <w:rPr>
                <w:rFonts w:ascii="Arial" w:hAnsi="Arial" w:cs="Arial"/>
                <w:b/>
              </w:rPr>
              <w:t>0990</w:t>
            </w:r>
            <w:r w:rsidR="00BA1813">
              <w:rPr>
                <w:rFonts w:ascii="Arial" w:hAnsi="Arial" w:cs="Arial"/>
                <w:b/>
              </w:rPr>
              <w:t>-0452</w:t>
            </w:r>
          </w:p>
          <w:p w14:paraId="1F23ED09" w14:textId="0913C71F" w:rsidR="00436B9F" w:rsidRPr="00360889" w:rsidRDefault="00E2107E" w:rsidP="00AB1363">
            <w:pPr>
              <w:spacing w:before="144" w:after="288" w:line="360" w:lineRule="exact"/>
              <w:ind w:left="58" w:firstLine="0"/>
              <w:jc w:val="left"/>
              <w:rPr>
                <w:rFonts w:ascii="Arial" w:hAnsi="Arial" w:cs="Arial"/>
              </w:rPr>
            </w:pPr>
            <w:r>
              <w:rPr>
                <w:rFonts w:ascii="Arial" w:hAnsi="Arial" w:cs="Arial"/>
              </w:rPr>
              <w:t xml:space="preserve">August </w:t>
            </w:r>
            <w:r w:rsidR="0001610D">
              <w:rPr>
                <w:rFonts w:ascii="Arial" w:hAnsi="Arial" w:cs="Arial"/>
              </w:rPr>
              <w:t>2017</w:t>
            </w:r>
          </w:p>
          <w:p w14:paraId="1F23ED0A" w14:textId="77777777" w:rsidR="00436B9F" w:rsidRPr="00CA661C" w:rsidRDefault="00436B9F" w:rsidP="00AB1363">
            <w:pPr>
              <w:spacing w:line="264" w:lineRule="auto"/>
              <w:ind w:left="58" w:firstLine="0"/>
              <w:jc w:val="left"/>
              <w:rPr>
                <w:rFonts w:ascii="Arial" w:hAnsi="Arial" w:cs="Arial"/>
                <w:sz w:val="22"/>
                <w:szCs w:val="22"/>
              </w:rPr>
            </w:pPr>
          </w:p>
        </w:tc>
      </w:tr>
    </w:tbl>
    <w:p w14:paraId="1F23ED0C" w14:textId="77777777" w:rsidR="00436B9F" w:rsidRPr="00CA661C" w:rsidRDefault="00436B9F" w:rsidP="00436B9F">
      <w:pPr>
        <w:tabs>
          <w:tab w:val="clear" w:pos="432"/>
          <w:tab w:val="left" w:pos="8255"/>
        </w:tabs>
        <w:spacing w:line="264" w:lineRule="auto"/>
        <w:ind w:firstLine="0"/>
        <w:rPr>
          <w:rFonts w:ascii="Arial" w:hAnsi="Arial" w:cs="Arial"/>
          <w:sz w:val="22"/>
          <w:szCs w:val="22"/>
        </w:rPr>
      </w:pPr>
    </w:p>
    <w:p w14:paraId="1F23ED0D" w14:textId="77777777" w:rsidR="00436B9F" w:rsidRPr="00CA661C" w:rsidRDefault="00436B9F" w:rsidP="00436B9F">
      <w:pPr>
        <w:spacing w:line="264" w:lineRule="auto"/>
        <w:ind w:firstLine="0"/>
        <w:rPr>
          <w:rFonts w:ascii="Arial" w:hAnsi="Arial" w:cs="Arial"/>
          <w:sz w:val="22"/>
          <w:szCs w:val="22"/>
        </w:rPr>
      </w:pPr>
    </w:p>
    <w:p w14:paraId="1F23ED0E" w14:textId="77777777" w:rsidR="00436B9F" w:rsidRPr="00CA661C" w:rsidRDefault="00436B9F" w:rsidP="00436B9F">
      <w:pPr>
        <w:spacing w:line="264" w:lineRule="auto"/>
        <w:ind w:firstLine="0"/>
        <w:rPr>
          <w:rFonts w:ascii="Arial" w:hAnsi="Arial" w:cs="Arial"/>
          <w:sz w:val="22"/>
          <w:szCs w:val="22"/>
        </w:rPr>
        <w:sectPr w:rsidR="00436B9F" w:rsidRPr="00CA661C" w:rsidSect="00AB1363">
          <w:footerReference w:type="default" r:id="rId12"/>
          <w:endnotePr>
            <w:numFmt w:val="decimal"/>
          </w:endnotePr>
          <w:pgSz w:w="12240" w:h="15840" w:code="1"/>
          <w:pgMar w:top="4320" w:right="965" w:bottom="1195" w:left="3629" w:header="720" w:footer="576" w:gutter="0"/>
          <w:pgNumType w:fmt="lowerRoman"/>
          <w:cols w:space="720"/>
          <w:docGrid w:linePitch="150"/>
        </w:sectPr>
      </w:pPr>
    </w:p>
    <w:p w14:paraId="1F23ED0F" w14:textId="77777777" w:rsidR="00436B9F" w:rsidRDefault="00436B9F" w:rsidP="00436B9F">
      <w:pPr>
        <w:pStyle w:val="Heading1Black"/>
      </w:pPr>
      <w:bookmarkStart w:id="16" w:name="RepTitle"/>
      <w:bookmarkStart w:id="17" w:name="_Toc383429896"/>
      <w:bookmarkStart w:id="18" w:name="_Toc448728852"/>
      <w:bookmarkStart w:id="19" w:name="_Toc448730394"/>
      <w:bookmarkStart w:id="20" w:name="_Toc448731860"/>
      <w:bookmarkStart w:id="21" w:name="_Toc477967638"/>
      <w:bookmarkEnd w:id="16"/>
      <w:r>
        <w:lastRenderedPageBreak/>
        <w:t>CONTENTS</w:t>
      </w:r>
      <w:bookmarkEnd w:id="17"/>
      <w:bookmarkEnd w:id="18"/>
      <w:bookmarkEnd w:id="19"/>
      <w:bookmarkEnd w:id="20"/>
      <w:bookmarkEnd w:id="21"/>
    </w:p>
    <w:p w14:paraId="71E94AE7" w14:textId="77777777" w:rsidR="00AE7F2B" w:rsidRDefault="00436B9F">
      <w:pPr>
        <w:pStyle w:val="TOC1"/>
        <w:rPr>
          <w:rFonts w:asciiTheme="minorHAnsi" w:eastAsiaTheme="minorEastAsia" w:hAnsiTheme="minorHAnsi" w:cstheme="minorBid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AE7F2B">
        <w:rPr>
          <w:noProof/>
        </w:rPr>
        <w:t>CONTENTS</w:t>
      </w:r>
      <w:r w:rsidR="00AE7F2B">
        <w:rPr>
          <w:noProof/>
          <w:webHidden/>
        </w:rPr>
        <w:tab/>
      </w:r>
      <w:r w:rsidR="00AE7F2B">
        <w:rPr>
          <w:noProof/>
          <w:webHidden/>
        </w:rPr>
        <w:fldChar w:fldCharType="begin"/>
      </w:r>
      <w:r w:rsidR="00AE7F2B">
        <w:rPr>
          <w:noProof/>
          <w:webHidden/>
        </w:rPr>
        <w:instrText xml:space="preserve"> PAGEREF _Toc477967638 \h </w:instrText>
      </w:r>
      <w:r w:rsidR="00AE7F2B">
        <w:rPr>
          <w:noProof/>
          <w:webHidden/>
        </w:rPr>
      </w:r>
      <w:r w:rsidR="00AE7F2B">
        <w:rPr>
          <w:noProof/>
          <w:webHidden/>
        </w:rPr>
        <w:fldChar w:fldCharType="separate"/>
      </w:r>
      <w:r w:rsidR="00AE7F2B">
        <w:rPr>
          <w:noProof/>
          <w:webHidden/>
        </w:rPr>
        <w:t>iii</w:t>
      </w:r>
      <w:r w:rsidR="00AE7F2B">
        <w:rPr>
          <w:noProof/>
          <w:webHidden/>
        </w:rPr>
        <w:fldChar w:fldCharType="end"/>
      </w:r>
    </w:p>
    <w:p w14:paraId="1DEB848B" w14:textId="77777777" w:rsidR="00AE7F2B" w:rsidRDefault="00AE7F2B">
      <w:pPr>
        <w:pStyle w:val="TOC1"/>
        <w:rPr>
          <w:rFonts w:asciiTheme="minorHAnsi" w:eastAsiaTheme="minorEastAsia" w:hAnsiTheme="minorHAnsi" w:cstheme="minorBidi"/>
          <w:caps w:val="0"/>
          <w:noProof/>
          <w:sz w:val="22"/>
          <w:szCs w:val="22"/>
        </w:rPr>
      </w:pPr>
      <w:r>
        <w:rPr>
          <w:noProof/>
        </w:rPr>
        <w:t>TABLES</w:t>
      </w:r>
      <w:r>
        <w:rPr>
          <w:noProof/>
          <w:webHidden/>
        </w:rPr>
        <w:tab/>
      </w:r>
      <w:r>
        <w:rPr>
          <w:noProof/>
          <w:webHidden/>
        </w:rPr>
        <w:fldChar w:fldCharType="begin"/>
      </w:r>
      <w:r>
        <w:rPr>
          <w:noProof/>
          <w:webHidden/>
        </w:rPr>
        <w:instrText xml:space="preserve"> PAGEREF _Toc477967639 \h </w:instrText>
      </w:r>
      <w:r>
        <w:rPr>
          <w:noProof/>
          <w:webHidden/>
        </w:rPr>
      </w:r>
      <w:r>
        <w:rPr>
          <w:noProof/>
          <w:webHidden/>
        </w:rPr>
        <w:fldChar w:fldCharType="separate"/>
      </w:r>
      <w:r>
        <w:rPr>
          <w:noProof/>
          <w:webHidden/>
        </w:rPr>
        <w:t>iii</w:t>
      </w:r>
      <w:r>
        <w:rPr>
          <w:noProof/>
          <w:webHidden/>
        </w:rPr>
        <w:fldChar w:fldCharType="end"/>
      </w:r>
    </w:p>
    <w:p w14:paraId="6F488F73" w14:textId="77777777" w:rsidR="00AE7F2B" w:rsidRDefault="00AE7F2B">
      <w:pPr>
        <w:pStyle w:val="TOC1"/>
        <w:rPr>
          <w:rFonts w:asciiTheme="minorHAnsi" w:eastAsiaTheme="minorEastAsia" w:hAnsiTheme="minorHAnsi"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_Toc477967640 \h </w:instrText>
      </w:r>
      <w:r>
        <w:rPr>
          <w:noProof/>
          <w:webHidden/>
        </w:rPr>
      </w:r>
      <w:r>
        <w:rPr>
          <w:noProof/>
          <w:webHidden/>
        </w:rPr>
        <w:fldChar w:fldCharType="separate"/>
      </w:r>
      <w:r>
        <w:rPr>
          <w:noProof/>
          <w:webHidden/>
        </w:rPr>
        <w:t>iv</w:t>
      </w:r>
      <w:r>
        <w:rPr>
          <w:noProof/>
          <w:webHidden/>
        </w:rPr>
        <w:fldChar w:fldCharType="end"/>
      </w:r>
    </w:p>
    <w:p w14:paraId="4DB42F81" w14:textId="77777777" w:rsidR="00AE7F2B" w:rsidRDefault="00AE7F2B">
      <w:pPr>
        <w:pStyle w:val="TOC1"/>
        <w:rPr>
          <w:rFonts w:asciiTheme="minorHAnsi" w:eastAsiaTheme="minorEastAsia" w:hAnsiTheme="minorHAnsi" w:cstheme="minorBidi"/>
          <w:caps w:val="0"/>
          <w:noProof/>
          <w:sz w:val="22"/>
          <w:szCs w:val="22"/>
        </w:rPr>
      </w:pPr>
      <w:r w:rsidRPr="0064420F">
        <w:rPr>
          <w:rFonts w:eastAsia="Calibri"/>
          <w:caps w:val="0"/>
          <w:noProof/>
        </w:rPr>
        <w:t>PART B INTRODUCTION</w:t>
      </w:r>
      <w:r>
        <w:rPr>
          <w:noProof/>
          <w:webHidden/>
        </w:rPr>
        <w:tab/>
      </w:r>
      <w:r>
        <w:rPr>
          <w:noProof/>
          <w:webHidden/>
        </w:rPr>
        <w:fldChar w:fldCharType="begin"/>
      </w:r>
      <w:r>
        <w:rPr>
          <w:noProof/>
          <w:webHidden/>
        </w:rPr>
        <w:instrText xml:space="preserve"> PAGEREF _Toc477967641 \h </w:instrText>
      </w:r>
      <w:r>
        <w:rPr>
          <w:noProof/>
          <w:webHidden/>
        </w:rPr>
      </w:r>
      <w:r>
        <w:rPr>
          <w:noProof/>
          <w:webHidden/>
        </w:rPr>
        <w:fldChar w:fldCharType="separate"/>
      </w:r>
      <w:r>
        <w:rPr>
          <w:noProof/>
          <w:webHidden/>
        </w:rPr>
        <w:t>1</w:t>
      </w:r>
      <w:r>
        <w:rPr>
          <w:noProof/>
          <w:webHidden/>
        </w:rPr>
        <w:fldChar w:fldCharType="end"/>
      </w:r>
    </w:p>
    <w:p w14:paraId="148F441A" w14:textId="77777777" w:rsidR="00AE7F2B" w:rsidRDefault="00AE7F2B">
      <w:pPr>
        <w:pStyle w:val="TOC2"/>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_Toc477967642 \h </w:instrText>
      </w:r>
      <w:r>
        <w:rPr>
          <w:webHidden/>
        </w:rPr>
      </w:r>
      <w:r>
        <w:rPr>
          <w:webHidden/>
        </w:rPr>
        <w:fldChar w:fldCharType="separate"/>
      </w:r>
      <w:r>
        <w:rPr>
          <w:webHidden/>
        </w:rPr>
        <w:t>1</w:t>
      </w:r>
      <w:r>
        <w:rPr>
          <w:webHidden/>
        </w:rPr>
        <w:fldChar w:fldCharType="end"/>
      </w:r>
    </w:p>
    <w:p w14:paraId="573463EC" w14:textId="77777777" w:rsidR="00AE7F2B" w:rsidRDefault="00AE7F2B">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_Toc477967643 \h </w:instrText>
      </w:r>
      <w:r>
        <w:rPr>
          <w:webHidden/>
        </w:rPr>
      </w:r>
      <w:r>
        <w:rPr>
          <w:webHidden/>
        </w:rPr>
        <w:fldChar w:fldCharType="separate"/>
      </w:r>
      <w:r>
        <w:rPr>
          <w:webHidden/>
        </w:rPr>
        <w:t>3</w:t>
      </w:r>
      <w:r>
        <w:rPr>
          <w:webHidden/>
        </w:rPr>
        <w:fldChar w:fldCharType="end"/>
      </w:r>
    </w:p>
    <w:p w14:paraId="0FEA43B5" w14:textId="77777777" w:rsidR="00AE7F2B" w:rsidRDefault="00AE7F2B">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_Toc477967644 \h </w:instrText>
      </w:r>
      <w:r>
        <w:rPr>
          <w:webHidden/>
        </w:rPr>
      </w:r>
      <w:r>
        <w:rPr>
          <w:webHidden/>
        </w:rPr>
        <w:fldChar w:fldCharType="separate"/>
      </w:r>
      <w:r>
        <w:rPr>
          <w:webHidden/>
        </w:rPr>
        <w:t>4</w:t>
      </w:r>
      <w:r>
        <w:rPr>
          <w:webHidden/>
        </w:rPr>
        <w:fldChar w:fldCharType="end"/>
      </w:r>
    </w:p>
    <w:p w14:paraId="29342A9B" w14:textId="77777777" w:rsidR="00AE7F2B" w:rsidRDefault="00AE7F2B">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 of Procedures or Methods to be Undertaken</w:t>
      </w:r>
      <w:r>
        <w:rPr>
          <w:webHidden/>
        </w:rPr>
        <w:tab/>
      </w:r>
      <w:r>
        <w:rPr>
          <w:webHidden/>
        </w:rPr>
        <w:fldChar w:fldCharType="begin"/>
      </w:r>
      <w:r>
        <w:rPr>
          <w:webHidden/>
        </w:rPr>
        <w:instrText xml:space="preserve"> PAGEREF _Toc477967645 \h </w:instrText>
      </w:r>
      <w:r>
        <w:rPr>
          <w:webHidden/>
        </w:rPr>
      </w:r>
      <w:r>
        <w:rPr>
          <w:webHidden/>
        </w:rPr>
        <w:fldChar w:fldCharType="separate"/>
      </w:r>
      <w:r>
        <w:rPr>
          <w:webHidden/>
        </w:rPr>
        <w:t>6</w:t>
      </w:r>
      <w:r>
        <w:rPr>
          <w:webHidden/>
        </w:rPr>
        <w:fldChar w:fldCharType="end"/>
      </w:r>
    </w:p>
    <w:p w14:paraId="51534A75" w14:textId="77777777" w:rsidR="00AE7F2B" w:rsidRDefault="00AE7F2B">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_Toc477967646 \h </w:instrText>
      </w:r>
      <w:r>
        <w:rPr>
          <w:webHidden/>
        </w:rPr>
      </w:r>
      <w:r>
        <w:rPr>
          <w:webHidden/>
        </w:rPr>
        <w:fldChar w:fldCharType="separate"/>
      </w:r>
      <w:r>
        <w:rPr>
          <w:webHidden/>
        </w:rPr>
        <w:t>6</w:t>
      </w:r>
      <w:r>
        <w:rPr>
          <w:webHidden/>
        </w:rPr>
        <w:fldChar w:fldCharType="end"/>
      </w:r>
    </w:p>
    <w:p w14:paraId="1F23ED16" w14:textId="77777777" w:rsidR="00436B9F" w:rsidRPr="00FC1F32" w:rsidRDefault="00436B9F" w:rsidP="00436B9F">
      <w:pPr>
        <w:pStyle w:val="Heading1Black"/>
      </w:pPr>
      <w:r>
        <w:fldChar w:fldCharType="end"/>
      </w:r>
      <w:bookmarkStart w:id="22" w:name="_Toc383429897"/>
      <w:bookmarkStart w:id="23" w:name="_Toc448728853"/>
      <w:bookmarkStart w:id="24" w:name="_Toc448730395"/>
      <w:bookmarkStart w:id="25" w:name="_Toc448731861"/>
      <w:bookmarkStart w:id="26" w:name="_Toc477967639"/>
      <w:r w:rsidRPr="00FC1F32">
        <w:t>TABLES</w:t>
      </w:r>
      <w:bookmarkEnd w:id="22"/>
      <w:bookmarkEnd w:id="23"/>
      <w:bookmarkEnd w:id="24"/>
      <w:bookmarkEnd w:id="25"/>
      <w:bookmarkEnd w:id="26"/>
    </w:p>
    <w:p w14:paraId="1F23ED17" w14:textId="77777777" w:rsidR="0051675D" w:rsidRDefault="00436B9F">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51675D">
        <w:rPr>
          <w:noProof/>
        </w:rPr>
        <w:t>B1.1. Minimum Detectible Impacts for The Federal Evaluation of MPC!</w:t>
      </w:r>
      <w:r w:rsidR="0051675D">
        <w:rPr>
          <w:noProof/>
          <w:webHidden/>
        </w:rPr>
        <w:tab/>
      </w:r>
      <w:r w:rsidR="0051675D">
        <w:rPr>
          <w:noProof/>
          <w:webHidden/>
        </w:rPr>
        <w:fldChar w:fldCharType="begin"/>
      </w:r>
      <w:r w:rsidR="0051675D">
        <w:rPr>
          <w:noProof/>
          <w:webHidden/>
        </w:rPr>
        <w:instrText xml:space="preserve"> PAGEREF _Toc448731872 \h </w:instrText>
      </w:r>
      <w:r w:rsidR="0051675D">
        <w:rPr>
          <w:noProof/>
          <w:webHidden/>
        </w:rPr>
      </w:r>
      <w:r w:rsidR="0051675D">
        <w:rPr>
          <w:noProof/>
          <w:webHidden/>
        </w:rPr>
        <w:fldChar w:fldCharType="separate"/>
      </w:r>
      <w:r w:rsidR="003C208A">
        <w:rPr>
          <w:noProof/>
          <w:webHidden/>
        </w:rPr>
        <w:t>3</w:t>
      </w:r>
      <w:r w:rsidR="0051675D">
        <w:rPr>
          <w:noProof/>
          <w:webHidden/>
        </w:rPr>
        <w:fldChar w:fldCharType="end"/>
      </w:r>
    </w:p>
    <w:p w14:paraId="1F23ED18" w14:textId="77777777" w:rsidR="00436B9F" w:rsidRDefault="00436B9F" w:rsidP="00436B9F">
      <w:pPr>
        <w:spacing w:before="240" w:after="240" w:line="240" w:lineRule="auto"/>
        <w:ind w:firstLine="0"/>
        <w:rPr>
          <w:rFonts w:ascii="Arial" w:hAnsi="Arial" w:cs="Arial"/>
          <w:sz w:val="20"/>
        </w:rPr>
      </w:pPr>
      <w:r>
        <w:rPr>
          <w:rFonts w:ascii="Arial" w:hAnsi="Arial" w:cs="Arial"/>
          <w:sz w:val="20"/>
        </w:rPr>
        <w:fldChar w:fldCharType="end"/>
      </w:r>
    </w:p>
    <w:p w14:paraId="1F23ED19" w14:textId="77777777" w:rsidR="00436B9F" w:rsidRDefault="00436B9F">
      <w:pPr>
        <w:tabs>
          <w:tab w:val="clear" w:pos="432"/>
        </w:tabs>
        <w:spacing w:after="240" w:line="240" w:lineRule="auto"/>
        <w:ind w:firstLine="0"/>
        <w:jc w:val="left"/>
        <w:rPr>
          <w:rFonts w:ascii="Arial" w:hAnsi="Arial" w:cs="Arial"/>
          <w:sz w:val="20"/>
        </w:rPr>
      </w:pPr>
      <w:r>
        <w:rPr>
          <w:rFonts w:ascii="Arial" w:hAnsi="Arial" w:cs="Arial"/>
          <w:sz w:val="20"/>
        </w:rPr>
        <w:br w:type="page"/>
      </w:r>
    </w:p>
    <w:p w14:paraId="1F23ED1A" w14:textId="77777777" w:rsidR="00436B9F" w:rsidRPr="002A6036" w:rsidRDefault="00436B9F" w:rsidP="00436B9F">
      <w:pPr>
        <w:pStyle w:val="Heading1Black"/>
      </w:pPr>
      <w:bookmarkStart w:id="27" w:name="_Toc385322232"/>
      <w:bookmarkStart w:id="28" w:name="_Toc396921845"/>
      <w:bookmarkStart w:id="29" w:name="_Toc448728854"/>
      <w:bookmarkStart w:id="30" w:name="_Toc448730396"/>
      <w:bookmarkStart w:id="31" w:name="_Toc448731862"/>
      <w:bookmarkStart w:id="32" w:name="_Toc477967640"/>
      <w:bookmarkStart w:id="33" w:name="_Toc383429898"/>
      <w:r w:rsidRPr="002A6036">
        <w:t>ATTACHMENTS</w:t>
      </w:r>
      <w:bookmarkEnd w:id="27"/>
      <w:bookmarkEnd w:id="28"/>
      <w:bookmarkEnd w:id="29"/>
      <w:bookmarkEnd w:id="30"/>
      <w:bookmarkEnd w:id="31"/>
      <w:bookmarkEnd w:id="32"/>
    </w:p>
    <w:p w14:paraId="1F23ED1B" w14:textId="617702C4" w:rsidR="00436B9F" w:rsidRPr="002A6036" w:rsidRDefault="00436B9F" w:rsidP="00436B9F">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LIST FOR THE </w:t>
      </w:r>
      <w:r w:rsidR="00AB1363">
        <w:rPr>
          <w:sz w:val="22"/>
          <w:szCs w:val="22"/>
        </w:rPr>
        <w:t xml:space="preserve">FOLLOW-UP </w:t>
      </w:r>
      <w:r>
        <w:rPr>
          <w:sz w:val="22"/>
          <w:szCs w:val="22"/>
        </w:rPr>
        <w:t>survey</w:t>
      </w:r>
      <w:r w:rsidRPr="002A6036">
        <w:rPr>
          <w:sz w:val="22"/>
          <w:szCs w:val="22"/>
        </w:rPr>
        <w:t xml:space="preserve">  </w:t>
      </w:r>
    </w:p>
    <w:p w14:paraId="1F23ED1C" w14:textId="2DB20540" w:rsidR="00436B9F" w:rsidRPr="002A6036" w:rsidRDefault="00436B9F" w:rsidP="00436B9F">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sidR="00AB1363">
        <w:rPr>
          <w:sz w:val="22"/>
          <w:szCs w:val="22"/>
        </w:rPr>
        <w:t xml:space="preserve">FOLLOW-UP </w:t>
      </w:r>
      <w:r>
        <w:rPr>
          <w:sz w:val="22"/>
          <w:szCs w:val="22"/>
        </w:rPr>
        <w:t>survey</w:t>
      </w:r>
      <w:r w:rsidRPr="002A6036">
        <w:rPr>
          <w:sz w:val="22"/>
          <w:szCs w:val="22"/>
        </w:rPr>
        <w:t xml:space="preserve"> </w:t>
      </w:r>
    </w:p>
    <w:p w14:paraId="1F23ED1D" w14:textId="4FEF503B" w:rsidR="00436B9F" w:rsidRPr="002A6036" w:rsidRDefault="00436B9F" w:rsidP="00436B9F">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1E583B">
        <w:rPr>
          <w:sz w:val="22"/>
          <w:szCs w:val="22"/>
        </w:rPr>
        <w:t>MPC!</w:t>
      </w:r>
      <w:r w:rsidR="001E583B" w:rsidRPr="002A6036">
        <w:rPr>
          <w:sz w:val="22"/>
          <w:szCs w:val="22"/>
        </w:rPr>
        <w:t xml:space="preserve"> </w:t>
      </w:r>
      <w:r w:rsidR="00AB1363">
        <w:rPr>
          <w:sz w:val="22"/>
          <w:szCs w:val="22"/>
        </w:rPr>
        <w:t xml:space="preserve">FOLLOW-UP </w:t>
      </w:r>
      <w:r>
        <w:rPr>
          <w:sz w:val="22"/>
          <w:szCs w:val="22"/>
        </w:rPr>
        <w:t>survey</w:t>
      </w:r>
      <w:r w:rsidRPr="002A6036">
        <w:rPr>
          <w:sz w:val="22"/>
          <w:szCs w:val="22"/>
        </w:rPr>
        <w:t xml:space="preserve"> </w:t>
      </w:r>
    </w:p>
    <w:p w14:paraId="1F23ED20" w14:textId="6C8289D0" w:rsidR="00436B9F" w:rsidRPr="007F3E18" w:rsidRDefault="00436B9F" w:rsidP="00436B9F">
      <w:pPr>
        <w:pStyle w:val="TOC8"/>
        <w:tabs>
          <w:tab w:val="left" w:pos="1980"/>
        </w:tabs>
        <w:spacing w:after="120"/>
        <w:ind w:left="1980" w:hanging="1962"/>
        <w:rPr>
          <w:sz w:val="22"/>
          <w:szCs w:val="22"/>
        </w:rPr>
      </w:pPr>
      <w:r w:rsidRPr="00DC5FFD">
        <w:rPr>
          <w:sz w:val="22"/>
          <w:szCs w:val="22"/>
        </w:rPr>
        <w:t xml:space="preserve">ATTACHMENT </w:t>
      </w:r>
      <w:r w:rsidR="0050712A">
        <w:rPr>
          <w:sz w:val="22"/>
          <w:szCs w:val="22"/>
        </w:rPr>
        <w:t>D</w:t>
      </w:r>
      <w:r w:rsidRPr="00DC5FFD">
        <w:rPr>
          <w:sz w:val="22"/>
          <w:szCs w:val="22"/>
        </w:rPr>
        <w:t>:</w:t>
      </w:r>
      <w:r w:rsidRPr="00DC5FFD">
        <w:rPr>
          <w:sz w:val="22"/>
          <w:szCs w:val="22"/>
        </w:rPr>
        <w:tab/>
      </w:r>
      <w:r w:rsidRPr="007F3E18">
        <w:rPr>
          <w:sz w:val="22"/>
          <w:szCs w:val="22"/>
        </w:rPr>
        <w:t xml:space="preserve">CONFIDENTIALITY PLEDGE </w:t>
      </w:r>
    </w:p>
    <w:p w14:paraId="6A271B8D" w14:textId="66EDDF9B" w:rsidR="00356F70" w:rsidRPr="00356F70" w:rsidRDefault="00436B9F" w:rsidP="00356F70">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50712A">
        <w:rPr>
          <w:rFonts w:cs="Arial"/>
          <w:sz w:val="22"/>
          <w:szCs w:val="22"/>
        </w:rPr>
        <w:t>E</w:t>
      </w:r>
      <w:r w:rsidRPr="004B1D46">
        <w:rPr>
          <w:rFonts w:cs="Arial"/>
          <w:sz w:val="22"/>
          <w:szCs w:val="22"/>
        </w:rPr>
        <w:t>:</w:t>
      </w:r>
      <w:r w:rsidRPr="004B1D46">
        <w:rPr>
          <w:rFonts w:cs="Arial"/>
          <w:sz w:val="22"/>
          <w:szCs w:val="22"/>
        </w:rPr>
        <w:tab/>
        <w:t>ANALYSIS PLAN</w:t>
      </w:r>
    </w:p>
    <w:p w14:paraId="7C1E9BDD" w14:textId="17A81A66" w:rsidR="003C208A" w:rsidRPr="00356F70" w:rsidRDefault="003C208A" w:rsidP="003C208A">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f:</w:t>
      </w:r>
      <w:r>
        <w:rPr>
          <w:rFonts w:cs="Arial"/>
          <w:sz w:val="22"/>
          <w:szCs w:val="22"/>
        </w:rPr>
        <w:tab/>
        <w:t>60 day federal register notice</w:t>
      </w:r>
    </w:p>
    <w:p w14:paraId="3D4E585C" w14:textId="4A5FC51D" w:rsidR="003C208A" w:rsidRPr="00356F70" w:rsidRDefault="003C208A" w:rsidP="003C208A">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g:</w:t>
      </w:r>
      <w:r>
        <w:rPr>
          <w:rFonts w:cs="Arial"/>
          <w:sz w:val="22"/>
          <w:szCs w:val="22"/>
        </w:rPr>
        <w:tab/>
        <w:t xml:space="preserve">pretest memo </w:t>
      </w:r>
    </w:p>
    <w:p w14:paraId="530C0DBC" w14:textId="5AD6EEB0" w:rsidR="00356F70" w:rsidRPr="001E583B" w:rsidRDefault="00356F70" w:rsidP="001E583B"/>
    <w:p w14:paraId="1F23ED23" w14:textId="77777777" w:rsidR="00436B9F" w:rsidRPr="00994024" w:rsidRDefault="00436B9F" w:rsidP="00436B9F">
      <w:pPr>
        <w:spacing w:after="240" w:line="240" w:lineRule="auto"/>
        <w:ind w:firstLine="0"/>
        <w:jc w:val="center"/>
        <w:rPr>
          <w:rFonts w:ascii="Arial" w:hAnsi="Arial" w:cs="Arial"/>
          <w:b/>
        </w:rPr>
      </w:pPr>
      <w:r>
        <w:rPr>
          <w:rFonts w:ascii="Arial" w:hAnsi="Arial" w:cs="Arial"/>
          <w:b/>
        </w:rPr>
        <w:t>INSTRUMENTS</w:t>
      </w:r>
    </w:p>
    <w:p w14:paraId="1F23ED24" w14:textId="00D5D8F1" w:rsidR="00436B9F" w:rsidRDefault="00436B9F" w:rsidP="00436B9F">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w:t>
      </w:r>
      <w:r w:rsidR="00AB1363">
        <w:rPr>
          <w:rFonts w:ascii="Arial" w:hAnsi="Arial" w:cs="Arial"/>
          <w:caps/>
          <w:sz w:val="22"/>
          <w:szCs w:val="22"/>
        </w:rPr>
        <w:t>FOLLOW-UP</w:t>
      </w:r>
      <w:r w:rsidR="00B13A9A">
        <w:rPr>
          <w:rFonts w:ascii="Arial" w:hAnsi="Arial" w:cs="Arial"/>
          <w:caps/>
          <w:sz w:val="22"/>
          <w:szCs w:val="22"/>
        </w:rPr>
        <w:t xml:space="preserve"> </w:t>
      </w:r>
      <w:r>
        <w:rPr>
          <w:rFonts w:ascii="Arial" w:hAnsi="Arial" w:cs="Arial"/>
          <w:caps/>
          <w:sz w:val="22"/>
          <w:szCs w:val="22"/>
        </w:rPr>
        <w:t>survey</w:t>
      </w:r>
      <w:r w:rsidRPr="00994024">
        <w:rPr>
          <w:rFonts w:ascii="Arial" w:hAnsi="Arial" w:cs="Arial"/>
          <w:caps/>
          <w:sz w:val="22"/>
          <w:szCs w:val="22"/>
        </w:rPr>
        <w:t xml:space="preserve">  </w:t>
      </w:r>
    </w:p>
    <w:p w14:paraId="1F23ED2A" w14:textId="77777777" w:rsidR="00436B9F" w:rsidRPr="00994024" w:rsidRDefault="00436B9F" w:rsidP="00436B9F">
      <w:pPr>
        <w:spacing w:after="120" w:line="240" w:lineRule="auto"/>
        <w:ind w:firstLine="0"/>
        <w:jc w:val="left"/>
        <w:rPr>
          <w:rFonts w:ascii="Arial" w:hAnsi="Arial" w:cs="Arial"/>
          <w:caps/>
          <w:sz w:val="22"/>
          <w:szCs w:val="22"/>
        </w:rPr>
      </w:pPr>
    </w:p>
    <w:p w14:paraId="1F23ED2B" w14:textId="77777777" w:rsidR="00436B9F" w:rsidRDefault="00436B9F" w:rsidP="00436B9F">
      <w:pPr>
        <w:tabs>
          <w:tab w:val="clear" w:pos="432"/>
        </w:tabs>
        <w:spacing w:line="240" w:lineRule="auto"/>
        <w:ind w:firstLine="0"/>
        <w:jc w:val="left"/>
        <w:sectPr w:rsidR="00436B9F" w:rsidSect="00AB1363">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14:paraId="1F23ED2C" w14:textId="77777777" w:rsidR="00AC0487" w:rsidRDefault="00AC0487" w:rsidP="00AC0487">
      <w:pPr>
        <w:pStyle w:val="Heading1Black"/>
        <w:rPr>
          <w:rFonts w:eastAsia="Calibri"/>
          <w:caps w:val="0"/>
        </w:rPr>
      </w:pPr>
      <w:bookmarkStart w:id="34" w:name="_Toc477967641"/>
      <w:bookmarkEnd w:id="1"/>
      <w:bookmarkEnd w:id="2"/>
      <w:bookmarkEnd w:id="33"/>
      <w:r w:rsidRPr="002A6036">
        <w:rPr>
          <w:rFonts w:eastAsia="Calibri"/>
          <w:caps w:val="0"/>
        </w:rPr>
        <w:t xml:space="preserve">PART B </w:t>
      </w:r>
      <w:r>
        <w:rPr>
          <w:rFonts w:eastAsia="Calibri"/>
          <w:caps w:val="0"/>
        </w:rPr>
        <w:t>INTRODUCTION</w:t>
      </w:r>
      <w:bookmarkEnd w:id="34"/>
      <w:r>
        <w:rPr>
          <w:rFonts w:eastAsia="Calibri"/>
          <w:caps w:val="0"/>
        </w:rPr>
        <w:t xml:space="preserve"> </w:t>
      </w:r>
    </w:p>
    <w:p w14:paraId="23EEC8F0" w14:textId="7B8D9BD3" w:rsidR="00826504" w:rsidRPr="009F4DF4" w:rsidRDefault="00AC0487" w:rsidP="009F4DF4">
      <w:pPr>
        <w:pStyle w:val="NormalSS"/>
        <w:rPr>
          <w:i/>
          <w:kern w:val="24"/>
        </w:rPr>
      </w:pPr>
      <w:bookmarkStart w:id="35" w:name="_Toc320884919"/>
      <w:bookmarkStart w:id="36" w:name="_Toc324845910"/>
      <w:bookmarkStart w:id="37" w:name="_Toc396921847"/>
      <w:bookmarkStart w:id="38" w:name="_Toc437596008"/>
      <w:r w:rsidRPr="008778EE">
        <w:rPr>
          <w:kern w:val="24"/>
        </w:rPr>
        <w:t xml:space="preserve">In response to </w:t>
      </w:r>
      <w:r>
        <w:rPr>
          <w:kern w:val="24"/>
        </w:rPr>
        <w:t>a</w:t>
      </w:r>
      <w:r w:rsidRPr="008778EE">
        <w:rPr>
          <w:kern w:val="24"/>
        </w:rPr>
        <w:t xml:space="preserve"> shifting research agenda</w:t>
      </w:r>
      <w:r>
        <w:rPr>
          <w:kern w:val="24"/>
        </w:rPr>
        <w:t xml:space="preserve"> in the field of teen pregnancy prevention</w:t>
      </w:r>
      <w:r w:rsidRPr="008778EE">
        <w:rPr>
          <w:kern w:val="24"/>
        </w:rPr>
        <w:t xml:space="preserve">, the Office of Adolescent Health (OAH) seeks to design a new large-scale, multisite </w:t>
      </w:r>
      <w:r>
        <w:rPr>
          <w:kern w:val="24"/>
        </w:rPr>
        <w:t xml:space="preserve">random assignment </w:t>
      </w:r>
      <w:r w:rsidRPr="008778EE">
        <w:rPr>
          <w:kern w:val="24"/>
        </w:rPr>
        <w:t xml:space="preserve">evaluation of </w:t>
      </w:r>
      <w:r>
        <w:rPr>
          <w:kern w:val="24"/>
        </w:rPr>
        <w:t xml:space="preserve">an </w:t>
      </w:r>
      <w:r w:rsidR="003C5C02">
        <w:rPr>
          <w:kern w:val="24"/>
        </w:rPr>
        <w:t>abstinence</w:t>
      </w:r>
      <w:r w:rsidRPr="008778EE">
        <w:rPr>
          <w:kern w:val="24"/>
        </w:rPr>
        <w:t>-based te</w:t>
      </w:r>
      <w:r>
        <w:rPr>
          <w:kern w:val="24"/>
        </w:rPr>
        <w:t xml:space="preserve">en pregnancy prevention program that makes a significant contribution to </w:t>
      </w:r>
      <w:r w:rsidRPr="008778EE">
        <w:rPr>
          <w:kern w:val="24"/>
        </w:rPr>
        <w:t>the growing portfolio of research activities OAH has sponsored since the office was established in 2010. Much of OAH’s existing evaluation work focuses on documenting and evaluating the first cohort of grantees funded under the OAH Teen Pregnancy Prevention (TPP) program. With this new evaluation, OAH seeks to launch a “second gener</w:t>
      </w:r>
      <w:r>
        <w:rPr>
          <w:kern w:val="24"/>
        </w:rPr>
        <w:t xml:space="preserve">ation” of evaluation activities - </w:t>
      </w:r>
      <w:r w:rsidRPr="008778EE">
        <w:rPr>
          <w:kern w:val="24"/>
        </w:rPr>
        <w:t xml:space="preserve">one that addresses a more targeted set of research questions of significant practical relevance to OAH and the broader field. In particular, </w:t>
      </w:r>
      <w:r w:rsidR="008F2D9D">
        <w:rPr>
          <w:kern w:val="24"/>
        </w:rPr>
        <w:t>this</w:t>
      </w:r>
      <w:r w:rsidR="008F2D9D" w:rsidRPr="008778EE">
        <w:rPr>
          <w:kern w:val="24"/>
        </w:rPr>
        <w:t xml:space="preserve"> </w:t>
      </w:r>
      <w:r w:rsidRPr="008778EE">
        <w:rPr>
          <w:kern w:val="24"/>
        </w:rPr>
        <w:t xml:space="preserve">new evaluation will seek to advance the existing evidence base by testing </w:t>
      </w:r>
      <w:r w:rsidR="00F9476D">
        <w:rPr>
          <w:kern w:val="24"/>
        </w:rPr>
        <w:t>the</w:t>
      </w:r>
      <w:r w:rsidRPr="008778EE">
        <w:rPr>
          <w:kern w:val="24"/>
        </w:rPr>
        <w:t xml:space="preserve"> replication of </w:t>
      </w:r>
      <w:r>
        <w:rPr>
          <w:kern w:val="24"/>
        </w:rPr>
        <w:t xml:space="preserve">a </w:t>
      </w:r>
      <w:r w:rsidRPr="008778EE">
        <w:rPr>
          <w:kern w:val="24"/>
        </w:rPr>
        <w:t>commonly used but understudied evidence-based tee</w:t>
      </w:r>
      <w:r>
        <w:rPr>
          <w:kern w:val="24"/>
        </w:rPr>
        <w:t>n pregnancy prevention program,</w:t>
      </w:r>
      <w:r w:rsidRPr="008778EE">
        <w:rPr>
          <w:kern w:val="24"/>
        </w:rPr>
        <w:t xml:space="preserve"> </w:t>
      </w:r>
      <w:r w:rsidR="00F9476D">
        <w:rPr>
          <w:i/>
          <w:kern w:val="24"/>
        </w:rPr>
        <w:t xml:space="preserve">Making Proud Choices! </w:t>
      </w:r>
      <w:r w:rsidR="00F9476D" w:rsidRPr="009F4DF4">
        <w:rPr>
          <w:kern w:val="24"/>
        </w:rPr>
        <w:t xml:space="preserve">The </w:t>
      </w:r>
      <w:r w:rsidR="003560DB">
        <w:rPr>
          <w:kern w:val="24"/>
        </w:rPr>
        <w:t xml:space="preserve">abstinence-based </w:t>
      </w:r>
      <w:r w:rsidR="00F9476D" w:rsidRPr="00AE7F2B">
        <w:rPr>
          <w:i/>
          <w:kern w:val="24"/>
        </w:rPr>
        <w:t>MPC!</w:t>
      </w:r>
      <w:r w:rsidR="00F9476D" w:rsidRPr="009F4DF4">
        <w:rPr>
          <w:kern w:val="24"/>
        </w:rPr>
        <w:t xml:space="preserve"> curriculum aims to increase students’ knowledge of sexually transmitted diseases (STDs) and HIV, and understanding of the effectiveness of </w:t>
      </w:r>
      <w:r w:rsidR="003560DB">
        <w:rPr>
          <w:kern w:val="24"/>
        </w:rPr>
        <w:t xml:space="preserve">abstinence, </w:t>
      </w:r>
      <w:r w:rsidR="003560DB" w:rsidRPr="009F4DF4">
        <w:rPr>
          <w:kern w:val="24"/>
        </w:rPr>
        <w:t>condom</w:t>
      </w:r>
      <w:r w:rsidR="003560DB">
        <w:rPr>
          <w:kern w:val="24"/>
        </w:rPr>
        <w:t>s, and contraceptives</w:t>
      </w:r>
      <w:r w:rsidR="003560DB" w:rsidRPr="009F4DF4">
        <w:rPr>
          <w:kern w:val="24"/>
        </w:rPr>
        <w:t xml:space="preserve"> </w:t>
      </w:r>
      <w:r w:rsidR="00F9476D" w:rsidRPr="009F4DF4">
        <w:rPr>
          <w:kern w:val="24"/>
        </w:rPr>
        <w:t xml:space="preserve">at reducing STDs and pregnancy. </w:t>
      </w:r>
      <w:r w:rsidR="004521CE">
        <w:rPr>
          <w:kern w:val="24"/>
        </w:rPr>
        <w:t xml:space="preserve"> </w:t>
      </w:r>
    </w:p>
    <w:p w14:paraId="1A9F62ED" w14:textId="14702ECB" w:rsidR="00826504" w:rsidRPr="005B527E" w:rsidRDefault="004521CE" w:rsidP="00826504">
      <w:pPr>
        <w:pStyle w:val="NormalSS"/>
      </w:pPr>
      <w:r w:rsidRPr="004521CE">
        <w:t>On January 17, 2017</w:t>
      </w:r>
      <w:r>
        <w:t xml:space="preserve"> </w:t>
      </w:r>
      <w:r w:rsidR="00826504">
        <w:t xml:space="preserve">OMB approved the instruments associated with two data collection efforts for the </w:t>
      </w:r>
      <w:r w:rsidR="00826504" w:rsidRPr="004521CE">
        <w:rPr>
          <w:i/>
        </w:rPr>
        <w:t>MPC!</w:t>
      </w:r>
      <w:r w:rsidR="00826504">
        <w:t xml:space="preserve"> Evaluation: </w:t>
      </w:r>
      <w:r>
        <w:t>(</w:t>
      </w:r>
      <w:r w:rsidR="00826504">
        <w:t xml:space="preserve">1) collection of baseline data for the impact study through the baseline survey; and </w:t>
      </w:r>
      <w:r>
        <w:t>(</w:t>
      </w:r>
      <w:r w:rsidR="00826504">
        <w:t>2) collection of information for the implementation and fidelity assessment through master topic guides for interviews, staff surveys, program attendance data, fidelity logs, and youth focus groups (OMB Control #0990-</w:t>
      </w:r>
      <w:r w:rsidR="00BA1813">
        <w:t>0452</w:t>
      </w:r>
      <w:r w:rsidR="00826504">
        <w:t>).</w:t>
      </w:r>
    </w:p>
    <w:p w14:paraId="47D4B2FB" w14:textId="77777777" w:rsidR="00436D0A" w:rsidRDefault="00826504" w:rsidP="00436D0A">
      <w:pPr>
        <w:pStyle w:val="NormalSS"/>
      </w:pPr>
      <w:r>
        <w:t xml:space="preserve"> With this submission, OAH is requesting OMB approval for the follow-up survey i</w:t>
      </w:r>
      <w:r w:rsidR="00AB3DE6">
        <w:t xml:space="preserve">nstrument, which will be </w:t>
      </w:r>
      <w:r>
        <w:t>used to collect data from study participants. Th</w:t>
      </w:r>
      <w:r w:rsidR="004521CE">
        <w:t xml:space="preserve">is </w:t>
      </w:r>
      <w:r>
        <w:t>survey</w:t>
      </w:r>
      <w:r w:rsidR="004521CE">
        <w:t xml:space="preserve">, to </w:t>
      </w:r>
      <w:r>
        <w:t>be administered app</w:t>
      </w:r>
      <w:r w:rsidR="00AB3DE6">
        <w:t>roximately 9 and 15 months post-</w:t>
      </w:r>
      <w:r>
        <w:t>baseline</w:t>
      </w:r>
      <w:r w:rsidR="004521CE">
        <w:t xml:space="preserve">, </w:t>
      </w:r>
      <w:r>
        <w:t xml:space="preserve">contains several items that are on the OMB-approved baseline survey. Modifications </w:t>
      </w:r>
      <w:r w:rsidR="00AB3DE6">
        <w:t xml:space="preserve">made for the </w:t>
      </w:r>
      <w:r>
        <w:t>follow-up survey include dropping items not relevant for follow-up data collection, and adding items that address key outco</w:t>
      </w:r>
      <w:r w:rsidR="004521CE">
        <w:t xml:space="preserve">mes. </w:t>
      </w:r>
    </w:p>
    <w:p w14:paraId="1FB3123B" w14:textId="1D07F8D9" w:rsidR="00436D0A" w:rsidRPr="00436D0A" w:rsidRDefault="00436D0A" w:rsidP="00436D0A">
      <w:pPr>
        <w:pStyle w:val="NormalSS"/>
      </w:pPr>
      <w:r>
        <w:t>I</w:t>
      </w:r>
      <w:r w:rsidRPr="00436D0A">
        <w:t>n a randomized controlled trial, we technically do not need baseline measures of the outcomes for analysis because randomly determining treatment and control groups ensures that there are no systematic differences between the two groups that are correlated with the intervention; any inequalities observed are due to chance and do not introduce bias into the experiment. A valid estimate of program effectiveness is possible by simply testing the statistical significance of mean differences in outcomes across treatment and control groups. The government asks contractors to collect measures at baseline to (1) prove to report readers and evidence reviews that random assignment did, indeed, result in two equivalent groups on observables, and (2) improve the precision of our impact estimates.  If an outcome is not measured at baseline, it is common practice to use a proxy of that measure at baseline as a covariate in impact estimation models to improve precision.</w:t>
      </w:r>
    </w:p>
    <w:p w14:paraId="6FA2D95D" w14:textId="2640790E" w:rsidR="00826504" w:rsidRDefault="00436D0A" w:rsidP="00436D0A">
      <w:pPr>
        <w:pStyle w:val="NormalSS"/>
      </w:pPr>
      <w:r w:rsidRPr="00436D0A">
        <w:t>For the MPC follow-up survey, we added 8 items and a small number of sub-items that are directly related to the intervention and are designed to measure outcomes in the domains of knowledge, attitudes, refusal skills, and intentions (SSA, Table A1.1).  Prior to adding these 8 items and sub-items, we dropped 19 items that are considered time invariant or will not be used for impact or exploratory analyses.</w:t>
      </w:r>
      <w:r>
        <w:t xml:space="preserve"> The new items</w:t>
      </w:r>
      <w:r w:rsidR="00E2107E">
        <w:t xml:space="preserve"> are</w:t>
      </w:r>
      <w:r>
        <w:t xml:space="preserve"> 2.7, 2.18, 3.14, 3.15, 3.20, 3.21, 3.26, and 3.27, </w:t>
      </w:r>
      <w:r w:rsidR="00E2107E">
        <w:t>and the</w:t>
      </w:r>
      <w:r>
        <w:t xml:space="preserve"> new sub-items </w:t>
      </w:r>
      <w:r w:rsidR="00E2107E">
        <w:t>are with items</w:t>
      </w:r>
      <w:r>
        <w:t xml:space="preserve"> 2.2, 2.6 and 3.37</w:t>
      </w:r>
      <w:r w:rsidR="00E2107E">
        <w:t xml:space="preserve"> (Instrument 1)</w:t>
      </w:r>
      <w:r>
        <w:t>. In addition, we added an item on high school completion</w:t>
      </w:r>
      <w:r w:rsidR="00E2107E">
        <w:t xml:space="preserve"> (item 1.5)</w:t>
      </w:r>
      <w:r>
        <w:t xml:space="preserve">.  This is a very typical item on surveys of high school youth.  It was not measured at baseline because our sample was all enrolled in school at the time of study enrollment. While it is not an outcome for this intervention (and will not be used for impact analysis), it may be used for secondary or exploratory analyses. In addition, this contract will deliver a data file to OAH, and if OAH makes the data file available as a restricted or public use file, a measure of high school completion in a file that also contains adolescent attitudes, beliefs, and behaviors may well inform other research questions to be addressed through secondary data analysis. </w:t>
      </w:r>
      <w:r w:rsidR="004521CE">
        <w:t>Attachment A, a question-by-</w:t>
      </w:r>
      <w:r w:rsidR="00826504">
        <w:t>question review of items on the follow-up survey</w:t>
      </w:r>
      <w:r w:rsidR="004521CE">
        <w:t>,</w:t>
      </w:r>
      <w:r w:rsidR="00826504">
        <w:t xml:space="preserve"> notes which items are also found on the baseline survey</w:t>
      </w:r>
      <w:r w:rsidR="00AB3DE6">
        <w:t>,</w:t>
      </w:r>
      <w:r w:rsidR="00826504">
        <w:t xml:space="preserve"> and </w:t>
      </w:r>
      <w:r w:rsidR="00AB3DE6">
        <w:t xml:space="preserve">describes </w:t>
      </w:r>
      <w:r w:rsidR="00826504">
        <w:t xml:space="preserve">any modifications made for the follow-up survey. This document also identifies </w:t>
      </w:r>
      <w:r w:rsidR="00AB3DE6">
        <w:t xml:space="preserve">new </w:t>
      </w:r>
      <w:r w:rsidR="00826504">
        <w:t xml:space="preserve">items </w:t>
      </w:r>
      <w:r w:rsidR="00AB3DE6">
        <w:t xml:space="preserve">on </w:t>
      </w:r>
      <w:r w:rsidR="00826504">
        <w:t>the follow-up survey</w:t>
      </w:r>
      <w:r w:rsidR="00AB3DE6">
        <w:t>,</w:t>
      </w:r>
      <w:r w:rsidR="00826504">
        <w:t xml:space="preserve"> and the</w:t>
      </w:r>
      <w:r w:rsidR="00AB3DE6">
        <w:t>ir</w:t>
      </w:r>
      <w:r w:rsidR="00826504">
        <w:t xml:space="preserve"> source. </w:t>
      </w:r>
    </w:p>
    <w:p w14:paraId="34819A35" w14:textId="1B2BE39D" w:rsidR="00C3485F" w:rsidRPr="008A348A" w:rsidRDefault="00C3485F" w:rsidP="00C3485F">
      <w:pPr>
        <w:pStyle w:val="NormalSS"/>
        <w:ind w:firstLine="450"/>
      </w:pPr>
      <w:r>
        <w:t>Additionally, this submission describes a revision</w:t>
      </w:r>
      <w:r w:rsidR="0019132F">
        <w:t xml:space="preserve"> to the study in Section A.15. </w:t>
      </w:r>
      <w:r>
        <w:t xml:space="preserve">OAH originally designed the study to address the relative effectiveness of the program implemented by school health teachers and </w:t>
      </w:r>
      <w:r w:rsidR="00BB553D">
        <w:t xml:space="preserve">professional health educators. The original </w:t>
      </w:r>
      <w:r w:rsidRPr="00ED7FE9">
        <w:t xml:space="preserve">design used a three-armed </w:t>
      </w:r>
      <w:r w:rsidR="00BB553D">
        <w:t>randomized control trial (</w:t>
      </w:r>
      <w:r w:rsidRPr="00ED7FE9">
        <w:t>RCT</w:t>
      </w:r>
      <w:r w:rsidR="00BB553D">
        <w:t>)</w:t>
      </w:r>
      <w:r w:rsidRPr="00ED7FE9">
        <w:t xml:space="preserve">, where schools were to be randomly assigned to receive (1) </w:t>
      </w:r>
      <w:r w:rsidRPr="00AE7F2B">
        <w:rPr>
          <w:i/>
        </w:rPr>
        <w:t>MPC!</w:t>
      </w:r>
      <w:r w:rsidRPr="00ED7FE9">
        <w:t xml:space="preserve"> implemented by health educators, (2) </w:t>
      </w:r>
      <w:r w:rsidRPr="00AE7F2B">
        <w:rPr>
          <w:i/>
        </w:rPr>
        <w:t>MPC!</w:t>
      </w:r>
      <w:r w:rsidRPr="00ED7FE9">
        <w:t xml:space="preserve"> impleme</w:t>
      </w:r>
      <w:r w:rsidR="00BB553D">
        <w:t xml:space="preserve">nted by school teachers, or (3) </w:t>
      </w:r>
      <w:r w:rsidRPr="00ED7FE9">
        <w:t xml:space="preserve">business as usual health programming </w:t>
      </w:r>
      <w:r>
        <w:t>as</w:t>
      </w:r>
      <w:r w:rsidRPr="00ED7FE9">
        <w:t xml:space="preserve"> the control condition. </w:t>
      </w:r>
      <w:r>
        <w:t xml:space="preserve">After input from an expert panel, OAH has changed the design to test the effectiveness of the program as delivered by health educators. Schools will now be randomized to one of two groups: (1) </w:t>
      </w:r>
      <w:r w:rsidRPr="00AE7F2B">
        <w:rPr>
          <w:i/>
        </w:rPr>
        <w:t>MPC!</w:t>
      </w:r>
      <w:r w:rsidRPr="00ED7FE9">
        <w:t xml:space="preserve"> implemented by health educators,</w:t>
      </w:r>
      <w:r w:rsidR="00BB553D">
        <w:t xml:space="preserve"> and (2) </w:t>
      </w:r>
      <w:r w:rsidRPr="00ED7FE9">
        <w:t xml:space="preserve">business as usual health programming </w:t>
      </w:r>
      <w:r>
        <w:t>as</w:t>
      </w:r>
      <w:r w:rsidRPr="00ED7FE9">
        <w:t xml:space="preserve"> the control condition</w:t>
      </w:r>
      <w:r>
        <w:t xml:space="preserve">. The same number of schools are expected to participate in the study, which does not change the original burden assumptions. </w:t>
      </w:r>
    </w:p>
    <w:p w14:paraId="1F23ED2F" w14:textId="77777777" w:rsidR="00AC0487" w:rsidRDefault="00AC0487" w:rsidP="00AC0487">
      <w:pPr>
        <w:pStyle w:val="Heading2Black"/>
      </w:pPr>
      <w:bookmarkStart w:id="39" w:name="_Toc477967642"/>
      <w:r w:rsidRPr="002A6036">
        <w:t>B1.</w:t>
      </w:r>
      <w:r w:rsidRPr="002A6036">
        <w:tab/>
        <w:t>Respondent Universe and Sampling Methods</w:t>
      </w:r>
      <w:bookmarkEnd w:id="35"/>
      <w:bookmarkEnd w:id="36"/>
      <w:bookmarkEnd w:id="37"/>
      <w:bookmarkEnd w:id="38"/>
      <w:bookmarkEnd w:id="39"/>
    </w:p>
    <w:p w14:paraId="1B5856C0" w14:textId="148852EE" w:rsidR="00064B98" w:rsidRDefault="00064B98" w:rsidP="001B2D5A">
      <w:pPr>
        <w:pStyle w:val="NormalSS"/>
        <w:keepNext/>
      </w:pPr>
      <w:r w:rsidRPr="00C6253E">
        <w:t xml:space="preserve">The </w:t>
      </w:r>
      <w:r>
        <w:t>evaluation</w:t>
      </w:r>
      <w:r w:rsidRPr="00C6253E">
        <w:t xml:space="preserve"> will be conducted in </w:t>
      </w:r>
      <w:r>
        <w:t xml:space="preserve">approximately </w:t>
      </w:r>
      <w:r w:rsidR="00665DF8">
        <w:t xml:space="preserve">39 </w:t>
      </w:r>
      <w:r w:rsidR="00665DF8" w:rsidRPr="00C6253E">
        <w:t xml:space="preserve"> </w:t>
      </w:r>
      <w:r w:rsidRPr="00C6253E">
        <w:t xml:space="preserve">high schools, and in required health classes. </w:t>
      </w:r>
    </w:p>
    <w:p w14:paraId="35DDB28A" w14:textId="77777777" w:rsidR="003F3E5C" w:rsidRDefault="003F3E5C" w:rsidP="001B2D5A">
      <w:pPr>
        <w:pStyle w:val="NormalSS"/>
      </w:pPr>
    </w:p>
    <w:p w14:paraId="3618ACCD" w14:textId="77777777" w:rsidR="003F3E5C" w:rsidRDefault="003F3E5C" w:rsidP="003F3E5C">
      <w:pPr>
        <w:pStyle w:val="NormalSS"/>
        <w:jc w:val="left"/>
      </w:pPr>
      <w:r w:rsidRPr="00C6253E">
        <w:t xml:space="preserve">It is expected that most youth in the study will be </w:t>
      </w:r>
      <w:r>
        <w:t xml:space="preserve">9th </w:t>
      </w:r>
      <w:r w:rsidRPr="00C6253E">
        <w:t>grade</w:t>
      </w:r>
      <w:r>
        <w:t>r</w:t>
      </w:r>
      <w:r w:rsidRPr="00C6253E">
        <w:t>s</w:t>
      </w:r>
      <w:r>
        <w:t xml:space="preserve"> enrolled in a school’s required health class</w:t>
      </w:r>
      <w:r w:rsidRPr="00C6253E">
        <w:t xml:space="preserve">. </w:t>
      </w:r>
      <w:r>
        <w:t>S</w:t>
      </w:r>
      <w:r w:rsidRPr="00C219EE">
        <w:t>chools will be randomized to one of two conditions</w:t>
      </w:r>
      <w:r>
        <w:t>:</w:t>
      </w:r>
      <w:r w:rsidRPr="00C219EE">
        <w:t xml:space="preserve"> (1) </w:t>
      </w:r>
      <w:r>
        <w:t xml:space="preserve">a treatment group </w:t>
      </w:r>
      <w:r w:rsidRPr="00C219EE">
        <w:t>taught</w:t>
      </w:r>
      <w:r w:rsidRPr="00964596">
        <w:rPr>
          <w:i/>
        </w:rPr>
        <w:t xml:space="preserve"> </w:t>
      </w:r>
      <w:r w:rsidRPr="00066FCC">
        <w:rPr>
          <w:i/>
        </w:rPr>
        <w:t>MPC!</w:t>
      </w:r>
      <w:r w:rsidRPr="00C219EE">
        <w:t xml:space="preserve"> by an outside health educator </w:t>
      </w:r>
      <w:r>
        <w:t>from</w:t>
      </w:r>
      <w:r w:rsidRPr="00C219EE">
        <w:t xml:space="preserve"> a local health department or community</w:t>
      </w:r>
      <w:r>
        <w:t>-</w:t>
      </w:r>
      <w:r w:rsidRPr="00C219EE">
        <w:t>based organization, or (2) a control group that receives the health curriculum the school’s health teacher normally provides</w:t>
      </w:r>
      <w:r>
        <w:t xml:space="preserve"> (i.e., a business-as-usual control condition)</w:t>
      </w:r>
      <w:r w:rsidRPr="00C219EE">
        <w:t xml:space="preserve">. </w:t>
      </w:r>
    </w:p>
    <w:p w14:paraId="5E83F89D" w14:textId="77777777" w:rsidR="00A23527" w:rsidRDefault="003F3E5C" w:rsidP="00A23527">
      <w:pPr>
        <w:pStyle w:val="NormalSS"/>
        <w:jc w:val="left"/>
      </w:pPr>
      <w:r w:rsidRPr="00C3485F">
        <w:t>Eligible evaluation youth will be those that are expected to take a required health class.</w:t>
      </w:r>
      <w:r>
        <w:t xml:space="preserve"> </w:t>
      </w:r>
      <w:r w:rsidRPr="00110F47">
        <w:t xml:space="preserve">We anticipate that 3,900 youth enrolled in the expected 39 study schools will be eligible to participate because they are enrolled in </w:t>
      </w:r>
      <w:r>
        <w:t xml:space="preserve">such </w:t>
      </w:r>
      <w:r w:rsidRPr="00110F47">
        <w:t>a class. We expect to consent 70 percent of the eligible youth, for a total sample size of 2,730, of which we expect 90 percent will complete the first follow-up survey (n=2,457) and 85 percent will complete the second</w:t>
      </w:r>
      <w:r>
        <w:t xml:space="preserve"> follow-up survey</w:t>
      </w:r>
      <w:r w:rsidRPr="00110F47">
        <w:t xml:space="preserve"> (n=2,321). </w:t>
      </w:r>
      <w:r>
        <w:t>These response rates are in line with other federally funded projects using a similar design, such as PREP (OMB Control Number 0970-0398), where first follow-up response rates in two of the school-based sites are 90 to 94 percent, and second follow-up response rates are 84 to 91 percent.</w:t>
      </w:r>
      <w:r w:rsidRPr="00B81A5C">
        <w:rPr>
          <w:vertAlign w:val="superscript"/>
        </w:rPr>
        <w:footnoteReference w:id="1"/>
      </w:r>
      <w:r w:rsidR="00A60516" w:rsidRPr="00AE7F2B">
        <w:t xml:space="preserve">Similarly, on PPA in the Chicago school-based site (OMB Control Number </w:t>
      </w:r>
      <w:r w:rsidR="00AE7F2B" w:rsidRPr="00AE7F2B">
        <w:t>0990-0382) the first follow-up response rate was 94 percent and the second follow-up response rate was 90 percent</w:t>
      </w:r>
      <w:r w:rsidR="00A60516" w:rsidRPr="00AE7F2B">
        <w:t>.</w:t>
      </w:r>
      <w:r w:rsidR="00A60516">
        <w:t xml:space="preserve"> </w:t>
      </w:r>
    </w:p>
    <w:p w14:paraId="1F23ED30" w14:textId="07E58B29" w:rsidR="00AC0487" w:rsidRPr="009F4DF4" w:rsidRDefault="00AC0487" w:rsidP="00A23527">
      <w:pPr>
        <w:pStyle w:val="NormalSS"/>
        <w:jc w:val="left"/>
      </w:pPr>
      <w:r>
        <w:t xml:space="preserve">The evaluation sample is expected to be equally male and female, primarily African American or Hispanic (at least 50 percent of the sample), and low-income (with more than 50 percent of the sample qualifying for free and reduced price lunch). </w:t>
      </w:r>
    </w:p>
    <w:p w14:paraId="1F23ED31" w14:textId="591282C3" w:rsidR="00AC0487" w:rsidRDefault="00AC0487" w:rsidP="00C53BAC">
      <w:pPr>
        <w:spacing w:after="240" w:line="240" w:lineRule="auto"/>
      </w:pPr>
      <w:r>
        <w:rPr>
          <w:b/>
          <w:i/>
        </w:rPr>
        <w:t xml:space="preserve">Statistical Power. </w:t>
      </w:r>
      <w:r>
        <w:t>In similar studies of teen pregnancy prevention programs in schools with group admi</w:t>
      </w:r>
      <w:r w:rsidR="004018DC">
        <w:t xml:space="preserve">nistration of follow-up surveys, </w:t>
      </w:r>
      <w:r w:rsidR="0001610D">
        <w:t xml:space="preserve">such as </w:t>
      </w:r>
      <w:r w:rsidR="0084085B" w:rsidRPr="00254CCF">
        <w:t>the Personal Responsibility Education Program (PREP</w:t>
      </w:r>
      <w:r w:rsidR="0084085B">
        <w:t xml:space="preserve"> - OMB Control Number 0970-0398</w:t>
      </w:r>
      <w:r w:rsidR="0084085B" w:rsidRPr="00254CCF">
        <w:t>)</w:t>
      </w:r>
      <w:r w:rsidR="0084085B">
        <w:t xml:space="preserve"> </w:t>
      </w:r>
      <w:r w:rsidR="0001610D">
        <w:t xml:space="preserve">and the </w:t>
      </w:r>
      <w:r w:rsidR="0001610D" w:rsidRPr="00BE4EF0">
        <w:t xml:space="preserve">Evaluation of Adolescent Pregnancy Prevention Approaches </w:t>
      </w:r>
      <w:r w:rsidR="004018DC">
        <w:t>(</w:t>
      </w:r>
      <w:r w:rsidR="0001610D">
        <w:t>PPA</w:t>
      </w:r>
      <w:r w:rsidR="004018DC">
        <w:t>-</w:t>
      </w:r>
      <w:r w:rsidR="006E33F2">
        <w:t xml:space="preserve">OMB Control Number </w:t>
      </w:r>
      <w:r w:rsidR="006E33F2" w:rsidRPr="00903ABB">
        <w:t>0990-0382</w:t>
      </w:r>
      <w:r w:rsidR="004018DC">
        <w:t>)</w:t>
      </w:r>
      <w:r>
        <w:t xml:space="preserve">, we have achieved high response rates on follow-up surveys. On PREP, for example, two </w:t>
      </w:r>
      <w:r w:rsidR="00B0454A">
        <w:t xml:space="preserve">of the </w:t>
      </w:r>
      <w:r w:rsidR="008928F0">
        <w:t xml:space="preserve">school-based </w:t>
      </w:r>
      <w:r>
        <w:t xml:space="preserve">studies have greater than 90 percent response rates at the first follow-up (12 months after baseline) and </w:t>
      </w:r>
      <w:r w:rsidR="00997B9C">
        <w:t>about</w:t>
      </w:r>
      <w:r>
        <w:t xml:space="preserve"> </w:t>
      </w:r>
      <w:r w:rsidR="009B2E8C">
        <w:t>84 </w:t>
      </w:r>
      <w:r>
        <w:t>percent at the second follow-</w:t>
      </w:r>
      <w:r w:rsidR="0051675D">
        <w:t xml:space="preserve">up (24 months after baseline). </w:t>
      </w:r>
      <w:r w:rsidR="0019132F" w:rsidRPr="00A23527">
        <w:t xml:space="preserve">On </w:t>
      </w:r>
      <w:r w:rsidR="00E36194" w:rsidRPr="00A23527">
        <w:t xml:space="preserve">the </w:t>
      </w:r>
      <w:r w:rsidR="0019132F" w:rsidRPr="00A23527">
        <w:t xml:space="preserve">PPA </w:t>
      </w:r>
      <w:r w:rsidR="009B2E8C" w:rsidRPr="00A23527">
        <w:t xml:space="preserve">(OMB Control Number 0990-0382) </w:t>
      </w:r>
      <w:r w:rsidR="00E36194" w:rsidRPr="00A23527">
        <w:t>Chicago school-bas</w:t>
      </w:r>
      <w:r w:rsidR="003F3E5C" w:rsidRPr="00A23527">
        <w:t>ed site, the first follow-</w:t>
      </w:r>
      <w:r w:rsidR="00E36194" w:rsidRPr="00A23527">
        <w:t>up response rate</w:t>
      </w:r>
      <w:r w:rsidR="009B2E8C" w:rsidRPr="00A23527">
        <w:t xml:space="preserve"> </w:t>
      </w:r>
      <w:r w:rsidR="00E36194" w:rsidRPr="00A23527">
        <w:t xml:space="preserve">was </w:t>
      </w:r>
      <w:r w:rsidR="003F3E5C" w:rsidRPr="00A23527">
        <w:t xml:space="preserve">94 percent </w:t>
      </w:r>
      <w:r w:rsidR="009B2E8C" w:rsidRPr="00A23527">
        <w:t xml:space="preserve">and </w:t>
      </w:r>
      <w:r w:rsidR="00E36194" w:rsidRPr="00A23527">
        <w:t xml:space="preserve">the </w:t>
      </w:r>
      <w:r w:rsidR="003F3E5C" w:rsidRPr="00A23527">
        <w:t>second follow-</w:t>
      </w:r>
      <w:r w:rsidR="009B2E8C" w:rsidRPr="00A23527">
        <w:t xml:space="preserve">up response rate </w:t>
      </w:r>
      <w:r w:rsidR="00E36194" w:rsidRPr="00A23527">
        <w:t>was</w:t>
      </w:r>
      <w:r w:rsidR="003F3E5C" w:rsidRPr="00A23527">
        <w:t xml:space="preserve"> 90 percent</w:t>
      </w:r>
      <w:r w:rsidR="009B2E8C" w:rsidRPr="00A23527">
        <w:t xml:space="preserve">. </w:t>
      </w:r>
      <w:r w:rsidRPr="00A23527">
        <w:t>W</w:t>
      </w:r>
      <w:r>
        <w:t xml:space="preserve">e anticipate similar response rates for this study where the first follow-up is planned for 9 months after baseline and the second follow-up is planned for 15 months after baseline. Also, based on our experiences on PREP and PPA, we expect to retain all </w:t>
      </w:r>
      <w:r w:rsidR="006E33F2">
        <w:t xml:space="preserve">39 </w:t>
      </w:r>
      <w:r w:rsidR="00E37223">
        <w:t>randomized clusters</w:t>
      </w:r>
      <w:r>
        <w:t xml:space="preserve">. Power calculations are therefore based on retaining </w:t>
      </w:r>
      <w:r w:rsidR="00E37223">
        <w:t>the entire school sample.</w:t>
      </w:r>
    </w:p>
    <w:p w14:paraId="1F23ED32" w14:textId="792F668B" w:rsidR="00AC0487" w:rsidRDefault="000F0992" w:rsidP="001B2D5A">
      <w:pPr>
        <w:spacing w:after="240" w:line="240" w:lineRule="auto"/>
        <w:rPr>
          <w:color w:val="000000" w:themeColor="text1"/>
        </w:rPr>
      </w:pPr>
      <w:r w:rsidRPr="000F0992">
        <w:t xml:space="preserve">The primary impact analysis will focus on </w:t>
      </w:r>
      <w:r w:rsidR="00901A33">
        <w:t xml:space="preserve">those </w:t>
      </w:r>
      <w:r w:rsidRPr="000F0992">
        <w:t>who provide follow-up survey data, regardless of their level of participation in the program, or whether they complete the baseline survey</w:t>
      </w:r>
      <w:r w:rsidR="00901A33">
        <w:t xml:space="preserve">. This will enable the </w:t>
      </w:r>
      <w:r w:rsidRPr="000F0992">
        <w:t xml:space="preserve">team to conduct a rigorous, intent-to-treat impact analysis that meets the standards of the HHS Evidence Review. </w:t>
      </w:r>
      <w:r w:rsidR="00CB5308">
        <w:t>As noted above, w</w:t>
      </w:r>
      <w:r w:rsidR="0090139A" w:rsidRPr="0090139A">
        <w:t>e expect som</w:t>
      </w:r>
      <w:r w:rsidR="00901A33">
        <w:t xml:space="preserve">e non-response to the surveys. We expect that 95 percent </w:t>
      </w:r>
      <w:r w:rsidR="0090139A" w:rsidRPr="0090139A">
        <w:t>of consented youth will complete the baseline survey (n=</w:t>
      </w:r>
      <w:r w:rsidR="00BF514C">
        <w:t>2,594</w:t>
      </w:r>
      <w:r w:rsidR="00901A33">
        <w:t xml:space="preserve">), 90 percent </w:t>
      </w:r>
      <w:r w:rsidR="0090139A" w:rsidRPr="0090139A">
        <w:t>will complete the first follow-up (n=</w:t>
      </w:r>
      <w:r w:rsidR="00BF514C">
        <w:t>2,457</w:t>
      </w:r>
      <w:r w:rsidR="00901A33">
        <w:t xml:space="preserve">), and 85 percent </w:t>
      </w:r>
      <w:r w:rsidR="0090139A" w:rsidRPr="0090139A">
        <w:t xml:space="preserve">will complete </w:t>
      </w:r>
      <w:r w:rsidR="0084085B">
        <w:t>the second follow-up (n=</w:t>
      </w:r>
      <w:r w:rsidR="00BF514C">
        <w:t>2,321</w:t>
      </w:r>
      <w:r w:rsidR="00901A33">
        <w:t xml:space="preserve">). </w:t>
      </w:r>
      <w:r w:rsidR="00DF71A3">
        <w:t xml:space="preserve">At the first follow-up (9 months after baseline), </w:t>
      </w:r>
      <w:r w:rsidR="00DF71A3">
        <w:rPr>
          <w:color w:val="000000" w:themeColor="text1"/>
        </w:rPr>
        <w:t>f</w:t>
      </w:r>
      <w:r w:rsidR="00DF71A3" w:rsidRPr="006434F5">
        <w:rPr>
          <w:color w:val="000000" w:themeColor="text1"/>
        </w:rPr>
        <w:t xml:space="preserve">or </w:t>
      </w:r>
      <w:r w:rsidR="00AC0487" w:rsidRPr="006434F5">
        <w:rPr>
          <w:color w:val="000000" w:themeColor="text1"/>
        </w:rPr>
        <w:t xml:space="preserve">a prevalence rate of 25 percent (such as a </w:t>
      </w:r>
      <w:r w:rsidR="00AC0487">
        <w:rPr>
          <w:color w:val="000000" w:themeColor="text1"/>
        </w:rPr>
        <w:t>sexual initiation</w:t>
      </w:r>
      <w:r w:rsidR="00AC0487" w:rsidRPr="006434F5">
        <w:rPr>
          <w:color w:val="000000" w:themeColor="text1"/>
        </w:rPr>
        <w:t xml:space="preserve">), we can detect a </w:t>
      </w:r>
      <w:r w:rsidR="00BF514C">
        <w:rPr>
          <w:color w:val="000000" w:themeColor="text1"/>
        </w:rPr>
        <w:t>5.5</w:t>
      </w:r>
      <w:r w:rsidR="00AC0487">
        <w:rPr>
          <w:color w:val="000000" w:themeColor="text1"/>
        </w:rPr>
        <w:t xml:space="preserve"> percentage</w:t>
      </w:r>
      <w:r w:rsidR="00AC0487" w:rsidRPr="006434F5">
        <w:rPr>
          <w:color w:val="000000" w:themeColor="text1"/>
        </w:rPr>
        <w:t xml:space="preserve"> point differ</w:t>
      </w:r>
      <w:r w:rsidR="00965BCA">
        <w:rPr>
          <w:color w:val="000000" w:themeColor="text1"/>
        </w:rPr>
        <w:t xml:space="preserve">ence between the two groups; </w:t>
      </w:r>
      <w:r w:rsidR="00AC0487" w:rsidRPr="006434F5">
        <w:rPr>
          <w:color w:val="000000" w:themeColor="text1"/>
        </w:rPr>
        <w:t xml:space="preserve">for a prevalence rate of 50 percent (such as </w:t>
      </w:r>
      <w:r w:rsidR="00AC0487">
        <w:rPr>
          <w:color w:val="000000" w:themeColor="text1"/>
        </w:rPr>
        <w:t>contraception use</w:t>
      </w:r>
      <w:r w:rsidR="00AC0487" w:rsidRPr="006434F5">
        <w:rPr>
          <w:color w:val="000000" w:themeColor="text1"/>
        </w:rPr>
        <w:t>), we can detect a</w:t>
      </w:r>
      <w:r w:rsidR="00C56C82">
        <w:rPr>
          <w:color w:val="000000" w:themeColor="text1"/>
        </w:rPr>
        <w:t>n</w:t>
      </w:r>
      <w:r w:rsidR="00AC0487" w:rsidRPr="006434F5">
        <w:rPr>
          <w:color w:val="000000" w:themeColor="text1"/>
        </w:rPr>
        <w:t xml:space="preserve"> </w:t>
      </w:r>
      <w:r w:rsidR="00BF514C">
        <w:rPr>
          <w:color w:val="000000" w:themeColor="text1"/>
        </w:rPr>
        <w:t>6.4</w:t>
      </w:r>
      <w:r w:rsidR="00AC0487" w:rsidRPr="006434F5">
        <w:rPr>
          <w:color w:val="000000" w:themeColor="text1"/>
        </w:rPr>
        <w:t xml:space="preserve"> percentage point difference between the two groups.</w:t>
      </w:r>
      <w:r w:rsidR="0051675D">
        <w:rPr>
          <w:color w:val="000000" w:themeColor="text1"/>
        </w:rPr>
        <w:t xml:space="preserve"> </w:t>
      </w:r>
      <w:r w:rsidR="00965BCA">
        <w:rPr>
          <w:color w:val="000000" w:themeColor="text1"/>
        </w:rPr>
        <w:t>At the time of the longer-</w:t>
      </w:r>
      <w:r w:rsidR="00AC0487">
        <w:rPr>
          <w:color w:val="000000" w:themeColor="text1"/>
        </w:rPr>
        <w:t xml:space="preserve">term follow-up (15 months after baseline), </w:t>
      </w:r>
      <w:r w:rsidR="00DF71A3">
        <w:rPr>
          <w:color w:val="000000" w:themeColor="text1"/>
        </w:rPr>
        <w:t>w</w:t>
      </w:r>
      <w:r w:rsidR="00AC0487">
        <w:rPr>
          <w:color w:val="000000" w:themeColor="text1"/>
        </w:rPr>
        <w:t>e will be able to detect similar MDIs as we will at the 9-month follow-up (Table B1.1)</w:t>
      </w:r>
    </w:p>
    <w:p w14:paraId="1F23ED33" w14:textId="77777777" w:rsidR="00AC0487" w:rsidRPr="00CE2E6C" w:rsidRDefault="00AC0487" w:rsidP="001B2D5A">
      <w:pPr>
        <w:pStyle w:val="MarkforTableHeading"/>
      </w:pPr>
      <w:bookmarkStart w:id="40" w:name="_Toc396896776"/>
      <w:bookmarkStart w:id="41" w:name="_Toc448731872"/>
      <w:r w:rsidRPr="002A6036">
        <w:t xml:space="preserve">Table B1.1. Minimum Detectible Impacts for </w:t>
      </w:r>
      <w:bookmarkEnd w:id="40"/>
      <w:r>
        <w:t>The Federal Evaluation of MPC!</w:t>
      </w:r>
      <w:bookmarkEnd w:id="41"/>
    </w:p>
    <w:tbl>
      <w:tblPr>
        <w:tblStyle w:val="MPRBaseTable"/>
        <w:tblW w:w="5000" w:type="pct"/>
        <w:tblLook w:val="04A0" w:firstRow="1" w:lastRow="0" w:firstColumn="1" w:lastColumn="0" w:noHBand="0" w:noVBand="1"/>
      </w:tblPr>
      <w:tblGrid>
        <w:gridCol w:w="3658"/>
        <w:gridCol w:w="2901"/>
        <w:gridCol w:w="3017"/>
      </w:tblGrid>
      <w:tr w:rsidR="00C53BAC" w:rsidRPr="00D31680" w14:paraId="1F23ED37" w14:textId="77777777" w:rsidTr="00C53BAC">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1488" w:type="pct"/>
            <w:tcBorders>
              <w:bottom w:val="single" w:sz="2" w:space="0" w:color="auto"/>
            </w:tcBorders>
            <w:noWrap/>
            <w:hideMark/>
          </w:tcPr>
          <w:p w14:paraId="1F23ED34" w14:textId="77777777" w:rsidR="00AC0487" w:rsidRPr="00AC0487" w:rsidRDefault="00AC0487" w:rsidP="00AB1363">
            <w:pPr>
              <w:spacing w:line="240" w:lineRule="auto"/>
              <w:ind w:firstLine="0"/>
              <w:rPr>
                <w:rFonts w:cs="Arial"/>
                <w:szCs w:val="18"/>
                <w:highlight w:val="lightGray"/>
              </w:rPr>
            </w:pPr>
          </w:p>
        </w:tc>
        <w:tc>
          <w:tcPr>
            <w:tcW w:w="1726" w:type="pct"/>
            <w:tcBorders>
              <w:bottom w:val="single" w:sz="2" w:space="0" w:color="auto"/>
            </w:tcBorders>
            <w:hideMark/>
          </w:tcPr>
          <w:p w14:paraId="1F23ED35" w14:textId="77777777" w:rsidR="00AC0487" w:rsidRPr="00C53BAC" w:rsidRDefault="00AC0487" w:rsidP="00C53BAC">
            <w:pPr>
              <w:pStyle w:val="TableHeaderCenter"/>
              <w:cnfStyle w:val="100000000000" w:firstRow="1" w:lastRow="0" w:firstColumn="0" w:lastColumn="0" w:oddVBand="0" w:evenVBand="0" w:oddHBand="0" w:evenHBand="0" w:firstRowFirstColumn="0" w:firstRowLastColumn="0" w:lastRowFirstColumn="0" w:lastRowLastColumn="0"/>
              <w:rPr>
                <w:b/>
              </w:rPr>
            </w:pPr>
            <w:r w:rsidRPr="00C53BAC">
              <w:rPr>
                <w:b/>
              </w:rPr>
              <w:t xml:space="preserve">First follow-up </w:t>
            </w:r>
            <w:r w:rsidRPr="00C53BAC">
              <w:rPr>
                <w:b/>
              </w:rPr>
              <w:br/>
              <w:t>(90% response rate)</w:t>
            </w:r>
          </w:p>
        </w:tc>
        <w:tc>
          <w:tcPr>
            <w:tcW w:w="1786" w:type="pct"/>
            <w:tcBorders>
              <w:bottom w:val="single" w:sz="2" w:space="0" w:color="auto"/>
            </w:tcBorders>
            <w:hideMark/>
          </w:tcPr>
          <w:p w14:paraId="1F23ED36" w14:textId="77777777" w:rsidR="00AC0487" w:rsidRPr="00C53BAC" w:rsidRDefault="00AC0487" w:rsidP="00C53BAC">
            <w:pPr>
              <w:pStyle w:val="TableHeaderCenter"/>
              <w:cnfStyle w:val="100000000000" w:firstRow="1" w:lastRow="0" w:firstColumn="0" w:lastColumn="0" w:oddVBand="0" w:evenVBand="0" w:oddHBand="0" w:evenHBand="0" w:firstRowFirstColumn="0" w:firstRowLastColumn="0" w:lastRowFirstColumn="0" w:lastRowLastColumn="0"/>
              <w:rPr>
                <w:b/>
              </w:rPr>
            </w:pPr>
            <w:r w:rsidRPr="00C53BAC">
              <w:rPr>
                <w:b/>
              </w:rPr>
              <w:t>Second follow-up</w:t>
            </w:r>
            <w:r w:rsidRPr="00C53BAC">
              <w:rPr>
                <w:b/>
              </w:rPr>
              <w:br/>
              <w:t>(85% response rate)</w:t>
            </w:r>
          </w:p>
        </w:tc>
      </w:tr>
      <w:tr w:rsidR="00AC0487" w:rsidRPr="00D31680" w14:paraId="1F23ED3B" w14:textId="77777777" w:rsidTr="00C53B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tcBorders>
              <w:top w:val="single" w:sz="2" w:space="0" w:color="auto"/>
            </w:tcBorders>
            <w:noWrap/>
            <w:hideMark/>
          </w:tcPr>
          <w:p w14:paraId="1F23ED38" w14:textId="77777777" w:rsidR="00AC0487" w:rsidRPr="00CE2E6C" w:rsidRDefault="00AC0487" w:rsidP="00C53BAC">
            <w:pPr>
              <w:pStyle w:val="TableText"/>
              <w:spacing w:before="60" w:after="60"/>
              <w:contextualSpacing w:val="0"/>
            </w:pPr>
            <w:r w:rsidRPr="00CE2E6C">
              <w:t>MDES</w:t>
            </w:r>
          </w:p>
        </w:tc>
        <w:tc>
          <w:tcPr>
            <w:tcW w:w="1726" w:type="pct"/>
            <w:tcBorders>
              <w:top w:val="single" w:sz="2" w:space="0" w:color="auto"/>
            </w:tcBorders>
            <w:noWrap/>
            <w:hideMark/>
          </w:tcPr>
          <w:p w14:paraId="1F23ED39" w14:textId="77D8CFDD" w:rsidR="00AC0487" w:rsidRPr="00CE2E6C" w:rsidRDefault="00AC0487" w:rsidP="00BF514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0.</w:t>
            </w:r>
            <w:r w:rsidR="00BF514C">
              <w:t>128</w:t>
            </w:r>
          </w:p>
        </w:tc>
        <w:tc>
          <w:tcPr>
            <w:tcW w:w="1786" w:type="pct"/>
            <w:tcBorders>
              <w:top w:val="single" w:sz="2" w:space="0" w:color="auto"/>
            </w:tcBorders>
            <w:noWrap/>
            <w:hideMark/>
          </w:tcPr>
          <w:p w14:paraId="1F23ED3A" w14:textId="77777777" w:rsidR="00AC0487" w:rsidRPr="00CE2E6C" w:rsidRDefault="00AC0487" w:rsidP="00C53BA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rsidRPr="00CE2E6C">
              <w:t>0.175</w:t>
            </w:r>
          </w:p>
        </w:tc>
      </w:tr>
      <w:tr w:rsidR="00AC0487" w:rsidRPr="00D31680" w14:paraId="1F23ED3F" w14:textId="77777777" w:rsidTr="00C53B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noWrap/>
            <w:hideMark/>
          </w:tcPr>
          <w:p w14:paraId="1F23ED3C" w14:textId="77777777" w:rsidR="00AC0487" w:rsidRPr="00CE2E6C" w:rsidRDefault="00AC0487" w:rsidP="00C53BAC">
            <w:pPr>
              <w:pStyle w:val="TableText"/>
              <w:spacing w:before="60" w:after="60"/>
              <w:contextualSpacing w:val="0"/>
            </w:pPr>
            <w:r w:rsidRPr="00CE2E6C">
              <w:t>MDI (50% prevalence rate in control group)</w:t>
            </w:r>
          </w:p>
        </w:tc>
        <w:tc>
          <w:tcPr>
            <w:tcW w:w="1726" w:type="pct"/>
            <w:noWrap/>
            <w:hideMark/>
          </w:tcPr>
          <w:p w14:paraId="1F23ED3D" w14:textId="6E2D5F41" w:rsidR="00AC0487" w:rsidRPr="00CE2E6C" w:rsidRDefault="00BF514C" w:rsidP="00C53BAC">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pPr>
            <w:r>
              <w:t>6.4</w:t>
            </w:r>
            <w:r w:rsidR="00997B9C">
              <w:t xml:space="preserve"> percentage points</w:t>
            </w:r>
          </w:p>
        </w:tc>
        <w:tc>
          <w:tcPr>
            <w:tcW w:w="1786" w:type="pct"/>
            <w:noWrap/>
            <w:hideMark/>
          </w:tcPr>
          <w:p w14:paraId="1F23ED3E" w14:textId="335C4DD1" w:rsidR="00AC0487" w:rsidRPr="00CE2E6C" w:rsidRDefault="00BF514C" w:rsidP="00997B9C">
            <w:pPr>
              <w:pStyle w:val="TableText"/>
              <w:spacing w:before="60" w:after="60"/>
              <w:contextualSpacing w:val="0"/>
              <w:jc w:val="center"/>
              <w:cnfStyle w:val="000000010000" w:firstRow="0" w:lastRow="0" w:firstColumn="0" w:lastColumn="0" w:oddVBand="0" w:evenVBand="0" w:oddHBand="0" w:evenHBand="1" w:firstRowFirstColumn="0" w:firstRowLastColumn="0" w:lastRowFirstColumn="0" w:lastRowLastColumn="0"/>
            </w:pPr>
            <w:r>
              <w:t>6.5</w:t>
            </w:r>
            <w:r w:rsidR="00997B9C">
              <w:t xml:space="preserve"> </w:t>
            </w:r>
            <w:r w:rsidR="00997B9C" w:rsidRPr="00997B9C">
              <w:t>percentage points</w:t>
            </w:r>
          </w:p>
        </w:tc>
      </w:tr>
      <w:tr w:rsidR="00AC0487" w:rsidRPr="00D31680" w14:paraId="1F23ED43" w14:textId="77777777" w:rsidTr="00C53B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8" w:type="pct"/>
            <w:noWrap/>
            <w:hideMark/>
          </w:tcPr>
          <w:p w14:paraId="1F23ED40" w14:textId="77777777" w:rsidR="00AC0487" w:rsidRPr="00CE2E6C" w:rsidRDefault="00AC0487" w:rsidP="00C53BAC">
            <w:pPr>
              <w:pStyle w:val="TableText"/>
              <w:spacing w:before="60" w:after="60"/>
              <w:contextualSpacing w:val="0"/>
            </w:pPr>
            <w:r w:rsidRPr="00CE2E6C">
              <w:t>MDI (25% prevalence rate in control group)</w:t>
            </w:r>
          </w:p>
        </w:tc>
        <w:tc>
          <w:tcPr>
            <w:tcW w:w="1726" w:type="pct"/>
            <w:noWrap/>
            <w:hideMark/>
          </w:tcPr>
          <w:p w14:paraId="1F23ED41" w14:textId="70E407A9" w:rsidR="00AC0487" w:rsidRPr="00CE2E6C" w:rsidRDefault="00BF514C" w:rsidP="00997B9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t>5.5</w:t>
            </w:r>
            <w:r w:rsidR="00997B9C">
              <w:t xml:space="preserve"> </w:t>
            </w:r>
            <w:r w:rsidR="00997B9C" w:rsidRPr="00997B9C">
              <w:t>percentage points</w:t>
            </w:r>
          </w:p>
        </w:tc>
        <w:tc>
          <w:tcPr>
            <w:tcW w:w="1786" w:type="pct"/>
            <w:noWrap/>
            <w:hideMark/>
          </w:tcPr>
          <w:p w14:paraId="1F23ED42" w14:textId="5CEFACD4" w:rsidR="00AC0487" w:rsidRPr="00CE2E6C" w:rsidRDefault="00BF514C" w:rsidP="00997B9C">
            <w:pPr>
              <w:pStyle w:val="TableText"/>
              <w:spacing w:before="60" w:after="60"/>
              <w:contextualSpacing w:val="0"/>
              <w:jc w:val="center"/>
              <w:cnfStyle w:val="000000100000" w:firstRow="0" w:lastRow="0" w:firstColumn="0" w:lastColumn="0" w:oddVBand="0" w:evenVBand="0" w:oddHBand="1" w:evenHBand="0" w:firstRowFirstColumn="0" w:firstRowLastColumn="0" w:lastRowFirstColumn="0" w:lastRowLastColumn="0"/>
            </w:pPr>
            <w:r>
              <w:t>5.6</w:t>
            </w:r>
            <w:r w:rsidR="00997B9C" w:rsidRPr="00997B9C">
              <w:rPr>
                <w:rFonts w:ascii="Garamond" w:hAnsi="Garamond"/>
                <w:sz w:val="24"/>
              </w:rPr>
              <w:t xml:space="preserve"> </w:t>
            </w:r>
            <w:r w:rsidR="00997B9C" w:rsidRPr="00997B9C">
              <w:t>percentage points</w:t>
            </w:r>
          </w:p>
        </w:tc>
      </w:tr>
    </w:tbl>
    <w:p w14:paraId="1F23ED44" w14:textId="31203CE4" w:rsidR="00C53BAC" w:rsidRPr="00CE2E6C" w:rsidRDefault="00C53BAC" w:rsidP="00C53BAC">
      <w:pPr>
        <w:pStyle w:val="TableSourceCaption"/>
      </w:pPr>
      <w:r>
        <w:t>Note:</w:t>
      </w:r>
      <w:r>
        <w:tab/>
      </w:r>
      <w:r w:rsidRPr="00CE2E6C">
        <w:t>These calculations assume an intra-class correlation coefficient of .</w:t>
      </w:r>
      <w:r w:rsidR="00CB5308" w:rsidRPr="00CE2E6C">
        <w:t>0</w:t>
      </w:r>
      <w:r w:rsidR="00CB5308">
        <w:t>1</w:t>
      </w:r>
      <w:r w:rsidRPr="00CE2E6C">
        <w:t xml:space="preserve">; 25 percent of individual-level variance in the outcome explained; and </w:t>
      </w:r>
      <w:r w:rsidR="00CB5308">
        <w:t>7</w:t>
      </w:r>
      <w:r w:rsidR="00CB5308" w:rsidRPr="00CE2E6C">
        <w:t xml:space="preserve">0 </w:t>
      </w:r>
      <w:r w:rsidRPr="00CE2E6C">
        <w:t>percent of the cluster variance explained, due to baseline measures of the outcome of interest, baseline assessment of other risk behaviors, and demographics.</w:t>
      </w:r>
    </w:p>
    <w:p w14:paraId="1F23ED45" w14:textId="163E2F2E" w:rsidR="00C53BAC" w:rsidRPr="00CE2E6C" w:rsidRDefault="00A71F96" w:rsidP="001B2D5A">
      <w:pPr>
        <w:pStyle w:val="TableFootnoteCaption"/>
        <w:spacing w:after="240"/>
        <w:rPr>
          <w:sz w:val="24"/>
        </w:rPr>
      </w:pPr>
      <w:r>
        <w:t>MDES = Minimum Detecti</w:t>
      </w:r>
      <w:r w:rsidR="00C53BAC" w:rsidRPr="00CE2E6C">
        <w:t>ble Effect Size</w:t>
      </w:r>
    </w:p>
    <w:p w14:paraId="6F092983" w14:textId="2D3C6403" w:rsidR="00387D9A" w:rsidRPr="00886088" w:rsidRDefault="00387D9A" w:rsidP="001B2D5A">
      <w:pPr>
        <w:pStyle w:val="NormalSS"/>
      </w:pPr>
      <w:r w:rsidRPr="00886088">
        <w:rPr>
          <w:rStyle w:val="NormalSSChar"/>
          <w:szCs w:val="24"/>
        </w:rPr>
        <w:t xml:space="preserve">We also plan </w:t>
      </w:r>
      <w:r w:rsidR="00A71F96">
        <w:rPr>
          <w:rStyle w:val="NormalSSChar"/>
          <w:szCs w:val="24"/>
        </w:rPr>
        <w:t>to conduct</w:t>
      </w:r>
      <w:r w:rsidRPr="00886088">
        <w:rPr>
          <w:rStyle w:val="NormalSSChar"/>
          <w:szCs w:val="24"/>
        </w:rPr>
        <w:t xml:space="preserve"> analyses on subgroups defined by baseline measures. These analyses will be considered exploratory, and </w:t>
      </w:r>
      <w:r w:rsidR="00A71F96">
        <w:rPr>
          <w:rStyle w:val="NormalSSChar"/>
          <w:szCs w:val="24"/>
        </w:rPr>
        <w:t xml:space="preserve">will </w:t>
      </w:r>
      <w:r w:rsidRPr="00886088">
        <w:rPr>
          <w:rStyle w:val="NormalSSChar"/>
          <w:szCs w:val="24"/>
        </w:rPr>
        <w:t xml:space="preserve">not </w:t>
      </w:r>
      <w:r w:rsidR="00A71F96">
        <w:rPr>
          <w:rStyle w:val="NormalSSChar"/>
          <w:szCs w:val="24"/>
        </w:rPr>
        <w:t xml:space="preserve">be </w:t>
      </w:r>
      <w:r w:rsidRPr="00886088">
        <w:rPr>
          <w:rStyle w:val="NormalSSChar"/>
          <w:szCs w:val="24"/>
        </w:rPr>
        <w:t>used as a primary</w:t>
      </w:r>
      <w:r w:rsidRPr="00886088">
        <w:t xml:space="preserve"> test of the effectiveness of the intervention. Instead, they are intended to help program providers and practitioners understand </w:t>
      </w:r>
      <w:r w:rsidR="00A71F96">
        <w:t xml:space="preserve">whether </w:t>
      </w:r>
      <w:r w:rsidRPr="00886088">
        <w:t xml:space="preserve">the pattern of the findings for the full sample is similar </w:t>
      </w:r>
      <w:r w:rsidR="00A71F96">
        <w:t xml:space="preserve">to </w:t>
      </w:r>
      <w:r w:rsidRPr="00886088">
        <w:t xml:space="preserve">or different </w:t>
      </w:r>
      <w:r w:rsidR="00A71F96">
        <w:t xml:space="preserve">from </w:t>
      </w:r>
      <w:r w:rsidRPr="00886088">
        <w:t>trends obse</w:t>
      </w:r>
      <w:r w:rsidR="0019132F">
        <w:t xml:space="preserve">rved for particular subgroups. </w:t>
      </w:r>
      <w:r w:rsidRPr="00886088">
        <w:t xml:space="preserve">We will observe trends for subgroups defined by (1) gender, and (2) sexual experience at baseline. </w:t>
      </w:r>
    </w:p>
    <w:p w14:paraId="350A3BC3" w14:textId="0970B2E6" w:rsidR="00387D9A" w:rsidRPr="00CE2E6C" w:rsidRDefault="00387D9A" w:rsidP="00C53BAC">
      <w:pPr>
        <w:pStyle w:val="NormalSS"/>
      </w:pPr>
      <w:r w:rsidRPr="00886088">
        <w:t>We acknowledge that statistical power for these exploratory analyses may be insufficient due to smaller sample sizes within the s</w:t>
      </w:r>
      <w:r w:rsidR="00A71F96">
        <w:t>ubgroups. For that reason, the</w:t>
      </w:r>
      <w:r w:rsidRPr="00886088">
        <w:t xml:space="preserve"> analyses are intended </w:t>
      </w:r>
      <w:r w:rsidR="00A71F96">
        <w:t xml:space="preserve">not </w:t>
      </w:r>
      <w:r w:rsidRPr="00886088">
        <w:t xml:space="preserve">as a primary test of the intervention’s effectiveness, but instead </w:t>
      </w:r>
      <w:r w:rsidR="00A71F96">
        <w:t xml:space="preserve">as a means </w:t>
      </w:r>
      <w:r w:rsidRPr="00886088">
        <w:t>to understand whether the overall pattern of findings are similar to trends observed within and across particular subgroups.</w:t>
      </w:r>
      <w:r>
        <w:t xml:space="preserve">  </w:t>
      </w:r>
    </w:p>
    <w:p w14:paraId="1F23ED47" w14:textId="77777777" w:rsidR="00AC0487" w:rsidRPr="002A6036" w:rsidRDefault="00AC0487" w:rsidP="00AC0487">
      <w:pPr>
        <w:pStyle w:val="Heading2Black"/>
      </w:pPr>
      <w:bookmarkStart w:id="42" w:name="_Toc320884920"/>
      <w:bookmarkStart w:id="43" w:name="_Toc324845911"/>
      <w:bookmarkStart w:id="44" w:name="_Toc396921848"/>
      <w:bookmarkStart w:id="45" w:name="_Toc437596009"/>
      <w:bookmarkStart w:id="46" w:name="_Toc477967643"/>
      <w:r w:rsidRPr="002A6036">
        <w:t>B2.</w:t>
      </w:r>
      <w:r w:rsidRPr="002A6036">
        <w:tab/>
        <w:t>Procedures for Collection of Information</w:t>
      </w:r>
      <w:bookmarkEnd w:id="42"/>
      <w:bookmarkEnd w:id="43"/>
      <w:bookmarkEnd w:id="44"/>
      <w:bookmarkEnd w:id="45"/>
      <w:bookmarkEnd w:id="46"/>
      <w:r>
        <w:t xml:space="preserve"> </w:t>
      </w:r>
    </w:p>
    <w:p w14:paraId="1F23ED49" w14:textId="2B9F48D1" w:rsidR="00AC0487" w:rsidRPr="002A6036" w:rsidRDefault="00AC0487" w:rsidP="001424BC">
      <w:pPr>
        <w:pStyle w:val="NormalSS"/>
        <w:shd w:val="clear" w:color="auto" w:fill="FFFFFF" w:themeFill="background1"/>
      </w:pPr>
      <w:r>
        <w:t xml:space="preserve">In each of the schools, </w:t>
      </w:r>
      <w:r w:rsidRPr="002A6036">
        <w:t xml:space="preserve">all youth </w:t>
      </w:r>
      <w:r w:rsidR="000E3DCE">
        <w:t xml:space="preserve">with parental consent </w:t>
      </w:r>
      <w:r w:rsidRPr="002A6036">
        <w:t xml:space="preserve">will be considered for </w:t>
      </w:r>
      <w:r w:rsidR="000E3DCE">
        <w:t>follow-up data collection</w:t>
      </w:r>
      <w:r w:rsidRPr="002A6036">
        <w:t xml:space="preserve">. </w:t>
      </w:r>
      <w:r>
        <w:t xml:space="preserve">Mathematica staff </w:t>
      </w:r>
      <w:r w:rsidRPr="002A6036">
        <w:t xml:space="preserve">will work with </w:t>
      </w:r>
      <w:r>
        <w:t xml:space="preserve">the schools </w:t>
      </w:r>
      <w:r w:rsidR="004F79F1">
        <w:t xml:space="preserve">prior to follow-up data collection </w:t>
      </w:r>
      <w:r w:rsidRPr="002A6036">
        <w:t>to</w:t>
      </w:r>
      <w:r w:rsidRPr="00B22E8A">
        <w:t xml:space="preserve"> </w:t>
      </w:r>
      <w:r w:rsidR="004F79F1">
        <w:t xml:space="preserve">identify which study participants are still enrolled and </w:t>
      </w:r>
      <w:r w:rsidR="000806E2">
        <w:t xml:space="preserve">which have </w:t>
      </w:r>
      <w:r w:rsidR="004F79F1">
        <w:t xml:space="preserve">moved or transferred to another school. </w:t>
      </w:r>
    </w:p>
    <w:p w14:paraId="1F23ED4A" w14:textId="58AD80B4" w:rsidR="00AC0487" w:rsidRDefault="00AC0487" w:rsidP="00AC0487">
      <w:pPr>
        <w:pStyle w:val="NormalSS"/>
        <w:rPr>
          <w:rFonts w:cs="Calibri"/>
        </w:rPr>
      </w:pPr>
      <w:r w:rsidRPr="00254CCF">
        <w:t xml:space="preserve">The data collection plan for the </w:t>
      </w:r>
      <w:r w:rsidR="000E3DCE">
        <w:t xml:space="preserve">follow-up </w:t>
      </w:r>
      <w:r w:rsidRPr="00254CCF">
        <w:t xml:space="preserve">survey </w:t>
      </w:r>
      <w:r>
        <w:t xml:space="preserve">is the same across </w:t>
      </w:r>
      <w:r w:rsidR="009F6772">
        <w:t>all participating</w:t>
      </w:r>
      <w:r w:rsidR="004018DC">
        <w:t xml:space="preserve"> </w:t>
      </w:r>
      <w:r>
        <w:t xml:space="preserve">schools and </w:t>
      </w:r>
      <w:r w:rsidRPr="00254CCF">
        <w:t xml:space="preserve">reflects sensitivity to issues of efficiency, accuracy, and respondent burden. </w:t>
      </w:r>
      <w:r>
        <w:t xml:space="preserve">The </w:t>
      </w:r>
      <w:r w:rsidR="000E3DCE">
        <w:t xml:space="preserve">follow-up </w:t>
      </w:r>
      <w:r>
        <w:t xml:space="preserve">survey will be administered to consented youth </w:t>
      </w:r>
      <w:r w:rsidR="000E3DCE">
        <w:t xml:space="preserve">approximately </w:t>
      </w:r>
      <w:r w:rsidR="000806E2">
        <w:t xml:space="preserve">9 </w:t>
      </w:r>
      <w:r w:rsidR="000E3DCE">
        <w:t xml:space="preserve">months after completing the baseline survey and again approximately </w:t>
      </w:r>
      <w:r w:rsidR="000806E2">
        <w:t xml:space="preserve">15 </w:t>
      </w:r>
      <w:r w:rsidR="000E3DCE">
        <w:t>months after completing the baseline survey</w:t>
      </w:r>
      <w:r>
        <w:t xml:space="preserve">. </w:t>
      </w:r>
      <w:r w:rsidR="000806E2">
        <w:t xml:space="preserve">As with </w:t>
      </w:r>
      <w:r w:rsidR="000E3DCE">
        <w:t xml:space="preserve">the baseline survey, the follow-up </w:t>
      </w:r>
      <w:r w:rsidRPr="00460E29">
        <w:t xml:space="preserve">survey </w:t>
      </w:r>
      <w:r>
        <w:t xml:space="preserve">will be </w:t>
      </w:r>
      <w:r w:rsidRPr="00460E29">
        <w:t xml:space="preserve">web-based </w:t>
      </w:r>
      <w:r>
        <w:t>and</w:t>
      </w:r>
      <w:r w:rsidRPr="00460E29">
        <w:t xml:space="preserve"> administered in </w:t>
      </w:r>
      <w:r>
        <w:t xml:space="preserve">a group setting at each </w:t>
      </w:r>
      <w:r w:rsidRPr="00460E29">
        <w:t>school</w:t>
      </w:r>
      <w:r w:rsidRPr="00254CCF">
        <w:t xml:space="preserve">. </w:t>
      </w:r>
      <w:r w:rsidRPr="00254CCF">
        <w:rPr>
          <w:rFonts w:cs="Calibri"/>
        </w:rPr>
        <w:t xml:space="preserve">The </w:t>
      </w:r>
      <w:r w:rsidR="00BF0E5A">
        <w:rPr>
          <w:rFonts w:cs="Calibri"/>
        </w:rPr>
        <w:t xml:space="preserve">web </w:t>
      </w:r>
      <w:r>
        <w:rPr>
          <w:rFonts w:cs="Calibri"/>
        </w:rPr>
        <w:t xml:space="preserve">survey </w:t>
      </w:r>
      <w:r w:rsidR="0019132F">
        <w:t xml:space="preserve">will be </w:t>
      </w:r>
      <w:r>
        <w:rPr>
          <w:rFonts w:cs="Calibri"/>
        </w:rPr>
        <w:t xml:space="preserve">smartphone-compatible; Mathematica will </w:t>
      </w:r>
      <w:r w:rsidRPr="00460E29">
        <w:rPr>
          <w:rFonts w:cs="Calibri"/>
        </w:rPr>
        <w:t xml:space="preserve">provide participants with smartphones, along with a unique </w:t>
      </w:r>
      <w:r w:rsidR="006E33F2">
        <w:rPr>
          <w:rFonts w:cs="Calibri"/>
        </w:rPr>
        <w:t>login</w:t>
      </w:r>
      <w:r w:rsidRPr="00460E29">
        <w:rPr>
          <w:rFonts w:cs="Calibri"/>
        </w:rPr>
        <w:t xml:space="preserve"> to access the survey from the device</w:t>
      </w:r>
      <w:r>
        <w:rPr>
          <w:rFonts w:cs="Calibri"/>
        </w:rPr>
        <w:t xml:space="preserve">. </w:t>
      </w:r>
    </w:p>
    <w:p w14:paraId="1F23ED4B" w14:textId="655CA46D" w:rsidR="00AC0487" w:rsidRDefault="00A1729F" w:rsidP="00AC0487">
      <w:pPr>
        <w:pStyle w:val="NormalSS"/>
      </w:pPr>
      <w:r>
        <w:rPr>
          <w:rFonts w:cs="Garamond"/>
        </w:rPr>
        <w:t xml:space="preserve">Mathematica will </w:t>
      </w:r>
      <w:r w:rsidRPr="002A6036">
        <w:rPr>
          <w:rFonts w:cs="Garamond"/>
        </w:rPr>
        <w:t xml:space="preserve">train staff on answering questions about the study, </w:t>
      </w:r>
      <w:r>
        <w:rPr>
          <w:rFonts w:cs="Garamond"/>
        </w:rPr>
        <w:t>collecting student assent,</w:t>
      </w:r>
      <w:r w:rsidRPr="002A6036">
        <w:rPr>
          <w:rFonts w:cs="Garamond"/>
        </w:rPr>
        <w:t xml:space="preserve"> </w:t>
      </w:r>
      <w:r>
        <w:rPr>
          <w:rFonts w:cs="Garamond"/>
        </w:rPr>
        <w:t xml:space="preserve">and </w:t>
      </w:r>
      <w:r w:rsidRPr="002A6036">
        <w:rPr>
          <w:rFonts w:cs="Garamond"/>
        </w:rPr>
        <w:t xml:space="preserve">administering </w:t>
      </w:r>
      <w:r>
        <w:rPr>
          <w:rFonts w:cs="Garamond"/>
        </w:rPr>
        <w:t>the follow-up survey to youth.</w:t>
      </w:r>
      <w:r>
        <w:t xml:space="preserve"> </w:t>
      </w:r>
      <w:r w:rsidR="00AC0487">
        <w:t xml:space="preserve">The evaluation team will work with sites to determine the best day, time, and location for the group </w:t>
      </w:r>
      <w:r w:rsidR="00AC0487" w:rsidRPr="008A7ABE">
        <w:t xml:space="preserve">survey </w:t>
      </w:r>
      <w:r w:rsidR="00AC0487">
        <w:t>administration. The team will begin the administration by reviewing the details of the study and obtaining youth assent.</w:t>
      </w:r>
      <w:r w:rsidR="00560301" w:rsidRPr="00560301">
        <w:rPr>
          <w:rStyle w:val="FootnoteReference"/>
        </w:rPr>
        <w:t xml:space="preserve"> </w:t>
      </w:r>
      <w:r w:rsidR="00560301">
        <w:rPr>
          <w:rStyle w:val="FootnoteReference"/>
        </w:rPr>
        <w:footnoteReference w:id="2"/>
      </w:r>
      <w:r w:rsidR="00AC0487">
        <w:t xml:space="preserve"> </w:t>
      </w:r>
      <w:r w:rsidR="00560301">
        <w:t xml:space="preserve">Any </w:t>
      </w:r>
      <w:r w:rsidR="00AC0487">
        <w:t xml:space="preserve">student </w:t>
      </w:r>
      <w:r w:rsidR="00560301">
        <w:t xml:space="preserve">who </w:t>
      </w:r>
      <w:r w:rsidR="00AC0487">
        <w:t>chooses to opt out</w:t>
      </w:r>
      <w:r w:rsidR="00560301">
        <w:t xml:space="preserve"> of the survey </w:t>
      </w:r>
      <w:r w:rsidR="00AC0487">
        <w:t xml:space="preserve">will be led to another room with students who do not have permission to participate in the study. Youth who agree to take the survey will be provided with a unique </w:t>
      </w:r>
      <w:r w:rsidR="006E33F2">
        <w:t>login</w:t>
      </w:r>
      <w:r w:rsidR="00AC0487">
        <w:t xml:space="preserve"> to access the web application</w:t>
      </w:r>
      <w:r w:rsidR="006E33F2">
        <w:t xml:space="preserve"> and will be prompted to enter a verification code, such as their </w:t>
      </w:r>
      <w:r w:rsidR="002E1A2B">
        <w:t>date of birth</w:t>
      </w:r>
      <w:r w:rsidR="006E33F2">
        <w:t>, to begin</w:t>
      </w:r>
      <w:r w:rsidR="001424BC">
        <w:t>.</w:t>
      </w:r>
      <w:r w:rsidR="00AC0487">
        <w:t xml:space="preserve"> The survey will be self-administered. Students will be instructed to begin the survey and work through </w:t>
      </w:r>
      <w:r w:rsidR="0075563B">
        <w:t>at their own pace.</w:t>
      </w:r>
      <w:r w:rsidR="00936482">
        <w:t xml:space="preserve"> </w:t>
      </w:r>
    </w:p>
    <w:p w14:paraId="567FC4F3" w14:textId="46554FC7" w:rsidR="002E1A2B" w:rsidRDefault="00AC0487" w:rsidP="00AC0487">
      <w:pPr>
        <w:pStyle w:val="NormalSS"/>
      </w:pPr>
      <w:r>
        <w:t xml:space="preserve">The survey </w:t>
      </w:r>
      <w:r w:rsidRPr="00A84C70">
        <w:t>ask</w:t>
      </w:r>
      <w:r w:rsidR="00B27E84">
        <w:t>s</w:t>
      </w:r>
      <w:r w:rsidRPr="00A84C70">
        <w:t xml:space="preserve"> all youth for </w:t>
      </w:r>
      <w:r w:rsidR="00B27E84">
        <w:t xml:space="preserve">some </w:t>
      </w:r>
      <w:r w:rsidRPr="00A84C70">
        <w:t>background information and include</w:t>
      </w:r>
      <w:r w:rsidR="00B27E84">
        <w:t>s</w:t>
      </w:r>
      <w:r w:rsidRPr="00A84C70">
        <w:t xml:space="preserve"> a screening question about sexual experience. The survey </w:t>
      </w:r>
      <w:r>
        <w:t xml:space="preserve">then </w:t>
      </w:r>
      <w:r w:rsidRPr="00A84C70">
        <w:t>route</w:t>
      </w:r>
      <w:r w:rsidR="00B27E84">
        <w:t>s</w:t>
      </w:r>
      <w:r w:rsidRPr="00A84C70">
        <w:t xml:space="preserve"> youth who report ever having sex to additional questions about sexual behavior and their use of contraceptives; those who report never having sex will be routed to other questions.</w:t>
      </w:r>
      <w:r>
        <w:t xml:space="preserve"> No personally </w:t>
      </w:r>
      <w:r w:rsidRPr="00A84C70">
        <w:t>identifying information will appear with</w:t>
      </w:r>
      <w:r>
        <w:t xml:space="preserve"> the survey. </w:t>
      </w:r>
      <w:r w:rsidRPr="002A6036">
        <w:t xml:space="preserve">A question by question list of sources for the </w:t>
      </w:r>
      <w:r w:rsidR="000E3DCE">
        <w:t xml:space="preserve">follow-up </w:t>
      </w:r>
      <w:r w:rsidRPr="002A6036">
        <w:t xml:space="preserve">survey is </w:t>
      </w:r>
      <w:r w:rsidRPr="009B309B">
        <w:t>in Attachment A, and a description of the sources refere</w:t>
      </w:r>
      <w:r w:rsidR="0075563B">
        <w:t>nced is in Attachment B</w:t>
      </w:r>
      <w:r w:rsidR="002E1A2B">
        <w:t xml:space="preserve">. </w:t>
      </w:r>
      <w:r>
        <w:t xml:space="preserve">Once they have completed the survey, </w:t>
      </w:r>
      <w:r w:rsidRPr="00A84C70">
        <w:t>youth will close the web survey application and return the smartphone to a member of the evaluation team.</w:t>
      </w:r>
      <w:r>
        <w:t xml:space="preserve"> When the survey administration is complete, Mathematica field staff will work with school staff to arrange make-up administrations </w:t>
      </w:r>
      <w:r w:rsidR="000137E8">
        <w:t xml:space="preserve">for </w:t>
      </w:r>
      <w:r>
        <w:t xml:space="preserve">any students who </w:t>
      </w:r>
      <w:r w:rsidR="000137E8">
        <w:t xml:space="preserve">were </w:t>
      </w:r>
      <w:r>
        <w:t xml:space="preserve">absent. </w:t>
      </w:r>
    </w:p>
    <w:p w14:paraId="33A98ED3" w14:textId="71CF5511" w:rsidR="008B5727" w:rsidRDefault="00936482" w:rsidP="00AC0487">
      <w:pPr>
        <w:pStyle w:val="NormalSS"/>
      </w:pPr>
      <w:r w:rsidRPr="00936482">
        <w:t xml:space="preserve">Baseline survey administration has been completed in one study </w:t>
      </w:r>
      <w:r>
        <w:t>site</w:t>
      </w:r>
      <w:r w:rsidRPr="00936482">
        <w:t xml:space="preserve">, and web administration using smartphones was successful.  </w:t>
      </w:r>
      <w:r>
        <w:t>Ho</w:t>
      </w:r>
      <w:r w:rsidR="007A3B4D">
        <w:t>we</w:t>
      </w:r>
      <w:r>
        <w:t>ver, if</w:t>
      </w:r>
      <w:r w:rsidR="008B5727">
        <w:t>f</w:t>
      </w:r>
      <w:r>
        <w:t xml:space="preserve"> for any future administrations</w:t>
      </w:r>
      <w:r w:rsidR="003C5C02">
        <w:t xml:space="preserve"> for the baseline or follow-up surveys</w:t>
      </w:r>
      <w:r w:rsidR="008B5727">
        <w:t xml:space="preserve"> there is an internet </w:t>
      </w:r>
      <w:r w:rsidR="003C5C02">
        <w:t xml:space="preserve">or cellular </w:t>
      </w:r>
      <w:r w:rsidR="008B5727">
        <w:t xml:space="preserve">outage at the school on the day of </w:t>
      </w:r>
      <w:r w:rsidR="00E55E9E">
        <w:t xml:space="preserve">the </w:t>
      </w:r>
      <w:r w:rsidR="008B5727">
        <w:t>survey, field staff will facilitate a self-administered pencil and paper survey instrument (PAPI). The evaluation team</w:t>
      </w:r>
      <w:r w:rsidR="008B5727" w:rsidRPr="00D7028D">
        <w:t xml:space="preserve"> </w:t>
      </w:r>
      <w:r w:rsidR="008B5727">
        <w:t>will have</w:t>
      </w:r>
      <w:r w:rsidR="009E4B67">
        <w:t>, as a back-</w:t>
      </w:r>
      <w:r w:rsidR="008B5727">
        <w:t>up</w:t>
      </w:r>
      <w:r w:rsidR="009E4B67">
        <w:t>,</w:t>
      </w:r>
      <w:r w:rsidR="008B5727" w:rsidRPr="00D7028D">
        <w:t xml:space="preserve"> pre-identified survey packets </w:t>
      </w:r>
      <w:r w:rsidR="008B5727">
        <w:t xml:space="preserve">that they can hand out </w:t>
      </w:r>
      <w:r w:rsidR="008B5727" w:rsidRPr="00D7028D">
        <w:t xml:space="preserve">to the youth whose names are on the packets, </w:t>
      </w:r>
      <w:r w:rsidR="008B5727">
        <w:t>after</w:t>
      </w:r>
      <w:r w:rsidR="008B5727" w:rsidRPr="00D7028D">
        <w:t xml:space="preserve"> obtaining youth a</w:t>
      </w:r>
      <w:r w:rsidR="008B5727">
        <w:t xml:space="preserve">ssent. Each packet will consist of the </w:t>
      </w:r>
      <w:r w:rsidR="008B5727" w:rsidRPr="009E4B67">
        <w:rPr>
          <w:i/>
        </w:rPr>
        <w:t>MPC!</w:t>
      </w:r>
      <w:r w:rsidR="008B5727">
        <w:t xml:space="preserve"> follow-up survey and a sealable</w:t>
      </w:r>
      <w:r w:rsidR="008B5727" w:rsidRPr="00D7028D">
        <w:t xml:space="preserve"> re</w:t>
      </w:r>
      <w:r w:rsidR="008B5727">
        <w:t>turn envelope. The survey</w:t>
      </w:r>
      <w:r w:rsidR="008B5727" w:rsidRPr="00D7028D">
        <w:t xml:space="preserve"> will have a label with a unique ID number (no personally identifying information </w:t>
      </w:r>
      <w:r w:rsidR="008B5727">
        <w:t>will appear on the survey</w:t>
      </w:r>
      <w:r w:rsidR="008B5727" w:rsidRPr="00D7028D">
        <w:t xml:space="preserve"> or return envelope). Youth will s</w:t>
      </w:r>
      <w:r w:rsidR="008B5727">
        <w:t xml:space="preserve">elf-administer the survey. The </w:t>
      </w:r>
      <w:r w:rsidR="007323B2">
        <w:t xml:space="preserve">hard copy </w:t>
      </w:r>
      <w:r w:rsidR="008B5727">
        <w:t>instrument has three parts (Part A, Part B1, and Part B2)</w:t>
      </w:r>
      <w:r w:rsidR="007323B2">
        <w:t xml:space="preserve"> that mirror the web programming,</w:t>
      </w:r>
      <w:r w:rsidR="008B5727">
        <w:t xml:space="preserve"> to avoid asking youth who are not sexually experienced detailed questions about their sexual activities. </w:t>
      </w:r>
      <w:r w:rsidR="008B5727" w:rsidRPr="00D7028D">
        <w:t>Part A asks for background information and concludes with a single screening question about sexual experience. Youth with sexual experience will complete Part B1</w:t>
      </w:r>
      <w:r w:rsidR="009E4B67">
        <w:t>,</w:t>
      </w:r>
      <w:r w:rsidR="008B5727" w:rsidRPr="00D7028D">
        <w:t xml:space="preserve"> and those without </w:t>
      </w:r>
      <w:r w:rsidR="009E4B67">
        <w:t xml:space="preserve">it </w:t>
      </w:r>
      <w:r w:rsidR="008B5727" w:rsidRPr="00D7028D">
        <w:t xml:space="preserve">will complete Part </w:t>
      </w:r>
      <w:r w:rsidR="008B5727">
        <w:t>B2. Two members of the evaluation team</w:t>
      </w:r>
      <w:r w:rsidR="008B5727" w:rsidRPr="00D7028D">
        <w:t xml:space="preserve"> will monitor activities in each survey r</w:t>
      </w:r>
      <w:r w:rsidR="008B5727">
        <w:t>oom. At the end of the administration</w:t>
      </w:r>
      <w:r w:rsidR="008B5727" w:rsidRPr="00D7028D">
        <w:t>, youth will pl</w:t>
      </w:r>
      <w:r w:rsidR="008B5727">
        <w:t>ace the entire survey</w:t>
      </w:r>
      <w:r w:rsidR="008B5727" w:rsidRPr="00D7028D">
        <w:t xml:space="preserve"> in the return envelope, seal it, and</w:t>
      </w:r>
      <w:r w:rsidR="008B5727">
        <w:t xml:space="preserve"> return it to a</w:t>
      </w:r>
      <w:r w:rsidR="008B5727" w:rsidRPr="00D7028D">
        <w:t xml:space="preserve"> member</w:t>
      </w:r>
      <w:r w:rsidR="008B5727">
        <w:t xml:space="preserve"> of the evaluation team</w:t>
      </w:r>
      <w:r w:rsidR="008B5727" w:rsidRPr="00D7028D">
        <w:t xml:space="preserve">. </w:t>
      </w:r>
      <w:r w:rsidR="008B5727">
        <w:t xml:space="preserve">Completed surveys will be shipped </w:t>
      </w:r>
      <w:r w:rsidR="009E4B67">
        <w:t xml:space="preserve">immediately </w:t>
      </w:r>
      <w:r w:rsidR="008B5727">
        <w:t>via FedEx to Mathematica’s Survey Operations Center</w:t>
      </w:r>
      <w:r w:rsidR="009E4B67">
        <w:t xml:space="preserve">, where they will be logged </w:t>
      </w:r>
      <w:r w:rsidR="008B5727">
        <w:t>and then checked for completeness. Any forms with identifying information</w:t>
      </w:r>
      <w:r w:rsidR="009E4B67">
        <w:t xml:space="preserve">, such as assent forms, </w:t>
      </w:r>
      <w:r w:rsidR="008B5727">
        <w:t>will be shipped separately.</w:t>
      </w:r>
      <w:r w:rsidR="00112577">
        <w:t xml:space="preserve"> </w:t>
      </w:r>
    </w:p>
    <w:p w14:paraId="1F23ED4D" w14:textId="31D50EF7" w:rsidR="00AC0487" w:rsidRDefault="00A91DCC" w:rsidP="00AC0487">
      <w:pPr>
        <w:pStyle w:val="NormalSS"/>
      </w:pPr>
      <w:r>
        <w:t>Students who have moved out of the area,</w:t>
      </w:r>
      <w:r w:rsidR="009E4B67">
        <w:t xml:space="preserve"> have</w:t>
      </w:r>
      <w:r>
        <w:t xml:space="preserve"> transferred to a non-study school</w:t>
      </w:r>
      <w:r w:rsidR="009E4B67">
        <w:t>,</w:t>
      </w:r>
      <w:r>
        <w:t xml:space="preserve"> or are otherwise unable to complete the survey through the in-school data collection will be sent advance letters </w:t>
      </w:r>
      <w:r w:rsidRPr="00CE717B">
        <w:t>with the information necessary to log on to the web survey and complete it on their own time</w:t>
      </w:r>
      <w:r>
        <w:t xml:space="preserve">. For those that do not respond, we will follow up with postcards, emails and texts (with permission) and phone calls. These participants will also be given the option to complete the survey over the phone with a trained Mathematica interviewer. </w:t>
      </w:r>
      <w:r w:rsidR="00A741F7">
        <w:t xml:space="preserve"> </w:t>
      </w:r>
    </w:p>
    <w:p w14:paraId="1F23ED56" w14:textId="77777777" w:rsidR="00AC0487" w:rsidRPr="002A6036" w:rsidRDefault="00AC0487" w:rsidP="00AC0487">
      <w:pPr>
        <w:pStyle w:val="Heading2Black"/>
      </w:pPr>
      <w:bookmarkStart w:id="47" w:name="_Toc320884921"/>
      <w:bookmarkStart w:id="48" w:name="_Toc324845912"/>
      <w:bookmarkStart w:id="49" w:name="_Toc396921849"/>
      <w:bookmarkStart w:id="50" w:name="_Toc437596010"/>
      <w:bookmarkStart w:id="51" w:name="_Toc477967644"/>
      <w:r w:rsidRPr="002A6036">
        <w:t>B3.</w:t>
      </w:r>
      <w:r w:rsidRPr="002A6036">
        <w:tab/>
        <w:t>Methods to Maximize Response Rates and Deal with Non-Response</w:t>
      </w:r>
      <w:bookmarkEnd w:id="47"/>
      <w:bookmarkEnd w:id="48"/>
      <w:bookmarkEnd w:id="49"/>
      <w:bookmarkEnd w:id="50"/>
      <w:bookmarkEnd w:id="51"/>
      <w:r>
        <w:t xml:space="preserve"> </w:t>
      </w:r>
    </w:p>
    <w:p w14:paraId="2D8D7A15" w14:textId="3423A3CE" w:rsidR="006174A1" w:rsidRDefault="00AC0487" w:rsidP="009A3178">
      <w:pPr>
        <w:pStyle w:val="NormalSS"/>
        <w:rPr>
          <w:rFonts w:cs="Garamond"/>
        </w:rPr>
      </w:pPr>
      <w:r>
        <w:rPr>
          <w:rFonts w:cs="Garamond-Bold"/>
          <w:bCs/>
        </w:rPr>
        <w:t>OAH expects to</w:t>
      </w:r>
      <w:r w:rsidRPr="000C3568">
        <w:rPr>
          <w:rFonts w:cs="Garamond"/>
        </w:rPr>
        <w:t xml:space="preserve"> achieve </w:t>
      </w:r>
      <w:r>
        <w:rPr>
          <w:rFonts w:cs="Garamond"/>
        </w:rPr>
        <w:t xml:space="preserve">a </w:t>
      </w:r>
      <w:r w:rsidRPr="000C3568">
        <w:rPr>
          <w:rFonts w:cs="Garamond"/>
        </w:rPr>
        <w:t>response</w:t>
      </w:r>
      <w:r>
        <w:rPr>
          <w:rFonts w:cs="Garamond"/>
        </w:rPr>
        <w:t xml:space="preserve"> rate of </w:t>
      </w:r>
      <w:r w:rsidR="002978AA">
        <w:rPr>
          <w:rFonts w:cs="Garamond"/>
        </w:rPr>
        <w:t xml:space="preserve">90 </w:t>
      </w:r>
      <w:r>
        <w:rPr>
          <w:rFonts w:cs="Garamond"/>
        </w:rPr>
        <w:t xml:space="preserve">percent for the </w:t>
      </w:r>
      <w:r w:rsidR="000D3BFB">
        <w:rPr>
          <w:rFonts w:cs="Garamond"/>
        </w:rPr>
        <w:t>9-</w:t>
      </w:r>
      <w:r w:rsidR="002978AA">
        <w:rPr>
          <w:rFonts w:cs="Garamond"/>
        </w:rPr>
        <w:t xml:space="preserve">month follow-up </w:t>
      </w:r>
      <w:r>
        <w:rPr>
          <w:rFonts w:cs="Garamond"/>
        </w:rPr>
        <w:t>survey</w:t>
      </w:r>
      <w:r w:rsidR="000D3BFB">
        <w:rPr>
          <w:rFonts w:cs="Garamond"/>
        </w:rPr>
        <w:t xml:space="preserve"> and 85 percent for the 15-</w:t>
      </w:r>
      <w:r w:rsidR="002978AA">
        <w:rPr>
          <w:rFonts w:cs="Garamond"/>
        </w:rPr>
        <w:t>month follow-up survey</w:t>
      </w:r>
      <w:r>
        <w:rPr>
          <w:rFonts w:cs="Garamond"/>
        </w:rPr>
        <w:t xml:space="preserve">. </w:t>
      </w:r>
      <w:r w:rsidRPr="00010E1E">
        <w:rPr>
          <w:rFonts w:cs="Garamond"/>
        </w:rPr>
        <w:t>Th</w:t>
      </w:r>
      <w:r>
        <w:rPr>
          <w:rFonts w:cs="Garamond"/>
        </w:rPr>
        <w:t xml:space="preserve">is </w:t>
      </w:r>
      <w:r w:rsidRPr="00010E1E">
        <w:rPr>
          <w:rFonts w:cs="Garamond"/>
        </w:rPr>
        <w:t>expect</w:t>
      </w:r>
      <w:r>
        <w:rPr>
          <w:rFonts w:cs="Garamond"/>
        </w:rPr>
        <w:t>ation is</w:t>
      </w:r>
      <w:r w:rsidRPr="00010E1E">
        <w:rPr>
          <w:rFonts w:cs="Garamond"/>
        </w:rPr>
        <w:t xml:space="preserve"> based on </w:t>
      </w:r>
      <w:r>
        <w:rPr>
          <w:rFonts w:cs="Garamond"/>
        </w:rPr>
        <w:t xml:space="preserve">response rates </w:t>
      </w:r>
      <w:r w:rsidRPr="00010E1E">
        <w:rPr>
          <w:rFonts w:cs="Garamond"/>
        </w:rPr>
        <w:t xml:space="preserve">achieved in prior </w:t>
      </w:r>
      <w:r w:rsidR="002978AA">
        <w:rPr>
          <w:rFonts w:cs="Garamond"/>
        </w:rPr>
        <w:t xml:space="preserve">follow-up </w:t>
      </w:r>
      <w:r w:rsidRPr="00010E1E">
        <w:rPr>
          <w:rFonts w:cs="Garamond"/>
        </w:rPr>
        <w:t>surveys with similar populations</w:t>
      </w:r>
      <w:r>
        <w:rPr>
          <w:rFonts w:cs="Garamond"/>
        </w:rPr>
        <w:t xml:space="preserve">, such as with the </w:t>
      </w:r>
      <w:r w:rsidR="00396F18" w:rsidRPr="00254CCF">
        <w:t>Personal Responsibility Education Program (PREP</w:t>
      </w:r>
      <w:r w:rsidR="000D3BFB">
        <w:t>-</w:t>
      </w:r>
      <w:r w:rsidR="00396F18">
        <w:t>OMB Control Number 0970-0398</w:t>
      </w:r>
      <w:r w:rsidR="00396F18" w:rsidRPr="00254CCF">
        <w:t>)</w:t>
      </w:r>
      <w:r w:rsidR="00396F18">
        <w:t xml:space="preserve"> and the </w:t>
      </w:r>
      <w:r w:rsidR="00396F18" w:rsidRPr="00BE4EF0">
        <w:t xml:space="preserve">Evaluation of Adolescent Pregnancy Prevention Approaches </w:t>
      </w:r>
      <w:r w:rsidR="004018DC">
        <w:t>(PPA</w:t>
      </w:r>
      <w:r w:rsidR="000D3BFB">
        <w:t>-</w:t>
      </w:r>
      <w:r w:rsidR="004018DC">
        <w:t xml:space="preserve">OMB Control Number </w:t>
      </w:r>
      <w:r w:rsidR="004018DC" w:rsidRPr="00903ABB">
        <w:t>0990-0382</w:t>
      </w:r>
      <w:r w:rsidR="004018DC">
        <w:t>)</w:t>
      </w:r>
      <w:r w:rsidR="00396F18">
        <w:t xml:space="preserve"> </w:t>
      </w:r>
      <w:r>
        <w:rPr>
          <w:rFonts w:cs="Garamond"/>
        </w:rPr>
        <w:t>studies.</w:t>
      </w:r>
      <w:r w:rsidRPr="00010E1E">
        <w:rPr>
          <w:rFonts w:cs="Garamond"/>
        </w:rPr>
        <w:t xml:space="preserve"> </w:t>
      </w:r>
      <w:r>
        <w:rPr>
          <w:rFonts w:cs="Garamond"/>
        </w:rPr>
        <w:t xml:space="preserve">We can expect to achieve these completion rates for the Federal Evaluation of </w:t>
      </w:r>
      <w:r w:rsidRPr="000D3BFB">
        <w:rPr>
          <w:rFonts w:cs="Garamond"/>
          <w:i/>
        </w:rPr>
        <w:t>MPC!</w:t>
      </w:r>
      <w:r>
        <w:rPr>
          <w:rFonts w:cs="Garamond"/>
        </w:rPr>
        <w:t xml:space="preserve"> at the </w:t>
      </w:r>
      <w:r w:rsidR="002978AA">
        <w:rPr>
          <w:rFonts w:cs="Garamond"/>
        </w:rPr>
        <w:t xml:space="preserve">follow-up </w:t>
      </w:r>
      <w:r>
        <w:rPr>
          <w:rFonts w:cs="Garamond"/>
        </w:rPr>
        <w:t xml:space="preserve">period for several other reasons. </w:t>
      </w:r>
      <w:r w:rsidR="007F2352">
        <w:rPr>
          <w:rFonts w:cs="Garamond"/>
        </w:rPr>
        <w:t xml:space="preserve">First, the follow-up surveys will occur approximately 9 and 15 months after the baseline administration. </w:t>
      </w:r>
      <w:r w:rsidR="007F2352" w:rsidRPr="00AB4B33">
        <w:rPr>
          <w:rFonts w:cs="Garamond"/>
        </w:rPr>
        <w:t xml:space="preserve">This timing will ensure </w:t>
      </w:r>
      <w:r w:rsidR="009E4B67">
        <w:rPr>
          <w:rFonts w:cs="Garamond"/>
        </w:rPr>
        <w:t xml:space="preserve">that </w:t>
      </w:r>
      <w:r w:rsidR="007F2352" w:rsidRPr="00AB4B33">
        <w:rPr>
          <w:rFonts w:cs="Garamond"/>
        </w:rPr>
        <w:t xml:space="preserve">contact data are </w:t>
      </w:r>
      <w:r w:rsidR="007F2352">
        <w:rPr>
          <w:rFonts w:cs="Garamond"/>
        </w:rPr>
        <w:t xml:space="preserve">quite </w:t>
      </w:r>
      <w:r w:rsidR="007F2352" w:rsidRPr="00AB4B33">
        <w:rPr>
          <w:rFonts w:cs="Garamond"/>
        </w:rPr>
        <w:t>current</w:t>
      </w:r>
      <w:r w:rsidR="007F2352">
        <w:rPr>
          <w:rFonts w:cs="Garamond"/>
        </w:rPr>
        <w:t xml:space="preserve">, which should minimize location problems. In many cases, youth will be enrolled in the same schools at follow-up that they were enrolled in at baseline, </w:t>
      </w:r>
      <w:r w:rsidR="00E954CA">
        <w:rPr>
          <w:rFonts w:cs="Garamond"/>
        </w:rPr>
        <w:t>which will simplify locating efforts and improve</w:t>
      </w:r>
      <w:r w:rsidR="007F2352">
        <w:rPr>
          <w:rFonts w:cs="Garamond"/>
        </w:rPr>
        <w:t xml:space="preserve"> response rates</w:t>
      </w:r>
      <w:r w:rsidR="007F2352" w:rsidRPr="00AB4B33">
        <w:rPr>
          <w:rFonts w:cs="Garamond"/>
        </w:rPr>
        <w:t>.</w:t>
      </w:r>
      <w:r w:rsidR="007F2352">
        <w:rPr>
          <w:rFonts w:cs="Garamond"/>
        </w:rPr>
        <w:t xml:space="preserve"> </w:t>
      </w:r>
      <w:r w:rsidR="009811BF">
        <w:rPr>
          <w:rFonts w:cs="Garamond"/>
        </w:rPr>
        <w:t xml:space="preserve"> </w:t>
      </w:r>
    </w:p>
    <w:p w14:paraId="08079468" w14:textId="77777777" w:rsidR="00660F62" w:rsidRDefault="00660F62" w:rsidP="00660F62">
      <w:pPr>
        <w:pStyle w:val="NormalSS"/>
        <w:jc w:val="left"/>
      </w:pPr>
      <w:r>
        <w:t xml:space="preserve">Mathematica </w:t>
      </w:r>
      <w:r>
        <w:rPr>
          <w:rFonts w:cs="Garamond"/>
        </w:rPr>
        <w:t xml:space="preserve">staff will work with the school to schedule the date and time of the follow-up survey, and to ensure that it does not conflict with any activities that are required or that students might find more desirable (i.e., lunch, field trip). </w:t>
      </w:r>
      <w:r>
        <w:t xml:space="preserve">Prior to administration, the evaluation team will work closely with school contacts to locate respondents in their new classrooms. To maximize attendance, team members will ask schools to post reminders and make announcements prior to and on the day of the survey. Before beginning the administration, Mathematica staff will take attendance and follow up immediately with the school contact regarding any unexpected absentees. </w:t>
      </w:r>
    </w:p>
    <w:p w14:paraId="6936A7A6" w14:textId="15FD5F42" w:rsidR="003103CD" w:rsidRDefault="00660F62" w:rsidP="003103CD">
      <w:pPr>
        <w:pStyle w:val="NormalSS"/>
      </w:pPr>
      <w:r>
        <w:t xml:space="preserve">As in the baseline process, </w:t>
      </w:r>
      <w:r>
        <w:rPr>
          <w:rFonts w:cs="Garamond"/>
        </w:rPr>
        <w:t>to help attain high response rates,</w:t>
      </w:r>
      <w:r>
        <w:t xml:space="preserve"> f</w:t>
      </w:r>
      <w:r w:rsidRPr="00B73312">
        <w:rPr>
          <w:rFonts w:cs="Garamond"/>
        </w:rPr>
        <w:t>ield staff will collaborate with each site to arrange additional make-up sessions for students who are absent on the initial day of the survey.</w:t>
      </w:r>
      <w:r>
        <w:rPr>
          <w:rFonts w:cs="Garamond"/>
        </w:rPr>
        <w:t xml:space="preserve"> In addition, </w:t>
      </w:r>
      <w:r>
        <w:t xml:space="preserve">participants who were unable to complete the survey during the in-school data collection will be sent advance letters, postcards, </w:t>
      </w:r>
      <w:r w:rsidR="003103CD">
        <w:t>emails</w:t>
      </w:r>
      <w:r>
        <w:t>,</w:t>
      </w:r>
      <w:r w:rsidR="003103CD">
        <w:t xml:space="preserve"> and texts (with permission) </w:t>
      </w:r>
      <w:r>
        <w:t>that include</w:t>
      </w:r>
      <w:r w:rsidR="003103CD">
        <w:t xml:space="preserve"> instructions for logging on to the web survey and completing it online, at a time convenient for them. These participants will also be given the option to complete the survey over the phone with a trained Mathematica interviewer. </w:t>
      </w:r>
    </w:p>
    <w:p w14:paraId="32CB42A0" w14:textId="58DE2C75" w:rsidR="00904057" w:rsidRDefault="00904057" w:rsidP="006A5550">
      <w:pPr>
        <w:pStyle w:val="NormalSS"/>
      </w:pPr>
      <w:r>
        <w:t xml:space="preserve">When students complete the follow-up survey, they will receive a small gift of </w:t>
      </w:r>
      <w:r w:rsidRPr="00A84C70">
        <w:t>appr</w:t>
      </w:r>
      <w:r w:rsidR="00660F62">
        <w:t>eciation (</w:t>
      </w:r>
      <w:r w:rsidR="00E2107E">
        <w:t>f</w:t>
      </w:r>
      <w:r w:rsidR="003459EC">
        <w:t>or in school group administrations, a non-monetary in</w:t>
      </w:r>
      <w:r w:rsidR="00CF61B9">
        <w:t>centive valued at $5 and for out</w:t>
      </w:r>
      <w:r w:rsidR="003459EC">
        <w:t xml:space="preserve">-of school administrations, a </w:t>
      </w:r>
      <w:r w:rsidR="00660F62">
        <w:t>$</w:t>
      </w:r>
      <w:r w:rsidR="003459EC">
        <w:t xml:space="preserve">10 </w:t>
      </w:r>
      <w:r w:rsidR="00660F62">
        <w:t>gift card for the 9-</w:t>
      </w:r>
      <w:r>
        <w:t>month follow-up; $</w:t>
      </w:r>
      <w:r w:rsidR="003459EC">
        <w:t xml:space="preserve">15 </w:t>
      </w:r>
      <w:r>
        <w:t>gift car</w:t>
      </w:r>
      <w:r w:rsidR="00660F62">
        <w:t>d for the 15-</w:t>
      </w:r>
      <w:r w:rsidR="0019132F">
        <w:t xml:space="preserve">month follow-up). </w:t>
      </w:r>
      <w:r w:rsidRPr="00A84C70">
        <w:t xml:space="preserve">Research suggests that providing an incentive for earlier surveys may contribute to higher response rates for subsequent </w:t>
      </w:r>
      <w:r>
        <w:t>surveys.</w:t>
      </w:r>
      <w:r>
        <w:rPr>
          <w:rStyle w:val="FootnoteReference"/>
        </w:rPr>
        <w:footnoteReference w:id="3"/>
      </w:r>
      <w:r>
        <w:t xml:space="preserve"> </w:t>
      </w:r>
      <w:r w:rsidRPr="00A84C70">
        <w:t xml:space="preserve">Therefore, providing a small gift during </w:t>
      </w:r>
      <w:r w:rsidR="00660F62">
        <w:t>the 9-</w:t>
      </w:r>
      <w:r>
        <w:t xml:space="preserve">month follow-up </w:t>
      </w:r>
      <w:r w:rsidRPr="00A84C70">
        <w:t>may help boost response rates during</w:t>
      </w:r>
      <w:r>
        <w:t xml:space="preserve"> subsequent rounds of data collection. </w:t>
      </w:r>
      <w:r w:rsidR="00E27030">
        <w:t xml:space="preserve">The proposed incentive structure is </w:t>
      </w:r>
      <w:r w:rsidR="00E2107E">
        <w:t>revised compared to</w:t>
      </w:r>
      <w:r w:rsidR="00E27030">
        <w:t xml:space="preserve"> those used on other federally funded studies with similar populations, including PREP (OMB Control Number</w:t>
      </w:r>
      <w:r w:rsidR="00660F62">
        <w:t xml:space="preserve"> 0970-0398), where first follow-</w:t>
      </w:r>
      <w:r w:rsidR="00E27030">
        <w:t xml:space="preserve">up response rates in </w:t>
      </w:r>
      <w:r w:rsidR="008928F0">
        <w:t xml:space="preserve">two of </w:t>
      </w:r>
      <w:r w:rsidR="00E27030">
        <w:t xml:space="preserve">the school-based sites are </w:t>
      </w:r>
      <w:r w:rsidR="00660F62">
        <w:t>90 to 94 percent and second follow-</w:t>
      </w:r>
      <w:r w:rsidR="00E27030">
        <w:t xml:space="preserve">up response rates are </w:t>
      </w:r>
      <w:r w:rsidR="00660F62">
        <w:t>84 to 91 percent.</w:t>
      </w:r>
      <w:r w:rsidR="00E27030" w:rsidRPr="00B81A5C">
        <w:rPr>
          <w:vertAlign w:val="superscript"/>
        </w:rPr>
        <w:footnoteReference w:id="4"/>
      </w:r>
      <w:r w:rsidR="00660F62">
        <w:t xml:space="preserve"> </w:t>
      </w:r>
      <w:r w:rsidR="00E2107E">
        <w:t xml:space="preserve">  Revisions have been made to address OMB’s concern over the amount of the incentive and providing incentive to students responding to the survey in school. </w:t>
      </w:r>
    </w:p>
    <w:p w14:paraId="1146E35F" w14:textId="382D0CF7" w:rsidR="009A3178" w:rsidRPr="00F1135C" w:rsidRDefault="00AC0487" w:rsidP="006A5550">
      <w:pPr>
        <w:pStyle w:val="NormalSS"/>
      </w:pPr>
      <w:r w:rsidRPr="00666AF9">
        <w:t xml:space="preserve">In addition, we expect that the site’s </w:t>
      </w:r>
      <w:r w:rsidR="00861D60">
        <w:t xml:space="preserve">continued </w:t>
      </w:r>
      <w:r w:rsidRPr="00666AF9">
        <w:t>willing assistance will be very important to maximizing the response rate</w:t>
      </w:r>
      <w:r w:rsidR="008F466B">
        <w:t>s</w:t>
      </w:r>
      <w:r w:rsidRPr="00666AF9">
        <w:t xml:space="preserve">; we will therefore invest significant effort in </w:t>
      </w:r>
      <w:r w:rsidR="009811BF">
        <w:t xml:space="preserve">maintaining </w:t>
      </w:r>
      <w:r w:rsidR="00861D60">
        <w:t xml:space="preserve">positive relationships </w:t>
      </w:r>
      <w:r w:rsidR="009811BF">
        <w:t xml:space="preserve">to </w:t>
      </w:r>
      <w:r w:rsidRPr="00666AF9">
        <w:t>minimiz</w:t>
      </w:r>
      <w:r w:rsidR="009811BF">
        <w:t>e</w:t>
      </w:r>
      <w:r w:rsidRPr="00666AF9">
        <w:t xml:space="preserve"> burden on </w:t>
      </w:r>
      <w:r w:rsidR="00861D60">
        <w:t xml:space="preserve">the </w:t>
      </w:r>
      <w:r w:rsidRPr="00666AF9">
        <w:t>sites</w:t>
      </w:r>
      <w:r w:rsidR="00D315DF">
        <w:t xml:space="preserve"> and assure</w:t>
      </w:r>
      <w:r w:rsidRPr="00666AF9">
        <w:t xml:space="preserve"> privacy to the youth participants.</w:t>
      </w:r>
      <w:r w:rsidR="00904057">
        <w:t xml:space="preserve"> By applying identical methods for maximizing the response rates of the treatment and control groups, the evaluation team does not anticipate differences in response rates across research groups.</w:t>
      </w:r>
      <w:r w:rsidRPr="00666AF9">
        <w:t xml:space="preserve"> </w:t>
      </w:r>
    </w:p>
    <w:p w14:paraId="1F23ED59" w14:textId="556E36CE" w:rsidR="00AC0487" w:rsidRPr="00AB4B33" w:rsidRDefault="009A3178" w:rsidP="00BE3720">
      <w:pPr>
        <w:pStyle w:val="NormalSS"/>
        <w:keepLines/>
        <w:rPr>
          <w:rFonts w:cs="Garamond"/>
        </w:rPr>
      </w:pPr>
      <w:r>
        <w:t xml:space="preserve">The evaluation team anticipates high response rates to follow-up surveys. Even so, the team will take steps to understand the nature of any non-response and to account for the threat it may pose </w:t>
      </w:r>
      <w:r w:rsidR="00D315DF">
        <w:t xml:space="preserve">to </w:t>
      </w:r>
      <w:r>
        <w:t>the validity of the study’s impact estimates</w:t>
      </w:r>
      <w:r w:rsidRPr="00381FE6">
        <w:t>.</w:t>
      </w:r>
      <w:r>
        <w:t xml:space="preserve"> Using data from the baseline survey, evaluation team members will first test for statistically significant differences across demographic and baseline outcome variables between </w:t>
      </w:r>
      <w:r w:rsidR="009F6772">
        <w:t xml:space="preserve">the treatment and control group members who are follow-up </w:t>
      </w:r>
      <w:r>
        <w:t>respondents and control for these differences using covariates when estimating program impacts</w:t>
      </w:r>
      <w:r w:rsidRPr="00843898">
        <w:t xml:space="preserve"> (</w:t>
      </w:r>
      <w:r w:rsidR="005E33E4">
        <w:t>see Attachment E</w:t>
      </w:r>
      <w:r w:rsidRPr="00843898">
        <w:t xml:space="preserve">). </w:t>
      </w:r>
    </w:p>
    <w:p w14:paraId="1F23ED5A" w14:textId="2DBCC257" w:rsidR="00AC0487" w:rsidRPr="002A6036" w:rsidRDefault="00AC0487" w:rsidP="00AC0487">
      <w:pPr>
        <w:pStyle w:val="Heading2Black"/>
      </w:pPr>
      <w:bookmarkStart w:id="52" w:name="_Toc320884922"/>
      <w:bookmarkStart w:id="53" w:name="_Toc324845913"/>
      <w:bookmarkStart w:id="54" w:name="_Toc396921850"/>
      <w:bookmarkStart w:id="55" w:name="_Toc437596011"/>
      <w:bookmarkStart w:id="56" w:name="_Toc477967645"/>
      <w:r w:rsidRPr="002A6036">
        <w:t>B4.</w:t>
      </w:r>
      <w:r w:rsidRPr="002A6036">
        <w:tab/>
        <w:t>Test of Procedures or Methods to be Undertaken</w:t>
      </w:r>
      <w:bookmarkEnd w:id="52"/>
      <w:bookmarkEnd w:id="53"/>
      <w:bookmarkEnd w:id="54"/>
      <w:bookmarkEnd w:id="55"/>
      <w:bookmarkEnd w:id="56"/>
    </w:p>
    <w:p w14:paraId="1F23ED5B" w14:textId="35B814E0" w:rsidR="00AC0487" w:rsidRDefault="00AC0487" w:rsidP="00F278F7">
      <w:pPr>
        <w:pStyle w:val="NormalSS"/>
      </w:pPr>
      <w:r>
        <w:t xml:space="preserve">OAH and other offices within HHS (OPRE, ASPE) have made it a priority to align measures in the </w:t>
      </w:r>
      <w:r w:rsidR="00904057">
        <w:t xml:space="preserve">follow-up </w:t>
      </w:r>
      <w:r>
        <w:t xml:space="preserve">survey across evaluations of similar programs and populations. </w:t>
      </w:r>
      <w:r w:rsidR="00925E6C" w:rsidRPr="00254CCF">
        <w:t xml:space="preserve">Many of the items on the </w:t>
      </w:r>
      <w:r w:rsidR="00925E6C">
        <w:t>follow-up</w:t>
      </w:r>
      <w:r w:rsidR="00925E6C" w:rsidRPr="00254CCF">
        <w:t xml:space="preserve"> survey</w:t>
      </w:r>
      <w:r w:rsidR="00925E6C">
        <w:rPr>
          <w:rStyle w:val="FootnoteReference"/>
        </w:rPr>
        <w:footnoteReference w:id="5"/>
      </w:r>
      <w:r w:rsidR="00925E6C">
        <w:t xml:space="preserve"> are identi</w:t>
      </w:r>
      <w:r w:rsidR="00D315DF">
        <w:t>cal to the items in the already-</w:t>
      </w:r>
      <w:r w:rsidR="00925E6C">
        <w:t xml:space="preserve">approved baseline survey instrument (OMB Control Number </w:t>
      </w:r>
      <w:r w:rsidR="006A5550">
        <w:t>0990-0452</w:t>
      </w:r>
      <w:r w:rsidR="00DA4B2C">
        <w:t xml:space="preserve">). </w:t>
      </w:r>
      <w:r w:rsidR="00925E6C">
        <w:t>These items are similar to</w:t>
      </w:r>
      <w:r w:rsidR="00D315DF">
        <w:t xml:space="preserve"> those in </w:t>
      </w:r>
      <w:r w:rsidR="00925E6C" w:rsidRPr="00254CCF">
        <w:t xml:space="preserve">surveys OMB has already approved for use </w:t>
      </w:r>
      <w:r w:rsidR="00925E6C">
        <w:t xml:space="preserve">in comparable evaluations, including </w:t>
      </w:r>
      <w:r w:rsidR="00F43968">
        <w:t>t</w:t>
      </w:r>
      <w:r w:rsidR="00925E6C" w:rsidRPr="00254CCF">
        <w:t>he ongoing Evaluation of Adolescent Pregnancy Prevention Approaches (PPA</w:t>
      </w:r>
      <w:r w:rsidR="00A7666E">
        <w:t xml:space="preserve">-OMB Control Number </w:t>
      </w:r>
      <w:r w:rsidR="00A7666E" w:rsidRPr="00903ABB">
        <w:t>0990-0382</w:t>
      </w:r>
      <w:r w:rsidR="00925E6C" w:rsidRPr="00254CCF">
        <w:t>), the Teen Pregnan</w:t>
      </w:r>
      <w:r w:rsidR="00925E6C">
        <w:t>cy Prevention Replication Study</w:t>
      </w:r>
      <w:r w:rsidR="00672E94">
        <w:t xml:space="preserve"> (OMB Control Number 0990-0397)</w:t>
      </w:r>
      <w:r w:rsidR="00925E6C">
        <w:t xml:space="preserve">, </w:t>
      </w:r>
      <w:r w:rsidR="00925E6C" w:rsidRPr="00254CCF">
        <w:t>the Personal Responsibility Education Program (PREP</w:t>
      </w:r>
      <w:r w:rsidR="00D315DF">
        <w:t xml:space="preserve">) </w:t>
      </w:r>
      <w:r w:rsidR="00925E6C" w:rsidRPr="00254CCF">
        <w:t>Multi-Component Evaluation</w:t>
      </w:r>
      <w:r w:rsidR="00D315DF">
        <w:t xml:space="preserve"> (OMB Control Number 0970-0398</w:t>
      </w:r>
      <w:r w:rsidR="00D315DF" w:rsidRPr="00254CCF">
        <w:t>)</w:t>
      </w:r>
      <w:r w:rsidR="00925E6C">
        <w:t>, and the Pregnancy Assistance Fund (PAF - OMB Control Number 0990-0424 for baseline survey) Study</w:t>
      </w:r>
      <w:r w:rsidR="00F43968">
        <w:t>.</w:t>
      </w:r>
    </w:p>
    <w:p w14:paraId="1F23ED5C" w14:textId="0AB28DC3" w:rsidR="00AC0487" w:rsidRDefault="00AC0487" w:rsidP="00AC0487">
      <w:pPr>
        <w:pStyle w:val="NormalSS"/>
      </w:pPr>
      <w:r>
        <w:t xml:space="preserve">Mathematica </w:t>
      </w:r>
      <w:r w:rsidR="0091006B">
        <w:t xml:space="preserve">has </w:t>
      </w:r>
      <w:r w:rsidR="001508EF">
        <w:t>conduct</w:t>
      </w:r>
      <w:r w:rsidR="0091006B">
        <w:t>ed</w:t>
      </w:r>
      <w:r w:rsidR="001508EF">
        <w:t xml:space="preserve"> pretests of the follow-up survey with up to nine youth. The pretests </w:t>
      </w:r>
      <w:r w:rsidR="0091006B">
        <w:t>focused</w:t>
      </w:r>
      <w:r w:rsidR="001508EF">
        <w:t xml:space="preserve"> </w:t>
      </w:r>
      <w:r w:rsidR="00AE15EA">
        <w:t xml:space="preserve">primarily </w:t>
      </w:r>
      <w:r w:rsidR="001508EF">
        <w:t>on new items</w:t>
      </w:r>
      <w:r w:rsidR="00A7666E">
        <w:t xml:space="preserve"> not included on the baseline</w:t>
      </w:r>
      <w:r w:rsidR="001508EF">
        <w:t xml:space="preserve">, and are designed to </w:t>
      </w:r>
      <w:r w:rsidRPr="000D126C">
        <w:t xml:space="preserve">ensure that questions are understandable, use language </w:t>
      </w:r>
      <w:r>
        <w:t xml:space="preserve">and terms </w:t>
      </w:r>
      <w:r w:rsidRPr="000D126C">
        <w:t>familiar to respondents, and are consistent with the concepts they aim to measure</w:t>
      </w:r>
      <w:r w:rsidR="004603C8">
        <w:t xml:space="preserve">. The pretest </w:t>
      </w:r>
      <w:r w:rsidR="0091006B">
        <w:t xml:space="preserve">was designed to </w:t>
      </w:r>
      <w:r w:rsidR="004603C8">
        <w:t xml:space="preserve">help us (1) </w:t>
      </w:r>
      <w:r w:rsidRPr="000D126C">
        <w:t xml:space="preserve">identify typical instrumentation problems such as question wording and incomplete or inappropriate response categories; </w:t>
      </w:r>
      <w:r w:rsidR="004603C8">
        <w:t xml:space="preserve">(2) </w:t>
      </w:r>
      <w:r w:rsidRPr="000D126C">
        <w:t xml:space="preserve">measure the response burden; and </w:t>
      </w:r>
      <w:r w:rsidR="004603C8">
        <w:t xml:space="preserve">(3) </w:t>
      </w:r>
      <w:r w:rsidRPr="000D126C">
        <w:t>confirm that there are no unforeseen difficulties in administering the instrument</w:t>
      </w:r>
      <w:r>
        <w:t xml:space="preserve">. Youth </w:t>
      </w:r>
      <w:r w:rsidR="0091006B">
        <w:t>were</w:t>
      </w:r>
      <w:r w:rsidR="00AE15EA">
        <w:t xml:space="preserve"> selected who are </w:t>
      </w:r>
      <w:r>
        <w:t xml:space="preserve">similar to those in the expected study population (early high school). </w:t>
      </w:r>
      <w:r w:rsidR="005F1D43">
        <w:t xml:space="preserve">Mathematica </w:t>
      </w:r>
      <w:r w:rsidR="00AE15EA">
        <w:t>collect</w:t>
      </w:r>
      <w:r w:rsidR="0091006B">
        <w:t>ed</w:t>
      </w:r>
      <w:r w:rsidR="00AE15EA">
        <w:t xml:space="preserve"> </w:t>
      </w:r>
      <w:r>
        <w:t xml:space="preserve">parental </w:t>
      </w:r>
      <w:r w:rsidR="005F1D43">
        <w:t xml:space="preserve">consent and child assent </w:t>
      </w:r>
      <w:r>
        <w:t xml:space="preserve">for </w:t>
      </w:r>
      <w:r w:rsidR="00AE15EA">
        <w:t xml:space="preserve">youth </w:t>
      </w:r>
      <w:r w:rsidR="005F1D43">
        <w:t xml:space="preserve">who </w:t>
      </w:r>
      <w:r>
        <w:t>participate</w:t>
      </w:r>
      <w:r w:rsidR="0091006B">
        <w:t>d</w:t>
      </w:r>
      <w:r>
        <w:t xml:space="preserve"> in the pretest</w:t>
      </w:r>
      <w:r w:rsidR="00AE15EA">
        <w:t xml:space="preserve">. The pretest </w:t>
      </w:r>
      <w:r w:rsidR="0091006B">
        <w:t>was</w:t>
      </w:r>
      <w:r w:rsidR="00AE15EA">
        <w:t xml:space="preserve"> </w:t>
      </w:r>
      <w:r>
        <w:t>administer</w:t>
      </w:r>
      <w:r w:rsidR="005F1D43">
        <w:t>ed</w:t>
      </w:r>
      <w:r>
        <w:t xml:space="preserve"> using a hard</w:t>
      </w:r>
      <w:r w:rsidR="005F1D43">
        <w:t>-</w:t>
      </w:r>
      <w:r>
        <w:t xml:space="preserve">copy, paper version of the survey, </w:t>
      </w:r>
      <w:r w:rsidR="00AE15EA">
        <w:t xml:space="preserve">and trained staff </w:t>
      </w:r>
      <w:r w:rsidR="00F1135C">
        <w:t>debrief</w:t>
      </w:r>
      <w:r w:rsidR="0091006B">
        <w:t>ed</w:t>
      </w:r>
      <w:r w:rsidR="00F1135C">
        <w:t xml:space="preserve"> with respondents</w:t>
      </w:r>
      <w:r>
        <w:t xml:space="preserve">. </w:t>
      </w:r>
      <w:r w:rsidR="00AE15EA">
        <w:t xml:space="preserve">A </w:t>
      </w:r>
      <w:r>
        <w:t xml:space="preserve">report describing the process used to pretest the instrument and </w:t>
      </w:r>
      <w:r w:rsidR="005F1D43">
        <w:t>summarizing the</w:t>
      </w:r>
      <w:r>
        <w:t xml:space="preserve"> changes made to </w:t>
      </w:r>
      <w:r w:rsidR="008E55C5">
        <w:t xml:space="preserve">it </w:t>
      </w:r>
      <w:r>
        <w:t>as a result of the pretest</w:t>
      </w:r>
      <w:r w:rsidR="00AE15EA">
        <w:t xml:space="preserve"> </w:t>
      </w:r>
      <w:r w:rsidR="00F43968">
        <w:t xml:space="preserve">is in Attachment G. </w:t>
      </w:r>
    </w:p>
    <w:p w14:paraId="1F23ED5D" w14:textId="212F607C" w:rsidR="00AC0487" w:rsidRDefault="00AC0487" w:rsidP="00AC0487">
      <w:pPr>
        <w:pStyle w:val="NormalSS"/>
      </w:pPr>
      <w:r>
        <w:t>Once the survey is finalized, it will be program</w:t>
      </w:r>
      <w:r w:rsidR="00185D22">
        <w:t>m</w:t>
      </w:r>
      <w:r>
        <w:t xml:space="preserve">ed as a web-based survey. Mathematica staff will test the web survey </w:t>
      </w:r>
      <w:r w:rsidR="00185D22">
        <w:t xml:space="preserve">thoroughly </w:t>
      </w:r>
      <w:r>
        <w:t xml:space="preserve">to ensure that all paths are working correctly and </w:t>
      </w:r>
      <w:r w:rsidR="00185D22">
        <w:t xml:space="preserve">that </w:t>
      </w:r>
      <w:r>
        <w:t xml:space="preserve">respondents </w:t>
      </w:r>
      <w:r w:rsidR="00185D22">
        <w:t xml:space="preserve">are </w:t>
      </w:r>
      <w:r>
        <w:t>routed only to those questions that are appropr</w:t>
      </w:r>
      <w:r w:rsidR="00B86658">
        <w:t>iate, based on their responses.</w:t>
      </w:r>
    </w:p>
    <w:p w14:paraId="1F23ED5F" w14:textId="77777777" w:rsidR="00AC0487" w:rsidRDefault="00AC0487" w:rsidP="00AC0487">
      <w:pPr>
        <w:pStyle w:val="Heading2Black"/>
      </w:pPr>
      <w:bookmarkStart w:id="57" w:name="_Toc320884923"/>
      <w:bookmarkStart w:id="58" w:name="_Toc324845914"/>
      <w:bookmarkStart w:id="59" w:name="_Toc352328731"/>
      <w:bookmarkStart w:id="60" w:name="_Toc353957900"/>
      <w:bookmarkStart w:id="61" w:name="_Toc355704764"/>
      <w:bookmarkStart w:id="62" w:name="_Toc437596012"/>
      <w:bookmarkStart w:id="63" w:name="_Toc477967646"/>
      <w:r>
        <w:t>B5.</w:t>
      </w:r>
      <w:r>
        <w:tab/>
      </w:r>
      <w:r w:rsidRPr="000C3568">
        <w:t>Individuals Consulted on Statistical Aspects and Individuals Collecting and/or Analyzing Data</w:t>
      </w:r>
      <w:bookmarkEnd w:id="57"/>
      <w:bookmarkEnd w:id="58"/>
      <w:bookmarkEnd w:id="59"/>
      <w:bookmarkEnd w:id="60"/>
      <w:bookmarkEnd w:id="61"/>
      <w:bookmarkEnd w:id="62"/>
      <w:bookmarkEnd w:id="63"/>
      <w:r>
        <w:t xml:space="preserve"> </w:t>
      </w:r>
    </w:p>
    <w:p w14:paraId="1F23ED60" w14:textId="5B9672D6" w:rsidR="00AC0487" w:rsidRDefault="00AE15EA" w:rsidP="00AC0487">
      <w:pPr>
        <w:pStyle w:val="NormalSS"/>
      </w:pPr>
      <w:r>
        <w:t>F</w:t>
      </w:r>
      <w:r w:rsidR="00AC0487" w:rsidRPr="00AC0487">
        <w:t>ollow-up survey data for the impact study will be collected and analyzed by OAH’s prime contracting organization, Mathematica Policy Research.</w:t>
      </w:r>
      <w:r w:rsidR="00AC0487" w:rsidRPr="003A241E">
        <w:t xml:space="preserve"> </w:t>
      </w:r>
      <w:r w:rsidR="005D3DDA">
        <w:t>OAH consulted with the following</w:t>
      </w:r>
      <w:r w:rsidR="00AC0487">
        <w:t xml:space="preserve"> individuals on </w:t>
      </w:r>
      <w:r>
        <w:t xml:space="preserve">follow-up </w:t>
      </w:r>
      <w:r w:rsidR="00AC0487">
        <w:t xml:space="preserve">instrument development, and </w:t>
      </w:r>
      <w:r w:rsidR="00AE7F2B">
        <w:t xml:space="preserve">on </w:t>
      </w:r>
      <w:r w:rsidR="00AC0487">
        <w:t>the data collection and analysis plan.</w:t>
      </w:r>
    </w:p>
    <w:p w14:paraId="790B5B9A" w14:textId="77777777" w:rsidR="00BE3720" w:rsidRDefault="00BE3720">
      <w:pPr>
        <w:tabs>
          <w:tab w:val="clear" w:pos="432"/>
        </w:tabs>
        <w:spacing w:after="240" w:line="240" w:lineRule="auto"/>
        <w:ind w:firstLine="0"/>
        <w:jc w:val="left"/>
        <w:rPr>
          <w:rFonts w:eastAsia="Lucida Sans"/>
          <w:b/>
        </w:rPr>
      </w:pPr>
      <w:r>
        <w:rPr>
          <w:rFonts w:eastAsia="Lucida Sans"/>
          <w:b/>
        </w:rPr>
        <w:br w:type="page"/>
      </w:r>
    </w:p>
    <w:p w14:paraId="3FB99F96" w14:textId="2BD081AC" w:rsidR="005D3DDA" w:rsidRPr="00BE3720" w:rsidRDefault="005D3DDA" w:rsidP="00BE3720">
      <w:pPr>
        <w:pStyle w:val="NormalSScontinued"/>
        <w:rPr>
          <w:rFonts w:eastAsia="Lucida Sans"/>
          <w:b/>
        </w:rPr>
      </w:pPr>
      <w:r w:rsidRPr="00BE3720">
        <w:rPr>
          <w:rFonts w:eastAsia="Lucida Sans"/>
          <w:b/>
        </w:rPr>
        <w:t>For follow-up survey development and impact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115" w:type="dxa"/>
          <w:right w:w="115" w:type="dxa"/>
        </w:tblCellMar>
        <w:tblLook w:val="04A0" w:firstRow="1" w:lastRow="0" w:firstColumn="1" w:lastColumn="0" w:noHBand="0" w:noVBand="1"/>
      </w:tblPr>
      <w:tblGrid>
        <w:gridCol w:w="4795"/>
        <w:gridCol w:w="4795"/>
      </w:tblGrid>
      <w:tr w:rsidR="00BE3720" w:rsidRPr="004B62F8" w14:paraId="063F1A6A" w14:textId="77777777" w:rsidTr="004B62F8">
        <w:tc>
          <w:tcPr>
            <w:tcW w:w="2500" w:type="pct"/>
          </w:tcPr>
          <w:p w14:paraId="4490E0B0" w14:textId="77777777" w:rsidR="00BE3720" w:rsidRPr="004B62F8" w:rsidRDefault="00BE3720"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Andrea Bucciarelli</w:t>
            </w:r>
          </w:p>
          <w:p w14:paraId="05089F2D" w14:textId="77777777" w:rsidR="00BE3720"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36CF2FA7" w14:textId="77777777" w:rsidR="00BE3720"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955 Massachusetts Avenue, Suite 801</w:t>
            </w:r>
          </w:p>
          <w:p w14:paraId="4563FD3F" w14:textId="77777777" w:rsidR="00BE3720"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Cambridge, MA 02139</w:t>
            </w:r>
          </w:p>
          <w:p w14:paraId="79084B5C" w14:textId="27F74316" w:rsidR="00BE3720"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(617) 674-8385</w:t>
            </w:r>
          </w:p>
        </w:tc>
        <w:tc>
          <w:tcPr>
            <w:tcW w:w="2500" w:type="pct"/>
          </w:tcPr>
          <w:p w14:paraId="0F674AF0"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Jean Knab</w:t>
            </w:r>
          </w:p>
          <w:p w14:paraId="08B28B6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449A49A1"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6E07783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4E3FF24C" w14:textId="722D4328"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945-3367</w:t>
            </w:r>
          </w:p>
        </w:tc>
      </w:tr>
      <w:tr w:rsidR="00BE3720" w:rsidRPr="004B62F8" w14:paraId="76255590" w14:textId="77777777" w:rsidTr="004B62F8">
        <w:tc>
          <w:tcPr>
            <w:tcW w:w="2500" w:type="pct"/>
          </w:tcPr>
          <w:p w14:paraId="590B8803"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Russ Cole</w:t>
            </w:r>
          </w:p>
          <w:p w14:paraId="2A6DCE08"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5185D4CF"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1641E31E"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3DE50EF4" w14:textId="7D058F16"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716-4549</w:t>
            </w:r>
          </w:p>
        </w:tc>
        <w:tc>
          <w:tcPr>
            <w:tcW w:w="2500" w:type="pct"/>
          </w:tcPr>
          <w:p w14:paraId="424BBF34"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Matthew Stagner</w:t>
            </w:r>
          </w:p>
          <w:p w14:paraId="6EF313CA"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7E4B2DC8"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111 East Wacker Dr., Suite 920</w:t>
            </w:r>
          </w:p>
          <w:p w14:paraId="2528462C"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Chicago, IL 60601</w:t>
            </w:r>
          </w:p>
          <w:p w14:paraId="177B7432" w14:textId="5887F0C9"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(312) 994-1044</w:t>
            </w:r>
          </w:p>
        </w:tc>
      </w:tr>
      <w:tr w:rsidR="00BE3720" w:rsidRPr="004B62F8" w14:paraId="12B29779" w14:textId="77777777" w:rsidTr="004B62F8">
        <w:tc>
          <w:tcPr>
            <w:tcW w:w="2500" w:type="pct"/>
          </w:tcPr>
          <w:p w14:paraId="00C7C0D4"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John Deke </w:t>
            </w:r>
          </w:p>
          <w:p w14:paraId="0A3D4156"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6B003C2F"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0311C868"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11506662" w14:textId="6C5B8D97"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275-2230</w:t>
            </w:r>
          </w:p>
        </w:tc>
        <w:tc>
          <w:tcPr>
            <w:tcW w:w="2500" w:type="pct"/>
          </w:tcPr>
          <w:p w14:paraId="221E89E3"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Melissa Thomas</w:t>
            </w:r>
          </w:p>
          <w:p w14:paraId="089C9226"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799F769F"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7596A227"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547474D3" w14:textId="69AACD04"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275-2231</w:t>
            </w:r>
          </w:p>
        </w:tc>
      </w:tr>
      <w:tr w:rsidR="00BE3720" w:rsidRPr="004B62F8" w14:paraId="44CDBC7A" w14:textId="77777777" w:rsidTr="004B62F8">
        <w:tc>
          <w:tcPr>
            <w:tcW w:w="2500" w:type="pct"/>
          </w:tcPr>
          <w:p w14:paraId="141FF528"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Sarah Forrestal</w:t>
            </w:r>
          </w:p>
          <w:p w14:paraId="290CAC31"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6636912A"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111 East Wacker Drive, Suite 920</w:t>
            </w:r>
          </w:p>
          <w:p w14:paraId="566BEF6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Chicago, IL 60601</w:t>
            </w:r>
          </w:p>
          <w:p w14:paraId="6869C81C" w14:textId="0F53D078"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(312) 994-1017</w:t>
            </w:r>
          </w:p>
        </w:tc>
        <w:tc>
          <w:tcPr>
            <w:tcW w:w="2500" w:type="pct"/>
          </w:tcPr>
          <w:p w14:paraId="10E906D6"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Jennifer Walzer</w:t>
            </w:r>
          </w:p>
          <w:p w14:paraId="56B7F3AB"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6A0BBC3D"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111 East Wacker Drive, Suite 920</w:t>
            </w:r>
          </w:p>
          <w:p w14:paraId="5F41572F"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Chicago, IL 60601</w:t>
            </w:r>
          </w:p>
          <w:p w14:paraId="3D2EBB21" w14:textId="2054A0D5"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(312) 994-1042</w:t>
            </w:r>
          </w:p>
        </w:tc>
      </w:tr>
      <w:tr w:rsidR="00BE3720" w:rsidRPr="004B62F8" w14:paraId="1D726634" w14:textId="77777777" w:rsidTr="004B62F8">
        <w:tc>
          <w:tcPr>
            <w:tcW w:w="2500" w:type="pct"/>
          </w:tcPr>
          <w:p w14:paraId="5C9491FA"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Brian Goesling</w:t>
            </w:r>
          </w:p>
          <w:p w14:paraId="4AB104ED"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0416E187"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7CD69AF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23C465D8" w14:textId="352C95A0"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945-3355</w:t>
            </w:r>
          </w:p>
        </w:tc>
        <w:tc>
          <w:tcPr>
            <w:tcW w:w="2500" w:type="pct"/>
          </w:tcPr>
          <w:p w14:paraId="5B689724"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Susan Zief </w:t>
            </w:r>
          </w:p>
          <w:p w14:paraId="567B227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4CE5CF4D"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P.O. Box 2393</w:t>
            </w:r>
          </w:p>
          <w:p w14:paraId="274E8CEC"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Princeton, NJ 084543-2393</w:t>
            </w:r>
          </w:p>
          <w:p w14:paraId="4083DAEC" w14:textId="0A74E4DC"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(609) 275-2291</w:t>
            </w:r>
          </w:p>
        </w:tc>
      </w:tr>
      <w:tr w:rsidR="00BE3720" w:rsidRPr="004B62F8" w14:paraId="1FA30A59" w14:textId="77777777" w:rsidTr="004B62F8">
        <w:tc>
          <w:tcPr>
            <w:tcW w:w="2500" w:type="pct"/>
          </w:tcPr>
          <w:p w14:paraId="6A63906D"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John B. Jemmott III, Ph.D.</w:t>
            </w:r>
          </w:p>
          <w:p w14:paraId="08A89B2A" w14:textId="77777777" w:rsidR="005D3DDA"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University of Pennsylvania</w:t>
            </w:r>
          </w:p>
          <w:p w14:paraId="47554D82" w14:textId="77777777" w:rsidR="005D3DDA"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Perelman School of Medicine</w:t>
            </w:r>
          </w:p>
          <w:p w14:paraId="2E8B575C" w14:textId="77777777" w:rsidR="005D3DDA"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Department of Psychiatry</w:t>
            </w:r>
          </w:p>
          <w:p w14:paraId="32A323D0"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3535 Market Street, Suite 520</w:t>
            </w:r>
          </w:p>
          <w:p w14:paraId="37A1AFAA" w14:textId="77777777" w:rsidR="005D3DDA"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rPr>
              <w:t>Philadelphia, PA 19104-3309</w:t>
            </w:r>
          </w:p>
          <w:p w14:paraId="48C7A3E5" w14:textId="29373E0A"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(215) 573-9366</w:t>
            </w:r>
          </w:p>
        </w:tc>
        <w:tc>
          <w:tcPr>
            <w:tcW w:w="2500" w:type="pct"/>
          </w:tcPr>
          <w:p w14:paraId="22E5B8A0"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Amy Farb </w:t>
            </w:r>
          </w:p>
          <w:p w14:paraId="61E89915"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U.S. Department of Health and Human Services</w:t>
            </w:r>
          </w:p>
          <w:p w14:paraId="334594FE"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Office of Adolescent Health</w:t>
            </w:r>
          </w:p>
          <w:p w14:paraId="0F71B05D"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1101 Wootton Parkway, Suite 700 </w:t>
            </w:r>
          </w:p>
          <w:p w14:paraId="17879C54"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Rockville, MD 20852 </w:t>
            </w:r>
          </w:p>
          <w:p w14:paraId="2DE75B37" w14:textId="709F456C" w:rsidR="00BE3720" w:rsidRPr="004B62F8" w:rsidRDefault="004B62F8"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(240) </w:t>
            </w:r>
            <w:r w:rsidR="005D3DDA" w:rsidRPr="004B62F8">
              <w:rPr>
                <w:rFonts w:ascii="Garamond" w:eastAsia="Lucida Sans" w:hAnsi="Garamond"/>
                <w:sz w:val="22"/>
                <w:szCs w:val="22"/>
              </w:rPr>
              <w:t>453-2836</w:t>
            </w:r>
          </w:p>
        </w:tc>
      </w:tr>
      <w:tr w:rsidR="00BE3720" w:rsidRPr="004B62F8" w14:paraId="5C8000A6" w14:textId="77777777" w:rsidTr="004B62F8">
        <w:tc>
          <w:tcPr>
            <w:tcW w:w="2500" w:type="pct"/>
          </w:tcPr>
          <w:p w14:paraId="22ADF88D"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Loretta Sweet Jemmott, Ph.D. </w:t>
            </w:r>
          </w:p>
          <w:p w14:paraId="0724FEE9"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Drexel University </w:t>
            </w:r>
          </w:p>
          <w:p w14:paraId="3153E146"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College of Nursing and Health Professions </w:t>
            </w:r>
          </w:p>
          <w:p w14:paraId="79F60FD8" w14:textId="77777777" w:rsidR="005D3DDA" w:rsidRPr="004B62F8" w:rsidRDefault="005D3DDA" w:rsidP="004B62F8">
            <w:pPr>
              <w:pStyle w:val="TableText"/>
              <w:ind w:left="360"/>
              <w:rPr>
                <w:rFonts w:ascii="Garamond" w:eastAsia="Lucida Sans" w:hAnsi="Garamond"/>
                <w:sz w:val="22"/>
                <w:szCs w:val="22"/>
                <w:lang w:val="en"/>
              </w:rPr>
            </w:pPr>
            <w:r w:rsidRPr="004B62F8">
              <w:rPr>
                <w:rFonts w:ascii="Garamond" w:eastAsia="Lucida Sans" w:hAnsi="Garamond"/>
                <w:sz w:val="22"/>
                <w:szCs w:val="22"/>
                <w:lang w:val="en"/>
              </w:rPr>
              <w:t>1601 Cherry Street</w:t>
            </w:r>
          </w:p>
          <w:p w14:paraId="6FCAD45E" w14:textId="77777777" w:rsidR="005D3DDA" w:rsidRPr="004B62F8" w:rsidRDefault="005D3DDA" w:rsidP="004B62F8">
            <w:pPr>
              <w:pStyle w:val="TableText"/>
              <w:ind w:left="360"/>
              <w:rPr>
                <w:rFonts w:ascii="Garamond" w:eastAsia="Lucida Sans" w:hAnsi="Garamond"/>
                <w:sz w:val="22"/>
                <w:szCs w:val="22"/>
                <w:lang w:val="en"/>
              </w:rPr>
            </w:pPr>
            <w:r w:rsidRPr="004B62F8">
              <w:rPr>
                <w:rFonts w:ascii="Garamond" w:eastAsia="Lucida Sans" w:hAnsi="Garamond"/>
                <w:sz w:val="22"/>
                <w:szCs w:val="22"/>
                <w:lang w:val="en"/>
              </w:rPr>
              <w:t xml:space="preserve">Philadelphia, PA 19102, </w:t>
            </w:r>
          </w:p>
          <w:p w14:paraId="4CD0C91B" w14:textId="5EA94F50" w:rsidR="00BE3720" w:rsidRPr="004B62F8" w:rsidRDefault="00BE3720" w:rsidP="004B62F8">
            <w:pPr>
              <w:pStyle w:val="TableText"/>
              <w:ind w:left="360"/>
              <w:rPr>
                <w:rFonts w:ascii="Garamond" w:eastAsia="Lucida Sans" w:hAnsi="Garamond"/>
                <w:sz w:val="22"/>
                <w:szCs w:val="22"/>
              </w:rPr>
            </w:pPr>
            <w:r w:rsidRPr="004B62F8">
              <w:rPr>
                <w:rFonts w:ascii="Garamond" w:eastAsia="Lucida Sans" w:hAnsi="Garamond"/>
                <w:sz w:val="22"/>
                <w:szCs w:val="22"/>
                <w:lang w:val="en"/>
              </w:rPr>
              <w:t>(215) 895-</w:t>
            </w:r>
            <w:r w:rsidR="005D3DDA" w:rsidRPr="004B62F8">
              <w:rPr>
                <w:rFonts w:ascii="Garamond" w:eastAsia="Lucida Sans" w:hAnsi="Garamond"/>
                <w:sz w:val="22"/>
                <w:szCs w:val="22"/>
                <w:lang w:val="en"/>
              </w:rPr>
              <w:t>2000</w:t>
            </w:r>
          </w:p>
        </w:tc>
        <w:tc>
          <w:tcPr>
            <w:tcW w:w="2500" w:type="pct"/>
          </w:tcPr>
          <w:p w14:paraId="5845FB46"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Tish Hall </w:t>
            </w:r>
          </w:p>
          <w:p w14:paraId="0FC59688"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U.S. Department of Health and Human Services</w:t>
            </w:r>
          </w:p>
          <w:p w14:paraId="2A2C9AAD"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Office of Adolescent Health</w:t>
            </w:r>
          </w:p>
          <w:p w14:paraId="0C36AC54"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1101 Wootton Parkway, Suite 700 </w:t>
            </w:r>
          </w:p>
          <w:p w14:paraId="38E0AED1" w14:textId="77777777" w:rsidR="00BE3720"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Rockville, MD 20852 </w:t>
            </w:r>
          </w:p>
          <w:p w14:paraId="00BFE34F" w14:textId="1FBB44A2" w:rsidR="00003681" w:rsidRPr="00003681" w:rsidRDefault="00003681" w:rsidP="004B62F8">
            <w:pPr>
              <w:pStyle w:val="TableText"/>
              <w:ind w:left="360"/>
              <w:rPr>
                <w:rFonts w:ascii="Garamond" w:eastAsia="Lucida Sans" w:hAnsi="Garamond"/>
                <w:sz w:val="22"/>
                <w:szCs w:val="22"/>
              </w:rPr>
            </w:pPr>
            <w:r w:rsidRPr="00003681">
              <w:rPr>
                <w:rFonts w:ascii="Garamond" w:hAnsi="Garamond" w:cs="Arial"/>
                <w:color w:val="4C4C4C"/>
                <w:sz w:val="22"/>
                <w:szCs w:val="22"/>
                <w:shd w:val="clear" w:color="auto" w:fill="FFFFFF"/>
              </w:rPr>
              <w:t>(240) 453-2846</w:t>
            </w:r>
          </w:p>
        </w:tc>
      </w:tr>
      <w:tr w:rsidR="00BE3720" w:rsidRPr="004B62F8" w14:paraId="24510446" w14:textId="77777777" w:rsidTr="004B62F8">
        <w:tc>
          <w:tcPr>
            <w:tcW w:w="2500" w:type="pct"/>
          </w:tcPr>
          <w:p w14:paraId="5AD2E53B"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Laura Kalb</w:t>
            </w:r>
          </w:p>
          <w:p w14:paraId="67B0F3E1"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Mathematica Policy Research</w:t>
            </w:r>
          </w:p>
          <w:p w14:paraId="0A88EAB7"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955 Massachusetts Avenue, Suite 801</w:t>
            </w:r>
          </w:p>
          <w:p w14:paraId="41A11824"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Cambridge, MA 02139</w:t>
            </w:r>
          </w:p>
          <w:p w14:paraId="35A5CDED" w14:textId="35E5E209" w:rsidR="00BE3720"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(617) 301-8989</w:t>
            </w:r>
          </w:p>
        </w:tc>
        <w:tc>
          <w:tcPr>
            <w:tcW w:w="2500" w:type="pct"/>
          </w:tcPr>
          <w:p w14:paraId="3931A708" w14:textId="77777777" w:rsidR="005D3DDA" w:rsidRPr="004B62F8" w:rsidRDefault="005D3DDA" w:rsidP="004B62F8">
            <w:pPr>
              <w:pStyle w:val="TableText"/>
              <w:numPr>
                <w:ilvl w:val="0"/>
                <w:numId w:val="16"/>
              </w:numPr>
              <w:rPr>
                <w:rFonts w:ascii="Garamond" w:eastAsia="Lucida Sans" w:hAnsi="Garamond"/>
                <w:sz w:val="22"/>
                <w:szCs w:val="22"/>
              </w:rPr>
            </w:pPr>
            <w:r w:rsidRPr="004B62F8">
              <w:rPr>
                <w:rFonts w:ascii="Garamond" w:eastAsia="Lucida Sans" w:hAnsi="Garamond"/>
                <w:sz w:val="22"/>
                <w:szCs w:val="22"/>
              </w:rPr>
              <w:t xml:space="preserve">Tara Rice </w:t>
            </w:r>
          </w:p>
          <w:p w14:paraId="40E1B3A0"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U.S. Department of Health and Human Services</w:t>
            </w:r>
          </w:p>
          <w:p w14:paraId="2DB4D32C"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Office of Adolescent Health</w:t>
            </w:r>
          </w:p>
          <w:p w14:paraId="0D1614DB" w14:textId="77777777" w:rsidR="005D3DDA" w:rsidRPr="004B62F8"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 xml:space="preserve">1101 Wootton Parkway, Suite 700 </w:t>
            </w:r>
          </w:p>
          <w:p w14:paraId="6E44C866" w14:textId="77777777" w:rsidR="00003681" w:rsidRDefault="005D3DDA" w:rsidP="004B62F8">
            <w:pPr>
              <w:pStyle w:val="TableText"/>
              <w:ind w:left="360"/>
              <w:rPr>
                <w:rFonts w:ascii="Garamond" w:eastAsia="Lucida Sans" w:hAnsi="Garamond"/>
                <w:sz w:val="22"/>
                <w:szCs w:val="22"/>
              </w:rPr>
            </w:pPr>
            <w:r w:rsidRPr="004B62F8">
              <w:rPr>
                <w:rFonts w:ascii="Garamond" w:eastAsia="Lucida Sans" w:hAnsi="Garamond"/>
                <w:sz w:val="22"/>
                <w:szCs w:val="22"/>
              </w:rPr>
              <w:t>Rockville, MD 20852</w:t>
            </w:r>
          </w:p>
          <w:p w14:paraId="34D9D870" w14:textId="15F92935" w:rsidR="00BE3720" w:rsidRPr="00003681" w:rsidRDefault="00003681" w:rsidP="004B62F8">
            <w:pPr>
              <w:pStyle w:val="TableText"/>
              <w:ind w:left="360"/>
              <w:rPr>
                <w:rFonts w:ascii="Garamond" w:eastAsia="Lucida Sans" w:hAnsi="Garamond"/>
                <w:sz w:val="22"/>
                <w:szCs w:val="22"/>
              </w:rPr>
            </w:pPr>
            <w:r w:rsidRPr="00003681">
              <w:rPr>
                <w:rFonts w:ascii="Garamond" w:hAnsi="Garamond" w:cs="Arial"/>
                <w:color w:val="4C4C4C"/>
                <w:sz w:val="22"/>
                <w:szCs w:val="22"/>
                <w:shd w:val="clear" w:color="auto" w:fill="FFFFFF"/>
              </w:rPr>
              <w:t>(240) 453-2846</w:t>
            </w:r>
            <w:r w:rsidR="005D3DDA" w:rsidRPr="00003681">
              <w:rPr>
                <w:rFonts w:ascii="Garamond" w:eastAsia="Lucida Sans" w:hAnsi="Garamond"/>
                <w:sz w:val="22"/>
                <w:szCs w:val="22"/>
              </w:rPr>
              <w:t xml:space="preserve"> </w:t>
            </w:r>
          </w:p>
        </w:tc>
      </w:tr>
    </w:tbl>
    <w:p w14:paraId="1F23ED61" w14:textId="364E2B8E" w:rsidR="00AC0487" w:rsidRPr="004B62F8" w:rsidRDefault="00AC0487" w:rsidP="004B62F8">
      <w:pPr>
        <w:pStyle w:val="NormalSS"/>
        <w:rPr>
          <w:sz w:val="2"/>
          <w:szCs w:val="2"/>
        </w:rPr>
      </w:pPr>
    </w:p>
    <w:sectPr w:rsidR="00AC0487" w:rsidRPr="004B62F8" w:rsidSect="00AC0487">
      <w:headerReference w:type="default" r:id="rId15"/>
      <w:footerReference w:type="default" r:id="rId16"/>
      <w:endnotePr>
        <w:numFmt w:val="decimal"/>
      </w:endnotePr>
      <w:pgSz w:w="12240" w:h="15840" w:code="1"/>
      <w:pgMar w:top="1440" w:right="1440" w:bottom="1440"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4E66F" w14:textId="77777777" w:rsidR="00292BB5" w:rsidRDefault="00292BB5" w:rsidP="002E3E35">
      <w:pPr>
        <w:spacing w:line="240" w:lineRule="auto"/>
      </w:pPr>
      <w:r>
        <w:separator/>
      </w:r>
    </w:p>
  </w:endnote>
  <w:endnote w:type="continuationSeparator" w:id="0">
    <w:p w14:paraId="695AD076" w14:textId="77777777" w:rsidR="00292BB5" w:rsidRDefault="00292BB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7" w14:textId="77777777" w:rsidR="00292BB5" w:rsidRPr="004B75AD" w:rsidRDefault="00292BB5" w:rsidP="0018600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9" w14:textId="77777777" w:rsidR="00292BB5" w:rsidRPr="00843124" w:rsidRDefault="00292BB5" w:rsidP="00AB1363">
    <w:pPr>
      <w:pStyle w:val="Footer"/>
      <w:pBdr>
        <w:bottom w:val="single" w:sz="4" w:space="1" w:color="000000" w:themeColor="text1"/>
      </w:pBdr>
      <w:tabs>
        <w:tab w:val="clear" w:pos="4320"/>
        <w:tab w:val="clear" w:pos="9360"/>
      </w:tabs>
      <w:rPr>
        <w:rFonts w:cs="Arial"/>
        <w:snapToGrid w:val="0"/>
      </w:rPr>
    </w:pPr>
  </w:p>
  <w:p w14:paraId="1F23ED6A" w14:textId="77777777" w:rsidR="00292BB5" w:rsidRDefault="00292BB5" w:rsidP="00436B9F">
    <w:pPr>
      <w:pStyle w:val="Footer"/>
      <w:pBdr>
        <w:bottom w:val="none" w:sz="0" w:space="0" w:color="auto"/>
      </w:pBdr>
      <w:jc w:val="left"/>
      <w:rPr>
        <w:rStyle w:val="PageNumber"/>
        <w:rFonts w:cs="Arial"/>
      </w:rPr>
    </w:pPr>
  </w:p>
  <w:p w14:paraId="1F23ED6B" w14:textId="77777777" w:rsidR="00292BB5" w:rsidRPr="004B75AD" w:rsidRDefault="00292BB5"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184221">
      <w:rPr>
        <w:rStyle w:val="PageNumber"/>
        <w:rFonts w:cs="Arial"/>
        <w:noProof/>
      </w:rPr>
      <w:t>iii</w:t>
    </w:r>
    <w:r w:rsidRPr="00843124">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D" w14:textId="77777777" w:rsidR="00292BB5" w:rsidRPr="00A12B64" w:rsidRDefault="00292BB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23ED6E" w14:textId="77777777" w:rsidR="00292BB5" w:rsidRDefault="00292BB5" w:rsidP="00455D47">
    <w:pPr>
      <w:pStyle w:val="Footer"/>
      <w:pBdr>
        <w:top w:val="single" w:sz="2" w:space="1" w:color="auto"/>
        <w:bottom w:val="none" w:sz="0" w:space="0" w:color="auto"/>
      </w:pBdr>
      <w:spacing w:line="192" w:lineRule="auto"/>
      <w:rPr>
        <w:rStyle w:val="PageNumber"/>
      </w:rPr>
    </w:pPr>
  </w:p>
  <w:bookmarkStart w:id="64" w:name="Draft"/>
  <w:bookmarkEnd w:id="64"/>
  <w:p w14:paraId="1F23ED6F" w14:textId="77777777" w:rsidR="00292BB5" w:rsidRPr="00964AB7" w:rsidRDefault="00292BB5"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84221">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4C611" w14:textId="77777777" w:rsidR="00292BB5" w:rsidRDefault="00292BB5" w:rsidP="00203E3B">
      <w:pPr>
        <w:spacing w:line="240" w:lineRule="auto"/>
        <w:ind w:firstLine="0"/>
      </w:pPr>
      <w:r>
        <w:separator/>
      </w:r>
    </w:p>
  </w:footnote>
  <w:footnote w:type="continuationSeparator" w:id="0">
    <w:p w14:paraId="2640D41D" w14:textId="77777777" w:rsidR="00292BB5" w:rsidRDefault="00292BB5" w:rsidP="00203E3B">
      <w:pPr>
        <w:spacing w:line="240" w:lineRule="auto"/>
        <w:ind w:firstLine="0"/>
      </w:pPr>
      <w:r>
        <w:separator/>
      </w:r>
    </w:p>
    <w:p w14:paraId="20162B49" w14:textId="77777777" w:rsidR="00292BB5" w:rsidRPr="00157CA2" w:rsidRDefault="00292BB5" w:rsidP="00203E3B">
      <w:pPr>
        <w:spacing w:after="120" w:line="240" w:lineRule="auto"/>
        <w:ind w:firstLine="0"/>
        <w:rPr>
          <w:sz w:val="20"/>
        </w:rPr>
      </w:pPr>
      <w:r w:rsidRPr="00157CA2">
        <w:rPr>
          <w:i/>
          <w:sz w:val="20"/>
        </w:rPr>
        <w:t>(continued)</w:t>
      </w:r>
    </w:p>
  </w:footnote>
  <w:footnote w:id="1">
    <w:p w14:paraId="7644611C" w14:textId="15FA40A9" w:rsidR="00292BB5" w:rsidRDefault="00292BB5" w:rsidP="003F3E5C">
      <w:pPr>
        <w:pStyle w:val="FootnoteText"/>
        <w:jc w:val="left"/>
      </w:pPr>
      <w:r>
        <w:rPr>
          <w:rStyle w:val="FootnoteReference"/>
        </w:rPr>
        <w:footnoteRef/>
      </w:r>
      <w:r>
        <w:t xml:space="preserve"> PREP has two school-based sites. First </w:t>
      </w:r>
      <w:r w:rsidR="003560DB">
        <w:t>and second follow-up is closed in one site, and is ongoing in the other.</w:t>
      </w:r>
    </w:p>
  </w:footnote>
  <w:footnote w:id="2">
    <w:p w14:paraId="4E9D7A0A" w14:textId="3EDD8373" w:rsidR="00292BB5" w:rsidRDefault="00292BB5" w:rsidP="00560301">
      <w:pPr>
        <w:pStyle w:val="FootnoteText"/>
      </w:pPr>
      <w:r>
        <w:rPr>
          <w:rStyle w:val="FootnoteReference"/>
        </w:rPr>
        <w:footnoteRef/>
      </w:r>
      <w:r>
        <w:t xml:space="preserve"> Youth assent is obtained prior to each round of data collection (baseline, 9-month follow-up and 15-month follow-up).   </w:t>
      </w:r>
    </w:p>
  </w:footnote>
  <w:footnote w:id="3">
    <w:p w14:paraId="4340FD55" w14:textId="77777777" w:rsidR="00292BB5" w:rsidRPr="001B2D5A" w:rsidRDefault="00292BB5" w:rsidP="001B2D5A">
      <w:pPr>
        <w:pStyle w:val="FootnoteText"/>
      </w:pPr>
      <w:r w:rsidRPr="0051675D">
        <w:rPr>
          <w:rStyle w:val="FootnoteReference"/>
        </w:rPr>
        <w:footnoteRef/>
      </w:r>
      <w:r w:rsidRPr="001B2D5A">
        <w:t xml:space="preserve"> Singer, Eleanor, John Van Hoewyk, and Mary P. Maher. 1998. Does the payment of incentives create expectation effects? </w:t>
      </w:r>
      <w:r w:rsidRPr="001B2D5A">
        <w:rPr>
          <w:rFonts w:cs="NewCaledonia-Italic"/>
          <w:i/>
          <w:iCs/>
        </w:rPr>
        <w:t xml:space="preserve">Public Opinion Quarterly </w:t>
      </w:r>
      <w:r w:rsidRPr="001B2D5A">
        <w:t>62:152–64.</w:t>
      </w:r>
    </w:p>
  </w:footnote>
  <w:footnote w:id="4">
    <w:p w14:paraId="2821AB3A" w14:textId="688F6F9F" w:rsidR="00292BB5" w:rsidRPr="001B2D5A" w:rsidRDefault="00292BB5" w:rsidP="001B2D5A">
      <w:pPr>
        <w:pStyle w:val="FootnoteText"/>
      </w:pPr>
      <w:r w:rsidRPr="001B2D5A">
        <w:rPr>
          <w:rStyle w:val="FootnoteReference"/>
        </w:rPr>
        <w:footnoteRef/>
      </w:r>
      <w:r w:rsidRPr="001B2D5A">
        <w:t xml:space="preserve"> </w:t>
      </w:r>
      <w:r>
        <w:t>Response rates provided are for two school-based sites on PREP</w:t>
      </w:r>
      <w:r w:rsidRPr="001B2D5A">
        <w:t xml:space="preserve">. First follow up is on-going in one and closed in the other and second follow up is on-going in both sites. </w:t>
      </w:r>
    </w:p>
  </w:footnote>
  <w:footnote w:id="5">
    <w:p w14:paraId="6CDFC9F7" w14:textId="726F481B" w:rsidR="00292BB5" w:rsidRDefault="00292BB5" w:rsidP="00925E6C">
      <w:pPr>
        <w:pStyle w:val="FootnoteText"/>
      </w:pPr>
      <w:r>
        <w:rPr>
          <w:rStyle w:val="FootnoteReference"/>
        </w:rPr>
        <w:footnoteRef/>
      </w:r>
      <w:r>
        <w:t xml:space="preserve"> The participant-facing name of the study is the Attitudes, Behaviors, and Choices (or ABC) Study. This name appears on the instrument (Instrument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8" w14:textId="77777777" w:rsidR="00292BB5" w:rsidRPr="00061AF7" w:rsidRDefault="00292BB5" w:rsidP="00436B9F">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3ED6C" w14:textId="77777777" w:rsidR="00292BB5" w:rsidRPr="00436B9F" w:rsidRDefault="00292BB5" w:rsidP="00436B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3012670A"/>
    <w:multiLevelType w:val="hybridMultilevel"/>
    <w:tmpl w:val="096CD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3"/>
  </w:num>
  <w:num w:numId="5">
    <w:abstractNumId w:val="14"/>
  </w:num>
  <w:num w:numId="6">
    <w:abstractNumId w:val="12"/>
  </w:num>
  <w:num w:numId="7">
    <w:abstractNumId w:val="0"/>
  </w:num>
  <w:num w:numId="8">
    <w:abstractNumId w:val="8"/>
  </w:num>
  <w:num w:numId="9">
    <w:abstractNumId w:val="6"/>
  </w:num>
  <w:num w:numId="10">
    <w:abstractNumId w:val="4"/>
  </w:num>
  <w:num w:numId="11">
    <w:abstractNumId w:val="5"/>
  </w:num>
  <w:num w:numId="12">
    <w:abstractNumId w:val="1"/>
  </w:num>
  <w:num w:numId="13">
    <w:abstractNumId w:val="11"/>
  </w:num>
  <w:num w:numId="14">
    <w:abstractNumId w:val="2"/>
  </w:num>
  <w:num w:numId="15">
    <w:abstractNumId w:val="10"/>
  </w:num>
  <w:num w:numId="16">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Zief">
    <w15:presenceInfo w15:providerId="AD" w15:userId="S-1-5-21-484763869-796845957-839522115-17261"/>
  </w15:person>
  <w15:person w15:author="Jennifer Walzer">
    <w15:presenceInfo w15:providerId="AD" w15:userId="S-1-5-21-484763869-796845957-839522115-8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9F"/>
    <w:rsid w:val="000030B1"/>
    <w:rsid w:val="00003681"/>
    <w:rsid w:val="00004061"/>
    <w:rsid w:val="000105C9"/>
    <w:rsid w:val="00010CEE"/>
    <w:rsid w:val="00013493"/>
    <w:rsid w:val="000137E8"/>
    <w:rsid w:val="0001587F"/>
    <w:rsid w:val="0001610D"/>
    <w:rsid w:val="00016BE4"/>
    <w:rsid w:val="00016D34"/>
    <w:rsid w:val="000212FC"/>
    <w:rsid w:val="00022A0A"/>
    <w:rsid w:val="0002322B"/>
    <w:rsid w:val="0002460E"/>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4B98"/>
    <w:rsid w:val="00065074"/>
    <w:rsid w:val="0007041A"/>
    <w:rsid w:val="00071EBE"/>
    <w:rsid w:val="000777DB"/>
    <w:rsid w:val="000806E2"/>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4233"/>
    <w:rsid w:val="000C7D4D"/>
    <w:rsid w:val="000D3BFB"/>
    <w:rsid w:val="000D5B34"/>
    <w:rsid w:val="000D6D88"/>
    <w:rsid w:val="000D751A"/>
    <w:rsid w:val="000E0694"/>
    <w:rsid w:val="000E1C2B"/>
    <w:rsid w:val="000E2169"/>
    <w:rsid w:val="000E3DCE"/>
    <w:rsid w:val="000E4C3F"/>
    <w:rsid w:val="000F0992"/>
    <w:rsid w:val="000F677B"/>
    <w:rsid w:val="001004A7"/>
    <w:rsid w:val="001119F8"/>
    <w:rsid w:val="00112577"/>
    <w:rsid w:val="00112A5E"/>
    <w:rsid w:val="00113CC8"/>
    <w:rsid w:val="00122C2C"/>
    <w:rsid w:val="00130C03"/>
    <w:rsid w:val="001311F7"/>
    <w:rsid w:val="0013184F"/>
    <w:rsid w:val="00131D22"/>
    <w:rsid w:val="00131F00"/>
    <w:rsid w:val="001323C1"/>
    <w:rsid w:val="0013346F"/>
    <w:rsid w:val="00134E28"/>
    <w:rsid w:val="00135EB7"/>
    <w:rsid w:val="0013709C"/>
    <w:rsid w:val="001424BC"/>
    <w:rsid w:val="00146CE3"/>
    <w:rsid w:val="00147515"/>
    <w:rsid w:val="00147A74"/>
    <w:rsid w:val="001508EF"/>
    <w:rsid w:val="00153DA4"/>
    <w:rsid w:val="00154DF1"/>
    <w:rsid w:val="00155D06"/>
    <w:rsid w:val="00157CA2"/>
    <w:rsid w:val="001649D5"/>
    <w:rsid w:val="00164BC2"/>
    <w:rsid w:val="00172881"/>
    <w:rsid w:val="001739F1"/>
    <w:rsid w:val="00181AC8"/>
    <w:rsid w:val="00184221"/>
    <w:rsid w:val="00184421"/>
    <w:rsid w:val="00185CEF"/>
    <w:rsid w:val="00185D22"/>
    <w:rsid w:val="00186002"/>
    <w:rsid w:val="001861AD"/>
    <w:rsid w:val="00190103"/>
    <w:rsid w:val="0019132F"/>
    <w:rsid w:val="001921A4"/>
    <w:rsid w:val="00194A0E"/>
    <w:rsid w:val="001969F1"/>
    <w:rsid w:val="00196E5A"/>
    <w:rsid w:val="00197503"/>
    <w:rsid w:val="001A3781"/>
    <w:rsid w:val="001B107D"/>
    <w:rsid w:val="001B2D5A"/>
    <w:rsid w:val="001B4842"/>
    <w:rsid w:val="001B6005"/>
    <w:rsid w:val="001C5EB8"/>
    <w:rsid w:val="001C7FBE"/>
    <w:rsid w:val="001D3544"/>
    <w:rsid w:val="001D39AA"/>
    <w:rsid w:val="001D39EC"/>
    <w:rsid w:val="001D418D"/>
    <w:rsid w:val="001D661F"/>
    <w:rsid w:val="001D7B65"/>
    <w:rsid w:val="001E065D"/>
    <w:rsid w:val="001E583B"/>
    <w:rsid w:val="001E6A60"/>
    <w:rsid w:val="001E6E5A"/>
    <w:rsid w:val="00201E7E"/>
    <w:rsid w:val="00203E3B"/>
    <w:rsid w:val="00204AB9"/>
    <w:rsid w:val="00204B23"/>
    <w:rsid w:val="002050B7"/>
    <w:rsid w:val="002135F6"/>
    <w:rsid w:val="00214E0B"/>
    <w:rsid w:val="00215C5A"/>
    <w:rsid w:val="00215E4D"/>
    <w:rsid w:val="0021652B"/>
    <w:rsid w:val="002166BC"/>
    <w:rsid w:val="00217FA0"/>
    <w:rsid w:val="00220F96"/>
    <w:rsid w:val="00225954"/>
    <w:rsid w:val="0022714B"/>
    <w:rsid w:val="002272CB"/>
    <w:rsid w:val="00231607"/>
    <w:rsid w:val="0023638D"/>
    <w:rsid w:val="00247945"/>
    <w:rsid w:val="00254C89"/>
    <w:rsid w:val="00254E2D"/>
    <w:rsid w:val="00256D04"/>
    <w:rsid w:val="0026025C"/>
    <w:rsid w:val="0026053B"/>
    <w:rsid w:val="0026713B"/>
    <w:rsid w:val="00271C83"/>
    <w:rsid w:val="0027245E"/>
    <w:rsid w:val="00272B66"/>
    <w:rsid w:val="002733A4"/>
    <w:rsid w:val="002774C3"/>
    <w:rsid w:val="002817A6"/>
    <w:rsid w:val="00283304"/>
    <w:rsid w:val="0028360E"/>
    <w:rsid w:val="002869EF"/>
    <w:rsid w:val="0029011D"/>
    <w:rsid w:val="0029042C"/>
    <w:rsid w:val="00292A7F"/>
    <w:rsid w:val="00292BB5"/>
    <w:rsid w:val="00293228"/>
    <w:rsid w:val="00294B21"/>
    <w:rsid w:val="00297266"/>
    <w:rsid w:val="002978AA"/>
    <w:rsid w:val="002A00E4"/>
    <w:rsid w:val="002A2808"/>
    <w:rsid w:val="002A3D5D"/>
    <w:rsid w:val="002A4F27"/>
    <w:rsid w:val="002A64F9"/>
    <w:rsid w:val="002A6552"/>
    <w:rsid w:val="002B0E82"/>
    <w:rsid w:val="002B25CD"/>
    <w:rsid w:val="002B71CD"/>
    <w:rsid w:val="002B72E0"/>
    <w:rsid w:val="002B76AB"/>
    <w:rsid w:val="002B7C37"/>
    <w:rsid w:val="002C1507"/>
    <w:rsid w:val="002C35F2"/>
    <w:rsid w:val="002C3CA5"/>
    <w:rsid w:val="002C40A9"/>
    <w:rsid w:val="002C598D"/>
    <w:rsid w:val="002C71CA"/>
    <w:rsid w:val="002D262A"/>
    <w:rsid w:val="002D6763"/>
    <w:rsid w:val="002D7B94"/>
    <w:rsid w:val="002E06F1"/>
    <w:rsid w:val="002E1A2B"/>
    <w:rsid w:val="002E226E"/>
    <w:rsid w:val="002E3E35"/>
    <w:rsid w:val="002F1CD9"/>
    <w:rsid w:val="002F297B"/>
    <w:rsid w:val="002F6E35"/>
    <w:rsid w:val="0030242C"/>
    <w:rsid w:val="00302890"/>
    <w:rsid w:val="00306F1E"/>
    <w:rsid w:val="003103CD"/>
    <w:rsid w:val="00310CBE"/>
    <w:rsid w:val="00310F11"/>
    <w:rsid w:val="00315DEC"/>
    <w:rsid w:val="0031740A"/>
    <w:rsid w:val="00317FDB"/>
    <w:rsid w:val="00321DAF"/>
    <w:rsid w:val="003250D8"/>
    <w:rsid w:val="00325FF2"/>
    <w:rsid w:val="00326958"/>
    <w:rsid w:val="0033012A"/>
    <w:rsid w:val="003308C3"/>
    <w:rsid w:val="00331ADC"/>
    <w:rsid w:val="00341682"/>
    <w:rsid w:val="003426BF"/>
    <w:rsid w:val="00345556"/>
    <w:rsid w:val="003459EC"/>
    <w:rsid w:val="00346E5F"/>
    <w:rsid w:val="0035526C"/>
    <w:rsid w:val="003560DB"/>
    <w:rsid w:val="00356F70"/>
    <w:rsid w:val="00357B5C"/>
    <w:rsid w:val="00363410"/>
    <w:rsid w:val="00363A19"/>
    <w:rsid w:val="003656C4"/>
    <w:rsid w:val="00366F93"/>
    <w:rsid w:val="00370490"/>
    <w:rsid w:val="00370BC5"/>
    <w:rsid w:val="00370D5B"/>
    <w:rsid w:val="003743AD"/>
    <w:rsid w:val="00384A00"/>
    <w:rsid w:val="00384E5E"/>
    <w:rsid w:val="00387C3D"/>
    <w:rsid w:val="00387D9A"/>
    <w:rsid w:val="003921CA"/>
    <w:rsid w:val="00392614"/>
    <w:rsid w:val="00394544"/>
    <w:rsid w:val="00394DAA"/>
    <w:rsid w:val="003969F2"/>
    <w:rsid w:val="00396F18"/>
    <w:rsid w:val="00396FD7"/>
    <w:rsid w:val="003A0C7A"/>
    <w:rsid w:val="003A16DA"/>
    <w:rsid w:val="003A3ADA"/>
    <w:rsid w:val="003A501E"/>
    <w:rsid w:val="003A5EFC"/>
    <w:rsid w:val="003A63C1"/>
    <w:rsid w:val="003C208A"/>
    <w:rsid w:val="003C3464"/>
    <w:rsid w:val="003C38EC"/>
    <w:rsid w:val="003C3D79"/>
    <w:rsid w:val="003C5C02"/>
    <w:rsid w:val="003E1520"/>
    <w:rsid w:val="003E21DB"/>
    <w:rsid w:val="003E3505"/>
    <w:rsid w:val="003E418E"/>
    <w:rsid w:val="003E7053"/>
    <w:rsid w:val="003E7979"/>
    <w:rsid w:val="003F3E5C"/>
    <w:rsid w:val="003F4ADD"/>
    <w:rsid w:val="003F7027"/>
    <w:rsid w:val="003F7D6D"/>
    <w:rsid w:val="004018DC"/>
    <w:rsid w:val="00406760"/>
    <w:rsid w:val="00406AC8"/>
    <w:rsid w:val="0041193C"/>
    <w:rsid w:val="00413779"/>
    <w:rsid w:val="00430A83"/>
    <w:rsid w:val="00431084"/>
    <w:rsid w:val="00433E4F"/>
    <w:rsid w:val="00435539"/>
    <w:rsid w:val="00436B58"/>
    <w:rsid w:val="00436B9F"/>
    <w:rsid w:val="00436BEA"/>
    <w:rsid w:val="00436D0A"/>
    <w:rsid w:val="00437868"/>
    <w:rsid w:val="004406E3"/>
    <w:rsid w:val="0044335E"/>
    <w:rsid w:val="00446C1B"/>
    <w:rsid w:val="004521CE"/>
    <w:rsid w:val="0045260E"/>
    <w:rsid w:val="004533DB"/>
    <w:rsid w:val="00455D47"/>
    <w:rsid w:val="004603C8"/>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B62F8"/>
    <w:rsid w:val="004C040C"/>
    <w:rsid w:val="004C3172"/>
    <w:rsid w:val="004C498B"/>
    <w:rsid w:val="004C67B1"/>
    <w:rsid w:val="004D1EAA"/>
    <w:rsid w:val="004D2C35"/>
    <w:rsid w:val="004D6B97"/>
    <w:rsid w:val="004E049B"/>
    <w:rsid w:val="004E69F7"/>
    <w:rsid w:val="004E7409"/>
    <w:rsid w:val="004E74D1"/>
    <w:rsid w:val="004F2BAC"/>
    <w:rsid w:val="004F36C4"/>
    <w:rsid w:val="004F79F1"/>
    <w:rsid w:val="00500104"/>
    <w:rsid w:val="0050038C"/>
    <w:rsid w:val="00505804"/>
    <w:rsid w:val="00506F79"/>
    <w:rsid w:val="0050712A"/>
    <w:rsid w:val="00511D22"/>
    <w:rsid w:val="0051675D"/>
    <w:rsid w:val="00516767"/>
    <w:rsid w:val="005257EC"/>
    <w:rsid w:val="00526576"/>
    <w:rsid w:val="00526D08"/>
    <w:rsid w:val="00535221"/>
    <w:rsid w:val="0053540D"/>
    <w:rsid w:val="00537E01"/>
    <w:rsid w:val="005400FC"/>
    <w:rsid w:val="00540352"/>
    <w:rsid w:val="005403E8"/>
    <w:rsid w:val="00551D48"/>
    <w:rsid w:val="005547CA"/>
    <w:rsid w:val="00555785"/>
    <w:rsid w:val="00555F68"/>
    <w:rsid w:val="005576F8"/>
    <w:rsid w:val="00560301"/>
    <w:rsid w:val="00560D9D"/>
    <w:rsid w:val="00561604"/>
    <w:rsid w:val="005720EB"/>
    <w:rsid w:val="00580A6C"/>
    <w:rsid w:val="005837E2"/>
    <w:rsid w:val="005849EF"/>
    <w:rsid w:val="00585F60"/>
    <w:rsid w:val="005860D2"/>
    <w:rsid w:val="005903AC"/>
    <w:rsid w:val="005975FE"/>
    <w:rsid w:val="005A151B"/>
    <w:rsid w:val="005A7F69"/>
    <w:rsid w:val="005B1A1D"/>
    <w:rsid w:val="005B3BFB"/>
    <w:rsid w:val="005C2E96"/>
    <w:rsid w:val="005C40D5"/>
    <w:rsid w:val="005C40E0"/>
    <w:rsid w:val="005D1DEB"/>
    <w:rsid w:val="005D2823"/>
    <w:rsid w:val="005D3DDA"/>
    <w:rsid w:val="005D51C5"/>
    <w:rsid w:val="005D5D21"/>
    <w:rsid w:val="005E2B24"/>
    <w:rsid w:val="005E33E4"/>
    <w:rsid w:val="005E454D"/>
    <w:rsid w:val="005F1D43"/>
    <w:rsid w:val="005F28ED"/>
    <w:rsid w:val="005F5DC1"/>
    <w:rsid w:val="005F6F8C"/>
    <w:rsid w:val="005F7ADD"/>
    <w:rsid w:val="005F7FEA"/>
    <w:rsid w:val="00604551"/>
    <w:rsid w:val="006075CC"/>
    <w:rsid w:val="00615050"/>
    <w:rsid w:val="00616DE6"/>
    <w:rsid w:val="00616FBB"/>
    <w:rsid w:val="006174A1"/>
    <w:rsid w:val="00622372"/>
    <w:rsid w:val="00623479"/>
    <w:rsid w:val="00623E13"/>
    <w:rsid w:val="0062545D"/>
    <w:rsid w:val="00633E77"/>
    <w:rsid w:val="0063644E"/>
    <w:rsid w:val="00636D6D"/>
    <w:rsid w:val="006371A1"/>
    <w:rsid w:val="006404FF"/>
    <w:rsid w:val="006420BF"/>
    <w:rsid w:val="0066062F"/>
    <w:rsid w:val="00660F62"/>
    <w:rsid w:val="0066273C"/>
    <w:rsid w:val="00665DF8"/>
    <w:rsid w:val="00671099"/>
    <w:rsid w:val="00672E94"/>
    <w:rsid w:val="0067358F"/>
    <w:rsid w:val="0067395C"/>
    <w:rsid w:val="00676A56"/>
    <w:rsid w:val="0068215C"/>
    <w:rsid w:val="0068230E"/>
    <w:rsid w:val="0069799C"/>
    <w:rsid w:val="00697E5B"/>
    <w:rsid w:val="006A465C"/>
    <w:rsid w:val="006A4FFC"/>
    <w:rsid w:val="006A5550"/>
    <w:rsid w:val="006A6D7D"/>
    <w:rsid w:val="006A73F8"/>
    <w:rsid w:val="006B1180"/>
    <w:rsid w:val="006B2425"/>
    <w:rsid w:val="006B2483"/>
    <w:rsid w:val="006B3AD4"/>
    <w:rsid w:val="006B4E3F"/>
    <w:rsid w:val="006B6D4A"/>
    <w:rsid w:val="006B74EE"/>
    <w:rsid w:val="006C2620"/>
    <w:rsid w:val="006C3304"/>
    <w:rsid w:val="006C7956"/>
    <w:rsid w:val="006D03BB"/>
    <w:rsid w:val="006D21FF"/>
    <w:rsid w:val="006D680C"/>
    <w:rsid w:val="006E33F2"/>
    <w:rsid w:val="006E3BD4"/>
    <w:rsid w:val="006E4164"/>
    <w:rsid w:val="006E5B0A"/>
    <w:rsid w:val="006F265F"/>
    <w:rsid w:val="006F3FEB"/>
    <w:rsid w:val="006F4AFC"/>
    <w:rsid w:val="006F730C"/>
    <w:rsid w:val="006F73F3"/>
    <w:rsid w:val="00700DDD"/>
    <w:rsid w:val="00702EB1"/>
    <w:rsid w:val="00702F11"/>
    <w:rsid w:val="007031B1"/>
    <w:rsid w:val="007043FD"/>
    <w:rsid w:val="00705F58"/>
    <w:rsid w:val="00707616"/>
    <w:rsid w:val="00707736"/>
    <w:rsid w:val="00711B96"/>
    <w:rsid w:val="007166C4"/>
    <w:rsid w:val="00716DB7"/>
    <w:rsid w:val="007222A0"/>
    <w:rsid w:val="00723709"/>
    <w:rsid w:val="007323B2"/>
    <w:rsid w:val="00735339"/>
    <w:rsid w:val="007367FC"/>
    <w:rsid w:val="00745FE6"/>
    <w:rsid w:val="0075488B"/>
    <w:rsid w:val="0075563B"/>
    <w:rsid w:val="00756044"/>
    <w:rsid w:val="00756E06"/>
    <w:rsid w:val="007614D4"/>
    <w:rsid w:val="00761C9D"/>
    <w:rsid w:val="00761DA6"/>
    <w:rsid w:val="00764A19"/>
    <w:rsid w:val="007700B1"/>
    <w:rsid w:val="00780B38"/>
    <w:rsid w:val="0078108F"/>
    <w:rsid w:val="00781F52"/>
    <w:rsid w:val="007825D9"/>
    <w:rsid w:val="00787CE7"/>
    <w:rsid w:val="0079066B"/>
    <w:rsid w:val="00795908"/>
    <w:rsid w:val="007963EB"/>
    <w:rsid w:val="007A1493"/>
    <w:rsid w:val="007A2D95"/>
    <w:rsid w:val="007A2E39"/>
    <w:rsid w:val="007A3B4D"/>
    <w:rsid w:val="007A4FD7"/>
    <w:rsid w:val="007A69E8"/>
    <w:rsid w:val="007B1192"/>
    <w:rsid w:val="007B1305"/>
    <w:rsid w:val="007B1E87"/>
    <w:rsid w:val="007C123A"/>
    <w:rsid w:val="007C5737"/>
    <w:rsid w:val="007C6B92"/>
    <w:rsid w:val="007C7719"/>
    <w:rsid w:val="007D2AD5"/>
    <w:rsid w:val="007D45A5"/>
    <w:rsid w:val="007D6AE7"/>
    <w:rsid w:val="007D6CFB"/>
    <w:rsid w:val="007E1607"/>
    <w:rsid w:val="007E283B"/>
    <w:rsid w:val="007E574B"/>
    <w:rsid w:val="007E5750"/>
    <w:rsid w:val="007E6923"/>
    <w:rsid w:val="007F2352"/>
    <w:rsid w:val="0080264C"/>
    <w:rsid w:val="008059AC"/>
    <w:rsid w:val="008065F4"/>
    <w:rsid w:val="0081138B"/>
    <w:rsid w:val="00811638"/>
    <w:rsid w:val="00814AE7"/>
    <w:rsid w:val="00815382"/>
    <w:rsid w:val="00821341"/>
    <w:rsid w:val="0082228D"/>
    <w:rsid w:val="00825D1E"/>
    <w:rsid w:val="00826504"/>
    <w:rsid w:val="00830296"/>
    <w:rsid w:val="008321D0"/>
    <w:rsid w:val="00833A9C"/>
    <w:rsid w:val="00833B51"/>
    <w:rsid w:val="008403EE"/>
    <w:rsid w:val="008405D8"/>
    <w:rsid w:val="0084085B"/>
    <w:rsid w:val="00841251"/>
    <w:rsid w:val="00841793"/>
    <w:rsid w:val="00844A85"/>
    <w:rsid w:val="008453D2"/>
    <w:rsid w:val="0085028F"/>
    <w:rsid w:val="00850F24"/>
    <w:rsid w:val="00852D7A"/>
    <w:rsid w:val="008540D9"/>
    <w:rsid w:val="00854CC7"/>
    <w:rsid w:val="00854FD1"/>
    <w:rsid w:val="00861D60"/>
    <w:rsid w:val="00865AD4"/>
    <w:rsid w:val="00865E7D"/>
    <w:rsid w:val="00872A9C"/>
    <w:rsid w:val="008735E9"/>
    <w:rsid w:val="00877B02"/>
    <w:rsid w:val="008813AB"/>
    <w:rsid w:val="0088174A"/>
    <w:rsid w:val="00882E5C"/>
    <w:rsid w:val="008928F0"/>
    <w:rsid w:val="00892D75"/>
    <w:rsid w:val="0089611E"/>
    <w:rsid w:val="00897391"/>
    <w:rsid w:val="008A1353"/>
    <w:rsid w:val="008A180A"/>
    <w:rsid w:val="008A705A"/>
    <w:rsid w:val="008B07B5"/>
    <w:rsid w:val="008B09D6"/>
    <w:rsid w:val="008B2BAC"/>
    <w:rsid w:val="008B4482"/>
    <w:rsid w:val="008B4E7B"/>
    <w:rsid w:val="008B5727"/>
    <w:rsid w:val="008B5ADA"/>
    <w:rsid w:val="008C0044"/>
    <w:rsid w:val="008C16FA"/>
    <w:rsid w:val="008C39E1"/>
    <w:rsid w:val="008C42DA"/>
    <w:rsid w:val="008C5D23"/>
    <w:rsid w:val="008C792F"/>
    <w:rsid w:val="008D19C5"/>
    <w:rsid w:val="008D680C"/>
    <w:rsid w:val="008D6AB9"/>
    <w:rsid w:val="008E0151"/>
    <w:rsid w:val="008E2336"/>
    <w:rsid w:val="008E4916"/>
    <w:rsid w:val="008E55C5"/>
    <w:rsid w:val="008E725C"/>
    <w:rsid w:val="008F1D93"/>
    <w:rsid w:val="008F2984"/>
    <w:rsid w:val="008F2D9D"/>
    <w:rsid w:val="008F466B"/>
    <w:rsid w:val="008F7DA8"/>
    <w:rsid w:val="00900ECE"/>
    <w:rsid w:val="0090139A"/>
    <w:rsid w:val="00901A33"/>
    <w:rsid w:val="00901CA4"/>
    <w:rsid w:val="00904057"/>
    <w:rsid w:val="009059B9"/>
    <w:rsid w:val="0091006B"/>
    <w:rsid w:val="00910B00"/>
    <w:rsid w:val="0091313F"/>
    <w:rsid w:val="00914549"/>
    <w:rsid w:val="009147A0"/>
    <w:rsid w:val="009157C5"/>
    <w:rsid w:val="00916365"/>
    <w:rsid w:val="0091711A"/>
    <w:rsid w:val="00917F77"/>
    <w:rsid w:val="0092292E"/>
    <w:rsid w:val="009250ED"/>
    <w:rsid w:val="009259C2"/>
    <w:rsid w:val="00925E6C"/>
    <w:rsid w:val="009311E7"/>
    <w:rsid w:val="00931483"/>
    <w:rsid w:val="009315B2"/>
    <w:rsid w:val="0093204A"/>
    <w:rsid w:val="00932372"/>
    <w:rsid w:val="00932E4E"/>
    <w:rsid w:val="00935598"/>
    <w:rsid w:val="00936482"/>
    <w:rsid w:val="00940BA2"/>
    <w:rsid w:val="00941736"/>
    <w:rsid w:val="00942CAC"/>
    <w:rsid w:val="00944C5E"/>
    <w:rsid w:val="009555B9"/>
    <w:rsid w:val="0095642D"/>
    <w:rsid w:val="009611A8"/>
    <w:rsid w:val="00962492"/>
    <w:rsid w:val="009625E7"/>
    <w:rsid w:val="00964824"/>
    <w:rsid w:val="00964B48"/>
    <w:rsid w:val="00965BCA"/>
    <w:rsid w:val="00970A65"/>
    <w:rsid w:val="00971E45"/>
    <w:rsid w:val="009720DB"/>
    <w:rsid w:val="00972C11"/>
    <w:rsid w:val="009766F4"/>
    <w:rsid w:val="00976BF5"/>
    <w:rsid w:val="009811BF"/>
    <w:rsid w:val="00981FE2"/>
    <w:rsid w:val="00982052"/>
    <w:rsid w:val="00982410"/>
    <w:rsid w:val="00994E80"/>
    <w:rsid w:val="00995D54"/>
    <w:rsid w:val="00997B9C"/>
    <w:rsid w:val="009A3178"/>
    <w:rsid w:val="009A5344"/>
    <w:rsid w:val="009A5B76"/>
    <w:rsid w:val="009B11C3"/>
    <w:rsid w:val="009B2E8C"/>
    <w:rsid w:val="009B69E2"/>
    <w:rsid w:val="009B6CDF"/>
    <w:rsid w:val="009B6D8C"/>
    <w:rsid w:val="009B76DA"/>
    <w:rsid w:val="009C13E5"/>
    <w:rsid w:val="009C17F5"/>
    <w:rsid w:val="009C4062"/>
    <w:rsid w:val="009C40AE"/>
    <w:rsid w:val="009C73FF"/>
    <w:rsid w:val="009D523A"/>
    <w:rsid w:val="009D58E7"/>
    <w:rsid w:val="009E2852"/>
    <w:rsid w:val="009E4B67"/>
    <w:rsid w:val="009E69BF"/>
    <w:rsid w:val="009E6C29"/>
    <w:rsid w:val="009E715C"/>
    <w:rsid w:val="009E756D"/>
    <w:rsid w:val="009E7C89"/>
    <w:rsid w:val="009F11EC"/>
    <w:rsid w:val="009F33C2"/>
    <w:rsid w:val="009F45A2"/>
    <w:rsid w:val="009F4DF4"/>
    <w:rsid w:val="009F6772"/>
    <w:rsid w:val="00A00454"/>
    <w:rsid w:val="00A01047"/>
    <w:rsid w:val="00A04475"/>
    <w:rsid w:val="00A064A6"/>
    <w:rsid w:val="00A1729F"/>
    <w:rsid w:val="00A20949"/>
    <w:rsid w:val="00A219A4"/>
    <w:rsid w:val="00A23043"/>
    <w:rsid w:val="00A23527"/>
    <w:rsid w:val="00A25844"/>
    <w:rsid w:val="00A26E0C"/>
    <w:rsid w:val="00A270F8"/>
    <w:rsid w:val="00A30C7E"/>
    <w:rsid w:val="00A311C2"/>
    <w:rsid w:val="00A343A5"/>
    <w:rsid w:val="00A3715B"/>
    <w:rsid w:val="00A40FBE"/>
    <w:rsid w:val="00A469D3"/>
    <w:rsid w:val="00A60379"/>
    <w:rsid w:val="00A60516"/>
    <w:rsid w:val="00A606CF"/>
    <w:rsid w:val="00A66515"/>
    <w:rsid w:val="00A66A4E"/>
    <w:rsid w:val="00A70EF5"/>
    <w:rsid w:val="00A71F96"/>
    <w:rsid w:val="00A741F7"/>
    <w:rsid w:val="00A74AFC"/>
    <w:rsid w:val="00A7666E"/>
    <w:rsid w:val="00A81E86"/>
    <w:rsid w:val="00A8684E"/>
    <w:rsid w:val="00A900BC"/>
    <w:rsid w:val="00A91DCC"/>
    <w:rsid w:val="00A92089"/>
    <w:rsid w:val="00A960CD"/>
    <w:rsid w:val="00A96CD2"/>
    <w:rsid w:val="00AA1231"/>
    <w:rsid w:val="00AA174B"/>
    <w:rsid w:val="00AA795E"/>
    <w:rsid w:val="00AB1363"/>
    <w:rsid w:val="00AB3DE6"/>
    <w:rsid w:val="00AB496C"/>
    <w:rsid w:val="00AB7AB9"/>
    <w:rsid w:val="00AB7DAD"/>
    <w:rsid w:val="00AC0487"/>
    <w:rsid w:val="00AC5E96"/>
    <w:rsid w:val="00AC603E"/>
    <w:rsid w:val="00AD059A"/>
    <w:rsid w:val="00AD2206"/>
    <w:rsid w:val="00AD24F3"/>
    <w:rsid w:val="00AD2E6C"/>
    <w:rsid w:val="00AE15EA"/>
    <w:rsid w:val="00AE3DBB"/>
    <w:rsid w:val="00AE7F2B"/>
    <w:rsid w:val="00AF0545"/>
    <w:rsid w:val="00B000BE"/>
    <w:rsid w:val="00B01117"/>
    <w:rsid w:val="00B01CB5"/>
    <w:rsid w:val="00B023D9"/>
    <w:rsid w:val="00B02C9E"/>
    <w:rsid w:val="00B0454A"/>
    <w:rsid w:val="00B04DDB"/>
    <w:rsid w:val="00B11994"/>
    <w:rsid w:val="00B11C13"/>
    <w:rsid w:val="00B11F80"/>
    <w:rsid w:val="00B13A9A"/>
    <w:rsid w:val="00B176FD"/>
    <w:rsid w:val="00B23CC5"/>
    <w:rsid w:val="00B27E84"/>
    <w:rsid w:val="00B30F06"/>
    <w:rsid w:val="00B331F4"/>
    <w:rsid w:val="00B33BD4"/>
    <w:rsid w:val="00B42423"/>
    <w:rsid w:val="00B43E13"/>
    <w:rsid w:val="00B4475C"/>
    <w:rsid w:val="00B45465"/>
    <w:rsid w:val="00B45B86"/>
    <w:rsid w:val="00B4693F"/>
    <w:rsid w:val="00B518EB"/>
    <w:rsid w:val="00B52D9B"/>
    <w:rsid w:val="00B57DCF"/>
    <w:rsid w:val="00B6037C"/>
    <w:rsid w:val="00B708E1"/>
    <w:rsid w:val="00B72C2C"/>
    <w:rsid w:val="00B73D4C"/>
    <w:rsid w:val="00B80400"/>
    <w:rsid w:val="00B83B64"/>
    <w:rsid w:val="00B86658"/>
    <w:rsid w:val="00B86797"/>
    <w:rsid w:val="00B86E7E"/>
    <w:rsid w:val="00B9069A"/>
    <w:rsid w:val="00B90E1D"/>
    <w:rsid w:val="00B949A7"/>
    <w:rsid w:val="00B94D1D"/>
    <w:rsid w:val="00B973C9"/>
    <w:rsid w:val="00BA0343"/>
    <w:rsid w:val="00BA1316"/>
    <w:rsid w:val="00BA1813"/>
    <w:rsid w:val="00BA36B1"/>
    <w:rsid w:val="00BA67AC"/>
    <w:rsid w:val="00BA79D9"/>
    <w:rsid w:val="00BB000E"/>
    <w:rsid w:val="00BB076D"/>
    <w:rsid w:val="00BB4F8E"/>
    <w:rsid w:val="00BB553D"/>
    <w:rsid w:val="00BB5573"/>
    <w:rsid w:val="00BB5649"/>
    <w:rsid w:val="00BB74AC"/>
    <w:rsid w:val="00BC2562"/>
    <w:rsid w:val="00BC3468"/>
    <w:rsid w:val="00BD080E"/>
    <w:rsid w:val="00BE18A5"/>
    <w:rsid w:val="00BE266D"/>
    <w:rsid w:val="00BE33C8"/>
    <w:rsid w:val="00BE3720"/>
    <w:rsid w:val="00BE6894"/>
    <w:rsid w:val="00BF0E5A"/>
    <w:rsid w:val="00BF1CE7"/>
    <w:rsid w:val="00BF39D4"/>
    <w:rsid w:val="00BF3F82"/>
    <w:rsid w:val="00BF514C"/>
    <w:rsid w:val="00BF5B09"/>
    <w:rsid w:val="00BF7326"/>
    <w:rsid w:val="00C01B00"/>
    <w:rsid w:val="00C03960"/>
    <w:rsid w:val="00C138B9"/>
    <w:rsid w:val="00C14871"/>
    <w:rsid w:val="00C22391"/>
    <w:rsid w:val="00C22C89"/>
    <w:rsid w:val="00C247F2"/>
    <w:rsid w:val="00C2798C"/>
    <w:rsid w:val="00C305D6"/>
    <w:rsid w:val="00C30D9B"/>
    <w:rsid w:val="00C3485F"/>
    <w:rsid w:val="00C4142C"/>
    <w:rsid w:val="00C44D41"/>
    <w:rsid w:val="00C45A45"/>
    <w:rsid w:val="00C45D90"/>
    <w:rsid w:val="00C46DC5"/>
    <w:rsid w:val="00C47A9D"/>
    <w:rsid w:val="00C50508"/>
    <w:rsid w:val="00C51094"/>
    <w:rsid w:val="00C536C6"/>
    <w:rsid w:val="00C53778"/>
    <w:rsid w:val="00C53BAC"/>
    <w:rsid w:val="00C5662D"/>
    <w:rsid w:val="00C56C82"/>
    <w:rsid w:val="00C622A4"/>
    <w:rsid w:val="00C62485"/>
    <w:rsid w:val="00C6450B"/>
    <w:rsid w:val="00C7488A"/>
    <w:rsid w:val="00C749D7"/>
    <w:rsid w:val="00C81C15"/>
    <w:rsid w:val="00C81CE4"/>
    <w:rsid w:val="00C83353"/>
    <w:rsid w:val="00C86094"/>
    <w:rsid w:val="00C90FA2"/>
    <w:rsid w:val="00C94B60"/>
    <w:rsid w:val="00C95148"/>
    <w:rsid w:val="00C971DE"/>
    <w:rsid w:val="00CA1FFC"/>
    <w:rsid w:val="00CA6471"/>
    <w:rsid w:val="00CA73BC"/>
    <w:rsid w:val="00CA7F45"/>
    <w:rsid w:val="00CB1CB6"/>
    <w:rsid w:val="00CB3552"/>
    <w:rsid w:val="00CB4AFD"/>
    <w:rsid w:val="00CB5308"/>
    <w:rsid w:val="00CB5665"/>
    <w:rsid w:val="00CB77C1"/>
    <w:rsid w:val="00CC1B89"/>
    <w:rsid w:val="00CC2B56"/>
    <w:rsid w:val="00CD0D49"/>
    <w:rsid w:val="00CD148B"/>
    <w:rsid w:val="00CD30C4"/>
    <w:rsid w:val="00CD3139"/>
    <w:rsid w:val="00CD7BC0"/>
    <w:rsid w:val="00CE347E"/>
    <w:rsid w:val="00CE4264"/>
    <w:rsid w:val="00CE55BF"/>
    <w:rsid w:val="00CE614C"/>
    <w:rsid w:val="00CF429F"/>
    <w:rsid w:val="00CF61B9"/>
    <w:rsid w:val="00CF6E72"/>
    <w:rsid w:val="00CF773F"/>
    <w:rsid w:val="00CF7C68"/>
    <w:rsid w:val="00D04B5A"/>
    <w:rsid w:val="00D05BD4"/>
    <w:rsid w:val="00D10B6E"/>
    <w:rsid w:val="00D13A18"/>
    <w:rsid w:val="00D13D36"/>
    <w:rsid w:val="00D154AE"/>
    <w:rsid w:val="00D15E8A"/>
    <w:rsid w:val="00D170E4"/>
    <w:rsid w:val="00D17530"/>
    <w:rsid w:val="00D17BAD"/>
    <w:rsid w:val="00D206F1"/>
    <w:rsid w:val="00D3011C"/>
    <w:rsid w:val="00D315DF"/>
    <w:rsid w:val="00D3206B"/>
    <w:rsid w:val="00D32D01"/>
    <w:rsid w:val="00D3411D"/>
    <w:rsid w:val="00D36A2A"/>
    <w:rsid w:val="00D426AD"/>
    <w:rsid w:val="00D44594"/>
    <w:rsid w:val="00D44A26"/>
    <w:rsid w:val="00D46A39"/>
    <w:rsid w:val="00D46CC5"/>
    <w:rsid w:val="00D50DC3"/>
    <w:rsid w:val="00D541E7"/>
    <w:rsid w:val="00D55CD0"/>
    <w:rsid w:val="00D71B98"/>
    <w:rsid w:val="00D7311E"/>
    <w:rsid w:val="00D849EE"/>
    <w:rsid w:val="00D854D7"/>
    <w:rsid w:val="00D864BC"/>
    <w:rsid w:val="00D8659F"/>
    <w:rsid w:val="00D9439C"/>
    <w:rsid w:val="00DA37FA"/>
    <w:rsid w:val="00DA4B2C"/>
    <w:rsid w:val="00DA4E74"/>
    <w:rsid w:val="00DB0CFD"/>
    <w:rsid w:val="00DB2324"/>
    <w:rsid w:val="00DC02C5"/>
    <w:rsid w:val="00DC0518"/>
    <w:rsid w:val="00DC1465"/>
    <w:rsid w:val="00DC1F96"/>
    <w:rsid w:val="00DC2044"/>
    <w:rsid w:val="00DC57DB"/>
    <w:rsid w:val="00DD0FE8"/>
    <w:rsid w:val="00DD2ADB"/>
    <w:rsid w:val="00DE061D"/>
    <w:rsid w:val="00DE222B"/>
    <w:rsid w:val="00DE4BDB"/>
    <w:rsid w:val="00DE4FC5"/>
    <w:rsid w:val="00DF3111"/>
    <w:rsid w:val="00DF4330"/>
    <w:rsid w:val="00DF4F75"/>
    <w:rsid w:val="00DF683E"/>
    <w:rsid w:val="00DF7006"/>
    <w:rsid w:val="00DF71A3"/>
    <w:rsid w:val="00E03DB4"/>
    <w:rsid w:val="00E10E53"/>
    <w:rsid w:val="00E141D5"/>
    <w:rsid w:val="00E15AD4"/>
    <w:rsid w:val="00E16443"/>
    <w:rsid w:val="00E202FA"/>
    <w:rsid w:val="00E2107E"/>
    <w:rsid w:val="00E218CA"/>
    <w:rsid w:val="00E23370"/>
    <w:rsid w:val="00E2458E"/>
    <w:rsid w:val="00E253D5"/>
    <w:rsid w:val="00E25645"/>
    <w:rsid w:val="00E27030"/>
    <w:rsid w:val="00E30B5E"/>
    <w:rsid w:val="00E32DB6"/>
    <w:rsid w:val="00E36194"/>
    <w:rsid w:val="00E37223"/>
    <w:rsid w:val="00E4054A"/>
    <w:rsid w:val="00E4096D"/>
    <w:rsid w:val="00E41FF2"/>
    <w:rsid w:val="00E42570"/>
    <w:rsid w:val="00E4482D"/>
    <w:rsid w:val="00E463A9"/>
    <w:rsid w:val="00E50C9B"/>
    <w:rsid w:val="00E55240"/>
    <w:rsid w:val="00E55E9E"/>
    <w:rsid w:val="00E56206"/>
    <w:rsid w:val="00E57389"/>
    <w:rsid w:val="00E57A14"/>
    <w:rsid w:val="00E603E9"/>
    <w:rsid w:val="00E60799"/>
    <w:rsid w:val="00E6337E"/>
    <w:rsid w:val="00E64671"/>
    <w:rsid w:val="00E655FB"/>
    <w:rsid w:val="00E67AF9"/>
    <w:rsid w:val="00E71EDC"/>
    <w:rsid w:val="00E728F3"/>
    <w:rsid w:val="00E742E4"/>
    <w:rsid w:val="00E77099"/>
    <w:rsid w:val="00E77EEF"/>
    <w:rsid w:val="00E81DAA"/>
    <w:rsid w:val="00E85F06"/>
    <w:rsid w:val="00E877DB"/>
    <w:rsid w:val="00E91D19"/>
    <w:rsid w:val="00E954CA"/>
    <w:rsid w:val="00E97688"/>
    <w:rsid w:val="00E977C2"/>
    <w:rsid w:val="00EA120E"/>
    <w:rsid w:val="00EA2F43"/>
    <w:rsid w:val="00EA7592"/>
    <w:rsid w:val="00EB175C"/>
    <w:rsid w:val="00EB7108"/>
    <w:rsid w:val="00EB7A57"/>
    <w:rsid w:val="00EB7B14"/>
    <w:rsid w:val="00EC1999"/>
    <w:rsid w:val="00EC4A25"/>
    <w:rsid w:val="00EE11F8"/>
    <w:rsid w:val="00EE3C1D"/>
    <w:rsid w:val="00EF14AC"/>
    <w:rsid w:val="00EF2082"/>
    <w:rsid w:val="00EF60D4"/>
    <w:rsid w:val="00EF6B9D"/>
    <w:rsid w:val="00F04524"/>
    <w:rsid w:val="00F0490D"/>
    <w:rsid w:val="00F07599"/>
    <w:rsid w:val="00F1029B"/>
    <w:rsid w:val="00F1135C"/>
    <w:rsid w:val="00F12333"/>
    <w:rsid w:val="00F14FDC"/>
    <w:rsid w:val="00F220AC"/>
    <w:rsid w:val="00F2315C"/>
    <w:rsid w:val="00F278F7"/>
    <w:rsid w:val="00F318F6"/>
    <w:rsid w:val="00F326A0"/>
    <w:rsid w:val="00F43593"/>
    <w:rsid w:val="00F43968"/>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60A4"/>
    <w:rsid w:val="00F878AA"/>
    <w:rsid w:val="00F92064"/>
    <w:rsid w:val="00F9218C"/>
    <w:rsid w:val="00F93A13"/>
    <w:rsid w:val="00F9476D"/>
    <w:rsid w:val="00F957AF"/>
    <w:rsid w:val="00FA03B3"/>
    <w:rsid w:val="00FA73CD"/>
    <w:rsid w:val="00FB0194"/>
    <w:rsid w:val="00FB0524"/>
    <w:rsid w:val="00FB220F"/>
    <w:rsid w:val="00FC50A5"/>
    <w:rsid w:val="00FC6324"/>
    <w:rsid w:val="00FC7F31"/>
    <w:rsid w:val="00FD327B"/>
    <w:rsid w:val="00FD70FD"/>
    <w:rsid w:val="00FE1900"/>
    <w:rsid w:val="00FE3270"/>
    <w:rsid w:val="00FE5257"/>
    <w:rsid w:val="00FE7DA9"/>
    <w:rsid w:val="00FF374D"/>
    <w:rsid w:val="00FF4446"/>
    <w:rsid w:val="00FF6E3F"/>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23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B2D5A"/>
    <w:rPr>
      <w:rFonts w:ascii="Garamond" w:hAnsi="Garamond"/>
      <w:sz w:val="24"/>
      <w:u w:color="000080"/>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character" w:customStyle="1" w:styleId="apple-converted-space">
    <w:name w:val="apple-converted-space"/>
    <w:basedOn w:val="DefaultParagraphFont"/>
    <w:rsid w:val="00112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B2D5A"/>
    <w:rPr>
      <w:rFonts w:ascii="Garamond" w:hAnsi="Garamond"/>
      <w:sz w:val="24"/>
      <w:u w:color="000080"/>
      <w:vertAlign w:val="superscript"/>
    </w:rPr>
  </w:style>
  <w:style w:type="paragraph" w:styleId="FootnoteText">
    <w:name w:val="footnote text"/>
    <w:aliases w:val="F1"/>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left="720" w:right="360" w:hanging="288"/>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character" w:customStyle="1" w:styleId="apple-converted-space">
    <w:name w:val="apple-converted-space"/>
    <w:basedOn w:val="DefaultParagraphFont"/>
    <w:rsid w:val="0011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C03C0-BE94-4236-91F3-C215BB93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106F89-790A-40E8-82C9-4E5888AABE43}">
  <ds:schemaRefs>
    <ds:schemaRef ds:uri="http://schemas.microsoft.com/sharepoint/v3/contenttype/forms"/>
  </ds:schemaRefs>
</ds:datastoreItem>
</file>

<file path=customXml/itemProps3.xml><?xml version="1.0" encoding="utf-8"?>
<ds:datastoreItem xmlns:ds="http://schemas.openxmlformats.org/officeDocument/2006/customXml" ds:itemID="{4C327B6F-409E-42A5-8D9A-07D10AA7B23E}">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59652F24-CAA8-44A2-AF20-E308DA00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50164-Statement B</vt:lpstr>
    </vt:vector>
  </TitlesOfParts>
  <Company>Mathematica, Inc</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50164-Statement B</dc:title>
  <dc:creator>Mathematica Staff</dc:creator>
  <cp:lastModifiedBy>SYSTEM</cp:lastModifiedBy>
  <cp:revision>2</cp:revision>
  <cp:lastPrinted>2017-03-17T15:22:00Z</cp:lastPrinted>
  <dcterms:created xsi:type="dcterms:W3CDTF">2017-08-08T21:07:00Z</dcterms:created>
  <dcterms:modified xsi:type="dcterms:W3CDTF">2017-08-08T21:07:00Z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