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2A" w:rsidRDefault="00420F2A">
      <w:pPr>
        <w:jc w:val="center"/>
        <w:rPr>
          <w:sz w:val="26"/>
        </w:rPr>
      </w:pPr>
      <w:r>
        <w:rPr>
          <w:sz w:val="26"/>
        </w:rPr>
        <w:t>DEPARTMENT OF HEALTH AND HUMAN SERVICES</w:t>
      </w:r>
    </w:p>
    <w:p w:rsidR="00420F2A" w:rsidRDefault="00420F2A">
      <w:pPr>
        <w:jc w:val="center"/>
        <w:rPr>
          <w:sz w:val="26"/>
        </w:rPr>
      </w:pPr>
      <w:r>
        <w:rPr>
          <w:sz w:val="26"/>
        </w:rPr>
        <w:t xml:space="preserve">Administration </w:t>
      </w:r>
      <w:r w:rsidR="00CF720B">
        <w:rPr>
          <w:sz w:val="26"/>
        </w:rPr>
        <w:t>for Community Living</w:t>
      </w:r>
    </w:p>
    <w:p w:rsidR="00420F2A" w:rsidRDefault="00420F2A">
      <w:pPr>
        <w:jc w:val="center"/>
      </w:pPr>
    </w:p>
    <w:p w:rsidR="00420F2A" w:rsidRDefault="00420F2A">
      <w:pPr>
        <w:pStyle w:val="Heading2"/>
        <w:rPr>
          <w:b/>
          <w:bCs/>
        </w:rPr>
      </w:pPr>
      <w:r>
        <w:rPr>
          <w:b/>
          <w:bCs/>
        </w:rPr>
        <w:t xml:space="preserve">Supporting Statement for </w:t>
      </w:r>
      <w:r w:rsidR="001C2E04">
        <w:rPr>
          <w:b/>
          <w:bCs/>
        </w:rPr>
        <w:t>ACL FOAs</w:t>
      </w:r>
    </w:p>
    <w:p w:rsidR="00420F2A" w:rsidRDefault="00420F2A">
      <w:pPr>
        <w:jc w:val="center"/>
      </w:pPr>
    </w:p>
    <w:p w:rsidR="00420F2A" w:rsidRDefault="00420F2A"/>
    <w:p w:rsidR="00420F2A" w:rsidRDefault="00085F41">
      <w:pPr>
        <w:numPr>
          <w:ilvl w:val="0"/>
          <w:numId w:val="2"/>
        </w:numPr>
        <w:rPr>
          <w:b/>
          <w:bCs/>
        </w:rPr>
      </w:pPr>
      <w:r>
        <w:rPr>
          <w:b/>
          <w:bCs/>
          <w:u w:val="single"/>
        </w:rPr>
        <w:t>Circumstances Making the Collection of Information Necessary</w:t>
      </w:r>
    </w:p>
    <w:p w:rsidR="00420F2A" w:rsidRDefault="00420F2A">
      <w:pPr>
        <w:ind w:left="360"/>
      </w:pPr>
    </w:p>
    <w:p w:rsidR="00CF720B" w:rsidRDefault="00420F2A" w:rsidP="00CF720B">
      <w:pPr>
        <w:pStyle w:val="BodyTextIndent"/>
        <w:ind w:left="0"/>
      </w:pPr>
      <w:r>
        <w:t xml:space="preserve">The Administration </w:t>
      </w:r>
      <w:r w:rsidR="00CF720B">
        <w:t>for Community Living (ACL)</w:t>
      </w:r>
      <w:r>
        <w:t xml:space="preserve"> </w:t>
      </w:r>
      <w:r w:rsidR="005B0D02">
        <w:t xml:space="preserve">funds discretionary grants </w:t>
      </w:r>
      <w:r>
        <w:t xml:space="preserve">under </w:t>
      </w:r>
      <w:r w:rsidR="00CF720B">
        <w:t>t</w:t>
      </w:r>
      <w:r w:rsidR="00CF720B" w:rsidRPr="00CF720B">
        <w:t xml:space="preserve">he </w:t>
      </w:r>
      <w:r w:rsidR="00CF720B" w:rsidRPr="00CF720B">
        <w:rPr>
          <w:bCs/>
        </w:rPr>
        <w:t>Developmental Disabilities Assistance and Bill of Rights Act of 2000 (DD Act)</w:t>
      </w:r>
      <w:r w:rsidR="00CF720B">
        <w:t xml:space="preserve">, which </w:t>
      </w:r>
      <w:r w:rsidR="00CF720B" w:rsidRPr="00CF720B">
        <w:t>is administered by the Administration on Intellectual</w:t>
      </w:r>
      <w:r w:rsidR="00CF720B">
        <w:t xml:space="preserve"> and Developmental Disabilities (AIDD) as well as the Older Americans Act</w:t>
      </w:r>
      <w:r w:rsidR="0048380B">
        <w:t xml:space="preserve"> of 1965</w:t>
      </w:r>
      <w:r w:rsidR="00CF720B">
        <w:t xml:space="preserve">, which is administered by the Administration on Aging (AoA).  </w:t>
      </w:r>
      <w:r w:rsidR="00CF720B" w:rsidRPr="00CF720B">
        <w:t>In addition, ACL is also responsible for administering other authorizing statutes relevant to older Americans and individuals with disabilities</w:t>
      </w:r>
      <w:r w:rsidR="00CF720B">
        <w:t xml:space="preserve">, </w:t>
      </w:r>
      <w:r w:rsidR="00DD726A">
        <w:t xml:space="preserve">which includes, but is not limited to, the </w:t>
      </w:r>
      <w:r w:rsidR="00CF720B">
        <w:t>following authorizing statutes:</w:t>
      </w:r>
    </w:p>
    <w:p w:rsidR="00CF720B" w:rsidRDefault="00CF720B" w:rsidP="00CF720B">
      <w:pPr>
        <w:pStyle w:val="BodyTextIndent"/>
        <w:ind w:left="0"/>
      </w:pPr>
    </w:p>
    <w:p w:rsidR="0048380B" w:rsidRPr="0048380B" w:rsidRDefault="0048380B" w:rsidP="0048380B">
      <w:pPr>
        <w:numPr>
          <w:ilvl w:val="0"/>
          <w:numId w:val="5"/>
        </w:numPr>
        <w:ind w:left="720"/>
        <w:rPr>
          <w:szCs w:val="24"/>
        </w:rPr>
      </w:pPr>
      <w:r w:rsidRPr="0048380B">
        <w:rPr>
          <w:szCs w:val="24"/>
        </w:rPr>
        <w:t>The Older Americans Act of 1965, as amended (most recently in 2016).</w:t>
      </w:r>
    </w:p>
    <w:p w:rsidR="0048380B" w:rsidRPr="0048380B" w:rsidRDefault="0048380B" w:rsidP="0048380B">
      <w:pPr>
        <w:numPr>
          <w:ilvl w:val="0"/>
          <w:numId w:val="5"/>
        </w:numPr>
        <w:ind w:left="720"/>
        <w:rPr>
          <w:szCs w:val="24"/>
        </w:rPr>
      </w:pPr>
      <w:r w:rsidRPr="0048380B">
        <w:rPr>
          <w:szCs w:val="24"/>
        </w:rPr>
        <w:t xml:space="preserve">The Developmental Disabilities Assistance and Bill of Rights Act of 2000 (DD Act). </w:t>
      </w:r>
    </w:p>
    <w:p w:rsidR="0048380B" w:rsidRPr="0048380B" w:rsidRDefault="0048380B" w:rsidP="0048380B">
      <w:pPr>
        <w:numPr>
          <w:ilvl w:val="0"/>
          <w:numId w:val="5"/>
        </w:numPr>
        <w:ind w:left="720"/>
        <w:rPr>
          <w:szCs w:val="24"/>
        </w:rPr>
      </w:pPr>
      <w:r w:rsidRPr="0048380B">
        <w:rPr>
          <w:szCs w:val="24"/>
        </w:rPr>
        <w:t>Title II of the Rehabilitation Act of 1973, as amended, authorizes the National Institute on Disability, Independent Living, and Rehabilitation Research.</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Title VII of the Rehabilitation Act of 1973, as amended, authorizes the Independent Living Services and Centers for Independent Living programs.</w:t>
      </w:r>
    </w:p>
    <w:p w:rsidR="0048380B" w:rsidRPr="0048380B" w:rsidRDefault="0048380B" w:rsidP="0048380B">
      <w:pPr>
        <w:pStyle w:val="ListParagraph"/>
        <w:numPr>
          <w:ilvl w:val="0"/>
          <w:numId w:val="7"/>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The Assistive Technology Act of 1998, as amended, authorizes the Assistive Technology Act program.</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The Help America Vote Act (signed into law on October 29, 2002), assigns responsibility for the administration of the law’s disability provisions (section 291) to the Secretary of the Department of Health and Human Services, who delegated the responsibility to the Administration on Intellectual and Developmental Disabilities.</w:t>
      </w:r>
    </w:p>
    <w:p w:rsidR="0048380B" w:rsidRPr="0048380B" w:rsidRDefault="0048380B" w:rsidP="0048380B">
      <w:pPr>
        <w:pStyle w:val="ListParagraph"/>
        <w:numPr>
          <w:ilvl w:val="0"/>
          <w:numId w:val="7"/>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Sections 311 and 317 of the Public Health Services Act authorizes the Paralysis Resource Center.</w:t>
      </w:r>
    </w:p>
    <w:p w:rsidR="0048380B" w:rsidRPr="0048380B" w:rsidRDefault="0048380B" w:rsidP="0048380B">
      <w:pPr>
        <w:numPr>
          <w:ilvl w:val="0"/>
          <w:numId w:val="5"/>
        </w:numPr>
        <w:ind w:left="720"/>
        <w:rPr>
          <w:szCs w:val="24"/>
        </w:rPr>
      </w:pPr>
      <w:r w:rsidRPr="0048380B">
        <w:rPr>
          <w:szCs w:val="24"/>
        </w:rPr>
        <w:t xml:space="preserve">Section 398 of the Public Health Services Act authorizes the Alzheimer’s Disease Supportive Services Program. </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Title III of the Public Health Services Act authorizes the Limb Loss Resource Center.</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Title XXIX of the Public Health Service Act authorizes the Lifespan Respite Care Program.</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The Traumatic Brain Injury Reauthorization Act of 2014 authorizes the Traumatic Brain Injury program.</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Section 4360 of the Omnibus Budget Reconciliation Act of 1990 authorizes the State Health Insurance Assistance Program.</w:t>
      </w:r>
    </w:p>
    <w:p w:rsidR="0048380B" w:rsidRPr="0048380B" w:rsidRDefault="0048380B" w:rsidP="0048380B">
      <w:pPr>
        <w:numPr>
          <w:ilvl w:val="0"/>
          <w:numId w:val="5"/>
        </w:numPr>
        <w:ind w:left="720"/>
        <w:rPr>
          <w:szCs w:val="24"/>
        </w:rPr>
      </w:pPr>
      <w:r w:rsidRPr="0048380B">
        <w:rPr>
          <w:szCs w:val="24"/>
        </w:rPr>
        <w:t>ACL receives Health Care Fraud and Abuse Control (HCFAC) funding as authorized by the Health Insurance Portability and Accountability Act of 1996. The HCFAC funds, which are received from the Medicare Trust Fund, are used to support the Senior Medicare Patrol program, technical assistance, and other program support and capacity-building activities designed to enhance program effectiveness.</w:t>
      </w:r>
    </w:p>
    <w:p w:rsidR="0048380B" w:rsidRPr="0048380B" w:rsidRDefault="0048380B" w:rsidP="0048380B">
      <w:pPr>
        <w:numPr>
          <w:ilvl w:val="0"/>
          <w:numId w:val="5"/>
        </w:numPr>
        <w:ind w:left="720"/>
        <w:rPr>
          <w:szCs w:val="24"/>
        </w:rPr>
      </w:pPr>
      <w:r w:rsidRPr="0048380B">
        <w:rPr>
          <w:szCs w:val="24"/>
        </w:rPr>
        <w:lastRenderedPageBreak/>
        <w:t xml:space="preserve">The Medicare Improvements for Patients and Providers Act, as amended, authorizes and appropriates funding for Medicare beneficiary outreach activities through FY 2017. </w:t>
      </w:r>
    </w:p>
    <w:p w:rsidR="0048380B" w:rsidRPr="0048380B" w:rsidRDefault="0048380B" w:rsidP="0048380B">
      <w:pPr>
        <w:pStyle w:val="ListParagraph"/>
        <w:numPr>
          <w:ilvl w:val="0"/>
          <w:numId w:val="5"/>
        </w:numPr>
        <w:spacing w:after="0" w:line="240" w:lineRule="auto"/>
        <w:ind w:left="720"/>
        <w:rPr>
          <w:rFonts w:ascii="Times New Roman" w:hAnsi="Times New Roman" w:cs="Times New Roman"/>
          <w:sz w:val="24"/>
          <w:szCs w:val="24"/>
        </w:rPr>
      </w:pPr>
      <w:r w:rsidRPr="0048380B">
        <w:rPr>
          <w:rFonts w:ascii="Times New Roman" w:hAnsi="Times New Roman" w:cs="Times New Roman"/>
          <w:sz w:val="24"/>
          <w:szCs w:val="24"/>
        </w:rPr>
        <w:t>Title XX of the Social Security Act, Subtitle B, the Elder Justice Act of 2009, authorizes the Adult Protective Services program and establishes the Elder Justice Coordinating Council and other responsibilities within the Office of the Secretary of the Department of Health and Human Services.</w:t>
      </w:r>
    </w:p>
    <w:p w:rsidR="0048380B" w:rsidRDefault="0048380B">
      <w:pPr>
        <w:ind w:left="360"/>
      </w:pPr>
    </w:p>
    <w:p w:rsidR="0048380B" w:rsidRDefault="0048380B" w:rsidP="0048380B">
      <w:pPr>
        <w:pStyle w:val="BodyTextIndent"/>
        <w:ind w:left="0"/>
      </w:pPr>
      <w:r>
        <w:t xml:space="preserve">Based on guidance from the Department of Health and Human Services, and using the previously approved Funding Opportunity Announcement (FOA) template, ACL has developed a template for FOAs to solicit applications for funding </w:t>
      </w:r>
      <w:r w:rsidR="00A95153">
        <w:t>the above</w:t>
      </w:r>
      <w:r>
        <w:t xml:space="preserve"> discretionary programs.  </w:t>
      </w:r>
    </w:p>
    <w:p w:rsidR="0048380B" w:rsidRDefault="0048380B">
      <w:pPr>
        <w:ind w:left="360"/>
      </w:pPr>
    </w:p>
    <w:p w:rsidR="005F6086" w:rsidRDefault="005F6086">
      <w:pPr>
        <w:ind w:left="360"/>
      </w:pPr>
    </w:p>
    <w:p w:rsidR="00420F2A" w:rsidRDefault="00420F2A">
      <w:pPr>
        <w:numPr>
          <w:ilvl w:val="0"/>
          <w:numId w:val="2"/>
        </w:numPr>
        <w:rPr>
          <w:b/>
          <w:bCs/>
        </w:rPr>
      </w:pPr>
      <w:r>
        <w:rPr>
          <w:b/>
          <w:bCs/>
          <w:u w:val="single"/>
        </w:rPr>
        <w:t>Purpose and Use of</w:t>
      </w:r>
      <w:r w:rsidR="00085F41">
        <w:rPr>
          <w:b/>
          <w:bCs/>
          <w:u w:val="single"/>
        </w:rPr>
        <w:t xml:space="preserve"> the</w:t>
      </w:r>
      <w:r>
        <w:rPr>
          <w:b/>
          <w:bCs/>
          <w:u w:val="single"/>
        </w:rPr>
        <w:t xml:space="preserve"> Information</w:t>
      </w:r>
      <w:r w:rsidR="00085F41">
        <w:rPr>
          <w:b/>
          <w:bCs/>
          <w:u w:val="single"/>
        </w:rPr>
        <w:t xml:space="preserve"> Collection</w:t>
      </w:r>
    </w:p>
    <w:p w:rsidR="00420F2A" w:rsidRDefault="00420F2A">
      <w:pPr>
        <w:ind w:left="360"/>
      </w:pPr>
    </w:p>
    <w:p w:rsidR="00420F2A" w:rsidRDefault="005B0D02" w:rsidP="005B0D02">
      <w:pPr>
        <w:pStyle w:val="BodyTextIndent"/>
        <w:ind w:left="0"/>
      </w:pPr>
      <w:r>
        <w:t>A</w:t>
      </w:r>
      <w:r w:rsidR="00397C0F">
        <w:t>CL</w:t>
      </w:r>
      <w:r>
        <w:t xml:space="preserve"> Program Officers use the </w:t>
      </w:r>
      <w:r w:rsidR="00397C0F">
        <w:t xml:space="preserve">Funding Opportunity Announcement template, which also contains </w:t>
      </w:r>
      <w:r>
        <w:t xml:space="preserve">Grant Application Instructions </w:t>
      </w:r>
      <w:r w:rsidR="002472F4">
        <w:t xml:space="preserve">and other informational resources and </w:t>
      </w:r>
      <w:r>
        <w:t>template</w:t>
      </w:r>
      <w:r w:rsidR="002472F4">
        <w:t>s</w:t>
      </w:r>
      <w:r w:rsidR="00A95153">
        <w:t>,</w:t>
      </w:r>
      <w:r>
        <w:t xml:space="preserve"> as a guide for the development of solicitations for new </w:t>
      </w:r>
      <w:r w:rsidR="002472F4">
        <w:t xml:space="preserve">discretionary </w:t>
      </w:r>
      <w:r>
        <w:t>funding opportunities.  Prospective applicants prepare their applications based on th</w:t>
      </w:r>
      <w:r w:rsidR="0048380B">
        <w:t>ese</w:t>
      </w:r>
      <w:r>
        <w:t xml:space="preserve"> announcement</w:t>
      </w:r>
      <w:r w:rsidR="0048380B">
        <w:t>s.</w:t>
      </w:r>
    </w:p>
    <w:p w:rsidR="00420F2A" w:rsidRDefault="00420F2A">
      <w:pPr>
        <w:ind w:left="360"/>
      </w:pPr>
    </w:p>
    <w:p w:rsidR="005F6086" w:rsidRDefault="005F6086">
      <w:pPr>
        <w:ind w:left="360"/>
      </w:pPr>
    </w:p>
    <w:p w:rsidR="00420F2A" w:rsidRDefault="00085F41">
      <w:pPr>
        <w:numPr>
          <w:ilvl w:val="0"/>
          <w:numId w:val="2"/>
        </w:numPr>
        <w:rPr>
          <w:b/>
          <w:bCs/>
        </w:rPr>
      </w:pPr>
      <w:r>
        <w:rPr>
          <w:b/>
          <w:bCs/>
          <w:u w:val="single"/>
        </w:rPr>
        <w:t>Use of Improved Information Technology and Burden Reduction</w:t>
      </w:r>
    </w:p>
    <w:p w:rsidR="00420F2A" w:rsidRDefault="00420F2A">
      <w:pPr>
        <w:ind w:left="360"/>
      </w:pPr>
    </w:p>
    <w:p w:rsidR="00420F2A" w:rsidRDefault="004F44E0">
      <w:pPr>
        <w:pStyle w:val="BodyTextIndent"/>
        <w:ind w:left="0"/>
      </w:pPr>
      <w:r>
        <w:t xml:space="preserve">The information </w:t>
      </w:r>
      <w:proofErr w:type="gramStart"/>
      <w:r w:rsidR="00A95153">
        <w:t>are</w:t>
      </w:r>
      <w:proofErr w:type="gramEnd"/>
      <w:r w:rsidR="00A95153">
        <w:t xml:space="preserve"> made available and </w:t>
      </w:r>
      <w:r>
        <w:t>must</w:t>
      </w:r>
      <w:r w:rsidR="00420F2A">
        <w:t xml:space="preserve"> be submitted in electronic form</w:t>
      </w:r>
      <w:r>
        <w:t xml:space="preserve"> via www.grants.gov</w:t>
      </w:r>
      <w:r w:rsidR="00420F2A">
        <w:t>.</w:t>
      </w:r>
    </w:p>
    <w:p w:rsidR="00420F2A" w:rsidRDefault="00420F2A">
      <w:pPr>
        <w:ind w:left="360"/>
      </w:pPr>
    </w:p>
    <w:p w:rsidR="005F6086" w:rsidRDefault="005F6086">
      <w:pPr>
        <w:ind w:left="360"/>
      </w:pPr>
    </w:p>
    <w:p w:rsidR="00420F2A" w:rsidRDefault="00085F41">
      <w:pPr>
        <w:numPr>
          <w:ilvl w:val="0"/>
          <w:numId w:val="2"/>
        </w:numPr>
        <w:rPr>
          <w:b/>
          <w:bCs/>
        </w:rPr>
      </w:pPr>
      <w:r>
        <w:rPr>
          <w:b/>
          <w:bCs/>
          <w:u w:val="single"/>
        </w:rPr>
        <w:t xml:space="preserve">Efforts to Identify </w:t>
      </w:r>
      <w:r w:rsidR="00420F2A">
        <w:rPr>
          <w:b/>
          <w:bCs/>
          <w:u w:val="single"/>
        </w:rPr>
        <w:t>Duplication</w:t>
      </w:r>
      <w:r>
        <w:rPr>
          <w:b/>
          <w:bCs/>
          <w:u w:val="single"/>
        </w:rPr>
        <w:t xml:space="preserve"> and Use of Similar Information</w:t>
      </w:r>
    </w:p>
    <w:p w:rsidR="00420F2A" w:rsidRDefault="00420F2A">
      <w:pPr>
        <w:ind w:left="360"/>
      </w:pPr>
    </w:p>
    <w:p w:rsidR="00420F2A" w:rsidRDefault="00420F2A">
      <w:pPr>
        <w:pStyle w:val="BodyTextIndent"/>
        <w:ind w:left="0"/>
      </w:pPr>
      <w:r>
        <w:t xml:space="preserve">No other source </w:t>
      </w:r>
      <w:r w:rsidR="00A95153">
        <w:t>is available to obtain</w:t>
      </w:r>
      <w:r>
        <w:t xml:space="preserve"> this information.</w:t>
      </w:r>
    </w:p>
    <w:p w:rsidR="00420F2A" w:rsidRDefault="00420F2A">
      <w:pPr>
        <w:ind w:left="360"/>
      </w:pPr>
    </w:p>
    <w:p w:rsidR="005F6086" w:rsidRDefault="005F6086">
      <w:pPr>
        <w:ind w:left="360"/>
      </w:pPr>
    </w:p>
    <w:p w:rsidR="00420F2A" w:rsidRDefault="00085F41">
      <w:pPr>
        <w:numPr>
          <w:ilvl w:val="0"/>
          <w:numId w:val="2"/>
        </w:numPr>
        <w:rPr>
          <w:b/>
          <w:bCs/>
        </w:rPr>
      </w:pPr>
      <w:r>
        <w:rPr>
          <w:b/>
          <w:bCs/>
          <w:u w:val="single"/>
        </w:rPr>
        <w:t xml:space="preserve">Impact on </w:t>
      </w:r>
      <w:r w:rsidR="00420F2A">
        <w:rPr>
          <w:b/>
          <w:bCs/>
          <w:u w:val="single"/>
        </w:rPr>
        <w:t xml:space="preserve">Small </w:t>
      </w:r>
      <w:r>
        <w:rPr>
          <w:b/>
          <w:bCs/>
          <w:u w:val="single"/>
        </w:rPr>
        <w:t xml:space="preserve">Businesses or Other Small </w:t>
      </w:r>
      <w:r w:rsidR="00420F2A">
        <w:rPr>
          <w:b/>
          <w:bCs/>
          <w:u w:val="single"/>
        </w:rPr>
        <w:t>Entities</w:t>
      </w:r>
    </w:p>
    <w:p w:rsidR="00420F2A" w:rsidRDefault="00420F2A">
      <w:pPr>
        <w:ind w:left="360"/>
      </w:pPr>
    </w:p>
    <w:p w:rsidR="00420F2A" w:rsidRDefault="000D0ADB">
      <w:pPr>
        <w:pStyle w:val="BodyTextIndent"/>
        <w:ind w:left="0"/>
      </w:pPr>
      <w:r w:rsidRPr="00780FEF">
        <w:rPr>
          <w:szCs w:val="24"/>
        </w:rPr>
        <w:t xml:space="preserve">The information to be collected does not involve or result in assignment of </w:t>
      </w:r>
      <w:r>
        <w:rPr>
          <w:szCs w:val="24"/>
        </w:rPr>
        <w:t xml:space="preserve">specific </w:t>
      </w:r>
      <w:r w:rsidRPr="00780FEF">
        <w:rPr>
          <w:szCs w:val="24"/>
        </w:rPr>
        <w:t xml:space="preserve">burden to any small business or other small entity. </w:t>
      </w:r>
      <w:r w:rsidR="00420F2A">
        <w:t>There is minimal burden</w:t>
      </w:r>
      <w:r w:rsidR="00CA2026">
        <w:t xml:space="preserve"> in applying for </w:t>
      </w:r>
      <w:r w:rsidR="00397C0F">
        <w:t>ACL</w:t>
      </w:r>
      <w:r w:rsidR="00CA2026">
        <w:t xml:space="preserve"> discretionary </w:t>
      </w:r>
      <w:r w:rsidR="00B32165">
        <w:t>funding</w:t>
      </w:r>
      <w:r>
        <w:t>,</w:t>
      </w:r>
      <w:r w:rsidR="00B32165">
        <w:t xml:space="preserve"> where applications are </w:t>
      </w:r>
      <w:r w:rsidR="00CA2026">
        <w:t xml:space="preserve">typically limited to </w:t>
      </w:r>
      <w:r w:rsidR="006F6C0F">
        <w:t xml:space="preserve">a maximum of </w:t>
      </w:r>
      <w:r w:rsidR="00CA2026">
        <w:t xml:space="preserve">20 </w:t>
      </w:r>
      <w:r w:rsidR="006F6C0F">
        <w:t>pages</w:t>
      </w:r>
      <w:r w:rsidR="00A95153">
        <w:t xml:space="preserve"> or</w:t>
      </w:r>
      <w:r w:rsidR="006F6C0F">
        <w:t xml:space="preserve"> less.</w:t>
      </w:r>
    </w:p>
    <w:p w:rsidR="00420F2A" w:rsidRDefault="00420F2A">
      <w:pPr>
        <w:ind w:left="360"/>
      </w:pPr>
    </w:p>
    <w:p w:rsidR="005F6086" w:rsidRDefault="005F6086">
      <w:pPr>
        <w:ind w:left="360"/>
      </w:pPr>
    </w:p>
    <w:p w:rsidR="00420F2A" w:rsidRDefault="00420F2A">
      <w:pPr>
        <w:numPr>
          <w:ilvl w:val="0"/>
          <w:numId w:val="2"/>
        </w:numPr>
        <w:rPr>
          <w:b/>
          <w:bCs/>
        </w:rPr>
      </w:pPr>
      <w:r>
        <w:rPr>
          <w:b/>
          <w:bCs/>
          <w:u w:val="single"/>
        </w:rPr>
        <w:t>Consequences of Collecti</w:t>
      </w:r>
      <w:r w:rsidR="00085F41">
        <w:rPr>
          <w:b/>
          <w:bCs/>
          <w:u w:val="single"/>
        </w:rPr>
        <w:t>ng the Information Less Frequently</w:t>
      </w:r>
    </w:p>
    <w:p w:rsidR="00420F2A" w:rsidRDefault="00420F2A">
      <w:pPr>
        <w:ind w:left="360"/>
      </w:pPr>
    </w:p>
    <w:p w:rsidR="00420F2A" w:rsidRDefault="00CA2026">
      <w:pPr>
        <w:pStyle w:val="BodyTextIndent"/>
        <w:ind w:left="0"/>
      </w:pPr>
      <w:r>
        <w:t xml:space="preserve">Applicants submit only one application for each funding opportunity.  </w:t>
      </w:r>
    </w:p>
    <w:p w:rsidR="005F6086" w:rsidRDefault="005F6086">
      <w:pPr>
        <w:pStyle w:val="BodyTextIndent"/>
        <w:ind w:left="0"/>
      </w:pPr>
    </w:p>
    <w:p w:rsidR="005F6086" w:rsidRDefault="005F6086">
      <w:pPr>
        <w:pStyle w:val="BodyTextIndent"/>
        <w:ind w:left="0"/>
      </w:pPr>
    </w:p>
    <w:p w:rsidR="00420F2A" w:rsidRDefault="00420F2A">
      <w:pPr>
        <w:pStyle w:val="Heading1"/>
        <w:numPr>
          <w:ilvl w:val="0"/>
          <w:numId w:val="2"/>
        </w:numPr>
        <w:rPr>
          <w:b/>
          <w:bCs/>
        </w:rPr>
      </w:pPr>
      <w:r>
        <w:rPr>
          <w:b/>
          <w:bCs/>
        </w:rPr>
        <w:t>Special Circumstances</w:t>
      </w:r>
      <w:r w:rsidR="00085F41">
        <w:rPr>
          <w:b/>
          <w:bCs/>
        </w:rPr>
        <w:t xml:space="preserve"> Related to the Guidelines of 5 CFR 1320.5</w:t>
      </w:r>
    </w:p>
    <w:p w:rsidR="00420F2A" w:rsidRDefault="00420F2A"/>
    <w:p w:rsidR="00420F2A" w:rsidRDefault="00420F2A">
      <w:r>
        <w:t>There are no special circumstances related to this request.</w:t>
      </w:r>
    </w:p>
    <w:p w:rsidR="00420F2A" w:rsidRDefault="00420F2A">
      <w:pPr>
        <w:pStyle w:val="Heading1"/>
        <w:numPr>
          <w:ilvl w:val="0"/>
          <w:numId w:val="2"/>
        </w:numPr>
        <w:rPr>
          <w:b/>
          <w:bCs/>
        </w:rPr>
      </w:pPr>
      <w:r>
        <w:rPr>
          <w:b/>
          <w:bCs/>
        </w:rPr>
        <w:lastRenderedPageBreak/>
        <w:t>Comment</w:t>
      </w:r>
      <w:r w:rsidR="00784F87">
        <w:rPr>
          <w:b/>
          <w:bCs/>
        </w:rPr>
        <w:t>s</w:t>
      </w:r>
      <w:r w:rsidR="00085F41">
        <w:rPr>
          <w:b/>
          <w:bCs/>
        </w:rPr>
        <w:t xml:space="preserve"> in Response</w:t>
      </w:r>
      <w:r>
        <w:rPr>
          <w:b/>
          <w:bCs/>
        </w:rPr>
        <w:t xml:space="preserve"> to </w:t>
      </w:r>
      <w:r w:rsidR="00085F41">
        <w:rPr>
          <w:b/>
          <w:bCs/>
        </w:rPr>
        <w:t xml:space="preserve">the </w:t>
      </w:r>
      <w:r>
        <w:rPr>
          <w:b/>
          <w:bCs/>
        </w:rPr>
        <w:t>Federal Register</w:t>
      </w:r>
      <w:r w:rsidR="00085F41">
        <w:rPr>
          <w:b/>
          <w:bCs/>
        </w:rPr>
        <w:t xml:space="preserve"> Notice and Efforts to Consult Outside the Agency</w:t>
      </w:r>
    </w:p>
    <w:p w:rsidR="00420F2A" w:rsidRDefault="00420F2A"/>
    <w:p w:rsidR="00085F41" w:rsidRDefault="00085F41" w:rsidP="00085F41">
      <w:pPr>
        <w:widowControl w:val="0"/>
        <w:autoSpaceDE w:val="0"/>
        <w:autoSpaceDN w:val="0"/>
        <w:adjustRightInd w:val="0"/>
      </w:pPr>
      <w:r w:rsidRPr="00EB4ACA">
        <w:t xml:space="preserve">A 60-day Federal Register Notice was published in the </w:t>
      </w:r>
      <w:r w:rsidRPr="00EB4ACA">
        <w:rPr>
          <w:i/>
          <w:iCs/>
        </w:rPr>
        <w:t xml:space="preserve">Federal Register </w:t>
      </w:r>
      <w:r w:rsidRPr="00EB4ACA">
        <w:t xml:space="preserve">on </w:t>
      </w:r>
      <w:r>
        <w:t xml:space="preserve">February 1, </w:t>
      </w:r>
      <w:r w:rsidRPr="00EB4ACA">
        <w:t xml:space="preserve">2017 </w:t>
      </w:r>
      <w:r>
        <w:t>(</w:t>
      </w:r>
      <w:r w:rsidRPr="00EB4ACA">
        <w:t xml:space="preserve">Vol. 82, Number </w:t>
      </w:r>
      <w:r>
        <w:t>20</w:t>
      </w:r>
      <w:r w:rsidRPr="00EB4ACA">
        <w:t>; pp. 8</w:t>
      </w:r>
      <w:r>
        <w:t>940</w:t>
      </w:r>
      <w:r w:rsidRPr="00EB4ACA">
        <w:t>-8</w:t>
      </w:r>
      <w:r>
        <w:t>941)</w:t>
      </w:r>
      <w:r w:rsidR="00A95153">
        <w:t xml:space="preserve"> soliciting comments on this information collection</w:t>
      </w:r>
      <w:r>
        <w:t xml:space="preserve">.  In response to the notice, the Department received two comments, one with 57 signatories. The commenters were concerned that the </w:t>
      </w:r>
      <w:r w:rsidR="00A95153">
        <w:t xml:space="preserve">FOA </w:t>
      </w:r>
      <w:r>
        <w:t xml:space="preserve">template did not reference an eight percent cap on the indirect cost rate associated with training programs.  Instead, the notice included language from the </w:t>
      </w:r>
      <w:r>
        <w:rPr>
          <w:rStyle w:val="Emphasis"/>
        </w:rPr>
        <w:t>Uniform Administrative Requirements, Cost Principles, and Audit Requirements for Federal Awards</w:t>
      </w:r>
      <w:r>
        <w:t> (commonly called "Uniform Guidance"), which were implemented in fiscal year 2015 (</w:t>
      </w:r>
      <w:hyperlink r:id="rId6" w:history="1">
        <w:r w:rsidRPr="00B25E8B">
          <w:rPr>
            <w:rStyle w:val="Hyperlink"/>
          </w:rPr>
          <w:t>https://www.grants.gov/web/grants/learn-grants/grant-policies/omb-uniform-guidance-2014.html</w:t>
        </w:r>
      </w:hyperlink>
      <w:r>
        <w:t xml:space="preserve">) .  This language requires agencies to accept the indirect cost rate negotiated with their agency, and the requirement applies to all grant making agencies in the Federal Government.  However, the </w:t>
      </w:r>
      <w:r w:rsidR="00D94EBE">
        <w:t xml:space="preserve">HHS </w:t>
      </w:r>
      <w:r w:rsidRPr="00A83DAA">
        <w:t>Grants Policy Administration Manual (GPAM)</w:t>
      </w:r>
      <w:r>
        <w:t xml:space="preserve"> </w:t>
      </w:r>
      <w:r w:rsidR="00784F87">
        <w:t xml:space="preserve">and the Grants Policy Statement (GPS) </w:t>
      </w:r>
      <w:r>
        <w:t xml:space="preserve">provide that the indirect cost rate for training grants is capped at eight percent cap. </w:t>
      </w:r>
      <w:r w:rsidRPr="00A83DAA">
        <w:rPr>
          <w:rFonts w:ascii="Arial" w:hAnsi="Arial" w:cs="Arial"/>
          <w:color w:val="545454"/>
          <w:lang w:val="en"/>
        </w:rPr>
        <w:t xml:space="preserve"> </w:t>
      </w:r>
      <w:r>
        <w:t>ACL has reviewed all pertinent information and has determined that no change is necessary to the FOA template.  This notice is for a generic template that is used by all ACL grant applicants.  Requirements associated with particular programs are included in the specific FOAs for those programs.  The UCEDD programs were designated as training programs in the past as part of the specific FOA for th</w:t>
      </w:r>
      <w:r w:rsidR="00A95153">
        <w:t>e UCEDD</w:t>
      </w:r>
      <w:r>
        <w:t xml:space="preserve"> program.  </w:t>
      </w:r>
    </w:p>
    <w:p w:rsidR="00A72406" w:rsidRDefault="00A72406" w:rsidP="00085F41">
      <w:pPr>
        <w:widowControl w:val="0"/>
        <w:autoSpaceDE w:val="0"/>
        <w:autoSpaceDN w:val="0"/>
        <w:adjustRightInd w:val="0"/>
      </w:pPr>
    </w:p>
    <w:p w:rsidR="00085F41" w:rsidRDefault="00085F41" w:rsidP="00085F41">
      <w:r>
        <w:t xml:space="preserve">The proposed template may be found on the ACL website at </w:t>
      </w:r>
    </w:p>
    <w:p w:rsidR="00085F41" w:rsidRDefault="00CD5BD3" w:rsidP="00085F41">
      <w:pPr>
        <w:rPr>
          <w:rFonts w:asciiTheme="minorHAnsi" w:hAnsiTheme="minorHAnsi"/>
        </w:rPr>
      </w:pPr>
      <w:hyperlink r:id="rId7" w:history="1">
        <w:r w:rsidR="00085F41" w:rsidRPr="00B25E8B">
          <w:rPr>
            <w:rStyle w:val="Hyperlink"/>
            <w:rFonts w:asciiTheme="minorHAnsi" w:hAnsiTheme="minorHAnsi"/>
          </w:rPr>
          <w:t>https://acl.gov/Funding_Opportunities/Announcements/docs/ACL_PA_Template_FINAL.docx</w:t>
        </w:r>
      </w:hyperlink>
      <w:r w:rsidR="00085F41">
        <w:rPr>
          <w:rFonts w:asciiTheme="minorHAnsi" w:hAnsiTheme="minorHAnsi"/>
        </w:rPr>
        <w:t xml:space="preserve">. </w:t>
      </w:r>
      <w:r w:rsidR="00085F41" w:rsidRPr="003576D5">
        <w:rPr>
          <w:rFonts w:asciiTheme="minorHAnsi" w:hAnsiTheme="minorHAnsi"/>
        </w:rPr>
        <w:t xml:space="preserve"> </w:t>
      </w:r>
    </w:p>
    <w:p w:rsidR="00420F2A" w:rsidRDefault="00420F2A" w:rsidP="00085F41"/>
    <w:p w:rsidR="005F6086" w:rsidRDefault="005F6086" w:rsidP="00085F41"/>
    <w:p w:rsidR="00420F2A" w:rsidRDefault="000D0ADB">
      <w:pPr>
        <w:pStyle w:val="Heading1"/>
        <w:numPr>
          <w:ilvl w:val="0"/>
          <w:numId w:val="2"/>
        </w:numPr>
        <w:rPr>
          <w:b/>
          <w:bCs/>
        </w:rPr>
      </w:pPr>
      <w:r>
        <w:rPr>
          <w:b/>
          <w:bCs/>
        </w:rPr>
        <w:t xml:space="preserve">Explanation of Any Payment or Gift to </w:t>
      </w:r>
      <w:r w:rsidR="00420F2A">
        <w:rPr>
          <w:b/>
          <w:bCs/>
        </w:rPr>
        <w:t>Respondents</w:t>
      </w:r>
    </w:p>
    <w:p w:rsidR="00420F2A" w:rsidRDefault="00420F2A"/>
    <w:p w:rsidR="00420F2A" w:rsidRDefault="00420F2A">
      <w:r>
        <w:t>No payment</w:t>
      </w:r>
      <w:r w:rsidR="000D0ADB">
        <w:t>s or gifts are</w:t>
      </w:r>
      <w:r>
        <w:t xml:space="preserve"> provided</w:t>
      </w:r>
      <w:r w:rsidR="000D0ADB">
        <w:t xml:space="preserve"> to applicants</w:t>
      </w:r>
      <w:r>
        <w:t>.</w:t>
      </w:r>
    </w:p>
    <w:p w:rsidR="00420F2A" w:rsidRDefault="00420F2A"/>
    <w:p w:rsidR="005F6086" w:rsidRDefault="005F6086"/>
    <w:p w:rsidR="00420F2A" w:rsidRDefault="00A72406">
      <w:pPr>
        <w:pStyle w:val="Heading1"/>
        <w:numPr>
          <w:ilvl w:val="0"/>
          <w:numId w:val="2"/>
        </w:numPr>
        <w:rPr>
          <w:b/>
          <w:bCs/>
        </w:rPr>
      </w:pPr>
      <w:r>
        <w:rPr>
          <w:b/>
          <w:bCs/>
        </w:rPr>
        <w:t xml:space="preserve">Assurance of </w:t>
      </w:r>
      <w:r w:rsidR="00420F2A">
        <w:rPr>
          <w:b/>
          <w:bCs/>
        </w:rPr>
        <w:t>Confidentiality</w:t>
      </w:r>
      <w:r>
        <w:rPr>
          <w:b/>
          <w:bCs/>
        </w:rPr>
        <w:t xml:space="preserve"> Provided to Respondents</w:t>
      </w:r>
    </w:p>
    <w:p w:rsidR="00420F2A" w:rsidRDefault="00420F2A"/>
    <w:p w:rsidR="00420F2A" w:rsidRDefault="00CA2026">
      <w:r>
        <w:t xml:space="preserve">Information provided in a </w:t>
      </w:r>
      <w:r w:rsidR="00397C0F">
        <w:t xml:space="preserve">Funding Opportunity Announcement </w:t>
      </w:r>
      <w:r w:rsidR="00420F2A">
        <w:t>is confidential</w:t>
      </w:r>
      <w:r>
        <w:t xml:space="preserve"> and only becomes public if an application is funded.  </w:t>
      </w:r>
      <w:r w:rsidR="00A72406">
        <w:t>No personally identifiable information is requested or accepted from applicants.</w:t>
      </w:r>
    </w:p>
    <w:p w:rsidR="00420F2A" w:rsidRDefault="00420F2A"/>
    <w:p w:rsidR="005F6086" w:rsidRDefault="005F6086"/>
    <w:p w:rsidR="00420F2A" w:rsidRDefault="00A72406">
      <w:pPr>
        <w:pStyle w:val="Heading1"/>
        <w:numPr>
          <w:ilvl w:val="0"/>
          <w:numId w:val="2"/>
        </w:numPr>
        <w:rPr>
          <w:b/>
          <w:bCs/>
        </w:rPr>
      </w:pPr>
      <w:r>
        <w:rPr>
          <w:b/>
          <w:bCs/>
        </w:rPr>
        <w:t xml:space="preserve">Justification for </w:t>
      </w:r>
      <w:r w:rsidR="00420F2A">
        <w:rPr>
          <w:b/>
          <w:bCs/>
        </w:rPr>
        <w:t>Sensitive Questions</w:t>
      </w:r>
    </w:p>
    <w:p w:rsidR="00420F2A" w:rsidRDefault="00420F2A"/>
    <w:p w:rsidR="00420F2A" w:rsidRDefault="00420F2A">
      <w:r>
        <w:t>This request does not involve questions of a sensitive nature.</w:t>
      </w:r>
    </w:p>
    <w:p w:rsidR="00420F2A" w:rsidRDefault="00420F2A"/>
    <w:p w:rsidR="005F6086" w:rsidRDefault="005F6086"/>
    <w:p w:rsidR="005F6086" w:rsidRDefault="005F6086"/>
    <w:p w:rsidR="005F6086" w:rsidRDefault="005F6086"/>
    <w:p w:rsidR="005F6086" w:rsidRDefault="005F6086"/>
    <w:p w:rsidR="00420F2A" w:rsidRDefault="00420F2A">
      <w:pPr>
        <w:pStyle w:val="Heading1"/>
        <w:numPr>
          <w:ilvl w:val="0"/>
          <w:numId w:val="2"/>
        </w:numPr>
        <w:rPr>
          <w:b/>
          <w:bCs/>
        </w:rPr>
      </w:pPr>
      <w:r>
        <w:rPr>
          <w:b/>
          <w:bCs/>
        </w:rPr>
        <w:lastRenderedPageBreak/>
        <w:t>Estimate</w:t>
      </w:r>
      <w:r w:rsidR="006B4388">
        <w:rPr>
          <w:b/>
          <w:bCs/>
        </w:rPr>
        <w:t>s</w:t>
      </w:r>
      <w:r>
        <w:rPr>
          <w:b/>
          <w:bCs/>
        </w:rPr>
        <w:t xml:space="preserve"> of </w:t>
      </w:r>
      <w:r w:rsidR="00A72406">
        <w:rPr>
          <w:b/>
          <w:bCs/>
        </w:rPr>
        <w:t xml:space="preserve">Annualized </w:t>
      </w:r>
      <w:r>
        <w:rPr>
          <w:b/>
          <w:bCs/>
        </w:rPr>
        <w:t>Burden Hours</w:t>
      </w:r>
      <w:r w:rsidR="00A72406">
        <w:rPr>
          <w:b/>
          <w:bCs/>
        </w:rPr>
        <w:t xml:space="preserve"> and Costs</w:t>
      </w:r>
    </w:p>
    <w:p w:rsidR="00420F2A" w:rsidRDefault="00420F2A"/>
    <w:tbl>
      <w:tblPr>
        <w:tblStyle w:val="TableGrid"/>
        <w:tblW w:w="9576" w:type="dxa"/>
        <w:tblLayout w:type="fixed"/>
        <w:tblLook w:val="04A0" w:firstRow="1" w:lastRow="0" w:firstColumn="1" w:lastColumn="0" w:noHBand="0" w:noVBand="1"/>
      </w:tblPr>
      <w:tblGrid>
        <w:gridCol w:w="1008"/>
        <w:gridCol w:w="1530"/>
        <w:gridCol w:w="1260"/>
        <w:gridCol w:w="1530"/>
        <w:gridCol w:w="1350"/>
        <w:gridCol w:w="1530"/>
        <w:gridCol w:w="1368"/>
      </w:tblGrid>
      <w:tr w:rsidR="00024807" w:rsidTr="00D960D5">
        <w:tc>
          <w:tcPr>
            <w:tcW w:w="1008" w:type="dxa"/>
          </w:tcPr>
          <w:p w:rsidR="00024807" w:rsidRDefault="00024807" w:rsidP="00D960D5">
            <w:pPr>
              <w:jc w:val="center"/>
              <w:rPr>
                <w:rFonts w:asciiTheme="minorHAnsi" w:hAnsiTheme="minorHAnsi"/>
              </w:rPr>
            </w:pPr>
          </w:p>
        </w:tc>
        <w:tc>
          <w:tcPr>
            <w:tcW w:w="1530" w:type="dxa"/>
          </w:tcPr>
          <w:p w:rsidR="00024807" w:rsidRDefault="00024807" w:rsidP="00D960D5">
            <w:pPr>
              <w:jc w:val="center"/>
              <w:rPr>
                <w:rFonts w:asciiTheme="minorHAnsi" w:hAnsiTheme="minorHAnsi"/>
              </w:rPr>
            </w:pPr>
            <w:r>
              <w:rPr>
                <w:rFonts w:asciiTheme="minorHAnsi" w:hAnsiTheme="minorHAnsi"/>
              </w:rPr>
              <w:t xml:space="preserve">Number of Competitions </w:t>
            </w:r>
          </w:p>
        </w:tc>
        <w:tc>
          <w:tcPr>
            <w:tcW w:w="1260" w:type="dxa"/>
          </w:tcPr>
          <w:p w:rsidR="00024807" w:rsidRDefault="00024807" w:rsidP="00D960D5">
            <w:pPr>
              <w:jc w:val="center"/>
              <w:rPr>
                <w:rFonts w:asciiTheme="minorHAnsi" w:hAnsiTheme="minorHAnsi"/>
              </w:rPr>
            </w:pPr>
            <w:r>
              <w:rPr>
                <w:rFonts w:asciiTheme="minorHAnsi" w:hAnsiTheme="minorHAnsi"/>
              </w:rPr>
              <w:t>Applicants Per FOA</w:t>
            </w:r>
          </w:p>
        </w:tc>
        <w:tc>
          <w:tcPr>
            <w:tcW w:w="1530" w:type="dxa"/>
          </w:tcPr>
          <w:p w:rsidR="00024807" w:rsidRDefault="00024807" w:rsidP="00D960D5">
            <w:pPr>
              <w:jc w:val="center"/>
              <w:rPr>
                <w:rFonts w:asciiTheme="minorHAnsi" w:hAnsiTheme="minorHAnsi"/>
              </w:rPr>
            </w:pPr>
            <w:r>
              <w:rPr>
                <w:rFonts w:asciiTheme="minorHAnsi" w:hAnsiTheme="minorHAnsi"/>
              </w:rPr>
              <w:t>Number of Respondents</w:t>
            </w:r>
          </w:p>
        </w:tc>
        <w:tc>
          <w:tcPr>
            <w:tcW w:w="1350" w:type="dxa"/>
          </w:tcPr>
          <w:p w:rsidR="00024807" w:rsidRDefault="00024807" w:rsidP="00D960D5">
            <w:pPr>
              <w:jc w:val="center"/>
              <w:rPr>
                <w:rFonts w:asciiTheme="minorHAnsi" w:hAnsiTheme="minorHAnsi"/>
              </w:rPr>
            </w:pPr>
            <w:r>
              <w:rPr>
                <w:rFonts w:asciiTheme="minorHAnsi" w:hAnsiTheme="minorHAnsi"/>
              </w:rPr>
              <w:t>Frequency of Response Per Year</w:t>
            </w:r>
          </w:p>
        </w:tc>
        <w:tc>
          <w:tcPr>
            <w:tcW w:w="1530" w:type="dxa"/>
          </w:tcPr>
          <w:p w:rsidR="00024807" w:rsidRDefault="00024807" w:rsidP="00D960D5">
            <w:pPr>
              <w:jc w:val="center"/>
              <w:rPr>
                <w:rFonts w:asciiTheme="minorHAnsi" w:hAnsiTheme="minorHAnsi"/>
              </w:rPr>
            </w:pPr>
            <w:r>
              <w:rPr>
                <w:rFonts w:asciiTheme="minorHAnsi" w:hAnsiTheme="minorHAnsi"/>
              </w:rPr>
              <w:t>Average Hour Burden Per Respondent</w:t>
            </w:r>
          </w:p>
        </w:tc>
        <w:tc>
          <w:tcPr>
            <w:tcW w:w="1368" w:type="dxa"/>
          </w:tcPr>
          <w:p w:rsidR="00024807" w:rsidRDefault="00024807" w:rsidP="00D960D5">
            <w:pPr>
              <w:jc w:val="center"/>
              <w:rPr>
                <w:rFonts w:asciiTheme="minorHAnsi" w:hAnsiTheme="minorHAnsi"/>
              </w:rPr>
            </w:pPr>
            <w:r>
              <w:rPr>
                <w:rFonts w:asciiTheme="minorHAnsi" w:hAnsiTheme="minorHAnsi"/>
              </w:rPr>
              <w:t>Total Estimated Data Burden</w:t>
            </w:r>
          </w:p>
        </w:tc>
      </w:tr>
      <w:tr w:rsidR="00024807" w:rsidTr="00D960D5">
        <w:tc>
          <w:tcPr>
            <w:tcW w:w="1008" w:type="dxa"/>
          </w:tcPr>
          <w:p w:rsidR="00024807" w:rsidRDefault="00024807" w:rsidP="00D960D5">
            <w:pPr>
              <w:jc w:val="center"/>
              <w:rPr>
                <w:rFonts w:asciiTheme="minorHAnsi" w:hAnsiTheme="minorHAnsi"/>
              </w:rPr>
            </w:pPr>
            <w:r>
              <w:rPr>
                <w:rFonts w:asciiTheme="minorHAnsi" w:hAnsiTheme="minorHAnsi"/>
              </w:rPr>
              <w:t>NIDILRR</w:t>
            </w:r>
          </w:p>
        </w:tc>
        <w:tc>
          <w:tcPr>
            <w:tcW w:w="1530" w:type="dxa"/>
          </w:tcPr>
          <w:p w:rsidR="00024807" w:rsidRDefault="00024807" w:rsidP="00604D6E">
            <w:pPr>
              <w:jc w:val="center"/>
              <w:rPr>
                <w:rFonts w:asciiTheme="minorHAnsi" w:hAnsiTheme="minorHAnsi"/>
              </w:rPr>
            </w:pPr>
            <w:r>
              <w:rPr>
                <w:rFonts w:asciiTheme="minorHAnsi" w:hAnsiTheme="minorHAnsi"/>
              </w:rPr>
              <w:t>1</w:t>
            </w:r>
            <w:r w:rsidR="00604D6E">
              <w:rPr>
                <w:rFonts w:asciiTheme="minorHAnsi" w:hAnsiTheme="minorHAnsi"/>
              </w:rPr>
              <w:t>7</w:t>
            </w:r>
          </w:p>
        </w:tc>
        <w:tc>
          <w:tcPr>
            <w:tcW w:w="1260" w:type="dxa"/>
          </w:tcPr>
          <w:p w:rsidR="00024807" w:rsidRDefault="00024807" w:rsidP="00D960D5">
            <w:pPr>
              <w:jc w:val="center"/>
              <w:rPr>
                <w:rFonts w:asciiTheme="minorHAnsi" w:hAnsiTheme="minorHAnsi"/>
              </w:rPr>
            </w:pPr>
            <w:r>
              <w:rPr>
                <w:rFonts w:asciiTheme="minorHAnsi" w:hAnsiTheme="minorHAnsi"/>
              </w:rPr>
              <w:t>16</w:t>
            </w:r>
          </w:p>
        </w:tc>
        <w:tc>
          <w:tcPr>
            <w:tcW w:w="1530" w:type="dxa"/>
          </w:tcPr>
          <w:p w:rsidR="00024807" w:rsidRDefault="00024807" w:rsidP="00694825">
            <w:pPr>
              <w:jc w:val="center"/>
              <w:rPr>
                <w:rFonts w:asciiTheme="minorHAnsi" w:hAnsiTheme="minorHAnsi"/>
              </w:rPr>
            </w:pPr>
            <w:r>
              <w:rPr>
                <w:rFonts w:asciiTheme="minorHAnsi" w:hAnsiTheme="minorHAnsi"/>
              </w:rPr>
              <w:t>2</w:t>
            </w:r>
            <w:r w:rsidR="00604D6E">
              <w:rPr>
                <w:rFonts w:asciiTheme="minorHAnsi" w:hAnsiTheme="minorHAnsi"/>
              </w:rPr>
              <w:t>7</w:t>
            </w:r>
            <w:r w:rsidR="00694825">
              <w:rPr>
                <w:rFonts w:asciiTheme="minorHAnsi" w:hAnsiTheme="minorHAnsi"/>
              </w:rPr>
              <w:t>2</w:t>
            </w:r>
          </w:p>
        </w:tc>
        <w:tc>
          <w:tcPr>
            <w:tcW w:w="1350" w:type="dxa"/>
          </w:tcPr>
          <w:p w:rsidR="00024807" w:rsidRDefault="00024807" w:rsidP="00D960D5">
            <w:pPr>
              <w:jc w:val="center"/>
              <w:rPr>
                <w:rFonts w:asciiTheme="minorHAnsi" w:hAnsiTheme="minorHAnsi"/>
              </w:rPr>
            </w:pPr>
            <w:r>
              <w:rPr>
                <w:rFonts w:asciiTheme="minorHAnsi" w:hAnsiTheme="minorHAnsi"/>
              </w:rPr>
              <w:t>1</w:t>
            </w:r>
          </w:p>
        </w:tc>
        <w:tc>
          <w:tcPr>
            <w:tcW w:w="1530" w:type="dxa"/>
          </w:tcPr>
          <w:p w:rsidR="00024807" w:rsidRDefault="00024807" w:rsidP="00604D6E">
            <w:pPr>
              <w:jc w:val="center"/>
              <w:rPr>
                <w:rFonts w:asciiTheme="minorHAnsi" w:hAnsiTheme="minorHAnsi"/>
              </w:rPr>
            </w:pPr>
            <w:r>
              <w:rPr>
                <w:rFonts w:asciiTheme="minorHAnsi" w:hAnsiTheme="minorHAnsi"/>
              </w:rPr>
              <w:t>22</w:t>
            </w:r>
            <w:r w:rsidR="00604D6E">
              <w:rPr>
                <w:rFonts w:asciiTheme="minorHAnsi" w:hAnsiTheme="minorHAnsi"/>
              </w:rPr>
              <w:t>-52</w:t>
            </w:r>
          </w:p>
        </w:tc>
        <w:tc>
          <w:tcPr>
            <w:tcW w:w="1368" w:type="dxa"/>
          </w:tcPr>
          <w:p w:rsidR="00024807" w:rsidRDefault="00604D6E" w:rsidP="00D960D5">
            <w:pPr>
              <w:jc w:val="center"/>
              <w:rPr>
                <w:rFonts w:asciiTheme="minorHAnsi" w:hAnsiTheme="minorHAnsi"/>
              </w:rPr>
            </w:pPr>
            <w:r>
              <w:rPr>
                <w:rFonts w:asciiTheme="minorHAnsi" w:hAnsiTheme="minorHAnsi"/>
              </w:rPr>
              <w:t>8</w:t>
            </w:r>
            <w:r w:rsidR="00024807">
              <w:rPr>
                <w:rFonts w:asciiTheme="minorHAnsi" w:hAnsiTheme="minorHAnsi"/>
              </w:rPr>
              <w:t>,3</w:t>
            </w:r>
            <w:r>
              <w:rPr>
                <w:rFonts w:asciiTheme="minorHAnsi" w:hAnsiTheme="minorHAnsi"/>
              </w:rPr>
              <w:t>0</w:t>
            </w:r>
            <w:r w:rsidR="00024807">
              <w:rPr>
                <w:rFonts w:asciiTheme="minorHAnsi" w:hAnsiTheme="minorHAnsi"/>
              </w:rPr>
              <w:t>0</w:t>
            </w:r>
          </w:p>
          <w:p w:rsidR="00024807" w:rsidRDefault="00024807" w:rsidP="00D960D5">
            <w:pPr>
              <w:jc w:val="center"/>
              <w:rPr>
                <w:rFonts w:asciiTheme="minorHAnsi" w:hAnsiTheme="minorHAnsi"/>
              </w:rPr>
            </w:pPr>
          </w:p>
        </w:tc>
      </w:tr>
      <w:tr w:rsidR="00024807" w:rsidTr="00D960D5">
        <w:tc>
          <w:tcPr>
            <w:tcW w:w="1008" w:type="dxa"/>
          </w:tcPr>
          <w:p w:rsidR="00024807" w:rsidRDefault="00024807" w:rsidP="00D960D5">
            <w:pPr>
              <w:jc w:val="center"/>
              <w:rPr>
                <w:rFonts w:asciiTheme="minorHAnsi" w:hAnsiTheme="minorHAnsi"/>
              </w:rPr>
            </w:pPr>
            <w:r>
              <w:rPr>
                <w:rFonts w:asciiTheme="minorHAnsi" w:hAnsiTheme="minorHAnsi"/>
              </w:rPr>
              <w:t>Other ACL</w:t>
            </w:r>
          </w:p>
        </w:tc>
        <w:tc>
          <w:tcPr>
            <w:tcW w:w="1530" w:type="dxa"/>
          </w:tcPr>
          <w:p w:rsidR="00024807" w:rsidRDefault="00024807" w:rsidP="00D960D5">
            <w:pPr>
              <w:jc w:val="center"/>
              <w:rPr>
                <w:rFonts w:asciiTheme="minorHAnsi" w:hAnsiTheme="minorHAnsi"/>
              </w:rPr>
            </w:pPr>
            <w:r>
              <w:rPr>
                <w:rFonts w:asciiTheme="minorHAnsi" w:hAnsiTheme="minorHAnsi"/>
              </w:rPr>
              <w:t>34</w:t>
            </w:r>
          </w:p>
        </w:tc>
        <w:tc>
          <w:tcPr>
            <w:tcW w:w="1260" w:type="dxa"/>
          </w:tcPr>
          <w:p w:rsidR="00024807" w:rsidRDefault="00024807" w:rsidP="00D960D5">
            <w:pPr>
              <w:jc w:val="center"/>
              <w:rPr>
                <w:rFonts w:asciiTheme="minorHAnsi" w:hAnsiTheme="minorHAnsi"/>
              </w:rPr>
            </w:pPr>
            <w:r>
              <w:rPr>
                <w:rFonts w:asciiTheme="minorHAnsi" w:hAnsiTheme="minorHAnsi"/>
              </w:rPr>
              <w:t>14.5</w:t>
            </w:r>
          </w:p>
        </w:tc>
        <w:tc>
          <w:tcPr>
            <w:tcW w:w="1530" w:type="dxa"/>
          </w:tcPr>
          <w:p w:rsidR="00024807" w:rsidRDefault="00024807" w:rsidP="00D960D5">
            <w:pPr>
              <w:jc w:val="center"/>
              <w:rPr>
                <w:rFonts w:asciiTheme="minorHAnsi" w:hAnsiTheme="minorHAnsi"/>
              </w:rPr>
            </w:pPr>
            <w:r>
              <w:rPr>
                <w:rFonts w:asciiTheme="minorHAnsi" w:hAnsiTheme="minorHAnsi"/>
              </w:rPr>
              <w:t>493</w:t>
            </w:r>
          </w:p>
        </w:tc>
        <w:tc>
          <w:tcPr>
            <w:tcW w:w="1350" w:type="dxa"/>
          </w:tcPr>
          <w:p w:rsidR="00024807" w:rsidRDefault="00024807" w:rsidP="00D960D5">
            <w:pPr>
              <w:jc w:val="center"/>
              <w:rPr>
                <w:rFonts w:asciiTheme="minorHAnsi" w:hAnsiTheme="minorHAnsi"/>
              </w:rPr>
            </w:pPr>
            <w:r>
              <w:rPr>
                <w:rFonts w:asciiTheme="minorHAnsi" w:hAnsiTheme="minorHAnsi"/>
              </w:rPr>
              <w:t>1</w:t>
            </w:r>
          </w:p>
        </w:tc>
        <w:tc>
          <w:tcPr>
            <w:tcW w:w="1530" w:type="dxa"/>
          </w:tcPr>
          <w:p w:rsidR="00024807" w:rsidRDefault="00024807" w:rsidP="00D960D5">
            <w:pPr>
              <w:jc w:val="center"/>
              <w:rPr>
                <w:rFonts w:asciiTheme="minorHAnsi" w:hAnsiTheme="minorHAnsi"/>
              </w:rPr>
            </w:pPr>
            <w:r>
              <w:rPr>
                <w:rFonts w:asciiTheme="minorHAnsi" w:hAnsiTheme="minorHAnsi"/>
              </w:rPr>
              <w:t>48</w:t>
            </w:r>
          </w:p>
        </w:tc>
        <w:tc>
          <w:tcPr>
            <w:tcW w:w="1368" w:type="dxa"/>
          </w:tcPr>
          <w:p w:rsidR="00024807" w:rsidRDefault="00024807" w:rsidP="00D960D5">
            <w:pPr>
              <w:jc w:val="center"/>
              <w:rPr>
                <w:rFonts w:asciiTheme="minorHAnsi" w:hAnsiTheme="minorHAnsi"/>
              </w:rPr>
            </w:pPr>
            <w:r>
              <w:rPr>
                <w:rFonts w:asciiTheme="minorHAnsi" w:hAnsiTheme="minorHAnsi"/>
              </w:rPr>
              <w:t>23,664</w:t>
            </w:r>
          </w:p>
        </w:tc>
      </w:tr>
      <w:tr w:rsidR="00024807" w:rsidTr="00D960D5">
        <w:tc>
          <w:tcPr>
            <w:tcW w:w="1008" w:type="dxa"/>
          </w:tcPr>
          <w:p w:rsidR="00024807" w:rsidRDefault="00024807" w:rsidP="00D960D5">
            <w:pPr>
              <w:jc w:val="center"/>
              <w:rPr>
                <w:rFonts w:asciiTheme="minorHAnsi" w:hAnsiTheme="minorHAnsi"/>
              </w:rPr>
            </w:pPr>
          </w:p>
        </w:tc>
        <w:tc>
          <w:tcPr>
            <w:tcW w:w="1530" w:type="dxa"/>
          </w:tcPr>
          <w:p w:rsidR="00024807" w:rsidRDefault="00024807" w:rsidP="00D960D5">
            <w:pPr>
              <w:jc w:val="center"/>
              <w:rPr>
                <w:rFonts w:asciiTheme="minorHAnsi" w:hAnsiTheme="minorHAnsi"/>
              </w:rPr>
            </w:pPr>
          </w:p>
        </w:tc>
        <w:tc>
          <w:tcPr>
            <w:tcW w:w="1260" w:type="dxa"/>
          </w:tcPr>
          <w:p w:rsidR="00024807" w:rsidRDefault="00024807" w:rsidP="00D960D5">
            <w:pPr>
              <w:jc w:val="center"/>
              <w:rPr>
                <w:rFonts w:asciiTheme="minorHAnsi" w:hAnsiTheme="minorHAnsi"/>
              </w:rPr>
            </w:pPr>
          </w:p>
        </w:tc>
        <w:tc>
          <w:tcPr>
            <w:tcW w:w="1530" w:type="dxa"/>
          </w:tcPr>
          <w:p w:rsidR="00024807" w:rsidRDefault="00024807" w:rsidP="00D960D5">
            <w:pPr>
              <w:jc w:val="center"/>
              <w:rPr>
                <w:rFonts w:asciiTheme="minorHAnsi" w:hAnsiTheme="minorHAnsi"/>
              </w:rPr>
            </w:pPr>
          </w:p>
        </w:tc>
        <w:tc>
          <w:tcPr>
            <w:tcW w:w="1350" w:type="dxa"/>
          </w:tcPr>
          <w:p w:rsidR="00024807" w:rsidRDefault="00024807" w:rsidP="00D960D5">
            <w:pPr>
              <w:jc w:val="center"/>
              <w:rPr>
                <w:rFonts w:asciiTheme="minorHAnsi" w:hAnsiTheme="minorHAnsi"/>
              </w:rPr>
            </w:pPr>
          </w:p>
        </w:tc>
        <w:tc>
          <w:tcPr>
            <w:tcW w:w="1530" w:type="dxa"/>
          </w:tcPr>
          <w:p w:rsidR="00024807" w:rsidRDefault="00024807" w:rsidP="00D960D5">
            <w:pPr>
              <w:jc w:val="center"/>
              <w:rPr>
                <w:rFonts w:asciiTheme="minorHAnsi" w:hAnsiTheme="minorHAnsi"/>
              </w:rPr>
            </w:pPr>
          </w:p>
        </w:tc>
        <w:tc>
          <w:tcPr>
            <w:tcW w:w="1368" w:type="dxa"/>
          </w:tcPr>
          <w:p w:rsidR="00024807" w:rsidRDefault="0008179A" w:rsidP="00AD5911">
            <w:pPr>
              <w:jc w:val="center"/>
              <w:rPr>
                <w:rFonts w:asciiTheme="minorHAnsi" w:hAnsiTheme="minorHAnsi"/>
              </w:rPr>
            </w:pPr>
            <w:r>
              <w:rPr>
                <w:rFonts w:asciiTheme="minorHAnsi" w:hAnsiTheme="minorHAnsi"/>
              </w:rPr>
              <w:t>3</w:t>
            </w:r>
            <w:r w:rsidR="00AD5911">
              <w:rPr>
                <w:rFonts w:asciiTheme="minorHAnsi" w:hAnsiTheme="minorHAnsi"/>
              </w:rPr>
              <w:t>1</w:t>
            </w:r>
            <w:r w:rsidR="00024807">
              <w:rPr>
                <w:rFonts w:asciiTheme="minorHAnsi" w:hAnsiTheme="minorHAnsi"/>
              </w:rPr>
              <w:t>,</w:t>
            </w:r>
            <w:r>
              <w:rPr>
                <w:rFonts w:asciiTheme="minorHAnsi" w:hAnsiTheme="minorHAnsi"/>
              </w:rPr>
              <w:t>964</w:t>
            </w:r>
          </w:p>
        </w:tc>
      </w:tr>
    </w:tbl>
    <w:p w:rsidR="00024807" w:rsidRDefault="00024807" w:rsidP="00024807">
      <w:pPr>
        <w:rPr>
          <w:rFonts w:asciiTheme="minorHAnsi" w:hAnsiTheme="minorHAnsi"/>
        </w:rPr>
      </w:pPr>
    </w:p>
    <w:p w:rsidR="00024807" w:rsidRDefault="00024807" w:rsidP="00024807">
      <w:r w:rsidRPr="00F2226B">
        <w:rPr>
          <w:rFonts w:asciiTheme="minorHAnsi" w:hAnsiTheme="minorHAnsi"/>
          <w:iCs/>
        </w:rPr>
        <w:t xml:space="preserve">Estimated Number of Responses: </w:t>
      </w:r>
      <w:r>
        <w:rPr>
          <w:rFonts w:asciiTheme="minorHAnsi" w:hAnsiTheme="minorHAnsi"/>
          <w:iCs/>
        </w:rPr>
        <w:t>7</w:t>
      </w:r>
      <w:r w:rsidR="00604D6E">
        <w:rPr>
          <w:rFonts w:asciiTheme="minorHAnsi" w:hAnsiTheme="minorHAnsi"/>
          <w:iCs/>
        </w:rPr>
        <w:t>68</w:t>
      </w:r>
      <w:r w:rsidRPr="00F2226B">
        <w:rPr>
          <w:rFonts w:asciiTheme="minorHAnsi" w:hAnsiTheme="minorHAnsi"/>
        </w:rPr>
        <w:t xml:space="preserve"> annually.  </w:t>
      </w:r>
      <w:r w:rsidRPr="00F2226B">
        <w:rPr>
          <w:rFonts w:asciiTheme="minorHAnsi" w:hAnsiTheme="minorHAnsi"/>
          <w:iCs/>
        </w:rPr>
        <w:t xml:space="preserve">Total Estimated Burden Hours: </w:t>
      </w:r>
      <w:r w:rsidR="004D389A">
        <w:rPr>
          <w:rFonts w:asciiTheme="minorHAnsi" w:hAnsiTheme="minorHAnsi"/>
          <w:iCs/>
        </w:rPr>
        <w:t>3</w:t>
      </w:r>
      <w:r w:rsidR="00604D6E">
        <w:rPr>
          <w:rFonts w:asciiTheme="minorHAnsi" w:hAnsiTheme="minorHAnsi"/>
          <w:iCs/>
        </w:rPr>
        <w:t>0</w:t>
      </w:r>
      <w:r>
        <w:rPr>
          <w:rFonts w:asciiTheme="minorHAnsi" w:hAnsiTheme="minorHAnsi"/>
          <w:iCs/>
        </w:rPr>
        <w:t>,</w:t>
      </w:r>
      <w:r w:rsidR="004D389A">
        <w:rPr>
          <w:rFonts w:asciiTheme="minorHAnsi" w:hAnsiTheme="minorHAnsi"/>
          <w:iCs/>
        </w:rPr>
        <w:t>9</w:t>
      </w:r>
      <w:r w:rsidR="00604D6E">
        <w:rPr>
          <w:rFonts w:asciiTheme="minorHAnsi" w:hAnsiTheme="minorHAnsi"/>
          <w:iCs/>
        </w:rPr>
        <w:t>64</w:t>
      </w:r>
      <w:r w:rsidRPr="00F2226B">
        <w:rPr>
          <w:rFonts w:asciiTheme="minorHAnsi" w:hAnsiTheme="minorHAnsi"/>
        </w:rPr>
        <w:t>.</w:t>
      </w:r>
    </w:p>
    <w:p w:rsidR="00024807" w:rsidRDefault="00024807"/>
    <w:p w:rsidR="001B7417" w:rsidRPr="001B7417" w:rsidRDefault="00694825" w:rsidP="001B7417">
      <w:pPr>
        <w:rPr>
          <w:szCs w:val="24"/>
        </w:rPr>
      </w:pPr>
      <w:r>
        <w:t>A broad spectrum of personnel work on ACL projects, and t</w:t>
      </w:r>
      <w:r w:rsidR="001B7417" w:rsidRPr="001B7417">
        <w:rPr>
          <w:szCs w:val="24"/>
        </w:rPr>
        <w:t xml:space="preserve">he estimates of annual burden </w:t>
      </w:r>
      <w:r w:rsidR="00AD5911">
        <w:rPr>
          <w:szCs w:val="24"/>
        </w:rPr>
        <w:t xml:space="preserve">hours </w:t>
      </w:r>
      <w:r w:rsidR="001B7417" w:rsidRPr="001B7417">
        <w:rPr>
          <w:szCs w:val="24"/>
        </w:rPr>
        <w:t xml:space="preserve">vary greatly in accordance with the size, complexity, and technological capacity of the </w:t>
      </w:r>
      <w:r w:rsidR="001B7417">
        <w:rPr>
          <w:szCs w:val="24"/>
        </w:rPr>
        <w:t>projects</w:t>
      </w:r>
      <w:r w:rsidR="001B7417" w:rsidRPr="001B7417">
        <w:rPr>
          <w:szCs w:val="24"/>
        </w:rPr>
        <w:t xml:space="preserve">.  </w:t>
      </w:r>
      <w:r>
        <w:rPr>
          <w:szCs w:val="24"/>
        </w:rPr>
        <w:t xml:space="preserve">We estimate that 17 NIDILRR </w:t>
      </w:r>
      <w:r w:rsidR="00AD5911">
        <w:rPr>
          <w:szCs w:val="24"/>
        </w:rPr>
        <w:t xml:space="preserve">and 34 other ACL </w:t>
      </w:r>
      <w:r>
        <w:rPr>
          <w:szCs w:val="24"/>
        </w:rPr>
        <w:t>competitions will be held in fiscal year 2017</w:t>
      </w:r>
      <w:r w:rsidRPr="001B7417">
        <w:rPr>
          <w:szCs w:val="24"/>
        </w:rPr>
        <w:t>.</w:t>
      </w:r>
      <w:r>
        <w:rPr>
          <w:szCs w:val="24"/>
        </w:rPr>
        <w:t xml:space="preserve">  </w:t>
      </w:r>
      <w:r w:rsidR="001B7417" w:rsidRPr="001B7417">
        <w:rPr>
          <w:szCs w:val="24"/>
        </w:rPr>
        <w:t xml:space="preserve">The current estimate of annual burden is </w:t>
      </w:r>
      <w:r w:rsidR="00A95153">
        <w:rPr>
          <w:szCs w:val="24"/>
        </w:rPr>
        <w:t xml:space="preserve">between 22-52 hours for NIDILRR projects and </w:t>
      </w:r>
      <w:r>
        <w:rPr>
          <w:szCs w:val="24"/>
        </w:rPr>
        <w:t>approximately</w:t>
      </w:r>
      <w:r w:rsidR="001B7417" w:rsidRPr="001B7417">
        <w:rPr>
          <w:szCs w:val="24"/>
        </w:rPr>
        <w:t xml:space="preserve"> </w:t>
      </w:r>
      <w:r w:rsidR="001B7417">
        <w:rPr>
          <w:szCs w:val="24"/>
        </w:rPr>
        <w:t xml:space="preserve">48 hours </w:t>
      </w:r>
      <w:r>
        <w:rPr>
          <w:szCs w:val="24"/>
        </w:rPr>
        <w:t xml:space="preserve">per respondent </w:t>
      </w:r>
      <w:r w:rsidR="001B7417">
        <w:rPr>
          <w:szCs w:val="24"/>
        </w:rPr>
        <w:t xml:space="preserve">for ACL service projects.  </w:t>
      </w:r>
      <w:r w:rsidR="00AB6AA4">
        <w:rPr>
          <w:szCs w:val="24"/>
        </w:rPr>
        <w:t xml:space="preserve">The total estimated </w:t>
      </w:r>
      <w:r w:rsidR="00A95153">
        <w:rPr>
          <w:szCs w:val="24"/>
        </w:rPr>
        <w:t xml:space="preserve">number of responses is </w:t>
      </w:r>
      <w:r w:rsidR="005F6086">
        <w:rPr>
          <w:szCs w:val="24"/>
        </w:rPr>
        <w:t xml:space="preserve">765, and the total </w:t>
      </w:r>
      <w:r w:rsidR="00AB6AA4">
        <w:rPr>
          <w:szCs w:val="24"/>
        </w:rPr>
        <w:t xml:space="preserve">data burden associated with this </w:t>
      </w:r>
      <w:r w:rsidR="005F6086">
        <w:rPr>
          <w:szCs w:val="24"/>
        </w:rPr>
        <w:t>information</w:t>
      </w:r>
      <w:r w:rsidR="00AB6AA4">
        <w:rPr>
          <w:szCs w:val="24"/>
        </w:rPr>
        <w:t xml:space="preserve"> collection is 3</w:t>
      </w:r>
      <w:r w:rsidR="00AD5911">
        <w:rPr>
          <w:szCs w:val="24"/>
        </w:rPr>
        <w:t>1</w:t>
      </w:r>
      <w:r w:rsidR="00AB6AA4">
        <w:rPr>
          <w:szCs w:val="24"/>
        </w:rPr>
        <w:t>,964.</w:t>
      </w:r>
      <w:r w:rsidR="001B7417" w:rsidRPr="001B7417">
        <w:rPr>
          <w:szCs w:val="24"/>
        </w:rPr>
        <w:t xml:space="preserve">  </w:t>
      </w:r>
    </w:p>
    <w:p w:rsidR="001B7417" w:rsidRPr="001B7417" w:rsidRDefault="001B7417" w:rsidP="001B7417">
      <w:pPr>
        <w:ind w:left="720"/>
        <w:rPr>
          <w:szCs w:val="24"/>
        </w:rPr>
      </w:pPr>
    </w:p>
    <w:p w:rsidR="00D46F4F" w:rsidRPr="00D46F4F" w:rsidRDefault="00694825" w:rsidP="00D46F4F">
      <w:pPr>
        <w:rPr>
          <w:snapToGrid w:val="0"/>
          <w:szCs w:val="24"/>
        </w:rPr>
      </w:pPr>
      <w:r>
        <w:rPr>
          <w:szCs w:val="24"/>
        </w:rPr>
        <w:t>Our experience with these grants over time and c</w:t>
      </w:r>
      <w:r w:rsidRPr="001B7417">
        <w:rPr>
          <w:szCs w:val="24"/>
        </w:rPr>
        <w:t xml:space="preserve">onsultations with selected States indicate that the </w:t>
      </w:r>
      <w:r>
        <w:rPr>
          <w:szCs w:val="24"/>
        </w:rPr>
        <w:t>cost per hour for these projects also show a good deal of variance</w:t>
      </w:r>
      <w:r w:rsidRPr="001B7417">
        <w:rPr>
          <w:szCs w:val="24"/>
        </w:rPr>
        <w:t xml:space="preserve">.  </w:t>
      </w:r>
      <w:r w:rsidR="00D46F4F">
        <w:t>For the purpose of these estimates, we used the Bureau of Labor Statistics m</w:t>
      </w:r>
      <w:r w:rsidR="00604D6E">
        <w:t>ean hourly wage for life scientists and related fields of $39.98</w:t>
      </w:r>
      <w:r w:rsidR="00D46F4F">
        <w:t xml:space="preserve"> </w:t>
      </w:r>
      <w:r w:rsidR="001419F6">
        <w:t>as a proxy</w:t>
      </w:r>
      <w:r w:rsidR="00597B9C">
        <w:t xml:space="preserve"> for NIDILRR projects</w:t>
      </w:r>
      <w:r w:rsidR="001419F6">
        <w:t xml:space="preserve"> </w:t>
      </w:r>
      <w:r w:rsidR="00D46F4F">
        <w:t>(</w:t>
      </w:r>
      <w:hyperlink r:id="rId8" w:history="1">
        <w:r w:rsidR="00D46F4F" w:rsidRPr="00C86C32">
          <w:rPr>
            <w:rStyle w:val="Hyperlink"/>
          </w:rPr>
          <w:t>https://www.bls.gov/oes/current/oes191099.htm</w:t>
        </w:r>
      </w:hyperlink>
      <w:r w:rsidR="00D46F4F">
        <w:t>).  This rate was increased by 100% to accommodate fringe benefits and overhead</w:t>
      </w:r>
      <w:r w:rsidR="0008179A">
        <w:t xml:space="preserve"> </w:t>
      </w:r>
      <w:r w:rsidR="001419F6">
        <w:t xml:space="preserve">for a total of </w:t>
      </w:r>
      <w:r w:rsidR="0008179A">
        <w:t>$79.96</w:t>
      </w:r>
      <w:r w:rsidR="001419F6">
        <w:t xml:space="preserve"> per hour</w:t>
      </w:r>
      <w:r w:rsidR="00D46F4F">
        <w:t xml:space="preserve">.  </w:t>
      </w:r>
      <w:r w:rsidR="00D46F4F" w:rsidRPr="00D46F4F">
        <w:rPr>
          <w:snapToGrid w:val="0"/>
          <w:szCs w:val="24"/>
        </w:rPr>
        <w:t>Th</w:t>
      </w:r>
      <w:r w:rsidR="001419F6">
        <w:rPr>
          <w:snapToGrid w:val="0"/>
          <w:szCs w:val="24"/>
        </w:rPr>
        <w:t>at</w:t>
      </w:r>
      <w:r w:rsidR="00D46F4F" w:rsidRPr="00D46F4F">
        <w:rPr>
          <w:snapToGrid w:val="0"/>
          <w:szCs w:val="24"/>
        </w:rPr>
        <w:t xml:space="preserve"> figure </w:t>
      </w:r>
      <w:r w:rsidR="00AD5911">
        <w:rPr>
          <w:snapToGrid w:val="0"/>
          <w:szCs w:val="24"/>
        </w:rPr>
        <w:t>wa</w:t>
      </w:r>
      <w:r w:rsidR="00D46F4F" w:rsidRPr="00D46F4F">
        <w:rPr>
          <w:snapToGrid w:val="0"/>
          <w:szCs w:val="24"/>
        </w:rPr>
        <w:t xml:space="preserve">s then multiplied by the </w:t>
      </w:r>
      <w:r w:rsidR="00597B9C">
        <w:rPr>
          <w:snapToGrid w:val="0"/>
          <w:szCs w:val="24"/>
        </w:rPr>
        <w:t xml:space="preserve">8,300 </w:t>
      </w:r>
      <w:r w:rsidR="00D46F4F">
        <w:rPr>
          <w:snapToGrid w:val="0"/>
          <w:szCs w:val="24"/>
        </w:rPr>
        <w:t xml:space="preserve">estimated data burden </w:t>
      </w:r>
      <w:r w:rsidR="00597B9C">
        <w:rPr>
          <w:snapToGrid w:val="0"/>
          <w:szCs w:val="24"/>
        </w:rPr>
        <w:t xml:space="preserve">hours for a total annual cost of $663,668.  </w:t>
      </w:r>
      <w:r w:rsidR="00597B9C">
        <w:rPr>
          <w:szCs w:val="24"/>
        </w:rPr>
        <w:t>T</w:t>
      </w:r>
      <w:r w:rsidR="00597B9C" w:rsidRPr="00AE1DC9">
        <w:rPr>
          <w:szCs w:val="24"/>
        </w:rPr>
        <w:t>h</w:t>
      </w:r>
      <w:r w:rsidR="00597B9C">
        <w:rPr>
          <w:szCs w:val="24"/>
        </w:rPr>
        <w:t>e</w:t>
      </w:r>
      <w:r w:rsidR="00597B9C" w:rsidRPr="00AE1DC9">
        <w:rPr>
          <w:szCs w:val="24"/>
        </w:rPr>
        <w:t xml:space="preserve"> estimated </w:t>
      </w:r>
      <w:r w:rsidR="00597B9C">
        <w:rPr>
          <w:szCs w:val="24"/>
        </w:rPr>
        <w:t xml:space="preserve">average cost per hour for </w:t>
      </w:r>
      <w:r w:rsidR="00AD5911">
        <w:rPr>
          <w:szCs w:val="24"/>
        </w:rPr>
        <w:t>o</w:t>
      </w:r>
      <w:r w:rsidR="00597B9C">
        <w:rPr>
          <w:szCs w:val="24"/>
        </w:rPr>
        <w:t xml:space="preserve">ther ACL grants </w:t>
      </w:r>
      <w:r w:rsidR="00597B9C" w:rsidRPr="00AE1DC9">
        <w:rPr>
          <w:szCs w:val="24"/>
        </w:rPr>
        <w:t xml:space="preserve">includes </w:t>
      </w:r>
      <w:r w:rsidR="00597B9C">
        <w:rPr>
          <w:szCs w:val="24"/>
        </w:rPr>
        <w:t xml:space="preserve">a base average salary of $20.21 plus 100% of salary for </w:t>
      </w:r>
      <w:r w:rsidR="00597B9C" w:rsidRPr="00AE1DC9">
        <w:rPr>
          <w:szCs w:val="24"/>
        </w:rPr>
        <w:t>fringe benefits</w:t>
      </w:r>
      <w:r w:rsidR="00597B9C">
        <w:rPr>
          <w:szCs w:val="24"/>
        </w:rPr>
        <w:t xml:space="preserve"> and overhead. The hourly rate was derived from the Bureau of Labor Statistics salary category for Community and Social Service occupations (</w:t>
      </w:r>
      <w:hyperlink r:id="rId9" w:history="1">
        <w:r w:rsidR="00597B9C" w:rsidRPr="00C86C32">
          <w:rPr>
            <w:rStyle w:val="Hyperlink"/>
            <w:szCs w:val="24"/>
          </w:rPr>
          <w:t>https://www.bls.gov/oes/current/oes_nat.htm</w:t>
        </w:r>
      </w:hyperlink>
      <w:r w:rsidR="00597B9C" w:rsidRPr="00851B25">
        <w:rPr>
          <w:szCs w:val="24"/>
        </w:rPr>
        <w:t>).</w:t>
      </w:r>
      <w:r w:rsidR="00597B9C">
        <w:rPr>
          <w:szCs w:val="24"/>
        </w:rPr>
        <w:t xml:space="preserve"> T</w:t>
      </w:r>
      <w:r w:rsidR="001419F6">
        <w:rPr>
          <w:snapToGrid w:val="0"/>
          <w:szCs w:val="24"/>
        </w:rPr>
        <w:t>he</w:t>
      </w:r>
      <w:r w:rsidR="001419F6" w:rsidRPr="00AE1DC9">
        <w:rPr>
          <w:szCs w:val="24"/>
        </w:rPr>
        <w:t xml:space="preserve"> </w:t>
      </w:r>
      <w:r w:rsidR="001419F6">
        <w:rPr>
          <w:szCs w:val="24"/>
        </w:rPr>
        <w:t xml:space="preserve">total </w:t>
      </w:r>
      <w:r w:rsidR="001419F6" w:rsidRPr="00AE1DC9">
        <w:rPr>
          <w:szCs w:val="24"/>
        </w:rPr>
        <w:t xml:space="preserve">annualized cost of the burden </w:t>
      </w:r>
      <w:r w:rsidR="005F6086">
        <w:rPr>
          <w:szCs w:val="24"/>
        </w:rPr>
        <w:t xml:space="preserve">hours </w:t>
      </w:r>
      <w:r w:rsidR="001419F6" w:rsidRPr="00AE1DC9">
        <w:rPr>
          <w:szCs w:val="24"/>
        </w:rPr>
        <w:t>expressed in dollars</w:t>
      </w:r>
      <w:r>
        <w:rPr>
          <w:szCs w:val="24"/>
        </w:rPr>
        <w:t xml:space="preserve"> is</w:t>
      </w:r>
      <w:r w:rsidR="00D46F4F" w:rsidRPr="00D46F4F">
        <w:rPr>
          <w:snapToGrid w:val="0"/>
          <w:szCs w:val="24"/>
        </w:rPr>
        <w:t xml:space="preserve"> $</w:t>
      </w:r>
      <w:r>
        <w:rPr>
          <w:snapToGrid w:val="0"/>
          <w:szCs w:val="24"/>
        </w:rPr>
        <w:t>1</w:t>
      </w:r>
      <w:r w:rsidR="001419F6">
        <w:rPr>
          <w:snapToGrid w:val="0"/>
          <w:szCs w:val="24"/>
        </w:rPr>
        <w:t>,</w:t>
      </w:r>
      <w:r>
        <w:rPr>
          <w:snapToGrid w:val="0"/>
          <w:szCs w:val="24"/>
        </w:rPr>
        <w:t>643</w:t>
      </w:r>
      <w:r w:rsidR="001419F6">
        <w:rPr>
          <w:snapToGrid w:val="0"/>
          <w:szCs w:val="24"/>
        </w:rPr>
        <w:t>,8</w:t>
      </w:r>
      <w:r>
        <w:rPr>
          <w:snapToGrid w:val="0"/>
          <w:szCs w:val="24"/>
        </w:rPr>
        <w:t>31</w:t>
      </w:r>
      <w:r w:rsidR="00D46F4F" w:rsidRPr="00D46F4F">
        <w:rPr>
          <w:snapToGrid w:val="0"/>
          <w:szCs w:val="24"/>
        </w:rPr>
        <w:t xml:space="preserve">.  </w:t>
      </w:r>
    </w:p>
    <w:p w:rsidR="00D46F4F" w:rsidRDefault="00D46F4F"/>
    <w:tbl>
      <w:tblPr>
        <w:tblStyle w:val="TableGrid"/>
        <w:tblW w:w="0" w:type="auto"/>
        <w:tblLook w:val="04A0" w:firstRow="1" w:lastRow="0" w:firstColumn="1" w:lastColumn="0" w:noHBand="0" w:noVBand="1"/>
      </w:tblPr>
      <w:tblGrid>
        <w:gridCol w:w="1596"/>
        <w:gridCol w:w="1596"/>
        <w:gridCol w:w="1596"/>
        <w:gridCol w:w="1596"/>
        <w:gridCol w:w="1596"/>
        <w:gridCol w:w="1596"/>
      </w:tblGrid>
      <w:tr w:rsidR="00614323" w:rsidTr="00614323">
        <w:tc>
          <w:tcPr>
            <w:tcW w:w="1596" w:type="dxa"/>
          </w:tcPr>
          <w:p w:rsidR="00614323" w:rsidRDefault="00614323"/>
        </w:tc>
        <w:tc>
          <w:tcPr>
            <w:tcW w:w="1596" w:type="dxa"/>
          </w:tcPr>
          <w:p w:rsidR="00614323" w:rsidRDefault="00614323">
            <w:r>
              <w:t>Number of respondents</w:t>
            </w:r>
          </w:p>
        </w:tc>
        <w:tc>
          <w:tcPr>
            <w:tcW w:w="1596" w:type="dxa"/>
          </w:tcPr>
          <w:p w:rsidR="00614323" w:rsidRDefault="00614323">
            <w:r>
              <w:rPr>
                <w:rFonts w:asciiTheme="minorHAnsi" w:hAnsiTheme="minorHAnsi"/>
              </w:rPr>
              <w:t>Average Hour Burden Per Respondent</w:t>
            </w:r>
          </w:p>
        </w:tc>
        <w:tc>
          <w:tcPr>
            <w:tcW w:w="1596" w:type="dxa"/>
          </w:tcPr>
          <w:p w:rsidR="00614323" w:rsidRDefault="00614323">
            <w:r>
              <w:rPr>
                <w:rFonts w:asciiTheme="minorHAnsi" w:hAnsiTheme="minorHAnsi"/>
              </w:rPr>
              <w:t>Total Estimated Data Burden</w:t>
            </w:r>
          </w:p>
        </w:tc>
        <w:tc>
          <w:tcPr>
            <w:tcW w:w="1596" w:type="dxa"/>
          </w:tcPr>
          <w:p w:rsidR="00614323" w:rsidRDefault="00614323">
            <w:r>
              <w:t>Estimated Cost Per Hour</w:t>
            </w:r>
          </w:p>
        </w:tc>
        <w:tc>
          <w:tcPr>
            <w:tcW w:w="1596" w:type="dxa"/>
          </w:tcPr>
          <w:p w:rsidR="00614323" w:rsidRDefault="00614323" w:rsidP="00614323">
            <w:r>
              <w:t xml:space="preserve">Total Annual Cost </w:t>
            </w:r>
          </w:p>
        </w:tc>
      </w:tr>
      <w:tr w:rsidR="00614323" w:rsidTr="00614323">
        <w:tc>
          <w:tcPr>
            <w:tcW w:w="1596" w:type="dxa"/>
          </w:tcPr>
          <w:p w:rsidR="00614323" w:rsidRDefault="00614323">
            <w:r>
              <w:t>NIDILRR</w:t>
            </w:r>
          </w:p>
        </w:tc>
        <w:tc>
          <w:tcPr>
            <w:tcW w:w="1596" w:type="dxa"/>
          </w:tcPr>
          <w:p w:rsidR="00614323" w:rsidRDefault="00614323" w:rsidP="00AD5911">
            <w:r>
              <w:t>27</w:t>
            </w:r>
            <w:r w:rsidR="00AD5911">
              <w:t>2</w:t>
            </w:r>
          </w:p>
        </w:tc>
        <w:tc>
          <w:tcPr>
            <w:tcW w:w="1596" w:type="dxa"/>
          </w:tcPr>
          <w:p w:rsidR="00614323" w:rsidRDefault="00614323">
            <w:r>
              <w:t>22-52</w:t>
            </w:r>
          </w:p>
        </w:tc>
        <w:tc>
          <w:tcPr>
            <w:tcW w:w="1596" w:type="dxa"/>
          </w:tcPr>
          <w:p w:rsidR="00614323" w:rsidRDefault="00614323">
            <w:r>
              <w:t>8,300</w:t>
            </w:r>
          </w:p>
        </w:tc>
        <w:tc>
          <w:tcPr>
            <w:tcW w:w="1596" w:type="dxa"/>
          </w:tcPr>
          <w:p w:rsidR="00614323" w:rsidRDefault="00614323">
            <w:r>
              <w:t>$79.96</w:t>
            </w:r>
          </w:p>
        </w:tc>
        <w:tc>
          <w:tcPr>
            <w:tcW w:w="1596" w:type="dxa"/>
          </w:tcPr>
          <w:p w:rsidR="00614323" w:rsidRDefault="00A25FD5">
            <w:r>
              <w:t>$663,668</w:t>
            </w:r>
          </w:p>
        </w:tc>
      </w:tr>
      <w:tr w:rsidR="00614323" w:rsidTr="00614323">
        <w:tc>
          <w:tcPr>
            <w:tcW w:w="1596" w:type="dxa"/>
          </w:tcPr>
          <w:p w:rsidR="00614323" w:rsidRDefault="00614323">
            <w:r>
              <w:t>Other ACL</w:t>
            </w:r>
          </w:p>
        </w:tc>
        <w:tc>
          <w:tcPr>
            <w:tcW w:w="1596" w:type="dxa"/>
          </w:tcPr>
          <w:p w:rsidR="00614323" w:rsidRDefault="00A25FD5">
            <w:r>
              <w:t>493</w:t>
            </w:r>
          </w:p>
        </w:tc>
        <w:tc>
          <w:tcPr>
            <w:tcW w:w="1596" w:type="dxa"/>
          </w:tcPr>
          <w:p w:rsidR="00614323" w:rsidRDefault="00A25FD5">
            <w:r>
              <w:t>48</w:t>
            </w:r>
          </w:p>
        </w:tc>
        <w:tc>
          <w:tcPr>
            <w:tcW w:w="1596" w:type="dxa"/>
          </w:tcPr>
          <w:p w:rsidR="00614323" w:rsidRDefault="00A25FD5">
            <w:r>
              <w:t>23,664</w:t>
            </w:r>
          </w:p>
        </w:tc>
        <w:tc>
          <w:tcPr>
            <w:tcW w:w="1596" w:type="dxa"/>
          </w:tcPr>
          <w:p w:rsidR="00614323" w:rsidRDefault="00A25FD5" w:rsidP="00597B9C">
            <w:r>
              <w:t>$</w:t>
            </w:r>
            <w:r w:rsidR="00597B9C">
              <w:t>41.42</w:t>
            </w:r>
          </w:p>
        </w:tc>
        <w:tc>
          <w:tcPr>
            <w:tcW w:w="1596" w:type="dxa"/>
          </w:tcPr>
          <w:p w:rsidR="00614323" w:rsidRDefault="00597B9C">
            <w:r>
              <w:t>$980,163</w:t>
            </w:r>
          </w:p>
        </w:tc>
      </w:tr>
      <w:tr w:rsidR="00614323" w:rsidTr="00614323">
        <w:tc>
          <w:tcPr>
            <w:tcW w:w="1596" w:type="dxa"/>
          </w:tcPr>
          <w:p w:rsidR="00614323" w:rsidRDefault="00614323"/>
        </w:tc>
        <w:tc>
          <w:tcPr>
            <w:tcW w:w="1596" w:type="dxa"/>
          </w:tcPr>
          <w:p w:rsidR="00614323" w:rsidRDefault="00614323"/>
        </w:tc>
        <w:tc>
          <w:tcPr>
            <w:tcW w:w="1596" w:type="dxa"/>
          </w:tcPr>
          <w:p w:rsidR="00614323" w:rsidRDefault="00614323"/>
        </w:tc>
        <w:tc>
          <w:tcPr>
            <w:tcW w:w="1596" w:type="dxa"/>
          </w:tcPr>
          <w:p w:rsidR="00614323" w:rsidRDefault="00614323"/>
        </w:tc>
        <w:tc>
          <w:tcPr>
            <w:tcW w:w="1596" w:type="dxa"/>
          </w:tcPr>
          <w:p w:rsidR="00614323" w:rsidRDefault="00614323"/>
        </w:tc>
        <w:tc>
          <w:tcPr>
            <w:tcW w:w="1596" w:type="dxa"/>
          </w:tcPr>
          <w:p w:rsidR="00614323" w:rsidRDefault="00597B9C">
            <w:r>
              <w:t>1,643,831</w:t>
            </w:r>
          </w:p>
        </w:tc>
      </w:tr>
    </w:tbl>
    <w:p w:rsidR="00614323" w:rsidRDefault="00614323"/>
    <w:p w:rsidR="00597B9C" w:rsidRDefault="00597B9C"/>
    <w:p w:rsidR="005F6086" w:rsidRDefault="005F6086"/>
    <w:p w:rsidR="005F6086" w:rsidRDefault="005F6086"/>
    <w:p w:rsidR="00420F2A" w:rsidRDefault="00A72406">
      <w:pPr>
        <w:pStyle w:val="Heading1"/>
        <w:numPr>
          <w:ilvl w:val="0"/>
          <w:numId w:val="2"/>
        </w:numPr>
        <w:rPr>
          <w:b/>
          <w:bCs/>
        </w:rPr>
      </w:pPr>
      <w:r>
        <w:rPr>
          <w:b/>
          <w:bCs/>
        </w:rPr>
        <w:lastRenderedPageBreak/>
        <w:t xml:space="preserve">Estimates of </w:t>
      </w:r>
      <w:r w:rsidR="00420F2A">
        <w:rPr>
          <w:b/>
          <w:bCs/>
        </w:rPr>
        <w:t xml:space="preserve">Other </w:t>
      </w:r>
      <w:r>
        <w:rPr>
          <w:b/>
          <w:bCs/>
        </w:rPr>
        <w:t xml:space="preserve">Total Annual Cost Burden to </w:t>
      </w:r>
      <w:r w:rsidR="00420F2A">
        <w:rPr>
          <w:b/>
          <w:bCs/>
        </w:rPr>
        <w:t>Respondent</w:t>
      </w:r>
      <w:r>
        <w:rPr>
          <w:b/>
          <w:bCs/>
        </w:rPr>
        <w:t>s and Record Keepers</w:t>
      </w:r>
    </w:p>
    <w:p w:rsidR="00420F2A" w:rsidRDefault="00420F2A"/>
    <w:p w:rsidR="00420F2A" w:rsidRDefault="00A72406">
      <w:r w:rsidRPr="00A72406">
        <w:rPr>
          <w:szCs w:val="24"/>
        </w:rPr>
        <w:t xml:space="preserve">There are no out of pocket expenditures resulting from this collection of information. </w:t>
      </w:r>
      <w:r>
        <w:rPr>
          <w:szCs w:val="24"/>
        </w:rPr>
        <w:t xml:space="preserve">We </w:t>
      </w:r>
      <w:r w:rsidR="00B32165">
        <w:t>estimate that any</w:t>
      </w:r>
      <w:r w:rsidR="00420F2A">
        <w:t xml:space="preserve"> c</w:t>
      </w:r>
      <w:r w:rsidR="00B32165">
        <w:t xml:space="preserve">osts </w:t>
      </w:r>
      <w:r>
        <w:t xml:space="preserve">that may be </w:t>
      </w:r>
      <w:r w:rsidR="00B32165">
        <w:t xml:space="preserve">incurred by the respondent </w:t>
      </w:r>
      <w:r>
        <w:t>would be</w:t>
      </w:r>
      <w:r w:rsidR="00420F2A">
        <w:t xml:space="preserve"> negligible.</w:t>
      </w:r>
    </w:p>
    <w:p w:rsidR="00420F2A" w:rsidRDefault="00420F2A"/>
    <w:p w:rsidR="005F6086" w:rsidRDefault="005F6086"/>
    <w:p w:rsidR="00420F2A" w:rsidRDefault="00420F2A">
      <w:pPr>
        <w:numPr>
          <w:ilvl w:val="0"/>
          <w:numId w:val="2"/>
        </w:numPr>
        <w:rPr>
          <w:b/>
          <w:bCs/>
        </w:rPr>
      </w:pPr>
      <w:r>
        <w:rPr>
          <w:b/>
          <w:bCs/>
        </w:rPr>
        <w:t xml:space="preserve">Annualized </w:t>
      </w:r>
      <w:r w:rsidR="006B4388">
        <w:rPr>
          <w:b/>
          <w:bCs/>
        </w:rPr>
        <w:t xml:space="preserve">Cost to the </w:t>
      </w:r>
      <w:r>
        <w:rPr>
          <w:b/>
          <w:bCs/>
        </w:rPr>
        <w:t>Federal Government</w:t>
      </w:r>
    </w:p>
    <w:p w:rsidR="00420F2A" w:rsidRDefault="00420F2A"/>
    <w:p w:rsidR="00CA2026" w:rsidRDefault="00CA2026" w:rsidP="00745C31">
      <w:pPr>
        <w:numPr>
          <w:ilvl w:val="1"/>
          <w:numId w:val="2"/>
        </w:numPr>
      </w:pPr>
      <w:r>
        <w:t>Pro</w:t>
      </w:r>
      <w:r w:rsidR="0007076A">
        <w:t>ject</w:t>
      </w:r>
      <w:r>
        <w:t xml:space="preserve"> Officer prepar</w:t>
      </w:r>
      <w:r w:rsidR="00745C31">
        <w:t>es</w:t>
      </w:r>
      <w:r>
        <w:t xml:space="preserve"> </w:t>
      </w:r>
      <w:r w:rsidR="00397C0F">
        <w:t>Funding Opportunity Announcement</w:t>
      </w:r>
      <w:r w:rsidR="00745C31">
        <w:t>s</w:t>
      </w:r>
      <w:r w:rsidR="0007076A">
        <w:t xml:space="preserve"> </w:t>
      </w:r>
      <w:r w:rsidR="00420F2A">
        <w:t>--</w:t>
      </w:r>
      <w:r w:rsidR="00745C31">
        <w:t xml:space="preserve"> 60</w:t>
      </w:r>
      <w:r>
        <w:t xml:space="preserve"> hours</w:t>
      </w:r>
      <w:r w:rsidR="00420F2A">
        <w:t xml:space="preserve"> </w:t>
      </w:r>
    </w:p>
    <w:p w:rsidR="00745C31" w:rsidRDefault="00745C31" w:rsidP="00745C31">
      <w:pPr>
        <w:ind w:left="1440"/>
      </w:pPr>
    </w:p>
    <w:p w:rsidR="00420F2A" w:rsidRDefault="00CA2026">
      <w:pPr>
        <w:numPr>
          <w:ilvl w:val="1"/>
          <w:numId w:val="2"/>
        </w:numPr>
      </w:pPr>
      <w:r>
        <w:t>Posting of Application</w:t>
      </w:r>
      <w:r w:rsidR="00420F2A">
        <w:t xml:space="preserve"> of  announcements</w:t>
      </w:r>
      <w:r>
        <w:t xml:space="preserve"> on </w:t>
      </w:r>
      <w:hyperlink w:history="1">
        <w:r w:rsidR="005F6086" w:rsidRPr="00C86C32">
          <w:rPr>
            <w:rStyle w:val="Hyperlink"/>
          </w:rPr>
          <w:t xml:space="preserve">www.grants.gov  </w:t>
        </w:r>
      </w:hyperlink>
      <w:r w:rsidR="005F6086">
        <w:t>--</w:t>
      </w:r>
      <w:r w:rsidR="0007076A">
        <w:t xml:space="preserve"> </w:t>
      </w:r>
      <w:r w:rsidR="00414E66">
        <w:t>3</w:t>
      </w:r>
      <w:r>
        <w:t xml:space="preserve"> hour</w:t>
      </w:r>
      <w:r w:rsidR="00C828BB">
        <w:t>s</w:t>
      </w:r>
    </w:p>
    <w:p w:rsidR="0007076A" w:rsidRDefault="0007076A" w:rsidP="0007076A">
      <w:pPr>
        <w:ind w:left="1440"/>
      </w:pPr>
    </w:p>
    <w:p w:rsidR="00420F2A" w:rsidRDefault="00420F2A">
      <w:pPr>
        <w:numPr>
          <w:ilvl w:val="1"/>
          <w:numId w:val="2"/>
        </w:numPr>
      </w:pPr>
      <w:r>
        <w:t>Project Officer review of applications/arranging</w:t>
      </w:r>
      <w:r w:rsidR="00A43267">
        <w:t xml:space="preserve"> </w:t>
      </w:r>
      <w:r>
        <w:t>independent review</w:t>
      </w:r>
      <w:r w:rsidR="005F6086">
        <w:t xml:space="preserve"> -</w:t>
      </w:r>
      <w:r>
        <w:t>-</w:t>
      </w:r>
      <w:r w:rsidR="00414E66">
        <w:t>1</w:t>
      </w:r>
      <w:r w:rsidR="00785A30">
        <w:t>3</w:t>
      </w:r>
      <w:r w:rsidR="00414E66">
        <w:t>5</w:t>
      </w:r>
      <w:r>
        <w:t xml:space="preserve"> hours</w:t>
      </w:r>
    </w:p>
    <w:p w:rsidR="0007076A" w:rsidRDefault="0007076A" w:rsidP="0007076A"/>
    <w:p w:rsidR="00420F2A" w:rsidRDefault="00420F2A">
      <w:pPr>
        <w:numPr>
          <w:ilvl w:val="1"/>
          <w:numId w:val="2"/>
        </w:numPr>
      </w:pPr>
      <w:r>
        <w:t>Program and Grants Officer follow-up wit</w:t>
      </w:r>
      <w:r w:rsidR="00414E66">
        <w:t>h applicants</w:t>
      </w:r>
      <w:r w:rsidR="005F6086">
        <w:t xml:space="preserve"> </w:t>
      </w:r>
      <w:r w:rsidR="00414E66">
        <w:t>--</w:t>
      </w:r>
      <w:r w:rsidR="00414E66" w:rsidRPr="005F6086">
        <w:rPr>
          <w:u w:val="single"/>
        </w:rPr>
        <w:t xml:space="preserve">135 </w:t>
      </w:r>
      <w:r w:rsidRPr="005F6086">
        <w:rPr>
          <w:u w:val="single"/>
        </w:rPr>
        <w:t>hours</w:t>
      </w:r>
    </w:p>
    <w:p w:rsidR="00745C31" w:rsidRDefault="00745C31">
      <w:pPr>
        <w:ind w:left="720" w:firstLine="720"/>
      </w:pPr>
    </w:p>
    <w:p w:rsidR="00420F2A" w:rsidRDefault="00420F2A">
      <w:pPr>
        <w:ind w:left="720" w:firstLine="720"/>
      </w:pPr>
      <w:r w:rsidRPr="005F6086">
        <w:rPr>
          <w:u w:val="single"/>
        </w:rPr>
        <w:t>T</w:t>
      </w:r>
      <w:r w:rsidR="005F6086" w:rsidRPr="005F6086">
        <w:rPr>
          <w:u w:val="single"/>
        </w:rPr>
        <w:t>otal Government Hours</w:t>
      </w:r>
      <w:r w:rsidR="005F6086">
        <w:t xml:space="preserve"> </w:t>
      </w:r>
      <w:r w:rsidR="00745C31">
        <w:t xml:space="preserve">(Per Project Officer) </w:t>
      </w:r>
      <w:r w:rsidR="00C828BB">
        <w:t xml:space="preserve">-- </w:t>
      </w:r>
      <w:r w:rsidR="00745C31">
        <w:t>333</w:t>
      </w:r>
      <w:r>
        <w:t xml:space="preserve"> hours</w:t>
      </w:r>
    </w:p>
    <w:p w:rsidR="00420F2A" w:rsidRDefault="00745C31" w:rsidP="00745C31">
      <w:r>
        <w:t xml:space="preserve">The </w:t>
      </w:r>
      <w:r w:rsidR="00B32165">
        <w:t xml:space="preserve">annual salary </w:t>
      </w:r>
      <w:r>
        <w:t>for a GS-13, step 1</w:t>
      </w:r>
      <w:r w:rsidR="005F6086">
        <w:t xml:space="preserve">, </w:t>
      </w:r>
      <w:r>
        <w:t>is</w:t>
      </w:r>
      <w:r w:rsidR="00B32165">
        <w:t xml:space="preserve"> $</w:t>
      </w:r>
      <w:r w:rsidR="00220CF2">
        <w:t>9</w:t>
      </w:r>
      <w:r>
        <w:t>4</w:t>
      </w:r>
      <w:r w:rsidR="00220CF2">
        <w:t>,</w:t>
      </w:r>
      <w:r>
        <w:t>796</w:t>
      </w:r>
      <w:r w:rsidR="005F6086">
        <w:t>, and the</w:t>
      </w:r>
      <w:r w:rsidR="00B32165">
        <w:t xml:space="preserve"> hourly rate of $</w:t>
      </w:r>
      <w:r w:rsidR="00220CF2">
        <w:t>4</w:t>
      </w:r>
      <w:r>
        <w:t>5</w:t>
      </w:r>
      <w:r w:rsidR="00220CF2">
        <w:t>.</w:t>
      </w:r>
      <w:r>
        <w:t>42.  Multipl</w:t>
      </w:r>
      <w:r w:rsidR="005F6086">
        <w:t>ying this rate</w:t>
      </w:r>
      <w:r>
        <w:t xml:space="preserve"> by 333 hours comes to an individual cost </w:t>
      </w:r>
      <w:r w:rsidR="005F6086">
        <w:t xml:space="preserve">per competition </w:t>
      </w:r>
      <w:r>
        <w:t xml:space="preserve">of </w:t>
      </w:r>
      <w:r w:rsidR="006B4388">
        <w:t xml:space="preserve">$15,125.  Multiplied </w:t>
      </w:r>
      <w:proofErr w:type="gramStart"/>
      <w:r w:rsidR="006B4388">
        <w:t xml:space="preserve">by a </w:t>
      </w:r>
      <w:r w:rsidR="005F6086">
        <w:t>projected</w:t>
      </w:r>
      <w:r w:rsidR="006B4388">
        <w:t xml:space="preserve"> </w:t>
      </w:r>
      <w:r w:rsidR="005F6086">
        <w:t xml:space="preserve">51 </w:t>
      </w:r>
      <w:r w:rsidR="006B4388">
        <w:t>competitions</w:t>
      </w:r>
      <w:r w:rsidR="005F6086">
        <w:t xml:space="preserve"> results</w:t>
      </w:r>
      <w:proofErr w:type="gramEnd"/>
      <w:r w:rsidR="005F6086">
        <w:t xml:space="preserve"> in</w:t>
      </w:r>
      <w:r w:rsidR="006B4388">
        <w:t xml:space="preserve"> an estimated total cost to the Federal Government of $771,375.</w:t>
      </w:r>
    </w:p>
    <w:p w:rsidR="00420F2A" w:rsidRDefault="00420F2A"/>
    <w:p w:rsidR="005F6086" w:rsidRDefault="005F6086"/>
    <w:p w:rsidR="00420F2A" w:rsidRDefault="006B4388">
      <w:pPr>
        <w:pStyle w:val="Heading1"/>
        <w:numPr>
          <w:ilvl w:val="0"/>
          <w:numId w:val="2"/>
        </w:numPr>
        <w:rPr>
          <w:b/>
          <w:bCs/>
        </w:rPr>
      </w:pPr>
      <w:r>
        <w:rPr>
          <w:b/>
          <w:bCs/>
        </w:rPr>
        <w:t xml:space="preserve">Explanation of Program </w:t>
      </w:r>
      <w:r w:rsidR="00420F2A">
        <w:rPr>
          <w:b/>
          <w:bCs/>
        </w:rPr>
        <w:t xml:space="preserve">Changes </w:t>
      </w:r>
      <w:r>
        <w:rPr>
          <w:b/>
          <w:bCs/>
        </w:rPr>
        <w:t>or Adjustments</w:t>
      </w:r>
    </w:p>
    <w:p w:rsidR="00420F2A" w:rsidRDefault="00420F2A">
      <w:bookmarkStart w:id="0" w:name="_GoBack"/>
      <w:bookmarkEnd w:id="0"/>
    </w:p>
    <w:p w:rsidR="00CD5BD3" w:rsidRPr="00CD5BD3" w:rsidRDefault="00CD5BD3" w:rsidP="00CD5BD3">
      <w:r w:rsidRPr="00CD5BD3">
        <w:t>There were only minor changes to the data collection forms.  We do not project a change in the burden hours per grantee on this basis.  However, ACL added a number of programs since the last ICR, including the State Health Insurance Assistance Program; Paralysis Resource Center; National Institute on Disability, Independent Living, and Rehabilitation Research; Assistive Technology programs; Independent Living Administration; Limb Loss Resource Center, and Traumatic Brain Injury program.  This resulted in the projected increase in total burden, as compared to the 2013 request.  In addition, NIDILRR estimates a slightly lower average hour burden per respondent based on their experience over the past several years.  This is reflected in the tables</w:t>
      </w:r>
      <w:r w:rsidRPr="00CD5BD3">
        <w:t xml:space="preserve"> and discussion in question 12.</w:t>
      </w:r>
    </w:p>
    <w:p w:rsidR="00420F2A" w:rsidRDefault="00420F2A"/>
    <w:p w:rsidR="00420F2A" w:rsidRDefault="00420F2A"/>
    <w:p w:rsidR="00420F2A" w:rsidRDefault="006B4388">
      <w:pPr>
        <w:pStyle w:val="Heading1"/>
        <w:numPr>
          <w:ilvl w:val="0"/>
          <w:numId w:val="2"/>
        </w:numPr>
        <w:rPr>
          <w:b/>
          <w:bCs/>
        </w:rPr>
      </w:pPr>
      <w:r>
        <w:rPr>
          <w:b/>
          <w:bCs/>
        </w:rPr>
        <w:t>Plans for Tabulation and Publication and Project Time Schedule</w:t>
      </w:r>
    </w:p>
    <w:p w:rsidR="00420F2A" w:rsidRDefault="00420F2A"/>
    <w:p w:rsidR="00420F2A" w:rsidRDefault="00E73F0C">
      <w:r>
        <w:t>A</w:t>
      </w:r>
      <w:r w:rsidR="006F6C0F">
        <w:t xml:space="preserve">CL </w:t>
      </w:r>
      <w:r>
        <w:t xml:space="preserve">normally issues a press release on newly funded projects.  </w:t>
      </w:r>
      <w:r w:rsidR="006B4388">
        <w:t>No other tabulation or publication is planned.</w:t>
      </w:r>
    </w:p>
    <w:p w:rsidR="00420F2A" w:rsidRDefault="00420F2A"/>
    <w:p w:rsidR="00420F2A" w:rsidRDefault="00420F2A"/>
    <w:p w:rsidR="00420F2A" w:rsidRDefault="006B4388">
      <w:pPr>
        <w:pStyle w:val="Heading1"/>
        <w:numPr>
          <w:ilvl w:val="0"/>
          <w:numId w:val="2"/>
        </w:numPr>
        <w:rPr>
          <w:b/>
          <w:bCs/>
        </w:rPr>
      </w:pPr>
      <w:r>
        <w:rPr>
          <w:b/>
          <w:bCs/>
        </w:rPr>
        <w:t xml:space="preserve">Reason(s) </w:t>
      </w:r>
      <w:r w:rsidR="00420F2A">
        <w:rPr>
          <w:b/>
          <w:bCs/>
        </w:rPr>
        <w:t xml:space="preserve">Display of </w:t>
      </w:r>
      <w:r>
        <w:rPr>
          <w:b/>
          <w:bCs/>
        </w:rPr>
        <w:t xml:space="preserve">OMB </w:t>
      </w:r>
      <w:r w:rsidR="00420F2A">
        <w:rPr>
          <w:b/>
          <w:bCs/>
        </w:rPr>
        <w:t>Expiration Date</w:t>
      </w:r>
      <w:r>
        <w:rPr>
          <w:b/>
          <w:bCs/>
        </w:rPr>
        <w:t xml:space="preserve"> is Inappropriate</w:t>
      </w:r>
    </w:p>
    <w:p w:rsidR="00420F2A" w:rsidRDefault="00420F2A"/>
    <w:p w:rsidR="00420F2A" w:rsidRDefault="00420F2A">
      <w:r>
        <w:t xml:space="preserve">The Administration </w:t>
      </w:r>
      <w:r w:rsidR="006F6C0F">
        <w:t>for Community Living</w:t>
      </w:r>
      <w:r>
        <w:t xml:space="preserve"> has no reason not to display the expiration date of OMB approval for this collection of information.</w:t>
      </w:r>
    </w:p>
    <w:p w:rsidR="00420F2A" w:rsidRDefault="00420F2A"/>
    <w:p w:rsidR="00420F2A" w:rsidRDefault="00420F2A"/>
    <w:p w:rsidR="00420F2A" w:rsidRDefault="00420F2A">
      <w:pPr>
        <w:pStyle w:val="Heading1"/>
        <w:numPr>
          <w:ilvl w:val="0"/>
          <w:numId w:val="2"/>
        </w:numPr>
        <w:rPr>
          <w:b/>
          <w:bCs/>
        </w:rPr>
      </w:pPr>
      <w:r>
        <w:rPr>
          <w:b/>
          <w:bCs/>
        </w:rPr>
        <w:t xml:space="preserve">Exceptions to Certification </w:t>
      </w:r>
      <w:r w:rsidR="006B4388">
        <w:rPr>
          <w:b/>
          <w:bCs/>
        </w:rPr>
        <w:t>for Paperwork Reduction Act Submissions</w:t>
      </w:r>
    </w:p>
    <w:p w:rsidR="00420F2A" w:rsidRDefault="00420F2A"/>
    <w:p w:rsidR="00420F2A" w:rsidRDefault="00420F2A">
      <w:r>
        <w:t>There are no exceptions to the certification statement</w:t>
      </w:r>
      <w:r w:rsidR="006B4388">
        <w:t>.</w:t>
      </w:r>
    </w:p>
    <w:p w:rsidR="00420F2A" w:rsidRDefault="00420F2A"/>
    <w:sectPr w:rsidR="00420F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830"/>
    <w:multiLevelType w:val="hybridMultilevel"/>
    <w:tmpl w:val="FEC43B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6E6AF7"/>
    <w:multiLevelType w:val="hybridMultilevel"/>
    <w:tmpl w:val="0486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0B5D86"/>
    <w:multiLevelType w:val="hybridMultilevel"/>
    <w:tmpl w:val="52F63B6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CF04ED"/>
    <w:multiLevelType w:val="hybridMultilevel"/>
    <w:tmpl w:val="4412B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7452E34"/>
    <w:multiLevelType w:val="hybridMultilevel"/>
    <w:tmpl w:val="720A6E1C"/>
    <w:lvl w:ilvl="0" w:tplc="0409000F">
      <w:start w:val="1"/>
      <w:numFmt w:val="decimal"/>
      <w:lvlText w:val="%1."/>
      <w:lvlJc w:val="left"/>
      <w:pPr>
        <w:tabs>
          <w:tab w:val="num" w:pos="720"/>
        </w:tabs>
        <w:ind w:left="720" w:hanging="360"/>
      </w:pPr>
    </w:lvl>
    <w:lvl w:ilvl="1" w:tplc="B0D0CA2E">
      <w:start w:val="1"/>
      <w:numFmt w:val="decimal"/>
      <w:lvlText w:val="%2)"/>
      <w:lvlJc w:val="left"/>
      <w:pPr>
        <w:tabs>
          <w:tab w:val="num" w:pos="1440"/>
        </w:tabs>
        <w:ind w:left="1440" w:hanging="360"/>
      </w:pPr>
      <w:rPr>
        <w:rFonts w:ascii="Times New Roman" w:eastAsia="Times New Roman" w:hAnsi="Times New Roman" w:cs="Times New Roman"/>
      </w:r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C65843"/>
    <w:multiLevelType w:val="hybridMultilevel"/>
    <w:tmpl w:val="63066C64"/>
    <w:lvl w:ilvl="0" w:tplc="F3C8E7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6F2C13"/>
    <w:multiLevelType w:val="hybridMultilevel"/>
    <w:tmpl w:val="C978A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92"/>
    <w:rsid w:val="00024807"/>
    <w:rsid w:val="0007076A"/>
    <w:rsid w:val="0008179A"/>
    <w:rsid w:val="00085F41"/>
    <w:rsid w:val="000D0ADB"/>
    <w:rsid w:val="00104758"/>
    <w:rsid w:val="0013322F"/>
    <w:rsid w:val="001419F6"/>
    <w:rsid w:val="001B7417"/>
    <w:rsid w:val="001C2E04"/>
    <w:rsid w:val="001F2049"/>
    <w:rsid w:val="00220CF2"/>
    <w:rsid w:val="002472F4"/>
    <w:rsid w:val="002611E5"/>
    <w:rsid w:val="00397C0F"/>
    <w:rsid w:val="003C2138"/>
    <w:rsid w:val="003D5FDD"/>
    <w:rsid w:val="00414E66"/>
    <w:rsid w:val="00420F2A"/>
    <w:rsid w:val="0048380B"/>
    <w:rsid w:val="004D389A"/>
    <w:rsid w:val="004F44E0"/>
    <w:rsid w:val="00597B9C"/>
    <w:rsid w:val="005B0D02"/>
    <w:rsid w:val="005F6086"/>
    <w:rsid w:val="00604D6E"/>
    <w:rsid w:val="00614323"/>
    <w:rsid w:val="00694825"/>
    <w:rsid w:val="006B4388"/>
    <w:rsid w:val="006F6C0F"/>
    <w:rsid w:val="00745C31"/>
    <w:rsid w:val="00784F87"/>
    <w:rsid w:val="00785A30"/>
    <w:rsid w:val="00863FE3"/>
    <w:rsid w:val="008A4192"/>
    <w:rsid w:val="009A362A"/>
    <w:rsid w:val="00A25C29"/>
    <w:rsid w:val="00A25FD5"/>
    <w:rsid w:val="00A43267"/>
    <w:rsid w:val="00A65275"/>
    <w:rsid w:val="00A72406"/>
    <w:rsid w:val="00A95153"/>
    <w:rsid w:val="00AB6AA4"/>
    <w:rsid w:val="00AD5911"/>
    <w:rsid w:val="00B32165"/>
    <w:rsid w:val="00BA19C8"/>
    <w:rsid w:val="00BC6B44"/>
    <w:rsid w:val="00BC6E80"/>
    <w:rsid w:val="00C828BB"/>
    <w:rsid w:val="00C91F58"/>
    <w:rsid w:val="00CA2026"/>
    <w:rsid w:val="00CD5BD3"/>
    <w:rsid w:val="00CF720B"/>
    <w:rsid w:val="00D46F4F"/>
    <w:rsid w:val="00D94EBE"/>
    <w:rsid w:val="00DD726A"/>
    <w:rsid w:val="00E24599"/>
    <w:rsid w:val="00E73F0C"/>
    <w:rsid w:val="00EF2806"/>
    <w:rsid w:val="00F4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sz w:val="26"/>
      <w:u w:val="single"/>
    </w:rPr>
  </w:style>
  <w:style w:type="paragraph" w:styleId="Heading3">
    <w:name w:val="heading 3"/>
    <w:basedOn w:val="Normal"/>
    <w:next w:val="Normal"/>
    <w:qFormat/>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character" w:styleId="Hyperlink">
    <w:name w:val="Hyperlink"/>
    <w:rsid w:val="00420F2A"/>
    <w:rPr>
      <w:color w:val="0000FF"/>
      <w:u w:val="single"/>
    </w:rPr>
  </w:style>
  <w:style w:type="paragraph" w:styleId="NormalWeb">
    <w:name w:val="Normal (Web)"/>
    <w:basedOn w:val="Normal"/>
    <w:rsid w:val="00CF720B"/>
    <w:rPr>
      <w:szCs w:val="24"/>
    </w:rPr>
  </w:style>
  <w:style w:type="character" w:styleId="Emphasis">
    <w:name w:val="Emphasis"/>
    <w:basedOn w:val="DefaultParagraphFont"/>
    <w:uiPriority w:val="20"/>
    <w:qFormat/>
    <w:rsid w:val="00085F41"/>
    <w:rPr>
      <w:i/>
      <w:iCs/>
    </w:rPr>
  </w:style>
  <w:style w:type="character" w:styleId="FollowedHyperlink">
    <w:name w:val="FollowedHyperlink"/>
    <w:basedOn w:val="DefaultParagraphFont"/>
    <w:rsid w:val="00085F41"/>
    <w:rPr>
      <w:color w:val="800080" w:themeColor="followedHyperlink"/>
      <w:u w:val="single"/>
    </w:rPr>
  </w:style>
  <w:style w:type="paragraph" w:styleId="ListParagraph">
    <w:name w:val="List Paragraph"/>
    <w:basedOn w:val="Normal"/>
    <w:link w:val="ListParagraphChar"/>
    <w:uiPriority w:val="34"/>
    <w:qFormat/>
    <w:rsid w:val="0048380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48380B"/>
    <w:rPr>
      <w:rFonts w:asciiTheme="minorHAnsi" w:eastAsiaTheme="minorEastAsia" w:hAnsiTheme="minorHAnsi" w:cstheme="minorBidi"/>
      <w:sz w:val="22"/>
      <w:szCs w:val="22"/>
    </w:rPr>
  </w:style>
  <w:style w:type="table" w:styleId="TableGrid">
    <w:name w:val="Table Grid"/>
    <w:basedOn w:val="TableNormal"/>
    <w:rsid w:val="00024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46F4F"/>
    <w:rPr>
      <w:sz w:val="16"/>
      <w:szCs w:val="16"/>
    </w:rPr>
  </w:style>
  <w:style w:type="paragraph" w:styleId="CommentText">
    <w:name w:val="annotation text"/>
    <w:basedOn w:val="Normal"/>
    <w:link w:val="CommentTextChar"/>
    <w:rsid w:val="00D46F4F"/>
    <w:pPr>
      <w:widowControl w:val="0"/>
    </w:pPr>
    <w:rPr>
      <w:rFonts w:ascii="Courier New" w:hAnsi="Courier New"/>
      <w:snapToGrid w:val="0"/>
      <w:sz w:val="20"/>
    </w:rPr>
  </w:style>
  <w:style w:type="character" w:customStyle="1" w:styleId="CommentTextChar">
    <w:name w:val="Comment Text Char"/>
    <w:basedOn w:val="DefaultParagraphFont"/>
    <w:link w:val="CommentText"/>
    <w:rsid w:val="00D46F4F"/>
    <w:rPr>
      <w:rFonts w:ascii="Courier New" w:hAnsi="Courier New"/>
      <w:snapToGrid w:val="0"/>
    </w:rPr>
  </w:style>
  <w:style w:type="paragraph" w:styleId="BalloonText">
    <w:name w:val="Balloon Text"/>
    <w:basedOn w:val="Normal"/>
    <w:link w:val="BalloonTextChar"/>
    <w:rsid w:val="00D46F4F"/>
    <w:rPr>
      <w:rFonts w:ascii="Tahoma" w:hAnsi="Tahoma" w:cs="Tahoma"/>
      <w:sz w:val="16"/>
      <w:szCs w:val="16"/>
    </w:rPr>
  </w:style>
  <w:style w:type="character" w:customStyle="1" w:styleId="BalloonTextChar">
    <w:name w:val="Balloon Text Char"/>
    <w:basedOn w:val="DefaultParagraphFont"/>
    <w:link w:val="BalloonText"/>
    <w:rsid w:val="00D46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sz w:val="26"/>
      <w:u w:val="single"/>
    </w:rPr>
  </w:style>
  <w:style w:type="paragraph" w:styleId="Heading3">
    <w:name w:val="heading 3"/>
    <w:basedOn w:val="Normal"/>
    <w:next w:val="Normal"/>
    <w:qFormat/>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character" w:styleId="Hyperlink">
    <w:name w:val="Hyperlink"/>
    <w:rsid w:val="00420F2A"/>
    <w:rPr>
      <w:color w:val="0000FF"/>
      <w:u w:val="single"/>
    </w:rPr>
  </w:style>
  <w:style w:type="paragraph" w:styleId="NormalWeb">
    <w:name w:val="Normal (Web)"/>
    <w:basedOn w:val="Normal"/>
    <w:rsid w:val="00CF720B"/>
    <w:rPr>
      <w:szCs w:val="24"/>
    </w:rPr>
  </w:style>
  <w:style w:type="character" w:styleId="Emphasis">
    <w:name w:val="Emphasis"/>
    <w:basedOn w:val="DefaultParagraphFont"/>
    <w:uiPriority w:val="20"/>
    <w:qFormat/>
    <w:rsid w:val="00085F41"/>
    <w:rPr>
      <w:i/>
      <w:iCs/>
    </w:rPr>
  </w:style>
  <w:style w:type="character" w:styleId="FollowedHyperlink">
    <w:name w:val="FollowedHyperlink"/>
    <w:basedOn w:val="DefaultParagraphFont"/>
    <w:rsid w:val="00085F41"/>
    <w:rPr>
      <w:color w:val="800080" w:themeColor="followedHyperlink"/>
      <w:u w:val="single"/>
    </w:rPr>
  </w:style>
  <w:style w:type="paragraph" w:styleId="ListParagraph">
    <w:name w:val="List Paragraph"/>
    <w:basedOn w:val="Normal"/>
    <w:link w:val="ListParagraphChar"/>
    <w:uiPriority w:val="34"/>
    <w:qFormat/>
    <w:rsid w:val="0048380B"/>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48380B"/>
    <w:rPr>
      <w:rFonts w:asciiTheme="minorHAnsi" w:eastAsiaTheme="minorEastAsia" w:hAnsiTheme="minorHAnsi" w:cstheme="minorBidi"/>
      <w:sz w:val="22"/>
      <w:szCs w:val="22"/>
    </w:rPr>
  </w:style>
  <w:style w:type="table" w:styleId="TableGrid">
    <w:name w:val="Table Grid"/>
    <w:basedOn w:val="TableNormal"/>
    <w:rsid w:val="00024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46F4F"/>
    <w:rPr>
      <w:sz w:val="16"/>
      <w:szCs w:val="16"/>
    </w:rPr>
  </w:style>
  <w:style w:type="paragraph" w:styleId="CommentText">
    <w:name w:val="annotation text"/>
    <w:basedOn w:val="Normal"/>
    <w:link w:val="CommentTextChar"/>
    <w:rsid w:val="00D46F4F"/>
    <w:pPr>
      <w:widowControl w:val="0"/>
    </w:pPr>
    <w:rPr>
      <w:rFonts w:ascii="Courier New" w:hAnsi="Courier New"/>
      <w:snapToGrid w:val="0"/>
      <w:sz w:val="20"/>
    </w:rPr>
  </w:style>
  <w:style w:type="character" w:customStyle="1" w:styleId="CommentTextChar">
    <w:name w:val="Comment Text Char"/>
    <w:basedOn w:val="DefaultParagraphFont"/>
    <w:link w:val="CommentText"/>
    <w:rsid w:val="00D46F4F"/>
    <w:rPr>
      <w:rFonts w:ascii="Courier New" w:hAnsi="Courier New"/>
      <w:snapToGrid w:val="0"/>
    </w:rPr>
  </w:style>
  <w:style w:type="paragraph" w:styleId="BalloonText">
    <w:name w:val="Balloon Text"/>
    <w:basedOn w:val="Normal"/>
    <w:link w:val="BalloonTextChar"/>
    <w:rsid w:val="00D46F4F"/>
    <w:rPr>
      <w:rFonts w:ascii="Tahoma" w:hAnsi="Tahoma" w:cs="Tahoma"/>
      <w:sz w:val="16"/>
      <w:szCs w:val="16"/>
    </w:rPr>
  </w:style>
  <w:style w:type="character" w:customStyle="1" w:styleId="BalloonTextChar">
    <w:name w:val="Balloon Text Char"/>
    <w:basedOn w:val="DefaultParagraphFont"/>
    <w:link w:val="BalloonText"/>
    <w:rsid w:val="00D46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80474">
      <w:bodyDiv w:val="1"/>
      <w:marLeft w:val="0"/>
      <w:marRight w:val="0"/>
      <w:marTop w:val="0"/>
      <w:marBottom w:val="0"/>
      <w:divBdr>
        <w:top w:val="none" w:sz="0" w:space="0" w:color="auto"/>
        <w:left w:val="none" w:sz="0" w:space="0" w:color="auto"/>
        <w:bottom w:val="none" w:sz="0" w:space="0" w:color="auto"/>
        <w:right w:val="none" w:sz="0" w:space="0" w:color="auto"/>
      </w:divBdr>
    </w:div>
    <w:div w:id="1028872778">
      <w:bodyDiv w:val="1"/>
      <w:marLeft w:val="0"/>
      <w:marRight w:val="0"/>
      <w:marTop w:val="0"/>
      <w:marBottom w:val="0"/>
      <w:divBdr>
        <w:top w:val="none" w:sz="0" w:space="0" w:color="auto"/>
        <w:left w:val="none" w:sz="0" w:space="0" w:color="auto"/>
        <w:bottom w:val="none" w:sz="0" w:space="0" w:color="auto"/>
        <w:right w:val="none" w:sz="0" w:space="0" w:color="auto"/>
      </w:divBdr>
      <w:divsChild>
        <w:div w:id="2146197442">
          <w:marLeft w:val="0"/>
          <w:marRight w:val="0"/>
          <w:marTop w:val="0"/>
          <w:marBottom w:val="0"/>
          <w:divBdr>
            <w:top w:val="none" w:sz="0" w:space="0" w:color="auto"/>
            <w:left w:val="none" w:sz="0" w:space="0" w:color="auto"/>
            <w:bottom w:val="none" w:sz="0" w:space="0" w:color="auto"/>
            <w:right w:val="none" w:sz="0" w:space="0" w:color="auto"/>
          </w:divBdr>
          <w:divsChild>
            <w:div w:id="750275736">
              <w:marLeft w:val="4050"/>
              <w:marRight w:val="300"/>
              <w:marTop w:val="270"/>
              <w:marBottom w:val="0"/>
              <w:divBdr>
                <w:top w:val="none" w:sz="0" w:space="0" w:color="auto"/>
                <w:left w:val="none" w:sz="0" w:space="0" w:color="auto"/>
                <w:bottom w:val="none" w:sz="0" w:space="0" w:color="auto"/>
                <w:right w:val="none" w:sz="0" w:space="0" w:color="auto"/>
              </w:divBdr>
              <w:divsChild>
                <w:div w:id="4441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4548">
      <w:bodyDiv w:val="1"/>
      <w:marLeft w:val="0"/>
      <w:marRight w:val="0"/>
      <w:marTop w:val="0"/>
      <w:marBottom w:val="0"/>
      <w:divBdr>
        <w:top w:val="none" w:sz="0" w:space="0" w:color="auto"/>
        <w:left w:val="none" w:sz="0" w:space="0" w:color="auto"/>
        <w:bottom w:val="none" w:sz="0" w:space="0" w:color="auto"/>
        <w:right w:val="none" w:sz="0" w:space="0" w:color="auto"/>
      </w:divBdr>
      <w:divsChild>
        <w:div w:id="1488669216">
          <w:marLeft w:val="0"/>
          <w:marRight w:val="0"/>
          <w:marTop w:val="0"/>
          <w:marBottom w:val="0"/>
          <w:divBdr>
            <w:top w:val="none" w:sz="0" w:space="0" w:color="auto"/>
            <w:left w:val="none" w:sz="0" w:space="0" w:color="auto"/>
            <w:bottom w:val="none" w:sz="0" w:space="0" w:color="auto"/>
            <w:right w:val="none" w:sz="0" w:space="0" w:color="auto"/>
          </w:divBdr>
          <w:divsChild>
            <w:div w:id="1892380669">
              <w:marLeft w:val="4050"/>
              <w:marRight w:val="300"/>
              <w:marTop w:val="270"/>
              <w:marBottom w:val="0"/>
              <w:divBdr>
                <w:top w:val="none" w:sz="0" w:space="0" w:color="auto"/>
                <w:left w:val="none" w:sz="0" w:space="0" w:color="auto"/>
                <w:bottom w:val="none" w:sz="0" w:space="0" w:color="auto"/>
                <w:right w:val="none" w:sz="0" w:space="0" w:color="auto"/>
              </w:divBdr>
              <w:divsChild>
                <w:div w:id="20345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1099.htm" TargetMode="External"/><Relationship Id="rId3" Type="http://schemas.microsoft.com/office/2007/relationships/stylesWithEffects" Target="stylesWithEffects.xml"/><Relationship Id="rId7" Type="http://schemas.openxmlformats.org/officeDocument/2006/relationships/hyperlink" Target="https://acl.gov/Funding_Opportunities/Announcements/docs/ACL_PA_Template_FINA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gov/web/grants/learn-grants/grant-policies/omb-uniform-guidance-2014.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Form OMB 83</vt:lpstr>
    </vt:vector>
  </TitlesOfParts>
  <Company>AOA/DHHS</Company>
  <LinksUpToDate>false</LinksUpToDate>
  <CharactersWithSpaces>11683</CharactersWithSpaces>
  <SharedDoc>false</SharedDoc>
  <HLinks>
    <vt:vector size="12" baseType="variant">
      <vt:variant>
        <vt:i4>5701668</vt:i4>
      </vt:variant>
      <vt:variant>
        <vt:i4>3</vt:i4>
      </vt:variant>
      <vt:variant>
        <vt:i4>0</vt:i4>
      </vt:variant>
      <vt:variant>
        <vt:i4>5</vt:i4>
      </vt:variant>
      <vt:variant>
        <vt:lpwstr>http://www.acl.gov/Funding_Opportunities/Announcements/Index.aspx</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OMB 83</dc:title>
  <dc:creator>gcase</dc:creator>
  <cp:lastModifiedBy>Windows User</cp:lastModifiedBy>
  <cp:revision>3</cp:revision>
  <cp:lastPrinted>2017-04-20T00:18:00Z</cp:lastPrinted>
  <dcterms:created xsi:type="dcterms:W3CDTF">2017-04-27T15:24:00Z</dcterms:created>
  <dcterms:modified xsi:type="dcterms:W3CDTF">2017-05-26T20:54:00Z</dcterms:modified>
</cp:coreProperties>
</file>